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spacing w:line="360" w:lineRule="auto"/>
        <w:jc w:val="center"/>
        <w:rPr>
          <w:rFonts w:asciiTheme="minorEastAsia" w:hAnsiTheme="minorEastAsia"/>
          <w:b/>
          <w:sz w:val="24"/>
          <w:szCs w:val="24"/>
        </w:rPr>
      </w:pPr>
      <w:r>
        <w:rPr>
          <w:rFonts w:asciiTheme="minorEastAsia" w:hAnsiTheme="minorEastAsia" w:hint="eastAsia"/>
          <w:b/>
          <w:sz w:val="28"/>
          <w:szCs w:val="24"/>
        </w:rPr>
        <w:t>青银理财理财产品风险揭示书</w:t>
      </w:r>
    </w:p>
    <w:p>
      <w:pPr>
        <w:spacing w:line="360" w:lineRule="auto"/>
        <w:rPr>
          <w:rFonts w:asciiTheme="minorEastAsia" w:hAnsiTheme="minorEastAsia"/>
          <w:sz w:val="24"/>
          <w:szCs w:val="24"/>
        </w:rPr>
      </w:pPr>
      <w:r>
        <w:rPr>
          <w:rFonts w:asciiTheme="minorEastAsia" w:hAnsiTheme="minorEastAsia" w:hint="eastAsia"/>
          <w:sz w:val="24"/>
          <w:szCs w:val="24"/>
        </w:rPr>
        <w:t>尊敬的客户：</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理财非存款，产品有风险，投资须谨慎。您/贵公司应充分认识以下风险: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1.本金及收益风险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本理财产品为非保本:产品有投资风险，不保证本金和收益。</w:t>
      </w:r>
      <w:r>
        <w:rPr>
          <w:rFonts w:asciiTheme="minorEastAsia" w:hAnsiTheme="minorEastAsia" w:hint="eastAsia"/>
          <w:b/>
          <w:sz w:val="24"/>
          <w:szCs w:val="24"/>
        </w:rPr>
        <w:t>在市场最不利的情况下可能损失全部本金，您/贵公司应充分认识投资风险，谨慎投资。</w:t>
      </w:r>
      <w:r>
        <w:rPr>
          <w:rFonts w:asciiTheme="minorEastAsia" w:hAnsiTheme="minorEastAsia" w:hint="eastAsia"/>
          <w:sz w:val="24"/>
          <w:szCs w:val="24"/>
        </w:rPr>
        <w:t>示例：若客户购买理财计划本金1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2.市场风险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.政策风险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.流动性风险</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（1）主要拟投资市场、资产的流动性风险：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（2）投资者资金流动性风险：</w:t>
      </w:r>
      <w:r>
        <w:rPr>
          <w:rFonts w:asciiTheme="minorEastAsia" w:hAnsiTheme="minorEastAsia"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.理财计划不成立风险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.延期风险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.提前终止及再投资风险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.信息传递风险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.不可抗力风险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pPr>
        <w:pStyle w:val="Default"/>
        <w:snapToGrid w:val="0"/>
        <w:spacing w:line="360" w:lineRule="auto"/>
        <w:ind w:firstLine="480" w:firstLineChars="200"/>
        <w:rPr>
          <w:rFonts w:hAnsi="宋体"/>
          <w:color w:val="auto"/>
        </w:rPr>
      </w:pPr>
      <w:r>
        <w:rPr>
          <w:rFonts w:hAnsi="宋体" w:hint="eastAsia"/>
          <w:color w:val="auto"/>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pPr>
        <w:pStyle w:val="Default"/>
        <w:snapToGrid w:val="0"/>
        <w:spacing w:line="360" w:lineRule="auto"/>
        <w:ind w:firstLine="480" w:firstLineChars="200"/>
        <w:rPr>
          <w:rFonts w:hAnsi="宋体"/>
          <w:color w:val="auto"/>
        </w:rPr>
      </w:pPr>
      <w:r>
        <w:rPr>
          <w:rFonts w:hAnsi="宋体" w:hint="eastAsia"/>
          <w:color w:val="auto"/>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pStyle w:val="Default"/>
        <w:snapToGrid w:val="0"/>
        <w:spacing w:line="360" w:lineRule="auto"/>
        <w:ind w:firstLine="480" w:firstLineChars="200"/>
        <w:rPr>
          <w:rFonts w:hAnsi="宋体"/>
          <w:color w:val="auto"/>
        </w:rPr>
      </w:pPr>
      <w:r>
        <w:rPr>
          <w:rFonts w:hAnsi="宋体" w:hint="eastAsia"/>
          <w:color w:val="auto"/>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（3）资产支持证券投资风险：资产支持证券项下的基础资产现金流可能未能及时完整取得导致的信用风险；资产支持证券可能的市场成交量不足、缺乏意愿交易对手导致的流动性风险等。</w:t>
      </w:r>
    </w:p>
    <w:p>
      <w:pPr>
        <w:pStyle w:val="Default"/>
        <w:snapToGrid w:val="0"/>
        <w:spacing w:line="360" w:lineRule="auto"/>
        <w:ind w:firstLine="480" w:firstLineChars="200"/>
        <w:rPr>
          <w:rFonts w:hAnsi="宋体"/>
          <w:color w:val="auto"/>
        </w:rPr>
      </w:pPr>
      <w:r>
        <w:rPr>
          <w:rFonts w:hAnsi="宋体" w:hint="eastAsia"/>
          <w:color w:val="auto"/>
        </w:rPr>
        <w:t>（4）非标准化债权投资风险：融资方还款履约能力可能的变化导致的信用风险；债务人提前还款或逾期还款的风险；担保人未能履行担保义务的风险等。</w:t>
      </w:r>
    </w:p>
    <w:p>
      <w:pPr>
        <w:pStyle w:val="Default"/>
        <w:snapToGrid w:val="0"/>
        <w:spacing w:line="360" w:lineRule="auto"/>
        <w:ind w:firstLine="480" w:firstLineChars="200"/>
        <w:rPr>
          <w:rFonts w:hAnsi="宋体"/>
          <w:color w:val="auto"/>
        </w:rPr>
      </w:pPr>
      <w:r>
        <w:rPr>
          <w:rFonts w:hAnsi="宋体" w:hint="eastAsia"/>
          <w:color w:val="auto"/>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pStyle w:val="Default"/>
        <w:snapToGrid w:val="0"/>
        <w:spacing w:line="360" w:lineRule="auto"/>
        <w:ind w:firstLine="480" w:firstLineChars="200"/>
        <w:rPr>
          <w:rFonts w:hAnsi="宋体"/>
          <w:color w:val="auto"/>
        </w:rPr>
      </w:pPr>
      <w:r>
        <w:rPr>
          <w:rFonts w:hAnsi="宋体" w:hint="eastAsia"/>
          <w:color w:val="auto"/>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pStyle w:val="Default"/>
        <w:snapToGrid w:val="0"/>
        <w:spacing w:line="360" w:lineRule="auto"/>
        <w:ind w:firstLine="480" w:firstLineChars="200"/>
        <w:rPr>
          <w:rFonts w:hAnsi="宋体"/>
          <w:color w:val="auto"/>
        </w:rPr>
      </w:pPr>
      <w:r>
        <w:rPr>
          <w:rFonts w:hAnsi="宋体" w:hint="eastAsia"/>
          <w:color w:val="auto"/>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如管理人为提高投资者资金使用效率和用户体验，开通使用其他银行提供的赎回或到期款项垫付增值服务，当发生本揭示书第6至9条风险时，投资者需在收到款项当日1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Theme="minorEastAsia" w:hAnsiTheme="minorEastAsia"/>
          <w:sz w:val="24"/>
          <w:szCs w:val="24"/>
          <w:highlight w:val="none"/>
          <w:u w:val="single"/>
        </w:rPr>
      </w:pPr>
      <w:r>
        <w:rPr>
          <w:rFonts w:asciiTheme="minorEastAsia" w:hAnsiTheme="minorEastAsia" w:hint="eastAsia"/>
          <w:sz w:val="24"/>
          <w:szCs w:val="24"/>
          <w:highlight w:val="none"/>
        </w:rPr>
        <w:t>本理财产品代码：</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rPr>
        <w:t>CCCJGX25705</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本理财产品类型：</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固定收益类</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 xml:space="preserve">本理财投资期限：封闭式 </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393</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rPr>
        <w:t>天</w:t>
      </w:r>
    </w:p>
    <w:p>
      <w:pPr>
        <w:spacing w:line="360" w:lineRule="auto"/>
        <w:ind w:firstLine="480" w:firstLineChars="200"/>
        <w:rPr>
          <w:rFonts w:asciiTheme="minorEastAsia" w:hAnsiTheme="minorEastAsia"/>
          <w:sz w:val="24"/>
          <w:szCs w:val="24"/>
          <w:highlight w:val="none"/>
          <w:u w:val="single"/>
        </w:rPr>
      </w:pPr>
      <w:r>
        <w:rPr>
          <w:rFonts w:asciiTheme="minorEastAsia" w:hAnsiTheme="minorEastAsia" w:hint="eastAsia"/>
          <w:sz w:val="24"/>
          <w:szCs w:val="24"/>
          <w:highlight w:val="none"/>
        </w:rPr>
        <w:t xml:space="preserve"> </w:t>
      </w:r>
      <w:r>
        <w:rPr>
          <w:rFonts w:asciiTheme="minorEastAsia" w:hAnsiTheme="minorEastAsia"/>
          <w:sz w:val="24"/>
          <w:szCs w:val="24"/>
          <w:highlight w:val="none"/>
        </w:rPr>
        <w:t xml:space="preserve">           </w:t>
      </w:r>
      <w:r>
        <w:rPr>
          <w:rFonts w:asciiTheme="minorEastAsia" w:hAnsiTheme="minorEastAsia" w:hint="eastAsia"/>
          <w:sz w:val="24"/>
          <w:szCs w:val="24"/>
          <w:highlight w:val="none"/>
        </w:rPr>
        <w:t>开放式 □</w:t>
      </w:r>
      <w:r>
        <w:rPr>
          <w:rFonts w:asciiTheme="minorEastAsia" w:hAnsiTheme="minorEastAsia"/>
          <w:sz w:val="24"/>
          <w:szCs w:val="24"/>
          <w:highlight w:val="none"/>
        </w:rPr>
        <w:t>1</w:t>
      </w:r>
      <w:r>
        <w:rPr>
          <w:rFonts w:asciiTheme="minorEastAsia" w:hAnsiTheme="minorEastAsia" w:hint="eastAsia"/>
          <w:sz w:val="24"/>
          <w:szCs w:val="24"/>
          <w:highlight w:val="none"/>
        </w:rPr>
        <w:t>天 □</w:t>
      </w:r>
      <w:r>
        <w:rPr>
          <w:rFonts w:asciiTheme="minorEastAsia" w:hAnsiTheme="minorEastAsia"/>
          <w:sz w:val="24"/>
          <w:szCs w:val="24"/>
          <w:highlight w:val="none"/>
        </w:rPr>
        <w:t>7</w:t>
      </w:r>
      <w:r>
        <w:rPr>
          <w:rFonts w:asciiTheme="minorEastAsia" w:hAnsiTheme="minorEastAsia" w:hint="eastAsia"/>
          <w:sz w:val="24"/>
          <w:szCs w:val="24"/>
          <w:highlight w:val="none"/>
        </w:rPr>
        <w:t>天 □</w:t>
      </w:r>
      <w:r>
        <w:rPr>
          <w:rFonts w:asciiTheme="minorEastAsia" w:hAnsiTheme="minorEastAsia"/>
          <w:sz w:val="24"/>
          <w:szCs w:val="24"/>
          <w:highlight w:val="none"/>
        </w:rPr>
        <w:t>14</w:t>
      </w:r>
      <w:r>
        <w:rPr>
          <w:rFonts w:asciiTheme="minorEastAsia" w:hAnsiTheme="minorEastAsia" w:hint="eastAsia"/>
          <w:sz w:val="24"/>
          <w:szCs w:val="24"/>
          <w:highlight w:val="none"/>
        </w:rPr>
        <w:t>天 □</w:t>
      </w:r>
      <w:r>
        <w:rPr>
          <w:rFonts w:asciiTheme="minorEastAsia" w:hAnsiTheme="minorEastAsia"/>
          <w:sz w:val="24"/>
          <w:szCs w:val="24"/>
          <w:highlight w:val="none"/>
        </w:rPr>
        <w:t>30</w:t>
      </w:r>
      <w:r>
        <w:rPr>
          <w:rFonts w:asciiTheme="minorEastAsia" w:hAnsiTheme="minorEastAsia" w:hint="eastAsia"/>
          <w:sz w:val="24"/>
          <w:szCs w:val="24"/>
          <w:highlight w:val="none"/>
        </w:rPr>
        <w:t>天（1个月） □其他</w:t>
      </w:r>
      <w:r>
        <w:rPr>
          <w:rFonts w:asciiTheme="minorEastAsia" w:hAnsiTheme="minorEastAsia" w:hint="eastAsia"/>
          <w:sz w:val="24"/>
          <w:szCs w:val="24"/>
          <w:highlight w:val="none"/>
          <w:u w:val="single"/>
        </w:rPr>
        <w:t xml:space="preserve"> </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(注意：实际投资期限受提前终止等理财产品说明书相关条款和内容的约束)。</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本理财计划内部风险评级为:</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□谨慎型产品 (★)，适合风险承受能力评级为谨慎型及以上的客户购买。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lang w:eastAsia="zh-CN"/>
        </w:rPr>
        <w:t>☑</w:t>
      </w:r>
      <w:r>
        <w:rPr>
          <w:rFonts w:asciiTheme="minorEastAsia" w:hAnsiTheme="minorEastAsia" w:hint="eastAsia"/>
          <w:sz w:val="24"/>
          <w:szCs w:val="24"/>
          <w:highlight w:val="none"/>
        </w:rPr>
        <w:t>稳健型产品(★★)，适合风险承受能力评级为稳健型及以上的客户购买。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□平衡型产品（★★★)，适合风险承受能力评级为平衡型及以上的客户购买。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□进取型产品(★★★★)，适合风险承受能力评级为进取型及以上的客户购买。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□激进型产品(★★★★★)，适合风险承受能力评级为激进型的客户购买。</w:t>
      </w:r>
    </w:p>
    <w:p>
      <w:pPr>
        <w:spacing w:line="360" w:lineRule="auto"/>
        <w:ind w:firstLine="480" w:firstLineChars="200"/>
        <w:rPr>
          <w:rFonts w:asciiTheme="minorEastAsia" w:hAnsiTheme="minorEastAsia"/>
          <w:b/>
          <w:bCs/>
          <w:sz w:val="24"/>
          <w:szCs w:val="24"/>
        </w:rPr>
      </w:pPr>
      <w:r>
        <w:rPr>
          <w:rFonts w:asciiTheme="minorEastAsia" w:hAnsiTheme="minorEastAsia" w:hint="eastAsia"/>
          <w:b/>
          <w:bCs/>
          <w:sz w:val="24"/>
          <w:szCs w:val="24"/>
        </w:rPr>
        <w:t>个人客户须满足风险承受能力与适合购买理财产品的对应关系。如影响您风险承受能力的因素发生变化，请您及时更新完成风险承受能力评估。</w:t>
      </w:r>
    </w:p>
    <w:p>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风险提示方:青银理财有限责任公司</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本人/公司确认如下:</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2.经销售机构评估，本人风险承受能力评级为: □谨慎型  □稳健型  □平衡型  □进取型 □激进型</w:t>
      </w:r>
    </w:p>
    <w:p>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3.客户需抄录以下语句完成确认:</w:t>
      </w:r>
      <w:r>
        <w:rPr>
          <w:rFonts w:asciiTheme="minorEastAsia" w:hAnsiTheme="minorEastAsia" w:hint="eastAsia"/>
          <w:b/>
          <w:sz w:val="24"/>
          <w:szCs w:val="24"/>
        </w:rPr>
        <w:t>“本人/公司已经阅读风险提示，充分了解并清楚知晓本理财计划的风险，愿意承担投资风险。”</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p>
    <w:p>
      <w:pPr>
        <w:spacing w:line="360" w:lineRule="auto"/>
        <w:ind w:firstLine="480" w:firstLineChars="200"/>
        <w:rPr>
          <w:rFonts w:asciiTheme="minorEastAsia" w:hAnsiTheme="minorEastAsia"/>
          <w:sz w:val="24"/>
          <w:szCs w:val="24"/>
        </w:rPr>
      </w:pPr>
    </w:p>
    <w:p>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确认人(个人客户签字):</w:t>
      </w:r>
      <w:r>
        <w:rPr>
          <w:rFonts w:asciiTheme="minorEastAsia" w:hAnsiTheme="minorEastAsia"/>
          <w:sz w:val="24"/>
          <w:szCs w:val="24"/>
        </w:rPr>
        <w:t xml:space="preserve">            </w:t>
      </w:r>
      <w:r>
        <w:rPr>
          <w:rFonts w:asciiTheme="minorEastAsia" w:hAnsiTheme="minorEastAsia" w:hint="eastAsia"/>
          <w:sz w:val="24"/>
          <w:szCs w:val="24"/>
        </w:rPr>
        <w:t>确认人(机构客户签章):</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签署日期:</w:t>
      </w:r>
      <w:r>
        <w:rPr>
          <w:rFonts w:asciiTheme="minorEastAsia" w:hAnsiTheme="minorEastAsia" w:hint="eastAsia"/>
          <w:sz w:val="24"/>
          <w:szCs w:val="24"/>
          <w:u w:val="single"/>
        </w:rPr>
        <w:t xml:space="preserve">    </w:t>
      </w:r>
      <w:r>
        <w:rPr>
          <w:rFonts w:asciiTheme="minorEastAsia" w:hAnsiTheme="minorEastAsia" w:hint="eastAsia"/>
          <w:sz w:val="24"/>
          <w:szCs w:val="24"/>
        </w:rPr>
        <w:t>年__月__日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Revision">
    <w:name w:val="Revision"/>
    <w:hidden/>
    <w:uiPriority w:val="99"/>
    <w:semiHidden/>
    <w:rPr>
      <w:rFonts w:asciiTheme="minorHAnsi" w:eastAsiaTheme="minorEastAsia" w:hAnsiTheme="minorHAnsi" w:cstheme="minorBidi"/>
      <w:kern w:val="2"/>
      <w:sz w:val="21"/>
      <w:szCs w:val="22"/>
      <w:lang w:val="en-US" w:eastAsia="zh-CN" w:bidi="ar-SA"/>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kern w:val="0"/>
      <w:sz w:val="24"/>
      <w:szCs w:val="24"/>
      <w:lang w:val="en-US" w:eastAsia="zh-CN" w:bidi="ar-SA"/>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9</Pages>
  <Words>1002</Words>
  <Characters>5718</Characters>
  <Application>Microsoft Office Word</Application>
  <DocSecurity>0</DocSecurity>
  <Lines>47</Lines>
  <Paragraphs>13</Paragraphs>
  <ScaleCrop>false</ScaleCrop>
  <Company>Microsoft</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QD23600007</cp:lastModifiedBy>
  <cp:revision>14</cp:revision>
  <cp:lastPrinted>2024-02-27T01:42:00Z</cp:lastPrinted>
  <dcterms:created xsi:type="dcterms:W3CDTF">2024-07-10T09:22:00Z</dcterms:created>
  <dcterms:modified xsi:type="dcterms:W3CDTF">2025-07-02T02:03:56Z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