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苏银理财恒源封闭债权255期优选2年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恒源封闭债权255期优选2年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苏银理财恒源封闭债权255期优选2年</w:t>
            </w:r>
            <w:r>
              <w:rPr>
                <w:rStyle w:val="21"/>
                <w:rFonts w:hint="eastAsia" w:ascii="楷体" w:hAnsi="楷体" w:eastAsia="楷体" w:cs="宋体"/>
                <w:color w:val="auto"/>
                <w:spacing w:val="-2"/>
                <w:sz w:val="18"/>
                <w:szCs w:val="18"/>
                <w:lang w:eastAsia="zh-CN"/>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Z7003125000304，</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A份额：苏银理财恒源封闭债权255期优选29月A/J10883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B份额：苏银理财恒源封闭债权255期优选29月B/J10884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C份额：苏银理财恒源封闭债权255期优选29月C/J10885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D份额：苏银理财恒源封闭债权255期优选29月D/J10886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E份额：苏银理财恒源封闭债权255期优选29月E/J10887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F份额：苏银理财恒源封闭债权255期优选29月F/J10888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G份额：苏银理财恒源封闭债权255期优选29月G/J10889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H份额：苏银理财恒源封闭债权255期优选29月H/J10890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I份额：苏银理财恒源封闭债权255期优选29月I/J10891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J份额：苏银理财恒源封闭债权255期优选29月J/J10892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K份额：苏银理财恒源封闭债权255期优选29月K/J10893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L份额：苏银理财恒源封闭债权255期优选29月L/J10894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N份额：苏银理财恒源封闭债权255期优选29月N/J10895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O份额：苏银理财恒源封闭债权255期优选29月O（兰州银行开门红专属）/J10896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Z份额：苏银理财恒源封闭债权255期优选29月Z/J10897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JS份额：苏银理财恒源封闭债权255期优选29月JS鑫福款/J10898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芙蓉锦程·优选份额：苏银理财恒源封闭债权255期优选29月（芙蓉锦程·优选）/J10899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P份额：苏银理财恒源封闭债权255期优选29月P/J10900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A/B/D/F/G/J/K/L/N/O/Z/JS/芙蓉锦程·优选/P份额：1元/1元的整数倍；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4</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2025年12月11</w:t>
            </w:r>
            <w:bookmarkStart w:id="0" w:name="_GoBack"/>
            <w:bookmarkEnd w:id="0"/>
            <w:r>
              <w:rPr>
                <w:rFonts w:hint="eastAsia" w:ascii="楷体" w:hAnsi="楷体" w:eastAsia="楷体" w:cs="宋体"/>
                <w:color w:val="auto"/>
                <w:spacing w:val="-2"/>
                <w:sz w:val="18"/>
                <w:szCs w:val="18"/>
                <w:lang w:val="en-US" w:eastAsia="zh-CN"/>
              </w:rPr>
              <w:t>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4</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28</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869</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2.65%-3.05%；G份额：2.50%-2.90%；H份额：2.55%-2.95%；I份额：2.80%-3.20%；J份额：2.60%-3.00%；K份额：2.55%-2.95%；L份额：2.50%-2.90%；N份额：2.70%-3.10%；O份额：2.65%-3.05%；Z份额：2.75%-3.15%；JS份额：2.65%-3.05%；芙蓉锦程·优选份额：2.70%-3.10%；P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P份额：0.30%</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桐庐农村商业银行股份有限公司/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天台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Z份额：郑州银行股份有限公司/青岛银行股份有限公司/齐鲁银行股份有限公司/兰州银行股份有限公司/莱商银行股份有限公司/嘉兴银行股份有限公司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太仓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P份额：山西银行股份有限公司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6" w:type="first"/>
      <w:headerReference r:id="rId4" w:type="default"/>
      <w:footerReference r:id="rId7" w:type="default"/>
      <w:headerReference r:id="rId5"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1"/>
        <w:snapToGrid w:val="0"/>
        <w:rPr>
          <w:rFonts w:hint="eastAsia" w:ascii="楷体" w:hAnsi="楷体" w:eastAsia="楷体" w:cs="楷体"/>
        </w:rPr>
      </w:pPr>
      <w:r>
        <w:rPr>
          <w:rStyle w:val="21"/>
          <w:rFonts w:hint="eastAsia" w:ascii="楷体" w:hAnsi="楷体" w:eastAsia="楷体" w:cs="楷体"/>
        </w:rPr>
        <w:footnoteRef/>
      </w:r>
      <w:r>
        <w:rPr>
          <w:rFonts w:hint="eastAsia" w:ascii="楷体" w:hAnsi="楷体" w:eastAsia="楷体" w:cs="楷体"/>
        </w:rPr>
        <w:t>注：本产品计划投资期限为874天（约29个月）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2025-11-26T02:43:31Z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