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恒源1年定开34期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（2025年12月版）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rPr>
        <w:t>苏银理财</w:t>
      </w:r>
      <w:r>
        <w:rPr>
          <w:rFonts w:hint="eastAsia" w:ascii="楷体" w:hAnsi="楷体" w:eastAsia="楷体"/>
          <w:b w:val="0"/>
          <w:bCs w:val="0"/>
          <w:sz w:val="21"/>
          <w:szCs w:val="21"/>
          <w:highlight w:val="none"/>
          <w:lang w:val="en-US" w:eastAsia="zh-CN"/>
        </w:rPr>
        <w:t>恒源1年定开34</w:t>
      </w:r>
      <w:r>
        <w:rPr>
          <w:rFonts w:hint="eastAsia" w:ascii="楷体" w:hAnsi="楷体" w:eastAsia="楷体"/>
          <w:b w:val="0"/>
          <w:bCs w:val="0"/>
          <w:sz w:val="21"/>
          <w:szCs w:val="21"/>
          <w:highlight w:val="none"/>
          <w:lang w:eastAsia="zh-CN"/>
        </w:rPr>
        <w:t>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w:t>
            </w:r>
            <w:r>
              <w:rPr>
                <w:rFonts w:hint="eastAsia" w:ascii="楷体" w:hAnsi="楷体" w:eastAsia="楷体" w:cs="宋体"/>
                <w:spacing w:val="-2"/>
                <w:sz w:val="18"/>
                <w:szCs w:val="18"/>
                <w:highlight w:val="none"/>
                <w:lang w:val="en-US" w:eastAsia="zh-CN"/>
              </w:rPr>
              <w:t>恒源1年定开34</w:t>
            </w:r>
            <w:r>
              <w:rPr>
                <w:rFonts w:hint="eastAsia" w:ascii="楷体" w:hAnsi="楷体" w:eastAsia="楷体" w:cs="宋体"/>
                <w:spacing w:val="-2"/>
                <w:sz w:val="18"/>
                <w:szCs w:val="18"/>
                <w:highlight w:val="none"/>
                <w:lang w:eastAsia="zh-CN"/>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Z7003122000143，</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A份额:苏银理财恒源1年定开34期A/J02139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B份额:苏银理财恒源1年定开34期B/</w:t>
            </w:r>
            <w:r>
              <w:rPr>
                <w:rFonts w:hint="eastAsia" w:ascii="楷体" w:hAnsi="楷体" w:eastAsia="楷体" w:cs="楷体"/>
                <w:i w:val="0"/>
                <w:iCs w:val="0"/>
                <w:color w:val="000000"/>
                <w:kern w:val="0"/>
                <w:sz w:val="18"/>
                <w:szCs w:val="18"/>
                <w:u w:val="none"/>
                <w:lang w:val="en-US" w:eastAsia="zh-CN" w:bidi="ar"/>
              </w:rPr>
              <w:t>J02140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C份额:苏银理财恒源1年定开34期C/J08752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D份额:苏银理财恒源1年定开34期D/</w:t>
            </w:r>
            <w:r>
              <w:rPr>
                <w:rFonts w:hint="eastAsia" w:ascii="楷体" w:hAnsi="楷体" w:eastAsia="楷体" w:cs="楷体"/>
                <w:i w:val="0"/>
                <w:iCs w:val="0"/>
                <w:color w:val="000000"/>
                <w:kern w:val="0"/>
                <w:sz w:val="18"/>
                <w:szCs w:val="18"/>
                <w:u w:val="none"/>
                <w:lang w:val="en-US" w:eastAsia="zh-CN" w:bidi="ar"/>
              </w:rPr>
              <w:t>J02857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F份额:苏银理财恒源1年定开34期F/</w:t>
            </w:r>
            <w:r>
              <w:rPr>
                <w:rFonts w:hint="eastAsia" w:ascii="楷体" w:hAnsi="楷体" w:eastAsia="楷体" w:cs="楷体"/>
                <w:i w:val="0"/>
                <w:iCs w:val="0"/>
                <w:color w:val="000000"/>
                <w:kern w:val="0"/>
                <w:sz w:val="18"/>
                <w:szCs w:val="18"/>
                <w:u w:val="none"/>
                <w:lang w:val="en-US" w:eastAsia="zh-CN" w:bidi="ar"/>
              </w:rPr>
              <w:t>J02858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G份额:苏银理财恒源1年定开34期G/</w:t>
            </w:r>
            <w:r>
              <w:rPr>
                <w:rFonts w:hint="eastAsia" w:ascii="楷体" w:hAnsi="楷体" w:eastAsia="楷体" w:cs="楷体"/>
                <w:i w:val="0"/>
                <w:iCs w:val="0"/>
                <w:color w:val="000000"/>
                <w:kern w:val="0"/>
                <w:sz w:val="18"/>
                <w:szCs w:val="18"/>
                <w:u w:val="none"/>
                <w:lang w:val="en-US" w:eastAsia="zh-CN" w:bidi="ar"/>
              </w:rPr>
              <w:t>J02141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J份额:苏银理财恒源1年定开34期J/</w:t>
            </w:r>
            <w:r>
              <w:rPr>
                <w:rFonts w:hint="eastAsia" w:ascii="楷体" w:hAnsi="楷体" w:eastAsia="楷体" w:cs="楷体"/>
                <w:i w:val="0"/>
                <w:iCs w:val="0"/>
                <w:color w:val="000000"/>
                <w:kern w:val="0"/>
                <w:sz w:val="18"/>
                <w:szCs w:val="18"/>
                <w:u w:val="none"/>
                <w:lang w:val="en-US" w:eastAsia="zh-CN" w:bidi="ar"/>
              </w:rPr>
              <w:t>J02859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K份额:苏银理财恒源1年定开34期K/</w:t>
            </w:r>
            <w:r>
              <w:rPr>
                <w:rFonts w:hint="eastAsia" w:ascii="楷体" w:hAnsi="楷体" w:eastAsia="楷体" w:cs="楷体"/>
                <w:i w:val="0"/>
                <w:iCs w:val="0"/>
                <w:color w:val="000000"/>
                <w:kern w:val="0"/>
                <w:sz w:val="18"/>
                <w:szCs w:val="18"/>
                <w:u w:val="none"/>
                <w:lang w:val="en-US" w:eastAsia="zh-CN" w:bidi="ar"/>
              </w:rPr>
              <w:t>J02860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P份额:苏银理财恒源1年定开34期P/J11123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T份额:苏银理财恒源1年定开34期T/J11124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O份额:苏银理财恒源1年定开34期O（兰州银行开门红专属）/J11125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潍坊银行专属份额:苏银理财恒源1年定开34期（潍坊银行专属）/J11126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ZA份额:苏银理财恒源1年定开34期ZA（自动赎回）/J02861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ZF份额:苏银理财恒源1年定开34期ZF（自动赎回）/J02862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ZN份额:苏银理财恒源1年定开34期ZN（自动赎回）/J11127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T份额面向高净值客户和白名单客户销售，具体以销售机构设置为准。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500000万元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K份额：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T份额：</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潍坊银行专属份额：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15</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21</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w:t>
            </w:r>
            <w:r>
              <w:rPr>
                <w:rFonts w:hint="eastAsia" w:ascii="楷体" w:hAnsi="楷体" w:eastAsia="楷体" w:cs="宋体"/>
                <w:spacing w:val="-2"/>
                <w:sz w:val="18"/>
                <w:szCs w:val="18"/>
                <w:lang w:val="en-US" w:eastAsia="zh-CN"/>
              </w:rPr>
              <w:t>22</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22</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2032年11月30日，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最新投资周期（2025年12月23日-2027年1月7日）开放申购与赎回时间为：</w:t>
            </w:r>
            <w:r>
              <w:rPr>
                <w:rFonts w:hint="eastAsia" w:ascii="楷体" w:hAnsi="楷体" w:eastAsia="楷体" w:cs="宋体"/>
                <w:b/>
                <w:bCs/>
                <w:spacing w:val="-2"/>
                <w:sz w:val="18"/>
                <w:szCs w:val="18"/>
                <w:highlight w:val="none"/>
                <w:lang w:val="en-US" w:eastAsia="zh-CN"/>
              </w:rPr>
              <w:t>2025年12月12日至2025年12月22日（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(其中ZA份额/ZF份额/ZN份额由系统主动发起赎回申请，投资者无须发起赎回申请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2025年12月23日-2027年1月7日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rPr>
                  </w:pPr>
                  <w:r>
                    <w:rPr>
                      <w:rFonts w:hint="eastAsia" w:ascii="楷体" w:hAnsi="楷体" w:eastAsia="楷体"/>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sz w:val="18"/>
                      <w:szCs w:val="18"/>
                      <w:highlight w:val="none"/>
                      <w:lang w:eastAsia="zh-CN"/>
                    </w:rPr>
                    <w:t>2022年11月22日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sz w:val="18"/>
                      <w:szCs w:val="18"/>
                      <w:lang w:eastAsia="zh-CN"/>
                    </w:rPr>
                    <w:t>2023年11月28日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 xml:space="preserve"> 4.00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 xml:space="preserve"> 4.03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eastAsia" w:ascii="楷体" w:hAnsi="楷体" w:eastAsia="楷体" w:cs="楷体"/>
                      <w:sz w:val="18"/>
                      <w:szCs w:val="18"/>
                      <w:highlight w:val="none"/>
                    </w:rPr>
                  </w:pPr>
                  <w:r>
                    <w:rPr>
                      <w:rFonts w:hint="eastAsia" w:ascii="楷体" w:hAnsi="楷体" w:eastAsia="楷体"/>
                      <w:sz w:val="18"/>
                      <w:szCs w:val="18"/>
                      <w:lang w:val="en-US" w:eastAsia="zh-CN"/>
                    </w:rPr>
                    <w:t>G份额 4.10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cs="宋体"/>
                      <w:spacing w:val="-2"/>
                      <w:sz w:val="18"/>
                      <w:szCs w:val="18"/>
                      <w:lang w:val="en-US" w:eastAsia="zh-CN"/>
                    </w:rPr>
                    <w:t>2023年11月29日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sz w:val="18"/>
                      <w:szCs w:val="18"/>
                      <w:lang w:val="en-US" w:eastAsia="zh-CN"/>
                    </w:rPr>
                    <w:t>2024年12月2日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3%-4.03%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D份额3.</w:t>
                  </w:r>
                  <w:r>
                    <w:rPr>
                      <w:rFonts w:hint="eastAsia" w:ascii="楷体" w:hAnsi="楷体" w:eastAsia="楷体"/>
                      <w:sz w:val="18"/>
                      <w:szCs w:val="18"/>
                      <w:lang w:val="en-US" w:eastAsia="zh-CN"/>
                    </w:rPr>
                    <w:t>5</w:t>
                  </w:r>
                  <w:r>
                    <w:rPr>
                      <w:rFonts w:hint="default" w:ascii="楷体" w:hAnsi="楷体" w:eastAsia="楷体"/>
                      <w:sz w:val="18"/>
                      <w:szCs w:val="18"/>
                      <w:lang w:val="en-US" w:eastAsia="zh-CN"/>
                    </w:rPr>
                    <w:t>5%-4.15%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G份额3.</w:t>
                  </w:r>
                  <w:r>
                    <w:rPr>
                      <w:rFonts w:hint="eastAsia" w:ascii="楷体" w:hAnsi="楷体" w:eastAsia="楷体"/>
                      <w:sz w:val="18"/>
                      <w:szCs w:val="18"/>
                      <w:lang w:val="en-US" w:eastAsia="zh-CN"/>
                    </w:rPr>
                    <w:t>5</w:t>
                  </w:r>
                  <w:r>
                    <w:rPr>
                      <w:rFonts w:hint="default" w:ascii="楷体" w:hAnsi="楷体" w:eastAsia="楷体"/>
                      <w:sz w:val="18"/>
                      <w:szCs w:val="18"/>
                      <w:lang w:val="en-US" w:eastAsia="zh-CN"/>
                    </w:rPr>
                    <w:t>0%-4.10%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J份额3.</w:t>
                  </w:r>
                  <w:r>
                    <w:rPr>
                      <w:rFonts w:hint="eastAsia" w:ascii="楷体" w:hAnsi="楷体" w:eastAsia="楷体"/>
                      <w:sz w:val="18"/>
                      <w:szCs w:val="18"/>
                      <w:lang w:val="en-US" w:eastAsia="zh-CN"/>
                    </w:rPr>
                    <w:t>5</w:t>
                  </w:r>
                  <w:r>
                    <w:rPr>
                      <w:rFonts w:hint="default" w:ascii="楷体" w:hAnsi="楷体" w:eastAsia="楷体"/>
                      <w:sz w:val="18"/>
                      <w:szCs w:val="18"/>
                      <w:lang w:val="en-US" w:eastAsia="zh-CN"/>
                    </w:rPr>
                    <w:t>0%-4.10%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K份额3.</w:t>
                  </w:r>
                  <w:r>
                    <w:rPr>
                      <w:rFonts w:hint="eastAsia" w:ascii="楷体" w:hAnsi="楷体" w:eastAsia="楷体"/>
                      <w:sz w:val="18"/>
                      <w:szCs w:val="18"/>
                      <w:lang w:val="en-US" w:eastAsia="zh-CN"/>
                    </w:rPr>
                    <w:t>3</w:t>
                  </w:r>
                  <w:r>
                    <w:rPr>
                      <w:rFonts w:hint="default" w:ascii="楷体" w:hAnsi="楷体" w:eastAsia="楷体"/>
                      <w:sz w:val="18"/>
                      <w:szCs w:val="18"/>
                      <w:lang w:val="en-US" w:eastAsia="zh-CN"/>
                    </w:rPr>
                    <w:t>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楷体"/>
                      <w:sz w:val="18"/>
                      <w:szCs w:val="18"/>
                      <w:lang w:val="en-US" w:eastAsia="zh-CN"/>
                    </w:rPr>
                  </w:pPr>
                  <w:r>
                    <w:rPr>
                      <w:rFonts w:hint="default" w:ascii="楷体" w:hAnsi="楷体" w:eastAsia="楷体"/>
                      <w:sz w:val="18"/>
                      <w:szCs w:val="18"/>
                      <w:lang w:val="en-US" w:eastAsia="zh-CN"/>
                    </w:rPr>
                    <w:t>ZF份额3.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2024年12月3日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both"/>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2025年12月22日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2.73</w:t>
                  </w:r>
                  <w:r>
                    <w:rPr>
                      <w:rFonts w:hint="default" w:ascii="楷体" w:hAnsi="楷体" w:eastAsia="楷体"/>
                      <w:sz w:val="18"/>
                      <w:szCs w:val="18"/>
                      <w:lang w:val="en-US" w:eastAsia="zh-CN"/>
                    </w:rPr>
                    <w:t>%-3.</w:t>
                  </w:r>
                  <w:r>
                    <w:rPr>
                      <w:rFonts w:hint="eastAsia" w:ascii="楷体" w:hAnsi="楷体" w:eastAsia="楷体"/>
                      <w:sz w:val="18"/>
                      <w:szCs w:val="18"/>
                      <w:lang w:val="en-US" w:eastAsia="zh-CN"/>
                    </w:rPr>
                    <w:t>33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w:t>
                  </w:r>
                  <w:r>
                    <w:rPr>
                      <w:rFonts w:hint="eastAsia" w:ascii="楷体" w:hAnsi="楷体" w:eastAsia="楷体"/>
                      <w:sz w:val="18"/>
                      <w:szCs w:val="18"/>
                      <w:lang w:val="en-US" w:eastAsia="zh-CN"/>
                    </w:rPr>
                    <w:t>2.85</w:t>
                  </w:r>
                  <w:r>
                    <w:rPr>
                      <w:rFonts w:hint="default" w:ascii="楷体" w:hAnsi="楷体" w:eastAsia="楷体"/>
                      <w:sz w:val="18"/>
                      <w:szCs w:val="18"/>
                      <w:lang w:val="en-US" w:eastAsia="zh-CN"/>
                    </w:rPr>
                    <w:t>%-</w:t>
                  </w:r>
                  <w:r>
                    <w:rPr>
                      <w:rFonts w:hint="eastAsia" w:ascii="楷体" w:hAnsi="楷体" w:eastAsia="楷体"/>
                      <w:sz w:val="18"/>
                      <w:szCs w:val="18"/>
                      <w:lang w:val="en-US" w:eastAsia="zh-CN"/>
                    </w:rPr>
                    <w:t>3.45</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G份额2.75%-3.35%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w:t>
                  </w:r>
                  <w:r>
                    <w:rPr>
                      <w:rFonts w:hint="eastAsia" w:ascii="楷体" w:hAnsi="楷体" w:eastAsia="楷体"/>
                      <w:sz w:val="18"/>
                      <w:szCs w:val="18"/>
                      <w:lang w:val="en-US" w:eastAsia="zh-CN"/>
                    </w:rPr>
                    <w:t>2.80</w:t>
                  </w:r>
                  <w:r>
                    <w:rPr>
                      <w:rFonts w:hint="default" w:ascii="楷体" w:hAnsi="楷体" w:eastAsia="楷体"/>
                      <w:sz w:val="18"/>
                      <w:szCs w:val="18"/>
                      <w:lang w:val="en-US" w:eastAsia="zh-CN"/>
                    </w:rPr>
                    <w:t>%-</w:t>
                  </w:r>
                  <w:r>
                    <w:rPr>
                      <w:rFonts w:hint="eastAsia" w:ascii="楷体" w:hAnsi="楷体" w:eastAsia="楷体"/>
                      <w:sz w:val="18"/>
                      <w:szCs w:val="18"/>
                      <w:lang w:val="en-US" w:eastAsia="zh-CN"/>
                    </w:rPr>
                    <w:t>3.40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sz w:val="18"/>
                      <w:szCs w:val="18"/>
                      <w:lang w:val="en-US" w:eastAsia="zh-CN"/>
                    </w:rPr>
                    <w:t>K份额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sz w:val="18"/>
                      <w:szCs w:val="18"/>
                      <w:lang w:val="en-US" w:eastAsia="zh-CN"/>
                    </w:rPr>
                    <w:t>ZF份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2025年12月23日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jc w:val="both"/>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2027年1月7日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K份额 2.35%-2.95%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T份额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O份额 </w:t>
                  </w:r>
                  <w:r>
                    <w:rPr>
                      <w:rFonts w:hint="default" w:ascii="楷体" w:hAnsi="楷体" w:eastAsia="楷体" w:cs="Times New Roman"/>
                      <w:sz w:val="18"/>
                      <w:szCs w:val="18"/>
                      <w:lang w:val="en-US" w:eastAsia="zh-CN"/>
                    </w:rPr>
                    <w:t>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潍坊银行专属份额2.55%-3.15%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cs="Times New Roman"/>
                      <w:sz w:val="18"/>
                      <w:szCs w:val="18"/>
                      <w:lang w:val="en-US" w:eastAsia="zh-CN"/>
                    </w:rPr>
                    <w:t>ZN份额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2.销售服务费率（年化）：A份额0.50%，B份额0.50%，C份额0.50%，D份额0.50%，F份额0.65%，G份额0.55%，J份额0.50%，K份额0.75%，P份额0.45%，T份额0.45%，O份额 0.55%，潍坊银行专属份额0.55%，ZA份额0.65%，ZF份额0.65%，ZN份额0.55%。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3.投资管理费率（年化）：A份额0.80%，B份额0.77%，C份额0.75%，D份额0.65%，F份额0.65%，G份额0.72%，J份额0.70%，K份额0.65%，P份额0.65%，T份额0.70%，O份额 0.65%，潍坊银行专属份额0.65%，ZA份额0.65%，ZF份额0.65%，ZN份额0.65%。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兴业银行股份有限公司/上海银行股份有限公司/上海农村商业银行股份有限公司/江苏银行股份有限公司/江苏江阴农村商业银行股份有限公司/宁波东海银行股份有限公司/齐鲁银行股份有限公司/苏银理财有限责任公司/九江银行股份有限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兴业银行股份有限公司/江苏银行股份有限公司/宁波东海银行股份有限公司/齐鲁银行股份有限公司/苏银理财有限责任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w:t>
      </w:r>
      <w:r>
        <w:rPr>
          <w:rFonts w:hint="eastAsia" w:ascii="楷体" w:hAnsi="楷体" w:eastAsia="楷体" w:cs="楷体"/>
          <w:kern w:val="2"/>
          <w:sz w:val="21"/>
          <w:szCs w:val="21"/>
          <w:highlight w:val="none"/>
          <w:lang w:val="en-US" w:eastAsia="zh-CN" w:bidi="ar-SA"/>
        </w:rPr>
        <w:t>江苏紫金农村商业银行股份有限公司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D份额：上海银行股份有限公司/江苏银行股份有限公司/江苏江阴农村商业银行股份有限公司/江苏南通农村商业银行股份有限公司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交通银行股份有限公司/北京农村商业银行股份有限公司/深圳农村商业银行股份有限公司/广州银行股份有限公司/广州农村商业银行股份有限公司/苏州银行股份有限公司/杭州联合农村商业银行股份有限公司/华侨银行有限公司/日照银行股份有限公司/浙江绍兴瑞丰农村商业银行股份有限公司/浙江温州龙湾农村商业银行股份有限公司/潍坊银行股份有限公司/甘肃银行股份有限公司/台州银行股份有限公司/浙江乐清农村商业银行股份有限公司/山西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九江银行股份有限公司/浙商银行股份有限公司/浙江永康农村商业银行股份有限公司/浙江武义农村商业银行股份有限公司/浙江江山农村商业银行股份有限公司/浙江开化农村商业银行股份有限公司/浙江青田农村商业银行股份有限公司/浙江舟山定海海洋农村商业银行股份有限公司/浙江岱山农村商业银行股份有限公司/宁波通商银行股份有限公司/中邮邮惠万家银行有限责任公司/浙江桐庐农村商业银行股份有限公司/浙江淳安农村商业银行股份有限公司/宁波余姚农村商业银行股份有限公司/浙江永嘉农村商业银行股份有限公司/浙江泰顺农村商业银行股份有限公司/浙江嘉善农村商业银行股份有限公司/浙江海宁农村商业银行股份有限公司/浙江长兴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徽商银行股份有限公司/深圳农村商业银行股份有限公司/广州银行股份有限公司/广州农村商业银行股份有限公司/杭州联合农村商业银行股份有限公司/浙江绍兴瑞丰农村商业银行股份有限公司/山西银行股份有限公司/浙江杭州余杭农村商业银行股份有限公司/浙江德清农村商业银行股份有限公司/浙江萧山农村商业银行股份有限公司/浙商银行股份有限公司/浙江衢州衢江农村商业银行股份有限公司/浙江舟山定海海洋农村商业银行股份有限公司/宁波通商银行股份有限公司/浙江桐庐农村商业银行股份有限公司/宁波余姚农村商业银行股份有限公司/浙江永嘉农村商业银行股份有限公司/浙江嘉善农村商业银行股份有限公司/浙江海宁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J份额：上海银行股份有限公司/江苏银行股份有限公司/江苏如皋农村商业银行股份有限公司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K份额：交通银行股份有限公司/兴业银行股份有限公司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P份额：郑州银行股份有限公司/甘肃银行股份有限公司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T份额：江苏紫金农村商业银行股份有限公司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潍坊银行专属份额：潍坊银行股份有限公司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苏州农村商业银行股份有限公司/江苏扬州农村商业银行股份有限公司/江苏阜宁农村商业银行股份有限公司/江苏丹阳农村商业银行股份有限公司/江苏盐城农村商业银行股份有限公司/江苏如东农村商业银行股份有限公司/江苏东台农村商业银行股份有限公司/江苏江都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金湖农村商业银行股份有限公司/江苏灌云农村商业银行股份有限公司/江苏淮安农村商业银行股份有限公司/连云港东方农村商业银行股份有限公司/江苏高邮农村商业银行股份有限公司/江苏句容农村商业银行股份有限公司/江苏沭阳农村商业银行股份有限公司/江苏泗阳农村商业银行股份有限公司/江苏睢宁农村商业银行股份有限公司/江苏盱眙农村商业银行股份有限公司/江苏镇江农村商业银行股份有限公司/江苏宜兴农村商业银行股份有限公司/江苏溧水农村商业银行股份有限公司/江苏大丰农村商业银行股份有限公司/江苏启东农村商业银行股份有限公司/江苏海安农村商业银行股份有限公司/江苏仪征农村商业银行股份有限公司/江苏高淳农村商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徽商银行股份有限公司/汉口银行股份有限公司/江苏张家港农村商业银行股份有限公司/浙江民泰商业银行股份有限公司/河北银行股份有限公司/嘉兴银行股份有限公司/江苏江南农村商业银行股份有限公司/厦门银行股份有限公司/苏州银行股份有限公司/浙江温州龙湾农村商业银行股份有限公司/浙江临海农村商业银行股份有限公司/浙江新昌农村商业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莱商银行股份有限公司/浙江兰溪农村商业银行股份有限公司/浙江永康农村商业银行股份有限公司/浙江浦江农村商业银行股份有限公司/浙江衢州柯城农村商业银行股份有限公司/浙江衢州衢江农村商业银行股份有限公司/浙江江山农村商业银行股份有限公司/浙江青田农村商业银行股份有限公司/浙江温岭农村商业银行股份有限公司/浙江岱山农村商业银行股份有限公司/浙江临安农村商业银行股份有限公司/宁波余姚农村商业银行股份有限公司/浙江嘉善农村商业银行股份有限公司/浙江上虞农村商业银行股份有限公司/兴业银行股份有限公司/宁波镇海农村商业银行股份有限公司</w:t>
      </w:r>
      <w:bookmarkStart w:id="0" w:name="_GoBack"/>
      <w:bookmarkEnd w:id="0"/>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ZN份额：河北银行股份有限公司/宁波通商银行股份有限公司/浙江萧山农村商业银行股份有限公司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放、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7"/>
        </w:numPr>
        <w:ind w:firstLine="420" w:firstLineChars="200"/>
        <w:rPr>
          <w:rFonts w:hint="eastAsia" w:ascii="楷体" w:hAnsi="楷体" w:eastAsia="楷体"/>
          <w:color w:val="auto"/>
          <w:sz w:val="21"/>
          <w:szCs w:val="21"/>
        </w:rPr>
      </w:pPr>
      <w:r>
        <w:rPr>
          <w:rFonts w:hint="eastAsia" w:ascii="楷体" w:hAnsi="楷体" w:eastAsia="楷体" w:cs="楷体"/>
          <w:color w:val="auto"/>
          <w:kern w:val="2"/>
          <w:sz w:val="21"/>
          <w:szCs w:val="21"/>
          <w:highlight w:val="none"/>
          <w:lang w:val="en-US" w:eastAsia="zh-CN" w:bidi="ar-SA"/>
        </w:rPr>
        <w:t>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w:t>
      </w:r>
      <w:r>
        <w:rPr>
          <w:rFonts w:hint="eastAsia" w:ascii="楷体" w:hAnsi="楷体" w:eastAsia="楷体"/>
          <w:color w:val="auto"/>
          <w:sz w:val="21"/>
          <w:szCs w:val="21"/>
        </w:rPr>
        <w:t>非标准化债权类资产：融资人为湖州吴兴城市投资发展集团有限公司。融资人经营正常，是依法设立的国有公司，主要股东为湖州吴兴国控投资运营发展集团有限公司，实际控制人为湖州市吴兴区财政局。</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非标准化债权类资产：融资人为泰兴市城市投资发展集团有限公司。融资人经营正常，是依法设立的国有公司，主要股东为江苏平仲科技发展集团有限公司，实际控制人为泰兴市人民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5）</w:t>
      </w:r>
      <w:r>
        <w:rPr>
          <w:rFonts w:hint="eastAsia" w:ascii="楷体" w:hAnsi="楷体" w:eastAsia="楷体"/>
          <w:color w:val="auto"/>
          <w:sz w:val="21"/>
          <w:szCs w:val="21"/>
        </w:rPr>
        <w:t>非标准化债权类资产：融资人为江苏武进太湖湾旅游发展有限公司。融资人经营正常，是依法设立的国有公司，主要股东为江苏武进经济发展集团有限公司、常州市武进国有资产投资经营有限公司，实际控制人为常州市武进区国有(集体)资产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非标准化债权类资产：融资人为江苏金坛建设集团有限公司。融资人经营正常，是依法设立的国有公司，主要股东为常州市金坛区人民政府，实际控制人为常州市金坛区人民政府。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7）</w:t>
      </w:r>
      <w:r>
        <w:rPr>
          <w:rFonts w:hint="eastAsia" w:ascii="楷体" w:hAnsi="楷体" w:eastAsia="楷体"/>
          <w:color w:val="auto"/>
          <w:sz w:val="21"/>
          <w:szCs w:val="21"/>
        </w:rPr>
        <w:t>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8）</w:t>
      </w:r>
      <w:r>
        <w:rPr>
          <w:rFonts w:hint="eastAsia" w:ascii="楷体" w:hAnsi="楷体" w:eastAsia="楷体"/>
          <w:color w:val="auto"/>
          <w:sz w:val="21"/>
          <w:szCs w:val="21"/>
        </w:rPr>
        <w:t>非标准化债权类资产：融资人为盐城市国有资产投资集团有限公司。融资人经营正常，是依法设立的国有公司，主要股东为盐城市人民政府、江苏省财政厅，实际控制人为盐城市人民政府。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9）</w:t>
      </w:r>
      <w:r>
        <w:rPr>
          <w:rFonts w:hint="eastAsia" w:ascii="楷体" w:hAnsi="楷体" w:eastAsia="楷体"/>
          <w:color w:val="auto"/>
          <w:sz w:val="21"/>
          <w:szCs w:val="21"/>
        </w:rPr>
        <w:t>非标准化债权类资产：融资人为绍兴市镜湖开发集团有限公司。融资人经营正常，是依法设立的国有公司，主要股东为绍兴市人民政府国有资产监督管理委员会，实际控制人为绍兴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10）</w:t>
      </w:r>
      <w:r>
        <w:rPr>
          <w:rFonts w:hint="eastAsia" w:ascii="楷体" w:hAnsi="楷体" w:eastAsia="楷体"/>
          <w:color w:val="auto"/>
          <w:sz w:val="21"/>
          <w:szCs w:val="21"/>
        </w:rPr>
        <w:t>非标准化债权类资产：融资人为建德市国有资产经营有限公司。融资人经营正常，是依法设立的国有公司，主要股东为建德市国有资产投资控股集团有限公司、浙江省财务开发有限责任公司，实际控制人为建德市国有资产管理服务中心。</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11）</w:t>
      </w:r>
      <w:r>
        <w:rPr>
          <w:rFonts w:hint="eastAsia" w:ascii="楷体" w:hAnsi="楷体" w:eastAsia="楷体"/>
          <w:color w:val="auto"/>
          <w:sz w:val="21"/>
          <w:szCs w:val="21"/>
        </w:rPr>
        <w:t>非标准化债权类资产：融资人为无锡市滨湖国有资产运营(集团)有限公司。融资人经营正常，是依法设立的国有公司，主要股东为无锡市滨湖国有资本投资有限公司，实际控制人为江苏省无锡市滨湖区财政局。</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12）</w:t>
      </w:r>
      <w:r>
        <w:rPr>
          <w:rFonts w:hint="eastAsia" w:ascii="楷体" w:hAnsi="楷体" w:eastAsia="楷体"/>
          <w:color w:val="auto"/>
          <w:sz w:val="21"/>
          <w:szCs w:val="21"/>
        </w:rPr>
        <w:t>非标准化债权类资产：融资人为新沂市新源水务投资发展有限公司。融资人经营正常，是依法设立的国有公司，主要股东为新沂市交通投资有限公司，实际控制人为新沂市人民政府。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13）</w:t>
      </w:r>
      <w:r>
        <w:rPr>
          <w:rFonts w:hint="eastAsia" w:ascii="楷体" w:hAnsi="楷体" w:eastAsia="楷体"/>
          <w:color w:val="auto"/>
          <w:sz w:val="21"/>
          <w:szCs w:val="21"/>
        </w:rPr>
        <w:t>非标准化债权类资产：融资人为江苏高淳经济开发区开发集团有限公司。融资人经营正常，是依法设立的国有公司，主要股东为南京高淳国有资产经营控股集团有限公司，实际控制人为南京市高淳区人民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14）</w:t>
      </w:r>
      <w:r>
        <w:rPr>
          <w:rFonts w:hint="eastAsia" w:ascii="楷体" w:hAnsi="楷体" w:eastAsia="楷体"/>
          <w:color w:val="auto"/>
          <w:sz w:val="21"/>
          <w:szCs w:val="21"/>
        </w:rPr>
        <w:t>非标准化债权类资产：融资人为镇江文化广电产业集团有限公司。融资人经营正常，是依法设立的国有公司，主要股东为镇江市广播电视台，实际控制人为江苏省镇江市人民政府。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15）</w:t>
      </w:r>
      <w:r>
        <w:rPr>
          <w:rFonts w:hint="eastAsia" w:ascii="楷体" w:hAnsi="楷体" w:eastAsia="楷体"/>
          <w:color w:val="auto"/>
          <w:sz w:val="21"/>
          <w:szCs w:val="21"/>
        </w:rPr>
        <w:t>非标准化债权类资产：融资人为徐州市新沂经济技术开发有限责任公司。融资人经营正常，是依法设立的国有公司，主要股东为新沂经济开发区建设发展有限公司，实际控制人为新沂市人民政府。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16）</w:t>
      </w:r>
      <w:r>
        <w:rPr>
          <w:rFonts w:hint="eastAsia" w:ascii="楷体" w:hAnsi="楷体" w:eastAsia="楷体"/>
          <w:color w:val="auto"/>
          <w:sz w:val="21"/>
          <w:szCs w:val="21"/>
        </w:rPr>
        <w:t>非标准化债权类资产：融资人为仪征市扬子文旅控股集团有限公司。融资人经营正常，是依法设立的国有公司，主要股东为仪征市国有资产管理中心，实际控制人为仪征市财政局(仪征市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17）</w:t>
      </w:r>
      <w:r>
        <w:rPr>
          <w:rFonts w:hint="eastAsia" w:ascii="楷体" w:hAnsi="楷体" w:eastAsia="楷体"/>
          <w:color w:val="auto"/>
          <w:sz w:val="21"/>
          <w:szCs w:val="21"/>
        </w:rPr>
        <w:t>非标准化债权类资产：融资人为江苏皋开投资发展集团有限公司。融资人经营正常，是依法设立的国有公司，主要股东为如皋市人民政府，实际控制人为如皋市人民政府。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18）</w:t>
      </w:r>
      <w:r>
        <w:rPr>
          <w:rFonts w:hint="eastAsia" w:ascii="楷体" w:hAnsi="楷体" w:eastAsia="楷体"/>
          <w:color w:val="auto"/>
          <w:sz w:val="21"/>
          <w:szCs w:val="21"/>
        </w:rPr>
        <w:t>非标准化债权类资产：融资人为江苏姜堰经开集团有限公司。融资人经营正常，是依法设立的国有公司，主要股东为泰州鑫宸科技发展有限公司，实际控制人为泰州市政府国有资产监督管理委员会。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19）</w:t>
      </w:r>
      <w:r>
        <w:rPr>
          <w:rFonts w:hint="eastAsia" w:ascii="楷体" w:hAnsi="楷体" w:eastAsia="楷体"/>
          <w:color w:val="auto"/>
          <w:sz w:val="21"/>
          <w:szCs w:val="21"/>
        </w:rPr>
        <w:t>非标准化债权类资产：融资人为扬州江淮建设发展有限公司。融资人经营正常，是依法设立的国有公司，主要股东为扬州市国联控股集团有限公司，实际控制人为扬州市人民政府。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20）</w:t>
      </w:r>
      <w:r>
        <w:rPr>
          <w:rFonts w:hint="eastAsia" w:ascii="楷体" w:hAnsi="楷体" w:eastAsia="楷体"/>
          <w:color w:val="auto"/>
          <w:sz w:val="21"/>
          <w:szCs w:val="21"/>
        </w:rPr>
        <w:t>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21）</w:t>
      </w:r>
      <w:r>
        <w:rPr>
          <w:rFonts w:hint="eastAsia" w:ascii="楷体" w:hAnsi="楷体" w:eastAsia="楷体"/>
          <w:color w:val="auto"/>
          <w:sz w:val="21"/>
          <w:szCs w:val="21"/>
        </w:rPr>
        <w:t>非标准化债权类资产：融资人为绍兴滨海新区发展集团有限公司。融资人经营正常，是依法设立的国有公司，主要股东为绍兴滨海新区控股集团有限公司，实际控制人为绍兴市人民政府国有资产监督管理委员会。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22）</w:t>
      </w:r>
      <w:r>
        <w:rPr>
          <w:rFonts w:hint="eastAsia" w:ascii="楷体" w:hAnsi="楷体" w:eastAsia="楷体"/>
          <w:color w:val="auto"/>
          <w:sz w:val="21"/>
          <w:szCs w:val="21"/>
        </w:rPr>
        <w:t>非标准化债权类资产：融资人为盐城市东亭产业发展集团有限公司。融资人经营正常，是依法设立的国有公司，主要股东为盐城市人民政府，实际控制人为盐城市人民政府。</w:t>
      </w:r>
    </w:p>
    <w:p>
      <w:pPr>
        <w:numPr>
          <w:ilvl w:val="-1"/>
          <w:numId w:val="0"/>
        </w:numPr>
        <w:ind w:firstLine="558" w:firstLineChars="266"/>
        <w:rPr>
          <w:rFonts w:hint="eastAsia" w:ascii="楷体" w:hAnsi="楷体" w:eastAsia="楷体"/>
          <w:sz w:val="21"/>
          <w:szCs w:val="21"/>
        </w:rPr>
      </w:pPr>
      <w:r>
        <w:rPr>
          <w:rFonts w:hint="eastAsia" w:ascii="楷体" w:hAnsi="楷体" w:eastAsia="楷体"/>
          <w:sz w:val="21"/>
          <w:szCs w:val="21"/>
          <w:lang w:eastAsia="zh-CN"/>
        </w:rPr>
        <w:t>（</w:t>
      </w:r>
      <w:r>
        <w:rPr>
          <w:rFonts w:hint="eastAsia" w:ascii="楷体" w:hAnsi="楷体" w:eastAsia="楷体"/>
          <w:sz w:val="21"/>
          <w:szCs w:val="21"/>
          <w:lang w:val="en-US" w:eastAsia="zh-CN"/>
        </w:rPr>
        <w:t>1）-（2）各</w:t>
      </w:r>
      <w:r>
        <w:rPr>
          <w:rFonts w:hint="eastAsia" w:ascii="楷体" w:hAnsi="楷体" w:eastAsia="楷体" w:cs="楷体"/>
          <w:kern w:val="2"/>
          <w:sz w:val="21"/>
          <w:szCs w:val="21"/>
          <w:highlight w:val="none"/>
          <w:lang w:val="en-US" w:eastAsia="zh-CN" w:bidi="ar-SA"/>
        </w:rPr>
        <w:t>资产到期日不超过理财产品投资周期终止日，循环期不还本、摊还期过手摊还本息；</w:t>
      </w:r>
      <w:r>
        <w:rPr>
          <w:rFonts w:hint="eastAsia" w:ascii="楷体" w:hAnsi="楷体" w:eastAsia="楷体"/>
          <w:sz w:val="21"/>
          <w:szCs w:val="21"/>
          <w:lang w:eastAsia="zh-CN"/>
        </w:rPr>
        <w:t>（</w:t>
      </w:r>
      <w:r>
        <w:rPr>
          <w:rFonts w:hint="eastAsia" w:ascii="楷体" w:hAnsi="楷体" w:eastAsia="楷体"/>
          <w:sz w:val="21"/>
          <w:szCs w:val="21"/>
          <w:lang w:val="en-US" w:eastAsia="zh-CN"/>
        </w:rPr>
        <w:t>3）-（22）各</w:t>
      </w:r>
      <w:r>
        <w:rPr>
          <w:rFonts w:hint="eastAsia" w:ascii="楷体" w:hAnsi="楷体" w:eastAsia="楷体"/>
          <w:sz w:val="21"/>
          <w:szCs w:val="21"/>
          <w:lang w:eastAsia="zh-CN"/>
        </w:rPr>
        <w:t>资产到期日不超过理财产品投资周期终止日，定期付息、到期一次性还本。</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cs="楷体"/>
          <w:kern w:val="2"/>
          <w:sz w:val="21"/>
          <w:szCs w:val="21"/>
          <w:highlight w:val="none"/>
          <w:lang w:val="en-US" w:eastAsia="zh-CN" w:bidi="ar-SA"/>
        </w:rPr>
        <w:t>个人贷款债权</w:t>
      </w:r>
      <w:r>
        <w:rPr>
          <w:rFonts w:hint="eastAsia" w:ascii="楷体" w:hAnsi="楷体" w:eastAsia="楷体"/>
          <w:sz w:val="21"/>
          <w:szCs w:val="21"/>
          <w:highlight w:val="none"/>
        </w:rPr>
        <w:t>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default" w:ascii="Calibri" w:hAnsi="Calibri" w:eastAsia="楷体" w:cs="Calibri"/>
          <w:b w:val="0"/>
          <w:bCs w:val="0"/>
          <w:sz w:val="21"/>
          <w:szCs w:val="21"/>
        </w:rPr>
        <w:t>苏豪</w:t>
      </w:r>
      <w:r>
        <w:rPr>
          <w:rFonts w:hint="eastAsia" w:ascii="楷体" w:hAnsi="楷体" w:eastAsia="楷体"/>
          <w:b w:val="0"/>
          <w:bCs w:val="0"/>
          <w:sz w:val="21"/>
          <w:szCs w:val="21"/>
        </w:rPr>
        <w:t>弘业期货股份有限公司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8 \* GB3 \* MERGEFORMAT </w:instrText>
      </w:r>
      <w:r>
        <w:rPr>
          <w:rFonts w:hint="eastAsia" w:ascii="楷体" w:hAnsi="楷体" w:eastAsia="楷体"/>
          <w:b w:val="0"/>
          <w:bCs w:val="0"/>
          <w:sz w:val="21"/>
          <w:szCs w:val="21"/>
          <w:lang w:val="en-US" w:eastAsia="zh-CN"/>
        </w:rPr>
        <w:fldChar w:fldCharType="separate"/>
      </w:r>
      <w:r>
        <w:t>⑧</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变化，管理人将按照监管规定和内部管理制度要求对合作机构进行准入，签署相关协议后，披露新增的投资合作机构。</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7"/>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7"/>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8541B78"/>
    <w:multiLevelType w:val="singleLevel"/>
    <w:tmpl w:val="78541B78"/>
    <w:lvl w:ilvl="0" w:tentative="0">
      <w:start w:val="1"/>
      <w:numFmt w:val="decimal"/>
      <w:suff w:val="nothing"/>
      <w:lvlText w:val="（%1）"/>
      <w:lvlJc w:val="left"/>
    </w:lvl>
  </w:abstractNum>
  <w:abstractNum w:abstractNumId="19">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9"/>
  </w:num>
  <w:num w:numId="6">
    <w:abstractNumId w:val="17"/>
  </w:num>
  <w:num w:numId="7">
    <w:abstractNumId w:val="18"/>
  </w:num>
  <w:num w:numId="8">
    <w:abstractNumId w:val="11"/>
  </w:num>
  <w:num w:numId="9">
    <w:abstractNumId w:val="10"/>
  </w:num>
  <w:num w:numId="10">
    <w:abstractNumId w:val="6"/>
  </w:num>
  <w:num w:numId="11">
    <w:abstractNumId w:val="2"/>
  </w:num>
  <w:num w:numId="12">
    <w:abstractNumId w:val="4"/>
  </w:num>
  <w:num w:numId="13">
    <w:abstractNumId w:val="0"/>
  </w:num>
  <w:num w:numId="14">
    <w:abstractNumId w:val="14"/>
  </w:num>
  <w:num w:numId="15">
    <w:abstractNumId w:val="12"/>
  </w:num>
  <w:num w:numId="16">
    <w:abstractNumId w:val="5"/>
  </w:num>
  <w:num w:numId="17">
    <w:abstractNumId w:val="13"/>
  </w:num>
  <w:num w:numId="18">
    <w:abstractNumId w:val="1"/>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5610EB"/>
    <w:rsid w:val="00B73039"/>
    <w:rsid w:val="01C11F94"/>
    <w:rsid w:val="01F11ABC"/>
    <w:rsid w:val="02342294"/>
    <w:rsid w:val="02394C4E"/>
    <w:rsid w:val="02706D07"/>
    <w:rsid w:val="02BB217A"/>
    <w:rsid w:val="030516AD"/>
    <w:rsid w:val="03B26B31"/>
    <w:rsid w:val="03FC3F39"/>
    <w:rsid w:val="04A92EE3"/>
    <w:rsid w:val="05120775"/>
    <w:rsid w:val="052D480C"/>
    <w:rsid w:val="05397409"/>
    <w:rsid w:val="05A60B08"/>
    <w:rsid w:val="05AB50DB"/>
    <w:rsid w:val="05C22B02"/>
    <w:rsid w:val="06A93A70"/>
    <w:rsid w:val="07363BBD"/>
    <w:rsid w:val="07963995"/>
    <w:rsid w:val="083C4181"/>
    <w:rsid w:val="08494B4C"/>
    <w:rsid w:val="087E378B"/>
    <w:rsid w:val="08C87576"/>
    <w:rsid w:val="099730C7"/>
    <w:rsid w:val="09BB6FD3"/>
    <w:rsid w:val="0AA20035"/>
    <w:rsid w:val="0B471607"/>
    <w:rsid w:val="0B521344"/>
    <w:rsid w:val="0B7873E7"/>
    <w:rsid w:val="0BE46D3E"/>
    <w:rsid w:val="0C8C56A3"/>
    <w:rsid w:val="0CB3468E"/>
    <w:rsid w:val="0D460355"/>
    <w:rsid w:val="0D5B3087"/>
    <w:rsid w:val="0DDD75CE"/>
    <w:rsid w:val="0F1B4AB3"/>
    <w:rsid w:val="0F2D7FC5"/>
    <w:rsid w:val="0FA551A3"/>
    <w:rsid w:val="100459CF"/>
    <w:rsid w:val="106A7BFD"/>
    <w:rsid w:val="109A102D"/>
    <w:rsid w:val="11C449B6"/>
    <w:rsid w:val="12136ABA"/>
    <w:rsid w:val="12627D38"/>
    <w:rsid w:val="126807AF"/>
    <w:rsid w:val="126877DE"/>
    <w:rsid w:val="12705D8B"/>
    <w:rsid w:val="130A1945"/>
    <w:rsid w:val="132C05F4"/>
    <w:rsid w:val="133603BC"/>
    <w:rsid w:val="13813EDF"/>
    <w:rsid w:val="13BA3C51"/>
    <w:rsid w:val="142E3B87"/>
    <w:rsid w:val="14AE7D5C"/>
    <w:rsid w:val="14EA3140"/>
    <w:rsid w:val="151627A4"/>
    <w:rsid w:val="15250560"/>
    <w:rsid w:val="15452BE9"/>
    <w:rsid w:val="15C23F41"/>
    <w:rsid w:val="16452649"/>
    <w:rsid w:val="16DB02E7"/>
    <w:rsid w:val="17E11F5A"/>
    <w:rsid w:val="18563155"/>
    <w:rsid w:val="18766114"/>
    <w:rsid w:val="18903A4D"/>
    <w:rsid w:val="191E3445"/>
    <w:rsid w:val="19DA1846"/>
    <w:rsid w:val="19DF46F8"/>
    <w:rsid w:val="19E8300C"/>
    <w:rsid w:val="1A74679E"/>
    <w:rsid w:val="1AA527A3"/>
    <w:rsid w:val="1BB6506B"/>
    <w:rsid w:val="1BF53974"/>
    <w:rsid w:val="1C1B3B29"/>
    <w:rsid w:val="1C4231EC"/>
    <w:rsid w:val="1D505225"/>
    <w:rsid w:val="1DA43FDF"/>
    <w:rsid w:val="1E0972D4"/>
    <w:rsid w:val="1E5B385B"/>
    <w:rsid w:val="1F111238"/>
    <w:rsid w:val="1FBB7F9F"/>
    <w:rsid w:val="205E2E63"/>
    <w:rsid w:val="20862AD5"/>
    <w:rsid w:val="208D0A85"/>
    <w:rsid w:val="20D359FB"/>
    <w:rsid w:val="21361C5E"/>
    <w:rsid w:val="21893A13"/>
    <w:rsid w:val="22480419"/>
    <w:rsid w:val="22DC376E"/>
    <w:rsid w:val="239F40F6"/>
    <w:rsid w:val="23ED3B3C"/>
    <w:rsid w:val="24CA7BB8"/>
    <w:rsid w:val="24FA6D92"/>
    <w:rsid w:val="250550E5"/>
    <w:rsid w:val="2536069B"/>
    <w:rsid w:val="25374980"/>
    <w:rsid w:val="254734B9"/>
    <w:rsid w:val="2550672C"/>
    <w:rsid w:val="25BD0FD2"/>
    <w:rsid w:val="263B5F44"/>
    <w:rsid w:val="26690F27"/>
    <w:rsid w:val="26A12F28"/>
    <w:rsid w:val="26B91D54"/>
    <w:rsid w:val="26E90667"/>
    <w:rsid w:val="26F43175"/>
    <w:rsid w:val="274A0B5C"/>
    <w:rsid w:val="27FA7E2E"/>
    <w:rsid w:val="288E0F4E"/>
    <w:rsid w:val="28EF5796"/>
    <w:rsid w:val="28F60FCD"/>
    <w:rsid w:val="29855A2C"/>
    <w:rsid w:val="2A832D10"/>
    <w:rsid w:val="2AF12700"/>
    <w:rsid w:val="2B221E6C"/>
    <w:rsid w:val="2B3631F4"/>
    <w:rsid w:val="2B797161"/>
    <w:rsid w:val="2CE341B5"/>
    <w:rsid w:val="2E407A81"/>
    <w:rsid w:val="2E835E5F"/>
    <w:rsid w:val="2E8A38BB"/>
    <w:rsid w:val="2E9559D9"/>
    <w:rsid w:val="2E9F679E"/>
    <w:rsid w:val="2EA56E27"/>
    <w:rsid w:val="2F3015A3"/>
    <w:rsid w:val="2F5219B0"/>
    <w:rsid w:val="2F6A13F9"/>
    <w:rsid w:val="302144DC"/>
    <w:rsid w:val="30405DB5"/>
    <w:rsid w:val="30426D1D"/>
    <w:rsid w:val="31097378"/>
    <w:rsid w:val="311D7D22"/>
    <w:rsid w:val="31376781"/>
    <w:rsid w:val="32035262"/>
    <w:rsid w:val="32273428"/>
    <w:rsid w:val="3270263D"/>
    <w:rsid w:val="328344B2"/>
    <w:rsid w:val="3296605F"/>
    <w:rsid w:val="331B4ED5"/>
    <w:rsid w:val="334151A1"/>
    <w:rsid w:val="33550FE6"/>
    <w:rsid w:val="336C141E"/>
    <w:rsid w:val="339C18CC"/>
    <w:rsid w:val="33C259F7"/>
    <w:rsid w:val="34127147"/>
    <w:rsid w:val="34727D99"/>
    <w:rsid w:val="347A39E3"/>
    <w:rsid w:val="34B33411"/>
    <w:rsid w:val="34C51A78"/>
    <w:rsid w:val="34E0563C"/>
    <w:rsid w:val="351055D8"/>
    <w:rsid w:val="355F3301"/>
    <w:rsid w:val="35CD3B0F"/>
    <w:rsid w:val="35F40894"/>
    <w:rsid w:val="35F53BC7"/>
    <w:rsid w:val="35FC56A1"/>
    <w:rsid w:val="36D265FE"/>
    <w:rsid w:val="37195DD0"/>
    <w:rsid w:val="37396667"/>
    <w:rsid w:val="375223CF"/>
    <w:rsid w:val="375F35B5"/>
    <w:rsid w:val="37F6376B"/>
    <w:rsid w:val="38005C99"/>
    <w:rsid w:val="3806789C"/>
    <w:rsid w:val="38324F36"/>
    <w:rsid w:val="398C207A"/>
    <w:rsid w:val="399651CC"/>
    <w:rsid w:val="3AC86100"/>
    <w:rsid w:val="3B316DAA"/>
    <w:rsid w:val="3B372FD2"/>
    <w:rsid w:val="3BAF51F7"/>
    <w:rsid w:val="3BC8097B"/>
    <w:rsid w:val="3C565716"/>
    <w:rsid w:val="3CA73211"/>
    <w:rsid w:val="3DC06319"/>
    <w:rsid w:val="3E390124"/>
    <w:rsid w:val="3E4F4139"/>
    <w:rsid w:val="3ED33ABA"/>
    <w:rsid w:val="3EDC31B1"/>
    <w:rsid w:val="3F3B3EDB"/>
    <w:rsid w:val="3FBD5D22"/>
    <w:rsid w:val="3FD352E5"/>
    <w:rsid w:val="3FFF7279"/>
    <w:rsid w:val="405B780B"/>
    <w:rsid w:val="407A2131"/>
    <w:rsid w:val="40B93161"/>
    <w:rsid w:val="40BB01C3"/>
    <w:rsid w:val="423A0CFF"/>
    <w:rsid w:val="427B00CF"/>
    <w:rsid w:val="430644A8"/>
    <w:rsid w:val="43076EE2"/>
    <w:rsid w:val="432F1E46"/>
    <w:rsid w:val="43A60B8B"/>
    <w:rsid w:val="43CA7AC6"/>
    <w:rsid w:val="43DD1CAC"/>
    <w:rsid w:val="43ED3FBD"/>
    <w:rsid w:val="44044239"/>
    <w:rsid w:val="447F71E8"/>
    <w:rsid w:val="45245151"/>
    <w:rsid w:val="456926CF"/>
    <w:rsid w:val="458B1600"/>
    <w:rsid w:val="45A31E9F"/>
    <w:rsid w:val="45E06380"/>
    <w:rsid w:val="46F648FA"/>
    <w:rsid w:val="48652264"/>
    <w:rsid w:val="48683357"/>
    <w:rsid w:val="48B60ED8"/>
    <w:rsid w:val="49287F12"/>
    <w:rsid w:val="49582C60"/>
    <w:rsid w:val="495D6DB6"/>
    <w:rsid w:val="496E5595"/>
    <w:rsid w:val="497B6BF6"/>
    <w:rsid w:val="49B83F7E"/>
    <w:rsid w:val="4A06662F"/>
    <w:rsid w:val="4ABD162D"/>
    <w:rsid w:val="4BD02064"/>
    <w:rsid w:val="4BF673B5"/>
    <w:rsid w:val="4C0A2CBC"/>
    <w:rsid w:val="4C0B3EB6"/>
    <w:rsid w:val="4C4F3FC2"/>
    <w:rsid w:val="4CC732A2"/>
    <w:rsid w:val="4D077EEE"/>
    <w:rsid w:val="4D0E0101"/>
    <w:rsid w:val="4D3C02CC"/>
    <w:rsid w:val="4DBC05B9"/>
    <w:rsid w:val="4E470622"/>
    <w:rsid w:val="4EB57E15"/>
    <w:rsid w:val="4F3141FC"/>
    <w:rsid w:val="4F3B33EB"/>
    <w:rsid w:val="4F5E5E3A"/>
    <w:rsid w:val="4F833B49"/>
    <w:rsid w:val="504D489E"/>
    <w:rsid w:val="50AC6DEA"/>
    <w:rsid w:val="514805FC"/>
    <w:rsid w:val="517B26E0"/>
    <w:rsid w:val="5219373E"/>
    <w:rsid w:val="524C0A95"/>
    <w:rsid w:val="52780153"/>
    <w:rsid w:val="52EF7092"/>
    <w:rsid w:val="52F50359"/>
    <w:rsid w:val="532064EF"/>
    <w:rsid w:val="53F44044"/>
    <w:rsid w:val="55F51240"/>
    <w:rsid w:val="56376A81"/>
    <w:rsid w:val="566B4A32"/>
    <w:rsid w:val="56EF4E6F"/>
    <w:rsid w:val="575431DF"/>
    <w:rsid w:val="57597E5D"/>
    <w:rsid w:val="576079D6"/>
    <w:rsid w:val="57C205D4"/>
    <w:rsid w:val="57E25806"/>
    <w:rsid w:val="581A432A"/>
    <w:rsid w:val="58DF20B1"/>
    <w:rsid w:val="58EF2ED0"/>
    <w:rsid w:val="59144A6B"/>
    <w:rsid w:val="59205884"/>
    <w:rsid w:val="598A3524"/>
    <w:rsid w:val="59EE2A23"/>
    <w:rsid w:val="5A093EC3"/>
    <w:rsid w:val="5A86434D"/>
    <w:rsid w:val="5A8702A8"/>
    <w:rsid w:val="5ADF54B5"/>
    <w:rsid w:val="5C6D5D06"/>
    <w:rsid w:val="5C882FDD"/>
    <w:rsid w:val="5CB22E1D"/>
    <w:rsid w:val="5E7B340D"/>
    <w:rsid w:val="5EB35D09"/>
    <w:rsid w:val="5ECE5416"/>
    <w:rsid w:val="5F20411D"/>
    <w:rsid w:val="5F247745"/>
    <w:rsid w:val="5F43566A"/>
    <w:rsid w:val="5FE307E1"/>
    <w:rsid w:val="60B91793"/>
    <w:rsid w:val="60CC4D75"/>
    <w:rsid w:val="60E67AA7"/>
    <w:rsid w:val="613F1997"/>
    <w:rsid w:val="614D07E8"/>
    <w:rsid w:val="61521F2D"/>
    <w:rsid w:val="619E0AB7"/>
    <w:rsid w:val="61B16453"/>
    <w:rsid w:val="627E6257"/>
    <w:rsid w:val="628D12AE"/>
    <w:rsid w:val="631B084A"/>
    <w:rsid w:val="63DD04FD"/>
    <w:rsid w:val="63F6448F"/>
    <w:rsid w:val="64133A3F"/>
    <w:rsid w:val="643E4883"/>
    <w:rsid w:val="6495118C"/>
    <w:rsid w:val="64BF1959"/>
    <w:rsid w:val="64C14621"/>
    <w:rsid w:val="64EF46A6"/>
    <w:rsid w:val="65014B04"/>
    <w:rsid w:val="65017F33"/>
    <w:rsid w:val="65143FAD"/>
    <w:rsid w:val="65225514"/>
    <w:rsid w:val="655A3D56"/>
    <w:rsid w:val="657938B0"/>
    <w:rsid w:val="65A137B1"/>
    <w:rsid w:val="65CD5630"/>
    <w:rsid w:val="65FC7340"/>
    <w:rsid w:val="662117DA"/>
    <w:rsid w:val="66A717F9"/>
    <w:rsid w:val="66A9578C"/>
    <w:rsid w:val="67057615"/>
    <w:rsid w:val="67896ED4"/>
    <w:rsid w:val="67AA451F"/>
    <w:rsid w:val="67FA4DDD"/>
    <w:rsid w:val="67FA7C0D"/>
    <w:rsid w:val="688556A7"/>
    <w:rsid w:val="688E2042"/>
    <w:rsid w:val="6895189D"/>
    <w:rsid w:val="68FC334A"/>
    <w:rsid w:val="69473E9F"/>
    <w:rsid w:val="69AC4F69"/>
    <w:rsid w:val="69D72936"/>
    <w:rsid w:val="6A572E84"/>
    <w:rsid w:val="6B2D6E6C"/>
    <w:rsid w:val="6B4F2A74"/>
    <w:rsid w:val="6B7460C1"/>
    <w:rsid w:val="6B7912ED"/>
    <w:rsid w:val="6BA359B8"/>
    <w:rsid w:val="6C035B7A"/>
    <w:rsid w:val="6C303D8F"/>
    <w:rsid w:val="6C6C0792"/>
    <w:rsid w:val="6CAB2100"/>
    <w:rsid w:val="6D9A555F"/>
    <w:rsid w:val="6DC70BD2"/>
    <w:rsid w:val="6DFD7CD4"/>
    <w:rsid w:val="6E046353"/>
    <w:rsid w:val="6E3034D4"/>
    <w:rsid w:val="6F5161E8"/>
    <w:rsid w:val="6FF51B3B"/>
    <w:rsid w:val="6FFC72C8"/>
    <w:rsid w:val="709561C1"/>
    <w:rsid w:val="709642CC"/>
    <w:rsid w:val="70F85622"/>
    <w:rsid w:val="719B567C"/>
    <w:rsid w:val="72210801"/>
    <w:rsid w:val="72827EA0"/>
    <w:rsid w:val="72CE224D"/>
    <w:rsid w:val="72E91E80"/>
    <w:rsid w:val="73022ABD"/>
    <w:rsid w:val="7408726D"/>
    <w:rsid w:val="747E7F88"/>
    <w:rsid w:val="755D77B8"/>
    <w:rsid w:val="761D2C35"/>
    <w:rsid w:val="7684397E"/>
    <w:rsid w:val="774477A2"/>
    <w:rsid w:val="77492D2D"/>
    <w:rsid w:val="77524F4D"/>
    <w:rsid w:val="78177B29"/>
    <w:rsid w:val="782352CE"/>
    <w:rsid w:val="782A33A6"/>
    <w:rsid w:val="78535B94"/>
    <w:rsid w:val="785E0C86"/>
    <w:rsid w:val="786A5D9D"/>
    <w:rsid w:val="787F629A"/>
    <w:rsid w:val="78AA535B"/>
    <w:rsid w:val="78D9250F"/>
    <w:rsid w:val="78DC2FDD"/>
    <w:rsid w:val="78DC7260"/>
    <w:rsid w:val="7900411B"/>
    <w:rsid w:val="790D0E29"/>
    <w:rsid w:val="79395171"/>
    <w:rsid w:val="79A35C57"/>
    <w:rsid w:val="79B85C40"/>
    <w:rsid w:val="7A385137"/>
    <w:rsid w:val="7AFC2853"/>
    <w:rsid w:val="7B4A194A"/>
    <w:rsid w:val="7B5016A8"/>
    <w:rsid w:val="7B647B37"/>
    <w:rsid w:val="7B825B7C"/>
    <w:rsid w:val="7B9F28DD"/>
    <w:rsid w:val="7BBF3DB1"/>
    <w:rsid w:val="7C981154"/>
    <w:rsid w:val="7C9B635C"/>
    <w:rsid w:val="7D466F15"/>
    <w:rsid w:val="7D805BC0"/>
    <w:rsid w:val="7D9A0522"/>
    <w:rsid w:val="7DAE7CF4"/>
    <w:rsid w:val="7E125364"/>
    <w:rsid w:val="7EB03B57"/>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1</TotalTime>
  <ScaleCrop>false</ScaleCrop>
  <LinksUpToDate>false</LinksUpToDate>
  <CharactersWithSpaces>22916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jsyh</cp:lastModifiedBy>
  <cp:lastPrinted>2021-07-01T12:12:00Z</cp:lastPrinted>
  <dcterms:modified xsi:type="dcterms:W3CDTF">2025-12-02T08:34:49Z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57DE483545F742868D80F7217A5BA398</vt:lpwstr>
  </property>
</Properties>
</file>