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CDC" w:rsidRDefault="00F9345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592906964" w:edGrp="everyone"/>
      <w:r>
        <w:rPr>
          <w:rFonts w:ascii="黑体" w:eastAsia="黑体" w:hAnsi="黑体" w:hint="eastAsia"/>
          <w:b/>
          <w:bCs/>
          <w:sz w:val="28"/>
          <w:szCs w:val="28"/>
        </w:rPr>
        <w:t>【稳利安盈封闭式】</w:t>
      </w:r>
      <w:permEnd w:id="592906964"/>
      <w:r>
        <w:rPr>
          <w:rFonts w:ascii="黑体" w:eastAsia="黑体" w:hAnsi="黑体"/>
          <w:b/>
          <w:bCs/>
          <w:sz w:val="28"/>
          <w:szCs w:val="28"/>
        </w:rPr>
        <w:t>理财产品</w:t>
      </w:r>
    </w:p>
    <w:p w:rsidR="006E6CDC" w:rsidRDefault="00F9345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E6CDC" w:rsidRDefault="00F93459">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6E6CDC" w:rsidRDefault="00F93459">
      <w:pPr>
        <w:rPr>
          <w:rFonts w:ascii="宋体" w:hAnsi="宋体" w:cs="仿宋_GB2312"/>
          <w:b/>
          <w:kern w:val="0"/>
          <w:sz w:val="18"/>
          <w:szCs w:val="18"/>
        </w:rPr>
      </w:pPr>
      <w:r>
        <w:rPr>
          <w:rFonts w:ascii="宋体" w:hAnsi="宋体" w:cs="仿宋_GB2312" w:hint="eastAsia"/>
          <w:b/>
          <w:kern w:val="0"/>
          <w:sz w:val="18"/>
          <w:szCs w:val="18"/>
        </w:rPr>
        <w:t>尊敬的投资者：</w:t>
      </w: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E6CDC" w:rsidRDefault="00F9345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E6CDC" w:rsidRDefault="00F9345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440432157" w:edGrp="everyone"/>
      <w:r>
        <w:rPr>
          <w:rFonts w:ascii="宋体" w:hAnsi="宋体" w:cs="仿宋_GB2312" w:hint="eastAsia"/>
          <w:kern w:val="0"/>
          <w:sz w:val="18"/>
          <w:szCs w:val="18"/>
        </w:rPr>
        <w:t>【</w:t>
      </w:r>
      <w:bookmarkStart w:id="0" w:name="pro_name"/>
      <w:bookmarkEnd w:id="0"/>
      <w:r>
        <w:rPr>
          <w:rFonts w:ascii="宋体" w:hAnsi="宋体" w:cs="仿宋_GB2312" w:hint="eastAsia"/>
          <w:kern w:val="0"/>
          <w:sz w:val="18"/>
          <w:szCs w:val="18"/>
        </w:rPr>
        <w:t>兴银理财稳利安盈封闭式</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63</w:t>
      </w:r>
      <w:r>
        <w:rPr>
          <w:rFonts w:ascii="宋体" w:hAnsi="宋体" w:cs="仿宋_GB2312" w:hint="eastAsia"/>
          <w:kern w:val="0"/>
          <w:sz w:val="18"/>
          <w:szCs w:val="18"/>
        </w:rPr>
        <w:t>期固收类理财产品</w:t>
      </w:r>
      <w:r>
        <w:rPr>
          <w:rFonts w:asciiTheme="majorEastAsia" w:eastAsiaTheme="majorEastAsia" w:hAnsiTheme="majorEastAsia" w:hint="eastAsia"/>
          <w:bCs/>
          <w:kern w:val="0"/>
          <w:sz w:val="18"/>
          <w:szCs w:val="18"/>
        </w:rPr>
        <w:t>】</w:t>
      </w:r>
      <w:permEnd w:id="440432157"/>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bookmarkStart w:id="1" w:name="sale_name"/>
      <w:bookmarkEnd w:id="1"/>
      <w:permStart w:id="873148390" w:edGrp="everyone"/>
      <w:r>
        <w:rPr>
          <w:rFonts w:ascii="宋体" w:hAnsi="宋体" w:cs="仿宋_GB2312" w:hint="eastAsia"/>
          <w:kern w:val="0"/>
          <w:sz w:val="18"/>
          <w:szCs w:val="18"/>
        </w:rPr>
        <w:t>【稳利安盈封闭式</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63</w:t>
      </w:r>
      <w:r>
        <w:rPr>
          <w:rFonts w:ascii="宋体" w:hAnsi="宋体" w:cs="仿宋_GB2312" w:hint="eastAsia"/>
          <w:kern w:val="0"/>
          <w:sz w:val="18"/>
          <w:szCs w:val="18"/>
        </w:rPr>
        <w:t>期</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ermEnd w:id="873148390"/>
    <w:p w:rsidR="006E6CDC" w:rsidRDefault="006E6CDC">
      <w:pPr>
        <w:ind w:firstLineChars="249" w:firstLine="448"/>
        <w:rPr>
          <w:rFonts w:ascii="宋体" w:hAnsi="宋体" w:cs="仿宋_GB2312"/>
          <w:kern w:val="0"/>
          <w:sz w:val="18"/>
          <w:szCs w:val="18"/>
        </w:rPr>
      </w:pP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95777624" w:edGrp="everyone"/>
      <w:r>
        <w:rPr>
          <w:rFonts w:ascii="宋体" w:hAnsi="宋体" w:cs="仿宋_GB2312"/>
          <w:kern w:val="0"/>
          <w:sz w:val="18"/>
          <w:szCs w:val="18"/>
        </w:rPr>
        <w:t>【</w:t>
      </w:r>
      <w:bookmarkStart w:id="2" w:name="regist_code"/>
      <w:bookmarkEnd w:id="2"/>
      <w:r>
        <w:rPr>
          <w:rFonts w:ascii="宋体" w:hAnsi="宋体" w:cs="仿宋_GB2312" w:hint="eastAsia"/>
          <w:kern w:val="0"/>
          <w:sz w:val="18"/>
          <w:szCs w:val="18"/>
        </w:rPr>
        <w:t>Z7002025001967</w:t>
      </w:r>
      <w:r>
        <w:rPr>
          <w:rFonts w:ascii="宋体" w:hAnsi="宋体" w:cs="仿宋_GB2312"/>
          <w:kern w:val="0"/>
          <w:sz w:val="18"/>
          <w:szCs w:val="18"/>
        </w:rPr>
        <w:t>】</w:t>
      </w:r>
      <w:permEnd w:id="195777624"/>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E6CDC" w:rsidRDefault="00F93459">
      <w:pPr>
        <w:ind w:firstLineChars="249" w:firstLine="448"/>
        <w:rPr>
          <w:rFonts w:ascii="宋体" w:hAnsi="宋体" w:cs="仿宋_GB2312"/>
          <w:kern w:val="0"/>
          <w:sz w:val="18"/>
          <w:szCs w:val="18"/>
        </w:rPr>
      </w:pPr>
      <w:permStart w:id="1235247562"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235247562"/>
      <w:r>
        <w:rPr>
          <w:rFonts w:ascii="宋体" w:hAnsi="宋体" w:cs="仿宋_GB2312" w:hint="eastAsia"/>
          <w:kern w:val="0"/>
          <w:sz w:val="18"/>
          <w:szCs w:val="18"/>
        </w:rPr>
        <w:t>理财产品。</w:t>
      </w: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E6CDC" w:rsidRDefault="00F93459">
      <w:pPr>
        <w:ind w:firstLineChars="249" w:firstLine="448"/>
        <w:rPr>
          <w:rFonts w:ascii="宋体" w:hAnsi="宋体" w:cs="仿宋_GB2312"/>
          <w:kern w:val="0"/>
          <w:sz w:val="18"/>
          <w:szCs w:val="18"/>
        </w:rPr>
      </w:pPr>
      <w:permStart w:id="1742879236" w:edGrp="everyone"/>
      <w:r>
        <w:rPr>
          <w:rFonts w:ascii="宋体" w:hAnsi="宋体" w:cs="仿宋_GB2312" w:hint="eastAsia"/>
          <w:kern w:val="0"/>
          <w:sz w:val="18"/>
          <w:szCs w:val="18"/>
        </w:rPr>
        <w:t>【</w:t>
      </w:r>
      <w:bookmarkStart w:id="3" w:name="allday"/>
      <w:bookmarkEnd w:id="3"/>
      <w:r>
        <w:rPr>
          <w:rFonts w:ascii="宋体" w:hAnsi="宋体" w:cs="仿宋_GB2312" w:hint="eastAsia"/>
          <w:kern w:val="0"/>
          <w:sz w:val="18"/>
          <w:szCs w:val="18"/>
        </w:rPr>
        <w:t>97</w:t>
      </w:r>
      <w:r>
        <w:rPr>
          <w:rFonts w:ascii="宋体" w:hAnsi="宋体" w:cs="仿宋_GB2312" w:hint="eastAsia"/>
          <w:kern w:val="0"/>
          <w:sz w:val="18"/>
          <w:szCs w:val="18"/>
        </w:rPr>
        <w:t>天】</w:t>
      </w:r>
      <w:permEnd w:id="1742879236"/>
      <w:r>
        <w:rPr>
          <w:rFonts w:ascii="宋体" w:hAnsi="宋体" w:cs="仿宋_GB2312"/>
          <w:kern w:val="0"/>
          <w:sz w:val="18"/>
          <w:szCs w:val="18"/>
        </w:rPr>
        <w:t>。</w:t>
      </w:r>
    </w:p>
    <w:p w:rsidR="006E6CDC" w:rsidRDefault="00F9345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E6CDC" w:rsidRDefault="00F9345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E6CDC" w:rsidRDefault="00F9345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415585428" w:edGrp="everyone"/>
      <w:r>
        <w:rPr>
          <w:rFonts w:ascii="宋体" w:hAnsi="宋体" w:cs="仿宋_GB2312" w:hint="eastAsia"/>
          <w:kern w:val="0"/>
          <w:sz w:val="18"/>
          <w:szCs w:val="18"/>
        </w:rPr>
        <w:t>【</w:t>
      </w:r>
      <w:bookmarkStart w:id="4" w:name="risk_level_1"/>
      <w:bookmarkEnd w:id="4"/>
      <w:r>
        <w:rPr>
          <w:rFonts w:ascii="宋体" w:hAnsi="宋体" w:cs="仿宋_GB2312" w:hint="eastAsia"/>
          <w:kern w:val="0"/>
          <w:sz w:val="18"/>
          <w:szCs w:val="18"/>
        </w:rPr>
        <w:t>R1</w:t>
      </w:r>
      <w:r>
        <w:rPr>
          <w:rFonts w:ascii="宋体" w:hAnsi="宋体" w:cs="仿宋_GB2312"/>
          <w:kern w:val="0"/>
          <w:sz w:val="18"/>
          <w:szCs w:val="18"/>
        </w:rPr>
        <w:t>】</w:t>
      </w:r>
      <w:permEnd w:id="1415585428"/>
      <w:r>
        <w:rPr>
          <w:rFonts w:ascii="宋体" w:hAnsi="宋体" w:cs="仿宋_GB2312" w:hint="eastAsia"/>
          <w:kern w:val="0"/>
          <w:sz w:val="18"/>
          <w:szCs w:val="18"/>
        </w:rPr>
        <w:t>（产品管理人定义的产品风险评级为</w:t>
      </w:r>
      <w:permStart w:id="1348085450" w:edGrp="everyone"/>
      <w:r>
        <w:rPr>
          <w:rFonts w:ascii="宋体" w:hAnsi="宋体" w:cs="仿宋_GB2312" w:hint="eastAsia"/>
          <w:kern w:val="0"/>
          <w:sz w:val="18"/>
          <w:szCs w:val="18"/>
        </w:rPr>
        <w:t>【</w:t>
      </w:r>
      <w:bookmarkStart w:id="5" w:name="risk_level_2"/>
      <w:bookmarkEnd w:id="5"/>
      <w:r>
        <w:rPr>
          <w:rFonts w:ascii="宋体" w:hAnsi="宋体" w:cs="仿宋_GB2312" w:hint="eastAsia"/>
          <w:kern w:val="0"/>
          <w:sz w:val="18"/>
          <w:szCs w:val="18"/>
        </w:rPr>
        <w:t>R1</w:t>
      </w:r>
      <w:r>
        <w:rPr>
          <w:rFonts w:ascii="宋体" w:hAnsi="宋体" w:cs="仿宋_GB2312" w:hint="eastAsia"/>
          <w:kern w:val="0"/>
          <w:sz w:val="18"/>
          <w:szCs w:val="18"/>
        </w:rPr>
        <w:t>】</w:t>
      </w:r>
      <w:permEnd w:id="1348085450"/>
      <w:r>
        <w:rPr>
          <w:rFonts w:ascii="宋体" w:hAnsi="宋体" w:cs="仿宋_GB2312" w:hint="eastAsia"/>
          <w:kern w:val="0"/>
          <w:sz w:val="18"/>
          <w:szCs w:val="18"/>
        </w:rPr>
        <w:t>；代理销售机构定义的产品风险评级为</w:t>
      </w:r>
      <w:permStart w:id="7232577" w:edGrp="everyone"/>
      <w:r>
        <w:rPr>
          <w:rFonts w:ascii="宋体" w:hAnsi="宋体" w:cs="仿宋_GB2312" w:hint="eastAsia"/>
          <w:kern w:val="0"/>
          <w:sz w:val="18"/>
          <w:szCs w:val="18"/>
        </w:rPr>
        <w:t>【</w:t>
      </w:r>
      <w:bookmarkStart w:id="6" w:name="risk_level_3"/>
      <w:bookmarkEnd w:id="6"/>
      <w:r>
        <w:rPr>
          <w:rFonts w:ascii="宋体" w:hAnsi="宋体" w:cs="仿宋_GB2312" w:hint="eastAsia"/>
          <w:kern w:val="0"/>
          <w:sz w:val="18"/>
          <w:szCs w:val="18"/>
        </w:rPr>
        <w:t>R1</w:t>
      </w:r>
      <w:r>
        <w:rPr>
          <w:rFonts w:ascii="宋体" w:hAnsi="宋体" w:cs="仿宋_GB2312" w:hint="eastAsia"/>
          <w:kern w:val="0"/>
          <w:sz w:val="18"/>
          <w:szCs w:val="18"/>
        </w:rPr>
        <w:t>】</w:t>
      </w:r>
      <w:permEnd w:id="7232577"/>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E6CDC" w:rsidRDefault="00F9345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E6CDC" w:rsidRDefault="00F9345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E6CDC" w:rsidRDefault="00F93459">
      <w:pPr>
        <w:ind w:firstLineChars="200" w:firstLine="360"/>
        <w:rPr>
          <w:rFonts w:asciiTheme="majorEastAsia" w:eastAsiaTheme="majorEastAsia" w:hAnsiTheme="majorEastAsia"/>
          <w:bCs/>
          <w:color w:val="000000" w:themeColor="text1"/>
          <w:sz w:val="18"/>
          <w:szCs w:val="18"/>
        </w:rPr>
      </w:pPr>
      <w:bookmarkStart w:id="7" w:name="per_risk"/>
      <w:bookmarkEnd w:id="7"/>
      <w:permStart w:id="2145330237"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6E6CDC" w:rsidRDefault="00F93459">
      <w:pPr>
        <w:ind w:firstLineChars="200" w:firstLine="360"/>
        <w:rPr>
          <w:rFonts w:asciiTheme="majorEastAsia" w:eastAsiaTheme="majorEastAsia" w:hAnsiTheme="majorEastAsia"/>
          <w:bCs/>
          <w:color w:val="000000" w:themeColor="text1"/>
          <w:sz w:val="18"/>
          <w:szCs w:val="18"/>
        </w:rPr>
      </w:pPr>
      <w:bookmarkStart w:id="8" w:name="ins_risk"/>
      <w:bookmarkEnd w:id="8"/>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2145330237"/>
    <w:p w:rsidR="006E6CDC" w:rsidRDefault="00F9345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E6CDC" w:rsidRDefault="00F9345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E6CDC" w:rsidRDefault="00F9345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E6CDC" w:rsidRDefault="00F9345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E6CDC" w:rsidRDefault="00F93459">
      <w:pPr>
        <w:spacing w:line="360" w:lineRule="auto"/>
        <w:ind w:firstLineChars="200" w:firstLine="360"/>
        <w:rPr>
          <w:rFonts w:ascii="宋体" w:hAnsi="宋体"/>
          <w:sz w:val="18"/>
          <w:szCs w:val="18"/>
        </w:rPr>
      </w:pPr>
      <w:permStart w:id="592993823" w:edGrp="everyone"/>
      <w:r>
        <w:rPr>
          <w:rFonts w:ascii="宋体" w:hAnsi="宋体" w:hint="eastAsia"/>
          <w:sz w:val="18"/>
          <w:szCs w:val="18"/>
        </w:rPr>
        <w:t>【</w:t>
      </w:r>
      <w:bookmarkStart w:id="9" w:name="risk"/>
      <w:bookmarkEnd w:id="9"/>
      <w:r>
        <w:rPr>
          <w:rFonts w:ascii="宋体" w:hAnsi="宋体" w:hint="eastAsia"/>
          <w:sz w:val="18"/>
          <w:szCs w:val="18"/>
        </w:rPr>
        <w:t>1.</w:t>
      </w:r>
      <w:r>
        <w:rPr>
          <w:rFonts w:ascii="宋体" w:hAnsi="宋体" w:hint="eastAsia"/>
          <w:sz w:val="18"/>
          <w:szCs w:val="18"/>
        </w:rPr>
        <w:t>拟投资市场和资产的风险：</w:t>
      </w:r>
    </w:p>
    <w:p w:rsidR="006E6CDC" w:rsidRDefault="00F93459">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6E6CDC" w:rsidRDefault="00F93459">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6E6CDC" w:rsidRDefault="00F93459">
      <w:pPr>
        <w:ind w:firstLineChars="200" w:firstLine="360"/>
        <w:rPr>
          <w:rFonts w:ascii="宋体" w:hAnsi="宋体"/>
          <w:sz w:val="18"/>
          <w:szCs w:val="18"/>
        </w:rPr>
      </w:pPr>
      <w:r>
        <w:rPr>
          <w:rFonts w:ascii="宋体" w:hAnsi="宋体" w:hint="eastAsia"/>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E6CDC" w:rsidRDefault="00F93459">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）投资非标准化债权类资产的风险</w:t>
      </w:r>
    </w:p>
    <w:p w:rsidR="006E6CDC" w:rsidRDefault="00F93459">
      <w:pPr>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其他义务人还款履约能力可能的变化导致的信用风险（包括但不限于：融资主体提前还款、延期还款或逾期还款的风险；增信主体未能履行增信义务（例如：保证担保、差额补足、远期</w:t>
      </w:r>
      <w:r>
        <w:rPr>
          <w:rFonts w:ascii="宋体" w:hAnsi="宋体" w:hint="eastAsia"/>
          <w:sz w:val="18"/>
          <w:szCs w:val="18"/>
        </w:rPr>
        <w:t>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6E6CDC" w:rsidRDefault="00F93459">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）投资商品和金融衍生品类资产的风险</w:t>
      </w:r>
      <w:r>
        <w:rPr>
          <w:rFonts w:ascii="宋体" w:hAnsi="宋体" w:hint="eastAsia"/>
          <w:sz w:val="18"/>
          <w:szCs w:val="18"/>
        </w:rPr>
        <w:t xml:space="preserve"> </w:t>
      </w:r>
    </w:p>
    <w:p w:rsidR="006E6CDC" w:rsidRDefault="00F93459">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w:t>
      </w:r>
      <w:r>
        <w:rPr>
          <w:rFonts w:ascii="宋体" w:hAnsi="宋体" w:hint="eastAsia"/>
          <w:sz w:val="18"/>
          <w:szCs w:val="18"/>
        </w:rPr>
        <w:t>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592993823"/>
    <w:p w:rsidR="006E6CDC" w:rsidRDefault="00F93459">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E6CDC" w:rsidRDefault="00F93459">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E6CDC" w:rsidRDefault="00F93459">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E6CDC" w:rsidRDefault="00F93459">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w:t>
      </w:r>
      <w:r>
        <w:rPr>
          <w:rFonts w:ascii="宋体" w:hAnsi="宋体" w:cs="仿宋_GB2312" w:hint="eastAsia"/>
          <w:kern w:val="0"/>
          <w:sz w:val="18"/>
          <w:szCs w:val="18"/>
        </w:rPr>
        <w:t>根据《产品说明书》的约定投资于相关金融工具或资产，如果相关投资的债务人、交易对手等发生违约，信用状况恶化等，投资者将面临投资损失的风险。</w:t>
      </w:r>
    </w:p>
    <w:p w:rsidR="006E6CDC" w:rsidRDefault="00F93459">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E6CDC" w:rsidRDefault="00F93459">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E6CDC" w:rsidRDefault="00F93459">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E6CDC" w:rsidRDefault="00F93459">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w:t>
      </w:r>
      <w:r>
        <w:rPr>
          <w:rFonts w:ascii="宋体" w:hAnsi="宋体" w:cs="仿宋_GB2312" w:hint="eastAsia"/>
          <w:kern w:val="0"/>
          <w:sz w:val="18"/>
          <w:szCs w:val="18"/>
        </w:rPr>
        <w:t>、商品投资风险以及衍生品投资风险等。</w:t>
      </w:r>
    </w:p>
    <w:p w:rsidR="006E6CDC" w:rsidRDefault="00F93459">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E6CDC" w:rsidRDefault="00F93459">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E6CDC" w:rsidRDefault="00F93459">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E6CDC" w:rsidRDefault="00F93459">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E6CDC" w:rsidRDefault="00F93459">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E6CDC" w:rsidRDefault="00F93459">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E6CDC" w:rsidRDefault="00F93459">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E6CDC" w:rsidRDefault="00F93459">
      <w:pPr>
        <w:pStyle w:val="aa"/>
        <w:ind w:firstLineChars="0" w:firstLine="426"/>
        <w:rPr>
          <w:rFonts w:ascii="宋体" w:hAnsi="宋体" w:cs="仿宋_GB2312"/>
          <w:kern w:val="0"/>
          <w:sz w:val="18"/>
          <w:szCs w:val="18"/>
        </w:rPr>
      </w:pPr>
      <w:r>
        <w:rPr>
          <w:rFonts w:ascii="宋体" w:hAnsi="宋体" w:cs="仿宋_GB2312" w:hint="eastAsia"/>
          <w:kern w:val="0"/>
          <w:sz w:val="18"/>
          <w:szCs w:val="18"/>
        </w:rPr>
        <w:lastRenderedPageBreak/>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6E6CDC" w:rsidRDefault="00F93459">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E6CDC" w:rsidRDefault="00F93459">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E6CDC" w:rsidRDefault="00F9345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6E6CDC" w:rsidRDefault="00F9345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E6CDC" w:rsidRDefault="00F93459">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E6CDC" w:rsidRDefault="00F93459">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E6CDC" w:rsidRDefault="00F93459">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E6CDC" w:rsidRDefault="00F93459">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E6CDC" w:rsidRDefault="00F93459">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E6CDC" w:rsidRDefault="00F93459">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E6CDC" w:rsidRDefault="00F93459">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E6CDC" w:rsidRDefault="00F93459">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E6CDC" w:rsidRDefault="00F93459">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E6CDC" w:rsidRDefault="00F93459">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E6CDC" w:rsidRDefault="00F93459">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E6CDC" w:rsidRDefault="00F93459">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6E6CDC" w:rsidRDefault="00F9345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E6CDC" w:rsidRDefault="00F9345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w:t>
      </w:r>
      <w:r>
        <w:rPr>
          <w:rFonts w:ascii="黑体" w:eastAsia="黑体" w:hAnsi="黑体" w:hint="eastAsia"/>
          <w:sz w:val="18"/>
          <w:szCs w:val="18"/>
        </w:rPr>
        <w:lastRenderedPageBreak/>
        <w:t>持有本产品的最高限额最低限额、计算和公告产品份额净值方面存在差异。</w:t>
      </w:r>
    </w:p>
    <w:p w:rsidR="006E6CDC" w:rsidRDefault="00F93459">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E6CDC" w:rsidRDefault="00F93459">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E6CDC" w:rsidRDefault="00F9345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E6CDC" w:rsidRDefault="00F9345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6E6CDC" w:rsidRDefault="00F9345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E6CDC" w:rsidRDefault="006E6CDC">
      <w:pPr>
        <w:ind w:left="540"/>
        <w:jc w:val="right"/>
        <w:rPr>
          <w:rFonts w:ascii="宋体" w:hAnsi="宋体"/>
          <w:sz w:val="18"/>
          <w:szCs w:val="18"/>
        </w:rPr>
      </w:pPr>
    </w:p>
    <w:p w:rsidR="006E6CDC" w:rsidRDefault="00F9345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6E6CDC" w:rsidRDefault="00F93459">
      <w:pPr>
        <w:wordWrap w:val="0"/>
        <w:ind w:left="540"/>
        <w:jc w:val="right"/>
        <w:rPr>
          <w:rFonts w:ascii="宋体" w:hAnsi="宋体"/>
          <w:sz w:val="18"/>
          <w:szCs w:val="18"/>
        </w:rPr>
      </w:pPr>
      <w:permStart w:id="72425019" w:edGrp="everyone"/>
      <w:r>
        <w:rPr>
          <w:rFonts w:ascii="宋体" w:hAnsi="宋体" w:hint="eastAsia"/>
          <w:sz w:val="18"/>
          <w:szCs w:val="18"/>
        </w:rPr>
        <w:t>销售机构（</w:t>
      </w:r>
      <w:r w:rsidRPr="00F93459">
        <w:rPr>
          <w:rFonts w:ascii="宋体" w:hAnsi="宋体" w:hint="eastAsia"/>
          <w:sz w:val="18"/>
          <w:szCs w:val="18"/>
        </w:rPr>
        <w:t>浙江桐庐农村商业银行股份有限公司</w:t>
      </w:r>
      <w:bookmarkStart w:id="10" w:name="_GoBack"/>
      <w:bookmarkEnd w:id="10"/>
      <w:r>
        <w:rPr>
          <w:rFonts w:ascii="宋体" w:hAnsi="宋体" w:hint="eastAsia"/>
          <w:sz w:val="18"/>
          <w:szCs w:val="18"/>
        </w:rPr>
        <w:t>）</w:t>
      </w:r>
    </w:p>
    <w:permEnd w:id="72425019"/>
    <w:p w:rsidR="006E6CDC" w:rsidRDefault="00F93459">
      <w:pPr>
        <w:widowControl/>
        <w:jc w:val="left"/>
        <w:rPr>
          <w:rFonts w:ascii="宋体" w:hAnsi="宋体"/>
          <w:sz w:val="18"/>
          <w:szCs w:val="18"/>
        </w:rPr>
      </w:pPr>
      <w:r>
        <w:rPr>
          <w:rFonts w:ascii="宋体" w:hAnsi="宋体"/>
          <w:sz w:val="18"/>
          <w:szCs w:val="18"/>
        </w:rPr>
        <w:br w:type="page"/>
      </w:r>
    </w:p>
    <w:p w:rsidR="006E6CDC" w:rsidRDefault="006E6CDC">
      <w:pPr>
        <w:ind w:left="540"/>
        <w:jc w:val="right"/>
        <w:rPr>
          <w:rFonts w:ascii="宋体" w:hAnsi="宋体"/>
          <w:sz w:val="18"/>
          <w:szCs w:val="18"/>
        </w:rPr>
      </w:pPr>
    </w:p>
    <w:p w:rsidR="006E6CDC" w:rsidRDefault="006E6CD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6E6CDC">
        <w:trPr>
          <w:trHeight w:val="627"/>
        </w:trPr>
        <w:tc>
          <w:tcPr>
            <w:tcW w:w="8371" w:type="dxa"/>
          </w:tcPr>
          <w:p w:rsidR="006E6CDC" w:rsidRDefault="00F9345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E6CDC" w:rsidRDefault="00F9345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E6CDC">
        <w:trPr>
          <w:trHeight w:val="6283"/>
        </w:trPr>
        <w:tc>
          <w:tcPr>
            <w:tcW w:w="8371" w:type="dxa"/>
          </w:tcPr>
          <w:p w:rsidR="006E6CDC" w:rsidRDefault="00F9345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E6CDC" w:rsidRDefault="006E6CDC">
            <w:pPr>
              <w:spacing w:line="280" w:lineRule="atLeast"/>
              <w:jc w:val="left"/>
              <w:rPr>
                <w:rFonts w:ascii="宋体" w:hAnsi="宋体" w:cs="Arial"/>
                <w:sz w:val="18"/>
                <w:szCs w:val="18"/>
              </w:rPr>
            </w:pPr>
          </w:p>
          <w:p w:rsidR="006E6CDC" w:rsidRDefault="00F9345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E6CDC" w:rsidRDefault="006E6CDC">
            <w:pPr>
              <w:spacing w:line="280" w:lineRule="atLeast"/>
              <w:jc w:val="left"/>
              <w:rPr>
                <w:rFonts w:ascii="宋体" w:hAnsi="宋体" w:cs="Arial"/>
                <w:kern w:val="0"/>
                <w:sz w:val="18"/>
                <w:szCs w:val="18"/>
              </w:rPr>
            </w:pPr>
          </w:p>
          <w:p w:rsidR="006E6CDC" w:rsidRDefault="00F9345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E6CDC" w:rsidRDefault="006E6CDC">
            <w:pPr>
              <w:spacing w:line="280" w:lineRule="atLeast"/>
              <w:jc w:val="left"/>
              <w:rPr>
                <w:rFonts w:ascii="宋体" w:hAnsi="宋体" w:cs="Arial"/>
                <w:kern w:val="0"/>
                <w:sz w:val="18"/>
                <w:szCs w:val="18"/>
              </w:rPr>
            </w:pPr>
          </w:p>
          <w:p w:rsidR="006E6CDC" w:rsidRDefault="00F93459">
            <w:pPr>
              <w:spacing w:line="280" w:lineRule="atLeast"/>
              <w:jc w:val="left"/>
              <w:rPr>
                <w:kern w:val="0"/>
                <w:sz w:val="18"/>
                <w:szCs w:val="18"/>
                <w:u w:val="single"/>
              </w:rPr>
            </w:pPr>
            <w:r>
              <w:rPr>
                <w:rFonts w:ascii="宋体" w:hAnsi="宋体" w:cs="Arial" w:hint="eastAsia"/>
                <w:kern w:val="0"/>
                <w:sz w:val="18"/>
                <w:szCs w:val="18"/>
              </w:rPr>
              <w:t>请投资者在此抄录：</w:t>
            </w:r>
          </w:p>
          <w:p w:rsidR="006E6CDC" w:rsidRDefault="006E6CDC">
            <w:pPr>
              <w:spacing w:line="280" w:lineRule="atLeast"/>
              <w:jc w:val="left"/>
              <w:rPr>
                <w:kern w:val="0"/>
                <w:sz w:val="18"/>
                <w:szCs w:val="18"/>
                <w:u w:val="single"/>
              </w:rPr>
            </w:pPr>
          </w:p>
          <w:p w:rsidR="006E6CDC" w:rsidRDefault="00F9345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6E6CDC" w:rsidRDefault="006E6CDC">
            <w:pPr>
              <w:spacing w:line="280" w:lineRule="atLeast"/>
              <w:ind w:left="4200" w:firstLineChars="600" w:firstLine="1080"/>
              <w:jc w:val="left"/>
              <w:rPr>
                <w:rFonts w:ascii="宋体" w:hAnsi="宋体" w:cs="Arial"/>
                <w:kern w:val="0"/>
                <w:sz w:val="18"/>
                <w:szCs w:val="18"/>
              </w:rPr>
            </w:pPr>
          </w:p>
          <w:p w:rsidR="006E6CDC" w:rsidRDefault="00F9345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E6CDC" w:rsidRDefault="006E6CDC">
            <w:pPr>
              <w:spacing w:line="280" w:lineRule="atLeast"/>
              <w:ind w:left="4200" w:firstLineChars="600" w:firstLine="1080"/>
              <w:jc w:val="left"/>
              <w:rPr>
                <w:rFonts w:ascii="宋体" w:hAnsi="宋体" w:cs="Arial"/>
                <w:kern w:val="0"/>
                <w:sz w:val="18"/>
                <w:szCs w:val="18"/>
              </w:rPr>
            </w:pPr>
          </w:p>
          <w:p w:rsidR="006E6CDC" w:rsidRDefault="00F93459">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6E6CDC" w:rsidRDefault="006E6CDC">
            <w:pPr>
              <w:spacing w:line="280" w:lineRule="atLeast"/>
              <w:jc w:val="right"/>
              <w:rPr>
                <w:rFonts w:ascii="宋体" w:hAnsi="宋体"/>
                <w:kern w:val="0"/>
                <w:sz w:val="18"/>
                <w:szCs w:val="18"/>
              </w:rPr>
            </w:pPr>
          </w:p>
        </w:tc>
      </w:tr>
    </w:tbl>
    <w:p w:rsidR="006E6CDC" w:rsidRDefault="006E6CDC">
      <w:pPr>
        <w:autoSpaceDE w:val="0"/>
        <w:autoSpaceDN w:val="0"/>
        <w:adjustRightInd w:val="0"/>
        <w:spacing w:line="360" w:lineRule="auto"/>
        <w:ind w:firstLine="420"/>
        <w:jc w:val="left"/>
        <w:rPr>
          <w:rFonts w:ascii="宋体" w:hAnsi="宋体"/>
          <w:sz w:val="24"/>
        </w:rPr>
      </w:pPr>
    </w:p>
    <w:p w:rsidR="006E6CDC" w:rsidRDefault="006E6CDC">
      <w:pPr>
        <w:rPr>
          <w:rFonts w:ascii="宋体" w:hAnsi="宋体" w:cs="Arial"/>
          <w:sz w:val="24"/>
        </w:rPr>
      </w:pPr>
    </w:p>
    <w:p w:rsidR="006E6CDC" w:rsidRDefault="00F9345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6E6CDC">
        <w:trPr>
          <w:trHeight w:val="823"/>
        </w:trPr>
        <w:tc>
          <w:tcPr>
            <w:tcW w:w="8413" w:type="dxa"/>
          </w:tcPr>
          <w:p w:rsidR="006E6CDC" w:rsidRDefault="00F9345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E6CDC" w:rsidRDefault="00F9345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6E6CDC">
        <w:trPr>
          <w:trHeight w:val="7355"/>
        </w:trPr>
        <w:tc>
          <w:tcPr>
            <w:tcW w:w="8413" w:type="dxa"/>
          </w:tcPr>
          <w:p w:rsidR="006E6CDC" w:rsidRDefault="00F9345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E6CDC" w:rsidRDefault="006E6CDC">
            <w:pPr>
              <w:spacing w:line="280" w:lineRule="atLeast"/>
              <w:ind w:firstLineChars="200" w:firstLine="360"/>
              <w:jc w:val="left"/>
              <w:rPr>
                <w:rFonts w:ascii="宋体" w:hAnsi="宋体" w:cs="Arial"/>
                <w:kern w:val="0"/>
                <w:sz w:val="18"/>
                <w:szCs w:val="18"/>
              </w:rPr>
            </w:pPr>
          </w:p>
          <w:p w:rsidR="006E6CDC" w:rsidRDefault="00F9345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E6CDC" w:rsidRDefault="006E6CDC">
            <w:pPr>
              <w:spacing w:line="280" w:lineRule="atLeast"/>
              <w:ind w:firstLineChars="200" w:firstLine="360"/>
              <w:jc w:val="left"/>
              <w:rPr>
                <w:rFonts w:ascii="宋体" w:hAnsi="宋体" w:cs="Arial"/>
                <w:kern w:val="0"/>
                <w:sz w:val="18"/>
                <w:szCs w:val="18"/>
              </w:rPr>
            </w:pPr>
          </w:p>
          <w:p w:rsidR="006E6CDC" w:rsidRDefault="00F9345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E6CDC" w:rsidRDefault="006E6CDC">
            <w:pPr>
              <w:spacing w:line="280" w:lineRule="atLeast"/>
              <w:jc w:val="left"/>
              <w:rPr>
                <w:rFonts w:ascii="宋体" w:hAnsi="宋体" w:cs="Arial"/>
                <w:kern w:val="0"/>
                <w:sz w:val="18"/>
                <w:szCs w:val="18"/>
              </w:rPr>
            </w:pPr>
          </w:p>
          <w:p w:rsidR="006E6CDC" w:rsidRDefault="00F9345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E6CDC" w:rsidRDefault="006E6CDC">
            <w:pPr>
              <w:spacing w:line="280" w:lineRule="atLeast"/>
              <w:jc w:val="left"/>
              <w:rPr>
                <w:rFonts w:ascii="宋体" w:hAnsi="宋体" w:cs="Arial"/>
                <w:kern w:val="0"/>
                <w:sz w:val="18"/>
                <w:szCs w:val="18"/>
              </w:rPr>
            </w:pPr>
          </w:p>
          <w:p w:rsidR="006E6CDC" w:rsidRDefault="00F9345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6E6CDC" w:rsidRDefault="006E6CDC">
            <w:pPr>
              <w:spacing w:line="280" w:lineRule="atLeast"/>
              <w:jc w:val="left"/>
              <w:rPr>
                <w:rFonts w:ascii="宋体" w:hAnsi="宋体" w:cs="Arial"/>
                <w:kern w:val="0"/>
                <w:sz w:val="18"/>
                <w:szCs w:val="18"/>
              </w:rPr>
            </w:pPr>
          </w:p>
          <w:p w:rsidR="006E6CDC" w:rsidRDefault="00F9345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6E6CDC" w:rsidRDefault="006E6CDC">
            <w:pPr>
              <w:spacing w:line="280" w:lineRule="atLeast"/>
              <w:ind w:left="4200" w:firstLineChars="600" w:firstLine="1080"/>
              <w:jc w:val="left"/>
              <w:rPr>
                <w:rFonts w:ascii="宋体" w:hAnsi="宋体" w:cs="Arial"/>
                <w:kern w:val="0"/>
                <w:sz w:val="18"/>
                <w:szCs w:val="18"/>
              </w:rPr>
            </w:pPr>
          </w:p>
          <w:p w:rsidR="006E6CDC" w:rsidRDefault="00F9345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E6CDC" w:rsidRDefault="006E6CDC">
            <w:pPr>
              <w:spacing w:line="280" w:lineRule="atLeast"/>
              <w:rPr>
                <w:kern w:val="0"/>
                <w:sz w:val="20"/>
                <w:szCs w:val="20"/>
              </w:rPr>
            </w:pPr>
          </w:p>
          <w:p w:rsidR="006E6CDC" w:rsidRDefault="00F9345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E6CDC" w:rsidRDefault="006E6CDC">
      <w:pPr>
        <w:widowControl/>
        <w:jc w:val="left"/>
        <w:rPr>
          <w:rFonts w:ascii="宋体" w:hAnsi="宋体"/>
          <w:b/>
          <w:sz w:val="28"/>
          <w:szCs w:val="28"/>
        </w:rPr>
      </w:pPr>
    </w:p>
    <w:sectPr w:rsidR="006E6CD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93459">
      <w:r>
        <w:separator/>
      </w:r>
    </w:p>
  </w:endnote>
  <w:endnote w:type="continuationSeparator" w:id="0">
    <w:p w:rsidR="00000000" w:rsidRDefault="00F9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6E6CDC" w:rsidRDefault="00F93459">
        <w:pPr>
          <w:pStyle w:val="a5"/>
          <w:jc w:val="center"/>
        </w:pPr>
        <w:r>
          <w:fldChar w:fldCharType="begin"/>
        </w:r>
        <w:r>
          <w:instrText>PAGE   \* MERGEFORMAT</w:instrText>
        </w:r>
        <w:r>
          <w:fldChar w:fldCharType="separate"/>
        </w:r>
        <w:r w:rsidRPr="00F93459">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F93459">
      <w:r>
        <w:separator/>
      </w:r>
    </w:p>
  </w:footnote>
  <w:footnote w:type="continuationSeparator" w:id="0">
    <w:p w:rsidR="00000000" w:rsidRDefault="00F93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CDC" w:rsidRDefault="00F9345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E6CDC" w:rsidRDefault="00F9345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41A7D"/>
    <w:rsid w:val="0007452F"/>
    <w:rsid w:val="00096AC8"/>
    <w:rsid w:val="000A244A"/>
    <w:rsid w:val="000B16F1"/>
    <w:rsid w:val="000B357F"/>
    <w:rsid w:val="000C29F2"/>
    <w:rsid w:val="000F39A5"/>
    <w:rsid w:val="001104E8"/>
    <w:rsid w:val="00152999"/>
    <w:rsid w:val="00172A27"/>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75CCC"/>
    <w:rsid w:val="00585375"/>
    <w:rsid w:val="005A63C8"/>
    <w:rsid w:val="005C1E6C"/>
    <w:rsid w:val="005C6FCB"/>
    <w:rsid w:val="005F48BE"/>
    <w:rsid w:val="006538E1"/>
    <w:rsid w:val="00682135"/>
    <w:rsid w:val="006C7A06"/>
    <w:rsid w:val="006D21BB"/>
    <w:rsid w:val="006E6CDC"/>
    <w:rsid w:val="007156E0"/>
    <w:rsid w:val="007303F6"/>
    <w:rsid w:val="00774066"/>
    <w:rsid w:val="00791677"/>
    <w:rsid w:val="007B017F"/>
    <w:rsid w:val="007C7189"/>
    <w:rsid w:val="007D3800"/>
    <w:rsid w:val="007F7774"/>
    <w:rsid w:val="0080662E"/>
    <w:rsid w:val="008151F4"/>
    <w:rsid w:val="00836C1F"/>
    <w:rsid w:val="00871FCB"/>
    <w:rsid w:val="00891C33"/>
    <w:rsid w:val="00894EE6"/>
    <w:rsid w:val="008A707D"/>
    <w:rsid w:val="008B3F96"/>
    <w:rsid w:val="008D3E86"/>
    <w:rsid w:val="008F2B54"/>
    <w:rsid w:val="00904F53"/>
    <w:rsid w:val="00955293"/>
    <w:rsid w:val="0096566F"/>
    <w:rsid w:val="00981E5B"/>
    <w:rsid w:val="00993AEC"/>
    <w:rsid w:val="009C0842"/>
    <w:rsid w:val="00A00AF5"/>
    <w:rsid w:val="00A30D87"/>
    <w:rsid w:val="00A32EC2"/>
    <w:rsid w:val="00A65F34"/>
    <w:rsid w:val="00A72D9D"/>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93459"/>
    <w:rsid w:val="00FF75B3"/>
    <w:rsid w:val="01540E14"/>
    <w:rsid w:val="0567294B"/>
    <w:rsid w:val="063D1DB2"/>
    <w:rsid w:val="06527A92"/>
    <w:rsid w:val="093C4710"/>
    <w:rsid w:val="09C367C0"/>
    <w:rsid w:val="0F6329D1"/>
    <w:rsid w:val="123D1F82"/>
    <w:rsid w:val="13DA0193"/>
    <w:rsid w:val="145E1313"/>
    <w:rsid w:val="1DCB4CB6"/>
    <w:rsid w:val="1F735F1A"/>
    <w:rsid w:val="1FC607BF"/>
    <w:rsid w:val="23024B39"/>
    <w:rsid w:val="23CF43CE"/>
    <w:rsid w:val="26EE3EE0"/>
    <w:rsid w:val="2D213FEB"/>
    <w:rsid w:val="2ECB2AD0"/>
    <w:rsid w:val="31091A76"/>
    <w:rsid w:val="354D3BA6"/>
    <w:rsid w:val="36C62C44"/>
    <w:rsid w:val="38EE67FF"/>
    <w:rsid w:val="3B077738"/>
    <w:rsid w:val="480C63E1"/>
    <w:rsid w:val="4A283C2F"/>
    <w:rsid w:val="4A747F40"/>
    <w:rsid w:val="4D0707F7"/>
    <w:rsid w:val="4EEE53D9"/>
    <w:rsid w:val="4F9D57D5"/>
    <w:rsid w:val="5A2D1BC4"/>
    <w:rsid w:val="5D3338C2"/>
    <w:rsid w:val="601969DF"/>
    <w:rsid w:val="607A39E4"/>
    <w:rsid w:val="659C2FA3"/>
    <w:rsid w:val="669A0E70"/>
    <w:rsid w:val="67A2633F"/>
    <w:rsid w:val="773C4FFA"/>
    <w:rsid w:val="79740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9210EB0-F23E-4452-A6C1-ACB851B6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5075</Words>
  <Characters>281</Characters>
  <Application>Microsoft Office Word</Application>
  <DocSecurity>8</DocSecurity>
  <Lines>2</Lines>
  <Paragraphs>10</Paragraphs>
  <ScaleCrop>false</ScaleCrop>
  <Company>神州网信技术有限公司</Company>
  <LinksUpToDate>false</LinksUpToDate>
  <CharactersWithSpaces>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cp:revision>
  <dcterms:created xsi:type="dcterms:W3CDTF">2025-08-21T01:41:00Z</dcterms:created>
  <dcterms:modified xsi:type="dcterms:W3CDTF">2025-12-08T02:13:00Z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