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恒源封闭债权24</w:t>
      </w:r>
      <w:r>
        <w:rPr>
          <w:rFonts w:hint="eastAsia" w:ascii="楷体" w:hAnsi="楷体" w:eastAsia="楷体"/>
          <w:b/>
          <w:color w:val="auto"/>
          <w:sz w:val="28"/>
          <w:szCs w:val="28"/>
          <w:lang w:val="en-US" w:eastAsia="zh-CN"/>
        </w:rPr>
        <w:t>9</w:t>
      </w:r>
      <w:bookmarkStart w:id="0" w:name="_GoBack"/>
      <w:bookmarkEnd w:id="0"/>
      <w:r>
        <w:rPr>
          <w:rFonts w:hint="eastAsia" w:ascii="楷体" w:hAnsi="楷体" w:eastAsia="楷体"/>
          <w:b/>
          <w:color w:val="auto"/>
          <w:sz w:val="28"/>
          <w:szCs w:val="28"/>
          <w:lang w:eastAsia="zh-CN"/>
        </w:rPr>
        <w:t>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1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①</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2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②</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3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③</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利率风险。结构性存款如挂钩特定债券或债券指数，可能因相关利率变动而导致产品收益发生变化。</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4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④</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5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⑤</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31281"/>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361D"/>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9F1431"/>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8F4096"/>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0312A"/>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3B1355"/>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40857"/>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D97039"/>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35838"/>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B2262"/>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3992"/>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4F0B6B"/>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4841</Words>
  <Characters>4845</Characters>
  <Lines>243</Lines>
  <Paragraphs>68</Paragraphs>
  <TotalTime>13</TotalTime>
  <ScaleCrop>false</ScaleCrop>
  <LinksUpToDate>false</LinksUpToDate>
  <CharactersWithSpaces>5044</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2025-12-10T09:30:17Z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