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苏银理财恒源封闭债权250期</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bookmarkStart w:id="0" w:name="_GoBack"/>
      <w:bookmarkEnd w:id="0"/>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恒源封闭债权250期</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苏银理财恒源封闭债权250期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Z7003125000309，</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A份额：苏银理财恒源封闭债权250期13月A/J11658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C份额：苏银理财恒源封闭债权250期13月C/J11659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D份额：苏银理财恒源封闭债权250期13月D/J11660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E份额：苏银理财恒源封闭债权250期13月E/J11661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F份额：苏银理财恒源封闭债权250期13月F/J11662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G份额：苏银理财恒源封闭债权250期13月G/J11663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H份额：苏银理财恒源封闭债权250期13月H/J11664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I份额：苏银理财恒源封闭债权250期13月I/J11665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J份额：苏银理财恒源封闭债权250期13月J/J11666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L份额：苏银理财恒源封闭债权250期13月L/J11667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M份额：苏银理财恒源封闭债权250期13月M/J11668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N份额：苏银理财恒源封闭债权250期13月N/J11669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O份额：苏银理财恒源封闭债权250期13月O（兰州银行开门红专属）/J11670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Z份额：苏银理财恒源封闭债权250期13月Z/J11671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JS份额：苏银理财恒源封闭债权250期13月JS鑫福款/J11672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北部湾银行专属份额：苏银理财恒源封闭债权250期13月（北部湾银行专属）/J11673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芙蓉锦程·优选份额：苏银理财恒源封闭债权250期13月（芙蓉锦程·优选）/J11674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A/D/F/G/H/I/J/L/N/O/Z/JS/北部湾银行专属/芙蓉锦程·优选份额：1元/1元的整数倍；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24</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30</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2025年12月31日，如管理人调整募集期，则产品成立日将相应调整，以管理人公告为准。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19</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384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2.45%-2.85%；C份额：2.50%-2.90%；D份额：2.45%-2.85%；E份额：2.55%-2.95%；F份额：2.45%-2.85%；G份额：2.35%-2.75%；H份额：2.25%-2.65%；I份额：2.45%-2.85%；J份额：2.40%-2.80%；L份额：2.50%-2.90%；M份额：2.30%-2.70%；N份额：2.40%-2.80%；O份额：2.45%-2.85%；Z份额：2.55%-2.95%；JS份额：2.45%-2.85%；北部湾银行专属份额：2.35%-2.75%；芙蓉锦程·优选份额：2.50%-2.90%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M份额：0.35%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M份额：0.15%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北部湾银行专属份额：0.15%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D份额：宁波东海银行股份有限公司/武汉农村商业银行股份有限公司/宁波通商银行股份有限公司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E份额：江苏银行股份有限公司/江苏常熟农村商业银行股份有限公司/苏银理财有限责任公司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嘉兴银行股份有限公司/北京农村商业银行股份有限公司/青岛银行股份有限公司/秦皇岛银行股份有限公司/宁夏银行股份有限公司/广州银行股份有限公司/上海浦东发展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G份额：江苏苏州农村商业银行股份有限公司/山西银行股份有限公司/交通银行股份有限公司/东营银行股份有限公司/江苏常熟农村商业银行股份有限公司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L份额：浙江杭州余杭农村商业银行股份有限公司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Z份额：莱商银行股份有限公司/郑州银行股份有限公司/日照银行股份有限公司/齐鲁银行股份有限公司/兰州银行股份有限公司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北部湾银行专属份额：广西北部湾银行股份有限公司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14138</Words>
  <Characters>15064</Characters>
  <Lines>243</Lines>
  <Paragraphs>68</Paragraphs>
  <TotalTime>0</TotalTime>
  <ScaleCrop>false</ScaleCrop>
  <LinksUpToDate>false</LinksUpToDate>
  <CharactersWithSpaces>15067</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2025-12-17T09:30:51Z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