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w:t>
      </w:r>
      <w:r>
        <w:rPr>
          <w:rFonts w:hint="eastAsia" w:ascii="楷体" w:hAnsi="楷体" w:eastAsia="楷体"/>
          <w:b/>
          <w:color w:val="auto"/>
          <w:sz w:val="28"/>
          <w:szCs w:val="28"/>
          <w:highlight w:val="none"/>
          <w:lang w:eastAsia="zh-CN"/>
        </w:rPr>
        <w:t>苏银理财恒源1年定开2011期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w:t>
      </w:r>
      <w:bookmarkStart w:id="0" w:name="_GoBack"/>
      <w:bookmarkEnd w:id="0"/>
      <w:r>
        <w:rPr>
          <w:rFonts w:hint="eastAsia" w:ascii="楷体" w:hAnsi="楷体" w:eastAsia="楷体" w:cs="Times New Roman"/>
          <w:color w:val="auto"/>
          <w:sz w:val="21"/>
          <w:szCs w:val="21"/>
        </w:rPr>
        <w:t>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231173"/>
    <w:rsid w:val="1D262960"/>
    <w:rsid w:val="1D28500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D36D1"/>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56204"/>
    <w:rsid w:val="6F8F5BAE"/>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sylc</cp:lastModifiedBy>
  <cp:lastPrinted>2025-06-06T07:52:00Z</cp:lastPrinted>
  <dcterms:modified xsi:type="dcterms:W3CDTF">2026-01-05T07:56:36Z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