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outlineLvl w:val="1"/>
        <w:rPr>
          <w:rFonts w:ascii="宋体" w:hAnsi="宋体"/>
          <w:sz w:val="24"/>
          <w:highlight w:val="none"/>
        </w:rPr>
      </w:pPr>
      <w:r>
        <w:rPr>
          <w:rFonts w:hint="eastAsia" w:ascii="宋体" w:hAnsi="宋体"/>
          <w:sz w:val="24"/>
          <w:highlight w:val="none"/>
        </w:rPr>
        <w:t>附件</w:t>
      </w:r>
      <w:r>
        <w:rPr>
          <w:rFonts w:ascii="宋体" w:hAnsi="宋体"/>
          <w:sz w:val="24"/>
          <w:highlight w:val="none"/>
        </w:rPr>
        <w:t>：</w:t>
      </w:r>
    </w:p>
    <w:p>
      <w:pPr>
        <w:keepNext w:val="0"/>
        <w:keepLines w:val="0"/>
        <w:pageBreakBefore w:val="0"/>
        <w:widowControl/>
        <w:kinsoku/>
        <w:wordWrap/>
        <w:overflowPunct/>
        <w:topLinePunct w:val="0"/>
        <w:autoSpaceDE/>
        <w:autoSpaceDN/>
        <w:bidi w:val="0"/>
        <w:adjustRightInd/>
        <w:snapToGrid/>
        <w:spacing w:line="460" w:lineRule="exact"/>
        <w:ind w:firstLine="0" w:firstLineChars="0"/>
        <w:jc w:val="center"/>
        <w:textAlignment w:val="auto"/>
        <w:outlineLvl w:val="0"/>
        <w:rPr>
          <w:rFonts w:ascii="仿宋_GB2312" w:eastAsia="仿宋_GB2312"/>
          <w:b/>
          <w:color w:val="000000"/>
          <w:sz w:val="28"/>
          <w:szCs w:val="28"/>
          <w:highlight w:val="none"/>
        </w:rPr>
      </w:pPr>
      <w:r>
        <w:rPr>
          <w:rFonts w:hint="eastAsia" w:ascii="黑体" w:eastAsia="黑体"/>
          <w:b/>
          <w:sz w:val="32"/>
          <w:szCs w:val="32"/>
          <w:highlight w:val="none"/>
        </w:rPr>
        <w:t>投 资 者 权 益 须 知</w:t>
      </w:r>
    </w:p>
    <w:p>
      <w:pPr>
        <w:spacing w:line="460" w:lineRule="exact"/>
        <w:ind w:firstLine="562" w:firstLineChars="200"/>
        <w:rPr>
          <w:rFonts w:ascii="仿宋_GB2312" w:eastAsia="仿宋_GB2312"/>
          <w:b/>
          <w:color w:val="000000"/>
          <w:sz w:val="28"/>
          <w:szCs w:val="28"/>
          <w:highlight w:val="none"/>
        </w:rPr>
      </w:pPr>
    </w:p>
    <w:p>
      <w:pPr>
        <w:spacing w:line="460" w:lineRule="exact"/>
        <w:ind w:firstLine="562" w:firstLineChars="200"/>
        <w:outlineLvl w:val="0"/>
        <w:rPr>
          <w:rFonts w:ascii="仿宋_GB2312" w:eastAsia="仿宋_GB2312"/>
          <w:b/>
          <w:color w:val="000000"/>
          <w:sz w:val="28"/>
          <w:szCs w:val="28"/>
          <w:highlight w:val="none"/>
        </w:rPr>
      </w:pPr>
      <w:r>
        <w:rPr>
          <w:rFonts w:hint="eastAsia" w:ascii="仿宋_GB2312" w:eastAsia="仿宋_GB2312"/>
          <w:b/>
          <w:color w:val="000000"/>
          <w:sz w:val="28"/>
          <w:szCs w:val="28"/>
          <w:highlight w:val="none"/>
        </w:rPr>
        <w:t>一、</w:t>
      </w:r>
      <w:r>
        <w:rPr>
          <w:rFonts w:hint="eastAsia" w:ascii="仿宋_GB2312" w:eastAsia="仿宋_GB2312"/>
          <w:b/>
          <w:color w:val="000000"/>
          <w:sz w:val="28"/>
          <w:szCs w:val="28"/>
          <w:highlight w:val="none"/>
          <w:lang w:val="en-US" w:eastAsia="zh-CN"/>
        </w:rPr>
        <w:t>办理理财产品的</w:t>
      </w:r>
      <w:r>
        <w:rPr>
          <w:rFonts w:hint="eastAsia" w:ascii="仿宋_GB2312" w:eastAsia="仿宋_GB2312"/>
          <w:b/>
          <w:color w:val="000000"/>
          <w:sz w:val="28"/>
          <w:szCs w:val="28"/>
          <w:highlight w:val="none"/>
        </w:rPr>
        <w:t>流程</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lang w:val="en-US" w:eastAsia="zh-CN"/>
        </w:rPr>
        <w:t>一）</w:t>
      </w:r>
      <w:r>
        <w:rPr>
          <w:rFonts w:hint="eastAsia" w:ascii="仿宋_GB2312" w:eastAsia="仿宋_GB2312"/>
          <w:color w:val="000000"/>
          <w:sz w:val="28"/>
          <w:szCs w:val="28"/>
          <w:highlight w:val="none"/>
        </w:rPr>
        <w:t>提供与有效身份证件户名一致的本人</w:t>
      </w:r>
      <w:r>
        <w:rPr>
          <w:rFonts w:hint="eastAsia" w:ascii="仿宋_GB2312" w:eastAsia="仿宋_GB2312"/>
          <w:color w:val="000000"/>
          <w:sz w:val="28"/>
          <w:szCs w:val="28"/>
          <w:highlight w:val="none"/>
          <w:lang w:val="en-US" w:eastAsia="zh-CN"/>
        </w:rPr>
        <w:t>银行储蓄</w:t>
      </w:r>
      <w:r>
        <w:rPr>
          <w:rFonts w:hint="eastAsia" w:ascii="仿宋_GB2312" w:eastAsia="仿宋_GB2312"/>
          <w:color w:val="000000"/>
          <w:sz w:val="28"/>
          <w:szCs w:val="28"/>
          <w:highlight w:val="none"/>
        </w:rPr>
        <w:t>卡，作为“授权指定账户”用于</w:t>
      </w:r>
      <w:r>
        <w:rPr>
          <w:rFonts w:hint="eastAsia" w:ascii="仿宋_GB2312" w:eastAsia="仿宋_GB2312"/>
          <w:color w:val="000000"/>
          <w:sz w:val="28"/>
          <w:szCs w:val="28"/>
          <w:highlight w:val="none"/>
          <w:lang w:val="en-US" w:eastAsia="zh-CN"/>
        </w:rPr>
        <w:t>本</w:t>
      </w:r>
      <w:r>
        <w:rPr>
          <w:rFonts w:hint="eastAsia" w:ascii="仿宋_GB2312" w:eastAsia="仿宋_GB2312"/>
          <w:color w:val="000000"/>
          <w:sz w:val="28"/>
          <w:szCs w:val="28"/>
          <w:highlight w:val="none"/>
        </w:rPr>
        <w:t>理财产品</w:t>
      </w:r>
      <w:r>
        <w:rPr>
          <w:rFonts w:hint="eastAsia" w:ascii="仿宋_GB2312" w:eastAsia="仿宋_GB2312"/>
          <w:color w:val="000000"/>
          <w:sz w:val="28"/>
          <w:szCs w:val="28"/>
          <w:highlight w:val="none"/>
          <w:lang w:val="en-US" w:eastAsia="zh-CN"/>
        </w:rPr>
        <w:t>的</w:t>
      </w:r>
      <w:r>
        <w:rPr>
          <w:rFonts w:hint="eastAsia" w:ascii="仿宋_GB2312" w:eastAsia="仿宋_GB2312"/>
          <w:color w:val="000000"/>
          <w:sz w:val="28"/>
          <w:szCs w:val="28"/>
          <w:highlight w:val="none"/>
        </w:rPr>
        <w:t>资金的</w:t>
      </w:r>
      <w:r>
        <w:rPr>
          <w:rFonts w:hint="eastAsia" w:ascii="仿宋_GB2312" w:eastAsia="仿宋_GB2312"/>
          <w:color w:val="000000"/>
          <w:sz w:val="28"/>
          <w:szCs w:val="28"/>
          <w:highlight w:val="none"/>
          <w:lang w:val="en-US" w:eastAsia="zh-CN"/>
        </w:rPr>
        <w:t>划转及兑付</w:t>
      </w:r>
      <w:r>
        <w:rPr>
          <w:rFonts w:hint="eastAsia" w:ascii="仿宋_GB2312" w:eastAsia="仿宋_GB2312"/>
          <w:color w:val="000000"/>
          <w:sz w:val="28"/>
          <w:szCs w:val="28"/>
          <w:highlight w:val="none"/>
        </w:rPr>
        <w:t>；</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lang w:val="en-US" w:eastAsia="zh-CN"/>
        </w:rPr>
        <w:t>二）接受并完成代销机构对您的风险承受能力评估，并根据风险评估结果选择合适的理财产品</w:t>
      </w:r>
      <w:r>
        <w:rPr>
          <w:rFonts w:hint="eastAsia" w:ascii="仿宋_GB2312" w:eastAsia="仿宋_GB2312"/>
          <w:color w:val="000000"/>
          <w:sz w:val="28"/>
          <w:szCs w:val="28"/>
          <w:highlight w:val="none"/>
        </w:rPr>
        <w:t>；</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lang w:val="en-US" w:eastAsia="zh-CN"/>
        </w:rPr>
        <w:t>三）仔细</w:t>
      </w:r>
      <w:r>
        <w:rPr>
          <w:rFonts w:hint="eastAsia" w:ascii="仿宋_GB2312" w:eastAsia="仿宋_GB2312"/>
          <w:color w:val="000000"/>
          <w:sz w:val="28"/>
          <w:szCs w:val="28"/>
          <w:highlight w:val="none"/>
        </w:rPr>
        <w:t>阅读并确认产品说明书、风险揭示书、投资者权益须知、</w:t>
      </w:r>
      <w:r>
        <w:rPr>
          <w:rFonts w:hint="eastAsia" w:ascii="仿宋_GB2312" w:eastAsia="仿宋_GB2312"/>
          <w:color w:val="000000"/>
          <w:sz w:val="28"/>
          <w:szCs w:val="28"/>
          <w:highlight w:val="none"/>
          <w:lang w:val="en-US" w:eastAsia="zh-CN"/>
        </w:rPr>
        <w:t>投资协议书、代理销售</w:t>
      </w:r>
      <w:r>
        <w:rPr>
          <w:rFonts w:hint="eastAsia" w:ascii="仿宋_GB2312" w:eastAsia="仿宋_GB2312"/>
          <w:color w:val="000000"/>
          <w:sz w:val="28"/>
          <w:szCs w:val="28"/>
          <w:highlight w:val="none"/>
        </w:rPr>
        <w:t>协议书</w:t>
      </w:r>
      <w:r>
        <w:rPr>
          <w:rFonts w:hint="eastAsia" w:ascii="仿宋_GB2312" w:eastAsia="仿宋_GB2312"/>
          <w:color w:val="000000"/>
          <w:sz w:val="28"/>
          <w:szCs w:val="28"/>
          <w:highlight w:val="none"/>
          <w:lang w:val="en-US" w:eastAsia="zh-CN"/>
        </w:rPr>
        <w:t>以及其他有关文件（如有），签署相关销售文件，并办理购买手续。</w:t>
      </w:r>
    </w:p>
    <w:p>
      <w:pPr>
        <w:spacing w:line="460" w:lineRule="exact"/>
        <w:ind w:firstLine="562" w:firstLineChars="200"/>
        <w:outlineLvl w:val="9"/>
        <w:rPr>
          <w:rFonts w:ascii="仿宋_GB2312" w:eastAsia="仿宋_GB2312"/>
          <w:b/>
          <w:color w:val="000000"/>
          <w:sz w:val="28"/>
          <w:szCs w:val="28"/>
          <w:highlight w:val="none"/>
        </w:rPr>
      </w:pPr>
      <w:r>
        <w:rPr>
          <w:rFonts w:hint="eastAsia" w:ascii="仿宋_GB2312" w:eastAsia="仿宋_GB2312"/>
          <w:b/>
          <w:color w:val="000000"/>
          <w:sz w:val="28"/>
          <w:szCs w:val="28"/>
          <w:highlight w:val="none"/>
          <w:lang w:val="en-US" w:eastAsia="zh-CN"/>
        </w:rPr>
        <w:t>二</w:t>
      </w:r>
      <w:r>
        <w:rPr>
          <w:rFonts w:hint="eastAsia" w:ascii="仿宋_GB2312" w:eastAsia="仿宋_GB2312"/>
          <w:b/>
          <w:color w:val="000000"/>
          <w:sz w:val="28"/>
          <w:szCs w:val="28"/>
          <w:highlight w:val="none"/>
        </w:rPr>
        <w:t>、风险承受能力评估流程、评级具体含义以及适合购买的理财产品</w:t>
      </w:r>
    </w:p>
    <w:p>
      <w:pPr>
        <w:spacing w:line="460" w:lineRule="exact"/>
        <w:ind w:firstLine="560" w:firstLineChars="200"/>
        <w:outlineLvl w:val="1"/>
        <w:rPr>
          <w:rFonts w:ascii="仿宋_GB2312" w:eastAsia="仿宋_GB2312"/>
          <w:color w:val="000000"/>
          <w:sz w:val="28"/>
          <w:szCs w:val="28"/>
          <w:highlight w:val="none"/>
        </w:rPr>
      </w:pPr>
      <w:r>
        <w:rPr>
          <w:rFonts w:hint="eastAsia" w:ascii="仿宋_GB2312" w:eastAsia="仿宋_GB2312"/>
          <w:color w:val="000000"/>
          <w:sz w:val="28"/>
          <w:szCs w:val="28"/>
          <w:highlight w:val="none"/>
        </w:rPr>
        <w:t>（一）风险承受能力评估流程</w:t>
      </w:r>
    </w:p>
    <w:p>
      <w:pPr>
        <w:spacing w:line="460" w:lineRule="exact"/>
        <w:ind w:firstLine="560" w:firstLineChars="200"/>
        <w:outlineLvl w:val="2"/>
        <w:rPr>
          <w:rFonts w:ascii="仿宋_GB2312" w:eastAsia="仿宋_GB2312"/>
          <w:color w:val="000000"/>
          <w:sz w:val="28"/>
          <w:szCs w:val="28"/>
          <w:highlight w:val="none"/>
        </w:rPr>
      </w:pPr>
      <w:r>
        <w:rPr>
          <w:rFonts w:hint="eastAsia" w:ascii="仿宋_GB2312" w:eastAsia="仿宋_GB2312"/>
          <w:color w:val="000000"/>
          <w:sz w:val="28"/>
          <w:szCs w:val="28"/>
          <w:highlight w:val="none"/>
        </w:rPr>
        <w:t>1、您首次购买理财产品时风险评估流程</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（1）填写</w:t>
      </w:r>
      <w:r>
        <w:rPr>
          <w:rFonts w:hint="eastAsia" w:ascii="仿宋_GB2312" w:eastAsia="仿宋_GB2312"/>
          <w:color w:val="000000"/>
          <w:sz w:val="28"/>
          <w:szCs w:val="28"/>
          <w:highlight w:val="none"/>
          <w:lang w:val="en-US" w:eastAsia="zh-CN"/>
        </w:rPr>
        <w:t>代销机构</w:t>
      </w:r>
      <w:r>
        <w:rPr>
          <w:rFonts w:hint="eastAsia" w:ascii="仿宋_GB2312" w:eastAsia="仿宋_GB2312"/>
          <w:color w:val="000000"/>
          <w:sz w:val="28"/>
          <w:szCs w:val="28"/>
          <w:highlight w:val="none"/>
        </w:rPr>
        <w:t>个人客户风险评估问卷，得出投资风险评估结果（即客户类型）及适合度匹配结果。</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（2）对</w:t>
      </w:r>
      <w:r>
        <w:rPr>
          <w:rFonts w:hint="eastAsia" w:ascii="仿宋_GB2312" w:eastAsia="仿宋_GB2312"/>
          <w:color w:val="000000"/>
          <w:sz w:val="28"/>
          <w:szCs w:val="28"/>
          <w:highlight w:val="none"/>
          <w:lang w:val="en-US" w:eastAsia="zh-CN"/>
        </w:rPr>
        <w:t>代销机构</w:t>
      </w:r>
      <w:r>
        <w:rPr>
          <w:rFonts w:hint="eastAsia" w:ascii="仿宋_GB2312" w:eastAsia="仿宋_GB2312"/>
          <w:color w:val="000000"/>
          <w:sz w:val="28"/>
          <w:szCs w:val="28"/>
          <w:highlight w:val="none"/>
        </w:rPr>
        <w:t>个人客户风险评估结果确认书进行确认。</w:t>
      </w:r>
    </w:p>
    <w:p>
      <w:pPr>
        <w:spacing w:line="460" w:lineRule="exact"/>
        <w:ind w:firstLine="560" w:firstLineChars="200"/>
        <w:outlineLvl w:val="2"/>
        <w:rPr>
          <w:rFonts w:ascii="仿宋_GB2312" w:eastAsia="仿宋_GB2312"/>
          <w:color w:val="000000"/>
          <w:sz w:val="28"/>
          <w:szCs w:val="28"/>
          <w:highlight w:val="none"/>
        </w:rPr>
      </w:pPr>
      <w:r>
        <w:rPr>
          <w:rFonts w:hint="eastAsia" w:ascii="仿宋_GB2312" w:eastAsia="仿宋_GB2312"/>
          <w:color w:val="000000"/>
          <w:sz w:val="28"/>
          <w:szCs w:val="28"/>
          <w:highlight w:val="none"/>
        </w:rPr>
        <w:t>2、风险评估有效期内再次评估流程</w:t>
      </w:r>
    </w:p>
    <w:p>
      <w:pPr>
        <w:spacing w:line="460" w:lineRule="exact"/>
        <w:ind w:firstLine="560" w:firstLineChars="200"/>
        <w:rPr>
          <w:rFonts w:ascii="仿宋_GB2312" w:eastAsia="仿宋_GB2312"/>
          <w:color w:val="000000"/>
          <w:sz w:val="28"/>
          <w:szCs w:val="28"/>
          <w:highlight w:val="none"/>
        </w:rPr>
      </w:pPr>
      <w:r>
        <w:rPr>
          <w:rFonts w:hint="eastAsia" w:ascii="仿宋_GB2312" w:eastAsia="仿宋_GB2312"/>
          <w:color w:val="000000"/>
          <w:sz w:val="28"/>
          <w:szCs w:val="28"/>
          <w:highlight w:val="none"/>
        </w:rPr>
        <w:t>在风险评估有效期内（风险评估后一年以内），若您再次购买理财产品，如您的财务状况无变化无需重新进行风险评估，仅需在</w:t>
      </w:r>
      <w:r>
        <w:rPr>
          <w:rFonts w:hint="eastAsia" w:ascii="仿宋_GB2312" w:eastAsia="仿宋_GB2312"/>
          <w:color w:val="000000"/>
          <w:sz w:val="28"/>
          <w:szCs w:val="28"/>
          <w:highlight w:val="none"/>
          <w:lang w:val="en-US" w:eastAsia="zh-CN"/>
        </w:rPr>
        <w:t>代销机构线下营业场所/电子渠道</w:t>
      </w:r>
      <w:r>
        <w:rPr>
          <w:rFonts w:hint="eastAsia" w:ascii="仿宋_GB2312" w:eastAsia="仿宋_GB2312"/>
          <w:color w:val="000000"/>
          <w:sz w:val="28"/>
          <w:szCs w:val="28"/>
          <w:highlight w:val="none"/>
        </w:rPr>
        <w:t>对风险评估结果与产品适合度匹配进行确认即可；如您的财务状况发生变化需要重新进行风险评估，则需重新填写</w:t>
      </w:r>
      <w:r>
        <w:rPr>
          <w:rFonts w:hint="eastAsia" w:ascii="仿宋_GB2312" w:eastAsia="仿宋_GB2312"/>
          <w:color w:val="000000"/>
          <w:sz w:val="28"/>
          <w:szCs w:val="28"/>
          <w:highlight w:val="none"/>
          <w:lang w:val="en-US" w:eastAsia="zh-CN"/>
        </w:rPr>
        <w:t>代销机构</w:t>
      </w:r>
      <w:r>
        <w:rPr>
          <w:rFonts w:hint="eastAsia" w:ascii="仿宋_GB2312" w:eastAsia="仿宋_GB2312"/>
          <w:color w:val="000000"/>
          <w:sz w:val="28"/>
          <w:szCs w:val="28"/>
          <w:highlight w:val="none"/>
        </w:rPr>
        <w:t>个人客户风险评估问卷，得出投资风险评估结果（即客户类型）及适合度匹配结果，并对</w:t>
      </w:r>
      <w:r>
        <w:rPr>
          <w:rFonts w:hint="eastAsia" w:ascii="仿宋_GB2312" w:eastAsia="仿宋_GB2312"/>
          <w:color w:val="000000"/>
          <w:sz w:val="28"/>
          <w:szCs w:val="28"/>
          <w:highlight w:val="none"/>
          <w:lang w:val="en-US" w:eastAsia="zh-CN"/>
        </w:rPr>
        <w:t>代销机构</w:t>
      </w:r>
      <w:r>
        <w:rPr>
          <w:rFonts w:hint="eastAsia" w:ascii="仿宋_GB2312" w:eastAsia="仿宋_GB2312"/>
          <w:color w:val="000000"/>
          <w:sz w:val="28"/>
          <w:szCs w:val="28"/>
          <w:highlight w:val="none"/>
        </w:rPr>
        <w:t>个人客户风险评估结果确认书进行确认。</w:t>
      </w:r>
    </w:p>
    <w:p>
      <w:pPr>
        <w:spacing w:line="460" w:lineRule="exact"/>
        <w:ind w:firstLine="560" w:firstLineChars="200"/>
        <w:outlineLvl w:val="2"/>
        <w:rPr>
          <w:rFonts w:ascii="仿宋_GB2312" w:eastAsia="仿宋_GB2312"/>
          <w:color w:val="000000"/>
          <w:sz w:val="28"/>
          <w:szCs w:val="28"/>
          <w:highlight w:val="none"/>
        </w:rPr>
      </w:pPr>
      <w:r>
        <w:rPr>
          <w:rFonts w:hint="eastAsia" w:ascii="仿宋_GB2312" w:eastAsia="仿宋_GB2312"/>
          <w:color w:val="000000"/>
          <w:sz w:val="28"/>
          <w:szCs w:val="28"/>
          <w:highlight w:val="none"/>
        </w:rPr>
        <w:t>3、风险评估有效期过后再次评估流程</w:t>
      </w:r>
    </w:p>
    <w:p>
      <w:pPr>
        <w:spacing w:line="460" w:lineRule="exact"/>
        <w:ind w:firstLine="562" w:firstLineChars="200"/>
        <w:rPr>
          <w:rFonts w:ascii="仿宋_GB2312" w:eastAsia="仿宋_GB2312"/>
          <w:b/>
          <w:bCs/>
          <w:color w:val="000000"/>
          <w:sz w:val="28"/>
          <w:szCs w:val="28"/>
          <w:highlight w:val="none"/>
        </w:rPr>
      </w:pPr>
      <w:r>
        <w:rPr>
          <w:rFonts w:hint="eastAsia" w:ascii="仿宋_GB2312" w:eastAsia="仿宋_GB2312"/>
          <w:b/>
          <w:bCs/>
          <w:color w:val="000000"/>
          <w:sz w:val="28"/>
          <w:szCs w:val="28"/>
          <w:highlight w:val="none"/>
        </w:rPr>
        <w:t>在风险评估有效期过后（风险评估一年以后），若您再次购买理财产品，需填写</w:t>
      </w:r>
      <w:r>
        <w:rPr>
          <w:rFonts w:hint="eastAsia" w:ascii="仿宋_GB2312" w:eastAsia="仿宋_GB2312"/>
          <w:b/>
          <w:bCs/>
          <w:color w:val="000000"/>
          <w:sz w:val="28"/>
          <w:szCs w:val="28"/>
          <w:highlight w:val="none"/>
          <w:lang w:val="en-US" w:eastAsia="zh-CN"/>
        </w:rPr>
        <w:t>代销机构</w:t>
      </w:r>
      <w:r>
        <w:rPr>
          <w:rFonts w:hint="eastAsia" w:ascii="仿宋_GB2312" w:eastAsia="仿宋_GB2312"/>
          <w:b/>
          <w:bCs/>
          <w:color w:val="000000"/>
          <w:sz w:val="28"/>
          <w:szCs w:val="28"/>
          <w:highlight w:val="none"/>
        </w:rPr>
        <w:t>个人客户风险评估问卷，得出投资风险评估结果（即客户类型）及适合度匹配结果并对</w:t>
      </w:r>
      <w:r>
        <w:rPr>
          <w:rFonts w:hint="eastAsia" w:ascii="仿宋_GB2312" w:eastAsia="仿宋_GB2312"/>
          <w:b/>
          <w:bCs/>
          <w:color w:val="000000"/>
          <w:sz w:val="28"/>
          <w:szCs w:val="28"/>
          <w:highlight w:val="none"/>
          <w:lang w:val="en-US" w:eastAsia="zh-CN"/>
        </w:rPr>
        <w:t>代销机构</w:t>
      </w:r>
      <w:r>
        <w:rPr>
          <w:rFonts w:hint="eastAsia" w:ascii="仿宋_GB2312" w:eastAsia="仿宋_GB2312"/>
          <w:b/>
          <w:bCs/>
          <w:color w:val="000000"/>
          <w:sz w:val="28"/>
          <w:szCs w:val="28"/>
          <w:highlight w:val="none"/>
        </w:rPr>
        <w:t>个人客户风险评估结果确认书进行确认。</w:t>
      </w:r>
    </w:p>
    <w:p>
      <w:pPr>
        <w:spacing w:line="460" w:lineRule="exact"/>
        <w:ind w:firstLine="560" w:firstLineChars="200"/>
        <w:outlineLvl w:val="1"/>
        <w:rPr>
          <w:rFonts w:ascii="仿宋_GB2312" w:eastAsia="仿宋_GB2312"/>
          <w:color w:val="000000"/>
          <w:sz w:val="28"/>
          <w:szCs w:val="28"/>
          <w:highlight w:val="none"/>
        </w:rPr>
      </w:pPr>
      <w:r>
        <w:rPr>
          <w:rFonts w:hint="eastAsia" w:ascii="仿宋_GB2312" w:eastAsia="仿宋_GB2312"/>
          <w:color w:val="000000"/>
          <w:sz w:val="28"/>
          <w:szCs w:val="28"/>
          <w:highlight w:val="none"/>
        </w:rPr>
        <w:t>（二）评级具体含义以及适合购买的理财产品</w:t>
      </w:r>
    </w:p>
    <w:p>
      <w:pPr>
        <w:spacing w:line="460" w:lineRule="exact"/>
        <w:ind w:firstLine="560" w:firstLineChars="200"/>
        <w:rPr>
          <w:rFonts w:hint="eastAsia" w:ascii="仿宋_GB2312" w:eastAsia="仿宋_GB2312"/>
          <w:sz w:val="28"/>
          <w:szCs w:val="28"/>
          <w:highlight w:val="none"/>
        </w:rPr>
      </w:pPr>
      <w:r>
        <w:rPr>
          <w:rFonts w:hint="eastAsia" w:ascii="仿宋_GB2312" w:eastAsia="仿宋_GB2312"/>
          <w:color w:val="000000"/>
          <w:sz w:val="28"/>
          <w:szCs w:val="28"/>
          <w:highlight w:val="none"/>
          <w:lang w:val="en-US" w:eastAsia="zh-CN"/>
        </w:rPr>
        <w:t>代销机构</w:t>
      </w:r>
      <w:r>
        <w:rPr>
          <w:rFonts w:hint="eastAsia" w:ascii="仿宋_GB2312" w:eastAsia="仿宋_GB2312"/>
          <w:color w:val="000000"/>
          <w:sz w:val="28"/>
          <w:szCs w:val="28"/>
          <w:highlight w:val="none"/>
        </w:rPr>
        <w:t>对客户类型及可以购买的产品类型分为以下</w:t>
      </w:r>
      <w:r>
        <w:rPr>
          <w:rFonts w:hint="eastAsia" w:ascii="仿宋_GB2312" w:eastAsia="仿宋_GB2312"/>
          <w:color w:val="000000"/>
          <w:sz w:val="28"/>
          <w:szCs w:val="28"/>
          <w:highlight w:val="none"/>
          <w:lang w:val="en-US" w:eastAsia="zh-CN"/>
        </w:rPr>
        <w:t>五</w:t>
      </w:r>
      <w:r>
        <w:rPr>
          <w:rFonts w:hint="eastAsia" w:ascii="仿宋_GB2312" w:eastAsia="仿宋_GB2312"/>
          <w:color w:val="000000"/>
          <w:sz w:val="28"/>
          <w:szCs w:val="28"/>
          <w:highlight w:val="none"/>
        </w:rPr>
        <w:t>类</w:t>
      </w:r>
      <w:r>
        <w:rPr>
          <w:rFonts w:hint="eastAsia" w:ascii="仿宋_GB2312" w:eastAsia="仿宋_GB2312"/>
          <w:sz w:val="28"/>
          <w:szCs w:val="28"/>
          <w:highlight w:val="none"/>
        </w:rPr>
        <w:t>：</w:t>
      </w:r>
    </w:p>
    <w:p>
      <w:pPr>
        <w:spacing w:line="460" w:lineRule="exact"/>
        <w:ind w:firstLine="560" w:firstLineChars="200"/>
        <w:rPr>
          <w:rFonts w:hint="eastAsia" w:ascii="仿宋_GB2312" w:eastAsia="仿宋_GB2312"/>
          <w:sz w:val="28"/>
          <w:szCs w:val="28"/>
          <w:highlight w:val="none"/>
        </w:rPr>
      </w:pPr>
    </w:p>
    <w:tbl>
      <w:tblPr>
        <w:tblStyle w:val="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5"/>
        <w:gridCol w:w="1492"/>
        <w:gridCol w:w="1624"/>
        <w:gridCol w:w="1620"/>
        <w:gridCol w:w="1620"/>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905" w:type="dxa"/>
            <w:tcBorders>
              <w:tl2br w:val="single" w:color="auto" w:sz="4" w:space="0"/>
            </w:tcBorders>
            <w:vAlign w:val="center"/>
          </w:tcPr>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right"/>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产品风险等级</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投资者</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sz w:val="21"/>
                <w:szCs w:val="21"/>
                <w:highlight w:val="none"/>
              </w:rPr>
            </w:pPr>
            <w:r>
              <w:rPr>
                <w:rFonts w:hint="eastAsia" w:ascii="仿宋" w:hAnsi="仿宋" w:eastAsia="仿宋" w:cs="仿宋"/>
                <w:b/>
                <w:sz w:val="21"/>
                <w:szCs w:val="21"/>
                <w:highlight w:val="none"/>
              </w:rPr>
              <w:t>风险类型</w:t>
            </w:r>
          </w:p>
        </w:tc>
        <w:tc>
          <w:tcPr>
            <w:tcW w:w="1492"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低风险</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（一级风险，R1）</w:t>
            </w:r>
          </w:p>
        </w:tc>
        <w:tc>
          <w:tcPr>
            <w:tcW w:w="1624"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lang w:val="en-US" w:eastAsia="zh-CN"/>
              </w:rPr>
              <w:t>较</w:t>
            </w:r>
            <w:r>
              <w:rPr>
                <w:rFonts w:hint="eastAsia" w:ascii="仿宋" w:hAnsi="仿宋" w:eastAsia="仿宋" w:cs="仿宋"/>
                <w:b/>
                <w:sz w:val="21"/>
                <w:szCs w:val="21"/>
                <w:highlight w:val="none"/>
              </w:rPr>
              <w:t>低风险</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（二级风险，R2）</w:t>
            </w:r>
          </w:p>
        </w:tc>
        <w:tc>
          <w:tcPr>
            <w:tcW w:w="1620"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lang w:val="en-US" w:eastAsia="zh-CN"/>
              </w:rPr>
              <w:t>中等</w:t>
            </w:r>
            <w:r>
              <w:rPr>
                <w:rFonts w:hint="eastAsia" w:ascii="仿宋" w:hAnsi="仿宋" w:eastAsia="仿宋" w:cs="仿宋"/>
                <w:b/>
                <w:sz w:val="21"/>
                <w:szCs w:val="21"/>
                <w:highlight w:val="none"/>
              </w:rPr>
              <w:t>风险</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（三级风险，R3）</w:t>
            </w:r>
          </w:p>
        </w:tc>
        <w:tc>
          <w:tcPr>
            <w:tcW w:w="1620"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较高风险</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（四级风险，R4）</w:t>
            </w:r>
          </w:p>
        </w:tc>
        <w:tc>
          <w:tcPr>
            <w:tcW w:w="1515"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高风险</w:t>
            </w:r>
          </w:p>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sz w:val="21"/>
                <w:szCs w:val="21"/>
                <w:highlight w:val="none"/>
              </w:rPr>
            </w:pPr>
            <w:r>
              <w:rPr>
                <w:rFonts w:hint="eastAsia" w:ascii="仿宋" w:hAnsi="仿宋" w:eastAsia="仿宋" w:cs="仿宋"/>
                <w:b/>
                <w:sz w:val="21"/>
                <w:szCs w:val="21"/>
                <w:highlight w:val="none"/>
              </w:rPr>
              <w:t>（五级风险，R5）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905" w:type="dxa"/>
            <w:vAlign w:val="center"/>
          </w:tcPr>
          <w:p>
            <w:pPr>
              <w:keepNext w:val="0"/>
              <w:keepLines w:val="0"/>
              <w:pageBreakBefore w:val="0"/>
              <w:widowControl w:val="0"/>
              <w:kinsoku/>
              <w:wordWrap/>
              <w:overflowPunct/>
              <w:topLinePunct w:val="0"/>
              <w:autoSpaceDE/>
              <w:autoSpaceDN/>
              <w:bidi w:val="0"/>
              <w:adjustRightInd w:val="0"/>
              <w:spacing w:line="360" w:lineRule="auto"/>
              <w:jc w:val="center"/>
              <w:textAlignment w:val="baseline"/>
              <w:outlineLvl w:val="0"/>
              <w:rPr>
                <w:rFonts w:hint="eastAsia" w:ascii="仿宋" w:hAnsi="仿宋" w:eastAsia="仿宋" w:cs="仿宋"/>
                <w:b/>
                <w:kern w:val="2"/>
                <w:sz w:val="21"/>
                <w:szCs w:val="21"/>
                <w:highlight w:val="none"/>
                <w:lang w:val="en-US" w:eastAsia="zh-CN" w:bidi="ar-SA"/>
              </w:rPr>
            </w:pPr>
            <w:r>
              <w:rPr>
                <w:rFonts w:hint="eastAsia" w:ascii="仿宋" w:hAnsi="仿宋" w:eastAsia="仿宋" w:cs="仿宋"/>
                <w:b/>
                <w:kern w:val="2"/>
                <w:sz w:val="21"/>
                <w:szCs w:val="21"/>
                <w:highlight w:val="none"/>
                <w:lang w:val="en-US" w:eastAsia="zh-CN" w:bidi="ar-SA"/>
              </w:rPr>
              <w:t>进取型</w:t>
            </w:r>
          </w:p>
        </w:tc>
        <w:tc>
          <w:tcPr>
            <w:tcW w:w="1492" w:type="dxa"/>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szCs w:val="21"/>
                <w:highlight w:val="none"/>
              </w:rPr>
            </w:pPr>
            <w:r>
              <w:rPr>
                <w:rFonts w:hint="eastAsia" w:ascii="仿宋" w:hAnsi="仿宋" w:eastAsia="仿宋" w:cs="仿宋"/>
                <w:kern w:val="0"/>
                <w:szCs w:val="21"/>
                <w:highlight w:val="none"/>
              </w:rPr>
              <w:t>适合</w:t>
            </w:r>
          </w:p>
        </w:tc>
        <w:tc>
          <w:tcPr>
            <w:tcW w:w="1624" w:type="dxa"/>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szCs w:val="21"/>
                <w:highlight w:val="none"/>
              </w:rPr>
            </w:pPr>
            <w:r>
              <w:rPr>
                <w:rFonts w:hint="eastAsia" w:ascii="仿宋" w:hAnsi="仿宋" w:eastAsia="仿宋" w:cs="仿宋"/>
                <w:kern w:val="0"/>
                <w:szCs w:val="21"/>
                <w:highlight w:val="none"/>
              </w:rPr>
              <w:t>适合</w:t>
            </w:r>
          </w:p>
        </w:tc>
        <w:tc>
          <w:tcPr>
            <w:tcW w:w="1620" w:type="dxa"/>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szCs w:val="21"/>
                <w:highlight w:val="none"/>
              </w:rPr>
            </w:pPr>
            <w:r>
              <w:rPr>
                <w:rFonts w:hint="eastAsia" w:ascii="仿宋" w:hAnsi="仿宋" w:eastAsia="仿宋" w:cs="仿宋"/>
                <w:kern w:val="0"/>
                <w:szCs w:val="21"/>
                <w:highlight w:val="none"/>
              </w:rPr>
              <w:t>适合</w:t>
            </w:r>
          </w:p>
        </w:tc>
        <w:tc>
          <w:tcPr>
            <w:tcW w:w="1620" w:type="dxa"/>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szCs w:val="21"/>
                <w:highlight w:val="none"/>
              </w:rPr>
            </w:pPr>
            <w:r>
              <w:rPr>
                <w:rFonts w:hint="eastAsia" w:ascii="仿宋" w:hAnsi="仿宋" w:eastAsia="仿宋" w:cs="仿宋"/>
                <w:kern w:val="0"/>
                <w:szCs w:val="21"/>
                <w:highlight w:val="none"/>
              </w:rPr>
              <w:t>适合</w:t>
            </w:r>
          </w:p>
        </w:tc>
        <w:tc>
          <w:tcPr>
            <w:tcW w:w="1515" w:type="dxa"/>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center"/>
              <w:textAlignment w:val="auto"/>
              <w:rPr>
                <w:rFonts w:hint="eastAsia" w:ascii="仿宋" w:hAnsi="仿宋" w:eastAsia="仿宋" w:cs="仿宋"/>
                <w:sz w:val="21"/>
                <w:szCs w:val="21"/>
                <w:highlight w:val="none"/>
              </w:rPr>
            </w:pPr>
            <w:r>
              <w:rPr>
                <w:rFonts w:hint="eastAsia" w:ascii="仿宋" w:hAnsi="仿宋" w:eastAsia="仿宋" w:cs="仿宋"/>
                <w:kern w:val="0"/>
                <w:sz w:val="21"/>
                <w:szCs w:val="21"/>
                <w:highlight w:val="none"/>
                <w:lang w:val="en-US" w:eastAsia="zh-CN" w:bidi="ar-SA"/>
              </w:rPr>
              <w:t>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5" w:type="dxa"/>
            <w:shd w:val="clear" w:color="auto" w:fill="auto"/>
            <w:vAlign w:val="center"/>
          </w:tcPr>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kern w:val="2"/>
                <w:sz w:val="21"/>
                <w:szCs w:val="21"/>
                <w:highlight w:val="none"/>
                <w:lang w:val="en-US" w:eastAsia="zh-CN" w:bidi="ar-SA"/>
              </w:rPr>
            </w:pPr>
            <w:r>
              <w:rPr>
                <w:rFonts w:hint="eastAsia" w:ascii="仿宋" w:hAnsi="仿宋" w:eastAsia="仿宋" w:cs="仿宋"/>
                <w:b/>
                <w:kern w:val="2"/>
                <w:sz w:val="21"/>
                <w:szCs w:val="21"/>
                <w:highlight w:val="none"/>
                <w:lang w:val="en-US" w:eastAsia="zh-CN" w:bidi="ar-SA"/>
              </w:rPr>
              <w:t>成长型</w:t>
            </w:r>
          </w:p>
        </w:tc>
        <w:tc>
          <w:tcPr>
            <w:tcW w:w="1492" w:type="dxa"/>
            <w:shd w:val="clear" w:color="auto" w:fill="auto"/>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适合</w:t>
            </w:r>
          </w:p>
        </w:tc>
        <w:tc>
          <w:tcPr>
            <w:tcW w:w="1624" w:type="dxa"/>
            <w:shd w:val="clear" w:color="auto" w:fill="auto"/>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适合</w:t>
            </w:r>
          </w:p>
        </w:tc>
        <w:tc>
          <w:tcPr>
            <w:tcW w:w="1620" w:type="dxa"/>
            <w:shd w:val="clear" w:color="auto" w:fill="auto"/>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适合</w:t>
            </w:r>
          </w:p>
        </w:tc>
        <w:tc>
          <w:tcPr>
            <w:tcW w:w="1620" w:type="dxa"/>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适合</w:t>
            </w:r>
          </w:p>
        </w:tc>
        <w:tc>
          <w:tcPr>
            <w:tcW w:w="1515" w:type="dxa"/>
            <w:tcBorders>
              <w:bottom w:val="single" w:color="auto" w:sz="4" w:space="0"/>
            </w:tcBorders>
            <w:shd w:val="clear" w:color="auto" w:fill="E6E6E6"/>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不适合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5" w:type="dxa"/>
            <w:shd w:val="clear" w:color="auto" w:fill="auto"/>
            <w:vAlign w:val="center"/>
          </w:tcPr>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kern w:val="2"/>
                <w:sz w:val="21"/>
                <w:szCs w:val="21"/>
                <w:highlight w:val="none"/>
                <w:lang w:val="en-US" w:eastAsia="zh-CN" w:bidi="ar-SA"/>
              </w:rPr>
            </w:pPr>
            <w:r>
              <w:rPr>
                <w:rFonts w:hint="eastAsia" w:ascii="仿宋" w:hAnsi="仿宋" w:eastAsia="仿宋" w:cs="仿宋"/>
                <w:b/>
                <w:kern w:val="2"/>
                <w:sz w:val="21"/>
                <w:szCs w:val="21"/>
                <w:highlight w:val="none"/>
                <w:lang w:val="en-US" w:eastAsia="zh-CN" w:bidi="ar-SA"/>
              </w:rPr>
              <w:t>平衡型</w:t>
            </w:r>
          </w:p>
        </w:tc>
        <w:tc>
          <w:tcPr>
            <w:tcW w:w="1492" w:type="dxa"/>
            <w:shd w:val="clear" w:color="auto" w:fill="auto"/>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适合</w:t>
            </w:r>
          </w:p>
        </w:tc>
        <w:tc>
          <w:tcPr>
            <w:tcW w:w="1624" w:type="dxa"/>
            <w:shd w:val="clear" w:color="auto" w:fill="auto"/>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适合</w:t>
            </w:r>
          </w:p>
        </w:tc>
        <w:tc>
          <w:tcPr>
            <w:tcW w:w="1620" w:type="dxa"/>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适合</w:t>
            </w:r>
          </w:p>
        </w:tc>
        <w:tc>
          <w:tcPr>
            <w:tcW w:w="1620" w:type="dxa"/>
            <w:shd w:val="clear" w:color="auto" w:fill="E6E6E6"/>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1515" w:type="dxa"/>
            <w:shd w:val="clear" w:color="auto" w:fill="E6E6E6"/>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不适合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5" w:type="dxa"/>
            <w:shd w:val="clear" w:color="auto" w:fill="auto"/>
            <w:vAlign w:val="center"/>
          </w:tcPr>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kern w:val="2"/>
                <w:sz w:val="21"/>
                <w:szCs w:val="21"/>
                <w:highlight w:val="none"/>
                <w:lang w:val="en-US" w:eastAsia="zh-CN" w:bidi="ar-SA"/>
              </w:rPr>
            </w:pPr>
            <w:r>
              <w:rPr>
                <w:rFonts w:hint="eastAsia" w:ascii="仿宋" w:hAnsi="仿宋" w:eastAsia="仿宋" w:cs="仿宋"/>
                <w:b/>
                <w:kern w:val="2"/>
                <w:sz w:val="21"/>
                <w:szCs w:val="21"/>
                <w:highlight w:val="none"/>
                <w:lang w:val="en-US" w:eastAsia="zh-CN" w:bidi="ar-SA"/>
              </w:rPr>
              <w:t>稳健型</w:t>
            </w:r>
          </w:p>
        </w:tc>
        <w:tc>
          <w:tcPr>
            <w:tcW w:w="1492" w:type="dxa"/>
            <w:shd w:val="clear" w:color="auto" w:fill="auto"/>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适合</w:t>
            </w:r>
          </w:p>
        </w:tc>
        <w:tc>
          <w:tcPr>
            <w:tcW w:w="1624" w:type="dxa"/>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适合</w:t>
            </w:r>
          </w:p>
        </w:tc>
        <w:tc>
          <w:tcPr>
            <w:tcW w:w="1620" w:type="dxa"/>
            <w:shd w:val="clear" w:color="auto" w:fill="E6E6E6"/>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1620" w:type="dxa"/>
            <w:shd w:val="clear" w:color="auto" w:fill="E6E6E6"/>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1515" w:type="dxa"/>
            <w:shd w:val="clear" w:color="auto" w:fill="E6E6E6"/>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不适合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05" w:type="dxa"/>
            <w:shd w:val="clear" w:color="auto" w:fill="auto"/>
            <w:vAlign w:val="center"/>
          </w:tcPr>
          <w:p>
            <w:pPr>
              <w:pStyle w:val="2"/>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仿宋" w:hAnsi="仿宋" w:eastAsia="仿宋" w:cs="仿宋"/>
                <w:b/>
                <w:kern w:val="2"/>
                <w:sz w:val="21"/>
                <w:szCs w:val="21"/>
                <w:highlight w:val="none"/>
                <w:lang w:val="en-US" w:eastAsia="zh-CN" w:bidi="ar-SA"/>
              </w:rPr>
            </w:pPr>
            <w:r>
              <w:rPr>
                <w:rFonts w:hint="eastAsia" w:ascii="仿宋" w:hAnsi="仿宋" w:eastAsia="仿宋" w:cs="仿宋"/>
                <w:b/>
                <w:kern w:val="2"/>
                <w:sz w:val="21"/>
                <w:szCs w:val="21"/>
                <w:highlight w:val="none"/>
                <w:lang w:val="en-US" w:eastAsia="zh-CN" w:bidi="ar-SA"/>
              </w:rPr>
              <w:t>保守型</w:t>
            </w:r>
          </w:p>
        </w:tc>
        <w:tc>
          <w:tcPr>
            <w:tcW w:w="1492" w:type="dxa"/>
            <w:shd w:val="clear" w:color="auto" w:fill="auto"/>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适合</w:t>
            </w:r>
          </w:p>
        </w:tc>
        <w:tc>
          <w:tcPr>
            <w:tcW w:w="1624" w:type="dxa"/>
            <w:shd w:val="clear" w:color="auto" w:fill="E6E6E6"/>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1620" w:type="dxa"/>
            <w:shd w:val="clear" w:color="auto" w:fill="E6E6E6"/>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1620" w:type="dxa"/>
            <w:shd w:val="clear" w:color="auto" w:fill="E6E6E6"/>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不适合</w:t>
            </w:r>
          </w:p>
        </w:tc>
        <w:tc>
          <w:tcPr>
            <w:tcW w:w="1515" w:type="dxa"/>
            <w:shd w:val="clear" w:color="auto" w:fill="E6E6E6"/>
            <w:vAlign w:val="center"/>
          </w:tcPr>
          <w:p>
            <w:pPr>
              <w:keepNext w:val="0"/>
              <w:keepLines w:val="0"/>
              <w:pageBreakBefore w:val="0"/>
              <w:widowControl w:val="0"/>
              <w:kinsoku/>
              <w:wordWrap/>
              <w:overflowPunct/>
              <w:topLinePunct w:val="0"/>
              <w:autoSpaceDE/>
              <w:autoSpaceDN/>
              <w:bidi w:val="0"/>
              <w:spacing w:line="360" w:lineRule="auto"/>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不适合</w:t>
            </w:r>
          </w:p>
        </w:tc>
      </w:tr>
    </w:tbl>
    <w:p>
      <w:pPr>
        <w:spacing w:before="156" w:beforeLines="50" w:line="460" w:lineRule="exact"/>
        <w:ind w:firstLine="562" w:firstLineChars="200"/>
        <w:outlineLvl w:val="0"/>
        <w:rPr>
          <w:rFonts w:ascii="仿宋_GB2312" w:eastAsia="仿宋_GB2312"/>
          <w:b/>
          <w:color w:val="000000"/>
          <w:sz w:val="28"/>
          <w:szCs w:val="28"/>
          <w:highlight w:val="none"/>
        </w:rPr>
      </w:pPr>
      <w:r>
        <w:rPr>
          <w:rFonts w:hint="eastAsia" w:ascii="仿宋_GB2312" w:eastAsia="仿宋_GB2312"/>
          <w:b/>
          <w:color w:val="000000"/>
          <w:sz w:val="28"/>
          <w:szCs w:val="28"/>
          <w:highlight w:val="none"/>
        </w:rPr>
        <w:t>四、信息披露</w:t>
      </w:r>
    </w:p>
    <w:p>
      <w:pPr>
        <w:adjustRightInd w:val="0"/>
        <w:snapToGrid w:val="0"/>
        <w:spacing w:line="460" w:lineRule="exact"/>
        <w:ind w:firstLine="560" w:firstLineChars="200"/>
        <w:rPr>
          <w:rFonts w:hint="eastAsia" w:ascii="仿宋_GB2312" w:eastAsia="仿宋_GB2312"/>
          <w:b w:val="0"/>
          <w:bCs w:val="0"/>
          <w:color w:val="000000"/>
          <w:sz w:val="28"/>
          <w:szCs w:val="28"/>
          <w:highlight w:val="none"/>
        </w:rPr>
      </w:pPr>
      <w:r>
        <w:rPr>
          <w:rFonts w:hint="eastAsia" w:ascii="仿宋_GB2312" w:eastAsia="仿宋_GB2312"/>
          <w:b w:val="0"/>
          <w:bCs w:val="0"/>
          <w:color w:val="000000"/>
          <w:sz w:val="28"/>
          <w:szCs w:val="28"/>
          <w:highlight w:val="none"/>
          <w:lang w:val="en-US" w:eastAsia="zh-CN"/>
        </w:rPr>
        <w:t>本理财产品信息披露将通过代理销售机构、上银理财的信息披露渠道（包括但不限于代理销售机构官方网站、电子销售渠道及上银理财官方网站等）进行。</w:t>
      </w:r>
      <w:r>
        <w:rPr>
          <w:rFonts w:hint="eastAsia" w:ascii="仿宋_GB2312" w:eastAsia="仿宋_GB2312"/>
          <w:b w:val="0"/>
          <w:bCs w:val="0"/>
          <w:color w:val="000000"/>
          <w:sz w:val="28"/>
          <w:szCs w:val="28"/>
          <w:highlight w:val="none"/>
        </w:rPr>
        <w:t>理财产品相关信息的</w:t>
      </w:r>
      <w:r>
        <w:rPr>
          <w:rFonts w:hint="eastAsia" w:ascii="仿宋_GB2312" w:eastAsia="仿宋_GB2312"/>
          <w:b w:val="0"/>
          <w:bCs w:val="0"/>
          <w:color w:val="000000"/>
          <w:sz w:val="28"/>
          <w:szCs w:val="28"/>
          <w:highlight w:val="none"/>
          <w:lang w:val="en-US" w:eastAsia="zh-CN"/>
        </w:rPr>
        <w:t>具体</w:t>
      </w:r>
      <w:r>
        <w:rPr>
          <w:rFonts w:hint="eastAsia" w:ascii="仿宋_GB2312" w:eastAsia="仿宋_GB2312"/>
          <w:b w:val="0"/>
          <w:bCs w:val="0"/>
          <w:color w:val="000000"/>
          <w:sz w:val="28"/>
          <w:szCs w:val="28"/>
          <w:highlight w:val="none"/>
        </w:rPr>
        <w:t>披露方式、渠道和频率，</w:t>
      </w:r>
      <w:r>
        <w:rPr>
          <w:rFonts w:hint="eastAsia" w:ascii="仿宋_GB2312" w:eastAsia="仿宋_GB2312"/>
          <w:b w:val="0"/>
          <w:bCs w:val="0"/>
          <w:color w:val="000000"/>
          <w:sz w:val="28"/>
          <w:szCs w:val="28"/>
          <w:highlight w:val="none"/>
          <w:lang w:val="en-US" w:eastAsia="zh-CN"/>
        </w:rPr>
        <w:t>以</w:t>
      </w:r>
      <w:r>
        <w:rPr>
          <w:rFonts w:hint="eastAsia" w:ascii="仿宋_GB2312" w:eastAsia="仿宋_GB2312"/>
          <w:b w:val="0"/>
          <w:bCs w:val="0"/>
          <w:color w:val="000000"/>
          <w:sz w:val="28"/>
          <w:szCs w:val="28"/>
          <w:highlight w:val="none"/>
          <w:lang w:eastAsia="zh-CN"/>
        </w:rPr>
        <w:t>上银理财</w:t>
      </w:r>
      <w:r>
        <w:rPr>
          <w:rFonts w:hint="eastAsia" w:ascii="仿宋_GB2312" w:eastAsia="仿宋_GB2312"/>
          <w:b w:val="0"/>
          <w:bCs w:val="0"/>
          <w:color w:val="000000"/>
          <w:sz w:val="28"/>
          <w:szCs w:val="28"/>
          <w:highlight w:val="none"/>
        </w:rPr>
        <w:t>提供的产品说明书中相关“信息披露”约定</w:t>
      </w:r>
      <w:r>
        <w:rPr>
          <w:rFonts w:hint="eastAsia" w:ascii="仿宋_GB2312" w:eastAsia="仿宋_GB2312"/>
          <w:b w:val="0"/>
          <w:bCs w:val="0"/>
          <w:color w:val="000000"/>
          <w:sz w:val="28"/>
          <w:szCs w:val="28"/>
          <w:highlight w:val="none"/>
          <w:lang w:val="en-US" w:eastAsia="zh-CN"/>
        </w:rPr>
        <w:t>为准</w:t>
      </w:r>
      <w:r>
        <w:rPr>
          <w:rFonts w:hint="eastAsia" w:ascii="仿宋_GB2312" w:eastAsia="仿宋_GB2312"/>
          <w:b w:val="0"/>
          <w:bCs w:val="0"/>
          <w:color w:val="000000"/>
          <w:sz w:val="28"/>
          <w:szCs w:val="28"/>
          <w:highlight w:val="none"/>
        </w:rPr>
        <w:t>。</w:t>
      </w:r>
    </w:p>
    <w:p>
      <w:pPr>
        <w:numPr>
          <w:ilvl w:val="0"/>
          <w:numId w:val="1"/>
        </w:numPr>
        <w:adjustRightInd w:val="0"/>
        <w:snapToGrid w:val="0"/>
        <w:spacing w:line="460" w:lineRule="exact"/>
        <w:ind w:firstLine="562" w:firstLineChars="200"/>
        <w:rPr>
          <w:rFonts w:hint="eastAsia" w:ascii="仿宋_GB2312" w:eastAsia="仿宋_GB2312"/>
          <w:b/>
          <w:bCs/>
          <w:color w:val="000000"/>
          <w:sz w:val="28"/>
          <w:szCs w:val="28"/>
          <w:highlight w:val="none"/>
          <w:lang w:val="en-US" w:eastAsia="zh-CN"/>
        </w:rPr>
      </w:pPr>
      <w:r>
        <w:rPr>
          <w:rFonts w:hint="eastAsia" w:ascii="仿宋_GB2312" w:eastAsia="仿宋_GB2312"/>
          <w:b/>
          <w:bCs/>
          <w:color w:val="000000"/>
          <w:sz w:val="28"/>
          <w:szCs w:val="28"/>
          <w:highlight w:val="none"/>
          <w:lang w:val="en-US" w:eastAsia="zh-CN"/>
        </w:rPr>
        <w:t>投诉与建议</w:t>
      </w:r>
    </w:p>
    <w:p>
      <w:pPr>
        <w:numPr>
          <w:ilvl w:val="0"/>
          <w:numId w:val="0"/>
        </w:numPr>
        <w:adjustRightInd w:val="0"/>
        <w:snapToGrid w:val="0"/>
        <w:spacing w:line="460" w:lineRule="exact"/>
        <w:rPr>
          <w:rFonts w:hint="default" w:ascii="仿宋_GB2312" w:eastAsia="仿宋_GB2312"/>
          <w:b w:val="0"/>
          <w:bCs w:val="0"/>
          <w:color w:val="000000"/>
          <w:sz w:val="28"/>
          <w:szCs w:val="28"/>
          <w:highlight w:val="none"/>
          <w:lang w:val="en-US" w:eastAsia="zh-CN"/>
        </w:rPr>
      </w:pPr>
      <w:r>
        <w:rPr>
          <w:rFonts w:hint="eastAsia" w:ascii="仿宋_GB2312" w:eastAsia="仿宋_GB2312"/>
          <w:b/>
          <w:bCs/>
          <w:color w:val="000000"/>
          <w:sz w:val="28"/>
          <w:szCs w:val="28"/>
          <w:highlight w:val="none"/>
          <w:lang w:val="en-US" w:eastAsia="zh-CN"/>
        </w:rPr>
        <w:t xml:space="preserve">    </w:t>
      </w:r>
      <w:r>
        <w:rPr>
          <w:rFonts w:hint="eastAsia" w:ascii="仿宋_GB2312" w:eastAsia="仿宋_GB2312"/>
          <w:b w:val="0"/>
          <w:bCs w:val="0"/>
          <w:color w:val="000000"/>
          <w:sz w:val="28"/>
          <w:szCs w:val="28"/>
          <w:highlight w:val="none"/>
          <w:lang w:val="en-US" w:eastAsia="zh-CN"/>
        </w:rPr>
        <w:t>如您对本产品有任何意见或建议，可通过代理销售机构营业网点工作人员，拨打客户服务热线以及代理销售机构官方网站进行反映，将由专人接听、记录您的意见或建议，并由各方协商共同解决。</w:t>
      </w:r>
    </w:p>
    <w:p>
      <w:pPr>
        <w:adjustRightInd w:val="0"/>
        <w:snapToGrid w:val="0"/>
        <w:spacing w:line="460" w:lineRule="exact"/>
        <w:ind w:firstLine="562" w:firstLineChars="200"/>
        <w:rPr>
          <w:rFonts w:hint="default" w:ascii="仿宋_GB2312" w:eastAsia="仿宋_GB2312"/>
          <w:b/>
          <w:bCs/>
          <w:color w:val="000000"/>
          <w:sz w:val="28"/>
          <w:szCs w:val="28"/>
          <w:highlight w:val="none"/>
          <w:lang w:val="en-US" w:eastAsia="zh-CN"/>
        </w:rPr>
      </w:pPr>
      <w:r>
        <w:rPr>
          <w:rFonts w:hint="eastAsia" w:ascii="仿宋_GB2312" w:eastAsia="仿宋_GB2312"/>
          <w:b/>
          <w:bCs/>
          <w:color w:val="000000"/>
          <w:sz w:val="28"/>
          <w:szCs w:val="28"/>
          <w:highlight w:val="none"/>
          <w:lang w:val="en-US" w:eastAsia="zh-CN"/>
        </w:rPr>
        <w:t>六、联络方式</w:t>
      </w:r>
    </w:p>
    <w:p>
      <w:pPr>
        <w:adjustRightInd w:val="0"/>
        <w:snapToGrid w:val="0"/>
        <w:spacing w:line="460" w:lineRule="exact"/>
        <w:ind w:firstLine="562" w:firstLineChars="200"/>
        <w:rPr>
          <w:rFonts w:hint="eastAsia" w:ascii="仿宋_GB2312" w:hAnsi="宋体" w:eastAsia="仿宋_GB2312" w:cs="宋体"/>
          <w:b/>
          <w:bCs/>
          <w:color w:val="000000"/>
          <w:sz w:val="28"/>
          <w:szCs w:val="28"/>
          <w:highlight w:val="none"/>
          <w:lang w:val="en-US" w:eastAsia="zh-CN"/>
        </w:rPr>
      </w:pPr>
      <w:r>
        <w:rPr>
          <w:rFonts w:hint="eastAsia" w:ascii="仿宋_GB2312" w:hAnsi="宋体" w:eastAsia="仿宋_GB2312" w:cs="宋体"/>
          <w:b/>
          <w:bCs/>
          <w:color w:val="000000"/>
          <w:sz w:val="28"/>
          <w:szCs w:val="28"/>
          <w:highlight w:val="none"/>
          <w:lang w:val="en-US" w:eastAsia="zh-CN"/>
        </w:rPr>
        <w:t>（一）代销机构的联络方式</w:t>
      </w:r>
    </w:p>
    <w:p>
      <w:pPr>
        <w:keepNext w:val="0"/>
        <w:keepLines w:val="0"/>
        <w:pageBreakBefore w:val="0"/>
        <w:widowControl w:val="0"/>
        <w:numPr>
          <w:ilvl w:val="0"/>
          <w:numId w:val="0"/>
        </w:numPr>
        <w:kinsoku/>
        <w:wordWrap w:val="0"/>
        <w:overflowPunct/>
        <w:topLinePunct w:val="0"/>
        <w:autoSpaceDE w:val="0"/>
        <w:autoSpaceDN/>
        <w:bidi w:val="0"/>
        <w:adjustRightInd w:val="0"/>
        <w:snapToGrid w:val="0"/>
        <w:spacing w:line="460" w:lineRule="exact"/>
        <w:textAlignment w:val="auto"/>
        <w:rPr>
          <w:rFonts w:hint="default" w:ascii="仿宋_GB2312" w:hAnsi="宋体" w:eastAsia="仿宋_GB2312" w:cs="宋体"/>
          <w:b w:val="0"/>
          <w:bCs w:val="0"/>
          <w:color w:val="000000"/>
          <w:sz w:val="28"/>
          <w:szCs w:val="28"/>
          <w:highlight w:val="none"/>
          <w:lang w:val="en-US" w:eastAsia="zh-CN"/>
        </w:rPr>
      </w:pPr>
      <w:r>
        <w:rPr>
          <w:rFonts w:hint="eastAsia" w:ascii="仿宋_GB2312" w:hAnsi="宋体" w:eastAsia="仿宋_GB2312" w:cs="宋体"/>
          <w:b w:val="0"/>
          <w:bCs w:val="0"/>
          <w:color w:val="000000"/>
          <w:sz w:val="28"/>
          <w:szCs w:val="28"/>
          <w:highlight w:val="none"/>
          <w:lang w:val="en-US" w:eastAsia="zh-CN"/>
        </w:rPr>
        <w:t>代销机构联络方式详见代销机构提供的相关协议。</w:t>
      </w:r>
    </w:p>
    <w:p>
      <w:pPr>
        <w:adjustRightInd w:val="0"/>
        <w:snapToGrid w:val="0"/>
        <w:spacing w:line="460" w:lineRule="exact"/>
        <w:ind w:firstLine="562" w:firstLineChars="200"/>
        <w:rPr>
          <w:rFonts w:hint="eastAsia" w:ascii="仿宋_GB2312" w:hAnsi="宋体" w:eastAsia="仿宋_GB2312" w:cs="宋体"/>
          <w:b/>
          <w:bCs/>
          <w:color w:val="000000"/>
          <w:sz w:val="28"/>
          <w:szCs w:val="28"/>
          <w:highlight w:val="none"/>
          <w:lang w:val="en-US" w:eastAsia="zh-CN"/>
        </w:rPr>
      </w:pPr>
      <w:r>
        <w:rPr>
          <w:rFonts w:hint="eastAsia" w:ascii="仿宋_GB2312" w:hAnsi="宋体" w:eastAsia="仿宋_GB2312" w:cs="宋体"/>
          <w:b/>
          <w:bCs/>
          <w:color w:val="000000"/>
          <w:sz w:val="28"/>
          <w:szCs w:val="28"/>
          <w:highlight w:val="none"/>
          <w:lang w:val="en-US" w:eastAsia="zh-CN"/>
        </w:rPr>
        <w:t>（二）上银理财的联络方式</w:t>
      </w:r>
    </w:p>
    <w:p>
      <w:pPr>
        <w:adjustRightInd w:val="0"/>
        <w:snapToGrid w:val="0"/>
        <w:spacing w:line="460" w:lineRule="exact"/>
        <w:ind w:firstLine="560" w:firstLineChars="200"/>
        <w:rPr>
          <w:rFonts w:hint="default" w:ascii="仿宋_GB2312" w:hAnsi="宋体" w:eastAsia="仿宋_GB2312" w:cs="宋体"/>
          <w:b w:val="0"/>
          <w:bCs w:val="0"/>
          <w:color w:val="000000"/>
          <w:sz w:val="28"/>
          <w:szCs w:val="28"/>
          <w:highlight w:val="none"/>
          <w:lang w:val="en-US" w:eastAsia="zh-CN"/>
        </w:rPr>
      </w:pPr>
      <w:r>
        <w:rPr>
          <w:rFonts w:hint="eastAsia" w:ascii="仿宋_GB2312" w:hAnsi="宋体" w:eastAsia="仿宋_GB2312" w:cs="宋体"/>
          <w:b w:val="0"/>
          <w:bCs w:val="0"/>
          <w:color w:val="000000"/>
          <w:sz w:val="28"/>
          <w:szCs w:val="28"/>
          <w:highlight w:val="none"/>
          <w:lang w:val="en-US" w:eastAsia="zh-CN"/>
        </w:rPr>
        <w:t>1、上银理财地址：中国上海市黄浦区中山南路666号2幢2号实际楼层2层、3层</w:t>
      </w:r>
    </w:p>
    <w:p>
      <w:pPr>
        <w:ind w:firstLine="560" w:firstLineChars="200"/>
        <w:rPr>
          <w:rFonts w:hint="eastAsia" w:ascii="仿宋_GB2312" w:hAnsi="宋体" w:eastAsia="仿宋_GB2312" w:cs="宋体"/>
          <w:b w:val="0"/>
          <w:bCs w:val="0"/>
          <w:color w:val="000000"/>
          <w:sz w:val="28"/>
          <w:szCs w:val="28"/>
          <w:highlight w:val="none"/>
          <w:lang w:val="en-US" w:eastAsia="zh-CN"/>
        </w:rPr>
      </w:pPr>
      <w:r>
        <w:rPr>
          <w:rFonts w:hint="eastAsia" w:ascii="仿宋_GB2312" w:hAnsi="宋体" w:eastAsia="仿宋_GB2312" w:cs="宋体"/>
          <w:b w:val="0"/>
          <w:bCs w:val="0"/>
          <w:color w:val="000000"/>
          <w:sz w:val="28"/>
          <w:szCs w:val="28"/>
          <w:highlight w:val="none"/>
          <w:lang w:val="en-US" w:eastAsia="zh-CN"/>
        </w:rPr>
        <w:t>2、上银理财官方网站：【https://www.boscwm.cn/】</w:t>
      </w:r>
    </w:p>
    <w:p>
      <w:pPr>
        <w:rPr>
          <w:rFonts w:hint="eastAsia" w:ascii="仿宋_GB2312" w:hAnsi="宋体" w:eastAsia="仿宋_GB2312" w:cs="宋体"/>
          <w:b w:val="0"/>
          <w:bCs w:val="0"/>
          <w:color w:val="000000"/>
          <w:sz w:val="28"/>
          <w:szCs w:val="28"/>
          <w:highlight w:val="none"/>
          <w:lang w:val="en-US" w:eastAsia="zh-CN"/>
        </w:rPr>
      </w:pPr>
      <w:r>
        <w:rPr>
          <w:rFonts w:hint="eastAsia" w:ascii="仿宋_GB2312" w:hAnsi="宋体" w:eastAsia="仿宋_GB2312" w:cs="宋体"/>
          <w:b w:val="0"/>
          <w:bCs w:val="0"/>
          <w:color w:val="000000"/>
          <w:sz w:val="28"/>
          <w:szCs w:val="28"/>
          <w:highlight w:val="none"/>
          <w:lang w:val="en-US" w:eastAsia="zh-CN"/>
        </w:rPr>
        <w:br w:type="page"/>
      </w:r>
    </w:p>
    <w:p>
      <w:pPr>
        <w:jc w:val="center"/>
        <w:rPr>
          <w:rFonts w:hint="eastAsia" w:asciiTheme="minorEastAsia" w:hAnsiTheme="minorEastAsia" w:cstheme="minorEastAsia"/>
          <w:b w:val="0"/>
          <w:bCs/>
          <w:sz w:val="24"/>
          <w:szCs w:val="21"/>
        </w:rPr>
      </w:pPr>
      <w:r>
        <w:rPr>
          <w:rFonts w:hint="eastAsia" w:ascii="黑体" w:hAnsi="黑体" w:eastAsia="黑体" w:cs="黑体"/>
          <w:b/>
          <w:bCs w:val="0"/>
          <w:sz w:val="40"/>
          <w:szCs w:val="40"/>
        </w:rPr>
        <w:t>投资者权益须知</w:t>
      </w:r>
    </w:p>
    <w:p>
      <w:pPr>
        <w:jc w:val="center"/>
        <w:rPr>
          <w:rFonts w:hint="default" w:asciiTheme="minorEastAsia" w:hAnsiTheme="minorEastAsia" w:eastAsiaTheme="minorEastAsia" w:cstheme="minorEastAsia"/>
          <w:b/>
          <w:sz w:val="28"/>
          <w:lang w:val="en-US" w:eastAsia="zh-CN"/>
        </w:rPr>
      </w:pPr>
      <w:r>
        <w:rPr>
          <w:rFonts w:hint="eastAsia" w:asciiTheme="minorEastAsia" w:hAnsiTheme="minorEastAsia" w:cstheme="minorEastAsia"/>
          <w:b/>
          <w:sz w:val="28"/>
          <w:lang w:val="en-US" w:eastAsia="zh-CN"/>
        </w:rPr>
        <w:t>（适用于机构客户）</w:t>
      </w:r>
    </w:p>
    <w:p>
      <w:pPr>
        <w:spacing w:line="360" w:lineRule="auto"/>
        <w:rPr>
          <w:rFonts w:asciiTheme="minorEastAsia" w:hAnsiTheme="minorEastAsia" w:cstheme="minorEastAsia"/>
          <w:szCs w:val="21"/>
        </w:rPr>
      </w:pPr>
      <w:r>
        <w:rPr>
          <w:rFonts w:hint="eastAsia" w:asciiTheme="minorEastAsia" w:hAnsiTheme="minorEastAsia" w:cstheme="minorEastAsia"/>
          <w:szCs w:val="21"/>
        </w:rPr>
        <w:t>尊敬的投资者：</w:t>
      </w:r>
    </w:p>
    <w:p>
      <w:pPr>
        <w:autoSpaceDE w:val="0"/>
        <w:autoSpaceDN w:val="0"/>
        <w:adjustRightInd w:val="0"/>
        <w:spacing w:before="156" w:line="360" w:lineRule="auto"/>
        <w:ind w:firstLine="560"/>
        <w:rPr>
          <w:rFonts w:asciiTheme="minorEastAsia" w:hAnsiTheme="minorEastAsia" w:cstheme="minorEastAsia"/>
          <w:b/>
          <w:color w:val="000000"/>
          <w:kern w:val="0"/>
          <w:szCs w:val="21"/>
        </w:rPr>
      </w:pPr>
      <w:r>
        <w:rPr>
          <w:rFonts w:hint="eastAsia" w:asciiTheme="minorEastAsia" w:hAnsiTheme="minorEastAsia" w:cstheme="minorEastAsia"/>
          <w:b/>
          <w:color w:val="000000"/>
          <w:kern w:val="0"/>
          <w:szCs w:val="21"/>
        </w:rPr>
        <w:t>理财非存款、产品有风险、投资须谨慎。</w:t>
      </w:r>
      <w:r>
        <w:rPr>
          <w:rFonts w:hint="eastAsia" w:asciiTheme="minorEastAsia" w:hAnsiTheme="minorEastAsia" w:cstheme="minorEastAsia"/>
          <w:color w:val="000000"/>
          <w:kern w:val="0"/>
          <w:szCs w:val="21"/>
        </w:rPr>
        <w:t>感谢贵方购买【</w:t>
      </w:r>
      <w:r>
        <w:rPr>
          <w:rFonts w:hint="eastAsia" w:asciiTheme="minorEastAsia" w:hAnsiTheme="minorEastAsia" w:cstheme="minorEastAsia"/>
          <w:color w:val="000000"/>
          <w:kern w:val="0"/>
          <w:szCs w:val="21"/>
          <w:lang w:val="en-US" w:eastAsia="zh-CN"/>
        </w:rPr>
        <w:t>上银理财</w:t>
      </w:r>
      <w:r>
        <w:rPr>
          <w:rFonts w:hint="eastAsia" w:asciiTheme="minorEastAsia" w:hAnsiTheme="minorEastAsia" w:cstheme="minorEastAsia"/>
          <w:color w:val="000000"/>
          <w:kern w:val="0"/>
          <w:szCs w:val="21"/>
        </w:rPr>
        <w:t>】作为产品发行人的理财产品，请贵方仔细阅读本《投资者权益须知》，行使贵方在本业务项下的权益。对理财产品销售文件或购买流程等有疑问的，请及时与</w:t>
      </w:r>
      <w:r>
        <w:rPr>
          <w:rFonts w:hint="eastAsia" w:asciiTheme="minorEastAsia" w:hAnsiTheme="minorEastAsia" w:cstheme="minorEastAsia"/>
          <w:color w:val="000000"/>
          <w:kern w:val="0"/>
          <w:szCs w:val="21"/>
          <w:lang w:val="en-US" w:eastAsia="zh-CN"/>
        </w:rPr>
        <w:t>代销机构</w:t>
      </w:r>
      <w:r>
        <w:rPr>
          <w:rFonts w:hint="eastAsia" w:asciiTheme="minorEastAsia" w:hAnsiTheme="minorEastAsia" w:cstheme="minorEastAsia"/>
          <w:color w:val="000000"/>
          <w:kern w:val="0"/>
          <w:szCs w:val="21"/>
        </w:rPr>
        <w:t>相关销售人员咨询。在购买理财产品后，请关注理财产品的信息披露情况，及时获取相关信息；如对理财产品有任何意见或建议，请关注产品发行人及</w:t>
      </w:r>
      <w:r>
        <w:rPr>
          <w:rFonts w:hint="eastAsia" w:asciiTheme="minorEastAsia" w:hAnsiTheme="minorEastAsia" w:cstheme="minorEastAsia"/>
          <w:color w:val="000000"/>
          <w:kern w:val="0"/>
          <w:szCs w:val="21"/>
          <w:lang w:val="en-US" w:eastAsia="zh-CN"/>
        </w:rPr>
        <w:t>代销机构</w:t>
      </w:r>
      <w:r>
        <w:rPr>
          <w:rFonts w:hint="eastAsia" w:asciiTheme="minorEastAsia" w:hAnsiTheme="minorEastAsia" w:cstheme="minorEastAsia"/>
          <w:color w:val="000000"/>
          <w:kern w:val="0"/>
          <w:szCs w:val="21"/>
        </w:rPr>
        <w:t>联络方式并予以反馈。</w:t>
      </w:r>
    </w:p>
    <w:p>
      <w:pPr>
        <w:autoSpaceDE w:val="0"/>
        <w:autoSpaceDN w:val="0"/>
        <w:adjustRightInd w:val="0"/>
        <w:spacing w:before="156" w:line="360" w:lineRule="auto"/>
        <w:ind w:firstLine="422" w:firstLineChars="200"/>
        <w:rPr>
          <w:rFonts w:asciiTheme="minorEastAsia" w:hAnsiTheme="minorEastAsia" w:cstheme="minorEastAsia"/>
          <w:b/>
          <w:color w:val="000000"/>
          <w:kern w:val="0"/>
          <w:szCs w:val="21"/>
        </w:rPr>
      </w:pPr>
      <w:r>
        <w:rPr>
          <w:rFonts w:hint="eastAsia" w:asciiTheme="minorEastAsia" w:hAnsiTheme="minorEastAsia" w:cstheme="minorEastAsia"/>
          <w:b/>
          <w:color w:val="000000"/>
          <w:kern w:val="0"/>
          <w:szCs w:val="21"/>
        </w:rPr>
        <w:t>一、理财产品认购</w:t>
      </w:r>
    </w:p>
    <w:p>
      <w:pPr>
        <w:pStyle w:val="5"/>
        <w:spacing w:line="360" w:lineRule="auto"/>
        <w:ind w:firstLine="315" w:firstLineChars="15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 w:val="21"/>
          <w:szCs w:val="21"/>
        </w:rPr>
        <w:t xml:space="preserve">（一）了解贵方的投资目标、风险承受能力和产品需求 </w:t>
      </w:r>
    </w:p>
    <w:p>
      <w:pPr>
        <w:spacing w:line="360" w:lineRule="auto"/>
        <w:ind w:firstLine="420"/>
        <w:rPr>
          <w:rFonts w:asciiTheme="minorEastAsia" w:hAnsiTheme="minorEastAsia" w:cstheme="minorEastAsia"/>
          <w:color w:val="000000"/>
          <w:kern w:val="0"/>
          <w:szCs w:val="21"/>
        </w:rPr>
      </w:pPr>
      <w:r>
        <w:rPr>
          <w:rFonts w:hint="eastAsia" w:asciiTheme="minorEastAsia" w:hAnsiTheme="minorEastAsia" w:cstheme="minorEastAsia"/>
          <w:color w:val="000000"/>
          <w:kern w:val="0"/>
          <w:szCs w:val="21"/>
          <w:lang w:val="en-US" w:eastAsia="zh-CN"/>
        </w:rPr>
        <w:t>代销机构</w:t>
      </w:r>
      <w:r>
        <w:rPr>
          <w:rFonts w:hint="eastAsia" w:asciiTheme="minorEastAsia" w:hAnsiTheme="minorEastAsia" w:cstheme="minorEastAsia"/>
          <w:color w:val="000000"/>
          <w:kern w:val="0"/>
          <w:szCs w:val="21"/>
        </w:rPr>
        <w:t>根据理财产品的投资范围、风险收益特点、流动性等不同因素，对理财产品分为极低风险产品R1、低风险产品R2、中等风险产品R3、较高风险产品R4、高风险产品R5五种风险等级不同的产品。请贵方根据自身财务状况、投资经验、投资目的、收益预期、风险偏好、流动性要求、风险认识、风险损失承受程度、投资需求等情况，</w:t>
      </w:r>
      <w:r>
        <w:rPr>
          <w:rFonts w:hint="eastAsia" w:asciiTheme="minorEastAsia" w:hAnsiTheme="minorEastAsia" w:cstheme="minorEastAsia"/>
          <w:color w:val="000000"/>
          <w:kern w:val="0"/>
          <w:szCs w:val="21"/>
          <w:lang w:val="en-US" w:eastAsia="zh-CN"/>
        </w:rPr>
        <w:t>评估贵方自身的投资需求和风险承受能力，选择适合贵方投资需求和风险承受能力的理财产品。</w:t>
      </w:r>
    </w:p>
    <w:p>
      <w:pPr>
        <w:pStyle w:val="5"/>
        <w:spacing w:line="360" w:lineRule="auto"/>
        <w:ind w:firstLine="420" w:firstLineChars="200"/>
        <w:jc w:val="both"/>
        <w:rPr>
          <w:rFonts w:asciiTheme="minorEastAsia" w:hAnsiTheme="minorEastAsia" w:eastAsiaTheme="minorEastAsia" w:cstheme="minorEastAsia"/>
          <w:sz w:val="21"/>
          <w:szCs w:val="21"/>
        </w:rPr>
      </w:pPr>
      <w:bookmarkStart w:id="0" w:name="_GoBack"/>
      <w:bookmarkEnd w:id="0"/>
      <w:r>
        <w:rPr>
          <w:rFonts w:hint="eastAsia" w:asciiTheme="minorEastAsia" w:hAnsiTheme="minorEastAsia" w:eastAsiaTheme="minorEastAsia" w:cstheme="minorEastAsia"/>
          <w:sz w:val="21"/>
          <w:szCs w:val="21"/>
        </w:rPr>
        <w:t>（二）购买适合贵方的理财产品</w:t>
      </w:r>
    </w:p>
    <w:p>
      <w:pPr>
        <w:autoSpaceDE w:val="0"/>
        <w:autoSpaceDN w:val="0"/>
        <w:adjustRightInd w:val="0"/>
        <w:spacing w:line="360" w:lineRule="auto"/>
        <w:ind w:firstLine="480"/>
        <w:rPr>
          <w:rFonts w:asciiTheme="minorEastAsia" w:hAnsiTheme="minorEastAsia" w:cstheme="minorEastAsia"/>
          <w:color w:val="000000"/>
          <w:kern w:val="0"/>
          <w:szCs w:val="21"/>
        </w:rPr>
      </w:pPr>
      <w:r>
        <w:rPr>
          <w:rFonts w:hint="eastAsia" w:asciiTheme="minorEastAsia" w:hAnsiTheme="minorEastAsia" w:cstheme="minorEastAsia"/>
          <w:szCs w:val="21"/>
        </w:rPr>
        <w:t>贵方在首次认购</w:t>
      </w:r>
      <w:r>
        <w:rPr>
          <w:rFonts w:hint="eastAsia" w:asciiTheme="minorEastAsia" w:hAnsiTheme="minorEastAsia" w:cstheme="minorEastAsia"/>
          <w:szCs w:val="21"/>
          <w:lang w:val="en-US" w:eastAsia="zh-CN"/>
        </w:rPr>
        <w:t>代销机构</w:t>
      </w:r>
      <w:r>
        <w:rPr>
          <w:rFonts w:hint="eastAsia" w:asciiTheme="minorEastAsia" w:hAnsiTheme="minorEastAsia" w:cstheme="minorEastAsia"/>
          <w:szCs w:val="21"/>
        </w:rPr>
        <w:t>销售的理财产品前，需在</w:t>
      </w:r>
      <w:r>
        <w:rPr>
          <w:rFonts w:hint="eastAsia" w:asciiTheme="minorEastAsia" w:hAnsiTheme="minorEastAsia" w:cstheme="minorEastAsia"/>
          <w:szCs w:val="21"/>
          <w:lang w:val="en-US" w:eastAsia="zh-CN"/>
        </w:rPr>
        <w:t>代销机构</w:t>
      </w:r>
      <w:r>
        <w:rPr>
          <w:rFonts w:hint="eastAsia" w:asciiTheme="minorEastAsia" w:hAnsiTheme="minorEastAsia" w:cstheme="minorEastAsia"/>
          <w:szCs w:val="21"/>
        </w:rPr>
        <w:t>开立授权指定账户，</w:t>
      </w:r>
      <w:r>
        <w:rPr>
          <w:rFonts w:hint="eastAsia" w:asciiTheme="minorEastAsia" w:hAnsiTheme="minorEastAsia" w:cstheme="minorEastAsia"/>
          <w:szCs w:val="21"/>
          <w:lang w:val="en-US" w:eastAsia="zh-CN"/>
        </w:rPr>
        <w:t>无需</w:t>
      </w:r>
      <w:r>
        <w:rPr>
          <w:rFonts w:hint="eastAsia" w:asciiTheme="minorEastAsia" w:hAnsiTheme="minorEastAsia" w:cstheme="minorEastAsia"/>
          <w:szCs w:val="21"/>
        </w:rPr>
        <w:t>进行风险承受能力评估</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具体以代销机构的要求为准）</w:t>
      </w:r>
      <w:r>
        <w:rPr>
          <w:rFonts w:hint="eastAsia" w:asciiTheme="minorEastAsia" w:hAnsiTheme="minorEastAsia" w:cstheme="minorEastAsia"/>
          <w:szCs w:val="21"/>
        </w:rPr>
        <w:t>，并认真阅读、签署理财产品投资协议书、销售（代理销售）协议书、理财产品说明书、《风险揭示书》、《投资者权益须知》等销售文件</w:t>
      </w:r>
      <w:r>
        <w:rPr>
          <w:rFonts w:hint="eastAsia" w:asciiTheme="minorEastAsia" w:hAnsiTheme="minorEastAsia" w:cstheme="minorEastAsia"/>
          <w:color w:val="000000"/>
          <w:kern w:val="0"/>
          <w:szCs w:val="21"/>
        </w:rPr>
        <w:t>。贵方可根据理财产品销售文件关于产品购买渠道的相关约定，选择通过</w:t>
      </w:r>
      <w:r>
        <w:rPr>
          <w:rFonts w:hint="eastAsia" w:asciiTheme="minorEastAsia" w:hAnsiTheme="minorEastAsia" w:cstheme="minorEastAsia"/>
          <w:color w:val="000000"/>
          <w:kern w:val="0"/>
          <w:szCs w:val="21"/>
          <w:lang w:val="en-US" w:eastAsia="zh-CN"/>
        </w:rPr>
        <w:t>代销机构</w:t>
      </w:r>
      <w:r>
        <w:rPr>
          <w:rFonts w:hint="eastAsia" w:asciiTheme="minorEastAsia" w:hAnsiTheme="minorEastAsia" w:cstheme="minorEastAsia"/>
          <w:color w:val="000000"/>
          <w:kern w:val="0"/>
          <w:szCs w:val="21"/>
        </w:rPr>
        <w:t>营业网点、企业网上银行、企业手机银行、现金管理平台等渠道购买理财产品。</w:t>
      </w:r>
    </w:p>
    <w:p>
      <w:pPr>
        <w:pStyle w:val="5"/>
        <w:spacing w:line="360" w:lineRule="auto"/>
        <w:ind w:firstLine="420" w:firstLineChars="200"/>
        <w:jc w:val="both"/>
        <w:rPr>
          <w:rFonts w:asciiTheme="minorEastAsia" w:hAnsiTheme="minorEastAsia" w:eastAsiaTheme="minorEastAsia" w:cstheme="minorEastAsia"/>
          <w:szCs w:val="21"/>
        </w:rPr>
      </w:pPr>
      <w:r>
        <w:rPr>
          <w:rFonts w:hint="eastAsia" w:asciiTheme="minorEastAsia" w:hAnsiTheme="minorEastAsia" w:eastAsiaTheme="minorEastAsia" w:cstheme="minorEastAsia"/>
          <w:sz w:val="21"/>
          <w:szCs w:val="21"/>
        </w:rPr>
        <w:t>具体认购流程如下：</w:t>
      </w:r>
    </w:p>
    <w:p>
      <w:pPr>
        <w:pStyle w:val="5"/>
        <w:numPr>
          <w:ilvl w:val="0"/>
          <w:numId w:val="2"/>
        </w:numPr>
        <w:spacing w:line="360" w:lineRule="auto"/>
        <w:ind w:firstLine="420" w:firstLineChars="200"/>
        <w:jc w:val="both"/>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首次认购前，贵方应在</w:t>
      </w:r>
      <w:r>
        <w:rPr>
          <w:rFonts w:hint="eastAsia" w:asciiTheme="minorEastAsia" w:hAnsiTheme="minorEastAsia" w:eastAsiaTheme="minorEastAsia" w:cstheme="minorEastAsia"/>
          <w:sz w:val="21"/>
          <w:szCs w:val="21"/>
          <w:lang w:val="en-US" w:eastAsia="zh-CN"/>
        </w:rPr>
        <w:t>代销机构</w:t>
      </w:r>
      <w:r>
        <w:rPr>
          <w:rFonts w:hint="eastAsia" w:asciiTheme="minorEastAsia" w:hAnsiTheme="minorEastAsia" w:eastAsiaTheme="minorEastAsia" w:cstheme="minorEastAsia"/>
          <w:sz w:val="21"/>
          <w:szCs w:val="21"/>
        </w:rPr>
        <w:t>及/或其分支机构开立人民币结算账户，并指定其为购买理财产品的授权指定账户</w:t>
      </w:r>
      <w:r>
        <w:rPr>
          <w:rFonts w:hint="eastAsia" w:asciiTheme="minorEastAsia" w:hAnsiTheme="minorEastAsia" w:eastAsiaTheme="minorEastAsia" w:cstheme="minorEastAsia"/>
          <w:sz w:val="21"/>
          <w:szCs w:val="21"/>
          <w:lang w:eastAsia="zh-CN"/>
        </w:rPr>
        <w:t>。</w:t>
      </w:r>
    </w:p>
    <w:p>
      <w:pPr>
        <w:pStyle w:val="5"/>
        <w:numPr>
          <w:ilvl w:val="0"/>
          <w:numId w:val="2"/>
        </w:numPr>
        <w:spacing w:line="360" w:lineRule="auto"/>
        <w:ind w:firstLine="420" w:firstLineChars="200"/>
        <w:jc w:val="both"/>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首次认购时，如在代销机构营业网点进行</w:t>
      </w:r>
      <w:r>
        <w:rPr>
          <w:rFonts w:hint="eastAsia" w:asciiTheme="minorEastAsia" w:hAnsiTheme="minorEastAsia" w:eastAsiaTheme="minorEastAsia" w:cstheme="minorEastAsia"/>
          <w:sz w:val="21"/>
          <w:szCs w:val="21"/>
          <w:lang w:val="en-US" w:eastAsia="zh-CN"/>
        </w:rPr>
        <w:t>签约</w:t>
      </w:r>
      <w:r>
        <w:rPr>
          <w:rFonts w:hint="eastAsia" w:asciiTheme="minorEastAsia" w:hAnsiTheme="minorEastAsia" w:eastAsiaTheme="minorEastAsia" w:cstheme="minorEastAsia"/>
          <w:sz w:val="21"/>
          <w:szCs w:val="21"/>
          <w:lang w:eastAsia="zh-CN"/>
        </w:rPr>
        <w:t>的，贵方需持《企业（法人）营业执照》原件及加盖公章的复印件、《组织机构代码证》原件及加盖公章的复印件（三证合一的客户仅需携带营业执照）、企业经办人员有效身份证件原件及复印件，企业经办人员不是企业法定代表人本人的，还应提供企业法定代表人出具并加盖企业公章的《授权委托书》等材料至代销机构营业网点，并在仔细阅读相关销售文件后签署，完成理财产品的签约，具体以代销机构的要求为准。</w:t>
      </w:r>
    </w:p>
    <w:p>
      <w:pPr>
        <w:pStyle w:val="5"/>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、贵方完成认购后，</w:t>
      </w:r>
      <w:r>
        <w:rPr>
          <w:rFonts w:hint="eastAsia" w:asciiTheme="minorEastAsia" w:hAnsiTheme="minorEastAsia" w:eastAsiaTheme="minorEastAsia" w:cstheme="minorEastAsia"/>
          <w:sz w:val="21"/>
          <w:szCs w:val="21"/>
          <w:lang w:val="en-US" w:eastAsia="zh-CN"/>
        </w:rPr>
        <w:t>代销机构</w:t>
      </w:r>
      <w:r>
        <w:rPr>
          <w:rFonts w:hint="eastAsia" w:asciiTheme="minorEastAsia" w:hAnsiTheme="minorEastAsia" w:eastAsiaTheme="minorEastAsia" w:cstheme="minorEastAsia"/>
          <w:sz w:val="21"/>
          <w:szCs w:val="21"/>
        </w:rPr>
        <w:t>实时冻结客户授权指定账户内的认购金额，并按照产品说明书约定划至指定账户，实际划款金额为贵方认购产品的本金金额。认购资金成功扣款且产品成立后，贵方可通过理财产品说明书约定的渠道查询理财产品份额。如理财产品募集失败，贵方相应冻结资金由</w:t>
      </w:r>
      <w:r>
        <w:rPr>
          <w:rFonts w:hint="eastAsia" w:asciiTheme="minorEastAsia" w:hAnsiTheme="minorEastAsia" w:eastAsiaTheme="minorEastAsia" w:cstheme="minorEastAsia"/>
          <w:sz w:val="21"/>
          <w:szCs w:val="21"/>
          <w:lang w:val="en-US" w:eastAsia="zh-CN"/>
        </w:rPr>
        <w:t>代销机构</w:t>
      </w:r>
      <w:r>
        <w:rPr>
          <w:rFonts w:hint="eastAsia" w:asciiTheme="minorEastAsia" w:hAnsiTheme="minorEastAsia" w:eastAsiaTheme="minorEastAsia" w:cstheme="minorEastAsia"/>
          <w:sz w:val="21"/>
          <w:szCs w:val="21"/>
        </w:rPr>
        <w:t>予以解冻，并按</w:t>
      </w:r>
      <w:r>
        <w:rPr>
          <w:rFonts w:hint="eastAsia" w:asciiTheme="minorEastAsia" w:hAnsiTheme="minorEastAsia" w:eastAsiaTheme="minorEastAsia" w:cstheme="minorEastAsia"/>
          <w:sz w:val="21"/>
          <w:szCs w:val="21"/>
          <w:lang w:val="en-US" w:eastAsia="zh-CN"/>
        </w:rPr>
        <w:t>代销机构</w:t>
      </w:r>
      <w:r>
        <w:rPr>
          <w:rFonts w:hint="eastAsia" w:asciiTheme="minorEastAsia" w:hAnsiTheme="minorEastAsia" w:eastAsiaTheme="minorEastAsia" w:cstheme="minorEastAsia"/>
          <w:sz w:val="21"/>
          <w:szCs w:val="21"/>
        </w:rPr>
        <w:t>公布的活期存款利率计付相应利息。</w:t>
      </w:r>
    </w:p>
    <w:p>
      <w:pPr>
        <w:pStyle w:val="5"/>
        <w:spacing w:line="360" w:lineRule="auto"/>
        <w:ind w:firstLine="422" w:firstLineChars="200"/>
        <w:jc w:val="both"/>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重要提示：请贵方认真阅读《风险揭示书》中的风险提示部分，并充分知晓产品风险。贵方一旦做出投资决策，应自行承担产品运营过程中产生的风险。</w:t>
      </w:r>
    </w:p>
    <w:p>
      <w:pPr>
        <w:pStyle w:val="5"/>
        <w:spacing w:line="360" w:lineRule="auto"/>
        <w:ind w:firstLine="422" w:firstLineChars="200"/>
        <w:jc w:val="both"/>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重要提示：贵方在发行期内购买理财产品时，</w:t>
      </w:r>
      <w:r>
        <w:rPr>
          <w:rFonts w:hint="eastAsia" w:asciiTheme="minorEastAsia" w:hAnsiTheme="minorEastAsia" w:eastAsiaTheme="minorEastAsia" w:cstheme="minorEastAsia"/>
          <w:b/>
          <w:bCs/>
          <w:sz w:val="21"/>
          <w:szCs w:val="21"/>
          <w:lang w:val="en-US" w:eastAsia="zh-CN"/>
        </w:rPr>
        <w:t>代销机构</w:t>
      </w:r>
      <w:r>
        <w:rPr>
          <w:rFonts w:hint="eastAsia" w:asciiTheme="minorEastAsia" w:hAnsiTheme="minorEastAsia" w:eastAsiaTheme="minorEastAsia" w:cstheme="minorEastAsia"/>
          <w:b/>
          <w:bCs/>
          <w:sz w:val="21"/>
          <w:szCs w:val="21"/>
        </w:rPr>
        <w:t>将冻结贵方“授权指定账户”内的购买金额，并按照约定时间划转至产品发行人指定账户。自购买日至划款日（不含）之间贵方购买产品的本金金额产生的活期利息将留存在贵方“授权指定账户”内。</w:t>
      </w:r>
    </w:p>
    <w:p>
      <w:pPr>
        <w:pStyle w:val="5"/>
        <w:spacing w:line="360" w:lineRule="auto"/>
        <w:ind w:firstLine="422" w:firstLineChars="200"/>
        <w:jc w:val="both"/>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如贵方购买的产品为私募理财，则产品设有投资冷静期。在投资冷静期内，如贵方改变决定，</w:t>
      </w:r>
      <w:r>
        <w:rPr>
          <w:rFonts w:hint="eastAsia" w:asciiTheme="minorEastAsia" w:hAnsiTheme="minorEastAsia" w:eastAsiaTheme="minorEastAsia" w:cstheme="minorEastAsia"/>
          <w:b/>
          <w:bCs/>
          <w:sz w:val="21"/>
          <w:szCs w:val="21"/>
          <w:lang w:val="en-US" w:eastAsia="zh-CN"/>
        </w:rPr>
        <w:t>代销机构</w:t>
      </w:r>
      <w:r>
        <w:rPr>
          <w:rFonts w:hint="eastAsia" w:asciiTheme="minorEastAsia" w:hAnsiTheme="minorEastAsia" w:eastAsiaTheme="minorEastAsia" w:cstheme="minorEastAsia"/>
          <w:b/>
          <w:bCs/>
          <w:sz w:val="21"/>
          <w:szCs w:val="21"/>
        </w:rPr>
        <w:t>将遵从贵方的意愿，解除已签订的销售文件，并按照产品说明书的约定退还贵方的全部投资款项，投资冷静期具体期限在理财产品对应期次的风险揭示书和产品说明书中载明。</w:t>
      </w:r>
    </w:p>
    <w:p>
      <w:pPr>
        <w:autoSpaceDE w:val="0"/>
        <w:autoSpaceDN w:val="0"/>
        <w:adjustRightInd w:val="0"/>
        <w:spacing w:before="156" w:line="360" w:lineRule="auto"/>
        <w:ind w:firstLine="422" w:firstLineChars="200"/>
        <w:rPr>
          <w:rFonts w:asciiTheme="minorEastAsia" w:hAnsiTheme="minorEastAsia" w:cstheme="minorEastAsia"/>
          <w:b/>
          <w:color w:val="000000"/>
          <w:kern w:val="0"/>
          <w:szCs w:val="21"/>
        </w:rPr>
      </w:pPr>
      <w:r>
        <w:rPr>
          <w:rFonts w:hint="eastAsia" w:asciiTheme="minorEastAsia" w:hAnsiTheme="minorEastAsia" w:cstheme="minorEastAsia"/>
          <w:b/>
          <w:color w:val="000000"/>
          <w:kern w:val="0"/>
          <w:szCs w:val="21"/>
        </w:rPr>
        <w:t>二、理财产品兑付/赎回</w:t>
      </w:r>
    </w:p>
    <w:p>
      <w:pPr>
        <w:pStyle w:val="5"/>
        <w:spacing w:line="360" w:lineRule="auto"/>
        <w:ind w:firstLine="420" w:firstLineChars="200"/>
        <w:jc w:val="both"/>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理财产品到期可兑付金额由产品发行人按照产品说明书的约定，在理财产品清算日通过</w:t>
      </w:r>
      <w:r>
        <w:rPr>
          <w:rFonts w:hint="eastAsia" w:asciiTheme="minorEastAsia" w:hAnsiTheme="minorEastAsia" w:eastAsiaTheme="minorEastAsia" w:cstheme="minorEastAsia"/>
          <w:color w:val="auto"/>
          <w:sz w:val="21"/>
          <w:szCs w:val="21"/>
          <w:lang w:val="en-US" w:eastAsia="zh-CN"/>
        </w:rPr>
        <w:t>代销机构</w:t>
      </w:r>
      <w:r>
        <w:rPr>
          <w:rFonts w:hint="eastAsia" w:asciiTheme="minorEastAsia" w:hAnsiTheme="minorEastAsia" w:eastAsiaTheme="minorEastAsia" w:cstheme="minorEastAsia"/>
          <w:color w:val="auto"/>
          <w:sz w:val="21"/>
          <w:szCs w:val="21"/>
        </w:rPr>
        <w:t>分配至贵方的授权指定账户内。在理财产品实际到期日至清算日期间贵方的理财本金不计付收益。</w:t>
      </w:r>
    </w:p>
    <w:p>
      <w:pPr>
        <w:pStyle w:val="5"/>
        <w:spacing w:line="360" w:lineRule="auto"/>
        <w:ind w:firstLine="420" w:firstLineChars="200"/>
        <w:jc w:val="both"/>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理财产品是否可赎回及赎回规则按照理财产品销售文件的约定执行。贵方可在理财产品销售文件约定的赎回条件下，通过</w:t>
      </w:r>
      <w:r>
        <w:rPr>
          <w:rFonts w:hint="eastAsia" w:asciiTheme="minorEastAsia" w:hAnsiTheme="minorEastAsia" w:eastAsiaTheme="minorEastAsia" w:cstheme="minorEastAsia"/>
          <w:color w:val="auto"/>
          <w:sz w:val="21"/>
          <w:szCs w:val="21"/>
          <w:lang w:val="en-US" w:eastAsia="zh-CN"/>
        </w:rPr>
        <w:t>代销机构</w:t>
      </w:r>
      <w:r>
        <w:rPr>
          <w:rFonts w:hint="eastAsia" w:asciiTheme="minorEastAsia" w:hAnsiTheme="minorEastAsia" w:eastAsiaTheme="minorEastAsia" w:cstheme="minorEastAsia"/>
          <w:color w:val="auto"/>
          <w:sz w:val="21"/>
          <w:szCs w:val="21"/>
        </w:rPr>
        <w:t>营业网点及理财产品销售文件中约定的其它渠道，赎回理财产品。</w:t>
      </w:r>
    </w:p>
    <w:p>
      <w:pPr>
        <w:autoSpaceDE w:val="0"/>
        <w:autoSpaceDN w:val="0"/>
        <w:adjustRightInd w:val="0"/>
        <w:spacing w:before="156" w:line="360" w:lineRule="auto"/>
        <w:ind w:firstLine="422" w:firstLineChars="200"/>
        <w:rPr>
          <w:rFonts w:asciiTheme="minorEastAsia" w:hAnsiTheme="minorEastAsia" w:cstheme="minorEastAsia"/>
          <w:b/>
          <w:color w:val="000000"/>
          <w:kern w:val="0"/>
          <w:szCs w:val="21"/>
        </w:rPr>
      </w:pPr>
      <w:r>
        <w:rPr>
          <w:rFonts w:hint="eastAsia" w:asciiTheme="minorEastAsia" w:hAnsiTheme="minorEastAsia" w:cstheme="minorEastAsia"/>
          <w:b/>
          <w:color w:val="000000"/>
          <w:kern w:val="0"/>
          <w:szCs w:val="21"/>
        </w:rPr>
        <w:t xml:space="preserve">三、信息披露的方式、渠道和频率 </w:t>
      </w:r>
    </w:p>
    <w:p>
      <w:pPr>
        <w:autoSpaceDE w:val="0"/>
        <w:autoSpaceDN w:val="0"/>
        <w:adjustRightInd w:val="0"/>
        <w:spacing w:before="156" w:line="360" w:lineRule="auto"/>
        <w:ind w:firstLine="420" w:firstLineChars="200"/>
        <w:rPr>
          <w:rFonts w:asciiTheme="minorEastAsia" w:hAnsiTheme="minorEastAsia" w:cstheme="minorEastAsia"/>
          <w:color w:val="000000"/>
          <w:kern w:val="0"/>
          <w:szCs w:val="21"/>
        </w:rPr>
      </w:pPr>
      <w:r>
        <w:rPr>
          <w:rFonts w:hint="eastAsia" w:asciiTheme="minorEastAsia" w:hAnsiTheme="minorEastAsia" w:cstheme="minorEastAsia"/>
          <w:szCs w:val="21"/>
        </w:rPr>
        <w:t>产品相关信息的披露方式、渠道和频率，贵方可根据产品说明书中所载明的“信息披露”相关约定，拨打产品发行人客户服务热线、拨打</w:t>
      </w:r>
      <w:r>
        <w:rPr>
          <w:rFonts w:hint="eastAsia" w:asciiTheme="minorEastAsia" w:hAnsiTheme="minorEastAsia" w:cstheme="minorEastAsia"/>
          <w:szCs w:val="21"/>
          <w:lang w:val="en-US" w:eastAsia="zh-CN"/>
        </w:rPr>
        <w:t>代销机构</w:t>
      </w:r>
      <w:r>
        <w:rPr>
          <w:rFonts w:hint="eastAsia" w:asciiTheme="minorEastAsia" w:hAnsiTheme="minorEastAsia" w:cstheme="minorEastAsia"/>
          <w:szCs w:val="21"/>
        </w:rPr>
        <w:t>客户服务热线、登录产品发行人网站、登录</w:t>
      </w:r>
      <w:r>
        <w:rPr>
          <w:rFonts w:hint="eastAsia" w:asciiTheme="minorEastAsia" w:hAnsiTheme="minorEastAsia" w:cstheme="minorEastAsia"/>
          <w:szCs w:val="21"/>
          <w:lang w:val="en-US" w:eastAsia="zh-CN"/>
        </w:rPr>
        <w:t>代销机构</w:t>
      </w:r>
      <w:r>
        <w:rPr>
          <w:rFonts w:hint="eastAsia" w:asciiTheme="minorEastAsia" w:hAnsiTheme="minorEastAsia" w:cstheme="minorEastAsia"/>
          <w:szCs w:val="21"/>
        </w:rPr>
        <w:t>网站或到</w:t>
      </w:r>
      <w:r>
        <w:rPr>
          <w:rFonts w:hint="eastAsia" w:asciiTheme="minorEastAsia" w:hAnsiTheme="minorEastAsia" w:cstheme="minorEastAsia"/>
          <w:szCs w:val="21"/>
          <w:lang w:val="en-US" w:eastAsia="zh-CN"/>
        </w:rPr>
        <w:t>代销机构</w:t>
      </w:r>
      <w:r>
        <w:rPr>
          <w:rFonts w:hint="eastAsia" w:asciiTheme="minorEastAsia" w:hAnsiTheme="minorEastAsia" w:cstheme="minorEastAsia"/>
          <w:szCs w:val="21"/>
        </w:rPr>
        <w:t>营业网点进行查询。持有人因自身原因或不可抗</w:t>
      </w:r>
      <w:r>
        <w:rPr>
          <w:rFonts w:hint="eastAsia" w:asciiTheme="minorEastAsia" w:hAnsiTheme="minorEastAsia" w:cstheme="minorEastAsia"/>
          <w:color w:val="000000"/>
          <w:kern w:val="0"/>
          <w:szCs w:val="21"/>
        </w:rPr>
        <w:t>力导致未及时获知理财产品的相关信息，</w:t>
      </w:r>
      <w:r>
        <w:rPr>
          <w:rFonts w:hint="eastAsia" w:asciiTheme="minorEastAsia" w:hAnsiTheme="minorEastAsia" w:cstheme="minorEastAsia"/>
          <w:color w:val="000000"/>
          <w:kern w:val="0"/>
          <w:szCs w:val="21"/>
          <w:lang w:val="en-US" w:eastAsia="zh-CN"/>
        </w:rPr>
        <w:t>代销机构</w:t>
      </w:r>
      <w:r>
        <w:rPr>
          <w:rFonts w:hint="eastAsia" w:asciiTheme="minorEastAsia" w:hAnsiTheme="minorEastAsia" w:cstheme="minorEastAsia"/>
          <w:color w:val="000000"/>
          <w:kern w:val="0"/>
          <w:szCs w:val="21"/>
        </w:rPr>
        <w:t>不承担责任。</w:t>
      </w:r>
    </w:p>
    <w:p>
      <w:pPr>
        <w:autoSpaceDE w:val="0"/>
        <w:autoSpaceDN w:val="0"/>
        <w:adjustRightInd w:val="0"/>
        <w:spacing w:before="156" w:line="360" w:lineRule="auto"/>
        <w:ind w:firstLine="422" w:firstLineChars="200"/>
        <w:rPr>
          <w:rFonts w:asciiTheme="minorEastAsia" w:hAnsiTheme="minorEastAsia" w:cstheme="minorEastAsia"/>
          <w:b/>
          <w:color w:val="000000"/>
          <w:kern w:val="0"/>
          <w:szCs w:val="21"/>
        </w:rPr>
      </w:pPr>
      <w:r>
        <w:rPr>
          <w:rFonts w:hint="eastAsia" w:asciiTheme="minorEastAsia" w:hAnsiTheme="minorEastAsia" w:cstheme="minorEastAsia"/>
          <w:b/>
          <w:color w:val="000000"/>
          <w:kern w:val="0"/>
          <w:szCs w:val="21"/>
        </w:rPr>
        <w:t xml:space="preserve">四、投诉的方式和程序 </w:t>
      </w:r>
    </w:p>
    <w:p>
      <w:pPr>
        <w:autoSpaceDE w:val="0"/>
        <w:autoSpaceDN w:val="0"/>
        <w:adjustRightInd w:val="0"/>
        <w:spacing w:before="156" w:line="360" w:lineRule="auto"/>
        <w:ind w:firstLine="420" w:firstLineChars="0"/>
        <w:rPr>
          <w:rFonts w:hint="eastAsia" w:asciiTheme="minorEastAsia" w:hAnsiTheme="minorEastAsia" w:cstheme="minorEastAsia"/>
          <w:szCs w:val="21"/>
        </w:rPr>
      </w:pPr>
      <w:r>
        <w:rPr>
          <w:rFonts w:hint="eastAsia" w:asciiTheme="minorEastAsia" w:hAnsiTheme="minorEastAsia" w:cstheme="minorEastAsia"/>
          <w:szCs w:val="21"/>
        </w:rPr>
        <w:t>如</w:t>
      </w:r>
      <w:r>
        <w:rPr>
          <w:rFonts w:hint="eastAsia" w:asciiTheme="minorEastAsia" w:hAnsiTheme="minorEastAsia" w:cstheme="minorEastAsia"/>
          <w:szCs w:val="21"/>
          <w:lang w:val="en-US" w:eastAsia="zh-CN"/>
        </w:rPr>
        <w:t>贵方</w:t>
      </w:r>
      <w:r>
        <w:rPr>
          <w:rFonts w:hint="eastAsia" w:asciiTheme="minorEastAsia" w:hAnsiTheme="minorEastAsia" w:cstheme="minorEastAsia"/>
          <w:szCs w:val="21"/>
        </w:rPr>
        <w:t>对本产品有任何意见或建议，可通过</w:t>
      </w:r>
      <w:r>
        <w:rPr>
          <w:rFonts w:hint="eastAsia" w:asciiTheme="minorEastAsia" w:hAnsiTheme="minorEastAsia" w:cstheme="minorEastAsia"/>
          <w:szCs w:val="21"/>
          <w:lang w:val="en-US" w:eastAsia="zh-CN"/>
        </w:rPr>
        <w:t>代销机构</w:t>
      </w:r>
      <w:r>
        <w:rPr>
          <w:rFonts w:hint="eastAsia" w:asciiTheme="minorEastAsia" w:hAnsiTheme="minorEastAsia" w:cstheme="minorEastAsia"/>
          <w:szCs w:val="21"/>
        </w:rPr>
        <w:t>营业网点工作人员，拨打客户服务热线以及</w:t>
      </w:r>
      <w:r>
        <w:rPr>
          <w:rFonts w:hint="eastAsia" w:asciiTheme="minorEastAsia" w:hAnsiTheme="minorEastAsia" w:cstheme="minorEastAsia"/>
          <w:szCs w:val="21"/>
          <w:lang w:val="en-US" w:eastAsia="zh-CN"/>
        </w:rPr>
        <w:t>代销</w:t>
      </w:r>
      <w:r>
        <w:rPr>
          <w:rFonts w:hint="eastAsia" w:asciiTheme="minorEastAsia" w:hAnsiTheme="minorEastAsia" w:cstheme="minorEastAsia"/>
          <w:szCs w:val="21"/>
        </w:rPr>
        <w:t>机构官方网站进行反映，将由专人接听、记录您的意见或建议，并由各方协商共同解决。</w:t>
      </w:r>
    </w:p>
    <w:p>
      <w:pPr>
        <w:autoSpaceDE w:val="0"/>
        <w:autoSpaceDN w:val="0"/>
        <w:adjustRightInd w:val="0"/>
        <w:spacing w:before="156" w:line="360" w:lineRule="auto"/>
        <w:ind w:firstLine="422" w:firstLineChars="200"/>
        <w:rPr>
          <w:rFonts w:asciiTheme="minorEastAsia" w:hAnsiTheme="minorEastAsia" w:cstheme="minorEastAsia"/>
          <w:b/>
          <w:color w:val="000000"/>
          <w:kern w:val="0"/>
          <w:szCs w:val="21"/>
        </w:rPr>
      </w:pPr>
      <w:r>
        <w:rPr>
          <w:rFonts w:hint="eastAsia" w:asciiTheme="minorEastAsia" w:hAnsiTheme="minorEastAsia" w:cstheme="minorEastAsia"/>
          <w:b/>
          <w:color w:val="000000"/>
          <w:kern w:val="0"/>
          <w:szCs w:val="21"/>
        </w:rPr>
        <w:t>五、</w:t>
      </w:r>
      <w:r>
        <w:rPr>
          <w:rFonts w:hint="eastAsia" w:asciiTheme="minorEastAsia" w:hAnsiTheme="minorEastAsia" w:cstheme="minorEastAsia"/>
          <w:b/>
          <w:color w:val="000000"/>
          <w:kern w:val="0"/>
          <w:szCs w:val="21"/>
          <w:lang w:val="en-US" w:eastAsia="zh-CN"/>
        </w:rPr>
        <w:t>代销机构</w:t>
      </w:r>
      <w:r>
        <w:rPr>
          <w:rFonts w:hint="eastAsia" w:asciiTheme="minorEastAsia" w:hAnsiTheme="minorEastAsia" w:cstheme="minorEastAsia"/>
          <w:b/>
          <w:color w:val="000000"/>
          <w:kern w:val="0"/>
          <w:szCs w:val="21"/>
        </w:rPr>
        <w:t xml:space="preserve">联络方式 </w:t>
      </w:r>
    </w:p>
    <w:p>
      <w:pPr>
        <w:autoSpaceDE w:val="0"/>
        <w:autoSpaceDN w:val="0"/>
        <w:adjustRightInd w:val="0"/>
        <w:spacing w:before="156" w:line="360" w:lineRule="auto"/>
        <w:ind w:firstLine="420" w:firstLineChars="200"/>
        <w:rPr>
          <w:rFonts w:hint="eastAsia" w:asciiTheme="minorEastAsia" w:hAnsiTheme="minorEastAsia" w:cstheme="minorEastAsia"/>
          <w:color w:val="000000"/>
          <w:kern w:val="0"/>
          <w:szCs w:val="21"/>
        </w:rPr>
      </w:pPr>
      <w:r>
        <w:rPr>
          <w:rFonts w:hint="eastAsia" w:asciiTheme="minorEastAsia" w:hAnsiTheme="minorEastAsia" w:cstheme="minorEastAsia"/>
          <w:color w:val="000000"/>
          <w:kern w:val="0"/>
          <w:szCs w:val="21"/>
          <w:lang w:val="en-US" w:eastAsia="zh-CN"/>
        </w:rPr>
        <w:t>代销</w:t>
      </w:r>
      <w:r>
        <w:rPr>
          <w:rFonts w:hint="eastAsia" w:asciiTheme="minorEastAsia" w:hAnsiTheme="minorEastAsia" w:cstheme="minorEastAsia"/>
          <w:color w:val="000000"/>
          <w:kern w:val="0"/>
          <w:szCs w:val="21"/>
        </w:rPr>
        <w:t>机构联络方式详见</w:t>
      </w:r>
      <w:r>
        <w:rPr>
          <w:rFonts w:hint="eastAsia" w:asciiTheme="minorEastAsia" w:hAnsiTheme="minorEastAsia" w:cstheme="minorEastAsia"/>
          <w:color w:val="000000"/>
          <w:kern w:val="0"/>
          <w:szCs w:val="21"/>
          <w:lang w:val="en-US" w:eastAsia="zh-CN"/>
        </w:rPr>
        <w:t>代销</w:t>
      </w:r>
      <w:r>
        <w:rPr>
          <w:rFonts w:hint="eastAsia" w:asciiTheme="minorEastAsia" w:hAnsiTheme="minorEastAsia" w:cstheme="minorEastAsia"/>
          <w:color w:val="000000"/>
          <w:kern w:val="0"/>
          <w:szCs w:val="21"/>
        </w:rPr>
        <w:t>机构提供的相关协议。</w:t>
      </w:r>
    </w:p>
    <w:p>
      <w:pPr>
        <w:autoSpaceDE w:val="0"/>
        <w:autoSpaceDN w:val="0"/>
        <w:adjustRightInd w:val="0"/>
        <w:spacing w:before="156" w:line="360" w:lineRule="auto"/>
        <w:ind w:firstLine="422" w:firstLineChars="200"/>
        <w:rPr>
          <w:rFonts w:hint="eastAsia" w:asciiTheme="minorEastAsia" w:hAnsiTheme="minorEastAsia" w:cstheme="minorEastAsia"/>
          <w:b/>
          <w:color w:val="000000"/>
          <w:kern w:val="0"/>
          <w:szCs w:val="21"/>
          <w:lang w:val="en-US" w:eastAsia="zh-CN"/>
        </w:rPr>
      </w:pPr>
      <w:r>
        <w:rPr>
          <w:rFonts w:hint="eastAsia" w:asciiTheme="minorEastAsia" w:hAnsiTheme="minorEastAsia" w:cstheme="minorEastAsia"/>
          <w:b/>
          <w:color w:val="000000"/>
          <w:kern w:val="0"/>
          <w:szCs w:val="21"/>
          <w:lang w:val="en-US" w:eastAsia="zh-CN"/>
        </w:rPr>
        <w:t>六、【上银理财】联络方式</w:t>
      </w:r>
    </w:p>
    <w:p>
      <w:pPr>
        <w:spacing w:line="360" w:lineRule="auto"/>
        <w:ind w:firstLine="315" w:firstLineChars="150"/>
        <w:rPr>
          <w:rFonts w:hint="default" w:asciiTheme="minorEastAsia" w:hAnsiTheme="minorEastAsia" w:cstheme="minorEastAsia"/>
          <w:color w:val="000000"/>
          <w:kern w:val="0"/>
          <w:szCs w:val="21"/>
          <w:lang w:val="en-US" w:eastAsia="zh-CN"/>
        </w:rPr>
      </w:pPr>
      <w:r>
        <w:rPr>
          <w:rFonts w:hint="eastAsia" w:asciiTheme="minorEastAsia" w:hAnsiTheme="minorEastAsia" w:cstheme="minorEastAsia"/>
          <w:color w:val="000000"/>
          <w:kern w:val="0"/>
          <w:szCs w:val="21"/>
          <w:lang w:val="en-US" w:eastAsia="zh-CN"/>
        </w:rPr>
        <w:t>（一）【</w:t>
      </w:r>
      <w:r>
        <w:rPr>
          <w:rFonts w:hint="default" w:asciiTheme="minorEastAsia" w:hAnsiTheme="minorEastAsia" w:cstheme="minorEastAsia"/>
          <w:color w:val="000000"/>
          <w:kern w:val="0"/>
          <w:szCs w:val="21"/>
          <w:lang w:val="en-US" w:eastAsia="zh-CN"/>
        </w:rPr>
        <w:t>上银理财</w:t>
      </w:r>
      <w:r>
        <w:rPr>
          <w:rFonts w:hint="eastAsia" w:asciiTheme="minorEastAsia" w:hAnsiTheme="minorEastAsia" w:cstheme="minorEastAsia"/>
          <w:color w:val="000000"/>
          <w:kern w:val="0"/>
          <w:szCs w:val="21"/>
          <w:lang w:val="en-US" w:eastAsia="zh-CN"/>
        </w:rPr>
        <w:t>】</w:t>
      </w:r>
      <w:r>
        <w:rPr>
          <w:rFonts w:hint="default" w:asciiTheme="minorEastAsia" w:hAnsiTheme="minorEastAsia" w:cstheme="minorEastAsia"/>
          <w:color w:val="000000"/>
          <w:kern w:val="0"/>
          <w:szCs w:val="21"/>
          <w:lang w:val="en-US" w:eastAsia="zh-CN"/>
        </w:rPr>
        <w:t>地址：中国上海市黄浦区中山南路666号2幢2号实际楼层2层、3层</w:t>
      </w:r>
    </w:p>
    <w:p>
      <w:pPr>
        <w:spacing w:line="360" w:lineRule="auto"/>
        <w:ind w:firstLine="315" w:firstLineChars="150"/>
        <w:rPr>
          <w:rFonts w:hint="default" w:asciiTheme="minorEastAsia" w:hAnsiTheme="minorEastAsia" w:cstheme="minorEastAsia"/>
          <w:color w:val="000000"/>
          <w:kern w:val="0"/>
          <w:szCs w:val="21"/>
          <w:lang w:val="en-US" w:eastAsia="zh-CN"/>
        </w:rPr>
      </w:pPr>
      <w:r>
        <w:rPr>
          <w:rFonts w:hint="eastAsia" w:asciiTheme="minorEastAsia" w:hAnsiTheme="minorEastAsia" w:cstheme="minorEastAsia"/>
          <w:color w:val="000000"/>
          <w:kern w:val="0"/>
          <w:szCs w:val="21"/>
          <w:lang w:val="en-US" w:eastAsia="zh-CN"/>
        </w:rPr>
        <w:t>（二）【</w:t>
      </w:r>
      <w:r>
        <w:rPr>
          <w:rFonts w:hint="default" w:asciiTheme="minorEastAsia" w:hAnsiTheme="minorEastAsia" w:cstheme="minorEastAsia"/>
          <w:color w:val="000000"/>
          <w:kern w:val="0"/>
          <w:szCs w:val="21"/>
          <w:lang w:val="en-US" w:eastAsia="zh-CN"/>
        </w:rPr>
        <w:t>上银理财</w:t>
      </w:r>
      <w:r>
        <w:rPr>
          <w:rFonts w:hint="eastAsia" w:asciiTheme="minorEastAsia" w:hAnsiTheme="minorEastAsia" w:cstheme="minorEastAsia"/>
          <w:color w:val="000000"/>
          <w:kern w:val="0"/>
          <w:szCs w:val="21"/>
          <w:lang w:val="en-US" w:eastAsia="zh-CN"/>
        </w:rPr>
        <w:t>】门户</w:t>
      </w:r>
      <w:r>
        <w:rPr>
          <w:rFonts w:hint="default" w:asciiTheme="minorEastAsia" w:hAnsiTheme="minorEastAsia" w:cstheme="minorEastAsia"/>
          <w:color w:val="000000"/>
          <w:kern w:val="0"/>
          <w:szCs w:val="21"/>
          <w:lang w:val="en-US" w:eastAsia="zh-CN"/>
        </w:rPr>
        <w:t>网站：【https://www.boscwm.cn/】</w:t>
      </w:r>
    </w:p>
    <w:p>
      <w:pPr>
        <w:spacing w:line="470" w:lineRule="exact"/>
        <w:ind w:firstLine="360" w:firstLineChars="150"/>
        <w:jc w:val="right"/>
        <w:rPr>
          <w:rFonts w:asciiTheme="minorEastAsia" w:hAnsiTheme="minorEastAsia" w:cstheme="minorEastAsia"/>
          <w:color w:val="000000"/>
          <w:kern w:val="0"/>
          <w:sz w:val="24"/>
          <w:szCs w:val="24"/>
        </w:rPr>
      </w:pPr>
    </w:p>
    <w:p>
      <w:pPr>
        <w:rPr>
          <w:rFonts w:hint="eastAsia" w:ascii="仿宋_GB2312" w:hAnsi="宋体" w:eastAsia="仿宋_GB2312" w:cs="宋体"/>
          <w:b w:val="0"/>
          <w:bCs w:val="0"/>
          <w:color w:val="000000"/>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宋体@.蜮.艀.">
    <w:altName w:val="宋体"/>
    <w:panose1 w:val="00000000000000000000"/>
    <w:charset w:val="86"/>
    <w:family w:val="roma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D8E810"/>
    <w:multiLevelType w:val="singleLevel"/>
    <w:tmpl w:val="0FD8E810"/>
    <w:lvl w:ilvl="0" w:tentative="0">
      <w:start w:val="1"/>
      <w:numFmt w:val="decimal"/>
      <w:suff w:val="nothing"/>
      <w:lvlText w:val="%1、"/>
      <w:lvlJc w:val="left"/>
    </w:lvl>
  </w:abstractNum>
  <w:abstractNum w:abstractNumId="1">
    <w:nsid w:val="70AC2909"/>
    <w:multiLevelType w:val="singleLevel"/>
    <w:tmpl w:val="70AC2909"/>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22114"/>
    <w:rsid w:val="01B95638"/>
    <w:rsid w:val="08280F37"/>
    <w:rsid w:val="09BF5F03"/>
    <w:rsid w:val="0A2F7385"/>
    <w:rsid w:val="15D77B0D"/>
    <w:rsid w:val="18C76175"/>
    <w:rsid w:val="1D505096"/>
    <w:rsid w:val="202A117D"/>
    <w:rsid w:val="2100618E"/>
    <w:rsid w:val="2114362C"/>
    <w:rsid w:val="237B414A"/>
    <w:rsid w:val="23ED19CF"/>
    <w:rsid w:val="26BC5BD7"/>
    <w:rsid w:val="2A2F45F6"/>
    <w:rsid w:val="2DD71FC2"/>
    <w:rsid w:val="2FE42745"/>
    <w:rsid w:val="2FE74EB6"/>
    <w:rsid w:val="304024A1"/>
    <w:rsid w:val="32680574"/>
    <w:rsid w:val="3E5408F8"/>
    <w:rsid w:val="46E26704"/>
    <w:rsid w:val="474912EC"/>
    <w:rsid w:val="48F401DF"/>
    <w:rsid w:val="498E6A9B"/>
    <w:rsid w:val="4BAC2D6D"/>
    <w:rsid w:val="594C6C88"/>
    <w:rsid w:val="5E4F3865"/>
    <w:rsid w:val="600450CB"/>
    <w:rsid w:val="62D713CB"/>
    <w:rsid w:val="663E364A"/>
    <w:rsid w:val="6A0E1DCE"/>
    <w:rsid w:val="6D491D29"/>
    <w:rsid w:val="6E5179B9"/>
    <w:rsid w:val="702E5B24"/>
    <w:rsid w:val="7CFC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adjustRightInd w:val="0"/>
      <w:snapToGrid w:val="0"/>
      <w:ind w:firstLine="360" w:firstLineChars="150"/>
      <w:jc w:val="left"/>
    </w:pPr>
    <w:rPr>
      <w:sz w:val="24"/>
    </w:rPr>
  </w:style>
  <w:style w:type="paragraph" w:customStyle="1" w:styleId="5">
    <w:name w:val="Default"/>
    <w:qFormat/>
    <w:uiPriority w:val="0"/>
    <w:pPr>
      <w:widowControl w:val="0"/>
      <w:autoSpaceDE w:val="0"/>
      <w:autoSpaceDN w:val="0"/>
      <w:adjustRightInd w:val="0"/>
    </w:pPr>
    <w:rPr>
      <w:rFonts w:ascii="宋体@.蜮.艀." w:eastAsia="宋体@.蜮.艀." w:cs="宋体@.蜮.艀."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1192</Words>
  <Characters>1294</Characters>
  <Lines>0</Lines>
  <Paragraphs>0</Paragraphs>
  <TotalTime>58</TotalTime>
  <ScaleCrop>false</ScaleCrop>
  <LinksUpToDate>false</LinksUpToDate>
  <CharactersWithSpaces>1304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2023-12-07T04:45:00Z</dcterms:created>
  <dc:creator>L319388</dc:creator>
  <cp:lastModifiedBy>周 翔</cp:lastModifiedBy>
  <dcterms:modified xsi:type="dcterms:W3CDTF">2024-10-22T02:36:25Z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