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w:t>
      </w:r>
      <w:r>
        <w:rPr>
          <w:rStyle w:val="27"/>
          <w:rFonts w:hint="eastAsia" w:ascii="黑体" w:hAnsi="黑体" w:eastAsia="黑体"/>
          <w:sz w:val="44"/>
          <w:szCs w:val="44"/>
          <w:lang w:val="en-US" w:eastAsia="zh-CN"/>
        </w:rPr>
        <w:t>稳利安盈封闭式固收类</w:t>
      </w:r>
      <w:r>
        <w:rPr>
          <w:rStyle w:val="27"/>
          <w:rFonts w:hint="eastAsia" w:ascii="黑体" w:hAnsi="黑体" w:eastAsia="黑体"/>
          <w:sz w:val="44"/>
          <w:szCs w:val="44"/>
        </w:rPr>
        <w:t>】理财产品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【2026】年【1】月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0"/>
                <w:sz w:val="18"/>
                <w:szCs w:val="18"/>
                <w:lang w:val="en-US" w:eastAsia="zh-CN" w:bidi="ar"/>
              </w:rPr>
              <w:t>【兴银理财稳利安盈封闭式2026年67期固收类理财产品】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pPr>
              <w:keepNext w:val="0"/>
              <w:keepLines w:val="0"/>
              <w:widowControl/>
              <w:suppressLineNumbers w:val="0"/>
              <w:spacing w:before="0" w:beforeAutospacing="0" w:after="0" w:afterAutospacing="0" w:line="360" w:lineRule="auto"/>
              <w:ind w:left="0" w:leftChars="0" w:right="0" w:rightChars="0"/>
              <w:jc w:val="left"/>
              <w:rPr>
                <w:rFonts w:hint="default" w:ascii="宋体" w:hAnsi="宋体"/>
                <w:kern w:val="0"/>
                <w:sz w:val="22"/>
              </w:rPr>
            </w:pPr>
            <w:r>
              <w:rPr>
                <w:rFonts w:hint="eastAsia" w:ascii="宋体" w:hAnsi="宋体" w:eastAsia="宋体" w:cs="宋体"/>
                <w:bCs/>
                <w:kern w:val="2"/>
                <w:sz w:val="18"/>
                <w:szCs w:val="18"/>
                <w:lang w:val="en-US" w:eastAsia="zh-CN" w:bidi="ar"/>
              </w:rPr>
              <w:t>【兴银稳利安盈26年67期C】 (适用【C】类份额)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pPr>
              <w:keepNext w:val="0"/>
              <w:keepLines w:val="0"/>
              <w:suppressLineNumbers w:val="0"/>
              <w:spacing w:before="0" w:beforeAutospacing="0" w:after="0" w:afterAutospacing="0" w:line="360" w:lineRule="auto"/>
              <w:ind w:left="0" w:right="0"/>
              <w:jc w:val="left"/>
              <w:rPr>
                <w:rFonts w:hint="default" w:ascii="宋体" w:hAnsi="宋体"/>
                <w:b/>
                <w:sz w:val="18"/>
                <w:szCs w:val="18"/>
              </w:rPr>
            </w:pPr>
            <w:r>
              <w:rPr>
                <w:rFonts w:hint="eastAsia" w:ascii="宋体" w:hAnsi="宋体"/>
                <w:bCs/>
                <w:color w:val="auto"/>
                <w:sz w:val="18"/>
                <w:szCs w:val="18"/>
              </w:rPr>
              <w:t>【</w:t>
            </w:r>
            <w:r>
              <w:rPr>
                <w:rFonts w:hint="eastAsia" w:ascii="宋体" w:hAnsi="宋体"/>
                <w:bCs/>
                <w:color w:val="auto"/>
                <w:sz w:val="18"/>
                <w:szCs w:val="18"/>
                <w:lang w:val="en-US" w:eastAsia="zh-CN"/>
              </w:rPr>
              <w:t>Z7002026000010</w:t>
            </w:r>
            <w:r>
              <w:rPr>
                <w:rFonts w:hint="eastAsia" w:ascii="宋体" w:hAnsi="宋体"/>
                <w:bCs/>
                <w:color w:val="auto"/>
                <w:sz w:val="18"/>
                <w:szCs w:val="18"/>
              </w:rPr>
              <w:t>】投资者可依据理财产品登记编码在中国理财网(</w:t>
            </w:r>
            <w:r>
              <w:rPr>
                <w:rFonts w:hint="eastAsia" w:ascii="宋体" w:hAnsi="宋体"/>
                <w:bCs/>
                <w:color w:val="auto"/>
                <w:sz w:val="18"/>
                <w:szCs w:val="18"/>
              </w:rPr>
              <w:fldChar w:fldCharType="begin"/>
            </w:r>
            <w:r>
              <w:rPr>
                <w:rFonts w:hint="eastAsia" w:ascii="宋体" w:hAnsi="宋体"/>
                <w:bCs/>
                <w:color w:val="auto"/>
                <w:sz w:val="18"/>
                <w:szCs w:val="18"/>
              </w:rPr>
              <w:instrText xml:space="preserve"> HYPERLINK "http://www.chinawealth.com.cn" </w:instrText>
            </w:r>
            <w:r>
              <w:rPr>
                <w:rFonts w:hint="eastAsia" w:ascii="宋体" w:hAnsi="宋体"/>
                <w:bCs/>
                <w:color w:val="auto"/>
                <w:sz w:val="18"/>
                <w:szCs w:val="18"/>
              </w:rPr>
              <w:fldChar w:fldCharType="separate"/>
            </w:r>
            <w:r>
              <w:rPr>
                <w:rFonts w:hint="eastAsia" w:ascii="宋体" w:hAnsi="宋体"/>
                <w:bCs/>
                <w:color w:val="auto"/>
                <w:sz w:val="18"/>
                <w:szCs w:val="18"/>
              </w:rPr>
              <w:t>www.chinawealth.com.cn</w:t>
            </w:r>
            <w:r>
              <w:rPr>
                <w:rFonts w:hint="eastAsia" w:ascii="宋体" w:hAnsi="宋体"/>
                <w:bCs/>
                <w:color w:val="auto"/>
                <w:sz w:val="18"/>
                <w:szCs w:val="18"/>
              </w:rPr>
              <w:fldChar w:fldCharType="end"/>
            </w:r>
            <w:r>
              <w:rPr>
                <w:rFonts w:hint="eastAsia" w:ascii="宋体" w:hAnsi="宋体"/>
                <w:bCs/>
                <w:color w:val="auto"/>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【9A260670】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hAnsi="宋体"/>
                <w:sz w:val="18"/>
                <w:szCs w:val="18"/>
              </w:rPr>
            </w:pPr>
            <w:r>
              <w:rPr>
                <w:rFonts w:hint="eastAsia" w:ascii="宋体" w:hAnsi="宋体" w:eastAsia="宋体" w:cs="宋体"/>
                <w:bCs/>
                <w:color w:val="000000"/>
                <w:kern w:val="2"/>
                <w:sz w:val="18"/>
                <w:szCs w:val="18"/>
                <w:lang w:val="en-US" w:eastAsia="zh-CN" w:bidi="ar"/>
              </w:rPr>
              <w:t>【9A26067C】 (适用【C】类份额)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keepNext w:val="0"/>
              <w:keepLines w:val="0"/>
              <w:suppressLineNumbers w:val="0"/>
              <w:spacing w:before="0" w:beforeAutospacing="0" w:after="0" w:afterAutospacing="0" w:line="360" w:lineRule="auto"/>
              <w:ind w:left="0" w:right="0"/>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eastAsia" w:ascii="宋体" w:hAnsi="宋体" w:eastAsia="宋体" w:cs="宋体"/>
                <w:bCs/>
                <w:kern w:val="2"/>
                <w:sz w:val="18"/>
                <w:szCs w:val="18"/>
                <w:lang w:val="en-US" w:eastAsia="zh-CN" w:bidi="ar"/>
              </w:rPr>
              <w:t>(适用【C】类份额)
</w:t>
            </w:r>
            <w:bookmarkStart w:id="156" w:name="_GoBack"/>
            <w:bookmarkEnd w:id="156"/>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代销适用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hint="default"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13</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■有固定期限:【153天】</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□无固定期限</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cs="Times New Roman" w:asciiTheme="minorEastAsia" w:hAnsiTheme="minorEastAsia"/>
                <w:sz w:val="18"/>
                <w:szCs w:val="18"/>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【2026年01月15日】【09:00】至【2026年01月21日】【17:00】。</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【2026年01月22日】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【2026年06月24日】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sz w:val="18"/>
                <w:szCs w:val="18"/>
              </w:rPr>
            </w:pPr>
            <w:r>
              <w:rPr>
                <w:rFonts w:hint="eastAsia" w:asciiTheme="majorEastAsia" w:hAnsiTheme="majorEastAsia" w:eastAsiaTheme="majorEastAsia"/>
                <w:sz w:val="18"/>
                <w:szCs w:val="18"/>
                <w:lang w:val="en-US" w:eastAsia="zh-CN"/>
              </w:rPr>
              <w:t>每笔购买起点金额为【1】元; 超出起点金额的部分以【0.01】元的整数倍递增。（适用【C】类份额)
</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pPr>
              <w:pStyle w:val="34"/>
              <w:keepNext w:val="0"/>
              <w:keepLines w:val="0"/>
              <w:suppressLineNumbers w:val="0"/>
              <w:spacing w:before="0" w:beforeAutospacing="0" w:after="0" w:afterAutospacing="0" w:line="360" w:lineRule="auto"/>
              <w:ind w:left="0" w:right="0"/>
              <w:rPr>
                <w:rFonts w:hint="eastAsia" w:hAnsi="宋体"/>
                <w:bCs/>
                <w:sz w:val="18"/>
                <w:szCs w:val="18"/>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（1）单一投资者认购上限为【/】元。（适用【C】类份额)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（2）产品存续期间，单一投资者最高持有份额上限为【/】份，符合产品管理人流动性管理的稳定资金除外。（适用【C】类份额)</w:t>
            </w:r>
          </w:p>
          <w:p>
            <w:pPr>
              <w:pStyle w:val="34"/>
              <w:keepNext w:val="0"/>
              <w:keepLines w:val="0"/>
              <w:suppressLineNumbers w:val="0"/>
              <w:spacing w:before="0" w:beforeAutospacing="0" w:after="0" w:afterAutospacing="0" w:line="360" w:lineRule="auto"/>
              <w:ind w:left="0" w:right="0"/>
              <w:rPr>
                <w:rFonts w:hint="default"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sz w:val="18"/>
                <w:szCs w:val="18"/>
              </w:rPr>
            </w:pPr>
            <w:r>
              <w:rPr>
                <w:rFonts w:hint="default" w:ascii="黑体" w:hAnsi="黑体" w:eastAsia="黑体" w:cs="黑体"/>
                <w:sz w:val="18"/>
              </w:rPr>
              <w:t>注：本产品单一投资者持有份额不得超过产品总份额50%。</w:t>
            </w:r>
            <w:r>
              <w:rPr>
                <w:rFonts w:hint="default" w:ascii="黑体" w:hAnsi="黑体" w:eastAsia="黑体" w:cs="黑体"/>
                <w:sz w:val="18"/>
              </w:rPr>
              <w:br w:type="textWrapping"/>
            </w:r>
            <w:r>
              <w:rPr>
                <w:rFonts w:hint="default" w:ascii="黑体" w:hAnsi="黑体" w:eastAsia="黑体" w:cs="黑体"/>
                <w:sz w:val="18"/>
              </w:rPr>
              <w:t>（1）投资者认购或申购确认后可能导致其持有份额超过产品总份额50%的，管理人有权拒绝或暂停认购、申购。</w:t>
            </w:r>
            <w:r>
              <w:rPr>
                <w:rFonts w:hint="default" w:ascii="黑体" w:hAnsi="黑体" w:eastAsia="黑体" w:cs="黑体"/>
                <w:sz w:val="18"/>
              </w:rPr>
              <w:br w:type="textWrapping"/>
            </w:r>
            <w:r>
              <w:rPr>
                <w:rFonts w:hint="default"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eastAsia" w:hAnsi="宋体"/>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（2）业绩比较基准的设定：管理人对本产品设定业绩比较基准：年化【1.7%-2.7%】。（适用【C】类份额)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eastAsia"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业绩报酬计提基准的设定：管理人对本产品设定业绩报酬计提基准：年化【2.2%】。（适用【C】类份额)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widowControl/>
              <w:suppressLineNumbers w:val="0"/>
              <w:spacing w:before="0" w:beforeAutospacing="0" w:after="0" w:afterAutospacing="0" w:line="360" w:lineRule="auto"/>
              <w:ind w:left="0" w:right="0"/>
              <w:jc w:val="left"/>
              <w:rPr>
                <w:rFonts w:hint="eastAsia" w:asciiTheme="majorEastAsia" w:hAnsiTheme="majorEastAsia" w:eastAsiaTheme="majorEastAsia"/>
                <w:bCs/>
                <w:color w:val="000000" w:themeColor="text1"/>
                <w:sz w:val="18"/>
                <w:szCs w:val="18"/>
                <w14:textFill>
                  <w14:solidFill>
                    <w14:schemeClr w14:val="tx1"/>
                  </w14:solidFill>
                </w14:textFill>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（1）认购费：【/】。（适用【C】类份额）</w:t>
            </w:r>
            <w:r>
              <w:rPr>
                <w:rFonts w:hint="default" w:ascii="黑体" w:hAnsi="黑体" w:eastAsia="黑体" w:cs="黑体"/>
                <w:sz w:val="18"/>
              </w:rPr>
              <w:br w:type="textWrapping"/>
            </w:r>
            <w:r>
              <w:rPr>
                <w:rFonts w:hint="default" w:ascii="黑体" w:hAnsi="黑体" w:eastAsia="黑体" w:cs="黑体"/>
                <w:sz w:val="18"/>
              </w:rPr>
              <w:t>（2）销售服务费：年化费率【0.1%】。（适用【C】类份额）</w:t>
            </w:r>
            <w:r>
              <w:rPr>
                <w:rFonts w:hint="default" w:ascii="黑体" w:hAnsi="黑体" w:eastAsia="黑体" w:cs="黑体"/>
                <w:sz w:val="18"/>
              </w:rPr>
              <w:br w:type="textWrapping"/>
            </w:r>
            <w:r>
              <w:rPr>
                <w:rFonts w:hint="default" w:ascii="黑体" w:hAnsi="黑体" w:eastAsia="黑体" w:cs="黑体"/>
                <w:sz w:val="18"/>
              </w:rPr>
              <w:t>（3）投资管理费：年化费率【0.05%】</w:t>
            </w:r>
            <w:r>
              <w:rPr>
                <w:rFonts w:hint="default" w:ascii="黑体" w:hAnsi="黑体" w:eastAsia="黑体" w:cs="黑体"/>
                <w:sz w:val="18"/>
              </w:rPr>
              <w:br w:type="textWrapping"/>
            </w:r>
            <w:r>
              <w:rPr>
                <w:rFonts w:hint="default" w:ascii="黑体" w:hAnsi="黑体" w:eastAsia="黑体" w:cs="黑体"/>
                <w:sz w:val="18"/>
              </w:rPr>
              <w:t>（4）产品托管费：年化费率【0.02%】</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9154668"/>
      <w:bookmarkStart w:id="12" w:name="_Toc15203"/>
      <w:bookmarkStart w:id="13" w:name="_Toc16265"/>
      <w:bookmarkStart w:id="14" w:name="_Toc90742390"/>
      <w:bookmarkStart w:id="15" w:name="_Toc27189"/>
      <w:bookmarkStart w:id="16" w:name="_Toc29948"/>
      <w:bookmarkStart w:id="17" w:name="_Toc29784"/>
      <w:bookmarkStart w:id="18" w:name="_Toc74065741"/>
      <w:bookmarkStart w:id="19" w:name="_Toc22074"/>
      <w:bookmarkStart w:id="20" w:name="_Toc6714"/>
      <w:bookmarkStart w:id="21" w:name="_Toc90742321"/>
      <w:bookmarkStart w:id="22" w:name="_Toc3266"/>
      <w:bookmarkStart w:id="23" w:name="_Toc7151"/>
      <w:bookmarkStart w:id="24" w:name="_Toc90742688"/>
      <w:bookmarkStart w:id="25" w:name="_Toc2722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numPr>
          <w:ilvl w:val="0"/>
          <w:numId w:val="2"/>
        </w:numPr>
        <w:autoSpaceDE w:val="0"/>
        <w:autoSpaceDN w:val="0"/>
        <w:adjustRightInd w:val="0"/>
        <w:spacing w:line="360" w:lineRule="auto"/>
        <w:ind w:firstLine="540" w:firstLineChars="300"/>
        <w:jc w:val="left"/>
        <w:rPr>
          <w:rFonts w:ascii="宋体" w:hAnsi="宋体" w:eastAsia="宋体" w:cs="宋体"/>
          <w:sz w:val="18"/>
        </w:rPr>
      </w:pPr>
      <w:r>
        <w:rPr>
          <w:rFonts w:ascii="宋体" w:hAnsi="宋体" w:eastAsia="宋体" w:cs="宋体"/>
          <w:sz w:val="18"/>
        </w:rPr>
        <w:t>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numPr>
          <w:ilvl w:val="0"/>
          <w:numId w:val="0"/>
        </w:numPr>
        <w:autoSpaceDE w:val="0"/>
        <w:autoSpaceDN w:val="0"/>
        <w:adjustRightInd w:val="0"/>
        <w:spacing w:line="360" w:lineRule="auto"/>
        <w:ind w:firstLine="540" w:firstLineChars="300"/>
        <w:jc w:val="left"/>
        <w:rPr>
          <w:rFonts w:asciiTheme="majorEastAsia" w:hAnsiTheme="majorEastAsia" w:eastAsiaTheme="majorEastAsia"/>
          <w:bCs/>
          <w:sz w:val="18"/>
          <w:szCs w:val="18"/>
        </w:rPr>
      </w:pPr>
      <w:r>
        <w:rPr>
          <w:rFonts w:ascii="宋体" w:hAnsi="宋体" w:eastAsia="宋体" w:cs="宋体"/>
          <w:sz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left="537" w:leftChars="170" w:hanging="180" w:hangingChars="10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ascii="宋体" w:hAnsi="宋体" w:eastAsia="宋体" w:cs="宋体"/>
          <w:sz w:val="18"/>
        </w:rPr>
        <w:t>（2）全部公募理财产品持有单只证券或单只公募证券投资基金的市值，不得超过该证券市值或该公募证券投资基金市值的30%。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（3）全部理财产品持有单一上市公司发行的股票，不得超过该上市公司可流通股票的30%。</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 xml:space="preserve">（4）全部开放式公募理财产品投资单一上市公司发行的股票不得超过该上市公司可流通股票的15%。 </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（5）本产品因为流动性需要可开展存单质押、债券正回购等融资业务，本产品总资产不超过净资产的200%。</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（6）本产品投资于信用债券、银行存款的信用评级均不得低于AA+。</w:t>
      </w:r>
    </w:p>
    <w:p>
      <w:pPr>
        <w:spacing w:line="360" w:lineRule="auto"/>
        <w:ind w:firstLine="360" w:firstLineChars="20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Pr>
          <w:rFonts w:hint="eastAsia" w:asciiTheme="majorEastAsia" w:hAnsiTheme="majorEastAsia" w:eastAsiaTheme="majorEastAsia"/>
          <w:bCs/>
          <w:sz w:val="18"/>
          <w:szCs w:val="18"/>
          <w:lang w:eastAsia="zh-CN"/>
        </w:rPr>
        <w:t>。</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26986"/>
      <w:bookmarkStart w:id="28" w:name="_Toc17912"/>
      <w:bookmarkStart w:id="29" w:name="_Toc7848"/>
      <w:bookmarkStart w:id="30" w:name="_Toc18329"/>
      <w:bookmarkStart w:id="31" w:name="_Toc14893"/>
      <w:bookmarkStart w:id="32" w:name="_Toc176189758"/>
      <w:bookmarkStart w:id="33" w:name="_Toc79154669"/>
      <w:bookmarkStart w:id="34" w:name="_Toc74065742"/>
      <w:bookmarkStart w:id="35" w:name="_Toc18526"/>
      <w:bookmarkStart w:id="36" w:name="_Toc4741"/>
      <w:bookmarkStart w:id="37" w:name="_Toc139991735"/>
      <w:bookmarkStart w:id="38" w:name="_Toc18797"/>
      <w:bookmarkStart w:id="39" w:name="_Toc1823"/>
      <w:bookmarkStart w:id="40" w:name="_Toc141703885"/>
      <w:bookmarkStart w:id="41" w:name="_Toc2198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20733"/>
      <w:bookmarkStart w:id="44" w:name="_Toc23822"/>
      <w:bookmarkStart w:id="45" w:name="_Toc1427"/>
      <w:bookmarkStart w:id="46" w:name="_Toc176189759"/>
      <w:bookmarkStart w:id="47" w:name="_Toc610"/>
      <w:bookmarkStart w:id="48" w:name="_Toc17244"/>
      <w:bookmarkStart w:id="49" w:name="_Toc123112234"/>
      <w:bookmarkStart w:id="50" w:name="_Toc1270"/>
      <w:bookmarkStart w:id="51" w:name="_Toc79392606"/>
      <w:bookmarkStart w:id="52" w:name="_Toc98560352"/>
      <w:bookmarkStart w:id="53" w:name="_Toc7920"/>
      <w:bookmarkStart w:id="54" w:name="_Toc10463"/>
      <w:bookmarkStart w:id="55" w:name="_Toc74065743"/>
      <w:bookmarkStart w:id="56" w:name="_Toc141703886"/>
      <w:bookmarkStart w:id="57" w:name="_Toc123102453"/>
      <w:bookmarkStart w:id="58" w:name="_Toc139991736"/>
      <w:bookmarkStart w:id="59" w:name="_Toc23261"/>
      <w:bookmarkStart w:id="60" w:name="_Toc79154670"/>
      <w:bookmarkStart w:id="61" w:name="_Toc4003"/>
      <w:bookmarkStart w:id="62" w:name="_Toc123051452"/>
      <w:bookmarkStart w:id="63" w:name="_Toc48649707"/>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176189760"/>
      <w:bookmarkStart w:id="67" w:name="_Toc98560353"/>
      <w:bookmarkStart w:id="68" w:name="_Toc12245"/>
      <w:bookmarkStart w:id="69" w:name="_Toc15143"/>
      <w:bookmarkStart w:id="70" w:name="_Toc14835"/>
      <w:bookmarkStart w:id="71" w:name="_Toc26207"/>
      <w:bookmarkStart w:id="72" w:name="_Toc6405"/>
      <w:bookmarkStart w:id="73" w:name="_Toc74065744"/>
      <w:bookmarkStart w:id="74" w:name="_Toc3601"/>
      <w:bookmarkStart w:id="75" w:name="_Toc29251"/>
      <w:bookmarkStart w:id="76" w:name="_Toc139991737"/>
      <w:bookmarkStart w:id="77" w:name="_Toc31235"/>
      <w:bookmarkStart w:id="78" w:name="_Toc31644"/>
      <w:bookmarkStart w:id="79" w:name="_Toc141703887"/>
      <w:bookmarkStart w:id="80" w:name="_Toc31653"/>
      <w:bookmarkStart w:id="81" w:name="_Toc123112235"/>
      <w:bookmarkStart w:id="82" w:name="_Toc123051453"/>
      <w:bookmarkStart w:id="83" w:name="_Toc12310245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79392580"/>
      <w:bookmarkStart w:id="87" w:name="_Toc523711668"/>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76189761"/>
      <w:bookmarkStart w:id="92" w:name="_Toc7058"/>
      <w:bookmarkStart w:id="93" w:name="_Toc25783"/>
      <w:bookmarkStart w:id="94" w:name="_Toc79392583"/>
      <w:bookmarkStart w:id="95" w:name="_Toc4559"/>
      <w:bookmarkStart w:id="96" w:name="_Toc123102455"/>
      <w:bookmarkStart w:id="97" w:name="_Toc6447"/>
      <w:bookmarkStart w:id="98" w:name="_Toc139991738"/>
      <w:bookmarkStart w:id="99" w:name="_Toc3321"/>
      <w:bookmarkStart w:id="100" w:name="_Toc18567"/>
      <w:bookmarkStart w:id="101" w:name="_Toc10650"/>
      <w:bookmarkStart w:id="102" w:name="_Toc11030"/>
      <w:bookmarkStart w:id="103" w:name="_Toc123112236"/>
      <w:bookmarkStart w:id="104" w:name="_Toc123051454"/>
      <w:bookmarkStart w:id="105" w:name="_Toc98560354"/>
      <w:bookmarkStart w:id="106" w:name="_Toc9706"/>
      <w:bookmarkStart w:id="107" w:name="_Toc79154672"/>
      <w:bookmarkStart w:id="108" w:name="_Toc74065745"/>
      <w:bookmarkStart w:id="109" w:name="_Toc3771"/>
      <w:bookmarkStart w:id="110" w:name="_Toc14170388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pStyle w:val="34"/>
        <w:spacing w:line="360" w:lineRule="auto"/>
        <w:ind w:firstLine="360" w:firstLineChars="200"/>
        <w:rPr>
          <w:rFonts w:hint="eastAsia" w:ascii="黑体" w:hAnsi="黑体" w:eastAsia="黑体" w:cs="黑体"/>
          <w:kern w:val="0"/>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b/>
          <w:bCs/>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79154673"/>
      <w:bookmarkStart w:id="114" w:name="_Toc141703889"/>
      <w:bookmarkStart w:id="115" w:name="_Toc10398"/>
      <w:bookmarkStart w:id="116" w:name="_Toc123102456"/>
      <w:bookmarkStart w:id="117" w:name="_Toc74065746"/>
      <w:bookmarkStart w:id="118" w:name="_Toc31821"/>
      <w:bookmarkStart w:id="119" w:name="_Toc18206"/>
      <w:bookmarkStart w:id="120" w:name="_Toc3572"/>
      <w:bookmarkStart w:id="121" w:name="_Toc3080"/>
      <w:bookmarkStart w:id="122" w:name="_Toc98560355"/>
      <w:bookmarkStart w:id="123" w:name="_Toc725"/>
      <w:bookmarkStart w:id="124" w:name="_Toc176189762"/>
      <w:bookmarkStart w:id="125" w:name="_Toc16164"/>
      <w:bookmarkStart w:id="126" w:name="_Toc139991739"/>
      <w:bookmarkStart w:id="127" w:name="_Toc123051455"/>
      <w:bookmarkStart w:id="128" w:name="_Toc21735"/>
      <w:bookmarkStart w:id="129" w:name="_Toc123112237"/>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8791"/>
      <w:bookmarkStart w:id="134" w:name="_Toc79154674"/>
      <w:bookmarkStart w:id="135" w:name="_Toc21237"/>
      <w:bookmarkStart w:id="136" w:name="_Toc141703890"/>
      <w:bookmarkStart w:id="137" w:name="_Toc123102457"/>
      <w:bookmarkStart w:id="138" w:name="_Toc5170"/>
      <w:bookmarkStart w:id="139" w:name="_Toc17920"/>
      <w:bookmarkStart w:id="140" w:name="_Toc48649708"/>
      <w:bookmarkStart w:id="141" w:name="_Toc3329"/>
      <w:bookmarkStart w:id="142" w:name="_Toc79392622"/>
      <w:bookmarkStart w:id="143" w:name="_Toc98560356"/>
      <w:bookmarkStart w:id="144" w:name="_Toc32092"/>
      <w:bookmarkStart w:id="145" w:name="_Toc32584"/>
      <w:bookmarkStart w:id="146" w:name="_Toc74065747"/>
      <w:bookmarkStart w:id="147" w:name="_Toc123112238"/>
      <w:bookmarkStart w:id="148" w:name="_Toc176189763"/>
      <w:bookmarkStart w:id="149" w:name="_Toc29408"/>
      <w:bookmarkStart w:id="150" w:name="_Toc739"/>
      <w:bookmarkStart w:id="151" w:name="_Toc139991740"/>
      <w:bookmarkStart w:id="152" w:name="_Toc123051456"/>
      <w:bookmarkStart w:id="153" w:name="_Toc1719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pPr>
              <w:keepNext w:val="0"/>
              <w:keepLines w:val="0"/>
              <w:suppressLineNumbers w:val="0"/>
              <w:spacing w:before="0" w:beforeAutospacing="0" w:after="0" w:afterAutospacing="0" w:line="360" w:lineRule="auto"/>
              <w:ind w:left="0" w:right="0" w:firstLine="361"/>
              <w:rPr>
                <w:rFonts w:hint="default"/>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pPr>
              <w:keepNext w:val="0"/>
              <w:keepLines w:val="0"/>
              <w:suppressLineNumbers w:val="0"/>
              <w:spacing w:before="0" w:beforeAutospacing="0" w:after="0" w:afterAutospacing="0" w:line="360" w:lineRule="auto"/>
              <w:ind w:left="0" w:right="0" w:firstLine="361"/>
              <w:jc w:val="left"/>
              <w:rPr>
                <w:rFonts w:hint="default"/>
                <w:b/>
                <w:sz w:val="18"/>
                <w:szCs w:val="18"/>
              </w:rPr>
            </w:pP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95DBBF"/>
    <w:multiLevelType w:val="singleLevel"/>
    <w:tmpl w:val="F395DBBF"/>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4BE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301EE"/>
    <w:rsid w:val="056C4F65"/>
    <w:rsid w:val="05883C21"/>
    <w:rsid w:val="05B437EC"/>
    <w:rsid w:val="05B80C59"/>
    <w:rsid w:val="06F4696E"/>
    <w:rsid w:val="07245E56"/>
    <w:rsid w:val="072779FF"/>
    <w:rsid w:val="08EA5025"/>
    <w:rsid w:val="0BE22C8C"/>
    <w:rsid w:val="0C023D8C"/>
    <w:rsid w:val="0E94232E"/>
    <w:rsid w:val="0F1306D5"/>
    <w:rsid w:val="10134CDE"/>
    <w:rsid w:val="11295396"/>
    <w:rsid w:val="12432CFD"/>
    <w:rsid w:val="163E2FB7"/>
    <w:rsid w:val="1A48157B"/>
    <w:rsid w:val="1ABE2ED9"/>
    <w:rsid w:val="1BD70953"/>
    <w:rsid w:val="1BF87698"/>
    <w:rsid w:val="1C78144D"/>
    <w:rsid w:val="1D3875AF"/>
    <w:rsid w:val="1E585AB7"/>
    <w:rsid w:val="1EB160C2"/>
    <w:rsid w:val="1FF145B9"/>
    <w:rsid w:val="2193546F"/>
    <w:rsid w:val="23083986"/>
    <w:rsid w:val="23AF29A3"/>
    <w:rsid w:val="24924C8F"/>
    <w:rsid w:val="25675458"/>
    <w:rsid w:val="26123FD6"/>
    <w:rsid w:val="26F50BA9"/>
    <w:rsid w:val="29026D00"/>
    <w:rsid w:val="2A0E468C"/>
    <w:rsid w:val="2A642791"/>
    <w:rsid w:val="2B590E2A"/>
    <w:rsid w:val="2EA644DF"/>
    <w:rsid w:val="2FB532A0"/>
    <w:rsid w:val="2FE14D58"/>
    <w:rsid w:val="30AF7D04"/>
    <w:rsid w:val="319C4BEA"/>
    <w:rsid w:val="3283538E"/>
    <w:rsid w:val="33DA2E89"/>
    <w:rsid w:val="34B41D11"/>
    <w:rsid w:val="34C829B2"/>
    <w:rsid w:val="35381804"/>
    <w:rsid w:val="386A3F56"/>
    <w:rsid w:val="39124FE6"/>
    <w:rsid w:val="3A810EF7"/>
    <w:rsid w:val="3C3802E9"/>
    <w:rsid w:val="3E0C1771"/>
    <w:rsid w:val="3E586AB8"/>
    <w:rsid w:val="3E5C1B1D"/>
    <w:rsid w:val="3EAE14E9"/>
    <w:rsid w:val="3FA22D5A"/>
    <w:rsid w:val="3FD261A6"/>
    <w:rsid w:val="42626C92"/>
    <w:rsid w:val="42EB2F9C"/>
    <w:rsid w:val="45226963"/>
    <w:rsid w:val="469F5C49"/>
    <w:rsid w:val="473B63D1"/>
    <w:rsid w:val="4A3241BC"/>
    <w:rsid w:val="4C163B54"/>
    <w:rsid w:val="4C451733"/>
    <w:rsid w:val="4C9978BA"/>
    <w:rsid w:val="4D39606F"/>
    <w:rsid w:val="4F8E3D4D"/>
    <w:rsid w:val="4FA308F4"/>
    <w:rsid w:val="51BA7EA1"/>
    <w:rsid w:val="51E57594"/>
    <w:rsid w:val="526123AA"/>
    <w:rsid w:val="53B3493A"/>
    <w:rsid w:val="5537323C"/>
    <w:rsid w:val="55855837"/>
    <w:rsid w:val="55974979"/>
    <w:rsid w:val="56503211"/>
    <w:rsid w:val="565900AB"/>
    <w:rsid w:val="57BD5DAE"/>
    <w:rsid w:val="598B567E"/>
    <w:rsid w:val="5BA577EB"/>
    <w:rsid w:val="5BB43EFF"/>
    <w:rsid w:val="5C624734"/>
    <w:rsid w:val="5FE91ABC"/>
    <w:rsid w:val="604E4771"/>
    <w:rsid w:val="60D42826"/>
    <w:rsid w:val="628E734C"/>
    <w:rsid w:val="656B1A72"/>
    <w:rsid w:val="6580603B"/>
    <w:rsid w:val="68B96EA7"/>
    <w:rsid w:val="68C7223A"/>
    <w:rsid w:val="68EF6886"/>
    <w:rsid w:val="694A7300"/>
    <w:rsid w:val="699457CF"/>
    <w:rsid w:val="6BA73AAA"/>
    <w:rsid w:val="6D293FA7"/>
    <w:rsid w:val="6D9767D9"/>
    <w:rsid w:val="6FD02727"/>
    <w:rsid w:val="6FDD1093"/>
    <w:rsid w:val="709C0126"/>
    <w:rsid w:val="70D17349"/>
    <w:rsid w:val="70D35CA6"/>
    <w:rsid w:val="712F05BE"/>
    <w:rsid w:val="71E9277C"/>
    <w:rsid w:val="72473609"/>
    <w:rsid w:val="732676F9"/>
    <w:rsid w:val="73EB7F47"/>
    <w:rsid w:val="76022652"/>
    <w:rsid w:val="76170A7C"/>
    <w:rsid w:val="768501BE"/>
    <w:rsid w:val="76B466CC"/>
    <w:rsid w:val="76C8601E"/>
    <w:rsid w:val="77E14ED8"/>
    <w:rsid w:val="7831779D"/>
    <w:rsid w:val="798246E4"/>
    <w:rsid w:val="7AFB44D3"/>
    <w:rsid w:val="7D80556D"/>
    <w:rsid w:val="7E2A1AF1"/>
    <w:rsid w:val="7ED86E63"/>
    <w:rsid w:val="7F7D23B8"/>
    <w:rsid w:val="7F8A69E7"/>
    <w:rsid w:val="7F997551"/>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1</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姚霖钰-960811</cp:lastModifiedBy>
  <cp:lastPrinted>2020-09-21T06:35:00Z</cp:lastPrinted>
  <dcterms:modified xsi:type="dcterms:W3CDTF">2026-01-09T03:01:17Z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F824FDB89BD94068907E5DECA960C358</vt:lpwstr>
  </property>
</Properties>
</file>