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苏银理财恒源封闭债权273期优选2年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恒源封闭债权273期优选2年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苏银理财恒源封闭债权273期优选2年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leftChars="0"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Z7003125000335，</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A份额：苏银理财恒源封闭债权273期优选2年A/J13469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B份额：苏银理财恒源封闭债权273期优选2年B/J13470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w:t>
            </w:r>
            <w:bookmarkStart w:id="0" w:name="_GoBack"/>
            <w:bookmarkEnd w:id="0"/>
            <w:r>
              <w:rPr>
                <w:rFonts w:hint="eastAsia" w:ascii="楷体" w:hAnsi="楷体" w:eastAsia="楷体" w:cs="楷体"/>
                <w:color w:val="auto"/>
                <w:spacing w:val="-2"/>
                <w:sz w:val="18"/>
                <w:szCs w:val="18"/>
                <w:highlight w:val="none"/>
                <w:lang w:val="en-US" w:eastAsia="zh-CN"/>
              </w:rPr>
              <w:t>财恒源封闭债权273期优选2年C/J13471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D份额：苏银理财恒源封闭债权273期优选2年D/J13472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E份额：苏银理财恒源封闭债权273期优选2年E/J13473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F份额：苏银理财恒源封闭债权273期优选2年F/J13474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G份额：苏银理财恒源封闭债权273期优选2年G/J13475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H份额：苏银理财恒源封闭债权273期优选2年H/J13476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I份额：苏银理财恒源封闭债权273期优选2年I/J13477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J份额：苏银理财恒源封闭债权273期优选2年J/J13478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K份额：苏银理财恒源封闭债权273期优选2年K/J13479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L份额：苏银理财恒源封闭债权273期优选2年L/J13480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N份额：苏银理财恒源封闭债权273期优选2年N/J13481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O份额：苏银理财恒源封闭债权273期优选2年O（兰州银行开门红专属）/J13482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P份额：苏银理财恒源封闭债权273期优选2年P/J13483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S份额：苏银理财恒源封闭债权273期优选2年S/J13484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Z份额：苏银理财恒源封闭债权273期优选2年Z/J13485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JS份额：苏银理财恒源封闭债权273期优选2年JS鑫福款/J13486</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芙蓉锦程·优选份额：苏银理财恒源封闭债权273期优选2年（芙蓉锦程·优选）/J13487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A/B/D/F/G/J/K/L/N/O/P/S/Z/JS/芙蓉锦程·优选份额：1元/1元的整数倍；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29</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4</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2026年2月5日，如管理人调整募集期，则产品成立日/份额登记日将相应调整，以管理人公告为准。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8</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755</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B份额：2.50%-2.90%；C份额：2.60%-3.00%；D份额：2.50%-2.90%；E份额：2.65%-3.05%；F份额：2.55%-2.95%；G份额：2.40%-2.80%；H份额：2.45%-2.85%；I份额：2.70%-3.10%；J份额：2.50%-2.90%；K份额：2.45%-2.85%；L份额：2.50%-2.90%；N份额：2.60%-3.00%；O份额：2.55%-2.95%；P份额：2.45%-2.85%；S份额：2.60%-3.00%；Z份额：2.65%-3.05%；JS份额：2.55%-2.95%；芙蓉锦程·优选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I份额：0.14%</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N份额：0.05%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I份额：0.06%</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E份额：苏银理财有限责任公司/宁波通商银行股份有限公司/江苏银行股份有限公司/江苏常熟农村商业银行股份有限公司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F份额：威海银行股份有限公司/青岛银行股份有限公司/东营银行股份有限公司/齐鲁银行股份有限公司/宁夏银行股份有限公司/莱商银行股份有限公司/嘉兴银行股份有限公司/甘肃银行股份有限公司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H份额：重庆农村商业银行股份有限公司/江苏苏州农村商业银行股份有限公司/江苏常熟农村商业银行股份有限公司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浙江桐庐农村商业银行股份有限公司/浙江永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P份额：秦皇岛银行股份有限公司/北京农村商业银行股份有限公司/山西银行股份有限公司/广州农村商业银行股份有限公司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S份额：郑州银行股份有限公司/齐鲁银行股份有限公司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Z份额：青岛银行股份有限公司/莱商银行股份有限公司/嘉兴银行股份有限公司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D63D2"/>
    <w:rsid w:val="15BE493E"/>
    <w:rsid w:val="15CB6368"/>
    <w:rsid w:val="15CF287D"/>
    <w:rsid w:val="15D019D6"/>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0F6B47"/>
    <w:rsid w:val="1C2928C2"/>
    <w:rsid w:val="1C2B71EE"/>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023D6"/>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57FF2"/>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57895"/>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3B46CB"/>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99629B"/>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BF6020"/>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73D8D"/>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1415F6"/>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B7334"/>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14192</Words>
  <Characters>15160</Characters>
  <Lines>243</Lines>
  <Paragraphs>68</Paragraphs>
  <TotalTime>0</TotalTime>
  <ScaleCrop>false</ScaleCrop>
  <LinksUpToDate>false</LinksUpToDate>
  <CharactersWithSpaces>15163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2026-01-22T07:58:49Z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