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苏银理财恒源封闭债权268期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w:t>
      </w:r>
      <w:r>
        <w:rPr>
          <w:rFonts w:hint="eastAsia" w:ascii="楷体" w:hAnsi="楷体" w:eastAsia="楷体" w:cs="楷体"/>
          <w:sz w:val="21"/>
          <w:szCs w:val="21"/>
          <w:lang w:eastAsia="zh-CN"/>
        </w:rPr>
        <w:t>苏银理财恒源封闭债权268期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苏银理财恒源封闭债权268期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Z7003125000337，</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A份额：苏银理财恒源封闭债权268期13月A/J14661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B份额：苏银理财恒源封闭债权268期13月B/J14662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C份额：苏银理财恒源封闭债权268期13月C/J14663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D份额：苏银理财恒源封闭债权268期13月D/J14664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E份额：苏银理财恒源封闭债权268期13月E/J14665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F份额：苏银理财恒源封闭债权268期13月F/J14666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G份额：苏银理财恒源封闭债权268期13月G/J14667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H份额：苏银理财恒源封闭债权268期13月H/J14668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I份额：苏银理财恒源封闭债权268期13月I/J14669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J份额：苏银理财恒源封闭债权268期13月J/J14670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K份额：苏银理财恒源封闭债权268期13月K/J14671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L份额：苏银理财恒源封闭债权268期13月L/J14672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M份额：苏银理财恒源封闭债权268期13月M/J14673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N份额：苏银理财恒源封闭债权268期13月N/J14674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O份额：苏银理财恒源封闭债权268期13月O（兰州银行开门红专属）/J14675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Z份额：苏银理财恒源封闭债权268期13月Z/J14676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JS份额：苏银理财恒源封闭债权268期13月JS鑫福款/J14677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芙蓉锦程·优选份额：苏银理财恒源封闭债权268期13月（芙蓉锦程·优选）/J14678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年终奖福利款份额：苏银理财恒源封闭债权268期13月（年终奖福利款）/J14679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B/M份额面向个人销售；其他份额面向个人和机构投资者销售。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A/B/D/F/G/H/I/J/K/L/N/O/Z/JS/芙蓉锦程·优选/年终奖福利款份额：1元/1元的整数倍；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25</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2026年3月4日，如管理人调整募集期，则产品成立日将相应调整，以管理人公告为准。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7</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30</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391</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2.45%-2.85%；B份额：2.40%-2.80%；C份额：2.50%-2.90%；D份额：2.50%-2.90%；E份额：2.55%-2.95%；F份额：2.45%-2.85%；G份额：2.35%-2.75%；H份额：2.45%-2.85%；I份额：2.45%-2.85%；J份额：2.40%-2.80%；K份额：2.50%-2.90%；L份额：2.50%-2.90%；M份额：2.30%-2.70%；N份额：2.40%-2.80%；O份额：2.45%-2.85%；Z份额：2.55%-2.95%；JS份额：2.45%-2.85%；芙蓉锦程·优选份额：2.50%-2.90%；年终奖福利款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M份额：0.35%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年终奖福利款份额：0.10%</w:t>
            </w:r>
            <w:r>
              <w:rPr>
                <w:rFonts w:hint="eastAsia" w:ascii="楷体" w:hAnsi="楷体" w:eastAsia="楷体" w:cs="楷体"/>
                <w:color w:val="auto"/>
                <w:spacing w:val="-2"/>
                <w:sz w:val="18"/>
                <w:szCs w:val="18"/>
                <w:lang w:val="en-US" w:eastAsia="zh-CN"/>
              </w:rPr>
              <w:t>。其中D/H/年终奖福利款份额采用一次性提取模式，其他份额采用每日计提模式。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年终奖福利款份额：0.10%</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B份额：湖北银行股份有限公司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D份额：武汉农村商业银行股份有限公司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E份额：江苏银行股份有限公司/江苏常熟农村商业银行股份有限公司/苏银理财有限责任公司/江苏宜兴农村商业银行股份有限公司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莱商银行股份有限公司/威海银行股份有限公司/潍坊银行股份有限公司/齐鲁银行股份有限公司/嘉兴银行股份有限公司/青岛银行股份有限公司/宁夏银行股份有限公司/广州银行股份有限公司/上海浦东发展银行股份有限公司/江苏苏州农村商业银行股份有限公司/东营银行股份有限公司/徽商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G份额：江苏苏州农村商业银行股份有限公司/山西银行股份有限公司/交通银行股份有限公司/江苏常熟农村商业银行股份有限公司</w:t>
      </w:r>
      <w:bookmarkStart w:id="0" w:name="_GoBack"/>
      <w:bookmarkEnd w:id="0"/>
      <w:r>
        <w:rPr>
          <w:rFonts w:hint="eastAsia" w:ascii="楷体" w:hAnsi="楷体" w:eastAsia="楷体" w:cs="楷体"/>
          <w:b w:val="0"/>
          <w:bCs w:val="0"/>
          <w:sz w:val="21"/>
          <w:szCs w:val="21"/>
          <w:highlight w:val="none"/>
          <w:u w:val="none"/>
          <w:lang w:val="en-US" w:eastAsia="zh-CN"/>
        </w:rPr>
        <w:t>/北京农村商业银行股份有限公司/秦皇岛银行股份有限公司/上海农村商业银行股份有限公司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H份额：宁波东海银行股份有限公司/宁波通商银行股份有限公司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浙江江山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浙江绍兴恒信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K份额：潍坊银行股份有限公司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L份额：浙江杭州余杭农村商业银行股份有限公司/浙江温州瓯海农村商业银行股份有限公司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Z份额：莱商银行股份有限公司/郑州银行股份有限公司/日照银行股份有限公司/齐鲁银行股份有限公司/甘肃银行股份有限公司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连云港东方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年终奖福利款份额：武汉农村商业银行股份有限公司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4）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5）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6）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7）收益凭证：融资人为华泰证券股份有限公司。融资人经营正常，是依法设立的国有公司，主要股东为江苏省国信集团有限公司、香港中央结算（代理人）有限公司、江苏交通控股有限公司，无实际控制人。（8）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9）收益凭证：融资人为申万宏源证券有限公司。融资人经营正常，是依法设立的国有公司，主要股东为申万宏源集团股份有限公司，实际控制人为中央汇金投资有限责任公司。（10）收益凭证：融资人为东方证券股份有限公司。融资人经营正常，是依法设立的国有公司，主要股东为申能（集团）有限公司、香港中央结算（代理人）有限公司、上海海烟投资管理有限公司，实际控制人为上海市国有资产监督管理委员会。（11）收益凭证：融资人为浙商证券股份有限公司。融资人经营正常，是依法设立的国有公司，主要股东为浙江上三高速公路有限公司、台州市金融投资集团有限公司，实际控制人为浙江省交通投资集团有限公司。（12）收益凭证：融资人为国投证券股份有限公司。融资人经营正常，是依法设立的国有公司，主要股东为国投资本股份有限公司、上海毅胜投资有限公司，实际控制人为国家开发投资集团有限公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w:t>
      </w:r>
      <w:r>
        <w:rPr>
          <w:rFonts w:hint="eastAsia" w:ascii="楷体" w:hAnsi="楷体" w:eastAsia="楷体" w:cs="楷体"/>
          <w:bCs/>
          <w:color w:val="auto"/>
          <w:sz w:val="21"/>
          <w:szCs w:val="21"/>
          <w:highlight w:val="none"/>
          <w:u w:val="none"/>
          <w:lang w:val="en-US" w:eastAsia="zh-CN"/>
        </w:rPr>
        <w:t>1</w:t>
      </w:r>
      <w:r>
        <w:rPr>
          <w:rFonts w:hint="eastAsia" w:ascii="楷体" w:hAnsi="楷体" w:eastAsia="楷体" w:cs="楷体"/>
          <w:bCs/>
          <w:color w:val="auto"/>
          <w:sz w:val="21"/>
          <w:szCs w:val="21"/>
          <w:highlight w:val="none"/>
          <w:u w:val="none"/>
          <w:lang w:eastAsia="zh-CN"/>
        </w:rPr>
        <w:t>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w:t>
      </w:r>
      <w:r>
        <w:rPr>
          <w:rFonts w:hint="eastAsia" w:ascii="楷体" w:hAnsi="楷体" w:eastAsia="楷体" w:cs="楷体"/>
          <w:color w:val="auto"/>
          <w:sz w:val="21"/>
          <w:szCs w:val="21"/>
          <w:highlight w:val="none"/>
        </w:rPr>
        <w:t>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9571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B47C2"/>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40C3F"/>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1A1DF2"/>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0799A"/>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960BD"/>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D21E5"/>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E0A1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82243"/>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5D6BA7"/>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645BEB"/>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6E0D5C"/>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133B6"/>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15194</Words>
  <Characters>16170</Characters>
  <Lines>243</Lines>
  <Paragraphs>68</Paragraphs>
  <TotalTime>0</TotalTime>
  <ScaleCrop>false</ScaleCrop>
  <LinksUpToDate>false</LinksUpToDate>
  <CharactersWithSpaces>16170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2026-02-11T07:18:03Z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