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6"/>
        <w:jc w:val="center"/>
        <w:rPr>
          <w:rFonts w:ascii="黑体" w:hAnsi="黑体" w:eastAsia="黑体"/>
          <w:b/>
          <w:sz w:val="28"/>
          <w:szCs w:val="28"/>
        </w:rPr>
      </w:pPr>
      <w:bookmarkStart w:id="0" w:name="_GoBack"/>
      <w:bookmarkEnd w:id="0"/>
      <w:r>
        <w:rPr>
          <w:rFonts w:hint="eastAsia" w:ascii="黑体" w:hAnsi="黑体" w:eastAsia="黑体"/>
          <w:b/>
          <w:sz w:val="28"/>
          <w:szCs w:val="28"/>
        </w:rPr>
        <w:t>兴银理财</w:t>
      </w:r>
      <w:permStart w:id="0" w:edGrp="everyone"/>
      <w:r>
        <w:rPr>
          <w:rFonts w:hint="eastAsia" w:ascii="黑体" w:hAnsi="黑体" w:eastAsia="黑体"/>
          <w:b/>
          <w:sz w:val="28"/>
          <w:szCs w:val="28"/>
        </w:rPr>
        <w:t>【稳添利最短持有期日开固收类】</w:t>
      </w:r>
      <w:permEnd w:id="0"/>
      <w:r>
        <w:rPr>
          <w:rFonts w:hint="eastAsia" w:ascii="黑体" w:hAnsi="黑体" w:eastAsia="黑体"/>
          <w:b/>
          <w:sz w:val="28"/>
          <w:szCs w:val="28"/>
        </w:rPr>
        <w:t>理财产品</w:t>
      </w:r>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8"/>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permStart w:id="1" w:edGrp="everyone" w:colFirst="3" w:colLast="3"/>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个人投资者适用</w:t>
            </w:r>
          </w:p>
        </w:tc>
        <w:tc>
          <w:tcPr>
            <w:tcW w:w="1085" w:type="dxa"/>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姓名</w:t>
            </w:r>
          </w:p>
        </w:tc>
        <w:tc>
          <w:tcPr>
            <w:tcW w:w="5061" w:type="dxa"/>
            <w:gridSpan w:val="3"/>
            <w:shd w:val="solid" w:color="FFFFFF" w:fill="FFFFFF"/>
            <w:vAlign w:val="center"/>
          </w:tcPr>
          <w:p>
            <w:pPr>
              <w:spacing w:line="320" w:lineRule="exact"/>
              <w:jc w:val="left"/>
              <w:rPr>
                <w:rFonts w:ascii="宋体" w:hAnsi="宋体"/>
                <w:sz w:val="18"/>
                <w:szCs w:val="18"/>
              </w:rPr>
            </w:pPr>
          </w:p>
        </w:tc>
      </w:tr>
      <w:permEnd w:id="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2" w:edGrp="everyone" w:colFirst="3" w:colLast="3"/>
            <w:permStart w:id="3" w:edGrp="everyone" w:colFirst="5" w:colLast="5"/>
          </w:p>
        </w:tc>
        <w:tc>
          <w:tcPr>
            <w:tcW w:w="635" w:type="dxa"/>
            <w:vMerge w:val="continue"/>
            <w:shd w:val="solid" w:color="FFFFFF" w:fill="FFFFFF"/>
            <w:vAlign w:val="center"/>
          </w:tcPr>
          <w:p>
            <w:pPr>
              <w:spacing w:line="320" w:lineRule="exact"/>
              <w:jc w:val="left"/>
              <w:rPr>
                <w:rFonts w:ascii="宋体" w:hAnsi="宋体"/>
                <w:sz w:val="18"/>
                <w:szCs w:val="18"/>
              </w:rPr>
            </w:pPr>
          </w:p>
        </w:tc>
        <w:tc>
          <w:tcPr>
            <w:tcW w:w="1085" w:type="dxa"/>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证件类型</w:t>
            </w:r>
          </w:p>
        </w:tc>
        <w:tc>
          <w:tcPr>
            <w:tcW w:w="1384" w:type="dxa"/>
            <w:shd w:val="solid" w:color="FFFFFF" w:fill="FFFFFF"/>
            <w:vAlign w:val="center"/>
          </w:tcPr>
          <w:p>
            <w:pPr>
              <w:spacing w:line="320" w:lineRule="exact"/>
              <w:jc w:val="left"/>
              <w:rPr>
                <w:rFonts w:ascii="宋体" w:hAnsi="宋体"/>
                <w:sz w:val="18"/>
                <w:szCs w:val="18"/>
              </w:rPr>
            </w:pPr>
          </w:p>
        </w:tc>
        <w:tc>
          <w:tcPr>
            <w:tcW w:w="1234" w:type="dxa"/>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证件号码</w:t>
            </w:r>
          </w:p>
        </w:tc>
        <w:tc>
          <w:tcPr>
            <w:tcW w:w="2443" w:type="dxa"/>
            <w:shd w:val="solid" w:color="FFFFFF" w:fill="FFFFFF"/>
            <w:vAlign w:val="center"/>
          </w:tcPr>
          <w:p>
            <w:pPr>
              <w:spacing w:line="320" w:lineRule="exact"/>
              <w:jc w:val="left"/>
              <w:rPr>
                <w:rFonts w:ascii="宋体" w:hAnsi="宋体"/>
                <w:sz w:val="18"/>
                <w:szCs w:val="18"/>
              </w:rPr>
            </w:pPr>
          </w:p>
        </w:tc>
      </w:tr>
      <w:permEnd w:id="2"/>
      <w:permEnd w:id="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4" w:edGrp="everyone" w:colFirst="3" w:colLast="3"/>
            <w:permStart w:id="5" w:edGrp="everyone" w:colFirst="5" w:colLast="5"/>
          </w:p>
        </w:tc>
        <w:tc>
          <w:tcPr>
            <w:tcW w:w="635" w:type="dxa"/>
            <w:vMerge w:val="continue"/>
            <w:shd w:val="solid" w:color="FFFFFF" w:fill="FFFFFF"/>
            <w:vAlign w:val="center"/>
          </w:tcPr>
          <w:p>
            <w:pPr>
              <w:spacing w:line="320" w:lineRule="exact"/>
              <w:jc w:val="left"/>
              <w:rPr>
                <w:rFonts w:ascii="宋体" w:hAnsi="宋体"/>
                <w:sz w:val="18"/>
                <w:szCs w:val="18"/>
              </w:rPr>
            </w:pPr>
          </w:p>
        </w:tc>
        <w:tc>
          <w:tcPr>
            <w:tcW w:w="1085" w:type="dxa"/>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联系电话</w:t>
            </w:r>
          </w:p>
        </w:tc>
        <w:tc>
          <w:tcPr>
            <w:tcW w:w="1384" w:type="dxa"/>
            <w:shd w:val="solid" w:color="FFFFFF" w:fill="FFFFFF"/>
            <w:vAlign w:val="center"/>
          </w:tcPr>
          <w:p>
            <w:pPr>
              <w:spacing w:line="320" w:lineRule="exact"/>
              <w:jc w:val="left"/>
              <w:rPr>
                <w:rFonts w:ascii="宋体" w:hAnsi="宋体"/>
                <w:sz w:val="18"/>
                <w:szCs w:val="18"/>
              </w:rPr>
            </w:pPr>
          </w:p>
        </w:tc>
        <w:tc>
          <w:tcPr>
            <w:tcW w:w="1234" w:type="dxa"/>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电子邮箱</w:t>
            </w:r>
          </w:p>
        </w:tc>
        <w:tc>
          <w:tcPr>
            <w:tcW w:w="2443" w:type="dxa"/>
            <w:shd w:val="solid" w:color="FFFFFF" w:fill="FFFFFF"/>
            <w:vAlign w:val="center"/>
          </w:tcPr>
          <w:p>
            <w:pPr>
              <w:spacing w:line="320" w:lineRule="exact"/>
              <w:jc w:val="left"/>
              <w:rPr>
                <w:rFonts w:ascii="宋体" w:hAnsi="宋体"/>
                <w:sz w:val="18"/>
                <w:szCs w:val="18"/>
              </w:rPr>
            </w:pPr>
          </w:p>
        </w:tc>
      </w:tr>
      <w:permEnd w:id="4"/>
      <w:permEnd w:id="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6" w:edGrp="everyone" w:colFirst="3" w:colLast="3"/>
          </w:p>
        </w:tc>
        <w:tc>
          <w:tcPr>
            <w:tcW w:w="635" w:type="dxa"/>
            <w:vMerge w:val="continue"/>
            <w:shd w:val="solid" w:color="FFFFFF" w:fill="FFFFFF"/>
            <w:vAlign w:val="center"/>
          </w:tcPr>
          <w:p>
            <w:pPr>
              <w:spacing w:line="320" w:lineRule="exact"/>
              <w:jc w:val="left"/>
              <w:rPr>
                <w:rFonts w:ascii="宋体" w:hAnsi="宋体"/>
                <w:sz w:val="18"/>
                <w:szCs w:val="18"/>
              </w:rPr>
            </w:pPr>
          </w:p>
        </w:tc>
        <w:tc>
          <w:tcPr>
            <w:tcW w:w="1085" w:type="dxa"/>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联系地址</w:t>
            </w:r>
          </w:p>
        </w:tc>
        <w:tc>
          <w:tcPr>
            <w:tcW w:w="5061" w:type="dxa"/>
            <w:gridSpan w:val="3"/>
            <w:shd w:val="solid" w:color="FFFFFF" w:fill="FFFFFF"/>
            <w:vAlign w:val="center"/>
          </w:tcPr>
          <w:p>
            <w:pPr>
              <w:spacing w:line="320" w:lineRule="exact"/>
              <w:jc w:val="left"/>
              <w:rPr>
                <w:rFonts w:ascii="宋体" w:hAnsi="宋体"/>
                <w:sz w:val="18"/>
                <w:szCs w:val="18"/>
              </w:rPr>
            </w:pPr>
          </w:p>
        </w:tc>
      </w:tr>
      <w:permEnd w:id="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7" w:edGrp="everyone" w:colFirst="3" w:colLast="3"/>
          </w:p>
        </w:tc>
        <w:tc>
          <w:tcPr>
            <w:tcW w:w="635" w:type="dxa"/>
            <w:vMerge w:val="continue"/>
            <w:shd w:val="solid" w:color="FFFFFF" w:fill="FFFFFF"/>
            <w:vAlign w:val="center"/>
          </w:tcPr>
          <w:p>
            <w:pPr>
              <w:spacing w:line="320" w:lineRule="exact"/>
              <w:jc w:val="left"/>
              <w:rPr>
                <w:rFonts w:ascii="宋体" w:hAnsi="宋体"/>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sz w:val="18"/>
                <w:szCs w:val="18"/>
              </w:rPr>
            </w:pPr>
          </w:p>
        </w:tc>
      </w:tr>
      <w:permEnd w:id="7"/>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8" w:edGrp="everyone" w:colFirst="3" w:colLast="3"/>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机构</w:t>
            </w:r>
            <w:r>
              <w:rPr>
                <w:rFonts w:ascii="宋体" w:hAnsi="宋体"/>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p>
        </w:tc>
      </w:tr>
      <w:permEnd w:id="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9" w:edGrp="everyone" w:colFirst="3" w:colLast="3"/>
            <w:permStart w:id="10"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p>
        </w:tc>
      </w:tr>
      <w:permEnd w:id="9"/>
      <w:permEnd w:id="1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1"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p>
        </w:tc>
      </w:tr>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2" w:edGrp="everyone" w:colFirst="3" w:colLast="3"/>
            <w:permStart w:id="13"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sz w:val="18"/>
                <w:szCs w:val="18"/>
              </w:rPr>
            </w:pPr>
            <w:r>
              <w:rPr>
                <w:rFonts w:hint="eastAsia" w:ascii="宋体" w:hAnsi="宋体"/>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4"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ermStart w:id="15" w:edGrp="everyone" w:colFirst="3" w:colLast="3"/>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pStyle w:val="5"/>
              <w:pBdr>
                <w:bottom w:val="none" w:color="auto" w:sz="0" w:space="0"/>
              </w:pBdr>
              <w:spacing w:line="320" w:lineRule="exact"/>
              <w:rPr>
                <w:rFonts w:ascii="宋体" w:hAnsi="宋体"/>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sz w:val="18"/>
                <w:szCs w:val="18"/>
              </w:rPr>
            </w:pPr>
            <w:r>
              <w:rPr>
                <w:rFonts w:hint="eastAsia" w:hAnsi="宋体"/>
                <w:sz w:val="18"/>
                <w:szCs w:val="18"/>
              </w:rPr>
              <w:t>★</w:t>
            </w:r>
            <w:r>
              <w:rPr>
                <w:rFonts w:hint="eastAsia" w:ascii="宋体" w:hAnsi="宋体"/>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sz w:val="18"/>
                <w:szCs w:val="18"/>
              </w:rPr>
            </w:pPr>
            <w:permStart w:id="16" w:edGrp="everyone"/>
            <w:r>
              <w:rPr>
                <w:rFonts w:hint="eastAsia" w:asciiTheme="majorEastAsia" w:hAnsiTheme="majorEastAsia" w:eastAsiaTheme="majorEastAsia"/>
                <w:sz w:val="18"/>
                <w:szCs w:val="18"/>
              </w:rPr>
              <w:t>□</w:t>
            </w:r>
            <w:r>
              <w:rPr>
                <w:rFonts w:asciiTheme="majorEastAsia" w:hAnsiTheme="majorEastAsia" w:eastAsiaTheme="majorEastAsia"/>
                <w:sz w:val="18"/>
                <w:szCs w:val="18"/>
              </w:rPr>
              <w:t xml:space="preserve"> </w:t>
            </w:r>
            <w:r>
              <w:rPr>
                <w:rFonts w:hint="eastAsia" w:asciiTheme="majorEastAsia" w:hAnsiTheme="majorEastAsia" w:eastAsiaTheme="majorEastAsia"/>
                <w:sz w:val="18"/>
                <w:szCs w:val="18"/>
              </w:rPr>
              <w:t>直销：产品管理人销售</w:t>
            </w:r>
          </w:p>
          <w:p>
            <w:pPr>
              <w:spacing w:line="320" w:lineRule="exact"/>
              <w:jc w:val="left"/>
              <w:rPr>
                <w:rFonts w:ascii="宋体" w:hAnsi="宋体"/>
                <w:sz w:val="18"/>
                <w:szCs w:val="18"/>
              </w:rPr>
            </w:pPr>
            <w:r>
              <w:rPr>
                <w:rFonts w:hint="eastAsia" w:asciiTheme="majorEastAsia" w:hAnsiTheme="majorEastAsia" w:eastAsiaTheme="majorEastAsia"/>
                <w:sz w:val="18"/>
                <w:szCs w:val="18"/>
              </w:rPr>
              <w:t>■</w:t>
            </w:r>
            <w:r>
              <w:rPr>
                <w:rFonts w:asciiTheme="majorEastAsia" w:hAnsiTheme="majorEastAsia" w:eastAsiaTheme="majorEastAsia"/>
                <w:sz w:val="18"/>
                <w:szCs w:val="18"/>
              </w:rPr>
              <w:t xml:space="preserve"> </w:t>
            </w:r>
            <w:r>
              <w:rPr>
                <w:rFonts w:hint="eastAsia" w:asciiTheme="majorEastAsia" w:hAnsiTheme="majorEastAsia" w:eastAsiaTheme="majorEastAsia"/>
                <w:sz w:val="18"/>
                <w:szCs w:val="18"/>
              </w:rPr>
              <w:t>代销：代理</w:t>
            </w:r>
            <w:r>
              <w:rPr>
                <w:rFonts w:asciiTheme="majorEastAsia" w:hAnsiTheme="majorEastAsia" w:eastAsiaTheme="majorEastAsia"/>
                <w:sz w:val="18"/>
                <w:szCs w:val="18"/>
              </w:rPr>
              <w:t>销售机构</w:t>
            </w:r>
            <w:r>
              <w:rPr>
                <w:rFonts w:hint="eastAsia" w:asciiTheme="majorEastAsia" w:hAnsiTheme="majorEastAsia" w:eastAsiaTheme="majorEastAsia"/>
                <w:sz w:val="18"/>
                <w:szCs w:val="18"/>
              </w:rPr>
              <w:t>销售</w:t>
            </w:r>
            <w:permEnd w:id="1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机构名称</w:t>
            </w:r>
          </w:p>
        </w:tc>
        <w:tc>
          <w:tcPr>
            <w:tcW w:w="5061" w:type="dxa"/>
            <w:gridSpan w:val="3"/>
            <w:shd w:val="solid" w:color="FFFFFF" w:fill="FFFFFF"/>
            <w:vAlign w:val="center"/>
          </w:tcPr>
          <w:p>
            <w:pPr>
              <w:spacing w:line="320" w:lineRule="exact"/>
              <w:jc w:val="left"/>
              <w:rPr>
                <w:rFonts w:ascii="宋体" w:hAnsi="宋体"/>
                <w:sz w:val="18"/>
                <w:szCs w:val="18"/>
              </w:rPr>
            </w:pPr>
            <w:permStart w:id="17" w:edGrp="everyone"/>
            <w:r>
              <w:rPr>
                <w:rFonts w:hint="eastAsia" w:ascii="宋体" w:hAnsi="宋体"/>
                <w:sz w:val="18"/>
                <w:szCs w:val="18"/>
              </w:rPr>
              <w:t>【】</w:t>
            </w:r>
            <w:permEnd w:id="1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sz w:val="18"/>
                <w:szCs w:val="18"/>
              </w:rPr>
            </w:pPr>
            <w:r>
              <w:rPr>
                <w:rFonts w:hint="eastAsia" w:ascii="宋体" w:hAnsi="宋体"/>
                <w:sz w:val="18"/>
                <w:szCs w:val="18"/>
              </w:rPr>
              <w:t>机构简介</w:t>
            </w:r>
          </w:p>
        </w:tc>
        <w:tc>
          <w:tcPr>
            <w:tcW w:w="5061" w:type="dxa"/>
            <w:gridSpan w:val="3"/>
            <w:tcBorders>
              <w:bottom w:val="single" w:color="auto" w:sz="12" w:space="0"/>
            </w:tcBorders>
            <w:shd w:val="solid" w:color="FFFFFF" w:fill="FFFFFF"/>
            <w:vAlign w:val="center"/>
          </w:tcPr>
          <w:p>
            <w:pPr>
              <w:pStyle w:val="15"/>
              <w:jc w:val="both"/>
            </w:pPr>
            <w:permStart w:id="18" w:edGrp="everyone"/>
            <w:r>
              <w:rPr>
                <w:rFonts w:hint="eastAsia" w:asciiTheme="majorEastAsia" w:hAnsiTheme="majorEastAsia" w:eastAsiaTheme="majorEastAsia"/>
                <w:sz w:val="18"/>
                <w:szCs w:val="18"/>
              </w:rPr>
              <w:t>【】</w:t>
            </w:r>
            <w:permEnd w:id="1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shd w:val="solid" w:color="FFFFFF" w:fill="FFFFFF"/>
            <w:vAlign w:val="center"/>
          </w:tcPr>
          <w:p>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permStart w:id="19" w:edGrp="everyone"/>
            <w:r>
              <w:rPr>
                <w:rFonts w:ascii="宋体" w:hAnsi="宋体"/>
                <w:u w:val="single"/>
              </w:rPr>
              <w:t xml:space="preserve">　                     </w:t>
            </w:r>
            <w:permEnd w:id="19"/>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permStart w:id="20"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ermEnd w:id="20"/>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permStart w:id="21"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ermEnd w:id="21"/>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w:t>
      </w:r>
      <w:permStart w:id="22" w:edGrp="everyone"/>
      <w:r>
        <w:rPr>
          <w:rFonts w:hint="eastAsia" w:ascii="宋体" w:hAnsi="宋体" w:cs="仿宋_GB2312"/>
          <w:kern w:val="0"/>
          <w:sz w:val="18"/>
          <w:szCs w:val="18"/>
        </w:rPr>
        <w:t>【】</w:t>
      </w:r>
      <w:permEnd w:id="22"/>
      <w:r>
        <w:rPr>
          <w:rFonts w:hint="eastAsia" w:ascii="宋体" w:hAnsi="宋体" w:cs="仿宋_GB2312"/>
          <w:kern w:val="0"/>
          <w:sz w:val="18"/>
          <w:szCs w:val="18"/>
        </w:rPr>
        <w:t>个风险等级</w:t>
      </w:r>
      <w:r>
        <w:rPr>
          <w:rFonts w:ascii="宋体" w:hAnsi="宋体" w:cs="仿宋_GB2312"/>
          <w:kern w:val="0"/>
          <w:sz w:val="18"/>
          <w:szCs w:val="18"/>
        </w:rPr>
        <w:t>：</w:t>
      </w:r>
      <w:permStart w:id="23" w:edGrp="everyone"/>
      <w:r>
        <w:rPr>
          <w:rFonts w:hint="eastAsia" w:ascii="宋体" w:hAnsi="宋体" w:cs="仿宋_GB2312"/>
          <w:kern w:val="0"/>
          <w:sz w:val="18"/>
          <w:szCs w:val="18"/>
        </w:rPr>
        <w:t>【】</w:t>
      </w:r>
      <w:permEnd w:id="23"/>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5"/>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（1）甲方为非机构投资者时，甲方购买乙方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（2）其他类型投资者的风险承受能力评估按销售机构的以下销售政策执行：</w:t>
      </w:r>
    </w:p>
    <w:p>
      <w:pPr>
        <w:widowControl/>
        <w:spacing w:line="360" w:lineRule="auto"/>
        <w:jc w:val="left"/>
        <w:rPr>
          <w:rFonts w:asciiTheme="majorEastAsia" w:hAnsiTheme="majorEastAsia" w:eastAsiaTheme="majorEastAsia"/>
          <w:sz w:val="18"/>
          <w:szCs w:val="18"/>
        </w:rPr>
      </w:pPr>
      <w:permStart w:id="24" w:edGrp="everyone"/>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w:t>
      </w:r>
      <w:permEnd w:id="24"/>
      <w:r>
        <w:rPr>
          <w:rFonts w:hint="eastAsia" w:asciiTheme="majorEastAsia" w:hAnsiTheme="majorEastAsia" w:eastAsiaTheme="majorEastAsia"/>
          <w:sz w:val="18"/>
          <w:szCs w:val="18"/>
        </w:rPr>
        <w:t>参照本条第（1）款非机构投资者要求执行；</w:t>
      </w:r>
    </w:p>
    <w:p>
      <w:pPr>
        <w:widowControl/>
        <w:spacing w:line="360" w:lineRule="auto"/>
        <w:jc w:val="left"/>
        <w:rPr>
          <w:rFonts w:asciiTheme="majorEastAsia" w:hAnsiTheme="majorEastAsia" w:eastAsiaTheme="majorEastAsia"/>
          <w:sz w:val="18"/>
          <w:szCs w:val="18"/>
        </w:rPr>
      </w:pPr>
      <w:permStart w:id="25" w:edGrp="everyone"/>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w:t>
      </w:r>
      <w:permEnd w:id="25"/>
      <w:r>
        <w:rPr>
          <w:rFonts w:hint="eastAsia" w:asciiTheme="majorEastAsia" w:hAnsiTheme="majorEastAsia" w:eastAsiaTheme="majorEastAsia"/>
          <w:sz w:val="18"/>
          <w:szCs w:val="18"/>
        </w:rPr>
        <w:t>其他：</w:t>
      </w:r>
      <w:permStart w:id="26" w:edGrp="everyone"/>
      <w:r>
        <w:rPr>
          <w:rFonts w:hint="eastAsia" w:asciiTheme="majorEastAsia" w:hAnsiTheme="majorEastAsia" w:eastAsiaTheme="majorEastAsia"/>
          <w:sz w:val="18"/>
          <w:szCs w:val="18"/>
          <w:u w:val="single"/>
        </w:rPr>
        <w:t xml:space="preserve">                               。</w:t>
      </w:r>
      <w:permEnd w:id="26"/>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w:t>
      </w:r>
      <w:r>
        <w:rPr>
          <w:rFonts w:hint="eastAsia" w:ascii="黑体" w:hAnsi="黑体" w:eastAsia="黑体" w:cs="仿宋_GB2312"/>
          <w:kern w:val="0"/>
          <w:sz w:val="18"/>
          <w:szCs w:val="18"/>
        </w:rPr>
        <w:t>.</w:t>
      </w:r>
      <w:r>
        <w:rPr>
          <w:rFonts w:ascii="黑体" w:hAnsi="黑体" w:eastAsia="黑体" w:cs="仿宋_GB2312"/>
          <w:kern w:val="0"/>
          <w:sz w:val="18"/>
          <w:szCs w:val="18"/>
        </w:rPr>
        <w:t>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黑体" w:hAnsi="黑体" w:eastAsia="黑体" w:cs="黑体"/>
          <w:bCs/>
          <w:kern w:val="0"/>
          <w:sz w:val="18"/>
          <w:szCs w:val="18"/>
        </w:rPr>
      </w:pPr>
      <w:r>
        <w:rPr>
          <w:rFonts w:hint="eastAsia" w:ascii="黑体" w:hAnsi="黑体" w:eastAsia="黑体" w:cs="黑体"/>
          <w:bCs/>
          <w:kern w:val="0"/>
          <w:sz w:val="18"/>
          <w:szCs w:val="18"/>
        </w:rPr>
        <w:t>甲方声明：</w:t>
      </w:r>
    </w:p>
    <w:p>
      <w:pPr>
        <w:widowControl/>
        <w:spacing w:line="360" w:lineRule="auto"/>
        <w:jc w:val="left"/>
        <w:rPr>
          <w:rFonts w:ascii="黑体" w:hAnsi="黑体" w:eastAsia="黑体" w:cs="黑体"/>
          <w:bCs/>
          <w:kern w:val="0"/>
          <w:sz w:val="18"/>
          <w:szCs w:val="18"/>
        </w:rPr>
      </w:pPr>
      <w:r>
        <w:rPr>
          <w:rFonts w:hint="eastAsia" w:ascii="黑体" w:hAnsi="黑体" w:eastAsia="黑体" w:cs="黑体"/>
          <w:bCs/>
          <w:kern w:val="0"/>
          <w:sz w:val="18"/>
          <w:szCs w:val="18"/>
        </w:rPr>
        <w:t>（1)甲方已经收到所购买乙方销售的理财产品的《投资协议书》《产品说明书》《（代理）销售协议书》《风险揭示书》《投资者权益须知》等，并完全理解和接受上述文件的全部内容，清楚了解所购买理财产品的内容及可能出现的风险。甲方的投资决策完全基于甲方的独立自主判断做出，并自愿承担所认购、申购、赎回理财产品所产生的相关风险和不利后果。</w:t>
      </w:r>
    </w:p>
    <w:p>
      <w:pPr>
        <w:widowControl/>
        <w:spacing w:line="360" w:lineRule="auto"/>
        <w:jc w:val="left"/>
        <w:rPr>
          <w:rFonts w:ascii="黑体" w:hAnsi="黑体" w:eastAsia="黑体" w:cs="黑体"/>
          <w:bCs/>
          <w:kern w:val="0"/>
          <w:sz w:val="18"/>
          <w:szCs w:val="18"/>
        </w:rPr>
      </w:pPr>
      <w:r>
        <w:rPr>
          <w:rFonts w:hint="eastAsia" w:ascii="黑体" w:hAnsi="黑体" w:eastAsia="黑体" w:cs="黑体"/>
          <w:bCs/>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pPr>
        <w:widowControl/>
        <w:spacing w:line="360" w:lineRule="auto"/>
        <w:jc w:val="left"/>
        <w:rPr>
          <w:rFonts w:ascii="黑体" w:hAnsi="黑体" w:eastAsia="黑体" w:cs="黑体"/>
          <w:bCs/>
          <w:kern w:val="0"/>
          <w:sz w:val="18"/>
          <w:szCs w:val="18"/>
        </w:rPr>
      </w:pPr>
      <w:r>
        <w:rPr>
          <w:rFonts w:hint="eastAsia" w:ascii="黑体" w:hAnsi="黑体" w:eastAsia="黑体" w:cs="黑体"/>
          <w:bCs/>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1、在签署本《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73" w:hRule="exact"/>
        </w:trPr>
        <w:tc>
          <w:tcPr>
            <w:tcW w:w="675" w:type="dxa"/>
            <w:vMerge w:val="restart"/>
            <w:vAlign w:val="center"/>
          </w:tcPr>
          <w:p>
            <w:pPr>
              <w:spacing w:line="360" w:lineRule="auto"/>
              <w:jc w:val="center"/>
              <w:rPr>
                <w:b/>
                <w:kern w:val="0"/>
                <w:sz w:val="18"/>
                <w:szCs w:val="18"/>
              </w:rPr>
            </w:pPr>
            <w:r>
              <w:rPr>
                <w:rFonts w:hint="eastAsia"/>
                <w:b/>
                <w:kern w:val="0"/>
                <w:sz w:val="18"/>
                <w:szCs w:val="18"/>
              </w:rPr>
              <w:t>甲方签署栏</w:t>
            </w:r>
          </w:p>
        </w:tc>
        <w:tc>
          <w:tcPr>
            <w:tcW w:w="851" w:type="dxa"/>
          </w:tcPr>
          <w:p>
            <w:pPr>
              <w:spacing w:line="360" w:lineRule="auto"/>
              <w:rPr>
                <w:kern w:val="0"/>
                <w:sz w:val="18"/>
                <w:szCs w:val="18"/>
              </w:rPr>
            </w:pPr>
            <w:r>
              <w:rPr>
                <w:rFonts w:hint="eastAsia"/>
                <w:kern w:val="0"/>
                <w:sz w:val="18"/>
                <w:szCs w:val="18"/>
              </w:rPr>
              <w:t>个人投资者适用</w:t>
            </w:r>
          </w:p>
        </w:tc>
        <w:tc>
          <w:tcPr>
            <w:tcW w:w="6998" w:type="dxa"/>
          </w:tcPr>
          <w:p>
            <w:pPr>
              <w:spacing w:line="360" w:lineRule="auto"/>
              <w:rPr>
                <w:kern w:val="0"/>
                <w:sz w:val="18"/>
                <w:szCs w:val="18"/>
              </w:rPr>
            </w:pPr>
            <w:r>
              <w:rPr>
                <w:rFonts w:hint="eastAsia"/>
                <w:kern w:val="0"/>
                <w:sz w:val="18"/>
                <w:szCs w:val="18"/>
              </w:rPr>
              <w:t>甲方（签名/线上确认）：</w:t>
            </w:r>
          </w:p>
          <w:p>
            <w:pPr>
              <w:spacing w:line="360" w:lineRule="auto"/>
              <w:rPr>
                <w:b/>
                <w:kern w:val="0"/>
                <w:sz w:val="18"/>
                <w:szCs w:val="18"/>
              </w:rPr>
            </w:pPr>
          </w:p>
          <w:p>
            <w:pPr>
              <w:spacing w:line="360" w:lineRule="auto"/>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b/>
                <w:kern w:val="0"/>
                <w:sz w:val="18"/>
                <w:szCs w:val="18"/>
              </w:rPr>
            </w:pPr>
          </w:p>
        </w:tc>
        <w:tc>
          <w:tcPr>
            <w:tcW w:w="851" w:type="dxa"/>
          </w:tcPr>
          <w:p>
            <w:pPr>
              <w:spacing w:line="360" w:lineRule="auto"/>
              <w:rPr>
                <w:kern w:val="0"/>
                <w:sz w:val="18"/>
                <w:szCs w:val="18"/>
              </w:rPr>
            </w:pPr>
            <w:r>
              <w:rPr>
                <w:rFonts w:hint="eastAsia"/>
                <w:kern w:val="0"/>
                <w:sz w:val="18"/>
                <w:szCs w:val="18"/>
              </w:rPr>
              <w:t>机构投资者适用</w:t>
            </w:r>
          </w:p>
        </w:tc>
        <w:tc>
          <w:tcPr>
            <w:tcW w:w="6998" w:type="dxa"/>
          </w:tcPr>
          <w:p>
            <w:pPr>
              <w:spacing w:line="360" w:lineRule="auto"/>
              <w:rPr>
                <w:rFonts w:cs="Arial"/>
                <w:kern w:val="0"/>
                <w:sz w:val="18"/>
                <w:szCs w:val="18"/>
              </w:rPr>
            </w:pPr>
            <w:r>
              <w:rPr>
                <w:rFonts w:hint="eastAsia"/>
                <w:kern w:val="0"/>
                <w:sz w:val="18"/>
                <w:szCs w:val="18"/>
              </w:rPr>
              <w:t>甲方</w:t>
            </w:r>
            <w:r>
              <w:rPr>
                <w:rFonts w:hint="eastAsia" w:cs="Arial"/>
                <w:kern w:val="0"/>
                <w:sz w:val="18"/>
                <w:szCs w:val="18"/>
              </w:rPr>
              <w:t>（盖章/线上确认）：</w:t>
            </w:r>
          </w:p>
          <w:p>
            <w:pPr>
              <w:spacing w:line="360" w:lineRule="auto"/>
              <w:rPr>
                <w:rFonts w:cs="Arial"/>
                <w:kern w:val="0"/>
                <w:sz w:val="18"/>
                <w:szCs w:val="18"/>
              </w:rPr>
            </w:pPr>
          </w:p>
          <w:p>
            <w:pPr>
              <w:spacing w:line="360" w:lineRule="auto"/>
              <w:rPr>
                <w:b/>
                <w:kern w:val="0"/>
                <w:sz w:val="18"/>
                <w:szCs w:val="18"/>
              </w:rPr>
            </w:pPr>
            <w:r>
              <w:rPr>
                <w:rFonts w:hint="eastAsia" w:cs="Arial"/>
                <w:kern w:val="0"/>
                <w:sz w:val="18"/>
                <w:szCs w:val="18"/>
              </w:rPr>
              <w:t>甲方法定代表人或授权代理人（</w:t>
            </w:r>
            <w:r>
              <w:rPr>
                <w:rFonts w:cs="Arial"/>
                <w:kern w:val="0"/>
                <w:sz w:val="18"/>
                <w:szCs w:val="18"/>
              </w:rPr>
              <w:t>签名</w:t>
            </w:r>
            <w:r>
              <w:rPr>
                <w:rFonts w:hint="eastAsia" w:cs="Arial"/>
                <w:kern w:val="0"/>
                <w:sz w:val="18"/>
                <w:szCs w:val="18"/>
              </w:rPr>
              <w:t>/盖章/线上确认）：</w:t>
            </w:r>
          </w:p>
          <w:p>
            <w:pPr>
              <w:spacing w:line="360" w:lineRule="auto"/>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盖章/线上确认</w:t>
            </w:r>
            <w:r>
              <w:rPr>
                <w:kern w:val="0"/>
                <w:sz w:val="18"/>
                <w:szCs w:val="18"/>
              </w:rPr>
              <w:t>）</w:t>
            </w:r>
            <w:r>
              <w:rPr>
                <w:rFonts w:hint="eastAsia"/>
                <w:kern w:val="0"/>
                <w:sz w:val="18"/>
                <w:szCs w:val="18"/>
              </w:rPr>
              <w:t>：</w:t>
            </w:r>
          </w:p>
          <w:p>
            <w:pPr>
              <w:spacing w:line="360" w:lineRule="auto"/>
              <w:rPr>
                <w:b/>
                <w:kern w:val="0"/>
                <w:sz w:val="18"/>
                <w:szCs w:val="18"/>
              </w:rPr>
            </w:pPr>
          </w:p>
          <w:p>
            <w:pPr>
              <w:spacing w:line="360" w:lineRule="auto"/>
              <w:rPr>
                <w:kern w:val="0"/>
                <w:sz w:val="18"/>
                <w:szCs w:val="18"/>
              </w:rPr>
            </w:pPr>
            <w:r>
              <w:rPr>
                <w:rFonts w:hint="eastAsia"/>
                <w:kern w:val="0"/>
                <w:sz w:val="18"/>
                <w:szCs w:val="18"/>
              </w:rPr>
              <w:t>日期：</w:t>
            </w:r>
          </w:p>
        </w:tc>
      </w:tr>
    </w:tbl>
    <w:p>
      <w:pPr>
        <w:spacing w:line="360" w:lineRule="auto"/>
        <w:jc w:val="left"/>
        <w:rPr>
          <w:rFonts w:ascii="宋体" w:hAnsi="宋体"/>
          <w:b/>
          <w:bCs/>
          <w:sz w:val="18"/>
          <w:szCs w:val="18"/>
        </w:rPr>
      </w:pPr>
      <w:r>
        <w:rPr>
          <w:rFonts w:hint="eastAsia" w:ascii="宋体" w:hAnsi="宋体"/>
          <w:b/>
          <w:bCs/>
          <w:sz w:val="18"/>
          <w:szCs w:val="18"/>
        </w:rPr>
        <w:t>（本《（代理）销售协议书》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pPr>
          <w:pStyle w:val="4"/>
          <w:jc w:val="center"/>
        </w:pPr>
        <w:r>
          <w:fldChar w:fldCharType="begin"/>
        </w:r>
        <w:r>
          <w:instrText xml:space="preserve">PAGE   \* MERGEFORMAT</w:instrText>
        </w:r>
        <w:r>
          <w:fldChar w:fldCharType="separate"/>
        </w:r>
        <w:r>
          <w:rPr>
            <w:lang w:val="zh-CN"/>
          </w:rPr>
          <w:t>4</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dit="readOnly" w:enforcement="1" w:cryptProviderType="rsaAES" w:cryptAlgorithmClass="hash" w:cryptAlgorithmType="typeAny" w:cryptAlgorithmSid="14" w:cryptSpinCount="100000" w:hash="j+9kprY45t9FdKGZwOdI/K6cy+CUceS8iAwnKsn+JgONFcMe/y9nmrQUu202F4fC2S+pWoO9+AhhFmxOcQ5b7w==" w:salt="y07YKgPppKKzj4adL65f5g=="/>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2F58"/>
    <w:rsid w:val="000B4054"/>
    <w:rsid w:val="000D097A"/>
    <w:rsid w:val="000E15A8"/>
    <w:rsid w:val="000F142C"/>
    <w:rsid w:val="00120AB9"/>
    <w:rsid w:val="00171F73"/>
    <w:rsid w:val="0017268F"/>
    <w:rsid w:val="001A3E4E"/>
    <w:rsid w:val="001D2168"/>
    <w:rsid w:val="001D5BB4"/>
    <w:rsid w:val="001E6B70"/>
    <w:rsid w:val="00217DEF"/>
    <w:rsid w:val="00240433"/>
    <w:rsid w:val="0025071C"/>
    <w:rsid w:val="00263CF4"/>
    <w:rsid w:val="00280856"/>
    <w:rsid w:val="002818BE"/>
    <w:rsid w:val="002832E4"/>
    <w:rsid w:val="002A703E"/>
    <w:rsid w:val="002B4433"/>
    <w:rsid w:val="002C5DA4"/>
    <w:rsid w:val="002E77B9"/>
    <w:rsid w:val="00335DAF"/>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F6F56"/>
    <w:rsid w:val="005120A6"/>
    <w:rsid w:val="00515D76"/>
    <w:rsid w:val="005306E2"/>
    <w:rsid w:val="0056412F"/>
    <w:rsid w:val="005650D6"/>
    <w:rsid w:val="005A04CB"/>
    <w:rsid w:val="005B4E69"/>
    <w:rsid w:val="005E6EDE"/>
    <w:rsid w:val="00637285"/>
    <w:rsid w:val="00637A14"/>
    <w:rsid w:val="006735A9"/>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B4F08"/>
    <w:rsid w:val="007C68DE"/>
    <w:rsid w:val="007D5FFF"/>
    <w:rsid w:val="007E2C97"/>
    <w:rsid w:val="007F3E92"/>
    <w:rsid w:val="008053A3"/>
    <w:rsid w:val="00835E57"/>
    <w:rsid w:val="00840A54"/>
    <w:rsid w:val="00850C0B"/>
    <w:rsid w:val="00855B8B"/>
    <w:rsid w:val="00862B8A"/>
    <w:rsid w:val="00881981"/>
    <w:rsid w:val="00882285"/>
    <w:rsid w:val="00884C7E"/>
    <w:rsid w:val="00885477"/>
    <w:rsid w:val="00892450"/>
    <w:rsid w:val="008D2C2D"/>
    <w:rsid w:val="009025C3"/>
    <w:rsid w:val="009C2479"/>
    <w:rsid w:val="009C579B"/>
    <w:rsid w:val="009D2ED5"/>
    <w:rsid w:val="009E7CCC"/>
    <w:rsid w:val="00A30B69"/>
    <w:rsid w:val="00A3186E"/>
    <w:rsid w:val="00A452A6"/>
    <w:rsid w:val="00A47BD1"/>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D1FDE"/>
    <w:rsid w:val="00D3152C"/>
    <w:rsid w:val="00D3339D"/>
    <w:rsid w:val="00D35F82"/>
    <w:rsid w:val="00D82CA8"/>
    <w:rsid w:val="00DA4E9C"/>
    <w:rsid w:val="00DB6D12"/>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208B9"/>
    <w:rsid w:val="00F57B20"/>
    <w:rsid w:val="00F6614C"/>
    <w:rsid w:val="00F810C8"/>
    <w:rsid w:val="00F97CA1"/>
    <w:rsid w:val="00FA64F6"/>
    <w:rsid w:val="00FF1B1C"/>
    <w:rsid w:val="01277422"/>
    <w:rsid w:val="0FFF14BD"/>
    <w:rsid w:val="2ED75C91"/>
    <w:rsid w:val="56704E63"/>
    <w:rsid w:val="583A29B2"/>
    <w:rsid w:val="628238F6"/>
    <w:rsid w:val="73EC3C97"/>
    <w:rsid w:val="79A30B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unhideWhenUsed/>
    <w:qFormat/>
    <w:uiPriority w:val="0"/>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4"/>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2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unhideWhenUsed/>
    <w:qFormat/>
    <w:uiPriority w:val="0"/>
    <w:rPr>
      <w:sz w:val="21"/>
      <w:szCs w:val="21"/>
    </w:rPr>
  </w:style>
  <w:style w:type="character" w:customStyle="1" w:styleId="13">
    <w:name w:val="页眉 Char"/>
    <w:basedOn w:val="10"/>
    <w:link w:val="5"/>
    <w:qFormat/>
    <w:uiPriority w:val="99"/>
    <w:rPr>
      <w:sz w:val="18"/>
      <w:szCs w:val="18"/>
    </w:rPr>
  </w:style>
  <w:style w:type="character" w:customStyle="1" w:styleId="14">
    <w:name w:val="页脚 Char"/>
    <w:basedOn w:val="10"/>
    <w:link w:val="4"/>
    <w:uiPriority w:val="99"/>
    <w:rPr>
      <w:sz w:val="18"/>
      <w:szCs w:val="18"/>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6">
    <w:name w:val="批注文字 Char"/>
    <w:basedOn w:val="10"/>
    <w:link w:val="2"/>
    <w:qFormat/>
    <w:uiPriority w:val="0"/>
    <w:rPr>
      <w:rFonts w:ascii="Calibri" w:hAnsi="Calibri" w:eastAsia="宋体" w:cs="宋体"/>
    </w:rPr>
  </w:style>
  <w:style w:type="character" w:customStyle="1" w:styleId="17">
    <w:name w:val="批注主题 Char"/>
    <w:basedOn w:val="16"/>
    <w:link w:val="7"/>
    <w:semiHidden/>
    <w:qFormat/>
    <w:uiPriority w:val="99"/>
    <w:rPr>
      <w:rFonts w:ascii="Calibri" w:hAnsi="Calibri" w:eastAsia="宋体" w:cs="宋体"/>
      <w:b/>
      <w:bCs/>
    </w:rPr>
  </w:style>
  <w:style w:type="character" w:customStyle="1" w:styleId="18">
    <w:name w:val="批注框文本 Char"/>
    <w:basedOn w:val="10"/>
    <w:link w:val="3"/>
    <w:semiHidden/>
    <w:qFormat/>
    <w:uiPriority w:val="99"/>
    <w:rPr>
      <w:rFonts w:ascii="Calibri" w:hAnsi="Calibri" w:eastAsia="宋体" w:cs="宋体"/>
      <w:sz w:val="18"/>
      <w:szCs w:val="18"/>
    </w:rPr>
  </w:style>
  <w:style w:type="paragraph" w:styleId="19">
    <w:name w:val="List Paragraph"/>
    <w:basedOn w:val="1"/>
    <w:qFormat/>
    <w:uiPriority w:val="34"/>
    <w:pPr>
      <w:ind w:firstLine="420" w:firstLineChars="200"/>
    </w:pPr>
  </w:style>
  <w:style w:type="character" w:customStyle="1" w:styleId="20">
    <w:name w:val="HTML 预设格式 Char"/>
    <w:basedOn w:val="10"/>
    <w:link w:val="6"/>
    <w:qFormat/>
    <w:uiPriority w:val="99"/>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E60808-1BDA-44BC-B8DA-C3A95F622243}">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1</Pages>
  <Words>651</Words>
  <Characters>3713</Characters>
  <Lines>30</Lines>
  <Paragraphs>8</Paragraphs>
  <TotalTime>0</TotalTime>
  <ScaleCrop>false</ScaleCrop>
  <LinksUpToDate>false</LinksUpToDate>
  <CharactersWithSpaces>4356</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2024-03-04T03:44:00Z</dcterms:created>
  <dc:creator>胡骁潇</dc:creator>
  <cp:lastModifiedBy>cib</cp:lastModifiedBy>
  <dcterms:modified xsi:type="dcterms:W3CDTF">2025-10-13T01:45:44Z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DCAA966F15694DFBAAE5A22BB81990CC</vt:lpwstr>
  </property>
</Properties>
</file>