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76" w:lineRule="auto"/>
        <w:ind w:firstLine="422"/>
        <w:jc w:val="center"/>
        <w:rPr>
          <w:rFonts w:ascii="黑体" w:hAnsi="黑体" w:eastAsia="黑体"/>
          <w:b/>
          <w:bCs/>
          <w:sz w:val="28"/>
          <w:szCs w:val="28"/>
        </w:rPr>
      </w:pPr>
      <w:r>
        <w:rPr>
          <w:rFonts w:hint="eastAsia" w:ascii="黑体" w:hAnsi="黑体" w:eastAsia="黑体"/>
          <w:b/>
          <w:bCs/>
          <w:sz w:val="28"/>
          <w:szCs w:val="28"/>
        </w:rPr>
        <w:t>兴银理财</w:t>
      </w:r>
      <w:permStart w:id="0" w:edGrp="everyone"/>
      <w:r>
        <w:rPr>
          <w:rFonts w:hint="eastAsia" w:ascii="黑体" w:hAnsi="黑体" w:eastAsia="黑体"/>
          <w:b/>
          <w:bCs/>
          <w:sz w:val="28"/>
          <w:szCs w:val="28"/>
        </w:rPr>
        <w:t>【稳添利最短持有期日开固收类】</w:t>
      </w:r>
      <w:permEnd w:id="0"/>
      <w:r>
        <w:rPr>
          <w:rFonts w:hint="eastAsia" w:ascii="黑体" w:hAnsi="黑体" w:eastAsia="黑体"/>
          <w:b/>
          <w:bCs/>
          <w:sz w:val="28"/>
          <w:szCs w:val="28"/>
        </w:rPr>
        <w:t>理财产品</w:t>
      </w:r>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w:t>
      </w:r>
      <w:r>
        <w:rPr>
          <w:rFonts w:ascii="宋体" w:hAnsi="宋体" w:cs="仿宋_GB2312"/>
          <w:kern w:val="0"/>
          <w:sz w:val="18"/>
          <w:szCs w:val="18"/>
        </w:rPr>
        <w:t>销售名称及产品登记编码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permStart w:id="1" w:edGrp="everyone"/>
      <w:r>
        <w:rPr>
          <w:rFonts w:hint="eastAsia" w:ascii="宋体" w:hAnsi="宋体" w:cs="仿宋_GB2312"/>
          <w:kern w:val="0"/>
          <w:sz w:val="18"/>
          <w:szCs w:val="18"/>
        </w:rPr>
        <w:t>【</w:t>
      </w:r>
      <w:bookmarkStart w:id="0" w:name="pro_name"/>
      <w:bookmarkEnd w:id="0"/>
      <w:r>
        <w:rPr>
          <w:rFonts w:hint="eastAsia" w:ascii="宋体" w:hAnsi="宋体" w:cs="仿宋_GB2312"/>
          <w:kern w:val="0"/>
          <w:sz w:val="18"/>
          <w:szCs w:val="18"/>
          <w:lang w:eastAsia="zh-CN"/>
        </w:rPr>
        <w:t>兴银理财稳添利周盈81号(7天最短持有期)日开固收类理财产品</w:t>
      </w:r>
      <w:r>
        <w:rPr>
          <w:rFonts w:hint="eastAsia" w:ascii="宋体" w:hAnsi="宋体" w:cs="仿宋_GB2312"/>
          <w:kern w:val="0"/>
          <w:sz w:val="18"/>
          <w:szCs w:val="18"/>
        </w:rPr>
        <w:t>】</w:t>
      </w:r>
      <w:permEnd w:id="1"/>
    </w:p>
    <w:p>
      <w:pPr>
        <w:ind w:firstLine="448" w:firstLineChars="249"/>
        <w:rPr>
          <w:rFonts w:ascii="宋体" w:hAnsi="宋体" w:cs="仿宋_GB2312"/>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bookmarkStart w:id="1" w:name="sale_name"/>
      <w:bookmarkEnd w:id="1"/>
      <w:permStart w:id="2" w:edGrp="everyone"/>
      <w:r>
        <w:rPr>
          <w:rFonts w:hint="eastAsia" w:ascii="宋体" w:hAnsi="宋体" w:cs="仿宋_GB2312"/>
          <w:kern w:val="0"/>
          <w:sz w:val="18"/>
          <w:szCs w:val="18"/>
          <w:lang w:eastAsia="zh-CN"/>
        </w:rPr>
        <w:t>【稳添利周盈81号B】（适用【</w:t>
      </w:r>
      <w:r>
        <w:rPr>
          <w:rFonts w:hint="eastAsia" w:ascii="宋体" w:hAnsi="宋体" w:cs="仿宋_GB2312"/>
          <w:kern w:val="0"/>
          <w:sz w:val="18"/>
          <w:szCs w:val="18"/>
          <w:lang w:val="en-US" w:eastAsia="zh-CN"/>
        </w:rPr>
        <w:t>B</w:t>
      </w:r>
      <w:r>
        <w:rPr>
          <w:rFonts w:hint="eastAsia" w:ascii="宋体" w:hAnsi="宋体" w:cs="仿宋_GB2312"/>
          <w:kern w:val="0"/>
          <w:sz w:val="18"/>
          <w:szCs w:val="18"/>
          <w:lang w:eastAsia="zh-CN"/>
        </w:rPr>
        <w:t>】类份额）</w:t>
      </w:r>
      <w:permEnd w:id="2"/>
    </w:p>
    <w:p>
      <w:pPr>
        <w:ind w:firstLine="448" w:firstLineChars="249"/>
        <w:rPr>
          <w:rFonts w:ascii="宋体" w:hAnsi="宋体" w:cs="仿宋_GB2312"/>
          <w:kern w:val="0"/>
          <w:sz w:val="18"/>
          <w:szCs w:val="18"/>
        </w:rPr>
      </w:pPr>
      <w:r>
        <w:rPr>
          <w:rFonts w:ascii="宋体" w:hAnsi="宋体" w:cs="仿宋_GB2312"/>
          <w:kern w:val="0"/>
          <w:sz w:val="18"/>
          <w:szCs w:val="18"/>
        </w:rPr>
        <w:t>产品登记编码</w:t>
      </w:r>
      <w:r>
        <w:rPr>
          <w:rFonts w:hint="eastAsia" w:ascii="宋体" w:hAnsi="宋体" w:cs="仿宋_GB2312"/>
          <w:kern w:val="0"/>
          <w:sz w:val="18"/>
          <w:szCs w:val="18"/>
        </w:rPr>
        <w:t>：</w:t>
      </w:r>
      <w:permStart w:id="3" w:edGrp="everyone"/>
      <w:r>
        <w:rPr>
          <w:rFonts w:hint="eastAsia" w:ascii="宋体" w:hAnsi="宋体" w:cs="仿宋_GB2312"/>
          <w:kern w:val="0"/>
          <w:sz w:val="18"/>
          <w:szCs w:val="18"/>
        </w:rPr>
        <w:t>【</w:t>
      </w:r>
      <w:bookmarkStart w:id="2" w:name="regist_code"/>
      <w:bookmarkEnd w:id="2"/>
      <w:r>
        <w:rPr>
          <w:rFonts w:hint="eastAsia" w:ascii="宋体" w:hAnsi="宋体" w:cs="仿宋_GB2312"/>
          <w:kern w:val="0"/>
          <w:sz w:val="18"/>
          <w:szCs w:val="18"/>
          <w:lang w:eastAsia="zh-CN"/>
        </w:rPr>
        <w:t>Z7002025001842</w:t>
      </w:r>
      <w:r>
        <w:rPr>
          <w:rFonts w:hint="eastAsia" w:ascii="宋体" w:hAnsi="宋体" w:cs="仿宋_GB2312"/>
          <w:kern w:val="0"/>
          <w:sz w:val="18"/>
          <w:szCs w:val="18"/>
        </w:rPr>
        <w:t>】</w:t>
      </w:r>
      <w:permEnd w:id="3"/>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538" w:firstLineChars="299"/>
        <w:rPr>
          <w:rFonts w:ascii="宋体" w:hAnsi="宋体" w:cs="仿宋_GB2312"/>
          <w:kern w:val="0"/>
          <w:sz w:val="18"/>
          <w:szCs w:val="18"/>
        </w:rPr>
      </w:pPr>
      <w:permStart w:id="4" w:edGrp="everyone"/>
      <w:r>
        <w:rPr>
          <w:rFonts w:hint="eastAsia" w:ascii="宋体" w:hAnsi="宋体" w:cs="仿宋_GB2312"/>
          <w:kern w:val="0"/>
          <w:sz w:val="18"/>
          <w:szCs w:val="18"/>
        </w:rPr>
        <w:t>【公募、开放式、固定收益类、非保本浮动</w:t>
      </w:r>
      <w:r>
        <w:rPr>
          <w:rFonts w:ascii="宋体" w:hAnsi="宋体" w:cs="仿宋_GB2312"/>
          <w:kern w:val="0"/>
          <w:sz w:val="18"/>
          <w:szCs w:val="18"/>
        </w:rPr>
        <w:t>收益</w:t>
      </w:r>
      <w:r>
        <w:rPr>
          <w:rFonts w:hint="eastAsia" w:ascii="宋体" w:hAnsi="宋体" w:cs="仿宋_GB2312"/>
          <w:kern w:val="0"/>
          <w:sz w:val="18"/>
          <w:szCs w:val="18"/>
        </w:rPr>
        <w:t>、净值型】</w:t>
      </w:r>
      <w:permEnd w:id="4"/>
      <w:r>
        <w:rPr>
          <w:rFonts w:hint="eastAsia" w:ascii="宋体" w:hAnsi="宋体" w:cs="仿宋_GB2312"/>
          <w:kern w:val="0"/>
          <w:sz w:val="18"/>
          <w:szCs w:val="18"/>
        </w:rPr>
        <w:t>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ascii="宋体" w:hAnsi="宋体" w:cs="仿宋_GB2312"/>
          <w:kern w:val="0"/>
          <w:sz w:val="18"/>
          <w:szCs w:val="18"/>
        </w:rPr>
      </w:pPr>
      <w:permStart w:id="5" w:edGrp="everyone"/>
      <w:r>
        <w:rPr>
          <w:rFonts w:hint="eastAsia" w:ascii="宋体" w:hAnsi="宋体" w:cs="仿宋_GB2312"/>
          <w:kern w:val="0"/>
          <w:sz w:val="18"/>
          <w:szCs w:val="18"/>
        </w:rPr>
        <w:t>【无固定期限】</w:t>
      </w:r>
      <w:permEnd w:id="5"/>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本理财产品风险评级最终定义为</w:t>
      </w:r>
      <w:permStart w:id="6" w:edGrp="everyone"/>
      <w:r>
        <w:rPr>
          <w:rFonts w:hint="eastAsia" w:ascii="宋体" w:hAnsi="宋体" w:cs="仿宋_GB2312"/>
          <w:kern w:val="0"/>
          <w:sz w:val="18"/>
          <w:szCs w:val="18"/>
        </w:rPr>
        <w:t>【</w:t>
      </w:r>
      <w:r>
        <w:rPr>
          <w:rFonts w:hint="eastAsia" w:ascii="宋体" w:hAnsi="宋体" w:cs="仿宋_GB2312"/>
          <w:kern w:val="0"/>
          <w:sz w:val="18"/>
          <w:szCs w:val="18"/>
          <w:lang w:val="en-US" w:eastAsia="zh-CN"/>
        </w:rPr>
        <w:t>R2</w:t>
      </w:r>
      <w:r>
        <w:rPr>
          <w:rFonts w:ascii="宋体" w:hAnsi="宋体" w:cs="仿宋_GB2312"/>
          <w:kern w:val="0"/>
          <w:sz w:val="18"/>
          <w:szCs w:val="18"/>
        </w:rPr>
        <w:t>】</w:t>
      </w:r>
      <w:permEnd w:id="6"/>
      <w:r>
        <w:rPr>
          <w:rFonts w:hint="eastAsia" w:ascii="宋体" w:hAnsi="宋体" w:cs="仿宋_GB2312"/>
          <w:kern w:val="0"/>
          <w:sz w:val="18"/>
          <w:szCs w:val="18"/>
        </w:rPr>
        <w:t>（产品管理人定义的产品风险评级为</w:t>
      </w:r>
      <w:permStart w:id="7" w:edGrp="everyone"/>
      <w:r>
        <w:rPr>
          <w:rFonts w:hint="eastAsia" w:ascii="宋体" w:hAnsi="宋体" w:cs="仿宋_GB2312"/>
          <w:kern w:val="0"/>
          <w:sz w:val="18"/>
          <w:szCs w:val="18"/>
        </w:rPr>
        <w:t>【</w:t>
      </w:r>
      <w:r>
        <w:rPr>
          <w:rFonts w:hint="eastAsia" w:ascii="宋体" w:hAnsi="宋体" w:cs="仿宋_GB2312"/>
          <w:kern w:val="0"/>
          <w:sz w:val="18"/>
          <w:szCs w:val="18"/>
          <w:lang w:val="en-US" w:eastAsia="zh-CN"/>
        </w:rPr>
        <w:t>R2</w:t>
      </w:r>
      <w:r>
        <w:rPr>
          <w:rFonts w:ascii="宋体" w:hAnsi="宋体" w:cs="仿宋_GB2312"/>
          <w:kern w:val="0"/>
          <w:sz w:val="18"/>
          <w:szCs w:val="18"/>
        </w:rPr>
        <w:t>】</w:t>
      </w:r>
      <w:permEnd w:id="7"/>
      <w:r>
        <w:rPr>
          <w:rFonts w:hint="eastAsia" w:ascii="宋体" w:hAnsi="宋体" w:cs="仿宋_GB2312"/>
          <w:kern w:val="0"/>
          <w:sz w:val="18"/>
          <w:szCs w:val="18"/>
        </w:rPr>
        <w:t>；代理销售机构定义的产品风险评级为</w:t>
      </w:r>
      <w:permStart w:id="8" w:edGrp="everyone"/>
      <w:r>
        <w:rPr>
          <w:rFonts w:hint="eastAsia" w:ascii="宋体" w:hAnsi="宋体" w:cs="仿宋_GB2312"/>
          <w:kern w:val="0"/>
          <w:sz w:val="18"/>
          <w:szCs w:val="18"/>
        </w:rPr>
        <w:t>【</w:t>
      </w:r>
      <w:r>
        <w:rPr>
          <w:rFonts w:hint="eastAsia" w:ascii="宋体" w:hAnsi="宋体" w:cs="仿宋_GB2312"/>
          <w:kern w:val="0"/>
          <w:sz w:val="18"/>
          <w:szCs w:val="18"/>
          <w:lang w:val="en-US" w:eastAsia="zh-CN"/>
        </w:rPr>
        <w:t>R2</w:t>
      </w:r>
      <w:r>
        <w:rPr>
          <w:rFonts w:hint="eastAsia" w:ascii="宋体" w:hAnsi="宋体" w:cs="仿宋_GB2312"/>
          <w:kern w:val="0"/>
          <w:sz w:val="18"/>
          <w:szCs w:val="18"/>
        </w:rPr>
        <w:t>】</w:t>
      </w:r>
      <w:permEnd w:id="8"/>
      <w:r>
        <w:rPr>
          <w:rFonts w:hint="eastAsia" w:ascii="宋体" w:hAnsi="宋体" w:cs="仿宋_GB2312"/>
          <w:kern w:val="0"/>
          <w:sz w:val="18"/>
          <w:szCs w:val="18"/>
        </w:rPr>
        <w:t>）。</w:t>
      </w:r>
      <w:r>
        <w:rPr>
          <w:rFonts w:hint="eastAsia" w:asciiTheme="majorEastAsia" w:hAnsiTheme="majorEastAsia" w:eastAsiaTheme="major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bookmarkStart w:id="5" w:name="_GoBack"/>
      <w:bookmarkEnd w:id="5"/>
    </w:p>
    <w:p>
      <w:pPr>
        <w:ind w:firstLine="360" w:firstLineChars="200"/>
        <w:rPr>
          <w:rFonts w:hint="eastAsia" w:asciiTheme="majorEastAsia" w:hAnsiTheme="majorEastAsia" w:eastAsiaTheme="majorEastAsia"/>
          <w:bCs/>
          <w:color w:val="000000" w:themeColor="text1"/>
          <w:sz w:val="18"/>
          <w:szCs w:val="18"/>
          <w:lang w:eastAsia="zh-CN"/>
          <w14:textFill>
            <w14:solidFill>
              <w14:schemeClr w14:val="tx1"/>
            </w14:solidFill>
          </w14:textFill>
        </w:rPr>
      </w:pPr>
      <w:bookmarkStart w:id="3" w:name="per_risk"/>
      <w:bookmarkEnd w:id="3"/>
      <w:permStart w:id="9" w:edGrp="everyone"/>
      <w:r>
        <w:rPr>
          <w:rFonts w:hint="eastAsia" w:asciiTheme="majorEastAsia" w:hAnsiTheme="majorEastAsia" w:eastAsiaTheme="majorEastAsia"/>
          <w:bCs/>
          <w:color w:val="000000" w:themeColor="text1"/>
          <w:sz w:val="18"/>
          <w:szCs w:val="18"/>
          <w:lang w:eastAsia="zh-CN"/>
          <w14:textFill>
            <w14:solidFill>
              <w14:schemeClr w14:val="tx1"/>
            </w14:solidFill>
          </w14:textFill>
        </w:rPr>
        <w:t>■个人投资者：【□ C1、■ C2、■ C3、■ C4、■ C5】。</w:t>
      </w:r>
    </w:p>
    <w:p>
      <w:pPr>
        <w:ind w:firstLine="360" w:firstLineChars="200"/>
        <w:rPr>
          <w:rFonts w:hint="eastAsia" w:asciiTheme="majorEastAsia" w:hAnsiTheme="majorEastAsia" w:eastAsiaTheme="majorEastAsia"/>
          <w:bCs/>
          <w:color w:val="000000" w:themeColor="text1"/>
          <w:sz w:val="18"/>
          <w:szCs w:val="18"/>
          <w:lang w:eastAsia="zh-CN"/>
          <w14:textFill>
            <w14:solidFill>
              <w14:schemeClr w14:val="tx1"/>
            </w14:solidFill>
          </w14:textFill>
        </w:rPr>
      </w:pPr>
      <w:bookmarkStart w:id="4" w:name="ins_risk"/>
      <w:bookmarkEnd w:id="4"/>
      <w:r>
        <w:rPr>
          <w:rFonts w:hint="eastAsia" w:asciiTheme="majorEastAsia" w:hAnsiTheme="majorEastAsia" w:eastAsiaTheme="majorEastAsia"/>
          <w:bCs/>
          <w:color w:val="000000" w:themeColor="text1"/>
          <w:sz w:val="18"/>
          <w:szCs w:val="18"/>
          <w:lang w:eastAsia="zh-CN"/>
          <w14:textFill>
            <w14:solidFill>
              <w14:schemeClr w14:val="tx1"/>
            </w14:solidFill>
          </w14:textFill>
        </w:rPr>
        <w:t>■机构投资者：【□ C1、■ C2、■ C3、■ C4、■ C5】。</w:t>
      </w:r>
    </w:p>
    <w:permEnd w:id="9"/>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sz w:val="18"/>
          <w:szCs w:val="18"/>
        </w:rPr>
      </w:pPr>
      <w:permStart w:id="10" w:edGrp="everyone"/>
      <w:r>
        <w:rPr>
          <w:rFonts w:hint="eastAsia" w:ascii="宋体" w:hAnsi="宋体"/>
          <w:sz w:val="18"/>
          <w:szCs w:val="18"/>
        </w:rPr>
        <w:t>【1.拟投资市场和资产的风险：</w:t>
      </w:r>
    </w:p>
    <w:p>
      <w:pPr>
        <w:spacing w:line="360" w:lineRule="auto"/>
        <w:ind w:firstLine="360" w:firstLineChars="200"/>
        <w:rPr>
          <w:rFonts w:ascii="宋体" w:hAnsi="宋体"/>
          <w:sz w:val="18"/>
          <w:szCs w:val="18"/>
        </w:rPr>
      </w:pPr>
      <w:r>
        <w:rPr>
          <w:rFonts w:hint="eastAsia" w:ascii="宋体" w:hAnsi="宋体"/>
          <w:sz w:val="18"/>
          <w:szCs w:val="18"/>
        </w:rPr>
        <w:t>（1）投资债权类资产的风险</w:t>
      </w:r>
    </w:p>
    <w:p>
      <w:pPr>
        <w:spacing w:line="360" w:lineRule="auto"/>
        <w:ind w:firstLine="360" w:firstLineChars="200"/>
        <w:rPr>
          <w:rFonts w:ascii="宋体" w:hAnsi="宋体"/>
          <w:sz w:val="18"/>
          <w:szCs w:val="18"/>
        </w:rPr>
      </w:pPr>
      <w:r>
        <w:rPr>
          <w:rFonts w:hint="eastAsia" w:ascii="宋体" w:hAnsi="宋体"/>
          <w:sz w:val="18"/>
          <w:szCs w:val="18"/>
          <w:lang w:val="en-US" w:eastAsia="zh-CN"/>
        </w:rPr>
        <w:t>1）</w:t>
      </w:r>
      <w:r>
        <w:rPr>
          <w:rFonts w:hint="eastAsia" w:ascii="宋体" w:hAnsi="宋体"/>
          <w:sz w:val="18"/>
          <w:szCs w:val="18"/>
        </w:rPr>
        <w:t>投资标准化债权类资产的风险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sz w:val="18"/>
          <w:szCs w:val="18"/>
        </w:rPr>
      </w:pPr>
      <w:r>
        <w:rPr>
          <w:rFonts w:hint="eastAsia" w:ascii="宋体" w:hAnsi="宋体"/>
          <w:sz w:val="18"/>
          <w:szCs w:val="18"/>
        </w:rPr>
        <w:t xml:space="preserve">（2）投资商品和金融衍生品类资产的风险 </w:t>
      </w:r>
    </w:p>
    <w:p>
      <w:pPr>
        <w:spacing w:line="360" w:lineRule="auto"/>
        <w:ind w:firstLine="360" w:firstLineChars="200"/>
        <w:rPr>
          <w:rFonts w:hint="eastAsia" w:ascii="宋体" w:hAnsi="宋体"/>
          <w:sz w:val="18"/>
          <w:szCs w:val="18"/>
        </w:rPr>
      </w:pPr>
      <w:r>
        <w:rPr>
          <w:rFonts w:hint="eastAsia" w:ascii="宋体" w:hAnsi="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pPr>
        <w:ind w:firstLine="360" w:firstLineChars="200"/>
        <w:rPr>
          <w:rFonts w:ascii="宋体" w:hAnsi="宋体"/>
          <w:sz w:val="18"/>
          <w:szCs w:val="18"/>
        </w:rPr>
      </w:pPr>
      <w:r>
        <w:rPr>
          <w:rFonts w:hint="eastAsia" w:ascii="宋体" w:hAnsi="宋体"/>
          <w:sz w:val="18"/>
          <w:szCs w:val="18"/>
        </w:rPr>
        <w:t>】</w:t>
      </w:r>
    </w:p>
    <w:permEnd w:id="10"/>
    <w:p>
      <w:pPr>
        <w:pStyle w:val="13"/>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pStyle w:val="13"/>
        <w:ind w:firstLine="426" w:firstLineChars="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pStyle w:val="13"/>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3"/>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3"/>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pPr>
        <w:pStyle w:val="13"/>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3"/>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终止</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提前终止风险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pStyle w:val="13"/>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pPr>
        <w:pStyle w:val="13"/>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1"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pPr>
        <w:pStyle w:val="13"/>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pPr>
        <w:pStyle w:val="13"/>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pPr>
        <w:pStyle w:val="13"/>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pPr>
        <w:pStyle w:val="13"/>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pPr>
        <w:pStyle w:val="13"/>
        <w:ind w:firstLine="36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当前述资产管理产品计提业绩报酬时，本理财产品的产品份额净值存在下跌的风险。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pPr>
        <w:pStyle w:val="13"/>
        <w:ind w:firstLine="36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pPr>
        <w:pStyle w:val="13"/>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pPr>
        <w:pStyle w:val="13"/>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1"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pPr>
        <w:pStyle w:val="13"/>
        <w:ind w:firstLineChars="0"/>
        <w:rPr>
          <w:rFonts w:ascii="宋体" w:hAnsi="宋体"/>
          <w:b/>
          <w:bCs/>
          <w:sz w:val="18"/>
          <w:szCs w:val="18"/>
        </w:rPr>
      </w:pPr>
      <w:r>
        <w:rPr>
          <w:rFonts w:hint="eastAsia" w:ascii="宋体" w:hAnsi="宋体"/>
          <w:b/>
          <w:bCs/>
          <w:sz w:val="18"/>
          <w:szCs w:val="18"/>
        </w:rPr>
        <w:t>17.关联交易风险</w:t>
      </w:r>
    </w:p>
    <w:p>
      <w:pPr>
        <w:pStyle w:val="13"/>
        <w:ind w:firstLineChars="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黑体"/>
          <w:kern w:val="0"/>
          <w:sz w:val="18"/>
          <w:szCs w:val="18"/>
        </w:rPr>
      </w:pPr>
      <w:r>
        <w:rPr>
          <w:rFonts w:hint="eastAsia" w:ascii="黑体" w:hAnsi="黑体" w:eastAsia="黑体" w:cs="黑体"/>
          <w:color w:val="000000"/>
          <w:kern w:val="0"/>
          <w:sz w:val="18"/>
          <w:szCs w:val="18"/>
        </w:rPr>
        <w:t>五、【非机构投资者适用】</w:t>
      </w:r>
      <w:r>
        <w:rPr>
          <w:rFonts w:hint="eastAsia" w:ascii="黑体" w:hAnsi="黑体" w:eastAsia="黑体" w:cs="黑体"/>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w:t>
      </w:r>
      <w:r>
        <w:rPr>
          <w:rFonts w:hint="eastAsia" w:ascii="黑体" w:hAnsi="黑体" w:eastAsia="黑体" w:cs="黑体"/>
          <w:color w:val="000000"/>
          <w:kern w:val="0"/>
          <w:sz w:val="18"/>
          <w:szCs w:val="18"/>
        </w:rPr>
        <w:t>【非机构投资者适用】</w:t>
      </w:r>
      <w:r>
        <w:rPr>
          <w:rFonts w:hint="eastAsia" w:ascii="黑体" w:hAnsi="黑体" w:eastAsia="黑体"/>
          <w:bCs/>
          <w:sz w:val="18"/>
          <w:szCs w:val="18"/>
        </w:rPr>
        <w:t>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ordWrap w:val="0"/>
        <w:ind w:left="540"/>
        <w:jc w:val="right"/>
        <w:rPr>
          <w:rFonts w:ascii="宋体" w:hAnsi="宋体"/>
          <w:sz w:val="18"/>
          <w:szCs w:val="18"/>
        </w:rPr>
      </w:pPr>
      <w:permStart w:id="11" w:edGrp="everyone"/>
      <w:r>
        <w:rPr>
          <w:rFonts w:hint="eastAsia" w:ascii="宋体" w:hAnsi="宋体"/>
          <w:sz w:val="18"/>
          <w:szCs w:val="18"/>
        </w:rPr>
        <w:t>销售机构（【</w:t>
      </w:r>
      <w:r>
        <w:rPr>
          <w:rFonts w:hint="eastAsia" w:ascii="宋体" w:hAnsi="宋体"/>
          <w:sz w:val="18"/>
          <w:szCs w:val="18"/>
          <w:lang w:val="en-US" w:eastAsia="zh-CN"/>
        </w:rPr>
        <w:t xml:space="preserve">                 </w:t>
      </w:r>
      <w:r>
        <w:rPr>
          <w:rFonts w:hint="eastAsia" w:ascii="宋体" w:hAnsi="宋体"/>
          <w:sz w:val="18"/>
          <w:szCs w:val="18"/>
        </w:rPr>
        <w:t>】）</w:t>
      </w:r>
    </w:p>
    <w:permEnd w:id="11"/>
    <w:p>
      <w:pPr>
        <w:widowControl/>
        <w:jc w:val="left"/>
        <w:rPr>
          <w:rFonts w:ascii="宋体" w:hAnsi="宋体"/>
          <w:sz w:val="18"/>
          <w:szCs w:val="18"/>
        </w:rPr>
      </w:pPr>
      <w:r>
        <w:rPr>
          <w:rFonts w:ascii="宋体" w:hAnsi="宋体"/>
          <w:sz w:val="18"/>
          <w:szCs w:val="18"/>
        </w:rPr>
        <w:br w:type="page"/>
      </w:r>
    </w:p>
    <w:p>
      <w:pPr>
        <w:ind w:left="540"/>
        <w:jc w:val="right"/>
        <w:rPr>
          <w:rFonts w:ascii="宋体" w:hAnsi="宋体"/>
          <w:sz w:val="18"/>
          <w:szCs w:val="18"/>
        </w:rPr>
      </w:pPr>
    </w:p>
    <w:p>
      <w:pPr>
        <w:ind w:left="540"/>
        <w:jc w:val="right"/>
        <w:rPr>
          <w:rFonts w:ascii="宋体" w:hAnsi="宋体"/>
          <w:sz w:val="18"/>
          <w:szCs w:val="18"/>
        </w:rPr>
      </w:pPr>
    </w:p>
    <w:tbl>
      <w:tblPr>
        <w:tblStyle w:val="8"/>
        <w:tblW w:w="8371" w:type="dxa"/>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投资者签名/线上确认：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b/>
                <w:bCs/>
                <w:kern w:val="0"/>
                <w:sz w:val="18"/>
                <w:szCs w:val="18"/>
              </w:rPr>
            </w:pPr>
            <w:r>
              <w:rPr>
                <w:rFonts w:hint="eastAsia"/>
                <w:b/>
                <w:bCs/>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机构投资者（盖章/线上确认）：</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w:t>
            </w:r>
            <w:r>
              <w:rPr>
                <w:rFonts w:ascii="宋体" w:hAnsi="宋体" w:cs="Arial"/>
                <w:kern w:val="0"/>
                <w:sz w:val="18"/>
                <w:szCs w:val="18"/>
              </w:rPr>
              <w:t>签名</w:t>
            </w:r>
            <w:r>
              <w:rPr>
                <w:rFonts w:hint="eastAsia" w:ascii="宋体" w:hAnsi="宋体" w:cs="Arial"/>
                <w:kern w:val="0"/>
                <w:sz w:val="18"/>
                <w:szCs w:val="18"/>
              </w:rPr>
              <w:t>/盖章/线上确认）：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widowControl/>
        <w:jc w:val="left"/>
        <w:rPr>
          <w:rFonts w:hint="eastAsia" w:ascii="宋体" w:hAnsi="宋体"/>
          <w:b/>
          <w:sz w:val="28"/>
          <w:szCs w:val="28"/>
        </w:rPr>
      </w:pPr>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1" name="Text Box 1025"/>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pPr>
                            <w:pStyle w:val="4"/>
                          </w:pPr>
                          <w:r>
                            <w:fldChar w:fldCharType="begin"/>
                          </w:r>
                          <w:r>
                            <w:instrText xml:space="preserve"> PAGE  \* MERGEFORMAT </w:instrText>
                          </w:r>
                          <w:r>
                            <w:fldChar w:fldCharType="separate"/>
                          </w:r>
                          <w:r>
                            <w:t>2</w:t>
                          </w:r>
                          <w:r>
                            <w:fldChar w:fldCharType="end"/>
                          </w:r>
                        </w:p>
                      </w:txbxContent>
                    </wps:txbx>
                    <wps:bodyPr rot="0" vert="horz" wrap="none" lIns="0" tIns="0" rIns="0" bIns="0" anchor="t" anchorCtr="0" upright="1">
                      <a:spAutoFit/>
                    </wps:bodyPr>
                  </wps:wsp>
                </a:graphicData>
              </a:graphic>
            </wp:anchor>
          </w:drawing>
        </mc:Choice>
        <mc:Fallback>
          <w:pict>
            <v:shape id="Text Box 1025"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MtbuXfQAAAAAgEAAA8AAAAAAAAAAQAgAAAAIgAAAGRycy9kb3ducmV2LnhtbFBLAQIU&#10;ABQAAAAIAIdO4kBzKKfD+wEAAAMEAAAOAAAAAAAAAAEAIAAAAB8BAABkcnMvZTJvRG9jLnhtbFBL&#10;BQYAAAAABgAGAFkBAACMBQAAAAA=&#10;">
              <v:fill on="f" focussize="0,0"/>
              <v:stroke on="f"/>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5"/>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dit="readOnly" w:enforcement="1" w:cryptProviderType="rsaAES" w:cryptAlgorithmClass="hash" w:cryptAlgorithmType="typeAny" w:cryptAlgorithmSid="14" w:cryptSpinCount="100000" w:hash="VH91jKK8S+HILxZrTC8x/7f2g33+NBH5zbwtKH2yHWQpPAxYPayPNvhl7r5H4OxSPBiFVYJDUNeWThe1ovr9dg==" w:salt="TfuW6h7UC9IoXlbHLbc59w=="/>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124A4"/>
    <w:rsid w:val="00096AC8"/>
    <w:rsid w:val="000A244A"/>
    <w:rsid w:val="000B16F1"/>
    <w:rsid w:val="000B357F"/>
    <w:rsid w:val="000F0566"/>
    <w:rsid w:val="001104E8"/>
    <w:rsid w:val="00152999"/>
    <w:rsid w:val="001C5047"/>
    <w:rsid w:val="002354DB"/>
    <w:rsid w:val="00262560"/>
    <w:rsid w:val="002B4654"/>
    <w:rsid w:val="002B4BDD"/>
    <w:rsid w:val="002B63FC"/>
    <w:rsid w:val="002C604E"/>
    <w:rsid w:val="002F0B15"/>
    <w:rsid w:val="00346ED2"/>
    <w:rsid w:val="003660B4"/>
    <w:rsid w:val="00374070"/>
    <w:rsid w:val="00390D83"/>
    <w:rsid w:val="003B6DAC"/>
    <w:rsid w:val="003E1A68"/>
    <w:rsid w:val="003F1C32"/>
    <w:rsid w:val="00412C30"/>
    <w:rsid w:val="00420D74"/>
    <w:rsid w:val="0045040F"/>
    <w:rsid w:val="00466605"/>
    <w:rsid w:val="004A236B"/>
    <w:rsid w:val="004B4026"/>
    <w:rsid w:val="004C7F5E"/>
    <w:rsid w:val="004E4E14"/>
    <w:rsid w:val="00510BA5"/>
    <w:rsid w:val="00527A03"/>
    <w:rsid w:val="00563E8F"/>
    <w:rsid w:val="005804B9"/>
    <w:rsid w:val="005C6FCB"/>
    <w:rsid w:val="005F48BE"/>
    <w:rsid w:val="00640FDE"/>
    <w:rsid w:val="00647B65"/>
    <w:rsid w:val="006538E1"/>
    <w:rsid w:val="00673739"/>
    <w:rsid w:val="006B4210"/>
    <w:rsid w:val="007143CD"/>
    <w:rsid w:val="0072580D"/>
    <w:rsid w:val="007303F6"/>
    <w:rsid w:val="00732C8C"/>
    <w:rsid w:val="007A4C26"/>
    <w:rsid w:val="007B017F"/>
    <w:rsid w:val="007C7189"/>
    <w:rsid w:val="0080662E"/>
    <w:rsid w:val="00836C1F"/>
    <w:rsid w:val="00894EE6"/>
    <w:rsid w:val="008A707D"/>
    <w:rsid w:val="008C1CE9"/>
    <w:rsid w:val="008D3E86"/>
    <w:rsid w:val="008E072A"/>
    <w:rsid w:val="008F2B54"/>
    <w:rsid w:val="00923A09"/>
    <w:rsid w:val="009525B5"/>
    <w:rsid w:val="00955293"/>
    <w:rsid w:val="009713C7"/>
    <w:rsid w:val="00980894"/>
    <w:rsid w:val="00981E5B"/>
    <w:rsid w:val="009B13AF"/>
    <w:rsid w:val="00A679D8"/>
    <w:rsid w:val="00A95D0C"/>
    <w:rsid w:val="00AD2AD0"/>
    <w:rsid w:val="00AE5AA3"/>
    <w:rsid w:val="00B06267"/>
    <w:rsid w:val="00B07DEF"/>
    <w:rsid w:val="00B35D81"/>
    <w:rsid w:val="00B3723D"/>
    <w:rsid w:val="00B71F84"/>
    <w:rsid w:val="00B73B8B"/>
    <w:rsid w:val="00B94B21"/>
    <w:rsid w:val="00BA3CE3"/>
    <w:rsid w:val="00BA71E5"/>
    <w:rsid w:val="00BB3A90"/>
    <w:rsid w:val="00BB513F"/>
    <w:rsid w:val="00BC1259"/>
    <w:rsid w:val="00BC2076"/>
    <w:rsid w:val="00BC398E"/>
    <w:rsid w:val="00BD36A3"/>
    <w:rsid w:val="00BE1A3A"/>
    <w:rsid w:val="00C0058E"/>
    <w:rsid w:val="00C01696"/>
    <w:rsid w:val="00C361E7"/>
    <w:rsid w:val="00C4233D"/>
    <w:rsid w:val="00CD0E2E"/>
    <w:rsid w:val="00D03CCD"/>
    <w:rsid w:val="00D268C3"/>
    <w:rsid w:val="00D33509"/>
    <w:rsid w:val="00D36659"/>
    <w:rsid w:val="00D46533"/>
    <w:rsid w:val="00D672A2"/>
    <w:rsid w:val="00D91389"/>
    <w:rsid w:val="00DA2C69"/>
    <w:rsid w:val="00DD246D"/>
    <w:rsid w:val="00DD5ABC"/>
    <w:rsid w:val="00DE3630"/>
    <w:rsid w:val="00E04894"/>
    <w:rsid w:val="00E27A39"/>
    <w:rsid w:val="00E504DE"/>
    <w:rsid w:val="00E66F5C"/>
    <w:rsid w:val="00E767F1"/>
    <w:rsid w:val="00E80603"/>
    <w:rsid w:val="00EB34F9"/>
    <w:rsid w:val="00F1541A"/>
    <w:rsid w:val="00F1747E"/>
    <w:rsid w:val="00F34E57"/>
    <w:rsid w:val="00F54E02"/>
    <w:rsid w:val="00F57B20"/>
    <w:rsid w:val="00F8077D"/>
    <w:rsid w:val="00FD7473"/>
    <w:rsid w:val="01713DA7"/>
    <w:rsid w:val="07512266"/>
    <w:rsid w:val="081D33DC"/>
    <w:rsid w:val="09B56D79"/>
    <w:rsid w:val="09EF2BC4"/>
    <w:rsid w:val="0E20418F"/>
    <w:rsid w:val="0F3144F8"/>
    <w:rsid w:val="11F445ED"/>
    <w:rsid w:val="158B6403"/>
    <w:rsid w:val="171B4C2E"/>
    <w:rsid w:val="1BFF7F70"/>
    <w:rsid w:val="1D9858FD"/>
    <w:rsid w:val="23024B39"/>
    <w:rsid w:val="279A14DD"/>
    <w:rsid w:val="38895284"/>
    <w:rsid w:val="3C44141C"/>
    <w:rsid w:val="3E54243D"/>
    <w:rsid w:val="3F921B33"/>
    <w:rsid w:val="41F45865"/>
    <w:rsid w:val="434C7F36"/>
    <w:rsid w:val="470D3806"/>
    <w:rsid w:val="4CFA15FA"/>
    <w:rsid w:val="57457CCD"/>
    <w:rsid w:val="57A47D2B"/>
    <w:rsid w:val="580769AD"/>
    <w:rsid w:val="5E292F07"/>
    <w:rsid w:val="601969DF"/>
    <w:rsid w:val="615875E5"/>
    <w:rsid w:val="618E79F8"/>
    <w:rsid w:val="6600662F"/>
    <w:rsid w:val="66363B37"/>
    <w:rsid w:val="66965880"/>
    <w:rsid w:val="69761573"/>
    <w:rsid w:val="6D861216"/>
    <w:rsid w:val="6DCE6496"/>
    <w:rsid w:val="6E3A25F0"/>
    <w:rsid w:val="6FBE2DEF"/>
    <w:rsid w:val="70330189"/>
    <w:rsid w:val="7A7571B4"/>
    <w:rsid w:val="7C166D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paragraph" w:styleId="13">
    <w:name w:val="List Paragraph"/>
    <w:basedOn w:val="1"/>
    <w:qFormat/>
    <w:uiPriority w:val="0"/>
    <w:pPr>
      <w:ind w:firstLine="420" w:firstLineChars="200"/>
    </w:pPr>
  </w:style>
  <w:style w:type="character" w:customStyle="1" w:styleId="14">
    <w:name w:val="批注文字 Char"/>
    <w:basedOn w:val="9"/>
    <w:link w:val="2"/>
    <w:qFormat/>
    <w:uiPriority w:val="99"/>
    <w:rPr>
      <w:rFonts w:ascii="Calibri" w:hAnsi="Calibri" w:eastAsia="宋体" w:cs="宋体"/>
    </w:rPr>
  </w:style>
  <w:style w:type="character" w:customStyle="1" w:styleId="15">
    <w:name w:val="批注主题 Char"/>
    <w:basedOn w:val="14"/>
    <w:link w:val="6"/>
    <w:semiHidden/>
    <w:qFormat/>
    <w:uiPriority w:val="99"/>
    <w:rPr>
      <w:rFonts w:ascii="Calibri" w:hAnsi="Calibri" w:eastAsia="宋体" w:cs="宋体"/>
      <w:b/>
      <w:bCs/>
    </w:rPr>
  </w:style>
  <w:style w:type="character" w:customStyle="1" w:styleId="16">
    <w:name w:val="批注框文本 Char"/>
    <w:basedOn w:val="9"/>
    <w:link w:val="3"/>
    <w:semiHidden/>
    <w:qFormat/>
    <w:uiPriority w:val="99"/>
    <w:rPr>
      <w:rFonts w:ascii="Calibri" w:hAnsi="Calibri" w:eastAsia="宋体" w:cs="宋体"/>
      <w:sz w:val="18"/>
      <w:szCs w:val="18"/>
    </w:rPr>
  </w:style>
  <w:style w:type="paragraph" w:customStyle="1" w:styleId="17">
    <w:name w:val="修订1"/>
    <w:hidden/>
    <w:semiHidden/>
    <w:qFormat/>
    <w:uiPriority w:val="99"/>
    <w:rPr>
      <w:rFonts w:ascii="Calibri" w:hAnsi="Calibri" w:eastAsia="宋体" w:cs="宋体"/>
      <w:kern w:val="2"/>
      <w:sz w:val="21"/>
      <w:szCs w:val="22"/>
      <w:lang w:val="en-US" w:eastAsia="zh-CN" w:bidi="ar-SA"/>
    </w:rPr>
  </w:style>
  <w:style w:type="paragraph" w:customStyle="1" w:styleId="18">
    <w:name w:val="修订2"/>
    <w:hidden/>
    <w:semiHidden/>
    <w:qFormat/>
    <w:uiPriority w:val="99"/>
    <w:rPr>
      <w:rFonts w:ascii="Calibri" w:hAnsi="Calibri" w:eastAsia="宋体" w:cs="宋体"/>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685</Words>
  <Characters>3906</Characters>
  <Lines>32</Lines>
  <Paragraphs>9</Paragraphs>
  <TotalTime>6</TotalTime>
  <ScaleCrop>false</ScaleCrop>
  <LinksUpToDate>false</LinksUpToDate>
  <CharactersWithSpaces>4582</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2024-08-28T12:38:00Z</dcterms:created>
  <dc:creator>胡骁潇</dc:creator>
  <cp:lastModifiedBy>cib</cp:lastModifiedBy>
  <dcterms:modified xsi:type="dcterms:W3CDTF">2026-04-28T07:11:11Z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8C3451F4A9D547188BD69B541900499D</vt:lpwstr>
  </property>
</Properties>
</file>