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bookmarkStart w:id="0" w:name="_Hlk168577216"/>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苏银理财恒源封闭债权297期优选2年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val="en-US" w:eastAsia="zh-CN"/>
        </w:rPr>
        <w:t>苏银理财恒源封闭债权297期优选2年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苏银理财恒源封闭债权297期优选2年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Z7003126000157，投资者可依据该编码在中国理财网www.chinawealth.com.cn查询产品信息。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A份额：苏银理财恒源封闭债权297期优选2年A/J19252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B份额：苏银理财恒源封闭债权297期优选2年B/J19253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C份额：苏银理财恒源封闭债权297期优选2年C/J19254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D份额：苏银理财恒源封闭债权297期优选2年D/J19255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E份额：苏银理财恒源封闭债权297期优选2年E/J19256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F份额：苏银理财恒源封闭债权297期优选2年F/J19257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G份额：苏银理财恒源封闭债权297期优选2年G/J19258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H份额：苏银理财恒源封闭债权297期优选2年H/J19259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J份额：苏银理财恒源封闭债权297期优选2年J/J19260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K份额：苏银理财恒源封闭债权297期优选2年K/J19261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L份额：苏银理财恒源封闭债权297期优选2年L/J19262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M份额：苏银理财恒源封闭债权297期优选2年M/J19263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N份额：苏银理财恒源封闭债权297期优选2年N/J19264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P份额：苏银理财恒源封闭债权297期优选2年P/J19265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Z份额：苏银理财恒源封闭债权297期优选2年Z/J19266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JS份额：苏银理财恒源封闭债权297期优选2年JS鑫福款/J19267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highlight w:val="none"/>
                <w:u w:val="single"/>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lang w:val="en-US" w:eastAsia="zh-CN"/>
              </w:rPr>
              <w:t>★★二级，适合中低风险型投资者，适合投资策略为稳健发展的投资者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r>
              <w:rPr>
                <w:rFonts w:hint="eastAsia" w:ascii="楷体" w:hAnsi="楷体" w:eastAsia="楷体" w:cs="楷体"/>
                <w:b/>
                <w:bCs/>
                <w:color w:val="auto"/>
                <w:sz w:val="18"/>
                <w:szCs w:val="18"/>
                <w:u w:val="single"/>
              </w:rPr>
              <w:t>理财产品存续期间，若市场环境等因素发生变化，在符合监管政策要求的前提下管理人可对产品风险评级进行调整，并及时将调整情况向投资者披露。</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A份额：面向个人和机构投资者销售；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B份额：面向个人和机构投资者销售；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C份额：面向个人和机构投资者销售，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D份额：面向个人和机构投资者销售；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E份额：面向个人和机构投资者销售，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F份额：面向个人和机构投资者销售；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G份额：面向个人和机构投资者销售；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K份额：面向个人和机构投资者销售；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L份额：面向个人和机构投资者销售；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N份额：面向个人和机构投资者销售；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P份额：面向个人和机构投资者销售；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Z份额：面向个人和机构投资者销售；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rPr>
            </w:pPr>
            <w:r>
              <w:rPr>
                <w:rFonts w:hint="eastAsia" w:ascii="楷体" w:hAnsi="楷体" w:eastAsia="楷体" w:cs="楷体"/>
                <w:color w:val="auto"/>
                <w:spacing w:val="-2"/>
                <w:kern w:val="0"/>
                <w:sz w:val="18"/>
                <w:szCs w:val="18"/>
                <w:highlight w:val="none"/>
                <w:lang w:val="en-US" w:eastAsia="zh-CN" w:bidi="ar-SA"/>
              </w:rPr>
              <w:t>JS份额：面向个人和机构投资者销售</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sz w:val="18"/>
                <w:szCs w:val="18"/>
                <w:lang w:val="en-US" w:eastAsia="zh-CN"/>
              </w:rPr>
              <w:t>20亿元</w:t>
            </w:r>
            <w:r>
              <w:rPr>
                <w:rFonts w:hint="eastAsia" w:ascii="楷体" w:hAnsi="楷体" w:eastAsia="楷体" w:cs="楷体"/>
                <w:color w:val="auto"/>
                <w:spacing w:val="-2"/>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3000万元。</w:t>
            </w:r>
            <w:r>
              <w:rPr>
                <w:rFonts w:hint="eastAsia" w:ascii="楷体" w:hAnsi="楷体" w:eastAsia="楷体" w:cs="楷体"/>
                <w:spacing w:val="-2"/>
                <w:sz w:val="18"/>
                <w:szCs w:val="18"/>
                <w:highlight w:val="none"/>
              </w:rPr>
              <w:t>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B份额：1元/1元的整数倍；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D份额：1元/1元的整数倍；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F份额：1元/1元的整数倍；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G份额：1元/1元的整数倍；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H份额：10,000元/10,000元的整数倍；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K份额：1元/1元的整数倍；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L份额：1元/1元的整数倍；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M份额：1元/1元的整数倍；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N份额：1元/1元的整数倍；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P份额：1元/1元的整数倍；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Z份额：1元/1元的整数倍；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default" w:ascii="楷体" w:hAnsi="楷体" w:eastAsia="楷体" w:cs="楷体"/>
                <w:color w:val="auto"/>
                <w:spacing w:val="-2"/>
                <w:sz w:val="18"/>
                <w:szCs w:val="18"/>
                <w:highlight w:val="none"/>
                <w:lang w:val="en-US"/>
              </w:rPr>
            </w:pPr>
            <w:r>
              <w:rPr>
                <w:rFonts w:hint="eastAsia" w:ascii="楷体" w:hAnsi="楷体" w:eastAsia="楷体" w:cs="楷体"/>
                <w:color w:val="auto"/>
                <w:sz w:val="18"/>
                <w:szCs w:val="18"/>
                <w:lang w:val="en-US" w:eastAsia="zh-CN"/>
              </w:rPr>
              <w:t>JS份额：1元/1元的整数倍</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val="en-US" w:eastAsia="zh-CN"/>
              </w:rPr>
              <w:t>2026年5月14日</w:t>
            </w:r>
            <w:r>
              <w:rPr>
                <w:rFonts w:hint="eastAsia" w:ascii="楷体" w:hAnsi="楷体" w:eastAsia="楷体" w:cs="楷体"/>
                <w:color w:val="auto"/>
                <w:spacing w:val="-2"/>
                <w:sz w:val="18"/>
                <w:szCs w:val="18"/>
              </w:rPr>
              <w:t>至</w:t>
            </w:r>
            <w:r>
              <w:rPr>
                <w:rFonts w:hint="eastAsia" w:ascii="楷体" w:hAnsi="楷体" w:eastAsia="楷体" w:cs="楷体"/>
                <w:color w:val="auto"/>
                <w:spacing w:val="-2"/>
                <w:sz w:val="18"/>
                <w:szCs w:val="18"/>
                <w:lang w:val="en-US" w:eastAsia="zh-CN"/>
              </w:rPr>
              <w:t>2026年5月20日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2026年5月21日。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2028年6月14日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755</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color w:val="0000FF"/>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default"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2.40%-2.80%；J份额：2.50%-2.90%；K份额：2.45%-2.85%；L份额：2.50%-2.90%；M份额：2.50%-2.90%；N份额：2.60%-3.00%；P份额：2.45%-2.85%；Z份额：2.65%-3.05%；JS份额：2.55%-2.95%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3"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0000FF"/>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0.15%；B份额：0.20%；C份额：0.15%；D份额：0.25%；E份额：0.15%；F份额：0.20%；G份额：0.30%；H份额：0.35%；J份额：0.15%；K份额：0.20%；L份额：0.30%；M份额：0.30%；N份额：0.05%；P份额：0.30%；Z份额：0.10%；JS份额：0.20%。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0.20%；B份额：0.20%；C份额：0.15%；D份额：0.15%；E份额：0.10%；F份额：0.15%；G份额：0.20%；H份额：0.15%；J份额：0.25%；K份额：0.25%；L份额：0.10%；M份额：0.10%；N份额：0.25%；P份额：0.15%；Z份额：0.15%；JS份额：0.15%。</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b/>
                <w:spacing w:val="-2"/>
                <w:sz w:val="18"/>
                <w:szCs w:val="18"/>
                <w:u w:val="single"/>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若产品各份额实际投资收益在扣除托管费、销售服务费、投资管理费等费用后超过各份额业绩比较基准下限，产品管理人将按照超出部分的50%收取超额业绩报酬</w:t>
            </w:r>
            <w:r>
              <w:rPr>
                <w:rFonts w:hint="eastAsia" w:ascii="楷体" w:hAnsi="楷体" w:eastAsia="楷体" w:cs="楷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highlight w:val="none"/>
          <w:u w:val="single"/>
          <w:lang w:val="en-US" w:eastAsia="zh-CN"/>
        </w:rPr>
        <w:t>江苏</w:t>
      </w:r>
      <w:r>
        <w:rPr>
          <w:rFonts w:hint="eastAsia" w:ascii="楷体" w:hAnsi="楷体" w:eastAsia="楷体" w:cs="楷体"/>
          <w:b/>
          <w:bCs/>
          <w:color w:val="auto"/>
          <w:sz w:val="21"/>
          <w:szCs w:val="21"/>
          <w:u w:val="single"/>
          <w:lang w:val="en-US" w:eastAsia="zh-CN"/>
        </w:rPr>
        <w:t>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color w:val="auto"/>
          <w:sz w:val="21"/>
          <w:szCs w:val="21"/>
          <w:u w:val="single"/>
          <w:lang w:val="en-US" w:eastAsia="zh-CN"/>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highlight w:val="none"/>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兑付责任，产品的投资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A份额：江苏银行股份有限公司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江苏姜堰农村商业银行股份有限公司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C份额：江苏银行股份有限公司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E份额：宁波通商银行股份有限公司/江苏银行股份有限公司/江苏常熟农村商业银行股份有限公司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F份额：威海银行股份有限公司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青岛银行股份有限公司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东营银行股份有限公司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齐鲁银行股份有限公司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宁夏银行股份有限公司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莱商银行股份有限公司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甘肃银行股份有限公司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秦皇岛银行股份有限公司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嘉兴银行股份有限公司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兰州银行股份有限公司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G份额：江苏常熟农村商业银行股份有限公司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J份额：浙江舟山普陀农村商业银行股份有限公司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浙江舟山定海海洋农村商业银行股份有限公司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浙江萧山农村商业银行股份有限公司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浙江文成农村商业银行股份有限公司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浙江温州瓯海农村商业银行股份有限公司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浙江温州龙湾农村商业银行股份有限公司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浙江桐乡农村商业银行股份有限公司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浙江绍兴瑞丰农村商业银行股份有限公司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浙江上虞农村商业银行股份有限公司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浙江青田农村商业银行股份有限公司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浙江乐清农村商业银行股份有限公司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浙江兰溪农村商业银行股份有限公司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浙江江山农村商业银行股份有限公司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浙江嘉善农村商业银行股份有限公司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浙江禾城农村商业银行股份有限公司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浙江德清农村商业银行股份有限公司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浙江岱山农村商业银行股份有限公司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浙江淳安农村商业银行股份有限公司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浙江平湖农村商业银行股份有限公司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浙江杭州余杭农村商业银行股份有限公司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湖州吴兴农村商业银行股份有限公司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杭州联合农村商业银行股份有限公司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浙江台州黄岩农村商业银行股份有限公司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K份额：浙江舟山定海海洋农村商业银行股份有限公司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浙江新昌农村商业银行股份有限公司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浙江武义农村商业银行股份有限公司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浙江衢州柯城农村商业银行股份有限公司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浙江平湖农村商业银行股份有限公司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浙江龙游农村商业银行股份有限公司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浙江海盐农村商业银行股份有限公司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浙江浦江农村商业银行股份有限公司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浙江海宁农村商业银行股份有限公司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浙江绍兴瑞丰农村商业银行股份有限公司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浙江绍兴恒信农村商业银行股份有限公司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浙江兰溪农村商业银行股份有限公司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L份额：湖北银行股份有限公司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晋商银行股份有限公司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东莞农村商业银行股份有限公司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江苏苏州农村商业银行股份有限公司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上海农村商业银行股份有限公司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w:t>
      </w:r>
      <w:r>
        <w:rPr>
          <w:rFonts w:hint="default" w:ascii="楷体" w:hAnsi="楷体" w:eastAsia="楷体" w:cs="楷体"/>
          <w:b w:val="0"/>
          <w:bCs w:val="0"/>
          <w:sz w:val="21"/>
          <w:szCs w:val="21"/>
          <w:highlight w:val="none"/>
          <w:u w:val="none"/>
          <w:lang w:val="en-US" w:eastAsia="zh-CN"/>
        </w:rPr>
        <w:t>份额：东莞农村商业银行股份有限公司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P份额：山西银行股份有限公司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广州农村商业银行股份有限公司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北京农村商业银行股份有限公司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江门农村商业银行股份有限公司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Z份额：郑州银行股份有限公司</w:t>
      </w:r>
      <w:r>
        <w:rPr>
          <w:rFonts w:hint="eastAsia" w:ascii="楷体" w:hAnsi="楷体" w:eastAsia="楷体" w:cs="楷体"/>
          <w:b w:val="0"/>
          <w:bCs w:val="0"/>
          <w:sz w:val="21"/>
          <w:szCs w:val="21"/>
          <w:highlight w:val="none"/>
          <w:u w:val="none"/>
          <w:lang w:val="en-US" w:eastAsia="zh-CN"/>
        </w:rPr>
        <w:t>/莱商银行股份有限公司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JS份额：江苏靖江农村商业银行股份有限公司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江苏姜堰农村商业银行股份有限公司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江苏江南农村商业银行股份有限公司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江苏江都农村商业银行股份有限公司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江苏建湖农村商业银行股份有限公司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江苏海门农村商业银行股份有限公司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江苏海安农村商业银行股份有限公司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江苏灌云农村商业银行股份有限公司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江苏灌南农村商业银行股份有限公司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江苏高邮农村商业银行股份有限公司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江苏赣榆农村商业银行股份有限公司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江苏阜宁农村商业银行股份有限公司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江苏丰县农村商业银行股份有限公司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江苏东台农村商业银行股份有限公司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江苏东海农村商业银行股份有限公司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江苏大丰农村商业银行股份有限公司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江苏宝应农村商业银行股份有限公司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徐州农村商业银行股份有限公司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连云港东方农村商业银行股份有限公司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江苏紫金农村商业银行股份有限公司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江苏镇江农村商业银行股份有限公司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江苏张家港农村商业银行股份有限公司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江苏仪征农村商业银行股份有限公司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江苏扬州农村商业银行股份有限公司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江苏扬中农村商业银行股份有限公司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江苏盐城农村商业银行股份有限公司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江苏新沂农村商业银行股份有限公司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江苏泰兴农村商业银行股份有限公司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江苏睢宁农村商业银行股份有限公司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江苏泗阳农村商业银行股份有限公司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江苏沭阳农村商业银行股份有限公司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江苏射阳农村商业银行股份有限公司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江苏如皋农村商业银行股份有限公司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江苏如东农村商业银行股份有限公司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江苏启东农村商业银行股份有限公司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江苏邳州农村商业银行股份有限公司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江苏沛县农村商业银行股份有限公司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江苏民丰农村商业银行股份有限公司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江苏溧水农村商业银行股份有限公司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江苏句容农村商业银行股份有限公司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江苏宜兴农村商业银行股份有限公司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江苏金湖农村商业银行股份有限公司/江苏太仓农村商业银行股份有限公司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default" w:ascii="楷体" w:hAnsi="楷体" w:eastAsia="楷体" w:cs="楷体"/>
          <w:color w:val="auto"/>
          <w:sz w:val="21"/>
          <w:szCs w:val="21"/>
          <w:lang w:val="en-US" w:eastAsia="zh-CN"/>
        </w:rPr>
      </w:pPr>
      <w:r>
        <w:rPr>
          <w:rFonts w:hint="eastAsia" w:ascii="楷体" w:hAnsi="楷体" w:eastAsia="楷体"/>
          <w:color w:val="auto"/>
          <w:sz w:val="21"/>
          <w:szCs w:val="21"/>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本产品计划配置以下备选非标准化债权类资产：</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同业借款：融资人为中国中信金融资产管理股份有限公司。融资人经营正常，是依法成立的国有公司，主要股东为中国中信集团有限公司、财政局、中国融信私募基金有限公司，实际控制人为财政部。（4）同业借款：融资人为中国东方资产管理股份有限公司。融资人经营正常，是依法成立的国有公司，主要股东为中央汇金投资有限责任公司、全国社会保障基金理事会、中国电信集团有限公司，实际控制人为国务院。（5）同业借款：融资人为中国信达资产管理股份有限公司。融资人经营正常，是依法成立的国有公司，主要股东为中央汇金投资有限责任公司，实际控制人为国务院。（6）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7）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8）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9）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10）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11）收益凭证：融资人为华泰证券股份有限公司。融资人经营正常，是依法设立的持牌金融机构，主要股东为江苏省国信集团有限公司、香港中央结算（代理人）有限公司、江苏交通控股有限公司，无实际控制人。（12）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13）收益凭证：融资人为申万宏源证券有限公司。融资人经营正常，是依法设立的持牌金融机构，主要股东为申万宏源集团股份有限公司，实际控制人为中央汇金投资有限责任公司。（14）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15）收益凭证：融资人为浙商证券股份有限公司。融资人经营正常，是依法设立的持牌金融机构，主要股东为浙江上三高速公路有限公司、台州市金融投资集团有限公司，实际控制人为浙江省交通投资集团有限公司。（16）收益凭证：融资人为国投证券股份有限公司。融资人经营正常，是依法设立的持牌金融机构，主要股东为国投资本股份有限公司、上海毅胜投资有限公司，实际控制人为国家开发投资集团有限公司。（17）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18）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19）收益凭证：融资人为兴业证券股份有限公司。融资人经营正常，是依法设立的持牌金融机构，主要股东为福建省财政厅、福建省投资开发集团有限责任公司、上海申新（集团）有限公司，实际控制人为福建省财政厅。（20）收益凭证：融资人为财通证券股份有限公司。融资人经营正常，是依法设立的持牌金融机构，主要股东为浙江省创新投资集团有限公司、浙江省财开集团有限公司、台州市金融投资集团有限公司，实际控制人为浙江省财政厅。（21）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22）收益凭证：融资人为东海证券股份有限公司。融资人经营正常，是依法设立的持牌金融机构，主要股东为常州投资集团有限公司、山东金控资本管理有限公司，实际控制人为常州投资集团有限公司。（23）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24）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25）收益凭证：融资人为长城证券股份有限公司。融资人经营正常，是依法设立的持牌金融机构，主要股东为华能资本服务有限公司、深圳新江南投资有限公司、深圳能源集团股份有限公司，实际控制人为中央汇金投资有限责任公司。（26）收益凭证：融资人为广发证券股份有限公司。融资人经营正常，是依法设立的持牌金融机构，主要股东为香港中央结算（代理人）有限公司、吉林敖东药业集团股份有限公司、辽宁成大股份有限公司，无实际控制人。（27）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28）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lang w:val="en-US" w:eastAsia="zh-CN"/>
        </w:rPr>
        <w:t>上述</w:t>
      </w:r>
      <w:r>
        <w:rPr>
          <w:rFonts w:ascii="楷体" w:hAnsi="楷体" w:eastAsia="楷体" w:cs="楷体"/>
          <w:sz w:val="20"/>
        </w:rPr>
        <w:t>资产到期日不超过理财产品到期日，循环期不还本、摊还期过手摊还本息。</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1.本理财产品投资于单只证券或单只公募证券投资基金的市值不超过本产品净资产的10%。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3.管理人全部产品持有单一上市公司发行的股票，不得超过该上市公司可流通股票的30%。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针对上述1、2、3项，非因管理人主观因素致使不符合前述比例限制的，管理人将在流动性受限资产可出售、可转让或者恢复交易的10个交易日内调整至符合相关要求。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w:t>
      </w:r>
      <w:r>
        <w:rPr>
          <w:rFonts w:hint="eastAsia" w:ascii="楷体" w:hAnsi="楷体" w:eastAsia="楷体" w:cs="楷体"/>
          <w:color w:val="auto"/>
          <w:sz w:val="21"/>
          <w:szCs w:val="21"/>
          <w:highlight w:val="none"/>
          <w:lang w:val="en-US" w:eastAsia="zh-CN"/>
        </w:rPr>
        <w:t>200%。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highlight w:val="none"/>
          <w:lang w:val="en-US" w:eastAsia="zh-CN"/>
        </w:rPr>
        <w:t>在</w:t>
      </w:r>
      <w:r>
        <w:rPr>
          <w:rFonts w:hint="eastAsia" w:ascii="楷体" w:hAnsi="楷体" w:eastAsia="楷体" w:cs="楷体"/>
          <w:b w:val="0"/>
          <w:bCs w:val="0"/>
          <w:color w:val="auto"/>
          <w:sz w:val="21"/>
          <w:szCs w:val="21"/>
          <w:highlight w:val="none"/>
        </w:rPr>
        <w:t>不可抗力、法律法规规定或监管部门认定的其他情形</w:t>
      </w:r>
      <w:r>
        <w:rPr>
          <w:rFonts w:hint="eastAsia" w:ascii="楷体" w:hAnsi="楷体" w:eastAsia="楷体" w:cs="楷体"/>
          <w:b w:val="0"/>
          <w:bCs w:val="0"/>
          <w:color w:val="auto"/>
          <w:sz w:val="21"/>
          <w:szCs w:val="21"/>
          <w:highlight w:val="none"/>
          <w:lang w:val="en-US" w:eastAsia="zh-CN"/>
        </w:rPr>
        <w:t>下</w:t>
      </w:r>
      <w:r>
        <w:rPr>
          <w:rFonts w:hint="eastAsia" w:ascii="楷体" w:hAnsi="楷体" w:eastAsia="楷体" w:cs="楷体"/>
          <w:b w:val="0"/>
          <w:bCs w:val="0"/>
          <w:color w:val="auto"/>
          <w:sz w:val="21"/>
          <w:szCs w:val="21"/>
          <w:highlight w:val="none"/>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9"/>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9"/>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4"/>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rPr>
      </w:pPr>
      <w:bookmarkStart w:id="1" w:name="_GoBack"/>
      <w:bookmarkEnd w:id="1"/>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3"/>
  </w:num>
  <w:num w:numId="7">
    <w:abstractNumId w:val="9"/>
  </w:num>
  <w:num w:numId="8">
    <w:abstractNumId w:val="11"/>
  </w:num>
  <w:num w:numId="9">
    <w:abstractNumId w:val="14"/>
  </w:num>
  <w:num w:numId="10">
    <w:abstractNumId w:val="6"/>
  </w:num>
  <w:num w:numId="11">
    <w:abstractNumId w:val="5"/>
  </w:num>
  <w:num w:numId="12">
    <w:abstractNumId w:val="10"/>
  </w:num>
  <w:num w:numId="13">
    <w:abstractNumId w:val="4"/>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A6F66"/>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5F2E84"/>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0393"/>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6755F"/>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173CCE"/>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C6ED1"/>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64164A"/>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904AC"/>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35113"/>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31148"/>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36AE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BF44C4"/>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A84334"/>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14D7D"/>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57624"/>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AC5CEC"/>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0969F3"/>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47FAB"/>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012D7"/>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DC58F6"/>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3C4843"/>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92055"/>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E9091E"/>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7646B"/>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517E"/>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3A1C03"/>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72EE0"/>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1365B"/>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923CA"/>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894808"/>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1F11FE"/>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84A1A"/>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B2919"/>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2E48E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5F3E59"/>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D411A"/>
    <w:rsid w:val="60AE54C3"/>
    <w:rsid w:val="60AF33AD"/>
    <w:rsid w:val="60BF2F8F"/>
    <w:rsid w:val="60C00554"/>
    <w:rsid w:val="60C517C4"/>
    <w:rsid w:val="60C773AA"/>
    <w:rsid w:val="60D14602"/>
    <w:rsid w:val="60D567E5"/>
    <w:rsid w:val="60DF12F6"/>
    <w:rsid w:val="60E42077"/>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43A2E"/>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506F9"/>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0979D9"/>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3E58E6"/>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C6CB0"/>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DFF7EF9"/>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F0EF3"/>
    <w:rsid w:val="6E7004E5"/>
    <w:rsid w:val="6E7A2651"/>
    <w:rsid w:val="6E7B361D"/>
    <w:rsid w:val="6E8C65B7"/>
    <w:rsid w:val="6E9F1975"/>
    <w:rsid w:val="6EAE3DA2"/>
    <w:rsid w:val="6EB8360B"/>
    <w:rsid w:val="6EC4312C"/>
    <w:rsid w:val="6EDE21EB"/>
    <w:rsid w:val="6EE55B90"/>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7F510C"/>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AB5A01"/>
    <w:rsid w:val="73B20910"/>
    <w:rsid w:val="73BD69AD"/>
    <w:rsid w:val="73C121B9"/>
    <w:rsid w:val="73C91E6F"/>
    <w:rsid w:val="73CB59CA"/>
    <w:rsid w:val="73D74517"/>
    <w:rsid w:val="73DA730C"/>
    <w:rsid w:val="73DF7BFD"/>
    <w:rsid w:val="73E32D7C"/>
    <w:rsid w:val="73E647D0"/>
    <w:rsid w:val="73E814A3"/>
    <w:rsid w:val="73F15747"/>
    <w:rsid w:val="73F80AC3"/>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9C1736"/>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2026-05-09T01:16:52Z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