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兴银理财【天天万利宝稳利净值型】理财产品</w:t>
      </w:r>
    </w:p>
    <w:permEnd w:id="0"/>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2026</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"_Toc176181112"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_Toc176181112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"_Toc176181113"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_Toc176181113 \h </w:instrText>
          </w:r>
          <w:r>
            <w:fldChar w:fldCharType="separate"/>
          </w:r>
          <w:r>
            <w:t>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"_Toc176181114"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_Toc176181114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"_Toc176181115"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_Toc176181115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"_Toc176181116"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_Toc176181116 \h </w:instrText>
          </w:r>
          <w:r>
            <w:fldChar w:fldCharType="separate"/>
          </w:r>
          <w:r>
            <w:t>23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"_Toc176181117"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_Toc176181117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"_Toc176181118"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_Toc176181118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"_Toc176181119"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_Toc176181119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"_Toc176181120"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_Toc176181120 \h </w:instrText>
          </w:r>
          <w:r>
            <w:fldChar w:fldCharType="separate"/>
          </w:r>
          <w:r>
            <w:t>32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"_Toc176181121"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_Toc176181121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"_Toc176181122"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_Toc176181122 \h </w:instrText>
          </w:r>
          <w:r>
            <w:fldChar w:fldCharType="separate"/>
          </w:r>
          <w:r>
            <w:t>37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"_Toc176181123"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_Toc176181123 \h </w:instrText>
          </w:r>
          <w:r>
            <w:fldChar w:fldCharType="separate"/>
          </w:r>
          <w:r>
            <w:t>40</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1112"/>
      <w:bookmarkStart w:id="2" w:name="_Toc116984884"/>
      <w:bookmarkStart w:id="3"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兴银理财【天天万利宝稳利净值型】理财产品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兴银理财【天天万利宝稳利净值型】理财产品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兴银理财【天天万利宝稳利净值型】理财产品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兴银理财【天天万利宝稳利净值型】理财产品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兴银理财【天天万利宝稳利净值型】理财产品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兴银理财【天天万利宝稳利净值型】理财产品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兴银理财【天天万利宝稳利净值型】理财产品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兴银理财【天天万利宝稳利净值型】理财产品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兴银理财【天天万利宝稳利净值型】理财产品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4" w:name="_Toc176181113"/>
      <w:bookmarkStart w:id="5" w:name="_Toc92377131"/>
      <w:bookmarkStart w:id="6" w:name="_Toc79154665"/>
      <w:bookmarkStart w:id="7" w:name="_Toc116984885"/>
      <w:r>
        <w:rPr>
          <w:rFonts w:hint="eastAsia" w:hAnsi="宋体"/>
          <w:sz w:val="28"/>
          <w:szCs w:val="28"/>
        </w:rPr>
        <w:t>第二条  理财产品基本情况</w:t>
      </w:r>
      <w:bookmarkEnd w:id="4"/>
      <w:bookmarkEnd w:id="5"/>
      <w:bookmarkEnd w:id="6"/>
      <w:r>
        <w:rPr>
          <w:rFonts w:hint="eastAsia" w:hAnsi="宋体"/>
          <w:sz w:val="28"/>
          <w:szCs w:val="28"/>
        </w:rPr>
        <w:t xml:space="preserve"> </w:t>
      </w:r>
      <w:bookmarkEnd w:id="7"/>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宋体" w:hAnsi="宋体"/>
                <w:bCs/>
                <w:sz w:val="18"/>
                <w:szCs w:val="18"/>
              </w:rPr>
              <w:t>兴业银行天天万利宝稳利2号净值型理财产品</w:t>
            </w:r>
            <w:r>
              <w:rPr>
                <w:rFonts w:hint="eastAsia" w:ascii="宋体" w:hAnsi="宋体"/>
                <w:bCs/>
                <w:sz w:val="18"/>
                <w:szCs w:val="18"/>
                <w:lang w:val="en-US" w:eastAsia="zh-CN"/>
              </w:rPr>
              <w:t>F</w:t>
            </w:r>
            <w:r>
              <w:rPr>
                <w:rFonts w:hint="eastAsia" w:ascii="宋体" w:hAnsi="宋体"/>
                <w:bCs/>
                <w:sz w:val="18"/>
                <w:szCs w:val="18"/>
              </w:rPr>
              <w:t>款</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6个月B】</w:t>
            </w:r>
            <w:r>
              <w:rPr>
                <w:rFonts w:hint="eastAsia" w:ascii="宋体" w:hAnsi="宋体"/>
                <w:bCs/>
                <w:color w:val="000000" w:themeColor="text1"/>
                <w:sz w:val="18"/>
                <w:szCs w:val="18"/>
                <w14:textFill>
                  <w14:solidFill>
                    <w14:schemeClr w14:val="tx1"/>
                  </w14:solidFill>
                </w14:textFill>
              </w:rPr>
              <w:t>（适用【B】类份额）</w:t>
            </w:r>
          </w:p>
          <w:p>
            <w:pPr>
              <w:widowControl/>
              <w:spacing w:line="360" w:lineRule="auto"/>
              <w:jc w:val="left"/>
              <w:rPr>
                <w:rFonts w:ascii="宋体" w:hAnsi="宋体"/>
                <w:kern w:val="0"/>
                <w:sz w:val="22"/>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w:t>
            </w:r>
            <w:r>
              <w:rPr>
                <w:rFonts w:ascii="宋体" w:hAnsi="宋体"/>
                <w:bCs/>
                <w:sz w:val="18"/>
                <w:szCs w:val="18"/>
              </w:rPr>
              <w:t>（</w:t>
            </w:r>
            <w:r>
              <w:rPr>
                <w:rFonts w:hint="eastAsia" w:ascii="宋体" w:hAnsi="宋体"/>
                <w:bCs/>
                <w:sz w:val="18"/>
                <w:szCs w:val="18"/>
              </w:rPr>
              <w:t>惠享款）】</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Z700202000002</w:t>
            </w:r>
            <w:r>
              <w:rPr>
                <w:rFonts w:hint="eastAsia" w:ascii="宋体" w:hAnsi="宋体"/>
                <w:bCs/>
                <w:sz w:val="18"/>
                <w:szCs w:val="18"/>
                <w:lang w:val="en-US" w:eastAsia="zh-CN"/>
              </w:rPr>
              <w:t>3</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9K2180</w:t>
            </w:r>
            <w:r>
              <w:rPr>
                <w:rFonts w:hint="eastAsia" w:ascii="宋体" w:hAnsi="宋体"/>
                <w:bCs/>
                <w:color w:val="000000" w:themeColor="text1"/>
                <w:sz w:val="18"/>
                <w:szCs w:val="18"/>
                <w:lang w:val="en-US" w:eastAsia="zh-CN"/>
                <w14:textFill>
                  <w14:solidFill>
                    <w14:schemeClr w14:val="tx1"/>
                  </w14:solidFill>
                </w14:textFill>
              </w:rPr>
              <w:t>33</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【9K2180</w:t>
            </w:r>
            <w:r>
              <w:rPr>
                <w:rFonts w:hint="eastAsia" w:ascii="宋体" w:hAnsi="宋体"/>
                <w:bCs/>
                <w:sz w:val="18"/>
                <w:szCs w:val="18"/>
                <w:lang w:val="en-US" w:eastAsia="zh-CN"/>
              </w:rPr>
              <w:t>33</w:t>
            </w:r>
            <w:r>
              <w:rPr>
                <w:rFonts w:hint="eastAsia" w:ascii="宋体" w:hAnsi="宋体"/>
                <w:bCs/>
                <w:sz w:val="18"/>
                <w:szCs w:val="18"/>
              </w:rPr>
              <w:t>】（适用【A】类份额）</w:t>
            </w:r>
          </w:p>
          <w:p>
            <w:pPr>
              <w:spacing w:line="360" w:lineRule="auto"/>
              <w:jc w:val="left"/>
              <w:rPr>
                <w:rFonts w:ascii="宋体" w:hAnsi="宋体"/>
                <w:bCs/>
                <w:sz w:val="18"/>
                <w:szCs w:val="18"/>
              </w:rPr>
            </w:pPr>
            <w:r>
              <w:rPr>
                <w:rFonts w:hint="eastAsia" w:ascii="宋体" w:hAnsi="宋体"/>
                <w:bCs/>
                <w:sz w:val="18"/>
                <w:szCs w:val="18"/>
              </w:rPr>
              <w:t>【9K2181</w:t>
            </w:r>
            <w:r>
              <w:rPr>
                <w:rFonts w:hint="eastAsia" w:ascii="宋体" w:hAnsi="宋体"/>
                <w:bCs/>
                <w:sz w:val="18"/>
                <w:szCs w:val="18"/>
                <w:lang w:val="en-US" w:eastAsia="zh-CN"/>
              </w:rPr>
              <w:t>33</w:t>
            </w:r>
            <w:r>
              <w:rPr>
                <w:rFonts w:hint="eastAsia" w:ascii="宋体" w:hAnsi="宋体"/>
                <w:bCs/>
                <w:sz w:val="18"/>
                <w:szCs w:val="18"/>
              </w:rPr>
              <w:t>】（适用【B】类份额）</w:t>
            </w:r>
          </w:p>
          <w:p>
            <w:pPr>
              <w:spacing w:line="360" w:lineRule="auto"/>
              <w:jc w:val="left"/>
              <w:rPr>
                <w:rFonts w:hAnsi="宋体"/>
                <w:sz w:val="18"/>
                <w:szCs w:val="18"/>
              </w:rPr>
            </w:pPr>
            <w:r>
              <w:rPr>
                <w:rFonts w:hint="eastAsia" w:ascii="宋体" w:hAnsi="宋体"/>
                <w:bCs/>
                <w:sz w:val="18"/>
                <w:szCs w:val="18"/>
              </w:rPr>
              <w:t>【9K2182</w:t>
            </w:r>
            <w:r>
              <w:rPr>
                <w:rFonts w:hint="eastAsia" w:ascii="宋体" w:hAnsi="宋体"/>
                <w:bCs/>
                <w:sz w:val="18"/>
                <w:szCs w:val="18"/>
                <w:lang w:val="en-US" w:eastAsia="zh-CN"/>
              </w:rPr>
              <w:t>33</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宋体" w:hAnsi="宋体"/>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w:t>
            </w:r>
            <w:r>
              <w:rPr>
                <w:rFonts w:hint="eastAsia" w:cs="Times New Roman" w:asciiTheme="minorEastAsia" w:hAnsiTheme="minorEastAsia"/>
                <w:sz w:val="18"/>
                <w:szCs w:val="18"/>
                <w:lang w:val="en-US" w:eastAsia="zh-CN"/>
              </w:rPr>
              <w:t>8</w:t>
            </w:r>
            <w:r>
              <w:rPr>
                <w:rFonts w:hint="eastAsia"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09</w:t>
            </w:r>
            <w:r>
              <w:rPr>
                <w:rFonts w:hint="eastAsia" w:cs="Times New Roman" w:asciiTheme="minorEastAsia" w:hAnsiTheme="minorEastAsia"/>
                <w:sz w:val="18"/>
                <w:szCs w:val="18"/>
              </w:rPr>
              <w:t>】日【11：00】至【201</w:t>
            </w:r>
            <w:r>
              <w:rPr>
                <w:rFonts w:hint="eastAsia" w:cs="Times New Roman" w:asciiTheme="minorEastAsia" w:hAnsiTheme="minorEastAsia"/>
                <w:sz w:val="18"/>
                <w:szCs w:val="18"/>
                <w:lang w:val="en-US" w:eastAsia="zh-CN"/>
              </w:rPr>
              <w:t>8</w:t>
            </w:r>
            <w:r>
              <w:rPr>
                <w:rFonts w:hint="eastAsia"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15</w:t>
            </w:r>
            <w:r>
              <w:rPr>
                <w:rFonts w:hint="eastAsia" w:cs="Times New Roman" w:asciiTheme="minorEastAsia" w:hAnsiTheme="minorEastAsia"/>
                <w:sz w:val="18"/>
                <w:szCs w:val="18"/>
              </w:rPr>
              <w:t>】日【15：45】</w:t>
            </w:r>
            <w:r>
              <w:rPr>
                <w:rFonts w:hint="eastAsia" w:cs="Times New Roman" w:asciiTheme="minorEastAsia" w:hAnsiTheme="minorEastAsia"/>
                <w:sz w:val="18"/>
                <w:szCs w:val="18"/>
                <w:lang w:val="en-US" w:eastAsia="zh-CN"/>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hint="eastAsia" w:ascii="宋体" w:hAnsi="宋体"/>
                <w:bCs/>
                <w:sz w:val="18"/>
                <w:szCs w:val="18"/>
              </w:rPr>
              <w:t>3.投资者认购资金实际扣划至管理人募集账户后，认购资金在认购期/募集期内产生的利息（如有）归投资者所有；投资者认购资金实际扣划至管理人募集账户前的计息规则，具体以销售机构实际情况为准。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cs="Times New Roman" w:asciiTheme="minorEastAsia" w:hAnsiTheme="minorEastAsia"/>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w:t>
            </w:r>
            <w:r>
              <w:rPr>
                <w:rFonts w:hint="eastAsia" w:cs="Times New Roman" w:asciiTheme="minorEastAsia" w:hAnsiTheme="minorEastAsia"/>
                <w:sz w:val="18"/>
                <w:szCs w:val="18"/>
                <w:lang w:val="en-US" w:eastAsia="zh-CN"/>
              </w:rPr>
              <w:t>8</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（2）每一个投资周期的期间：</w:t>
            </w:r>
            <w:r>
              <w:rPr>
                <w:rFonts w:asciiTheme="majorEastAsia" w:hAnsiTheme="majorEastAsia" w:eastAsiaTheme="majorEastAsia"/>
                <w:bCs/>
                <w:color w:val="000000" w:themeColor="text1"/>
                <w:sz w:val="18"/>
                <w:szCs w:val="18"/>
                <w14:textFill>
                  <w14:solidFill>
                    <w14:schemeClr w14:val="tx1"/>
                  </w14:solidFill>
                </w14:textFill>
              </w:rPr>
              <w:t>自</w:t>
            </w:r>
            <w:r>
              <w:rPr>
                <w:rFonts w:hint="eastAsia" w:asciiTheme="majorEastAsia" w:hAnsiTheme="majorEastAsia" w:eastAsiaTheme="majorEastAsia"/>
                <w:bCs/>
                <w:color w:val="000000" w:themeColor="text1"/>
                <w:sz w:val="18"/>
                <w:szCs w:val="18"/>
                <w14:textFill>
                  <w14:solidFill>
                    <w14:schemeClr w14:val="tx1"/>
                  </w14:solidFill>
                </w14:textFill>
              </w:rPr>
              <w:t>投资者持有理财产品份额的认购确认日或申购确认日起至持有该产品份额经历一个投资周期后的最近一个赎回确认日或产品终止日的期间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”所载明的时间计算为准。投资周期终止日如遇非工作日则产品管理人做相应调整。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hint="eastAsia" w:cs="Times New Roman" w:asciiTheme="minorEastAsia" w:hAnsiTheme="minorEastAsia"/>
                <w:sz w:val="18"/>
                <w:szCs w:val="18"/>
              </w:rPr>
            </w:pPr>
            <w:r>
              <w:rPr>
                <w:rFonts w:hint="eastAsia" w:cs="Times New Roman" w:asciiTheme="minorEastAsia" w:hAnsiTheme="minorEastAsia"/>
                <w:sz w:val="18"/>
                <w:szCs w:val="18"/>
              </w:rPr>
              <w:t>□预约申购期：【2026】年【0</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】日11:00至【2026】年【0</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】日17:00；投资周期【19</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□预约申购期：【2026】年【0</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】日11:00至【2026】年【0</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25</w:t>
            </w:r>
            <w:r>
              <w:rPr>
                <w:rFonts w:hint="eastAsia" w:cs="Times New Roman" w:asciiTheme="minorEastAsia" w:hAnsiTheme="minorEastAsia"/>
                <w:sz w:val="18"/>
                <w:szCs w:val="18"/>
              </w:rPr>
              <w:t>】日17:00；投资周期【189】天</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8" w:hRule="atLeast"/>
                <w:jc w:val="center"/>
              </w:trPr>
              <w:tc>
                <w:tcPr>
                  <w:tcW w:w="160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3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760"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本产品成立后可设置多个预约申购期。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预约赎回期：【2026】年【1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17</w:t>
            </w:r>
            <w:r>
              <w:rPr>
                <w:rFonts w:hint="eastAsia" w:asciiTheme="majorEastAsia" w:hAnsiTheme="majorEastAsia" w:eastAsiaTheme="majorEastAsia"/>
                <w:bCs/>
                <w:color w:val="000000" w:themeColor="text1"/>
                <w:sz w:val="18"/>
                <w:szCs w:val="18"/>
                <w14:textFill>
                  <w14:solidFill>
                    <w14:schemeClr w14:val="tx1"/>
                  </w14:solidFill>
                </w14:textFill>
              </w:rPr>
              <w:t>】日00:00至【2026】年【11】月【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30</w:t>
            </w:r>
            <w:r>
              <w:rPr>
                <w:rFonts w:hint="eastAsia" w:asciiTheme="majorEastAsia" w:hAnsiTheme="majorEastAsia" w:eastAsiaTheme="majorEastAsia"/>
                <w:bCs/>
                <w:color w:val="000000" w:themeColor="text1"/>
                <w:sz w:val="18"/>
                <w:szCs w:val="18"/>
                <w14:textFill>
                  <w14:solidFill>
                    <w14:schemeClr w14:val="tx1"/>
                  </w14:solidFill>
                </w14:textFill>
              </w:rPr>
              <w:t>】日1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7</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34"/>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6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5</w:t>
            </w:r>
            <w:r>
              <w:rPr>
                <w:rFonts w:hint="eastAsia" w:ascii="黑体" w:hAnsi="黑体" w:eastAsia="黑体" w:cs="黑体"/>
                <w:kern w:val="0"/>
                <w:sz w:val="18"/>
              </w:rPr>
              <w:t>】个工作日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0.01</w:t>
            </w:r>
            <w:r>
              <w:rPr>
                <w:rFonts w:hint="eastAsia" w:asciiTheme="minorEastAsia" w:hAnsiTheme="minorEastAsia" w:eastAsiaTheme="minorEastAsia"/>
                <w:color w:val="auto"/>
                <w:sz w:val="18"/>
                <w:szCs w:val="18"/>
              </w:rPr>
              <w:t>】。受理财利益分配去尾规则的影响，投资者持有产品份额较低时可能无法取得利益。巨额赎回情景发生时，投资者的可赎回份额需要根据巨额赎回规则确定。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Cs/>
                <w:sz w:val="18"/>
                <w:szCs w:val="18"/>
              </w:rPr>
            </w:pPr>
            <w:r>
              <w:rPr>
                <w:rFonts w:hint="eastAsia" w:hAnsi="宋体"/>
                <w:bCs/>
                <w:sz w:val="18"/>
                <w:szCs w:val="18"/>
              </w:rPr>
              <w:t>（适用【</w:t>
            </w:r>
            <w:r>
              <w:rPr>
                <w:rFonts w:hint="eastAsia" w:asciiTheme="majorEastAsia" w:hAnsiTheme="majorEastAsia" w:eastAsiaTheme="majorEastAsia"/>
                <w:bCs/>
                <w:color w:val="000000" w:themeColor="text1"/>
                <w:sz w:val="18"/>
                <w:szCs w:val="18"/>
                <w14:textFill>
                  <w14:solidFill>
                    <w14:schemeClr w14:val="tx1"/>
                  </w14:solidFill>
                </w14:textFill>
              </w:rPr>
              <w:t>A</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宋体" w:hAnsi="宋体"/>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1.</w:t>
            </w:r>
            <w:r>
              <w:rPr>
                <w:rFonts w:hint="eastAsia" w:ascii="宋体" w:hAnsi="宋体"/>
                <w:bCs/>
                <w:sz w:val="18"/>
                <w:szCs w:val="18"/>
                <w:lang w:val="en-US" w:eastAsia="zh-CN"/>
              </w:rPr>
              <w:t>20</w:t>
            </w:r>
            <w:r>
              <w:rPr>
                <w:rFonts w:hint="eastAsia" w:ascii="宋体" w:hAnsi="宋体"/>
                <w:bCs/>
                <w:sz w:val="18"/>
                <w:szCs w:val="18"/>
              </w:rPr>
              <w:t>%-</w:t>
            </w:r>
            <w:r>
              <w:rPr>
                <w:rFonts w:hint="eastAsia" w:ascii="宋体" w:hAnsi="宋体"/>
                <w:bCs/>
                <w:sz w:val="18"/>
                <w:szCs w:val="18"/>
                <w:lang w:val="en-US" w:eastAsia="zh-CN"/>
              </w:rPr>
              <w:t>1.80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10</w:t>
            </w:r>
            <w:r>
              <w:rPr>
                <w:rFonts w:hint="eastAsia" w:ascii="宋体" w:hAnsi="宋体"/>
                <w:bCs/>
                <w:sz w:val="18"/>
                <w:szCs w:val="18"/>
              </w:rPr>
              <w:t>%-</w:t>
            </w:r>
            <w:r>
              <w:rPr>
                <w:rFonts w:hint="eastAsia" w:ascii="宋体" w:hAnsi="宋体"/>
                <w:bCs/>
                <w:sz w:val="18"/>
                <w:szCs w:val="18"/>
                <w:lang w:val="en-US" w:eastAsia="zh-CN"/>
              </w:rPr>
              <w:t>1.70</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25</w:t>
            </w:r>
            <w:r>
              <w:rPr>
                <w:rFonts w:hint="eastAsia" w:ascii="宋体" w:hAnsi="宋体"/>
                <w:bCs/>
                <w:sz w:val="18"/>
                <w:szCs w:val="18"/>
              </w:rPr>
              <w:t>%-</w:t>
            </w:r>
            <w:r>
              <w:rPr>
                <w:rFonts w:hint="eastAsia" w:ascii="宋体" w:hAnsi="宋体"/>
                <w:bCs/>
                <w:sz w:val="18"/>
                <w:szCs w:val="18"/>
                <w:lang w:val="en-US" w:eastAsia="zh-CN"/>
              </w:rPr>
              <w:t>1</w:t>
            </w:r>
            <w:r>
              <w:rPr>
                <w:rFonts w:ascii="宋体" w:hAnsi="宋体"/>
                <w:bCs/>
                <w:sz w:val="18"/>
                <w:szCs w:val="18"/>
              </w:rPr>
              <w:t>.</w:t>
            </w:r>
            <w:r>
              <w:rPr>
                <w:rFonts w:hint="eastAsia" w:ascii="宋体" w:hAnsi="宋体"/>
                <w:bCs/>
                <w:sz w:val="18"/>
                <w:szCs w:val="18"/>
                <w:lang w:val="en-US" w:eastAsia="zh-CN"/>
              </w:rPr>
              <w:t>85</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按照本产品说明书“理财产品的信息披露”条款约定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asciiTheme="majorEastAsia" w:hAnsiTheme="majorEastAsia" w:eastAsiaTheme="majorEastAsia"/>
                <w:bCs/>
                <w:color w:val="000000" w:themeColor="text1"/>
                <w:sz w:val="18"/>
                <w:szCs w:val="18"/>
                <w14:textFill>
                  <w14:solidFill>
                    <w14:schemeClr w14:val="tx1"/>
                  </w14:solidFill>
                </w14:textFill>
              </w:rPr>
              <w:t>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cs="黑体"/>
                <w:sz w:val="18"/>
              </w:rPr>
            </w:pPr>
            <w:r>
              <w:rPr>
                <w:rFonts w:hint="eastAsia" w:ascii="黑体" w:hAnsi="黑体" w:eastAsia="黑体" w:cs="黑体"/>
                <w:sz w:val="18"/>
              </w:rPr>
              <w:t>A类份额：年化费率【0.40%】；</w:t>
            </w:r>
          </w:p>
          <w:p>
            <w:pPr>
              <w:spacing w:line="360" w:lineRule="auto"/>
              <w:rPr>
                <w:rFonts w:hint="eastAsia" w:ascii="黑体" w:hAnsi="黑体" w:eastAsia="黑体" w:cs="黑体"/>
                <w:sz w:val="18"/>
              </w:rPr>
            </w:pPr>
            <w:r>
              <w:rPr>
                <w:rFonts w:hint="eastAsia" w:ascii="黑体" w:hAnsi="黑体" w:eastAsia="黑体" w:cs="黑体"/>
                <w:sz w:val="18"/>
              </w:rPr>
              <w:t>B类份额：年化费率【0.30%】；</w:t>
            </w:r>
          </w:p>
          <w:p>
            <w:pPr>
              <w:spacing w:line="360" w:lineRule="auto"/>
              <w:rPr>
                <w:rFonts w:hint="eastAsia" w:ascii="黑体" w:hAnsi="黑体" w:eastAsia="黑体" w:cs="黑体"/>
                <w:sz w:val="18"/>
              </w:rPr>
            </w:pPr>
            <w:r>
              <w:rPr>
                <w:rFonts w:hint="eastAsia" w:ascii="黑体" w:hAnsi="黑体" w:eastAsia="黑体" w:cs="黑体"/>
                <w:sz w:val="18"/>
              </w:rPr>
              <w:t>C类份额：年化费率【0.35%】；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0.20%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6）产品托管费：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7）超额业绩报酬：</w:t>
            </w:r>
          </w:p>
          <w:p>
            <w:pPr>
              <w:widowControl/>
              <w:spacing w:line="360" w:lineRule="auto"/>
              <w:jc w:val="left"/>
              <w:rPr>
                <w:rFonts w:hint="eastAsia" w:ascii="黑体" w:hAnsi="黑体" w:eastAsia="黑体" w:cs="黑体"/>
                <w:sz w:val="18"/>
                <w:szCs w:val="18"/>
              </w:rPr>
            </w:pPr>
            <w:r>
              <w:rPr>
                <w:rFonts w:hint="eastAsia" w:ascii="黑体" w:hAnsi="黑体" w:eastAsia="黑体" w:cs="黑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黑体" w:hAnsi="黑体" w:eastAsia="黑体" w:cs="黑体"/>
                <w:sz w:val="18"/>
                <w:szCs w:val="18"/>
                <w:lang w:val="en-US" w:eastAsia="zh-CN"/>
              </w:rPr>
              <w:t>50%</w:t>
            </w:r>
            <w:r>
              <w:rPr>
                <w:rFonts w:hint="eastAsia" w:ascii="黑体" w:hAnsi="黑体" w:eastAsia="黑体" w:cs="黑体"/>
                <w:sz w:val="18"/>
                <w:szCs w:val="18"/>
              </w:rPr>
              <w:t>】作为超额业绩报酬。</w:t>
            </w:r>
          </w:p>
          <w:p>
            <w:pPr>
              <w:spacing w:line="360" w:lineRule="auto"/>
              <w:rPr>
                <w:rFonts w:hint="eastAsia"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8" w:name="_Toc176181114"/>
      <w:bookmarkStart w:id="9" w:name="_Toc116984886"/>
      <w:bookmarkStart w:id="10" w:name="_Toc79154666"/>
      <w:bookmarkStart w:id="11" w:name="_Toc92377132"/>
      <w:r>
        <w:rPr>
          <w:rFonts w:ascii="Times New Roman"/>
          <w:sz w:val="30"/>
        </w:rPr>
        <w:t>第</w:t>
      </w:r>
      <w:r>
        <w:rPr>
          <w:rFonts w:hint="eastAsia" w:ascii="Times New Roman"/>
          <w:sz w:val="30"/>
        </w:rPr>
        <w:t>三条</w:t>
      </w:r>
      <w:r>
        <w:rPr>
          <w:rFonts w:ascii="Times New Roman"/>
          <w:sz w:val="30"/>
        </w:rPr>
        <w:t xml:space="preserve">  </w:t>
      </w:r>
      <w:bookmarkStart w:id="12" w:name="_Toc79392573"/>
      <w:r>
        <w:rPr>
          <w:rFonts w:hint="eastAsia" w:ascii="Times New Roman"/>
          <w:sz w:val="30"/>
        </w:rPr>
        <w:t>理财产品的认购</w:t>
      </w:r>
      <w:bookmarkEnd w:id="8"/>
      <w:bookmarkEnd w:id="9"/>
      <w:bookmarkEnd w:id="10"/>
      <w:bookmarkEnd w:id="11"/>
    </w:p>
    <w:p>
      <w:pPr>
        <w:spacing w:line="360" w:lineRule="auto"/>
        <w:ind w:firstLine="361" w:firstLineChars="200"/>
        <w:outlineLvl w:val="1"/>
        <w:rPr>
          <w:rFonts w:asciiTheme="minorEastAsia" w:hAnsiTheme="minorEastAsia"/>
          <w:b/>
          <w:bCs/>
          <w:sz w:val="18"/>
          <w:szCs w:val="18"/>
        </w:rPr>
      </w:pPr>
      <w:bookmarkStart w:id="13" w:name="_Hlt88031774"/>
      <w:bookmarkEnd w:id="13"/>
      <w:bookmarkStart w:id="14" w:name="_Hlt88031741"/>
      <w:r>
        <w:rPr>
          <w:rFonts w:hint="eastAsia" w:asciiTheme="minorEastAsia" w:hAnsiTheme="minorEastAsia"/>
          <w:b/>
          <w:bCs/>
          <w:sz w:val="18"/>
          <w:szCs w:val="18"/>
        </w:rPr>
        <w:t>（一）理财产品的认购</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认购期/募集期内投资者可提交认购申请。提交认购申请并不代表认购成功，产品管理人将在认购确认日确认投资者是否认购成功，是否成功以管理人的确认结果为准。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5" w:name="_Toc176181115"/>
      <w:bookmarkStart w:id="16" w:name="_Toc92377133"/>
      <w:bookmarkStart w:id="17" w:name="_Toc79154667"/>
      <w:bookmarkStart w:id="18" w:name="_Toc11698488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5"/>
      <w:bookmarkEnd w:id="16"/>
      <w:bookmarkEnd w:id="17"/>
      <w:bookmarkEnd w:id="18"/>
    </w:p>
    <w:bookmarkEnd w:id="14"/>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bCs/>
          <w:kern w:val="0"/>
          <w:sz w:val="18"/>
          <w:szCs w:val="18"/>
        </w:rPr>
      </w:pPr>
      <w:r>
        <w:rPr>
          <w:rFonts w:hint="eastAsia" w:asciiTheme="minorEastAsia" w:hAnsiTheme="minorEastAsia"/>
          <w:bCs/>
          <w:kern w:val="0"/>
          <w:sz w:val="18"/>
          <w:szCs w:val="18"/>
        </w:rPr>
        <w:t>提交预约申购申请并不代表申购成功，产品管理人将在申购确认日确认投资者是否申购成功，是否成功以管理人的确认结果为准。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hint="eastAsia" w:asciiTheme="minorEastAsia" w:hAnsiTheme="minorEastAsia" w:eastAsiaTheme="minorEastAsia"/>
          <w:b/>
          <w:bCs/>
          <w:color w:val="auto"/>
          <w:sz w:val="18"/>
          <w:szCs w:val="18"/>
        </w:rPr>
      </w:pPr>
      <w:r>
        <w:rPr>
          <w:rFonts w:hint="eastAsia" w:asciiTheme="minorEastAsia" w:hAnsiTheme="minorEastAsia" w:eastAsiaTheme="minorEastAsia"/>
          <w:b/>
          <w:bCs/>
          <w:color w:val="auto"/>
          <w:sz w:val="18"/>
          <w:szCs w:val="18"/>
        </w:rPr>
        <w:t>9.申购确认日前申购资金利息的处理</w:t>
      </w:r>
    </w:p>
    <w:p>
      <w:pPr>
        <w:pStyle w:val="3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申购资金在实际扣划至管理人募集账户之日起至申购确认日期间的利息（如有）归投资者所有；申购资金实际扣划至管理人募集账户前的计息规则，具体以销售机构实际情况为准。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提交预约赎回申请并不代表赎回成功，产品管理人将在赎回确认日确认投资者是否赎回成功，是否成功以管理人的确认结果为准。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2"/>
    <w:p>
      <w:pPr>
        <w:pStyle w:val="2"/>
        <w:spacing w:before="0" w:after="0" w:line="360" w:lineRule="auto"/>
        <w:jc w:val="center"/>
        <w:rPr>
          <w:rFonts w:ascii="Times New Roman"/>
          <w:sz w:val="30"/>
        </w:rPr>
      </w:pPr>
      <w:bookmarkStart w:id="19" w:name="_Toc79154668"/>
      <w:bookmarkStart w:id="20" w:name="_Toc27189"/>
      <w:bookmarkStart w:id="21" w:name="_Toc90742688"/>
      <w:bookmarkStart w:id="22" w:name="_Toc116984888"/>
      <w:bookmarkStart w:id="23" w:name="_Toc27226"/>
      <w:bookmarkStart w:id="24" w:name="_Toc6714"/>
      <w:bookmarkStart w:id="25" w:name="_Toc3266"/>
      <w:bookmarkStart w:id="26" w:name="_Toc176181116"/>
      <w:bookmarkStart w:id="27" w:name="_Toc90742321"/>
      <w:bookmarkStart w:id="28" w:name="_Toc90742390"/>
      <w:bookmarkStart w:id="29" w:name="_Toc7151"/>
      <w:bookmarkStart w:id="30" w:name="_Toc22074"/>
      <w:bookmarkStart w:id="31" w:name="_Toc29948"/>
      <w:bookmarkStart w:id="32" w:name="_Toc92377134"/>
      <w:bookmarkStart w:id="33" w:name="_Toc29784"/>
      <w:bookmarkStart w:id="34" w:name="_Toc16265"/>
      <w:bookmarkStart w:id="35" w:name="_Toc74065741"/>
      <w:bookmarkStart w:id="36" w:name="_Toc15203"/>
      <w:bookmarkStart w:id="182" w:name="_GoBack"/>
      <w:bookmarkEnd w:id="182"/>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lang w:eastAsia="zh-CN"/>
        </w:rPr>
        <w:t>。</w:t>
      </w:r>
      <w:r>
        <w:rPr>
          <w:rFonts w:hint="eastAsia" w:asciiTheme="majorEastAsia" w:hAnsiTheme="majorEastAsia" w:eastAsiaTheme="majorEastAsia"/>
          <w:bCs/>
          <w:color w:val="auto"/>
          <w:sz w:val="18"/>
          <w:szCs w:val="18"/>
        </w:rPr>
        <w:t>】</w:t>
      </w:r>
      <w:permEnd w:id="14"/>
    </w:p>
    <w:p>
      <w:pPr>
        <w:pStyle w:val="34"/>
        <w:spacing w:line="360" w:lineRule="auto"/>
        <w:ind w:firstLine="361" w:firstLineChars="200"/>
        <w:outlineLvl w:val="1"/>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ermEnd w:id="15"/>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（3）国债期货、利率互换、债券借贷的合约价值占产品总资产比例不高于5%。</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outlineLvl w:val="1"/>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permStart w:id="18" w:edGrp="everyone"/>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 xml:space="preserve">。 </w:t>
      </w:r>
      <w:permEnd w:id="18"/>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outlineLvl w:val="1"/>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permStart w:id="19" w:edGrp="everyone"/>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9"/>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7" w:name="_Toc116984889"/>
      <w:bookmarkStart w:id="38" w:name="_Toc74065742"/>
      <w:bookmarkStart w:id="39" w:name="_Toc7848"/>
      <w:bookmarkStart w:id="40" w:name="_Toc26986"/>
      <w:bookmarkStart w:id="41" w:name="_Toc18797"/>
      <w:bookmarkStart w:id="42" w:name="_Toc1823"/>
      <w:bookmarkStart w:id="43" w:name="_Toc4741"/>
      <w:bookmarkStart w:id="44" w:name="_Toc176181117"/>
      <w:bookmarkStart w:id="45" w:name="_Toc92377135"/>
      <w:bookmarkStart w:id="46" w:name="_Toc18526"/>
      <w:bookmarkStart w:id="47" w:name="_Toc14893"/>
      <w:bookmarkStart w:id="48" w:name="_Toc139991735"/>
      <w:bookmarkStart w:id="49" w:name="_Toc21988"/>
      <w:bookmarkStart w:id="50" w:name="_Toc17912"/>
      <w:bookmarkStart w:id="51" w:name="_Toc141703885"/>
      <w:bookmarkStart w:id="52" w:name="_Toc79154669"/>
      <w:bookmarkStart w:id="53" w:name="_Toc18329"/>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34"/>
        <w:spacing w:line="360" w:lineRule="auto"/>
        <w:ind w:firstLine="361" w:firstLineChars="200"/>
        <w:outlineLvl w:val="1"/>
        <w:rPr>
          <w:rFonts w:asciiTheme="majorEastAsia" w:hAnsiTheme="majorEastAsia" w:eastAsiaTheme="majorEastAsia"/>
          <w:b/>
          <w:color w:val="auto"/>
          <w:sz w:val="18"/>
          <w:szCs w:val="18"/>
        </w:rPr>
      </w:pPr>
      <w:bookmarkStart w:id="54"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54"/>
    <w:p>
      <w:pPr>
        <w:pStyle w:val="2"/>
        <w:spacing w:before="0" w:after="0" w:line="360" w:lineRule="auto"/>
        <w:jc w:val="center"/>
        <w:rPr>
          <w:rFonts w:ascii="Times New Roman"/>
          <w:sz w:val="28"/>
          <w:szCs w:val="28"/>
        </w:rPr>
      </w:pPr>
      <w:bookmarkStart w:id="55" w:name="_Toc83391971"/>
      <w:bookmarkStart w:id="56" w:name="_Toc116984890"/>
      <w:bookmarkStart w:id="57" w:name="_Toc176181118"/>
      <w:bookmarkStart w:id="58" w:name="_Toc92377136"/>
      <w:bookmarkStart w:id="59" w:name="_Toc1427"/>
      <w:bookmarkStart w:id="60" w:name="_Toc98560352"/>
      <w:bookmarkStart w:id="61" w:name="_Toc79154670"/>
      <w:bookmarkStart w:id="62" w:name="_Toc20733"/>
      <w:bookmarkStart w:id="63" w:name="_Toc48649707"/>
      <w:bookmarkStart w:id="64" w:name="_Toc74065743"/>
      <w:bookmarkStart w:id="65" w:name="_Toc23261"/>
      <w:bookmarkStart w:id="66" w:name="_Toc7920"/>
      <w:bookmarkStart w:id="67" w:name="_Toc123051452"/>
      <w:bookmarkStart w:id="68" w:name="_Toc79392606"/>
      <w:bookmarkStart w:id="69" w:name="_Toc10463"/>
      <w:bookmarkStart w:id="70" w:name="_Toc610"/>
      <w:bookmarkStart w:id="71" w:name="_Toc1270"/>
      <w:bookmarkStart w:id="72" w:name="_Toc141703886"/>
      <w:bookmarkStart w:id="73" w:name="_Toc4003"/>
      <w:bookmarkStart w:id="74" w:name="_Toc23822"/>
      <w:bookmarkStart w:id="75" w:name="_Toc139991736"/>
      <w:bookmarkStart w:id="76" w:name="_Toc123112234"/>
      <w:bookmarkStart w:id="77" w:name="_Toc17244"/>
      <w:bookmarkStart w:id="78" w:name="_Toc12310245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55"/>
      <w:bookmarkEnd w:id="56"/>
      <w:bookmarkEnd w:id="57"/>
      <w:bookmarkEnd w:id="58"/>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w:t>
      </w:r>
      <w:r>
        <w:rPr>
          <w:rFonts w:hint="eastAsia" w:cs="Times New Roman" w:asciiTheme="minorEastAsia" w:hAnsiTheme="minorEastAsia" w:eastAsiaTheme="minorEastAsia"/>
          <w:sz w:val="18"/>
          <w:szCs w:val="18"/>
          <w:lang w:val="en-US" w:eastAsia="zh-CN"/>
        </w:rPr>
        <w:t>周</w:t>
      </w:r>
      <w:r>
        <w:rPr>
          <w:rFonts w:hint="eastAsia" w:cs="Times New Roman" w:asciiTheme="minorEastAsia" w:hAnsiTheme="minorEastAsia" w:eastAsiaTheme="minorEastAsia"/>
          <w:sz w:val="18"/>
          <w:szCs w:val="18"/>
        </w:rPr>
        <w:t>】进行一次估值。如遇产品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ermEnd w:id="20"/>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1）标准化债权类资产以公允价值计量，主要依据为第三方估值机构提供的价格数据。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hint="eastAsia" w:asciiTheme="majorEastAsia" w:hAnsiTheme="majorEastAsia" w:eastAsiaTheme="majorEastAsia"/>
          <w:bCs/>
          <w:sz w:val="18"/>
          <w:szCs w:val="18"/>
        </w:rPr>
        <w:t>对已发行但未上市流通，且第三方估值机构未提供估值数据的标准化债权类资产，采用当前情况下适用并且有足够可利用数据和其他信息支持的估值技术确定其公允价值。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sz w:val="18"/>
          <w:szCs w:val="18"/>
        </w:rPr>
        <w:t>对于同时在多个不同市场交易的标准化债权类资产，按照其所处的市场及相应的估值标准，分别进行估值。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4.上市公司股票</w:t>
      </w:r>
      <w:r>
        <w:rPr>
          <w:rFonts w:hint="eastAsia" w:asciiTheme="majorEastAsia" w:hAnsiTheme="majorEastAsia" w:eastAsiaTheme="majorEastAsia"/>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int="eastAsia"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6.</w:t>
      </w:r>
      <w:r>
        <w:rPr>
          <w:rFonts w:hint="eastAsia" w:asciiTheme="minorEastAsia" w:hAnsiTheme="minorEastAsia" w:eastAsiaTheme="minorEastAsia"/>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证券投资基金估值</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r>
        <w:rPr>
          <w:rFonts w:asciiTheme="minorEastAsia" w:hAnsiTheme="minorEastAsia" w:eastAsiaTheme="minorEastAsia"/>
          <w:color w:val="auto"/>
          <w:sz w:val="18"/>
          <w:szCs w:val="18"/>
        </w:rPr>
        <w:t>。</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8.</w:t>
      </w:r>
      <w:r>
        <w:rPr>
          <w:rFonts w:hint="eastAsia" w:asciiTheme="minorEastAsia" w:hAnsiTheme="minorEastAsia" w:eastAsiaTheme="minorEastAsia"/>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（2）对于非交易所交易的衍生金融工具，可依据第三方机构提供的价格数据或采取相应衍生金融工具估值模型确定公允价值。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10.</w:t>
      </w:r>
      <w:r>
        <w:rPr>
          <w:rFonts w:hint="eastAsia" w:asciiTheme="minorEastAsia" w:hAnsiTheme="minorEastAsia" w:eastAsiaTheme="minorEastAsia"/>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outlineLvl w:val="1"/>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1" w:firstLineChars="200"/>
        <w:outlineLvl w:val="1"/>
        <w:rPr>
          <w:rFonts w:ascii="黑体" w:hAnsi="黑体" w:eastAsia="黑体"/>
          <w:b/>
          <w:sz w:val="18"/>
          <w:szCs w:val="18"/>
        </w:rPr>
      </w:pPr>
      <w:r>
        <w:rPr>
          <w:rFonts w:hint="eastAsia" w:ascii="黑体" w:hAnsi="黑体" w:eastAsia="黑体"/>
          <w:b/>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Pr>
        <w:pStyle w:val="2"/>
        <w:spacing w:before="0" w:after="0" w:line="360" w:lineRule="auto"/>
        <w:ind w:left="60" w:firstLine="10"/>
        <w:jc w:val="center"/>
        <w:rPr>
          <w:rFonts w:ascii="Times New Roman"/>
          <w:sz w:val="30"/>
        </w:rPr>
      </w:pPr>
      <w:bookmarkStart w:id="79" w:name="_Hlt70481650"/>
      <w:bookmarkEnd w:id="79"/>
      <w:bookmarkStart w:id="80" w:name="_Toc79154671"/>
      <w:bookmarkStart w:id="81" w:name="_Toc29251"/>
      <w:bookmarkStart w:id="82" w:name="_Toc26207"/>
      <w:bookmarkStart w:id="83" w:name="_Toc92377137"/>
      <w:bookmarkStart w:id="84" w:name="_Toc14835"/>
      <w:bookmarkStart w:id="85" w:name="_Toc15143"/>
      <w:bookmarkStart w:id="86" w:name="_Toc31235"/>
      <w:bookmarkStart w:id="87" w:name="_Toc3601"/>
      <w:bookmarkStart w:id="88" w:name="_Toc12245"/>
      <w:bookmarkStart w:id="89" w:name="_Toc176181119"/>
      <w:bookmarkStart w:id="90" w:name="_Toc141703887"/>
      <w:bookmarkStart w:id="91" w:name="_Toc98560353"/>
      <w:bookmarkStart w:id="92" w:name="_Toc116984891"/>
      <w:bookmarkStart w:id="93" w:name="_Toc31653"/>
      <w:bookmarkStart w:id="94" w:name="_Toc31644"/>
      <w:bookmarkStart w:id="95" w:name="_Toc123102454"/>
      <w:bookmarkStart w:id="96" w:name="_Toc123051453"/>
      <w:bookmarkStart w:id="97" w:name="_Toc74065744"/>
      <w:bookmarkStart w:id="98" w:name="_Toc6405"/>
      <w:bookmarkStart w:id="99" w:name="_Toc123112235"/>
      <w:bookmarkStart w:id="100" w:name="_Toc139991737"/>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Hlt55355235"/>
      <w:bookmarkEnd w:id="101"/>
      <w:bookmarkStart w:id="102" w:name="_Toc57530239"/>
      <w:bookmarkStart w:id="103" w:name="_Toc523711668"/>
      <w:bookmarkStart w:id="104" w:name="_Toc79392580"/>
      <w:bookmarkStart w:id="105" w:name="_Toc15118234"/>
    </w:p>
    <w:p>
      <w:pPr>
        <w:pStyle w:val="34"/>
        <w:spacing w:line="360" w:lineRule="auto"/>
        <w:ind w:firstLine="361" w:firstLineChars="200"/>
        <w:outlineLvl w:val="1"/>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outlineLvl w:val="1"/>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outlineLvl w:val="1"/>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outlineLvl w:val="1"/>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02"/>
    <w:bookmarkEnd w:id="103"/>
    <w:bookmarkEnd w:id="104"/>
    <w:bookmarkEnd w:id="105"/>
    <w:p>
      <w:pPr>
        <w:pStyle w:val="2"/>
        <w:spacing w:before="0" w:after="0" w:line="360" w:lineRule="auto"/>
        <w:jc w:val="center"/>
        <w:rPr>
          <w:rFonts w:ascii="Times New Roman"/>
          <w:sz w:val="30"/>
        </w:rPr>
      </w:pPr>
      <w:bookmarkStart w:id="106" w:name="_Hlt88825574"/>
      <w:bookmarkEnd w:id="106"/>
      <w:bookmarkStart w:id="107" w:name="_Hlt88897298"/>
      <w:bookmarkEnd w:id="107"/>
      <w:bookmarkStart w:id="108" w:name="_Toc139991738"/>
      <w:bookmarkStart w:id="109" w:name="_Toc79392583"/>
      <w:bookmarkStart w:id="110" w:name="_Toc123051454"/>
      <w:bookmarkStart w:id="111" w:name="_Toc176181120"/>
      <w:bookmarkStart w:id="112" w:name="_Toc25783"/>
      <w:bookmarkStart w:id="113" w:name="_Toc6447"/>
      <w:bookmarkStart w:id="114" w:name="_Toc116984892"/>
      <w:bookmarkStart w:id="115" w:name="_Toc11030"/>
      <w:bookmarkStart w:id="116" w:name="_Toc18567"/>
      <w:bookmarkStart w:id="117" w:name="_Toc74065745"/>
      <w:bookmarkStart w:id="118" w:name="_Toc123112236"/>
      <w:bookmarkStart w:id="119" w:name="_Toc3321"/>
      <w:bookmarkStart w:id="120" w:name="_Toc10650"/>
      <w:bookmarkStart w:id="121" w:name="_Toc9706"/>
      <w:bookmarkStart w:id="122" w:name="_Toc79154672"/>
      <w:bookmarkStart w:id="123" w:name="_Toc3771"/>
      <w:bookmarkStart w:id="124" w:name="_Toc7058"/>
      <w:bookmarkStart w:id="125" w:name="_Toc92377138"/>
      <w:bookmarkStart w:id="126" w:name="_Toc98560354"/>
      <w:bookmarkStart w:id="127" w:name="_Toc141703888"/>
      <w:bookmarkStart w:id="128" w:name="_Toc123102455"/>
      <w:bookmarkStart w:id="129" w:name="_Toc4559"/>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34"/>
        <w:spacing w:line="360" w:lineRule="auto"/>
        <w:ind w:firstLine="361" w:firstLineChars="200"/>
        <w:outlineLvl w:val="1"/>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Style w:val="30"/>
          <w:rFonts w:hint="eastAsia" w:ascii="黑体" w:hAnsi="黑体" w:eastAsia="黑体" w:cs="黑体"/>
          <w:kern w:val="0"/>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pStyle w:val="34"/>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hint="eastAsia" w:ascii="黑体" w:hAnsi="黑体" w:eastAsia="黑体" w:cs="黑体"/>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r>
        <w:rPr>
          <w:rFonts w:hint="eastAsia" w:ascii="黑体" w:hAnsi="黑体" w:eastAsia="黑体" w:cs="黑体"/>
          <w:sz w:val="18"/>
          <w:szCs w:val="18"/>
        </w:rPr>
        <w:t>。</w:t>
      </w:r>
    </w:p>
    <w:permEnd w:id="23"/>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outlineLvl w:val="2"/>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（2）产品管理人有权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30" w:name="_Toc3963"/>
      <w:bookmarkStart w:id="131" w:name="_Toc1745"/>
      <w:r>
        <w:br w:type="page"/>
      </w:r>
      <w:bookmarkStart w:id="132" w:name="_Toc92377139"/>
      <w:bookmarkStart w:id="133" w:name="_Toc3572"/>
      <w:bookmarkStart w:id="134" w:name="_Toc123102456"/>
      <w:bookmarkStart w:id="135" w:name="_Toc79154673"/>
      <w:bookmarkStart w:id="136" w:name="_Toc18206"/>
      <w:bookmarkStart w:id="137" w:name="_Toc123051455"/>
      <w:bookmarkStart w:id="138" w:name="_Toc21735"/>
      <w:bookmarkStart w:id="139" w:name="_Toc3080"/>
      <w:bookmarkStart w:id="140" w:name="_Toc74065746"/>
      <w:bookmarkStart w:id="141" w:name="_Toc123112237"/>
      <w:bookmarkStart w:id="142" w:name="_Toc141703889"/>
      <w:bookmarkStart w:id="143" w:name="_Toc139991739"/>
      <w:bookmarkStart w:id="144" w:name="_Toc31821"/>
      <w:bookmarkStart w:id="145" w:name="_Toc98560355"/>
      <w:bookmarkStart w:id="146" w:name="_Toc116984893"/>
      <w:bookmarkStart w:id="147" w:name="_Toc725"/>
      <w:bookmarkStart w:id="148" w:name="_Toc10398"/>
      <w:bookmarkStart w:id="149" w:name="_Toc16164"/>
      <w:bookmarkStart w:id="150" w:name="_Toc176181121"/>
      <w:r>
        <w:rPr>
          <w:rFonts w:hint="eastAsia"/>
          <w:sz w:val="30"/>
        </w:rPr>
        <w:t>第十条</w:t>
      </w:r>
      <w:r>
        <w:rPr>
          <w:sz w:val="30"/>
        </w:rPr>
        <w:t xml:space="preserve">  </w:t>
      </w:r>
      <w:r>
        <w:rPr>
          <w:rFonts w:hint="eastAsia"/>
          <w:sz w:val="30"/>
        </w:rPr>
        <w:t>理财产品的终止与清算</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spacing w:line="360" w:lineRule="auto"/>
        <w:ind w:firstLine="361" w:firstLineChars="200"/>
        <w:outlineLvl w:val="1"/>
        <w:rPr>
          <w:rFonts w:asciiTheme="majorEastAsia" w:hAnsiTheme="majorEastAsia" w:eastAsiaTheme="majorEastAsia"/>
          <w:b/>
          <w:bCs/>
          <w:sz w:val="18"/>
          <w:szCs w:val="18"/>
        </w:rPr>
      </w:pPr>
      <w:bookmarkStart w:id="151" w:name="_Toc15118245"/>
      <w:bookmarkStart w:id="152" w:name="_Toc79392593"/>
      <w:bookmarkStart w:id="153" w:name="_Toc57530252"/>
      <w:r>
        <w:rPr>
          <w:rFonts w:hint="eastAsia" w:asciiTheme="majorEastAsia" w:hAnsiTheme="majorEastAsia" w:eastAsiaTheme="majorEastAsia"/>
          <w:b/>
          <w:bCs/>
          <w:sz w:val="18"/>
          <w:szCs w:val="18"/>
        </w:rPr>
        <w:t>（一）理财产品的终止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outlineLvl w:val="1"/>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51"/>
    <w:bookmarkEnd w:id="152"/>
    <w:bookmarkEnd w:id="15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5】个工作日内按投资者持有的理财产品份额比例向投资者进行再次分配。</w:t>
      </w:r>
    </w:p>
    <w:p>
      <w:pPr>
        <w:pStyle w:val="2"/>
        <w:spacing w:before="0" w:after="0" w:line="360" w:lineRule="auto"/>
        <w:jc w:val="center"/>
        <w:rPr>
          <w:rFonts w:ascii="Times New Roman"/>
          <w:sz w:val="18"/>
          <w:szCs w:val="18"/>
        </w:rPr>
      </w:pPr>
      <w:r>
        <w:rPr>
          <w:rFonts w:ascii="Times New Roman"/>
          <w:b w:val="0"/>
          <w:bCs w:val="0"/>
          <w:kern w:val="2"/>
        </w:rPr>
        <w:br w:type="page"/>
      </w:r>
      <w:bookmarkStart w:id="154" w:name="_Toc176181122"/>
      <w:bookmarkStart w:id="155" w:name="_Toc116984894"/>
      <w:bookmarkStart w:id="156" w:name="_Toc92377140"/>
      <w:bookmarkStart w:id="157" w:name="_Toc79154674"/>
      <w:bookmarkStart w:id="158" w:name="_Toc98560356"/>
      <w:bookmarkStart w:id="159" w:name="_Toc739"/>
      <w:bookmarkStart w:id="160" w:name="_Toc123051456"/>
      <w:bookmarkStart w:id="161" w:name="_Toc32584"/>
      <w:bookmarkStart w:id="162" w:name="_Toc17920"/>
      <w:bookmarkStart w:id="163" w:name="_Toc123112238"/>
      <w:bookmarkStart w:id="164" w:name="_Toc74065747"/>
      <w:bookmarkStart w:id="165" w:name="_Toc8791"/>
      <w:bookmarkStart w:id="166" w:name="_Toc29408"/>
      <w:bookmarkStart w:id="167" w:name="_Toc32092"/>
      <w:bookmarkStart w:id="168" w:name="_Toc17198"/>
      <w:bookmarkStart w:id="169" w:name="_Toc141703890"/>
      <w:bookmarkStart w:id="170" w:name="_Toc139991740"/>
      <w:bookmarkStart w:id="171" w:name="_Toc21237"/>
      <w:bookmarkStart w:id="172" w:name="_Toc5170"/>
      <w:bookmarkStart w:id="173" w:name="_Toc48649708"/>
      <w:bookmarkStart w:id="174" w:name="_Toc79392622"/>
      <w:bookmarkStart w:id="175" w:name="_Toc3329"/>
      <w:bookmarkStart w:id="176" w:name="_Toc123102457"/>
      <w:bookmarkStart w:id="177" w:name="_Toc83391975"/>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54"/>
      <w:bookmarkEnd w:id="155"/>
      <w:bookmarkEnd w:id="156"/>
    </w:p>
    <w:p>
      <w:pPr>
        <w:spacing w:line="360" w:lineRule="auto"/>
        <w:ind w:firstLine="361" w:firstLineChars="200"/>
        <w:outlineLvl w:val="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outlineLvl w:val="2"/>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outlineLvl w:val="2"/>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outlineLvl w:val="2"/>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outlineLvl w:val="2"/>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outlineLvl w:val="2"/>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outlineLvl w:val="2"/>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pPr>
        <w:spacing w:line="360" w:lineRule="auto"/>
        <w:ind w:firstLine="360" w:firstLineChars="200"/>
        <w:outlineLvl w:val="2"/>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78" w:name="_Toc176181123"/>
      <w:bookmarkStart w:id="179" w:name="_Toc116984895"/>
      <w:bookmarkStart w:id="180" w:name="_Toc79154675"/>
      <w:bookmarkStart w:id="181"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78"/>
      <w:bookmarkEnd w:id="179"/>
      <w:bookmarkEnd w:id="180"/>
      <w:bookmarkEnd w:id="181"/>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lang w:eastAsia="zh-CN"/>
        </w:rPr>
        <w:t>。</w:t>
      </w:r>
      <w:r>
        <w:rPr>
          <w:rFonts w:hint="eastAsia" w:ascii="宋体" w:hAnsi="宋体"/>
          <w:sz w:val="18"/>
          <w:szCs w:val="18"/>
        </w:rPr>
        <w:t>】</w:t>
      </w:r>
    </w:p>
    <w:permEnd w:id="25"/>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outlineLvl w:val="1"/>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outlineLvl w:val="1"/>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outlineLvl w:val="1"/>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outlineLvl w:val="1"/>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outlineLvl w:val="1"/>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outlineLvl w:val="1"/>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outlineLvl w:val="1"/>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outlineLvl w:val="1"/>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outlineLvl w:val="1"/>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outlineLvl w:val="1"/>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outlineLvl w:val="1"/>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rFonts w:hint="eastAsia" w:cs="Arial"/>
                <w:sz w:val="18"/>
                <w:szCs w:val="18"/>
              </w:rPr>
              <w:t>签</w:t>
            </w:r>
            <w:r>
              <w:rPr>
                <w:rFonts w:cs="Arial"/>
                <w:sz w:val="18"/>
                <w:szCs w:val="18"/>
              </w:rPr>
              <w:t>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cs="Arial"/>
                <w:sz w:val="18"/>
                <w:szCs w:val="18"/>
              </w:rPr>
              <w:t>名</w:t>
            </w:r>
            <w:r>
              <w:rPr>
                <w:rFonts w:hint="eastAsia"/>
                <w:sz w:val="18"/>
                <w:szCs w:val="18"/>
              </w:rPr>
              <w:t>/</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21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dit="readOnly" w:enforcement="1" w:cryptProviderType="rsaFull" w:cryptAlgorithmClass="hash" w:cryptAlgorithmType="typeAny" w:cryptAlgorithmSid="4" w:cryptSpinCount="0" w:hash="47mX+z9Bzk57pZNdO/QVPmPFdro=" w:salt="1Xj6R+/zupRyUxUyUeQBp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9A5"/>
    <w:rsid w:val="000310FD"/>
    <w:rsid w:val="00033D3E"/>
    <w:rsid w:val="000360AD"/>
    <w:rsid w:val="00036724"/>
    <w:rsid w:val="0004119D"/>
    <w:rsid w:val="0004124F"/>
    <w:rsid w:val="00041958"/>
    <w:rsid w:val="00042C76"/>
    <w:rsid w:val="00042CE7"/>
    <w:rsid w:val="000438E6"/>
    <w:rsid w:val="00043A9D"/>
    <w:rsid w:val="00044823"/>
    <w:rsid w:val="00045941"/>
    <w:rsid w:val="00047C30"/>
    <w:rsid w:val="00050766"/>
    <w:rsid w:val="0005088E"/>
    <w:rsid w:val="00051DE2"/>
    <w:rsid w:val="000554D6"/>
    <w:rsid w:val="00055773"/>
    <w:rsid w:val="00055941"/>
    <w:rsid w:val="000559BC"/>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142A"/>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0789"/>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99E"/>
    <w:rsid w:val="000E5A74"/>
    <w:rsid w:val="000E7029"/>
    <w:rsid w:val="000E798C"/>
    <w:rsid w:val="000E7BB9"/>
    <w:rsid w:val="000F09FA"/>
    <w:rsid w:val="000F4322"/>
    <w:rsid w:val="000F556F"/>
    <w:rsid w:val="000F7FB5"/>
    <w:rsid w:val="00100295"/>
    <w:rsid w:val="00100789"/>
    <w:rsid w:val="00100D6E"/>
    <w:rsid w:val="00101A1D"/>
    <w:rsid w:val="00102BE2"/>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6548"/>
    <w:rsid w:val="00127FAE"/>
    <w:rsid w:val="00131B8F"/>
    <w:rsid w:val="00134EC8"/>
    <w:rsid w:val="00135106"/>
    <w:rsid w:val="0013745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67E3A"/>
    <w:rsid w:val="00171033"/>
    <w:rsid w:val="001715BB"/>
    <w:rsid w:val="00172BBF"/>
    <w:rsid w:val="0017394A"/>
    <w:rsid w:val="0017488D"/>
    <w:rsid w:val="00175F68"/>
    <w:rsid w:val="00176589"/>
    <w:rsid w:val="0017664C"/>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1823"/>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4D42"/>
    <w:rsid w:val="0024625D"/>
    <w:rsid w:val="00247F2A"/>
    <w:rsid w:val="002509C7"/>
    <w:rsid w:val="00251975"/>
    <w:rsid w:val="00252788"/>
    <w:rsid w:val="002533A3"/>
    <w:rsid w:val="00253B8C"/>
    <w:rsid w:val="00254D9A"/>
    <w:rsid w:val="00255373"/>
    <w:rsid w:val="002553DF"/>
    <w:rsid w:val="0025557C"/>
    <w:rsid w:val="00255628"/>
    <w:rsid w:val="0025790B"/>
    <w:rsid w:val="00264630"/>
    <w:rsid w:val="002653AC"/>
    <w:rsid w:val="00265722"/>
    <w:rsid w:val="00266037"/>
    <w:rsid w:val="00266978"/>
    <w:rsid w:val="00266DAB"/>
    <w:rsid w:val="002714F7"/>
    <w:rsid w:val="00272C40"/>
    <w:rsid w:val="00273F65"/>
    <w:rsid w:val="00274DDB"/>
    <w:rsid w:val="00274E47"/>
    <w:rsid w:val="00274FFD"/>
    <w:rsid w:val="00275526"/>
    <w:rsid w:val="00275757"/>
    <w:rsid w:val="00276ACE"/>
    <w:rsid w:val="00277772"/>
    <w:rsid w:val="00281B9A"/>
    <w:rsid w:val="00282392"/>
    <w:rsid w:val="002826EB"/>
    <w:rsid w:val="00282B2B"/>
    <w:rsid w:val="002869B1"/>
    <w:rsid w:val="002877ED"/>
    <w:rsid w:val="00290893"/>
    <w:rsid w:val="0029197D"/>
    <w:rsid w:val="00293329"/>
    <w:rsid w:val="0029576C"/>
    <w:rsid w:val="00297628"/>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3FB7"/>
    <w:rsid w:val="00304C4E"/>
    <w:rsid w:val="00304D9D"/>
    <w:rsid w:val="00306DA6"/>
    <w:rsid w:val="0031156D"/>
    <w:rsid w:val="00311CBF"/>
    <w:rsid w:val="003122D5"/>
    <w:rsid w:val="00313E17"/>
    <w:rsid w:val="0031786D"/>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368C"/>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5688"/>
    <w:rsid w:val="00396E72"/>
    <w:rsid w:val="003A430B"/>
    <w:rsid w:val="003B00EC"/>
    <w:rsid w:val="003B016B"/>
    <w:rsid w:val="003B06BE"/>
    <w:rsid w:val="003B1841"/>
    <w:rsid w:val="003B32A0"/>
    <w:rsid w:val="003B343A"/>
    <w:rsid w:val="003B600B"/>
    <w:rsid w:val="003B72A3"/>
    <w:rsid w:val="003C2C6C"/>
    <w:rsid w:val="003C2FD0"/>
    <w:rsid w:val="003C3499"/>
    <w:rsid w:val="003C4A62"/>
    <w:rsid w:val="003C4CEB"/>
    <w:rsid w:val="003C51FE"/>
    <w:rsid w:val="003C64E4"/>
    <w:rsid w:val="003C7EAF"/>
    <w:rsid w:val="003D26D0"/>
    <w:rsid w:val="003D5E11"/>
    <w:rsid w:val="003D5ED1"/>
    <w:rsid w:val="003D63E6"/>
    <w:rsid w:val="003E091C"/>
    <w:rsid w:val="003E1082"/>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27477"/>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41F"/>
    <w:rsid w:val="00490E3D"/>
    <w:rsid w:val="004917FC"/>
    <w:rsid w:val="004922CC"/>
    <w:rsid w:val="004940D3"/>
    <w:rsid w:val="004960D3"/>
    <w:rsid w:val="004960F3"/>
    <w:rsid w:val="00497FEC"/>
    <w:rsid w:val="004A0C4A"/>
    <w:rsid w:val="004A0D93"/>
    <w:rsid w:val="004A12AC"/>
    <w:rsid w:val="004A2354"/>
    <w:rsid w:val="004A5AB0"/>
    <w:rsid w:val="004B0C90"/>
    <w:rsid w:val="004B0D40"/>
    <w:rsid w:val="004B1194"/>
    <w:rsid w:val="004B1599"/>
    <w:rsid w:val="004B3136"/>
    <w:rsid w:val="004B5526"/>
    <w:rsid w:val="004C036F"/>
    <w:rsid w:val="004C108A"/>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1C55"/>
    <w:rsid w:val="00512B61"/>
    <w:rsid w:val="00512E3B"/>
    <w:rsid w:val="00513143"/>
    <w:rsid w:val="005131E7"/>
    <w:rsid w:val="00517C1B"/>
    <w:rsid w:val="00520C80"/>
    <w:rsid w:val="00521905"/>
    <w:rsid w:val="00521A8A"/>
    <w:rsid w:val="0052537A"/>
    <w:rsid w:val="005261C6"/>
    <w:rsid w:val="00526A8B"/>
    <w:rsid w:val="005306F5"/>
    <w:rsid w:val="00530EFC"/>
    <w:rsid w:val="0053145D"/>
    <w:rsid w:val="0053265E"/>
    <w:rsid w:val="00534837"/>
    <w:rsid w:val="00534B71"/>
    <w:rsid w:val="00534ED6"/>
    <w:rsid w:val="005356DD"/>
    <w:rsid w:val="0054383E"/>
    <w:rsid w:val="00544067"/>
    <w:rsid w:val="00544689"/>
    <w:rsid w:val="005448AE"/>
    <w:rsid w:val="00544EBF"/>
    <w:rsid w:val="0054752F"/>
    <w:rsid w:val="005477FF"/>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0A7"/>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1EBE"/>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33E96"/>
    <w:rsid w:val="0064020E"/>
    <w:rsid w:val="0064066A"/>
    <w:rsid w:val="0064076F"/>
    <w:rsid w:val="0064087A"/>
    <w:rsid w:val="006418F4"/>
    <w:rsid w:val="00642A61"/>
    <w:rsid w:val="00642B66"/>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273A"/>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00F"/>
    <w:rsid w:val="006F2488"/>
    <w:rsid w:val="006F3519"/>
    <w:rsid w:val="006F356A"/>
    <w:rsid w:val="006F4947"/>
    <w:rsid w:val="006F5923"/>
    <w:rsid w:val="006F6174"/>
    <w:rsid w:val="006F7A9E"/>
    <w:rsid w:val="006F7D4D"/>
    <w:rsid w:val="0070045F"/>
    <w:rsid w:val="007048B2"/>
    <w:rsid w:val="00704C9D"/>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5672"/>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5F91"/>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17AA5"/>
    <w:rsid w:val="00922E94"/>
    <w:rsid w:val="00924CB1"/>
    <w:rsid w:val="00925905"/>
    <w:rsid w:val="00925FC9"/>
    <w:rsid w:val="00926039"/>
    <w:rsid w:val="009275C5"/>
    <w:rsid w:val="00927772"/>
    <w:rsid w:val="00931E88"/>
    <w:rsid w:val="00933939"/>
    <w:rsid w:val="00934162"/>
    <w:rsid w:val="009342D4"/>
    <w:rsid w:val="00934BBA"/>
    <w:rsid w:val="00936147"/>
    <w:rsid w:val="00936818"/>
    <w:rsid w:val="009369EF"/>
    <w:rsid w:val="00936A52"/>
    <w:rsid w:val="00940B15"/>
    <w:rsid w:val="0094391C"/>
    <w:rsid w:val="00945661"/>
    <w:rsid w:val="00946996"/>
    <w:rsid w:val="0095322B"/>
    <w:rsid w:val="0095360A"/>
    <w:rsid w:val="0095409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5CA"/>
    <w:rsid w:val="00984A57"/>
    <w:rsid w:val="00984EF3"/>
    <w:rsid w:val="00986062"/>
    <w:rsid w:val="009911A1"/>
    <w:rsid w:val="0099175F"/>
    <w:rsid w:val="00992322"/>
    <w:rsid w:val="00992A3A"/>
    <w:rsid w:val="00993261"/>
    <w:rsid w:val="00993578"/>
    <w:rsid w:val="009973B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3904"/>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B37"/>
    <w:rsid w:val="009F0C46"/>
    <w:rsid w:val="009F2505"/>
    <w:rsid w:val="009F2AEA"/>
    <w:rsid w:val="009F599E"/>
    <w:rsid w:val="009F5B9C"/>
    <w:rsid w:val="009F7C4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702"/>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39BC"/>
    <w:rsid w:val="00B870C8"/>
    <w:rsid w:val="00B8765C"/>
    <w:rsid w:val="00B87B00"/>
    <w:rsid w:val="00B90513"/>
    <w:rsid w:val="00B90A5B"/>
    <w:rsid w:val="00B90C2A"/>
    <w:rsid w:val="00B916FF"/>
    <w:rsid w:val="00B9217D"/>
    <w:rsid w:val="00B92345"/>
    <w:rsid w:val="00B92C4F"/>
    <w:rsid w:val="00B95196"/>
    <w:rsid w:val="00B9530E"/>
    <w:rsid w:val="00B956A1"/>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0986"/>
    <w:rsid w:val="00BB18C4"/>
    <w:rsid w:val="00BB3F51"/>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9FC"/>
    <w:rsid w:val="00C15A5E"/>
    <w:rsid w:val="00C17352"/>
    <w:rsid w:val="00C17507"/>
    <w:rsid w:val="00C17BFA"/>
    <w:rsid w:val="00C22767"/>
    <w:rsid w:val="00C22C2F"/>
    <w:rsid w:val="00C25992"/>
    <w:rsid w:val="00C26364"/>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152C"/>
    <w:rsid w:val="00C5311E"/>
    <w:rsid w:val="00C5343D"/>
    <w:rsid w:val="00C54A52"/>
    <w:rsid w:val="00C5641F"/>
    <w:rsid w:val="00C60A5E"/>
    <w:rsid w:val="00C61028"/>
    <w:rsid w:val="00C61954"/>
    <w:rsid w:val="00C62B36"/>
    <w:rsid w:val="00C63219"/>
    <w:rsid w:val="00C632D8"/>
    <w:rsid w:val="00C64182"/>
    <w:rsid w:val="00C66B60"/>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0CD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11DF"/>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5F78"/>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3F4A"/>
    <w:rsid w:val="00D756E1"/>
    <w:rsid w:val="00D759E5"/>
    <w:rsid w:val="00D77706"/>
    <w:rsid w:val="00D77A2F"/>
    <w:rsid w:val="00D80219"/>
    <w:rsid w:val="00D8128F"/>
    <w:rsid w:val="00D81C4A"/>
    <w:rsid w:val="00D82717"/>
    <w:rsid w:val="00D82D31"/>
    <w:rsid w:val="00D82E17"/>
    <w:rsid w:val="00D83283"/>
    <w:rsid w:val="00D84645"/>
    <w:rsid w:val="00D859AC"/>
    <w:rsid w:val="00D86198"/>
    <w:rsid w:val="00D874EA"/>
    <w:rsid w:val="00D87704"/>
    <w:rsid w:val="00D878BD"/>
    <w:rsid w:val="00D90EDE"/>
    <w:rsid w:val="00D9165A"/>
    <w:rsid w:val="00D91EAA"/>
    <w:rsid w:val="00D92A6E"/>
    <w:rsid w:val="00D92AC0"/>
    <w:rsid w:val="00D94DD8"/>
    <w:rsid w:val="00D95DBD"/>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52A"/>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8C"/>
    <w:rsid w:val="00EB0FBB"/>
    <w:rsid w:val="00EB215C"/>
    <w:rsid w:val="00EB3768"/>
    <w:rsid w:val="00EB3A44"/>
    <w:rsid w:val="00EB5817"/>
    <w:rsid w:val="00EB5D26"/>
    <w:rsid w:val="00EB6CC1"/>
    <w:rsid w:val="00EB7522"/>
    <w:rsid w:val="00EB7D69"/>
    <w:rsid w:val="00EB7F1B"/>
    <w:rsid w:val="00EC0D92"/>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5E48"/>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06C9C"/>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675F"/>
    <w:rsid w:val="00FB7853"/>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63CE"/>
    <w:rsid w:val="00FE72FD"/>
    <w:rsid w:val="00FF0A2F"/>
    <w:rsid w:val="00FF1B04"/>
    <w:rsid w:val="00FF22F8"/>
    <w:rsid w:val="01654C82"/>
    <w:rsid w:val="020A6A96"/>
    <w:rsid w:val="031C5BCA"/>
    <w:rsid w:val="034F7E8B"/>
    <w:rsid w:val="0356786B"/>
    <w:rsid w:val="041A2100"/>
    <w:rsid w:val="046E31C1"/>
    <w:rsid w:val="056C4F65"/>
    <w:rsid w:val="0583356E"/>
    <w:rsid w:val="05C23886"/>
    <w:rsid w:val="06F4696E"/>
    <w:rsid w:val="07245E56"/>
    <w:rsid w:val="07E73C15"/>
    <w:rsid w:val="07F57CDC"/>
    <w:rsid w:val="08F61DC3"/>
    <w:rsid w:val="0C023D8C"/>
    <w:rsid w:val="0C225D7B"/>
    <w:rsid w:val="0E94232E"/>
    <w:rsid w:val="0EE42F8C"/>
    <w:rsid w:val="0F1306D5"/>
    <w:rsid w:val="11295396"/>
    <w:rsid w:val="1509103B"/>
    <w:rsid w:val="163E2FB7"/>
    <w:rsid w:val="17622796"/>
    <w:rsid w:val="196F2D10"/>
    <w:rsid w:val="19B02EB2"/>
    <w:rsid w:val="1A48157B"/>
    <w:rsid w:val="1AAA799F"/>
    <w:rsid w:val="1AD97D32"/>
    <w:rsid w:val="1B7C6DDC"/>
    <w:rsid w:val="1BD70953"/>
    <w:rsid w:val="1BF87698"/>
    <w:rsid w:val="1E585AB7"/>
    <w:rsid w:val="1EB160C2"/>
    <w:rsid w:val="1FF145B9"/>
    <w:rsid w:val="2193546F"/>
    <w:rsid w:val="22B22727"/>
    <w:rsid w:val="2359377C"/>
    <w:rsid w:val="24FE24F9"/>
    <w:rsid w:val="26F50BA9"/>
    <w:rsid w:val="272734AC"/>
    <w:rsid w:val="27835F8E"/>
    <w:rsid w:val="27AD3F31"/>
    <w:rsid w:val="27BD5E26"/>
    <w:rsid w:val="285B3308"/>
    <w:rsid w:val="285E4249"/>
    <w:rsid w:val="29026D00"/>
    <w:rsid w:val="2903159F"/>
    <w:rsid w:val="2A573EC4"/>
    <w:rsid w:val="2C7E406A"/>
    <w:rsid w:val="2DFA46AF"/>
    <w:rsid w:val="2EA644DF"/>
    <w:rsid w:val="2F5E69E7"/>
    <w:rsid w:val="2FB532A0"/>
    <w:rsid w:val="31051025"/>
    <w:rsid w:val="317F1B9B"/>
    <w:rsid w:val="319C4BEA"/>
    <w:rsid w:val="32CD6857"/>
    <w:rsid w:val="34C829B2"/>
    <w:rsid w:val="35381804"/>
    <w:rsid w:val="386A3F56"/>
    <w:rsid w:val="3A810EF7"/>
    <w:rsid w:val="3A842191"/>
    <w:rsid w:val="3ACF0F3F"/>
    <w:rsid w:val="3B337E2C"/>
    <w:rsid w:val="3B7626CB"/>
    <w:rsid w:val="3C3802E9"/>
    <w:rsid w:val="3D8639BF"/>
    <w:rsid w:val="3E2254A0"/>
    <w:rsid w:val="3E586AB8"/>
    <w:rsid w:val="3E5C1B1D"/>
    <w:rsid w:val="3EAE14E9"/>
    <w:rsid w:val="3FD261A6"/>
    <w:rsid w:val="40A71D3A"/>
    <w:rsid w:val="40BF0012"/>
    <w:rsid w:val="42EB2F9C"/>
    <w:rsid w:val="42FE7A06"/>
    <w:rsid w:val="433D4DC8"/>
    <w:rsid w:val="45226963"/>
    <w:rsid w:val="4D39606F"/>
    <w:rsid w:val="4D7D1BD2"/>
    <w:rsid w:val="4E4F0A98"/>
    <w:rsid w:val="4EDB6E2F"/>
    <w:rsid w:val="4F8E3D4D"/>
    <w:rsid w:val="4FA133B0"/>
    <w:rsid w:val="51810FD9"/>
    <w:rsid w:val="51AF6B1F"/>
    <w:rsid w:val="53063B85"/>
    <w:rsid w:val="533C1961"/>
    <w:rsid w:val="53B3493A"/>
    <w:rsid w:val="5537323C"/>
    <w:rsid w:val="55855837"/>
    <w:rsid w:val="55E83741"/>
    <w:rsid w:val="56503211"/>
    <w:rsid w:val="571410C7"/>
    <w:rsid w:val="598B567E"/>
    <w:rsid w:val="5A187A0C"/>
    <w:rsid w:val="5B714368"/>
    <w:rsid w:val="5BD25A17"/>
    <w:rsid w:val="5C624734"/>
    <w:rsid w:val="5C9812B6"/>
    <w:rsid w:val="5CC75FF2"/>
    <w:rsid w:val="5E404F00"/>
    <w:rsid w:val="5FE91ABC"/>
    <w:rsid w:val="60A63BB4"/>
    <w:rsid w:val="625E5181"/>
    <w:rsid w:val="628E734C"/>
    <w:rsid w:val="6580603B"/>
    <w:rsid w:val="67102C62"/>
    <w:rsid w:val="682A44E1"/>
    <w:rsid w:val="68C7223A"/>
    <w:rsid w:val="68EF6886"/>
    <w:rsid w:val="6C013836"/>
    <w:rsid w:val="6C2B2E22"/>
    <w:rsid w:val="6EAA7DFD"/>
    <w:rsid w:val="6FDD1093"/>
    <w:rsid w:val="709C0126"/>
    <w:rsid w:val="709E6AD1"/>
    <w:rsid w:val="70F41CA2"/>
    <w:rsid w:val="710C66F3"/>
    <w:rsid w:val="76022652"/>
    <w:rsid w:val="768501BE"/>
    <w:rsid w:val="76C8601E"/>
    <w:rsid w:val="77150144"/>
    <w:rsid w:val="77D3031A"/>
    <w:rsid w:val="7BEA1CFE"/>
    <w:rsid w:val="7D803772"/>
    <w:rsid w:val="7D80556D"/>
    <w:rsid w:val="7DB8301C"/>
    <w:rsid w:val="7E3713F1"/>
    <w:rsid w:val="7E89358A"/>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99"/>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2108FF18-8EC8-4170-A536-1AA8E39CC797}">
  <ds:schemaRefs/>
</ds:datastoreItem>
</file>

<file path=customXml/itemProps12.xml><?xml version="1.0" encoding="utf-8"?>
<ds:datastoreItem xmlns:ds="http://schemas.openxmlformats.org/officeDocument/2006/customXml" ds:itemID="{79B37214-9E52-4241-8DD2-9E9CD9442006}">
  <ds:schemaRefs/>
</ds:datastoreItem>
</file>

<file path=customXml/itemProps13.xml><?xml version="1.0" encoding="utf-8"?>
<ds:datastoreItem xmlns:ds="http://schemas.openxmlformats.org/officeDocument/2006/customXml" ds:itemID="{7E5C9D84-6DB6-48FB-8632-D5279FC233C8}">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509BA638-9D3A-4AA3-A169-FF78BC0E4BE9}">
  <ds:schemaRefs/>
</ds:datastoreItem>
</file>

<file path=customXml/itemProps16.xml><?xml version="1.0" encoding="utf-8"?>
<ds:datastoreItem xmlns:ds="http://schemas.openxmlformats.org/officeDocument/2006/customXml" ds:itemID="{D902962D-C8CC-43BF-804A-CD60AE6D747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3A3C3A8D-C5E4-45AF-8B48-C3BF528808AD}">
  <ds:schemaRefs/>
</ds:datastoreItem>
</file>

<file path=customXml/itemProps2.xml><?xml version="1.0" encoding="utf-8"?>
<ds:datastoreItem xmlns:ds="http://schemas.openxmlformats.org/officeDocument/2006/customXml" ds:itemID="{BEEE0313-55EB-45FA-BBBD-C0232D367255}">
  <ds:schemaRefs/>
</ds:datastoreItem>
</file>

<file path=customXml/itemProps3.xml><?xml version="1.0" encoding="utf-8"?>
<ds:datastoreItem xmlns:ds="http://schemas.openxmlformats.org/officeDocument/2006/customXml" ds:itemID="{1990A2D8-324F-45D5-B9CD-07245ED2860B}">
  <ds:schemaRefs/>
</ds:datastoreItem>
</file>

<file path=customXml/itemProps4.xml><?xml version="1.0" encoding="utf-8"?>
<ds:datastoreItem xmlns:ds="http://schemas.openxmlformats.org/officeDocument/2006/customXml" ds:itemID="{9114D43D-ED98-4C7B-A3AE-26D78B80CA82}">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CF487381-D648-48A1-B1E4-A4540B0D3650}">
  <ds:schemaRefs/>
</ds:datastoreItem>
</file>

<file path=customXml/itemProps8.xml><?xml version="1.0" encoding="utf-8"?>
<ds:datastoreItem xmlns:ds="http://schemas.openxmlformats.org/officeDocument/2006/customXml" ds:itemID="{E6D3D55C-3DD8-4C31-8069-E5508DD844FB}">
  <ds:schemaRefs/>
</ds:datastoreItem>
</file>

<file path=customXml/itemProps9.xml><?xml version="1.0" encoding="utf-8"?>
<ds:datastoreItem xmlns:ds="http://schemas.openxmlformats.org/officeDocument/2006/customXml" ds:itemID="{C9A3125F-17AF-44BB-8975-2FB409CCBD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44</Pages>
  <Words>4601</Words>
  <Characters>26227</Characters>
  <Lines>218</Lines>
  <Paragraphs>61</Paragraphs>
  <TotalTime>1</TotalTime>
  <ScaleCrop>false</ScaleCrop>
  <LinksUpToDate>false</LinksUpToDate>
  <CharactersWithSpaces>30767</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2023-02-09T13:21:00Z</dcterms:created>
  <dc:creator>张淼雯</dc:creator>
  <cp:lastModifiedBy>cib</cp:lastModifiedBy>
  <cp:lastPrinted>2022-01-18T08:37:00Z</cp:lastPrinted>
  <dcterms:modified xsi:type="dcterms:W3CDTF">2026-04-28T07:13:22Z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5466F5ED04264CD88390FDC4DDCA6BAE</vt:lpwstr>
  </property>
</Properties>
</file>