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val="en-US" w:eastAsia="zh-CN"/>
        </w:rPr>
        <w:t>苏银理财恒源1年定开6期</w:t>
      </w:r>
      <w:r>
        <w:rPr>
          <w:rFonts w:hint="eastAsia" w:ascii="楷体" w:hAnsi="楷体" w:eastAsia="楷体"/>
          <w:b/>
          <w:color w:val="auto"/>
          <w:sz w:val="28"/>
          <w:szCs w:val="28"/>
          <w:highlight w:val="none"/>
        </w:rPr>
        <w:t>”理财产品说</w:t>
      </w:r>
      <w:r>
        <w:rPr>
          <w:rFonts w:hint="eastAsia" w:ascii="楷体" w:hAnsi="楷体" w:eastAsia="楷体"/>
          <w:b/>
          <w:color w:val="auto"/>
          <w:sz w:val="28"/>
          <w:szCs w:val="28"/>
          <w:highlight w:val="none"/>
          <w:lang w:val="en-US" w:eastAsia="zh-CN"/>
        </w:rPr>
        <w:t>明</w:t>
      </w:r>
      <w:r>
        <w:rPr>
          <w:rFonts w:hint="eastAsia" w:ascii="楷体" w:hAnsi="楷体" w:eastAsia="楷体"/>
          <w:b/>
          <w:color w:val="auto"/>
          <w:sz w:val="28"/>
          <w:szCs w:val="28"/>
          <w:highlight w:val="none"/>
        </w:rPr>
        <w:t>书</w:t>
      </w:r>
    </w:p>
    <w:p>
      <w:pPr>
        <w:pStyle w:val="13"/>
        <w:pageBreakBefore w:val="0"/>
        <w:spacing w:before="0" w:beforeAutospacing="0" w:after="0" w:afterAutospacing="0" w:line="240" w:lineRule="auto"/>
        <w:jc w:val="center"/>
        <w:rPr>
          <w:rFonts w:hint="default" w:ascii="楷体" w:hAnsi="楷体" w:eastAsia="楷体" w:cs="Times New Roman"/>
          <w:kern w:val="2"/>
          <w:sz w:val="21"/>
          <w:szCs w:val="21"/>
          <w:highlight w:val="none"/>
          <w:lang w:val="en-US" w:eastAsia="zh-CN" w:bidi="ar-SA"/>
        </w:rPr>
      </w:pPr>
      <w:r>
        <w:rPr>
          <w:rFonts w:hint="eastAsia" w:ascii="楷体" w:hAnsi="楷体" w:eastAsia="楷体" w:cs="Times New Roman"/>
          <w:kern w:val="2"/>
          <w:sz w:val="21"/>
          <w:szCs w:val="21"/>
          <w:highlight w:val="none"/>
          <w:lang w:val="en-US" w:eastAsia="zh-CN" w:bidi="ar-SA"/>
        </w:rPr>
        <w:t>（2026年5月版）</w:t>
      </w:r>
    </w:p>
    <w:p>
      <w:pPr>
        <w:jc w:val="center"/>
        <w:rPr>
          <w:rFonts w:hint="eastAsia" w:ascii="楷体" w:hAnsi="楷体" w:eastAsia="楷体"/>
          <w:b/>
          <w:sz w:val="24"/>
          <w:szCs w:val="24"/>
          <w:highlight w:val="none"/>
        </w:rPr>
      </w:pPr>
      <w:r>
        <w:rPr>
          <w:rFonts w:hint="eastAsia" w:ascii="楷体" w:hAnsi="楷体" w:eastAsia="楷体" w:cs="宋体"/>
          <w:b/>
          <w:kern w:val="0"/>
          <w:sz w:val="24"/>
          <w:szCs w:val="24"/>
          <w:highlight w:val="none"/>
        </w:rPr>
        <w:t>理财非存款、产品有风险、投资须谨慎</w:t>
      </w:r>
    </w:p>
    <w:p>
      <w:pPr>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重要须知</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w:t>
      </w:r>
      <w:r>
        <w:rPr>
          <w:rFonts w:hint="eastAsia" w:ascii="楷体" w:hAnsi="楷体" w:eastAsia="楷体"/>
          <w:sz w:val="21"/>
          <w:szCs w:val="21"/>
          <w:highlight w:val="none"/>
          <w:lang w:val="en-US" w:eastAsia="zh-CN"/>
        </w:rPr>
        <w:t>投资范围</w:t>
      </w:r>
      <w:r>
        <w:rPr>
          <w:rFonts w:hint="eastAsia" w:ascii="楷体" w:hAnsi="楷体" w:eastAsia="楷体"/>
          <w:sz w:val="21"/>
          <w:szCs w:val="21"/>
          <w:highlight w:val="none"/>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本理财产品不保证本金及收益，您的本金可能因市场变动</w:t>
      </w:r>
      <w:r>
        <w:rPr>
          <w:rFonts w:hint="eastAsia" w:ascii="楷体" w:hAnsi="楷体" w:eastAsia="楷体"/>
          <w:b/>
          <w:sz w:val="21"/>
          <w:szCs w:val="21"/>
          <w:highlight w:val="none"/>
          <w:u w:val="single"/>
          <w:lang w:val="en-US" w:eastAsia="zh-CN"/>
        </w:rPr>
        <w:t>或者交易违约等事项</w:t>
      </w:r>
      <w:r>
        <w:rPr>
          <w:rFonts w:hint="eastAsia" w:ascii="楷体" w:hAnsi="楷体" w:eastAsia="楷体"/>
          <w:b/>
          <w:sz w:val="21"/>
          <w:szCs w:val="21"/>
          <w:highlight w:val="none"/>
          <w:u w:val="single"/>
        </w:rPr>
        <w:t>而蒙受相应损失，投资者应充分认识投资风险，谨慎投资</w:t>
      </w:r>
      <w:r>
        <w:rPr>
          <w:rFonts w:hint="eastAsia" w:ascii="楷体" w:hAnsi="楷体" w:eastAsia="楷体"/>
          <w:b/>
          <w:sz w:val="21"/>
          <w:szCs w:val="21"/>
          <w:highlight w:val="none"/>
          <w:u w:val="single"/>
          <w:lang w:eastAsia="zh-CN"/>
        </w:rPr>
        <w:t>。</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本理财产品任何业绩比较基准</w:t>
      </w:r>
      <w:r>
        <w:rPr>
          <w:rFonts w:hint="eastAsia" w:ascii="楷体" w:hAnsi="楷体" w:eastAsia="楷体"/>
          <w:b/>
          <w:sz w:val="21"/>
          <w:szCs w:val="21"/>
          <w:highlight w:val="none"/>
          <w:u w:val="single"/>
          <w:lang w:val="en-US" w:eastAsia="zh-CN"/>
        </w:rPr>
        <w:t>及</w:t>
      </w:r>
      <w:r>
        <w:rPr>
          <w:rFonts w:hint="eastAsia" w:ascii="楷体" w:hAnsi="楷体" w:eastAsia="楷体"/>
          <w:b/>
          <w:sz w:val="21"/>
          <w:szCs w:val="21"/>
          <w:highlight w:val="none"/>
          <w:u w:val="single"/>
        </w:rPr>
        <w:t>类似表述均属不具有法律约束力的用语</w:t>
      </w:r>
      <w:r>
        <w:rPr>
          <w:rFonts w:hint="eastAsia" w:ascii="楷体" w:hAnsi="楷体" w:eastAsia="楷体"/>
          <w:b/>
          <w:sz w:val="21"/>
          <w:szCs w:val="21"/>
          <w:highlight w:val="none"/>
          <w:u w:val="single"/>
          <w:lang w:eastAsia="zh-CN"/>
        </w:rPr>
        <w:t>。</w:t>
      </w:r>
      <w:r>
        <w:rPr>
          <w:rFonts w:hint="eastAsia" w:ascii="楷体" w:hAnsi="楷体" w:eastAsia="楷体"/>
          <w:b/>
          <w:sz w:val="21"/>
          <w:szCs w:val="21"/>
          <w:highlight w:val="none"/>
          <w:u w:val="single"/>
        </w:rPr>
        <w:t>业绩比较基准</w:t>
      </w:r>
      <w:r>
        <w:rPr>
          <w:rFonts w:hint="eastAsia" w:ascii="楷体" w:hAnsi="楷体" w:eastAsia="楷体"/>
          <w:b/>
          <w:sz w:val="21"/>
          <w:szCs w:val="21"/>
          <w:highlight w:val="none"/>
          <w:u w:val="single"/>
          <w:lang w:val="en-US" w:eastAsia="zh-CN"/>
        </w:rPr>
        <w:t>为</w:t>
      </w:r>
      <w:r>
        <w:rPr>
          <w:rFonts w:hint="eastAsia" w:ascii="楷体" w:hAnsi="楷体" w:eastAsia="楷体"/>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等。请仔细阅读《“苏银理财恒源1年定开6期”理财产品风险揭示书》的“风险揭示”部分。</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本产品可设置多</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份额可能设置不同的销售对象、销售起点、业绩比较基准等，各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sz w:val="21"/>
          <w:szCs w:val="21"/>
          <w:highlight w:val="none"/>
        </w:rPr>
      </w:pPr>
      <w:r>
        <w:rPr>
          <w:rFonts w:hint="eastAsia" w:ascii="楷体" w:hAnsi="楷体" w:eastAsia="楷体"/>
          <w:b/>
          <w:sz w:val="21"/>
          <w:szCs w:val="21"/>
          <w:highlight w:val="none"/>
        </w:rPr>
        <w:t>产品要素</w:t>
      </w:r>
    </w:p>
    <w:p>
      <w:pPr>
        <w:numPr>
          <w:ilvl w:val="0"/>
          <w:numId w:val="0"/>
        </w:numPr>
        <w:tabs>
          <w:tab w:val="left" w:pos="1134"/>
        </w:tabs>
        <w:ind w:left="0" w:leftChars="0" w:firstLine="420" w:firstLineChars="200"/>
        <w:outlineLvl w:val="1"/>
        <w:rPr>
          <w:rFonts w:hint="eastAsia" w:ascii="楷体" w:hAnsi="楷体" w:eastAsia="楷体"/>
          <w:sz w:val="21"/>
          <w:szCs w:val="21"/>
          <w:highlight w:val="none"/>
        </w:rPr>
      </w:pPr>
      <w:r>
        <w:rPr>
          <w:rFonts w:hint="eastAsia" w:ascii="楷体" w:hAnsi="楷体" w:eastAsia="楷体"/>
          <w:sz w:val="21"/>
          <w:szCs w:val="21"/>
          <w:highlight w:val="none"/>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2"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苏银理财恒源1年定开6期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lang w:val="en-US" w:eastAsia="zh-CN"/>
              </w:rPr>
              <w:t>Z7003121000019</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投资者可依据该编码在中国理财网</w:t>
            </w:r>
            <w:r>
              <w:rPr>
                <w:rFonts w:ascii="楷体" w:hAnsi="楷体" w:eastAsia="楷体" w:cs="宋体"/>
                <w:spacing w:val="-2"/>
                <w:sz w:val="18"/>
                <w:szCs w:val="18"/>
                <w:highlight w:val="none"/>
              </w:rPr>
              <w:fldChar w:fldCharType="begin"/>
            </w:r>
            <w:r>
              <w:rPr>
                <w:rFonts w:ascii="楷体" w:hAnsi="楷体" w:eastAsia="楷体" w:cs="宋体"/>
                <w:spacing w:val="-2"/>
                <w:sz w:val="18"/>
                <w:szCs w:val="18"/>
                <w:highlight w:val="none"/>
              </w:rPr>
              <w:instrText xml:space="preserve"> HYPERLINK "http://www.chinawealth.com.cn/" </w:instrText>
            </w:r>
            <w:r>
              <w:rPr>
                <w:rFonts w:ascii="楷体" w:hAnsi="楷体" w:eastAsia="楷体" w:cs="宋体"/>
                <w:spacing w:val="-2"/>
                <w:sz w:val="18"/>
                <w:szCs w:val="18"/>
                <w:highlight w:val="none"/>
              </w:rPr>
              <w:fldChar w:fldCharType="separate"/>
            </w:r>
            <w:r>
              <w:rPr>
                <w:rFonts w:ascii="楷体" w:hAnsi="楷体" w:eastAsia="楷体" w:cs="宋体"/>
                <w:spacing w:val="-2"/>
                <w:sz w:val="18"/>
                <w:szCs w:val="18"/>
                <w:highlight w:val="none"/>
              </w:rPr>
              <w:t>www.chinawealth.com.cn</w:t>
            </w:r>
            <w:r>
              <w:rPr>
                <w:rFonts w:ascii="楷体" w:hAnsi="楷体" w:eastAsia="楷体" w:cs="宋体"/>
                <w:spacing w:val="-2"/>
                <w:sz w:val="18"/>
                <w:szCs w:val="18"/>
                <w:highlight w:val="none"/>
              </w:rPr>
              <w:fldChar w:fldCharType="end"/>
            </w:r>
            <w:r>
              <w:rPr>
                <w:rFonts w:hint="eastAsia" w:ascii="楷体" w:hAnsi="楷体" w:eastAsia="楷体" w:cs="宋体"/>
                <w:spacing w:val="-2"/>
                <w:sz w:val="18"/>
                <w:szCs w:val="18"/>
                <w:highlight w:val="none"/>
              </w:rPr>
              <w:t>查询产品信息</w:t>
            </w:r>
            <w:r>
              <w:rPr>
                <w:rFonts w:hint="eastAsia" w:ascii="楷体" w:hAnsi="楷体" w:eastAsia="楷体" w:cs="宋体"/>
                <w:spacing w:val="-2"/>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A份额:苏银理财恒源1年定开6期A/JSA000000193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B份额:苏银理财恒源1年定开6期B/JSA000000194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C份额:苏银理财恒源1年定开6期C/J19884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D份额:苏银理财恒源1年定开6期D/J03273</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F份额:苏银理财恒源1年定开6期F/J03274</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G份额:苏银理财恒源1年定开6期G/J03275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J份额:苏银理财恒源1年定开6期J/J03276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M份额:苏银理财恒源1年定开6期M/J03277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P份额:苏银理财恒源1年定开6期P/J04065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GS份额:苏银理财恒源1年定开6期GS/J19885</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LM份额:苏银理财恒源1年定开6期LM（兰马专属）/J19886</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SX份额:苏银理财恒源1年定开6期SX（山银晋晟）/J19887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U份额:苏银理财恒源1年定开6期U/J19888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Z份额:苏银理财恒源1年定开6期Z/J19889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ZA份额:苏银理财恒源1年定开6期ZA鑫福款（自动赎回）/J03278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ZF份额:苏银理财恒源1年定开6期ZF（自动赎回）/J03279</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ZJ份额:苏银理财恒源1年定开6期ZJ（自动赎回）/J19890</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ZL份额:苏银理财恒源1年定开6期ZL（自动赎回）/J19891</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ZN份额:苏银理财恒源1年定开6期ZN（自动赎回）/J04067</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ZQ份额:苏银理财恒源1年定开6期ZQ（自动赎回）/J04068</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ZC份额:苏银理财恒源1年定开6期ZC鑫福优享（自动赎回）/J19892</w:t>
            </w:r>
            <w:r>
              <w:rPr>
                <w:rFonts w:hint="eastAsia" w:ascii="楷体" w:hAnsi="楷体" w:eastAsia="楷体" w:cs="宋体"/>
                <w:color w:val="auto"/>
                <w:spacing w:val="-2"/>
                <w:sz w:val="18"/>
                <w:szCs w:val="18"/>
                <w:highlight w:val="none"/>
                <w:lang w:val="en-US" w:eastAsia="zh-CN"/>
              </w:rPr>
              <w:br w:type="textWrapping"/>
            </w:r>
            <w:r>
              <w:rPr>
                <w:rFonts w:hint="eastAsia" w:ascii="楷体" w:hAnsi="楷体" w:eastAsia="楷体" w:cs="宋体"/>
                <w:color w:val="auto"/>
                <w:spacing w:val="-2"/>
                <w:sz w:val="18"/>
                <w:szCs w:val="18"/>
                <w:highlight w:val="none"/>
                <w:lang w:val="en-US" w:eastAsia="zh-CN"/>
              </w:rPr>
              <w:t>ZK份额:苏银理财恒源1年定开6期ZK鑫福尊享（自动赎回）/J19893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产品类型</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spacing w:val="-2"/>
                <w:kern w:val="0"/>
                <w:sz w:val="18"/>
                <w:szCs w:val="18"/>
                <w:highlight w:val="none"/>
                <w:u w:val="single"/>
                <w:lang w:val="en-US" w:eastAsia="zh-CN" w:bidi="ar-SA"/>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参考。理财产品存续期间，若市场环境等因素发生变化，在符合监管政策要求的前提下管理人可对产品风险评级进行调整，并及时将调整情况向投资者披露。</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其中C份额销售机构江苏银行个人投资者仅限代发工资客户；新资金客户及新客户，新资金的达标条件为“客户前一日资产时点余额”较“前一月末资产月日均余额”的新增额大于5万元，新客户是指首次购买理财产品的客户；50周岁及以上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D份额销售机构江苏银行个人投资者仅限财富客户购买，江苏银行财富客户指在江苏银行日均资产大于等于200万元的个人客户；机构投资者具体以销售机构设置为准。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lang w:eastAsia="zh-CN"/>
              </w:rPr>
              <w:t>1元</w:t>
            </w:r>
            <w:r>
              <w:rPr>
                <w:rFonts w:hint="eastAsia" w:ascii="楷体" w:hAnsi="楷体" w:eastAsia="楷体" w:cs="宋体"/>
                <w:spacing w:val="-2"/>
                <w:sz w:val="18"/>
                <w:szCs w:val="18"/>
                <w:highlight w:val="none"/>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投资周期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b/>
                <w:spacing w:val="-2"/>
                <w:sz w:val="18"/>
                <w:szCs w:val="18"/>
                <w:highlight w:val="none"/>
                <w:lang w:val="en-US" w:eastAsia="zh-CN"/>
              </w:rPr>
            </w:pPr>
            <w:r>
              <w:rPr>
                <w:rFonts w:hint="eastAsia" w:ascii="楷体" w:hAnsi="楷体" w:eastAsia="楷体" w:cs="宋体"/>
                <w:spacing w:val="-2"/>
                <w:sz w:val="18"/>
                <w:szCs w:val="18"/>
                <w:highlight w:val="none"/>
                <w:lang w:val="en-US" w:eastAsia="zh-CN"/>
              </w:rPr>
              <w:t>1年左右，具体天数以实际投资为准。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本产品计划发行规模为100000万元，管理人有权根据实际需要调整计划发行规模。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A份额:100元/100元的整数倍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B份额:200,000元/10,000元的整数倍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C份额:10,000元/1元的整数倍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D份额:个人投资者：500,000元/10,000元的整数倍,机构投资者：30,000,000元/10,000元的整数倍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F份额:100元/100元的整数倍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G份额:200,000元/10,000元的整数倍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J份额:500,000元/10,000元的整数倍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M份额:100元/100元的整数倍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P份额:100元/100元的整数倍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GS份额:100元/100元的整数倍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LM份额:100元/100元的整数倍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SX份额:100元/100元的整数倍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U份额:100元/100元的整数倍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ZA份额:100元/100元的整数倍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ZF份额:100元/100元的整数倍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ZJ份额:100元/100元的整数倍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ZL份额:个人投资者：500,000元/10,000元的整数倍,机构投资者：30,000,000元/10,000元的整数倍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ZN份额:100元/100元的整数倍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ZQ份额:100元/100元的整数倍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ZC份额:10,000元/1元的整数倍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ZK份额:个人投资者：500,000元/10,000元的整数倍,机构投资者：30,000,000元/10,000元的整数倍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highlight w:val="none"/>
                <w:lang w:eastAsia="zh-CN"/>
              </w:rPr>
            </w:pPr>
            <w:r>
              <w:rPr>
                <w:rFonts w:hint="eastAsia" w:ascii="楷体" w:hAnsi="楷体" w:eastAsia="楷体"/>
                <w:sz w:val="18"/>
                <w:szCs w:val="18"/>
                <w:highlight w:val="none"/>
              </w:rPr>
              <w:t>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2021年4月1日至2021年4月6日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2021年4月7日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before="0" w:line="0" w:lineRule="atLeast"/>
              <w:ind w:left="0" w:leftChars="0"/>
              <w:jc w:val="both"/>
              <w:textAlignment w:val="auto"/>
              <w:rPr>
                <w:rFonts w:hint="eastAsia"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p>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到期日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lang w:val="en-US" w:eastAsia="zh-CN"/>
              </w:rPr>
              <w:t>2031年4月15日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如遇节假日，顺延至下一工作日</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rPr>
              <w:t>在符合产品说明书约定的条件下，管理人有权</w:t>
            </w:r>
            <w:r>
              <w:rPr>
                <w:rFonts w:hint="eastAsia" w:ascii="楷体" w:hAnsi="楷体" w:eastAsia="楷体" w:cs="宋体"/>
                <w:color w:val="auto"/>
                <w:spacing w:val="-2"/>
                <w:sz w:val="18"/>
                <w:szCs w:val="18"/>
                <w:highlight w:val="none"/>
                <w:lang w:val="en-US" w:eastAsia="zh-CN"/>
              </w:rPr>
              <w:t>调整产品到期日</w:t>
            </w:r>
            <w:r>
              <w:rPr>
                <w:rFonts w:hint="eastAsia" w:ascii="楷体" w:hAnsi="楷体" w:eastAsia="楷体" w:cs="宋体"/>
                <w:color w:val="auto"/>
                <w:spacing w:val="-2"/>
                <w:sz w:val="18"/>
                <w:szCs w:val="18"/>
                <w:highlight w:val="none"/>
              </w:rPr>
              <w:t>，产品到期日受制于提前终止</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延期终止</w:t>
            </w:r>
            <w:r>
              <w:rPr>
                <w:rFonts w:hint="eastAsia" w:ascii="楷体" w:hAnsi="楷体" w:eastAsia="楷体" w:cs="宋体"/>
                <w:color w:val="auto"/>
                <w:spacing w:val="-2"/>
                <w:sz w:val="18"/>
                <w:szCs w:val="18"/>
                <w:highlight w:val="none"/>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highlight w:val="none"/>
                <w:u w:val="single"/>
                <w:lang w:val="en-US" w:eastAsia="zh-CN"/>
              </w:rPr>
            </w:pPr>
            <w:r>
              <w:rPr>
                <w:rFonts w:hint="eastAsia" w:ascii="楷体" w:hAnsi="楷体" w:eastAsia="楷体" w:cs="宋体"/>
                <w:spacing w:val="-2"/>
                <w:sz w:val="18"/>
                <w:szCs w:val="18"/>
                <w:highlight w:val="none"/>
                <w:lang w:val="en-US" w:eastAsia="zh-CN"/>
              </w:rPr>
              <w:t>本产品</w:t>
            </w:r>
            <w:r>
              <w:rPr>
                <w:rFonts w:hint="eastAsia" w:ascii="楷体" w:hAnsi="楷体" w:eastAsia="楷体" w:cs="宋体"/>
                <w:spacing w:val="-2"/>
                <w:sz w:val="18"/>
                <w:szCs w:val="18"/>
                <w:highlight w:val="none"/>
              </w:rPr>
              <w:t>按投资周期开放申购与赎回，</w:t>
            </w:r>
            <w:r>
              <w:rPr>
                <w:rFonts w:hint="eastAsia" w:ascii="楷体" w:hAnsi="楷体" w:eastAsia="楷体" w:cs="宋体"/>
                <w:spacing w:val="-2"/>
                <w:sz w:val="18"/>
                <w:szCs w:val="18"/>
                <w:highlight w:val="none"/>
                <w:lang w:val="en-US" w:eastAsia="zh-CN"/>
              </w:rPr>
              <w:t>最新投资周期（2026年6月5日-2027年6月24日）开放申购与赎回时间为：2026年5月27日至2026年6月4日</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以各销售机构设置的时间为准</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投资者可在</w:t>
            </w:r>
            <w:r>
              <w:rPr>
                <w:rFonts w:hint="eastAsia" w:ascii="楷体" w:hAnsi="楷体" w:eastAsia="楷体" w:cs="宋体"/>
                <w:spacing w:val="-2"/>
                <w:sz w:val="18"/>
                <w:szCs w:val="18"/>
                <w:highlight w:val="none"/>
                <w:lang w:val="en-US" w:eastAsia="zh-CN"/>
              </w:rPr>
              <w:t>此期间提交申购/赎回申请，</w:t>
            </w:r>
            <w:r>
              <w:rPr>
                <w:rFonts w:hint="eastAsia" w:ascii="楷体" w:hAnsi="楷体" w:eastAsia="楷体" w:cs="宋体"/>
                <w:b w:val="0"/>
                <w:bCs w:val="0"/>
                <w:spacing w:val="-2"/>
                <w:sz w:val="18"/>
                <w:szCs w:val="18"/>
                <w:highlight w:val="none"/>
                <w:lang w:val="en-US" w:eastAsia="zh-CN"/>
              </w:rPr>
              <w:t>投资者</w:t>
            </w:r>
            <w:r>
              <w:rPr>
                <w:rFonts w:hint="eastAsia" w:ascii="楷体" w:hAnsi="楷体" w:eastAsia="楷体" w:cs="宋体"/>
                <w:spacing w:val="-2"/>
                <w:sz w:val="18"/>
                <w:szCs w:val="18"/>
                <w:highlight w:val="none"/>
              </w:rPr>
              <w:t>未赎回的部分自动进入下一个投资周期</w:t>
            </w:r>
            <w:r>
              <w:rPr>
                <w:rFonts w:hint="eastAsia" w:ascii="楷体" w:hAnsi="楷体" w:eastAsia="楷体" w:cs="宋体"/>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(其中ZA份额/ZF份额/ZJ份额/ZL份额/ZN份额/ZQ份额/ZC份额/ZK份额由系统主动发起赎回申请，投资者无须发起赎回申请</w:t>
            </w:r>
            <w:r>
              <w:rPr>
                <w:rFonts w:hint="eastAsia" w:ascii="楷体" w:hAnsi="楷体" w:eastAsia="楷体" w:cs="宋体"/>
                <w:b/>
                <w:bCs/>
                <w:color w:val="auto"/>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w:t>
            </w:r>
            <w:r>
              <w:rPr>
                <w:rFonts w:hint="eastAsia" w:ascii="楷体" w:hAnsi="楷体" w:eastAsia="楷体" w:cs="宋体"/>
                <w:b/>
                <w:bCs/>
                <w:spacing w:val="-2"/>
                <w:sz w:val="18"/>
                <w:szCs w:val="18"/>
                <w:highlight w:val="none"/>
                <w:u w:val="single"/>
              </w:rPr>
              <w:t>除开放计划外的其他时间，管理人不接受投资者申购、赎回申请</w:t>
            </w:r>
            <w:r>
              <w:rPr>
                <w:rFonts w:hint="eastAsia" w:ascii="楷体" w:hAnsi="楷体" w:eastAsia="楷体" w:cs="宋体"/>
                <w:b/>
                <w:bCs/>
                <w:spacing w:val="-2"/>
                <w:sz w:val="18"/>
                <w:szCs w:val="18"/>
                <w:highlight w:val="none"/>
                <w:u w:val="single"/>
                <w:lang w:eastAsia="zh-CN"/>
              </w:rPr>
              <w:t>。</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管理人有权根据资产运作情况、节假日安排调整开放计划，并在调整前进行公告。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lang w:val="en-US" w:eastAsia="zh-CN"/>
              </w:rPr>
              <w:t>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巨额申购</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spacing w:line="0" w:lineRule="atLeast"/>
              <w:ind w:left="0" w:leftChars="0" w:right="0" w:rightChars="0"/>
              <w:textAlignment w:val="auto"/>
              <w:rPr>
                <w:rFonts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业绩比较基准（年化）</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lang w:val="en-US" w:eastAsia="zh-CN"/>
              </w:rPr>
              <w:t>1.管理人</w:t>
            </w:r>
            <w:r>
              <w:rPr>
                <w:rFonts w:ascii="楷体" w:hAnsi="楷体" w:eastAsia="楷体" w:cs="宋体"/>
                <w:b/>
                <w:bCs/>
                <w:spacing w:val="-2"/>
                <w:sz w:val="18"/>
                <w:szCs w:val="18"/>
                <w:highlight w:val="none"/>
                <w:u w:val="single"/>
              </w:rPr>
              <w:t>参考过往投资经验，依据近期货币市场工具、</w:t>
            </w:r>
            <w:r>
              <w:rPr>
                <w:rFonts w:hint="eastAsia" w:ascii="楷体" w:hAnsi="楷体" w:eastAsia="楷体" w:cs="宋体"/>
                <w:b/>
                <w:bCs/>
                <w:spacing w:val="-2"/>
                <w:sz w:val="18"/>
                <w:szCs w:val="18"/>
                <w:highlight w:val="none"/>
                <w:u w:val="single"/>
                <w:lang w:val="en-US" w:eastAsia="zh-CN"/>
              </w:rPr>
              <w:t>银行存款（含结构性存款）、</w:t>
            </w:r>
            <w:r>
              <w:rPr>
                <w:rFonts w:ascii="楷体" w:hAnsi="楷体" w:eastAsia="楷体" w:cs="宋体"/>
                <w:b/>
                <w:bCs/>
                <w:spacing w:val="-2"/>
                <w:sz w:val="18"/>
                <w:szCs w:val="18"/>
                <w:highlight w:val="none"/>
                <w:u w:val="single"/>
              </w:rPr>
              <w:t>债券</w:t>
            </w:r>
            <w:r>
              <w:rPr>
                <w:rFonts w:hint="eastAsia" w:ascii="楷体" w:hAnsi="楷体" w:eastAsia="楷体" w:cs="宋体"/>
                <w:b/>
                <w:bCs/>
                <w:spacing w:val="-2"/>
                <w:sz w:val="18"/>
                <w:szCs w:val="18"/>
                <w:highlight w:val="none"/>
                <w:u w:val="single"/>
              </w:rPr>
              <w:t>、非标准化债权</w:t>
            </w:r>
            <w:r>
              <w:rPr>
                <w:rFonts w:ascii="楷体" w:hAnsi="楷体" w:eastAsia="楷体" w:cs="宋体"/>
                <w:b/>
                <w:bCs/>
                <w:spacing w:val="-2"/>
                <w:sz w:val="18"/>
                <w:szCs w:val="18"/>
                <w:highlight w:val="none"/>
                <w:u w:val="single"/>
              </w:rPr>
              <w:t>等资产</w:t>
            </w:r>
            <w:r>
              <w:rPr>
                <w:rFonts w:hint="eastAsia" w:ascii="楷体" w:hAnsi="楷体" w:eastAsia="楷体" w:cs="宋体"/>
                <w:b/>
                <w:bCs/>
                <w:spacing w:val="-2"/>
                <w:sz w:val="18"/>
                <w:szCs w:val="18"/>
                <w:highlight w:val="none"/>
                <w:u w:val="single"/>
              </w:rPr>
              <w:t>投资</w:t>
            </w:r>
            <w:r>
              <w:rPr>
                <w:rFonts w:ascii="楷体" w:hAnsi="楷体" w:eastAsia="楷体" w:cs="宋体"/>
                <w:b/>
                <w:bCs/>
                <w:spacing w:val="-2"/>
                <w:sz w:val="18"/>
                <w:szCs w:val="18"/>
                <w:highlight w:val="none"/>
                <w:u w:val="single"/>
              </w:rPr>
              <w:t>收益水平，在产品说明书约定的投资范围和投资比例内</w:t>
            </w:r>
            <w:r>
              <w:rPr>
                <w:rFonts w:hint="eastAsia" w:ascii="楷体" w:hAnsi="楷体" w:eastAsia="楷体" w:cs="宋体"/>
                <w:b/>
                <w:bCs/>
                <w:spacing w:val="-2"/>
                <w:sz w:val="18"/>
                <w:szCs w:val="18"/>
                <w:highlight w:val="none"/>
                <w:u w:val="single"/>
              </w:rPr>
              <w:t>，综合考虑各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份额收取的销售服务费和投资管理费</w:t>
            </w:r>
            <w:r>
              <w:rPr>
                <w:rFonts w:hint="eastAsia" w:ascii="楷体" w:hAnsi="楷体" w:eastAsia="楷体" w:cs="宋体"/>
                <w:b/>
                <w:bCs/>
                <w:spacing w:val="-2"/>
                <w:sz w:val="18"/>
                <w:szCs w:val="18"/>
                <w:highlight w:val="none"/>
                <w:u w:val="single"/>
                <w:lang w:val="en-US" w:eastAsia="zh-CN"/>
              </w:rPr>
              <w:t>等费用</w:t>
            </w:r>
            <w:r>
              <w:rPr>
                <w:rFonts w:hint="eastAsia" w:ascii="楷体" w:hAnsi="楷体" w:eastAsia="楷体" w:cs="宋体"/>
                <w:b/>
                <w:bCs/>
                <w:spacing w:val="-2"/>
                <w:sz w:val="18"/>
                <w:szCs w:val="18"/>
                <w:highlight w:val="none"/>
                <w:u w:val="single"/>
              </w:rPr>
              <w:t>情况，</w:t>
            </w:r>
            <w:r>
              <w:rPr>
                <w:rFonts w:ascii="楷体" w:hAnsi="楷体" w:eastAsia="楷体" w:cs="宋体"/>
                <w:b/>
                <w:bCs/>
                <w:spacing w:val="-2"/>
                <w:sz w:val="18"/>
                <w:szCs w:val="18"/>
                <w:highlight w:val="none"/>
                <w:u w:val="single"/>
              </w:rPr>
              <w:t>模拟测算得出</w:t>
            </w:r>
            <w:r>
              <w:rPr>
                <w:rFonts w:hint="eastAsia" w:ascii="楷体" w:hAnsi="楷体" w:eastAsia="楷体" w:cs="宋体"/>
                <w:b/>
                <w:bCs/>
                <w:spacing w:val="-2"/>
                <w:sz w:val="18"/>
                <w:szCs w:val="18"/>
                <w:highlight w:val="none"/>
                <w:u w:val="single"/>
              </w:rPr>
              <w:t>业绩比较基准。</w:t>
            </w:r>
          </w:p>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kern w:val="0"/>
                <w:sz w:val="18"/>
                <w:szCs w:val="18"/>
                <w:highlight w:val="none"/>
                <w:lang w:val="en-US" w:eastAsia="zh-CN" w:bidi="ar-SA"/>
              </w:rPr>
            </w:pPr>
            <w:r>
              <w:rPr>
                <w:rFonts w:hint="eastAsia" w:ascii="楷体" w:hAnsi="楷体" w:eastAsia="楷体" w:cs="宋体"/>
                <w:b/>
                <w:bCs/>
                <w:spacing w:val="-2"/>
                <w:sz w:val="18"/>
                <w:szCs w:val="18"/>
                <w:highlight w:val="none"/>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bCs/>
                <w:spacing w:val="-2"/>
                <w:sz w:val="18"/>
                <w:szCs w:val="18"/>
                <w:highlight w:val="none"/>
                <w:u w:val="single"/>
              </w:rPr>
              <w:t>。</w:t>
            </w:r>
            <w:r>
              <w:rPr>
                <w:rFonts w:hint="eastAsia" w:ascii="楷体" w:hAnsi="楷体" w:eastAsia="楷体" w:cs="宋体"/>
                <w:spacing w:val="-2"/>
                <w:kern w:val="0"/>
                <w:sz w:val="18"/>
                <w:szCs w:val="18"/>
                <w:highlight w:val="none"/>
                <w:lang w:val="en-US" w:eastAsia="zh-CN" w:bidi="ar-SA"/>
              </w:rPr>
              <w:t>各类份额最新投资周期（2026年6月5日-2027年6月24日）业绩比较基准如下：</w:t>
            </w:r>
          </w:p>
          <w:tbl>
            <w:tblPr>
              <w:tblStyle w:val="15"/>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03"/>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highlight w:val="none"/>
                    </w:rPr>
                  </w:pPr>
                  <w:r>
                    <w:rPr>
                      <w:rFonts w:hint="eastAsia" w:ascii="楷体" w:hAnsi="楷体" w:eastAsia="楷体"/>
                      <w:sz w:val="18"/>
                      <w:szCs w:val="18"/>
                      <w:highlight w:val="none"/>
                    </w:rPr>
                    <w:t>投资周期</w:t>
                  </w:r>
                </w:p>
              </w:tc>
              <w:tc>
                <w:tcPr>
                  <w:tcW w:w="1871" w:type="dxa"/>
                  <w:vAlign w:val="center"/>
                </w:tcPr>
                <w:p>
                  <w:pPr>
                    <w:jc w:val="center"/>
                    <w:rPr>
                      <w:rFonts w:hint="eastAsia" w:ascii="楷体" w:hAnsi="楷体" w:eastAsia="楷体"/>
                      <w:sz w:val="18"/>
                      <w:szCs w:val="18"/>
                      <w:highlight w:val="none"/>
                    </w:rPr>
                  </w:pPr>
                  <w:r>
                    <w:rPr>
                      <w:rFonts w:hint="eastAsia" w:ascii="楷体" w:hAnsi="楷体" w:eastAsia="楷体"/>
                      <w:sz w:val="18"/>
                      <w:szCs w:val="18"/>
                      <w:highlight w:val="none"/>
                    </w:rPr>
                    <w:t>投资周期起始日</w:t>
                  </w:r>
                </w:p>
              </w:tc>
              <w:tc>
                <w:tcPr>
                  <w:tcW w:w="1803" w:type="dxa"/>
                  <w:vAlign w:val="center"/>
                </w:tcPr>
                <w:p>
                  <w:pPr>
                    <w:jc w:val="center"/>
                    <w:rPr>
                      <w:rFonts w:hint="eastAsia" w:ascii="楷体" w:hAnsi="楷体" w:eastAsia="楷体"/>
                      <w:sz w:val="18"/>
                      <w:szCs w:val="18"/>
                      <w:highlight w:val="none"/>
                    </w:rPr>
                  </w:pPr>
                  <w:r>
                    <w:rPr>
                      <w:rFonts w:hint="eastAsia" w:ascii="楷体" w:hAnsi="楷体" w:eastAsia="楷体"/>
                      <w:sz w:val="18"/>
                      <w:szCs w:val="18"/>
                      <w:highlight w:val="none"/>
                    </w:rPr>
                    <w:t>投资周期终止日</w:t>
                  </w:r>
                </w:p>
              </w:tc>
              <w:tc>
                <w:tcPr>
                  <w:tcW w:w="2701" w:type="dxa"/>
                  <w:vAlign w:val="center"/>
                </w:tcPr>
                <w:p>
                  <w:pPr>
                    <w:jc w:val="center"/>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业绩比较基准</w:t>
                  </w:r>
                </w:p>
                <w:p>
                  <w:pPr>
                    <w:jc w:val="center"/>
                    <w:rPr>
                      <w:rFonts w:hint="default" w:ascii="楷体" w:hAnsi="楷体" w:eastAsia="楷体"/>
                      <w:sz w:val="18"/>
                      <w:szCs w:val="18"/>
                      <w:highlight w:val="none"/>
                      <w:lang w:val="en-US" w:eastAsia="zh-CN"/>
                    </w:rPr>
                  </w:pPr>
                  <w:r>
                    <w:rPr>
                      <w:rFonts w:hint="eastAsia" w:ascii="楷体" w:hAnsi="楷体" w:eastAsia="楷体"/>
                      <w:sz w:val="18"/>
                      <w:szCs w:val="18"/>
                      <w:highlight w:val="none"/>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1</w:t>
                  </w:r>
                </w:p>
              </w:tc>
              <w:tc>
                <w:tcPr>
                  <w:tcW w:w="1871" w:type="dxa"/>
                  <w:vAlign w:val="center"/>
                </w:tcPr>
                <w:p>
                  <w:pPr>
                    <w:spacing w:before="0" w:after="0" w:line="0" w:lineRule="atLeast"/>
                    <w:jc w:val="center"/>
                  </w:pPr>
                  <w:r>
                    <w:rPr>
                      <w:rFonts w:ascii="楷体" w:hAnsi="楷体" w:eastAsia="楷体"/>
                      <w:sz w:val="18"/>
                    </w:rPr>
                    <w:t>2021年4月7日</w:t>
                  </w:r>
                </w:p>
              </w:tc>
              <w:tc>
                <w:tcPr>
                  <w:tcW w:w="1803" w:type="dxa"/>
                  <w:vAlign w:val="center"/>
                </w:tcPr>
                <w:p>
                  <w:pPr>
                    <w:spacing w:before="0" w:after="0" w:line="0" w:lineRule="atLeast"/>
                    <w:jc w:val="center"/>
                  </w:pPr>
                  <w:r>
                    <w:rPr>
                      <w:rFonts w:ascii="楷体" w:hAnsi="楷体" w:eastAsia="楷体"/>
                      <w:sz w:val="18"/>
                    </w:rPr>
                    <w:t>2022年4月28日</w:t>
                  </w:r>
                </w:p>
              </w:tc>
              <w:tc>
                <w:tcPr>
                  <w:tcW w:w="2701" w:type="dxa"/>
                  <w:vAlign w:val="center"/>
                </w:tcPr>
                <w:p>
                  <w:pPr>
                    <w:spacing w:before="0" w:after="0" w:line="0" w:lineRule="atLeast"/>
                    <w:jc w:val="center"/>
                  </w:pPr>
                  <w:r>
                    <w:rPr>
                      <w:rFonts w:ascii="楷体" w:hAnsi="楷体" w:eastAsia="楷体"/>
                      <w:sz w:val="18"/>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2</w:t>
                  </w:r>
                </w:p>
              </w:tc>
              <w:tc>
                <w:tcPr>
                  <w:tcW w:w="1871" w:type="dxa"/>
                  <w:vAlign w:val="center"/>
                </w:tcPr>
                <w:p>
                  <w:pPr>
                    <w:spacing w:before="0" w:after="0" w:line="0" w:lineRule="atLeast"/>
                    <w:jc w:val="center"/>
                  </w:pPr>
                  <w:r>
                    <w:rPr>
                      <w:rFonts w:ascii="楷体" w:hAnsi="楷体" w:eastAsia="楷体"/>
                      <w:sz w:val="18"/>
                    </w:rPr>
                    <w:t>2022年4月29日</w:t>
                  </w:r>
                </w:p>
              </w:tc>
              <w:tc>
                <w:tcPr>
                  <w:tcW w:w="1803" w:type="dxa"/>
                  <w:vAlign w:val="center"/>
                </w:tcPr>
                <w:p>
                  <w:pPr>
                    <w:spacing w:before="0" w:after="0" w:line="0" w:lineRule="atLeast"/>
                    <w:jc w:val="center"/>
                  </w:pPr>
                  <w:r>
                    <w:rPr>
                      <w:rFonts w:ascii="楷体" w:hAnsi="楷体" w:eastAsia="楷体"/>
                      <w:sz w:val="18"/>
                    </w:rPr>
                    <w:t>2023年4月27日</w:t>
                  </w:r>
                </w:p>
              </w:tc>
              <w:tc>
                <w:tcPr>
                  <w:tcW w:w="2701" w:type="dxa"/>
                  <w:vAlign w:val="center"/>
                </w:tcPr>
                <w:p>
                  <w:pPr>
                    <w:spacing w:before="0" w:after="0" w:line="0" w:lineRule="atLeast"/>
                    <w:jc w:val="center"/>
                  </w:pPr>
                  <w:r>
                    <w:rPr>
                      <w:rFonts w:ascii="楷体" w:hAnsi="楷体" w:eastAsia="楷体"/>
                      <w:sz w:val="18"/>
                    </w:rPr>
                    <w:t>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3</w:t>
                  </w:r>
                </w:p>
              </w:tc>
              <w:tc>
                <w:tcPr>
                  <w:tcW w:w="1871" w:type="dxa"/>
                  <w:vAlign w:val="center"/>
                </w:tcPr>
                <w:p>
                  <w:pPr>
                    <w:spacing w:before="0" w:after="0" w:line="0" w:lineRule="atLeast"/>
                    <w:jc w:val="center"/>
                  </w:pPr>
                  <w:r>
                    <w:rPr>
                      <w:rFonts w:ascii="楷体" w:hAnsi="楷体" w:eastAsia="楷体"/>
                      <w:sz w:val="18"/>
                    </w:rPr>
                    <w:t>2023年4月28日</w:t>
                  </w:r>
                </w:p>
              </w:tc>
              <w:tc>
                <w:tcPr>
                  <w:tcW w:w="1803" w:type="dxa"/>
                  <w:vAlign w:val="center"/>
                </w:tcPr>
                <w:p>
                  <w:pPr>
                    <w:spacing w:before="0" w:after="0" w:line="0" w:lineRule="atLeast"/>
                    <w:jc w:val="center"/>
                  </w:pPr>
                  <w:r>
                    <w:rPr>
                      <w:rFonts w:ascii="楷体" w:hAnsi="楷体" w:eastAsia="楷体"/>
                      <w:sz w:val="18"/>
                    </w:rPr>
                    <w:t>2024年5月6日</w:t>
                  </w:r>
                </w:p>
              </w:tc>
              <w:tc>
                <w:tcPr>
                  <w:tcW w:w="2701" w:type="dxa"/>
                  <w:vAlign w:val="center"/>
                </w:tcPr>
                <w:p>
                  <w:pPr>
                    <w:spacing w:before="0" w:after="0" w:line="0" w:lineRule="atLeast"/>
                    <w:jc w:val="center"/>
                  </w:pPr>
                  <w:r>
                    <w:rPr>
                      <w:rFonts w:ascii="楷体" w:hAnsi="楷体" w:eastAsia="楷体"/>
                      <w:sz w:val="18"/>
                    </w:rPr>
                    <w:t>A份额 4</w:t>
                  </w:r>
                  <w:r>
                    <w:rPr>
                      <w:rFonts w:hint="eastAsia" w:ascii="楷体" w:hAnsi="楷体" w:eastAsia="楷体"/>
                      <w:sz w:val="18"/>
                      <w:lang w:val="en-US" w:eastAsia="zh-CN"/>
                    </w:rPr>
                    <w:t>.00</w:t>
                  </w:r>
                  <w:r>
                    <w:rPr>
                      <w:rFonts w:ascii="楷体" w:hAnsi="楷体" w:eastAsia="楷体"/>
                      <w:sz w:val="18"/>
                    </w:rPr>
                    <w:t>%</w:t>
                  </w:r>
                  <w:r>
                    <w:rPr>
                      <w:rFonts w:ascii="楷体" w:hAnsi="楷体" w:eastAsia="楷体"/>
                      <w:sz w:val="18"/>
                    </w:rPr>
                    <w:br w:type="textWrapping"/>
                  </w:r>
                  <w:r>
                    <w:rPr>
                      <w:rFonts w:ascii="楷体" w:hAnsi="楷体" w:eastAsia="楷体"/>
                      <w:sz w:val="18"/>
                    </w:rPr>
                    <w:t>B份额 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4</w:t>
                  </w:r>
                </w:p>
              </w:tc>
              <w:tc>
                <w:tcPr>
                  <w:tcW w:w="1871" w:type="dxa"/>
                  <w:vAlign w:val="center"/>
                </w:tcPr>
                <w:p>
                  <w:pPr>
                    <w:spacing w:before="0" w:after="0" w:line="0" w:lineRule="atLeast"/>
                    <w:jc w:val="center"/>
                  </w:pPr>
                  <w:r>
                    <w:rPr>
                      <w:rFonts w:ascii="楷体" w:hAnsi="楷体" w:eastAsia="楷体"/>
                      <w:sz w:val="18"/>
                    </w:rPr>
                    <w:t>2024年5月7日</w:t>
                  </w:r>
                </w:p>
              </w:tc>
              <w:tc>
                <w:tcPr>
                  <w:tcW w:w="1803" w:type="dxa"/>
                  <w:vAlign w:val="center"/>
                </w:tcPr>
                <w:p>
                  <w:pPr>
                    <w:spacing w:before="0" w:after="0" w:line="0" w:lineRule="atLeast"/>
                    <w:jc w:val="center"/>
                  </w:pPr>
                  <w:r>
                    <w:rPr>
                      <w:rFonts w:ascii="楷体" w:hAnsi="楷体" w:eastAsia="楷体"/>
                      <w:sz w:val="18"/>
                    </w:rPr>
                    <w:t>2025年5月12日</w:t>
                  </w:r>
                </w:p>
              </w:tc>
              <w:tc>
                <w:tcPr>
                  <w:tcW w:w="2701" w:type="dxa"/>
                  <w:vAlign w:val="center"/>
                </w:tcPr>
                <w:p>
                  <w:pPr>
                    <w:spacing w:before="0" w:after="0" w:line="0" w:lineRule="atLeast"/>
                    <w:jc w:val="center"/>
                  </w:pPr>
                  <w:r>
                    <w:rPr>
                      <w:rFonts w:ascii="楷体" w:hAnsi="楷体" w:eastAsia="楷体"/>
                      <w:sz w:val="18"/>
                    </w:rPr>
                    <w:t>A份额3.05%-3.65%</w:t>
                  </w:r>
                  <w:r>
                    <w:rPr>
                      <w:rFonts w:ascii="楷体" w:hAnsi="楷体" w:eastAsia="楷体"/>
                      <w:sz w:val="18"/>
                    </w:rPr>
                    <w:br w:type="textWrapping"/>
                  </w:r>
                  <w:r>
                    <w:rPr>
                      <w:rFonts w:ascii="楷体" w:hAnsi="楷体" w:eastAsia="楷体"/>
                      <w:sz w:val="18"/>
                    </w:rPr>
                    <w:t>B份额3.08%-3.68%</w:t>
                  </w:r>
                  <w:r>
                    <w:rPr>
                      <w:rFonts w:ascii="楷体" w:hAnsi="楷体" w:eastAsia="楷体"/>
                      <w:sz w:val="18"/>
                    </w:rPr>
                    <w:br w:type="textWrapping"/>
                  </w:r>
                  <w:r>
                    <w:rPr>
                      <w:rFonts w:ascii="楷体" w:hAnsi="楷体" w:eastAsia="楷体"/>
                      <w:sz w:val="18"/>
                    </w:rPr>
                    <w:t>D份额3.20%-3.80%</w:t>
                  </w:r>
                  <w:r>
                    <w:rPr>
                      <w:rFonts w:ascii="楷体" w:hAnsi="楷体" w:eastAsia="楷体"/>
                      <w:sz w:val="18"/>
                    </w:rPr>
                    <w:br w:type="textWrapping"/>
                  </w:r>
                  <w:r>
                    <w:rPr>
                      <w:rFonts w:ascii="楷体" w:hAnsi="楷体" w:eastAsia="楷体"/>
                      <w:sz w:val="18"/>
                    </w:rPr>
                    <w:t>F份额3.05%-3.65%</w:t>
                  </w:r>
                  <w:r>
                    <w:rPr>
                      <w:rFonts w:ascii="楷体" w:hAnsi="楷体" w:eastAsia="楷体"/>
                      <w:sz w:val="18"/>
                    </w:rPr>
                    <w:br w:type="textWrapping"/>
                  </w:r>
                  <w:r>
                    <w:rPr>
                      <w:rFonts w:ascii="楷体" w:hAnsi="楷体" w:eastAsia="楷体"/>
                      <w:sz w:val="18"/>
                    </w:rPr>
                    <w:t>G份额3.10%-3.70%</w:t>
                  </w:r>
                  <w:r>
                    <w:rPr>
                      <w:rFonts w:ascii="楷体" w:hAnsi="楷体" w:eastAsia="楷体"/>
                      <w:sz w:val="18"/>
                    </w:rPr>
                    <w:br w:type="textWrapping"/>
                  </w:r>
                  <w:r>
                    <w:rPr>
                      <w:rFonts w:ascii="楷体" w:hAnsi="楷体" w:eastAsia="楷体"/>
                      <w:sz w:val="18"/>
                    </w:rPr>
                    <w:t>J份额3.15%-3.75%</w:t>
                  </w:r>
                  <w:r>
                    <w:rPr>
                      <w:rFonts w:ascii="楷体" w:hAnsi="楷体" w:eastAsia="楷体"/>
                      <w:sz w:val="18"/>
                    </w:rPr>
                    <w:br w:type="textWrapping"/>
                  </w:r>
                  <w:r>
                    <w:rPr>
                      <w:rFonts w:ascii="楷体" w:hAnsi="楷体" w:eastAsia="楷体"/>
                      <w:sz w:val="18"/>
                    </w:rPr>
                    <w:t>M份额 3.15%-3.75%</w:t>
                  </w:r>
                  <w:r>
                    <w:rPr>
                      <w:rFonts w:ascii="楷体" w:hAnsi="楷体" w:eastAsia="楷体"/>
                      <w:sz w:val="18"/>
                    </w:rPr>
                    <w:br w:type="textWrapping"/>
                  </w:r>
                  <w:r>
                    <w:rPr>
                      <w:rFonts w:ascii="楷体" w:hAnsi="楷体" w:eastAsia="楷体"/>
                      <w:sz w:val="18"/>
                    </w:rPr>
                    <w:t>ZA份额3.05%-3.65%</w:t>
                  </w:r>
                  <w:r>
                    <w:rPr>
                      <w:rFonts w:ascii="楷体" w:hAnsi="楷体" w:eastAsia="楷体"/>
                      <w:sz w:val="18"/>
                    </w:rPr>
                    <w:br w:type="textWrapping"/>
                  </w:r>
                  <w:r>
                    <w:rPr>
                      <w:rFonts w:ascii="楷体" w:hAnsi="楷体" w:eastAsia="楷体"/>
                      <w:sz w:val="18"/>
                    </w:rPr>
                    <w:t>ZF份额3.05%-3.65%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ascii="楷体" w:hAnsi="楷体" w:eastAsia="楷体"/>
                      <w:sz w:val="18"/>
                    </w:rPr>
                    <w:t>5</w:t>
                  </w:r>
                </w:p>
              </w:tc>
              <w:tc>
                <w:tcPr>
                  <w:tcW w:w="1871" w:type="dxa"/>
                  <w:vAlign w:val="center"/>
                </w:tcPr>
                <w:p>
                  <w:pPr>
                    <w:spacing w:before="0" w:after="0" w:line="0" w:lineRule="atLeast"/>
                    <w:jc w:val="center"/>
                  </w:pPr>
                  <w:r>
                    <w:rPr>
                      <w:rFonts w:ascii="楷体" w:hAnsi="楷体" w:eastAsia="楷体"/>
                      <w:sz w:val="18"/>
                    </w:rPr>
                    <w:t>2025年5月13日</w:t>
                  </w:r>
                </w:p>
              </w:tc>
              <w:tc>
                <w:tcPr>
                  <w:tcW w:w="1803" w:type="dxa"/>
                  <w:vAlign w:val="center"/>
                </w:tcPr>
                <w:p>
                  <w:pPr>
                    <w:spacing w:before="0" w:after="0" w:line="0" w:lineRule="atLeast"/>
                    <w:jc w:val="center"/>
                  </w:pPr>
                  <w:r>
                    <w:rPr>
                      <w:rFonts w:ascii="楷体" w:hAnsi="楷体" w:eastAsia="楷体"/>
                      <w:sz w:val="18"/>
                    </w:rPr>
                    <w:t>2026年6月4日</w:t>
                  </w:r>
                </w:p>
              </w:tc>
              <w:tc>
                <w:tcPr>
                  <w:tcW w:w="2701" w:type="dxa"/>
                  <w:vAlign w:val="center"/>
                </w:tcPr>
                <w:p>
                  <w:pPr>
                    <w:spacing w:before="0" w:after="0" w:line="0" w:lineRule="atLeast"/>
                    <w:jc w:val="center"/>
                  </w:pPr>
                  <w:r>
                    <w:rPr>
                      <w:rFonts w:ascii="楷体" w:hAnsi="楷体" w:eastAsia="楷体"/>
                      <w:sz w:val="18"/>
                    </w:rPr>
                    <w:t>A份额 2.60%-3.20%</w:t>
                  </w:r>
                  <w:r>
                    <w:rPr>
                      <w:rFonts w:ascii="楷体" w:hAnsi="楷体" w:eastAsia="楷体"/>
                      <w:sz w:val="18"/>
                    </w:rPr>
                    <w:br w:type="textWrapping"/>
                  </w:r>
                  <w:r>
                    <w:rPr>
                      <w:rFonts w:ascii="楷体" w:hAnsi="楷体" w:eastAsia="楷体"/>
                      <w:sz w:val="18"/>
                    </w:rPr>
                    <w:t>B份额 2.63%-3.23%</w:t>
                  </w:r>
                  <w:r>
                    <w:rPr>
                      <w:rFonts w:ascii="楷体" w:hAnsi="楷体" w:eastAsia="楷体"/>
                      <w:sz w:val="18"/>
                    </w:rPr>
                    <w:br w:type="textWrapping"/>
                  </w:r>
                  <w:r>
                    <w:rPr>
                      <w:rFonts w:ascii="楷体" w:hAnsi="楷体" w:eastAsia="楷体"/>
                      <w:sz w:val="18"/>
                    </w:rPr>
                    <w:t>D份额 2.75%-3.35%</w:t>
                  </w:r>
                  <w:r>
                    <w:rPr>
                      <w:rFonts w:ascii="楷体" w:hAnsi="楷体" w:eastAsia="楷体"/>
                      <w:sz w:val="18"/>
                    </w:rPr>
                    <w:br w:type="textWrapping"/>
                  </w:r>
                  <w:r>
                    <w:rPr>
                      <w:rFonts w:ascii="楷体" w:hAnsi="楷体" w:eastAsia="楷体"/>
                      <w:sz w:val="18"/>
                    </w:rPr>
                    <w:t>F份额 2.60%-3.20%</w:t>
                  </w:r>
                  <w:r>
                    <w:rPr>
                      <w:rFonts w:ascii="楷体" w:hAnsi="楷体" w:eastAsia="楷体"/>
                      <w:sz w:val="18"/>
                    </w:rPr>
                    <w:br w:type="textWrapping"/>
                  </w:r>
                  <w:r>
                    <w:rPr>
                      <w:rFonts w:ascii="楷体" w:hAnsi="楷体" w:eastAsia="楷体"/>
                      <w:sz w:val="18"/>
                    </w:rPr>
                    <w:t>G份额 2.65%-3.25%</w:t>
                  </w:r>
                  <w:r>
                    <w:rPr>
                      <w:rFonts w:ascii="楷体" w:hAnsi="楷体" w:eastAsia="楷体"/>
                      <w:sz w:val="18"/>
                    </w:rPr>
                    <w:br w:type="textWrapping"/>
                  </w:r>
                  <w:r>
                    <w:rPr>
                      <w:rFonts w:ascii="楷体" w:hAnsi="楷体" w:eastAsia="楷体"/>
                      <w:sz w:val="18"/>
                    </w:rPr>
                    <w:t>J份额 2.70%-3.30%</w:t>
                  </w:r>
                  <w:r>
                    <w:rPr>
                      <w:rFonts w:ascii="楷体" w:hAnsi="楷体" w:eastAsia="楷体"/>
                      <w:sz w:val="18"/>
                    </w:rPr>
                    <w:br w:type="textWrapping"/>
                  </w:r>
                  <w:r>
                    <w:rPr>
                      <w:rFonts w:ascii="楷体" w:hAnsi="楷体" w:eastAsia="楷体"/>
                      <w:sz w:val="18"/>
                    </w:rPr>
                    <w:t>M份额 2.70%-3.30%</w:t>
                  </w:r>
                  <w:r>
                    <w:rPr>
                      <w:rFonts w:ascii="楷体" w:hAnsi="楷体" w:eastAsia="楷体"/>
                      <w:sz w:val="18"/>
                    </w:rPr>
                    <w:br w:type="textWrapping"/>
                  </w:r>
                  <w:r>
                    <w:rPr>
                      <w:rFonts w:ascii="楷体" w:hAnsi="楷体" w:eastAsia="楷体"/>
                      <w:sz w:val="18"/>
                    </w:rPr>
                    <w:t>P份额 2.80%-3.40%</w:t>
                  </w:r>
                  <w:r>
                    <w:rPr>
                      <w:rFonts w:ascii="楷体" w:hAnsi="楷体" w:eastAsia="楷体"/>
                      <w:sz w:val="18"/>
                    </w:rPr>
                    <w:br w:type="textWrapping"/>
                  </w:r>
                  <w:r>
                    <w:rPr>
                      <w:rFonts w:ascii="楷体" w:hAnsi="楷体" w:eastAsia="楷体"/>
                      <w:sz w:val="18"/>
                    </w:rPr>
                    <w:t>V份额 2.75%-3.35%</w:t>
                  </w:r>
                  <w:r>
                    <w:rPr>
                      <w:rFonts w:ascii="楷体" w:hAnsi="楷体" w:eastAsia="楷体"/>
                      <w:sz w:val="18"/>
                    </w:rPr>
                    <w:br w:type="textWrapping"/>
                  </w:r>
                  <w:r>
                    <w:rPr>
                      <w:rFonts w:ascii="楷体" w:hAnsi="楷体" w:eastAsia="楷体"/>
                      <w:sz w:val="18"/>
                    </w:rPr>
                    <w:t>ZA份额 2.60%-3.20%</w:t>
                  </w:r>
                  <w:r>
                    <w:rPr>
                      <w:rFonts w:ascii="楷体" w:hAnsi="楷体" w:eastAsia="楷体"/>
                      <w:sz w:val="18"/>
                    </w:rPr>
                    <w:br w:type="textWrapping"/>
                  </w:r>
                  <w:r>
                    <w:rPr>
                      <w:rFonts w:ascii="楷体" w:hAnsi="楷体" w:eastAsia="楷体"/>
                      <w:sz w:val="18"/>
                    </w:rPr>
                    <w:t>ZF份额 2.60%-3.20%</w:t>
                  </w:r>
                  <w:r>
                    <w:rPr>
                      <w:rFonts w:ascii="楷体" w:hAnsi="楷体" w:eastAsia="楷体"/>
                      <w:sz w:val="18"/>
                    </w:rPr>
                    <w:br w:type="textWrapping"/>
                  </w:r>
                  <w:r>
                    <w:rPr>
                      <w:rFonts w:ascii="楷体" w:hAnsi="楷体" w:eastAsia="楷体"/>
                      <w:sz w:val="18"/>
                    </w:rPr>
                    <w:t>ZN份额 2.79%-3.39%</w:t>
                  </w:r>
                  <w:r>
                    <w:rPr>
                      <w:rFonts w:ascii="楷体" w:hAnsi="楷体" w:eastAsia="楷体"/>
                      <w:sz w:val="18"/>
                    </w:rPr>
                    <w:br w:type="textWrapping"/>
                  </w:r>
                  <w:r>
                    <w:rPr>
                      <w:rFonts w:ascii="楷体" w:hAnsi="楷体" w:eastAsia="楷体"/>
                      <w:sz w:val="18"/>
                    </w:rPr>
                    <w:t>ZQ份额 2.55%-3.15%</w:t>
                  </w:r>
                  <w:r>
                    <w:rPr>
                      <w:rFonts w:ascii="楷体" w:hAnsi="楷体" w:eastAsia="楷体"/>
                      <w:sz w:val="18"/>
                    </w:rPr>
                    <w:br w:type="textWrapping"/>
                  </w:r>
                  <w:r>
                    <w:rPr>
                      <w:rFonts w:ascii="楷体" w:hAnsi="楷体" w:eastAsia="楷体"/>
                      <w:sz w:val="18"/>
                    </w:rPr>
                    <w:t>ZR份额 2.85%-3.45%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0" w:type="dxa"/>
                  <w:vAlign w:val="center"/>
                </w:tcPr>
                <w:p>
                  <w:pPr>
                    <w:spacing w:before="0" w:after="0" w:line="0" w:lineRule="atLeast"/>
                    <w:jc w:val="center"/>
                  </w:pPr>
                  <w:r>
                    <w:rPr>
                      <w:rFonts w:hint="eastAsia" w:ascii="楷体" w:hAnsi="楷体" w:eastAsia="楷体"/>
                      <w:sz w:val="18"/>
                      <w:lang w:val="en-US" w:eastAsia="zh-CN"/>
                    </w:rPr>
                    <w:t>6</w:t>
                  </w:r>
                </w:p>
              </w:tc>
              <w:tc>
                <w:tcPr>
                  <w:tcW w:w="1871" w:type="dxa"/>
                  <w:vAlign w:val="center"/>
                </w:tcPr>
                <w:p>
                  <w:pPr>
                    <w:spacing w:before="0" w:after="0" w:line="0" w:lineRule="atLeast"/>
                    <w:jc w:val="center"/>
                  </w:pPr>
                  <w:r>
                    <w:rPr>
                      <w:rFonts w:ascii="楷体" w:hAnsi="楷体" w:eastAsia="楷体"/>
                      <w:sz w:val="18"/>
                    </w:rPr>
                    <w:t>2026年6月5日</w:t>
                  </w:r>
                </w:p>
              </w:tc>
              <w:tc>
                <w:tcPr>
                  <w:tcW w:w="1803" w:type="dxa"/>
                  <w:vAlign w:val="center"/>
                </w:tcPr>
                <w:p>
                  <w:pPr>
                    <w:spacing w:before="0" w:after="0" w:line="0" w:lineRule="atLeast"/>
                    <w:jc w:val="center"/>
                  </w:pPr>
                  <w:r>
                    <w:rPr>
                      <w:rFonts w:ascii="楷体" w:hAnsi="楷体" w:eastAsia="楷体"/>
                      <w:sz w:val="18"/>
                    </w:rPr>
                    <w:t>2027年6月24日</w:t>
                  </w:r>
                </w:p>
              </w:tc>
              <w:tc>
                <w:tcPr>
                  <w:tcW w:w="2701" w:type="dxa"/>
                  <w:vAlign w:val="center"/>
                </w:tcPr>
                <w:p>
                  <w:pPr>
                    <w:spacing w:before="0" w:after="0" w:line="0" w:lineRule="atLeast"/>
                    <w:jc w:val="center"/>
                  </w:pPr>
                  <w:r>
                    <w:rPr>
                      <w:rFonts w:ascii="楷体" w:hAnsi="楷体" w:eastAsia="楷体"/>
                      <w:sz w:val="18"/>
                    </w:rPr>
                    <w:t>A份额2.45%-3.05%</w:t>
                  </w:r>
                  <w:r>
                    <w:rPr>
                      <w:rFonts w:ascii="楷体" w:hAnsi="楷体" w:eastAsia="楷体"/>
                      <w:sz w:val="18"/>
                    </w:rPr>
                    <w:br w:type="textWrapping"/>
                  </w:r>
                  <w:r>
                    <w:rPr>
                      <w:rFonts w:ascii="楷体" w:hAnsi="楷体" w:eastAsia="楷体"/>
                      <w:sz w:val="18"/>
                    </w:rPr>
                    <w:t>B份额2.48%-3.08%</w:t>
                  </w:r>
                  <w:r>
                    <w:rPr>
                      <w:rFonts w:ascii="楷体" w:hAnsi="楷体" w:eastAsia="楷体"/>
                      <w:sz w:val="18"/>
                    </w:rPr>
                    <w:br w:type="textWrapping"/>
                  </w:r>
                  <w:r>
                    <w:rPr>
                      <w:rFonts w:ascii="楷体" w:hAnsi="楷体" w:eastAsia="楷体"/>
                      <w:sz w:val="18"/>
                    </w:rPr>
                    <w:t>C份额2.50%-3.10%</w:t>
                  </w:r>
                  <w:r>
                    <w:rPr>
                      <w:rFonts w:ascii="楷体" w:hAnsi="楷体" w:eastAsia="楷体"/>
                      <w:sz w:val="18"/>
                    </w:rPr>
                    <w:br w:type="textWrapping"/>
                  </w:r>
                  <w:r>
                    <w:rPr>
                      <w:rFonts w:ascii="楷体" w:hAnsi="楷体" w:eastAsia="楷体"/>
                      <w:sz w:val="18"/>
                    </w:rPr>
                    <w:t>D份额2.60%-3.20%</w:t>
                  </w:r>
                  <w:r>
                    <w:rPr>
                      <w:rFonts w:ascii="楷体" w:hAnsi="楷体" w:eastAsia="楷体"/>
                      <w:sz w:val="18"/>
                    </w:rPr>
                    <w:br w:type="textWrapping"/>
                  </w:r>
                  <w:r>
                    <w:rPr>
                      <w:rFonts w:ascii="楷体" w:hAnsi="楷体" w:eastAsia="楷体"/>
                      <w:sz w:val="18"/>
                    </w:rPr>
                    <w:t>F份额2.45%-3.05%</w:t>
                  </w:r>
                  <w:r>
                    <w:rPr>
                      <w:rFonts w:ascii="楷体" w:hAnsi="楷体" w:eastAsia="楷体"/>
                      <w:sz w:val="18"/>
                    </w:rPr>
                    <w:br w:type="textWrapping"/>
                  </w:r>
                  <w:r>
                    <w:rPr>
                      <w:rFonts w:ascii="楷体" w:hAnsi="楷体" w:eastAsia="楷体"/>
                      <w:sz w:val="18"/>
                    </w:rPr>
                    <w:t>G份额2.48%-3.08%</w:t>
                  </w:r>
                  <w:r>
                    <w:rPr>
                      <w:rFonts w:ascii="楷体" w:hAnsi="楷体" w:eastAsia="楷体"/>
                      <w:sz w:val="18"/>
                    </w:rPr>
                    <w:br w:type="textWrapping"/>
                  </w:r>
                  <w:r>
                    <w:rPr>
                      <w:rFonts w:ascii="楷体" w:hAnsi="楷体" w:eastAsia="楷体"/>
                      <w:sz w:val="18"/>
                    </w:rPr>
                    <w:t>J份额2.55%-3.15%</w:t>
                  </w:r>
                  <w:r>
                    <w:rPr>
                      <w:rFonts w:ascii="楷体" w:hAnsi="楷体" w:eastAsia="楷体"/>
                      <w:sz w:val="18"/>
                    </w:rPr>
                    <w:br w:type="textWrapping"/>
                  </w:r>
                  <w:r>
                    <w:rPr>
                      <w:rFonts w:ascii="楷体" w:hAnsi="楷体" w:eastAsia="楷体"/>
                      <w:sz w:val="18"/>
                    </w:rPr>
                    <w:t>M份额2.55%-3.15%</w:t>
                  </w:r>
                  <w:r>
                    <w:rPr>
                      <w:rFonts w:ascii="楷体" w:hAnsi="楷体" w:eastAsia="楷体"/>
                      <w:sz w:val="18"/>
                    </w:rPr>
                    <w:br w:type="textWrapping"/>
                  </w:r>
                  <w:r>
                    <w:rPr>
                      <w:rFonts w:ascii="楷体" w:hAnsi="楷体" w:eastAsia="楷体"/>
                      <w:sz w:val="18"/>
                    </w:rPr>
                    <w:t>P份额2.65%-3.25%</w:t>
                  </w:r>
                  <w:r>
                    <w:rPr>
                      <w:rFonts w:ascii="楷体" w:hAnsi="楷体" w:eastAsia="楷体"/>
                      <w:sz w:val="18"/>
                    </w:rPr>
                    <w:br w:type="textWrapping"/>
                  </w:r>
                  <w:r>
                    <w:rPr>
                      <w:rFonts w:ascii="楷体" w:hAnsi="楷体" w:eastAsia="楷体"/>
                      <w:sz w:val="18"/>
                    </w:rPr>
                    <w:t>GS份额2.55%-3.15%</w:t>
                  </w:r>
                  <w:r>
                    <w:rPr>
                      <w:rFonts w:ascii="楷体" w:hAnsi="楷体" w:eastAsia="楷体"/>
                      <w:sz w:val="18"/>
                    </w:rPr>
                    <w:br w:type="textWrapping"/>
                  </w:r>
                  <w:r>
                    <w:rPr>
                      <w:rFonts w:ascii="楷体" w:hAnsi="楷体" w:eastAsia="楷体"/>
                      <w:sz w:val="18"/>
                    </w:rPr>
                    <w:t>LM份额2.65%-3.25%</w:t>
                  </w:r>
                  <w:r>
                    <w:rPr>
                      <w:rFonts w:ascii="楷体" w:hAnsi="楷体" w:eastAsia="楷体"/>
                      <w:sz w:val="18"/>
                    </w:rPr>
                    <w:br w:type="textWrapping"/>
                  </w:r>
                  <w:r>
                    <w:rPr>
                      <w:rFonts w:ascii="楷体" w:hAnsi="楷体" w:eastAsia="楷体"/>
                      <w:sz w:val="18"/>
                    </w:rPr>
                    <w:t>SX份额2.55%-3.15%</w:t>
                  </w:r>
                  <w:r>
                    <w:rPr>
                      <w:rFonts w:ascii="楷体" w:hAnsi="楷体" w:eastAsia="楷体"/>
                      <w:sz w:val="18"/>
                    </w:rPr>
                    <w:br w:type="textWrapping"/>
                  </w:r>
                  <w:r>
                    <w:rPr>
                      <w:rFonts w:ascii="楷体" w:hAnsi="楷体" w:eastAsia="楷体"/>
                      <w:sz w:val="18"/>
                    </w:rPr>
                    <w:t>U份额2.45%-3.05%</w:t>
                  </w:r>
                  <w:r>
                    <w:rPr>
                      <w:rFonts w:ascii="楷体" w:hAnsi="楷体" w:eastAsia="楷体"/>
                      <w:sz w:val="18"/>
                    </w:rPr>
                    <w:br w:type="textWrapping"/>
                  </w:r>
                  <w:r>
                    <w:rPr>
                      <w:rFonts w:ascii="楷体" w:hAnsi="楷体" w:eastAsia="楷体"/>
                      <w:sz w:val="18"/>
                    </w:rPr>
                    <w:t>Z份额2.45%-3.05%</w:t>
                  </w:r>
                  <w:r>
                    <w:rPr>
                      <w:rFonts w:ascii="楷体" w:hAnsi="楷体" w:eastAsia="楷体"/>
                      <w:sz w:val="18"/>
                    </w:rPr>
                    <w:br w:type="textWrapping"/>
                  </w:r>
                  <w:r>
                    <w:rPr>
                      <w:rFonts w:ascii="楷体" w:hAnsi="楷体" w:eastAsia="楷体"/>
                      <w:sz w:val="18"/>
                    </w:rPr>
                    <w:t>ZA份额2.45%-3.05%</w:t>
                  </w:r>
                  <w:r>
                    <w:rPr>
                      <w:rFonts w:ascii="楷体" w:hAnsi="楷体" w:eastAsia="楷体"/>
                      <w:sz w:val="18"/>
                    </w:rPr>
                    <w:br w:type="textWrapping"/>
                  </w:r>
                  <w:r>
                    <w:rPr>
                      <w:rFonts w:ascii="楷体" w:hAnsi="楷体" w:eastAsia="楷体"/>
                      <w:sz w:val="18"/>
                    </w:rPr>
                    <w:t>ZF份额2.45%-3.05%</w:t>
                  </w:r>
                  <w:r>
                    <w:rPr>
                      <w:rFonts w:ascii="楷体" w:hAnsi="楷体" w:eastAsia="楷体"/>
                      <w:sz w:val="18"/>
                    </w:rPr>
                    <w:br w:type="textWrapping"/>
                  </w:r>
                  <w:r>
                    <w:rPr>
                      <w:rFonts w:ascii="楷体" w:hAnsi="楷体" w:eastAsia="楷体"/>
                      <w:sz w:val="18"/>
                    </w:rPr>
                    <w:t>ZJ份额2.70%-3.30%</w:t>
                  </w:r>
                  <w:r>
                    <w:rPr>
                      <w:rFonts w:ascii="楷体" w:hAnsi="楷体" w:eastAsia="楷体"/>
                      <w:sz w:val="18"/>
                    </w:rPr>
                    <w:br w:type="textWrapping"/>
                  </w:r>
                  <w:r>
                    <w:rPr>
                      <w:rFonts w:ascii="楷体" w:hAnsi="楷体" w:eastAsia="楷体"/>
                      <w:sz w:val="18"/>
                    </w:rPr>
                    <w:t>ZL份额2.60%-3.20%</w:t>
                  </w:r>
                  <w:r>
                    <w:rPr>
                      <w:rFonts w:ascii="楷体" w:hAnsi="楷体" w:eastAsia="楷体"/>
                      <w:sz w:val="18"/>
                    </w:rPr>
                    <w:br w:type="textWrapping"/>
                  </w:r>
                  <w:r>
                    <w:rPr>
                      <w:rFonts w:ascii="楷体" w:hAnsi="楷体" w:eastAsia="楷体"/>
                      <w:sz w:val="18"/>
                    </w:rPr>
                    <w:t>ZN份额2.55%-3.15%</w:t>
                  </w:r>
                  <w:r>
                    <w:rPr>
                      <w:rFonts w:ascii="楷体" w:hAnsi="楷体" w:eastAsia="楷体"/>
                      <w:sz w:val="18"/>
                    </w:rPr>
                    <w:br w:type="textWrapping"/>
                  </w:r>
                  <w:r>
                    <w:rPr>
                      <w:rFonts w:ascii="楷体" w:hAnsi="楷体" w:eastAsia="楷体"/>
                      <w:sz w:val="18"/>
                    </w:rPr>
                    <w:t>ZQ份额2.40%-3.00%</w:t>
                  </w:r>
                  <w:r>
                    <w:rPr>
                      <w:rFonts w:ascii="楷体" w:hAnsi="楷体" w:eastAsia="楷体"/>
                      <w:sz w:val="18"/>
                    </w:rPr>
                    <w:br w:type="textWrapping"/>
                  </w:r>
                  <w:r>
                    <w:rPr>
                      <w:rFonts w:ascii="楷体" w:hAnsi="楷体" w:eastAsia="楷体"/>
                      <w:sz w:val="18"/>
                    </w:rPr>
                    <w:t>ZC份额2.50%-3.10%</w:t>
                  </w:r>
                  <w:r>
                    <w:rPr>
                      <w:rFonts w:ascii="楷体" w:hAnsi="楷体" w:eastAsia="楷体"/>
                      <w:sz w:val="18"/>
                    </w:rPr>
                    <w:br w:type="textWrapping"/>
                  </w:r>
                  <w:r>
                    <w:rPr>
                      <w:rFonts w:ascii="楷体" w:hAnsi="楷体" w:eastAsia="楷体"/>
                      <w:sz w:val="18"/>
                    </w:rPr>
                    <w:t>ZK份额2.60%-3.20%</w:t>
                  </w:r>
                </w:p>
              </w:tc>
            </w:tr>
          </w:tbl>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本产品费用包括托管费、销售服务费、投资管理费、超额业绩报酬（如有）以及产品运作和清算中产生的其他费用等。</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1.托管费率（年化）：0.02%。</w:t>
            </w:r>
          </w:p>
          <w:p>
            <w:pPr>
              <w:keepNext w:val="0"/>
              <w:keepLines w:val="0"/>
              <w:pageBreakBefore w:val="0"/>
              <w:numPr>
                <w:ilvl w:val="0"/>
                <w:numId w:val="0"/>
              </w:numPr>
              <w:wordWrap/>
              <w:topLinePunct w:val="0"/>
              <w:bidi w:val="0"/>
              <w:snapToGrid/>
              <w:spacing w:line="0" w:lineRule="atLeast"/>
              <w:ind w:right="0" w:rightChars="0"/>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2.销售服务费率（年化）：A份额 0.50%，B份额 0.50%，C份额 0.50%，D份额 0.50%，F份额 0.65%，G份额 0.55%，J份额 0.50%，M份额 0.55%，P份额 0.45%，GS份额 0.55%，LM份额 0.50%，SX份额 0.55%，U份额 0.60%，Z份额 0.65%，ZA份额 0.65%，ZF份额 0.65%，ZJ份额 0.45%，ZL份额 0.50%，ZN份额 0.55%，ZQ份额 0.65%，ZC份额 0.60%，ZK份额 0.50%。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3.投资管理费率（年化）：A份额 0.80%，B份额 0.77%，C份额 0.75%，D份额 0.65%，F份额 0.65%，G份额 0.72%，J份额 0.70%，M份额 0.65%，P份额 0.65%，GS份额 0.65%，LM份额 0.60%，SX份额 0.65%，U份额 0.70%，Z份额 0.65%，ZA份额 0.65%，ZF份额 0.65%，ZJ份额 0.60%，ZL份额 0.65%，ZN份额 0.65%，ZQ份额 0.70%，ZC份额 0.65%，ZK份额 0.65%。</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4</w:t>
            </w:r>
            <w:r>
              <w:rPr>
                <w:rFonts w:hint="eastAsia" w:ascii="楷体" w:hAnsi="楷体" w:eastAsia="楷体" w:cs="宋体"/>
                <w:color w:val="auto"/>
                <w:spacing w:val="-2"/>
                <w:sz w:val="18"/>
                <w:szCs w:val="18"/>
                <w:highlight w:val="none"/>
              </w:rPr>
              <w:t>.超额业绩报酬：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单一投资周期运作期间内理财产品将每日暂估超额业绩报酬，仅用于理财产品会计核算，并将扣除“暂估超额业绩报酬”后的理财产品份额净值按照说明书约定向投资者进行披露。理财产品实际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highlight w:val="none"/>
                <w:lang w:val="en-US" w:eastAsia="zh-CN"/>
              </w:rPr>
              <w:t>收取</w:t>
            </w:r>
            <w:r>
              <w:rPr>
                <w:rFonts w:hint="eastAsia" w:ascii="楷体" w:hAnsi="楷体" w:eastAsia="楷体" w:cs="宋体"/>
                <w:color w:val="auto"/>
                <w:spacing w:val="-2"/>
                <w:sz w:val="18"/>
                <w:szCs w:val="18"/>
                <w:highlight w:val="none"/>
              </w:rPr>
              <w:t>的超额业绩报酬以投资周期终止日计提核算的数值为准。</w:t>
            </w:r>
          </w:p>
          <w:p>
            <w:pPr>
              <w:keepNext w:val="0"/>
              <w:keepLines w:val="0"/>
              <w:pageBreakBefore w:val="0"/>
              <w:widowControl w:val="0"/>
              <w:wordWrap/>
              <w:topLinePunct w:val="0"/>
              <w:bidi w:val="0"/>
              <w:snapToGrid/>
              <w:spacing w:line="0" w:lineRule="atLeast"/>
              <w:ind w:left="0" w:leftChars="0" w:right="0" w:rightChars="0"/>
              <w:textAlignment w:val="auto"/>
              <w:rPr>
                <w:sz w:val="18"/>
                <w:szCs w:val="18"/>
                <w:highlight w:val="none"/>
              </w:rPr>
            </w:pPr>
            <w:r>
              <w:rPr>
                <w:rFonts w:hint="eastAsia" w:ascii="楷体" w:hAnsi="楷体" w:eastAsia="楷体" w:cs="宋体"/>
                <w:b/>
                <w:spacing w:val="-2"/>
                <w:sz w:val="18"/>
                <w:szCs w:val="18"/>
                <w:highlight w:val="none"/>
                <w:u w:val="single"/>
              </w:rPr>
              <w:t>本产品设置</w:t>
            </w:r>
            <w:r>
              <w:rPr>
                <w:rFonts w:hint="eastAsia" w:ascii="楷体" w:hAnsi="楷体" w:eastAsia="楷体" w:cs="宋体"/>
                <w:b/>
                <w:bCs w:val="0"/>
                <w:spacing w:val="-2"/>
                <w:kern w:val="0"/>
                <w:sz w:val="18"/>
                <w:szCs w:val="18"/>
                <w:highlight w:val="none"/>
                <w:u w:val="single"/>
                <w:lang w:val="en-US" w:eastAsia="zh-CN" w:bidi="ar-SA"/>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pStyle w:val="34"/>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0" w:lineRule="atLeast"/>
              <w:ind w:left="0" w:leftChars="0" w:right="0" w:rightChars="0" w:firstLine="0" w:firstLineChars="0"/>
              <w:jc w:val="both"/>
              <w:textAlignment w:val="auto"/>
              <w:rPr>
                <w:rFonts w:ascii="楷体" w:hAnsi="楷体" w:eastAsia="楷体"/>
                <w:sz w:val="18"/>
                <w:szCs w:val="18"/>
                <w:highlight w:val="none"/>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701" w:type="dxa"/>
            <w:tcBorders>
              <w:bottom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收益分配</w:t>
            </w:r>
          </w:p>
        </w:tc>
        <w:tc>
          <w:tcPr>
            <w:tcW w:w="7937" w:type="dxa"/>
            <w:tcBorders>
              <w:bottom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本产品按投资周期进行现金分红</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 w:val="18"/>
                <w:szCs w:val="18"/>
                <w:highlight w:val="none"/>
              </w:rPr>
              <w:t>详见下文</w:t>
            </w:r>
            <w:r>
              <w:rPr>
                <w:rFonts w:hint="eastAsia" w:ascii="楷体" w:hAnsi="楷体" w:eastAsia="楷体" w:cs="宋体"/>
                <w:spacing w:val="-2"/>
                <w:sz w:val="18"/>
                <w:szCs w:val="18"/>
                <w:highlight w:val="none"/>
              </w:rPr>
              <w:t>“收益分配”。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default" w:ascii="楷体" w:hAnsi="楷体" w:eastAsia="楷体" w:cs="宋体"/>
                <w:b/>
                <w:spacing w:val="-2"/>
                <w:sz w:val="18"/>
                <w:szCs w:val="18"/>
                <w:highlight w:val="none"/>
                <w:lang w:val="en-US"/>
              </w:rPr>
            </w:pPr>
            <w:r>
              <w:rPr>
                <w:rFonts w:hint="eastAsia" w:ascii="楷体" w:hAnsi="楷体" w:eastAsia="楷体" w:cs="宋体"/>
                <w:b/>
                <w:color w:val="auto"/>
                <w:spacing w:val="-2"/>
                <w:sz w:val="18"/>
                <w:szCs w:val="18"/>
                <w:highlight w:val="none"/>
                <w:lang w:val="en-US" w:eastAsia="zh-CN"/>
              </w:rPr>
              <w:t>税款</w:t>
            </w:r>
          </w:p>
        </w:tc>
        <w:tc>
          <w:tcPr>
            <w:tcW w:w="7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w:t>
            </w:r>
            <w:r>
              <w:rPr>
                <w:rFonts w:hint="eastAsia" w:ascii="楷体" w:hAnsi="楷体" w:eastAsia="楷体" w:cs="宋体"/>
                <w:color w:val="auto"/>
                <w:spacing w:val="-2"/>
                <w:sz w:val="18"/>
                <w:szCs w:val="18"/>
                <w:highlight w:val="none"/>
                <w:shd w:val="clear" w:fill="auto"/>
                <w:lang w:val="en-US" w:eastAsia="zh-CN"/>
              </w:rPr>
              <w:t>产品</w:t>
            </w:r>
            <w:r>
              <w:rPr>
                <w:rFonts w:hint="eastAsia" w:ascii="楷体" w:hAnsi="楷体" w:eastAsia="楷体" w:cs="宋体"/>
                <w:color w:val="auto"/>
                <w:spacing w:val="-2"/>
                <w:sz w:val="18"/>
                <w:szCs w:val="18"/>
                <w:highlight w:val="none"/>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产品管理人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本产品管理人为</w:t>
      </w:r>
      <w:r>
        <w:rPr>
          <w:rFonts w:hint="eastAsia" w:ascii="楷体" w:hAnsi="楷体" w:eastAsia="楷体" w:cs="Calibri"/>
          <w:b/>
          <w:bCs/>
          <w:sz w:val="21"/>
          <w:szCs w:val="21"/>
          <w:highlight w:val="none"/>
          <w:u w:val="single"/>
        </w:rPr>
        <w:t>苏银理财有限责任公司</w:t>
      </w:r>
      <w:r>
        <w:rPr>
          <w:rFonts w:hint="eastAsia" w:ascii="楷体" w:hAnsi="楷体" w:eastAsia="楷体" w:cs="Calibri"/>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产品托管人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楷体"/>
          <w:b/>
          <w:bCs/>
          <w:sz w:val="21"/>
          <w:szCs w:val="21"/>
          <w:highlight w:val="none"/>
          <w:u w:val="single"/>
        </w:rPr>
      </w:pPr>
      <w:r>
        <w:rPr>
          <w:rFonts w:hint="eastAsia" w:ascii="楷体" w:hAnsi="楷体" w:eastAsia="楷体"/>
          <w:color w:val="auto"/>
          <w:sz w:val="21"/>
          <w:szCs w:val="21"/>
          <w:highlight w:val="none"/>
        </w:rPr>
        <w:t>本产品托管人为</w:t>
      </w:r>
      <w:r>
        <w:rPr>
          <w:rFonts w:hint="eastAsia" w:ascii="楷体" w:hAnsi="楷体" w:eastAsia="楷体" w:cs="Calibri"/>
          <w:b/>
          <w:bCs/>
          <w:sz w:val="21"/>
          <w:szCs w:val="21"/>
          <w:highlight w:val="none"/>
          <w:u w:val="single"/>
          <w:lang w:val="en-US" w:eastAsia="zh-CN"/>
        </w:rPr>
        <w:t>江苏银行股份有限</w:t>
      </w:r>
      <w:r>
        <w:rPr>
          <w:rFonts w:hint="eastAsia" w:ascii="楷体" w:hAnsi="楷体" w:eastAsia="楷体" w:cs="Calibri"/>
          <w:b/>
          <w:bCs/>
          <w:sz w:val="21"/>
          <w:szCs w:val="21"/>
          <w:highlight w:val="none"/>
          <w:u w:val="single"/>
        </w:rPr>
        <w:t>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销售机构</w:t>
      </w:r>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A份额:江苏紫金农村商业银行股份有限公司/江苏银行股份有限公司/江苏扬州农村商业银行股份有限公司/江苏盱眙农村商业银行股份有限公司/江苏邳州农村商业银行股份有限公司/江苏丹阳农村商业银行股份有限公司/江苏溧水农村商业银行股份有限公司/江苏江阴农村商业银行股份有限公司/江苏扬中农村商业银行股份有限公司/江苏沭阳农村商业银行股份有限公司/江苏淮安农村商业银行股份有限公司/江苏涟水农村商业银行股份有限公司/江苏海安农村商业银行股份有限公司/江苏阜宁农村商业银行股份有限公司/江苏新沂农村商业银行股份有限公司/江苏洪泽农村商业银行股份有限公司/江苏高淳农村商业银行股份有限公司/江苏靖江农村商业银行股份有限公司/江苏仪征农村商业银行股份有限公司/江苏句容农村商业银行股份有限公司/江苏宜兴农村商业银行股份有限公司/江苏东台农村商业银行股份有限公司/江苏如东农村商业银行股份有限公司/九江银行股份有限公司/江苏如皋农村商业银行股份有限公司/江苏南通农村商业银行股份有限公司/江苏高邮农村商业银行股份有限公司/江苏泰兴农村商业银行股份有限公司/宁波东海银行股份有限公司/齐鲁银行股份有限公司/苏银理财有限责任公司/上海农村商业银行股份有限公司/上海银行股份有限公司/威海银行股份有限公司/兴业银行股份有限公司/徐州农村商业银行股份有限公司/兴业银行股份有限公司钱大</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B份额:江苏紫金农村商业银行股份有限公司/江苏银行股份有限公司/江苏扬州农村商业银行股份有限公司/江苏盱眙农村商业银行股份有限公司/江苏邳州农村商业银行股份有限公司/江苏丹阳农村商业银行股份有限公司/江苏溧水农村商业银行股份有限公司/江苏扬中农村商业银行股份有限公司/江苏沭阳农村商业银行股份有限公司/江苏淮安农村商业银行股份有限公司/江苏涟水农村商业银行股份有限公司/江苏海安农村商业银行股份有限公司/江苏常熟农村商业银行股份有限公司/江苏阜宁农村商业银行股份有限公司/江苏新沂农村商业银行股份有限公司/江苏洪泽农村商业银行股份有限公司/江苏高淳农村商业银行股份有限公司/江苏靖江农村商业银行股份有限公司/江苏仪征农村商业银行股份有限公司/江苏句容农村商业银行股份有限公司/江苏宜兴农村商业银行股份有限公司/江苏东台农村商业银行股份有限公司/江苏如东农村商业银行股份有限公司/江苏如皋农村商业银行股份有限公司/江苏南通农村商业银行股份有限公司/江苏苏州农村商业银行股份有限公司/江苏高邮农村商业银行股份有限公司/江苏泰兴农村商业银行股份有限公司/宁波东海银行股份有限公司/齐鲁银行股份有限公司/苏银理财有限责任公司/威海银行股份有限公司/徐州农村商业银行股份有限公司/兴业银行股份有限公司钱大</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C份额:江苏银行股份有限公司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D份额:江苏江阴农村商业银行股份有限公司/江苏银行股份有限公司/上海银行股份有限公司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F份额:北京农村商业银行股份有限公司/广州银行股份有限公司/广州农村商业银行股份有限公司/甘肃银行股份有限公司/华侨银行有限公司/杭州联合农村商业银行股份有限公司/交通银行股份有限公司/九江银行股份有限公司/宁波慈溪农村商业银行股份有限公司/宁波通商银行股份有限公司/宁波余姚农村商业银行股份有限公司/宁波镇海农村商业银行股份有限公司/日照银行股份有限公司/山西银行股份有限公司/深圳农村商业银行股份有限公司/苏州银行股份有限公司/台州银行股份有限公司/天津滨海农村商业银行股份有限公司/潍坊银行股份有限公司/兴业银行股份有限公司/浙江义乌农村商业银行股份有限公司/浙江绍兴瑞丰农村商业银行股份有限公司/浙江德清农村商业银行股份有限公司/浙江永康农村商业银行股份有限公司/浙江临海农村商业银行股份有限公司/浙商银行股份有限公司/浙江永嘉农村商业银行股份有限公司/浙江青田农村商业银行股份有限公司/浙江萧山农村商业银行股份有限公司/浙江海宁农村商业银行股份有限公司/浙江乐清农村商业银行股份有限公司/浙江泰顺农村商业银行股份有限公司/浙江温州龙湾农村商业银行股份有限公司/浙江杭州余杭农村商业银行股份有限公司/浙江温州瓯海农村商业银行股份有限公司/浙江江山农村商业银行股份有限公司/浙江开化农村商业银行股份有限公司/浙江桐庐农村商业银行股份有限公司/浙江舟山定海海洋农村商业银行股份有限公司/浙江嘉善农村商业银行股份有限公司/浙江岱山农村商业银行股份有限公司/浙江上虞农村商业银行股份有限公司/浙江长兴农村商业银行股份有限公司/中邮邮惠万家银行有限责任公司/浙江淳安农村商业银行股份有限公司/浙江武义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G份额:广州银行股份有限公司/广州农村商业银行股份有限公司/徽商银行股份有限公司/杭州联合农村商业银行股份有限公司/九江银行股份有限公司/宁波通商银行股份有限公司/宁波余姚农村商业银行股份有限公司/山西银行股份有限公司/深圳农村商业银行股份有限公司/兴业银行股份有限公司/浙江衢州衢江农村商业银行股份有限公司/浙江绍兴瑞丰农村商业银行股份有限公司/浙江德清农村商业银行股份有限公司/浙商银行股份有限公司/浙江永嘉农村商业银行股份有限公司/浙江青田农村商业银行股份有限公司/浙江海宁农村商业银行股份有限公司/浙江杭州余杭农村商业银行股份有限公司/浙江桐庐农村商业银行股份有限公司/浙江舟山定海海洋农村商业银行股份有限公司/浙江嘉善农村商业银行股份有限公司/浙江岱山农村商业银行股份有限公司/浙江上虞农村商业银行股份有限公司/浙江淳安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J份额:江苏如皋农村商业银行股份有限公司/江苏银行股份有限公司/上海银行股份有限公司/苏银理财有限责任公司/威海银行股份有限公司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M份额:徽商银行股份有限公司/宁波通商银行股份有限公司/兴业银行股份有限公司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P份额:甘肃银行股份有限公司/泰安银行股份有限公司/郑州银行股份有限公司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GS份额:甘肃银行股份有限公司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LM份额:兰州银行股份有限公司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SX份额:山西银行股份有限公司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U份额:徽商银行股份有限公司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Z份额:上海农村商业银行股份有限公司</w:t>
      </w:r>
    </w:p>
    <w:p>
      <w:pPr>
        <w:keepNext w:val="0"/>
        <w:keepLines w:val="0"/>
        <w:pageBreakBefore w:val="0"/>
        <w:widowControl w:val="0"/>
        <w:kinsoku/>
        <w:wordWrap/>
        <w:overflowPunct/>
        <w:topLinePunct w:val="0"/>
        <w:autoSpaceDE/>
        <w:autoSpaceDN/>
        <w:bidi w:val="0"/>
        <w:adjustRightInd/>
        <w:snapToGrid/>
        <w:ind w:left="0" w:leftChars="0" w:firstLine="420" w:firstLineChars="0"/>
        <w:jc w:val="both"/>
        <w:textAlignment w:val="auto"/>
        <w:rPr>
          <w:rFonts w:hint="default" w:ascii="楷体" w:hAnsi="楷体" w:eastAsia="楷体" w:cs="楷体"/>
          <w:kern w:val="2"/>
          <w:sz w:val="21"/>
          <w:szCs w:val="21"/>
          <w:highlight w:val="none"/>
          <w:lang w:val="en-US" w:eastAsia="zh-CN" w:bidi="ar-SA"/>
        </w:rPr>
      </w:pPr>
      <w:r>
        <w:rPr>
          <w:rFonts w:hint="eastAsia" w:ascii="楷体" w:hAnsi="楷体" w:eastAsia="楷体" w:cs="楷体"/>
          <w:sz w:val="21"/>
          <w:szCs w:val="21"/>
          <w:highlight w:val="none"/>
          <w:lang w:val="en-US" w:eastAsia="zh-CN"/>
        </w:rPr>
        <w:t>ZA份额:江苏紫金农村商业银行股份有限公司/江苏盐城农村商业银行股份有限公司/江苏东海农村商业银行股份有限公司/江苏泗阳农村商业银行股份有限公司/江苏扬州农村商业银行股份有限公司/江苏盱眙农村商业银行股份有限公司/江苏邳州农村商业银行股份有限公司/江苏灌云农村商业银行股份有限公司/江苏丹阳农村商业银行股份有限公司/江苏溧水农村商业银行股份有限公司/江苏镇江农村商业银行股份有限公司/江苏姜堰农村商业银行股份有限公司/江苏民丰农村商业银行股份有限公司/江苏江都农村商业银行股份有限公司/江苏扬中农村商业银行股份有限公司/江苏沭阳农村商业银行股份有限公司/江苏建湖农村商业银行股份有限公司/江苏淮安农村商业银行股份有限公司/江苏涟水农村商业银行股份有限公司/江苏海安农村商业银行股份有限公司/江苏常熟农村商业银行股份有限公司/江苏阜宁农村商业银行股份有限公司/江苏新沂农村商业银行股份有限公司/江苏洪泽农村商业银行股份有限公司/江苏灌南农村商业银行股份有限公司/江苏高淳农村商业银行股份有限公司/江苏大丰农村商业银行股份有限公司/江苏靖江农村商业银行股份有限公司/江苏仪征农村商业银行股份有限公司/江苏句容农村商业银行股份有限公司/江苏宜兴农村商业银行股份有限公司/江苏丰县农村商业银行股份有限公司/江苏泗洪农村商业银行股份有限公司/江苏东台农村商业银行股份有限公司/江苏如东农村商业银行股份有限公司/江苏金湖农村商业银行股份有限公司/江苏响水农村商业银行股份有限公司/江苏睢宁农村商业银行股份有限公司/江苏启东农村商业银行股份有限公司/江苏如皋农村商业银行股份有限公司/江苏南通农村商业银行股份有限公司/江苏苏州农村商业银行股份有限公司/江苏高邮农村商业银行股份有限公司/江苏泰兴农村商业银行股份有限公司/连云港东方农村商业银行股份有限公司/宁波东海银行股份有限公司/徐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F份额:河北银行股份有限公司/汉口银行股份有限公司/江苏江南农村商业银行股份有限公司/江苏张家港农村商业银行股份有限公司/江门农村商业银行股份有限公司/嘉兴银行股份有限公司/莱商银行股份有限公司/宁波慈溪农村商业银行股份有限公司/宁波余姚农村商业银行股份有限公司/宁波镇海农村商业银行股份有限公司/宁波甬城农村商业银行股份有限公司/厦门银行股份有限公司/石嘴山银行股份有限公司/苏州银行股份有限公司/兴业银行股份有限公司/浙江民泰商业银行股份有限公司/中山农村商业银行股份有限公司/浙江义乌农村商业银行股份有限公司/浙江临安农村商业银行股份有限公司/浙江龙泉农村商业银行股份有限公司/浙江衢州柯城农村商业银行股份有限公司/浙江衢州衢江农村商业银行股份有限公司/浙江德清农村商业银行股份有限公司/浙江浦江农村商业银行股份有限公司/浙江永康农村商业银行股份有限公司/浙江临海农村商业银行股份有限公司/浙江南浔农村商业银行股份有限公司/浙江青田农村商业银行股份有限公司/浙江萧山农村商业银行股份有限公司/浙江泰顺农村商业银行股份有限公司/浙江温州龙湾农村商业银行股份有限公司/浙江杭州余杭农村商业银行股份有限公司/浙江温州瓯海农村商业银行股份有限公司/浙江江山农村商业银行股份有限公司/浙江开化农村商业银行股份有限公司/浙江东阳农村商业银行股份有限公司/浙江嘉善农村商业银行股份有限公司/浙江嵊州农村商业银行股份有限公司/浙江岱山农村商业银行股份有限公司/浙江上虞农村商业银行股份有限公司/浙江新昌农村商业银行股份有限公司/浙江温岭农村商业银行股份有限公司/浙江武义农村商业银行股份有限公司/浙江兰溪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J份额:湖州吴兴农村商业银行股份有限公司/苏银理财有限责任公司/浙江禾城农村商业银行股份有限公司/浙江义乌农村商业银行股份有限公司/浙江缙云农村商业银行股份有限公司/浙江龙泉农村商业银行股份有限公司/浙江衢州柯城农村商业银行股份有限公司/浙江绍兴瑞丰农村商业银行股份有限公司/浙江衢州衢江农村商业银行股份有限公司/浙江苍南农村商业银行股份有限公司/浙江德清农村商业银行股份有限公司/浙江仙居农村商业银行股份有限公司/浙江桐乡农村商业银行股份有限公司/浙江浦江农村商业银行股份有限公司/浙江永康农村商业银行股份有限公司/浙江临海农村商业银行股份有限公司/浙江舟山普陀农村商业银行股份有限公司/浙江永嘉农村商业银行股份有限公司/浙江温州鹿城农村商业银行股份有限公司/浙江天台农村商业银行股份有限公司/浙江青田农村商业银行股份有限公司/浙江南浔农村商业银行股份有限公司/浙江遂昌农村商业银行股份有限公司/浙江海宁农村商业银行股份有限公司/浙江台州路桥农村商业银行股份有限公司/浙江乐清农村商业银行股份有限公司/浙江瑞安农村商业银行股份有限公司/浙江泰顺农村商业银行股份有限公司/浙江平湖农村商业银行股份有限公司/浙江温州龙湾农村商业银行股份有限公司/浙江温州瓯海农村商业银行股份有限公司/浙江江山农村商业银行股份有限公司/浙江开化农村商业银行股份有限公司/浙江舟山定海海洋农村商业银行股份有限公司/浙江东阳农村商业银行股份有限公司/浙江嘉善农村商业银行股份有限公司/浙江台州黄岩农村商业银行股份有限公司/浙江嵊州农村商业银行股份有限公司/浙江岱山农村商业银行股份有限公司/浙江金华成泰农村商业银行股份有限公司/浙江文成农村商业银行股份有限公司/浙江上虞农村商业银行股份有限公司/浙江龙游农村商业银行股份有限公司/浙江新昌农村商业银行股份有限公司/浙江绍兴恒信农村商业银行股份有限公司/浙江温岭农村商业银行股份有限公司/浙江安吉农村商业银行股份有限公司/浙江长兴农村商业银行股份有限公司/浙江诸暨农村商业银行股份有限公司/浙江武义农村商业银行股份有限公司/浙江海盐农村商业银行股份有限公司/浙江兰溪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ZL份额:苏州银行股份有限公司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ZN份额:广西北部湾银行股份有限公司/河北银行股份有限公司/宁波通商银行股份有限公司/苏银理财有限责任公司/浙江萧山农村商业银行股份有限公司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ZQ份额:江苏苏州农村商业银行股份有限公司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C份额:江苏紫金农村商业银行股份有限公司/江苏盐城农村商业银行股份有限公司/江苏兴化农村商业银行股份有限公司/江苏东海农村商业银行股份有限公司/江苏泗阳农村商业银行股份有限公司/江苏扬州农村商业银行股份有限公司/江苏丹阳农村商业银行股份有限公司/江苏溧水农村商业银行股份有限公司/江苏姜堰农村商业银行股份有限公司/江苏民丰农村商业银行股份有限公司/江苏江都农村商业银行股份有限公司/江苏建湖农村商业银行股份有限公司/江苏海安农村商业银行股份有限公司/江苏常熟农村商业银行股份有限公司/江苏阜宁农村商业银行股份有限公司/江苏新沂农村商业银行股份有限公司/江苏灌南农村商业银行股份有限公司/江苏高淳农村商业银行股份有限公司/江苏大丰农村商业银行股份有限公司/江苏仪征农村商业银行股份有限公司/江苏宜兴农村商业银行股份有限公司/江苏东台农村商业银行股份有限公司/江苏如东农村商业银行股份有限公司/江苏响水农村商业银行股份有限公司/江苏如皋农村商业银行股份有限公司/江苏高邮农村商业银行股份有限公司/江苏泰兴农村商业银行股份有限公司/连云港东方农村商业银行股份有限公司</w:t>
      </w:r>
      <w:r>
        <w:rPr>
          <w:rFonts w:hint="eastAsia" w:ascii="楷体" w:hAnsi="楷体" w:eastAsia="楷体" w:cs="楷体"/>
          <w:sz w:val="21"/>
          <w:szCs w:val="21"/>
          <w:highlight w:val="none"/>
          <w:lang w:val="en-US" w:eastAsia="zh-CN"/>
        </w:rPr>
        <w:br w:type="textWrapping"/>
      </w:r>
      <w:r>
        <w:rPr>
          <w:rFonts w:hint="eastAsia" w:ascii="楷体" w:hAnsi="楷体" w:eastAsia="楷体" w:cs="楷体"/>
          <w:sz w:val="21"/>
          <w:szCs w:val="21"/>
          <w:highlight w:val="none"/>
          <w:lang w:val="en-US" w:eastAsia="zh-CN"/>
        </w:rPr>
        <w:t xml:space="preserve">    ZK份额:江苏紫金农村商业银行股份有限公司/江苏盐城农村商业银行股份有限公司/江苏兴化农村商业银行股份有限公司/江苏泗阳农村商业银行股份有限公司/江苏扬州农村商业银行股份有限公司/江苏沛县农村商业银行股份有限公司/江苏丹阳农村商业银行股份有限公司/江苏溧水农村商业银行股份有限公司/江苏姜堰农村商业银行股份有限公司/江苏民丰农村商业银行股份有限公司/江苏江都农村商业银行股份有限公司/江苏建湖农村商业银行股份有限公司/江苏海安农村商业银行股份有限公司/江苏常熟农村商业银行股份有限公司/江苏阜宁农村商业银行股份有限公司/江苏新沂农村商业银行股份有限公司/江苏灌南农村商业银行股份有限公司/江苏高淳农村商业银行股份有限公司/江苏大丰农村商业银行股份有限公司/江苏仪征农村商业银行股份有限公司/江苏宜兴农村商业银行股份有限公司/江苏东台农村商业银行股份有限公司/江苏如东农村商业银行股份有限公司/江苏响水农村商业银行股份有限公司/江苏如皋农村商业银行股份有限公司/江苏南通农村商业银行股份有限公司/江苏高邮农村商业银行股份有限公司/江苏泰兴农村商业银行股份有限公司/连云港东方农村商业银行股份有限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名词释义</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在本理财产品说明书中，除非上下文另有明确约定，下列用词将具有如下含义：</w:t>
      </w:r>
    </w:p>
    <w:p>
      <w:pPr>
        <w:numPr>
          <w:ilvl w:val="0"/>
          <w:numId w:val="3"/>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销售代码：指本理财产品可能设置一</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或多</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产品份额，管理人在理财产品销售管理过程中对各</w:t>
      </w:r>
      <w:r>
        <w:rPr>
          <w:rFonts w:hint="eastAsia" w:ascii="楷体" w:hAnsi="楷体" w:eastAsia="楷体" w:cs="Calibri"/>
          <w:sz w:val="21"/>
          <w:szCs w:val="21"/>
          <w:highlight w:val="none"/>
          <w:lang w:val="en-US" w:eastAsia="zh-CN"/>
        </w:rPr>
        <w:t>类</w:t>
      </w:r>
      <w:r>
        <w:rPr>
          <w:rFonts w:hint="eastAsia" w:ascii="楷体" w:hAnsi="楷体" w:eastAsia="楷体" w:cs="Calibri"/>
          <w:sz w:val="21"/>
          <w:szCs w:val="21"/>
          <w:highlight w:val="none"/>
        </w:rPr>
        <w:t>份额设置的</w:t>
      </w:r>
      <w:r>
        <w:rPr>
          <w:rFonts w:hint="eastAsia" w:ascii="楷体" w:hAnsi="楷体" w:eastAsia="楷体" w:cs="Calibri"/>
          <w:sz w:val="21"/>
          <w:szCs w:val="21"/>
          <w:highlight w:val="none"/>
          <w:lang w:val="en-US" w:eastAsia="zh-CN"/>
        </w:rPr>
        <w:t>内部代</w:t>
      </w:r>
      <w:r>
        <w:rPr>
          <w:rFonts w:hint="eastAsia" w:ascii="楷体" w:hAnsi="楷体" w:eastAsia="楷体" w:cs="Calibri"/>
          <w:sz w:val="21"/>
          <w:szCs w:val="21"/>
          <w:highlight w:val="none"/>
        </w:rPr>
        <w:t>码。</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理财</w:t>
      </w:r>
      <w:r>
        <w:rPr>
          <w:rFonts w:hint="eastAsia" w:ascii="楷体" w:hAnsi="楷体" w:eastAsia="楷体" w:cs="Calibri"/>
          <w:sz w:val="21"/>
          <w:szCs w:val="21"/>
          <w:highlight w:val="none"/>
        </w:rPr>
        <w:t>产品资产总值：指产品拥有的各类有价证券、银行存款、应收款项及其他资产的价值总和。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理财</w:t>
      </w:r>
      <w:r>
        <w:rPr>
          <w:rFonts w:hint="eastAsia" w:ascii="楷体" w:hAnsi="楷体" w:eastAsia="楷体" w:cs="Calibri"/>
          <w:sz w:val="21"/>
          <w:szCs w:val="21"/>
          <w:highlight w:val="none"/>
        </w:rPr>
        <w:t>产品负债总值：指产品运作及融资时形成的负债价值总和，包括融资资金本息、应付各项费用（包括托管费、销售服务费、投资管理费、超额业绩报酬、其他费用等）、应付税金及其他应付款项等。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理财产品资产净值/净资产：指产品资产总值减去产品负债总值后的价值。</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交易日：</w:t>
      </w:r>
      <w:r>
        <w:rPr>
          <w:rFonts w:ascii="楷体" w:hAnsi="楷体" w:eastAsia="楷体" w:cs="Calibri"/>
          <w:sz w:val="21"/>
          <w:szCs w:val="21"/>
          <w:highlight w:val="none"/>
        </w:rPr>
        <w:t>指上海证券交易所和深圳证券交易所的正常开盘交易日</w:t>
      </w:r>
      <w:r>
        <w:rPr>
          <w:rFonts w:hint="eastAsia" w:ascii="楷体" w:hAnsi="楷体" w:eastAsia="楷体" w:cs="Calibri"/>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份额登记日/份额确认日：</w:t>
      </w:r>
      <w:r>
        <w:rPr>
          <w:rFonts w:hint="eastAsia" w:ascii="楷体" w:hAnsi="楷体" w:eastAsia="楷体" w:cs="Calibri"/>
          <w:color w:val="auto"/>
          <w:sz w:val="21"/>
          <w:szCs w:val="21"/>
          <w:highlight w:val="none"/>
        </w:rPr>
        <w:t>指管理人对投资者提交的</w:t>
      </w:r>
      <w:r>
        <w:rPr>
          <w:rFonts w:hint="eastAsia" w:ascii="楷体" w:hAnsi="楷体" w:eastAsia="楷体" w:cs="Calibri"/>
          <w:color w:val="auto"/>
          <w:sz w:val="21"/>
          <w:szCs w:val="21"/>
          <w:highlight w:val="none"/>
          <w:lang w:val="en-US" w:eastAsia="zh-CN"/>
        </w:rPr>
        <w:t>购买</w:t>
      </w:r>
      <w:r>
        <w:rPr>
          <w:rFonts w:hint="eastAsia" w:ascii="楷体" w:hAnsi="楷体" w:eastAsia="楷体" w:cs="Calibri"/>
          <w:color w:val="auto"/>
          <w:sz w:val="21"/>
          <w:szCs w:val="21"/>
          <w:highlight w:val="none"/>
        </w:rPr>
        <w:t>申请进行份额登记的日期</w:t>
      </w:r>
      <w:r>
        <w:rPr>
          <w:rFonts w:hint="eastAsia" w:ascii="楷体" w:hAnsi="楷体" w:eastAsia="楷体" w:cs="Calibri"/>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投资周期：投资周期指投资者持有理财产品份额所对应的理财资金由产品管理人进行投资运作的一段完整期间，每一个投资周期为该投资周期起始日至该投资周期终止日的理财期间。</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开放日：指投资周期终止日。开放计划内的申购、赎回申请，将以开放日的净值进行确认。</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投资管理</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投资策略</w:t>
      </w:r>
    </w:p>
    <w:p>
      <w:pPr>
        <w:ind w:firstLine="420" w:firstLineChars="20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本理财产品计划通过债券、非标准化债权类资产的配置获取稳健收益，同时适时适量配置银行存款，包括同业存</w:t>
      </w:r>
      <w:r>
        <w:rPr>
          <w:rFonts w:hint="eastAsia" w:ascii="楷体" w:hAnsi="楷体" w:eastAsia="楷体"/>
          <w:sz w:val="21"/>
          <w:szCs w:val="21"/>
          <w:highlight w:val="none"/>
          <w:lang w:val="en-US" w:eastAsia="zh-CN"/>
        </w:rPr>
        <w:t>款</w:t>
      </w:r>
      <w:r>
        <w:rPr>
          <w:rFonts w:hint="default" w:ascii="楷体" w:hAnsi="楷体" w:eastAsia="楷体"/>
          <w:sz w:val="21"/>
          <w:szCs w:val="21"/>
          <w:highlight w:val="none"/>
          <w:lang w:val="en-US" w:eastAsia="zh-CN"/>
        </w:rPr>
        <w:t>、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非标准化债权类资产</w:t>
      </w:r>
    </w:p>
    <w:p>
      <w:pPr>
        <w:numPr>
          <w:ilvl w:val="0"/>
          <w:numId w:val="0"/>
        </w:numPr>
        <w:tabs>
          <w:tab w:val="left" w:pos="993"/>
        </w:tabs>
        <w:ind w:leftChars="200"/>
        <w:outlineLvl w:val="2"/>
        <w:rPr>
          <w:rFonts w:hint="eastAsia" w:ascii="楷体" w:hAnsi="楷体" w:eastAsia="楷体" w:cs="Calibri"/>
          <w:b w:val="0"/>
          <w:bCs/>
          <w:sz w:val="21"/>
          <w:szCs w:val="21"/>
          <w:highlight w:val="none"/>
          <w:lang w:val="en-US" w:eastAsia="zh-CN"/>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firstLine="420" w:firstLineChars="200"/>
        <w:rPr>
          <w:rFonts w:hint="default" w:ascii="楷体" w:hAnsi="楷体" w:eastAsia="楷体"/>
          <w:sz w:val="21"/>
          <w:szCs w:val="21"/>
          <w:highlight w:val="none"/>
          <w:lang w:val="en-US" w:eastAsia="zh-CN"/>
        </w:rPr>
      </w:pPr>
      <w:r>
        <w:rPr>
          <w:rFonts w:hint="eastAsia" w:ascii="楷体" w:hAnsi="楷体" w:eastAsia="楷体" w:cs="楷体"/>
          <w:color w:val="auto"/>
          <w:kern w:val="2"/>
          <w:sz w:val="21"/>
          <w:szCs w:val="21"/>
          <w:highlight w:val="none"/>
          <w:lang w:val="en-US" w:eastAsia="zh-CN" w:bidi="ar-SA"/>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非标准化债权类资产：融资人为扬州高新国控集团有限公司。融资人经营正常，是依法设立的国有公司，主要股东为扬州市人民政府，实际控制人为扬州市人民政府。（4）非标准化债权类资产：融资人为无锡市太湖新城资产经营管理有限公司。融资人经营正常，是依法设立的国有公司，主要股东为无锡市太湖新城发展集团有限公司，实际控制人为无锡市人民政府国有资产监督管理委员会。（5）非标准化债权类资产：融资人为靖江市北辰城乡投资建设有限公司。融资人经营正常，是依法设立的国有公司，主要股东为靖江经济技术开发区管理委员会，实际控制人为靖江经济技术开发区管理委员会。（6）非标准化债权类资产：融资人为江苏淮阴城市产业投资集团有限公司。融资人经营正常，是依法设立的国有公司，主要股东为淮安国控投资集团有限公司，实际控制人为淮安市人民政府。（7）非标准化债权类资产：融资人为诸暨市国有资产经营有限公司。融资人经营正常，是依法设立的国有公司，主要股东为诸暨市财政局(诸暨市人民政府国有资产监督管理办公室)、浙江省财务开发有限责任公司，实际控制人为诸暨市财政局(诸暨市人民政府国有资产监督管理办公室)。（8）非标准化债权类资产：融资人为富港建设集团有限公司。融资人经营正常，是依法设立的国有公司，主要股东为如皋市人民政府、工银金融资产投资有限公司，实际控制人为如皋市人民政府。（9）非标准化债权类资产：融资人为无锡市梁溪产业发展集团有限公司。融资人经营正常，是依法设立的国有公司，主要股东为无锡市梁溪区人民政府国有资产监督管理办公室、无锡市梁溪城市运营服务集团有限公司，实际控制人为无锡市梁溪区人民政府国有资产监督管理办公室。（10）非标准化债权类资产：融资人为诸暨市城乡投资集团有限公司。融资人经营正常，是依法设立的国有公司，主要股东为诸暨市建设集团有限公司，实际控制人为诸暨市财政局。（11）非标准化债权类资产：融资人为泰州高教投资发展有限公司。融资人经营正常，是依法设立的国有公司，主要股东为泰州市城市建设投资控股有限公司、工银金融资产投资有限公司，实际控制人为泰州市政府国有资产监督管理委员会。（12）非标准化债权类资产：融资人为台州市黄岩国有资本投资运营集团有限公司。融资人经营正常，是依法设立的国有公司，主要股东为台州市黄岩区财政局，实际控制人为台州市黄岩区财政局。（13）非标准化债权类资产：融资人为镇江文化广电产业集团有限公司。融资人经营正常，是依法设立的国有公司，主要股东为镇江市广播电视台，实际控制人为江苏省镇江市人民政府。（14）非标准化债权类资产：融资人为绍兴市镜湖开发集团有限公司。融资人经营正常，是依法设立的国有公司，主要股东为绍兴市人民政府国有资产监督管理委员会，实际控制人为绍兴市人民政府国有资产监督管理委员会。（15）非标准化债权类资产：融资人为泰兴市城市投资发展集团有限公司。融资人经营正常，是依法设立的国有公司，主要股东为江苏平仲科技发展集团有限公司，实际控制人为泰兴市人民政府国有资产监督管理办公室。（16）非标准化债权类资产：融资人为湖州经开投资发展集团有限公司。融资人经营正常，是依法设立的国有公司，主要股东为湖州南太湖国有控股集团有限公司，实际控制人为湖州市人民政府国有资产监督管理委员会。（17）非标准化债权类资产：融资人为湖州吴兴城市投资发展集团有限公司。融资人经营正常，是依法设立的国有公司，主要股东为湖州吴兴国控投资运营发展集团有限公司，实际控制人为湖州市吴兴区财政局。（18）非标准化债权类资产：融资人为江苏皋开投资发展集团有限公司。融资人经营正常，是依法设立的国有公司，主要股东为如皋市人民政府，实际控制人为如皋市人民政府。（19）非标准化债权类资产：融资人为燕舞集团有限公司。融资人经营正常，是依法设立的国有公司，主要股东为盐城市人民政府、盐城市城市资产投资集团有限公司、江苏悦达集团有限公司，实际控制人为盐城市人民政府。（20）非标准化债权类资产：融资人为兰溪市城市投资集团有限公司。融资人经营正常，是依法设立的国有公司，主要股东为兰溪市城市发展集团有限公司，实际控制人为兰溪市人民政府国有资产监督管理办公室。（21）非标准化债权类资产：融资人为绍兴市越城区城市发展建设集团有限公司。融资人经营正常，是依法设立的国有公司，主要股东为绍兴市越城区财政局，实际控制人为绍兴市越城区财政局。（22）非标准化债权类资产：融资人为桐庐县城市建设投资集团有限公司。融资人经营正常，是依法设立的国有公司，主要股东为桐庐投资建设发展集团有限公司，实际控制人为桐庐县人民政府国有资产监督管理委员会。（23）非标准化债权类资产：融资人为绍兴市上虞区国有资本投资运营有限公司。融资人经营正常，是依法设立的国有公司，主要股东为绍兴市上虞区国有资产发展集团有限公司，实际控制人为绍兴市上虞区人民政府国有资产监督管理委员会。（24）同业借款：融资人为中国中信金融资产管理股份有限公司。融资人经营正常，是依法成立的国有公司，主要股东为中国中信集团有限公司、财政局、中国融信私募基金有限公司，实际控制人为财政部。（25）同业借款：融资人为中国东方资产管理股份有限公司。融资人经营正常，是依法成立的国有公司，主要股东为中央汇金投资有限责任公司、全国社会保障基金理事会、中国电信集团有限公司，实际控制人为国务院。（26）同业借款：融资人为中国信达资产管理股份有限公司。融资人经营正常，是依法成立的国有公司，主要股东为中央汇金投资有限责任公司，实际控制人为国务院。（27）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28）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29）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30）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31）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32）收益凭证：融资人为华泰证券股份有限公司。融资人经营正常，是依法设立的持牌金融机构，主要股东为江苏省国信集团有限公司、香港中央结算（代理人）有限公司、江苏交通控股有限公司，无实际控制人。（33）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34）收益凭证：融资人为申万宏源证券有限公司。融资人经营正常，是依法设立的持牌金融机构，主要股东为申万宏源集团股份有限公司，实际控制人为中央汇金投资有限责任公司。（35）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36）收益凭证：融资人为浙商证券股份有限公司。融资人经营正常，是依法设立的持牌金融机构，主要股东为浙江上三高速公路有限公司、台州市金融投资集团有限公司，实际控制人为浙江省交通投资集团有限公司。（37）收益凭证：融资人为国投证券股份有限公司。融资人经营正常，是依法设立的持牌金融机构，主要股东为国投资本股份有限公司、上海毅胜投资有限公司，实际控制人为国家开发投资集团有限公司。（38）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39）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40）收益凭证：融资人为兴业证券股份有限公司。融资人经营正常，是依法设立的持牌金融机构，主要股东为福建省财政厅、福建省投资开发集团有限责任公司、上海申新（集团）有限公司，实际控制人为福建省财政厅。（41）收益凭证：融资人为财通证券股份有限公司。融资人经营正常，是依法设立的持牌金融机构，主要股东为浙江省创新投资集团有限公司、浙江省财开集团有限公司、台州市金融投资集团有限</w:t>
      </w:r>
      <w:r>
        <w:rPr>
          <w:rFonts w:hint="eastAsia" w:ascii="楷体" w:hAnsi="楷体" w:eastAsia="楷体" w:cs="楷体"/>
          <w:color w:val="auto"/>
          <w:kern w:val="2"/>
          <w:sz w:val="21"/>
          <w:szCs w:val="21"/>
          <w:highlight w:val="none"/>
          <w:lang w:val="en-US" w:eastAsia="zh-CN" w:bidi="ar-SA"/>
        </w:rPr>
        <w:t>公司，实际控制人为浙江省财政厅。（42）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43）收益凭证：融资人为东海证券股份有限公司。融资人经营正常，是依法设立的持牌金融机构，主要股东为常州投资集团有限公司、山东金控资本管理有限公司，实际控制人为常州投资集团有限公司。（44）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45）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46）收益凭证：融资人为长城证券股份有限公司。融资人经营正常，是依法设立的持牌金融机构，主要股东为华能资本服务有限公司、深圳新江南投资有限公司、深圳能源集团股份有限公司，实际控制人为中央汇金投资有限责任公司。（47）收益凭证：融资人为中国中金财富证券有限公司。融资人经营正常，是依法设立的持牌金融机构，主要股东为中国国际金融股份有限公司，实际控制人为中央汇金投资有限责任公司。（48）收益凭证：融资人为山西证券股份有限公司。融资人经营正常，是依法设立的持牌金融机构，主要股东为山西金融投资控股集团有限公司、太原钢铁（集团）有限公司、山西国际电力集团有限公司，实际控制人为山西省财政厅。（49）收益凭证：融资人为广发证券股份有限公司。融资人经营正常，是依法设立的持牌金融机构，主要股东为香港中央结算（代理人）有限公司、吉林敖东药业集团股份有限公司、辽宁成大股份有限公司，无实际控制人。（50）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51）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r>
        <w:rPr>
          <w:rFonts w:hint="eastAsia" w:ascii="楷体" w:hAnsi="楷体" w:eastAsia="楷体" w:cs="楷体"/>
          <w:color w:val="auto"/>
          <w:kern w:val="2"/>
          <w:sz w:val="21"/>
          <w:szCs w:val="21"/>
          <w:highlight w:val="none"/>
          <w:lang w:val="en-US" w:eastAsia="zh-CN" w:bidi="ar-SA"/>
        </w:rPr>
        <w:br w:type="textWrapping"/>
      </w:r>
      <w:r>
        <w:rPr>
          <w:rFonts w:hint="eastAsia" w:ascii="楷体" w:hAnsi="楷体" w:eastAsia="楷体" w:cs="楷体"/>
          <w:color w:val="auto"/>
          <w:kern w:val="2"/>
          <w:sz w:val="21"/>
          <w:szCs w:val="21"/>
          <w:highlight w:val="none"/>
          <w:lang w:val="en-US" w:eastAsia="zh-CN" w:bidi="ar-SA"/>
        </w:rPr>
        <w:t xml:space="preserve">    （1）-（2）各资产到期日不超过理财产品投资周期终止日，循环期不还本、摊还期过手摊还本息；（3）-（27）各资产到期日不超过理财产品投资周期终止日，定期付息、到期一次性还本；（28）-（51）各资产到期日不超过理财产品投资周期终止日，到期一次性还本付息。</w:t>
      </w:r>
      <w:r>
        <w:rPr>
          <w:rFonts w:hint="eastAsia" w:ascii="楷体" w:hAnsi="楷体" w:eastAsia="楷体" w:cs="楷体"/>
          <w:color w:val="auto"/>
          <w:kern w:val="2"/>
          <w:sz w:val="21"/>
          <w:szCs w:val="21"/>
          <w:highlight w:val="none"/>
          <w:lang w:val="en-US" w:eastAsia="zh-CN" w:bidi="ar-SA"/>
        </w:rPr>
        <w:br w:type="textWrapping"/>
      </w:r>
      <w:r>
        <w:rPr>
          <w:rFonts w:hint="eastAsia" w:ascii="楷体" w:hAnsi="楷体" w:eastAsia="楷体" w:cs="楷体"/>
          <w:color w:val="auto"/>
          <w:kern w:val="2"/>
          <w:sz w:val="21"/>
          <w:szCs w:val="21"/>
          <w:highlight w:val="none"/>
          <w:lang w:val="en-US" w:eastAsia="zh-CN" w:bidi="ar-SA"/>
        </w:rPr>
        <w:t xml:space="preserve">    </w:t>
      </w:r>
      <w:r>
        <w:rPr>
          <w:rFonts w:hint="eastAsia" w:ascii="楷体" w:hAnsi="楷体" w:eastAsia="楷体"/>
          <w:sz w:val="21"/>
          <w:szCs w:val="21"/>
          <w:highlight w:val="none"/>
          <w:lang w:val="en-US" w:eastAsia="zh-CN"/>
        </w:rPr>
        <w:t>产品存续期内若本理财产品投资的非标准化债权类资产有所调整，管理人将选择优质企业作为融资人，且融资项目已履行管理人内部审批流程，融资人业务经营正常，融资项目还款来源明确，并在本理财产品的定期报告中披露。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投资合作机构</w:t>
      </w:r>
      <w:bookmarkStart w:id="0" w:name="_GoBack"/>
      <w:bookmarkEnd w:id="0"/>
    </w:p>
    <w:p>
      <w:pPr>
        <w:numPr>
          <w:ilvl w:val="0"/>
          <w:numId w:val="0"/>
        </w:numPr>
        <w:ind w:firstLine="420" w:firstLineChars="200"/>
        <w:rPr>
          <w:rFonts w:hint="eastAsia" w:ascii="楷体" w:hAnsi="楷体" w:eastAsia="楷体"/>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r>
        <w:rPr>
          <w:rFonts w:hint="eastAsia" w:ascii="楷体" w:hAnsi="楷体" w:eastAsia="楷体"/>
          <w:sz w:val="21"/>
          <w:szCs w:val="21"/>
          <w:highlight w:val="none"/>
        </w:rPr>
        <w:t>：</w:t>
      </w:r>
    </w:p>
    <w:p>
      <w:pPr>
        <w:ind w:firstLine="420" w:firstLineChars="200"/>
        <w:rPr>
          <w:rFonts w:hint="eastAsia" w:ascii="楷体" w:hAnsi="楷体" w:eastAsia="楷体"/>
          <w:b w:val="0"/>
          <w:bCs w:val="0"/>
          <w:sz w:val="21"/>
          <w:szCs w:val="21"/>
          <w:highlight w:val="none"/>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1 \* GB3 \* MERGEFORMAT </w:instrText>
      </w:r>
      <w:r>
        <w:rPr>
          <w:rFonts w:hint="default" w:ascii="Calibri" w:hAnsi="Calibri" w:eastAsia="楷体" w:cs="Calibri"/>
          <w:b w:val="0"/>
          <w:bCs w:val="0"/>
          <w:sz w:val="21"/>
          <w:szCs w:val="21"/>
          <w:highlight w:val="none"/>
        </w:rPr>
        <w:fldChar w:fldCharType="separate"/>
      </w:r>
      <w:r>
        <w:rPr>
          <w:highlight w:val="none"/>
        </w:rPr>
        <w:t>①</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rPr>
        <w:t>江苏省国际信托有限责任公司</w:t>
      </w:r>
      <w:r>
        <w:rPr>
          <w:rFonts w:hint="eastAsia" w:ascii="楷体" w:hAnsi="楷体" w:eastAsia="楷体"/>
          <w:b w:val="0"/>
          <w:bCs w:val="0"/>
          <w:sz w:val="21"/>
          <w:szCs w:val="21"/>
          <w:highlight w:val="none"/>
          <w:lang w:eastAsia="zh-CN"/>
        </w:rPr>
        <w:t>：</w:t>
      </w:r>
      <w:r>
        <w:rPr>
          <w:rFonts w:hint="eastAsia" w:ascii="楷体" w:hAnsi="楷体" w:eastAsia="楷体"/>
          <w:b w:val="0"/>
          <w:bCs w:val="0"/>
          <w:sz w:val="21"/>
          <w:szCs w:val="21"/>
          <w:highlight w:val="none"/>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ascii="楷体" w:hAnsi="楷体" w:eastAsia="楷体"/>
          <w:b w:val="0"/>
          <w:bCs w:val="0"/>
          <w:sz w:val="21"/>
          <w:szCs w:val="21"/>
          <w:highlight w:val="none"/>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2 \* GB3 \* MERGEFORMAT </w:instrText>
      </w:r>
      <w:r>
        <w:rPr>
          <w:rFonts w:hint="default" w:ascii="Calibri" w:hAnsi="Calibri" w:eastAsia="楷体" w:cs="Calibri"/>
          <w:b w:val="0"/>
          <w:bCs w:val="0"/>
          <w:sz w:val="21"/>
          <w:szCs w:val="21"/>
          <w:highlight w:val="none"/>
        </w:rPr>
        <w:fldChar w:fldCharType="separate"/>
      </w:r>
      <w:r>
        <w:rPr>
          <w:highlight w:val="none"/>
        </w:rPr>
        <w:t>②</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rPr>
        <w:t>创金合信基金管理有限公司</w:t>
      </w:r>
      <w:r>
        <w:rPr>
          <w:rFonts w:hint="eastAsia" w:ascii="楷体" w:hAnsi="楷体" w:eastAsia="楷体"/>
          <w:b w:val="0"/>
          <w:bCs w:val="0"/>
          <w:sz w:val="21"/>
          <w:szCs w:val="21"/>
          <w:highlight w:val="none"/>
          <w:lang w:eastAsia="zh-CN"/>
        </w:rPr>
        <w:t>：</w:t>
      </w:r>
      <w:r>
        <w:rPr>
          <w:rFonts w:ascii="楷体" w:hAnsi="楷体" w:eastAsia="楷体"/>
          <w:b w:val="0"/>
          <w:bCs w:val="0"/>
          <w:sz w:val="21"/>
          <w:szCs w:val="21"/>
          <w:highlight w:val="none"/>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b w:val="0"/>
          <w:bCs w:val="0"/>
          <w:sz w:val="21"/>
          <w:szCs w:val="21"/>
          <w:highlight w:val="none"/>
          <w:lang w:val="en-US" w:eastAsia="zh-CN"/>
        </w:rPr>
      </w:pPr>
      <w:r>
        <w:rPr>
          <w:rFonts w:hint="default" w:ascii="Calibri" w:hAnsi="Calibri" w:eastAsia="楷体" w:cs="Calibri"/>
          <w:b w:val="0"/>
          <w:bCs w:val="0"/>
          <w:sz w:val="21"/>
          <w:szCs w:val="21"/>
          <w:highlight w:val="none"/>
        </w:rPr>
        <w:fldChar w:fldCharType="begin"/>
      </w:r>
      <w:r>
        <w:rPr>
          <w:rFonts w:hint="default" w:ascii="Calibri" w:hAnsi="Calibri" w:eastAsia="楷体" w:cs="Calibri"/>
          <w:b w:val="0"/>
          <w:bCs w:val="0"/>
          <w:sz w:val="21"/>
          <w:szCs w:val="21"/>
          <w:highlight w:val="none"/>
        </w:rPr>
        <w:instrText xml:space="preserve"> = 3 \* GB3 \* MERGEFORMAT </w:instrText>
      </w:r>
      <w:r>
        <w:rPr>
          <w:rFonts w:hint="default" w:ascii="Calibri" w:hAnsi="Calibri" w:eastAsia="楷体" w:cs="Calibri"/>
          <w:b w:val="0"/>
          <w:bCs w:val="0"/>
          <w:sz w:val="21"/>
          <w:szCs w:val="21"/>
          <w:highlight w:val="none"/>
        </w:rPr>
        <w:fldChar w:fldCharType="separate"/>
      </w:r>
      <w:r>
        <w:rPr>
          <w:highlight w:val="none"/>
        </w:rPr>
        <w:t>③</w:t>
      </w:r>
      <w:r>
        <w:rPr>
          <w:rFonts w:hint="default" w:ascii="Calibri" w:hAnsi="Calibri" w:eastAsia="楷体" w:cs="Calibri"/>
          <w:b w:val="0"/>
          <w:bCs w:val="0"/>
          <w:sz w:val="21"/>
          <w:szCs w:val="21"/>
          <w:highlight w:val="none"/>
        </w:rPr>
        <w:fldChar w:fldCharType="end"/>
      </w:r>
      <w:r>
        <w:rPr>
          <w:rFonts w:hint="eastAsia" w:ascii="楷体" w:hAnsi="楷体" w:eastAsia="楷体"/>
          <w:b w:val="0"/>
          <w:bCs w:val="0"/>
          <w:sz w:val="21"/>
          <w:szCs w:val="21"/>
          <w:highlight w:val="none"/>
          <w:lang w:val="en-US" w:eastAsia="zh-CN"/>
        </w:rPr>
        <w:t>华鑫国际信托有限公司：华鑫国际信托有限公司于2010年2月获得中国银行业监督管理委员会批准重新登记，并于同年3月正式挂牌开业，实际控制人为中国华电集团有限公司，注册资本73.95亿元。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b w:val="0"/>
          <w:bCs w:val="0"/>
          <w:sz w:val="21"/>
          <w:szCs w:val="21"/>
          <w:highlight w:val="none"/>
          <w:lang w:val="en-US" w:eastAsia="zh-CN"/>
        </w:rPr>
      </w:pPr>
      <w:r>
        <w:rPr>
          <w:rFonts w:ascii="楷体" w:hAnsi="楷体" w:eastAsia="楷体"/>
          <w:b w:val="0"/>
          <w:bCs w:val="0"/>
          <w:sz w:val="21"/>
          <w:szCs w:val="21"/>
          <w:highlight w:val="none"/>
        </w:rPr>
        <w:fldChar w:fldCharType="begin"/>
      </w:r>
      <w:r>
        <w:rPr>
          <w:rFonts w:ascii="楷体" w:hAnsi="楷体" w:eastAsia="楷体"/>
          <w:b w:val="0"/>
          <w:bCs w:val="0"/>
          <w:sz w:val="21"/>
          <w:szCs w:val="21"/>
          <w:highlight w:val="none"/>
        </w:rPr>
        <w:instrText xml:space="preserve"> = 4 \* GB3 \* MERGEFORMAT </w:instrText>
      </w:r>
      <w:r>
        <w:rPr>
          <w:rFonts w:ascii="楷体" w:hAnsi="楷体" w:eastAsia="楷体"/>
          <w:b w:val="0"/>
          <w:bCs w:val="0"/>
          <w:sz w:val="21"/>
          <w:szCs w:val="21"/>
          <w:highlight w:val="none"/>
        </w:rPr>
        <w:fldChar w:fldCharType="separate"/>
      </w:r>
      <w:r>
        <w:rPr>
          <w:highlight w:val="none"/>
        </w:rPr>
        <w:t>④</w:t>
      </w:r>
      <w:r>
        <w:rPr>
          <w:rFonts w:ascii="楷体" w:hAnsi="楷体" w:eastAsia="楷体"/>
          <w:b w:val="0"/>
          <w:bCs w:val="0"/>
          <w:sz w:val="21"/>
          <w:szCs w:val="21"/>
          <w:highlight w:val="none"/>
        </w:rPr>
        <w:fldChar w:fldCharType="end"/>
      </w:r>
      <w:r>
        <w:rPr>
          <w:rFonts w:hint="eastAsia" w:ascii="楷体" w:hAnsi="楷体" w:eastAsia="楷体"/>
          <w:b w:val="0"/>
          <w:bCs w:val="0"/>
          <w:sz w:val="21"/>
          <w:szCs w:val="21"/>
          <w:highlight w:val="none"/>
          <w:lang w:val="en-US" w:eastAsia="zh-CN"/>
        </w:rPr>
        <w:t>中国国际金融股份有限公司：中国国际金融股份有限公司于1995年7月31日成立，实际控制人为中央汇金投资有限责任公司，注册资本4,827,256,868元。</w:t>
      </w:r>
    </w:p>
    <w:p>
      <w:pPr>
        <w:ind w:firstLine="420" w:firstLineChars="200"/>
        <w:rPr>
          <w:rFonts w:hint="eastAsia"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5 \* GB3 \* MERGEFORMAT </w:instrText>
      </w:r>
      <w:r>
        <w:rPr>
          <w:rFonts w:hint="eastAsia" w:ascii="楷体" w:hAnsi="楷体" w:eastAsia="楷体"/>
          <w:b w:val="0"/>
          <w:bCs w:val="0"/>
          <w:sz w:val="21"/>
          <w:szCs w:val="21"/>
          <w:highlight w:val="none"/>
          <w:lang w:val="en-US" w:eastAsia="zh-CN"/>
        </w:rPr>
        <w:fldChar w:fldCharType="separate"/>
      </w:r>
      <w:r>
        <w:rPr>
          <w:highlight w:val="none"/>
        </w:rPr>
        <w:t>⑤</w:t>
      </w:r>
      <w:r>
        <w:rPr>
          <w:rFonts w:hint="eastAsia" w:ascii="楷体" w:hAnsi="楷体" w:eastAsia="楷体"/>
          <w:b w:val="0"/>
          <w:bCs w:val="0"/>
          <w:sz w:val="21"/>
          <w:szCs w:val="21"/>
          <w:highlight w:val="none"/>
          <w:lang w:val="en-US" w:eastAsia="zh-CN"/>
        </w:rPr>
        <w:fldChar w:fldCharType="end"/>
      </w:r>
      <w:r>
        <w:rPr>
          <w:rFonts w:hint="eastAsia" w:ascii="楷体" w:hAnsi="楷体" w:eastAsia="楷体"/>
          <w:b w:val="0"/>
          <w:bCs w:val="0"/>
          <w:sz w:val="21"/>
          <w:szCs w:val="21"/>
          <w:highlight w:val="none"/>
          <w:lang w:val="en-US"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6 \* GB3 \* MERGEFORMAT </w:instrText>
      </w:r>
      <w:r>
        <w:rPr>
          <w:rFonts w:hint="eastAsia" w:ascii="楷体" w:hAnsi="楷体" w:eastAsia="楷体"/>
          <w:b w:val="0"/>
          <w:bCs w:val="0"/>
          <w:sz w:val="21"/>
          <w:szCs w:val="21"/>
          <w:highlight w:val="none"/>
          <w:lang w:val="en-US" w:eastAsia="zh-CN"/>
        </w:rPr>
        <w:fldChar w:fldCharType="separate"/>
      </w:r>
      <w:r>
        <w:rPr>
          <w:highlight w:val="none"/>
        </w:rPr>
        <w:t>⑥</w:t>
      </w:r>
      <w:r>
        <w:rPr>
          <w:rFonts w:hint="eastAsia" w:ascii="楷体" w:hAnsi="楷体" w:eastAsia="楷体"/>
          <w:b w:val="0"/>
          <w:bCs w:val="0"/>
          <w:sz w:val="21"/>
          <w:szCs w:val="21"/>
          <w:highlight w:val="none"/>
          <w:lang w:val="en-US" w:eastAsia="zh-CN"/>
        </w:rPr>
        <w:fldChar w:fldCharType="end"/>
      </w:r>
      <w:r>
        <w:rPr>
          <w:rFonts w:hint="eastAsia" w:ascii="楷体" w:hAnsi="楷体" w:eastAsia="楷体"/>
          <w:b w:val="0"/>
          <w:bCs w:val="0"/>
          <w:sz w:val="21"/>
          <w:szCs w:val="21"/>
          <w:highlight w:val="none"/>
          <w:lang w:val="en-US" w:eastAsia="zh-CN"/>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default"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fldChar w:fldCharType="begin"/>
      </w:r>
      <w:r>
        <w:rPr>
          <w:rFonts w:hint="eastAsia" w:ascii="楷体" w:hAnsi="楷体" w:eastAsia="楷体"/>
          <w:b w:val="0"/>
          <w:bCs w:val="0"/>
          <w:sz w:val="21"/>
          <w:szCs w:val="21"/>
          <w:highlight w:val="none"/>
          <w:lang w:val="en-US" w:eastAsia="zh-CN"/>
        </w:rPr>
        <w:instrText xml:space="preserve"> = 7 \* GB3 \* MERGEFORMAT </w:instrText>
      </w:r>
      <w:r>
        <w:rPr>
          <w:rFonts w:hint="eastAsia" w:ascii="楷体" w:hAnsi="楷体" w:eastAsia="楷体"/>
          <w:b w:val="0"/>
          <w:bCs w:val="0"/>
          <w:sz w:val="21"/>
          <w:szCs w:val="21"/>
          <w:highlight w:val="none"/>
          <w:lang w:val="en-US" w:eastAsia="zh-CN"/>
        </w:rPr>
        <w:fldChar w:fldCharType="separate"/>
      </w:r>
      <w:r>
        <w:rPr>
          <w:highlight w:val="none"/>
        </w:rPr>
        <w:t>⑦</w:t>
      </w:r>
      <w:r>
        <w:rPr>
          <w:rFonts w:hint="eastAsia" w:ascii="楷体" w:hAnsi="楷体" w:eastAsia="楷体"/>
          <w:b w:val="0"/>
          <w:bCs w:val="0"/>
          <w:sz w:val="21"/>
          <w:szCs w:val="21"/>
          <w:highlight w:val="none"/>
          <w:lang w:val="en-US" w:eastAsia="zh-CN"/>
        </w:rPr>
        <w:fldChar w:fldCharType="end"/>
      </w:r>
      <w:r>
        <w:rPr>
          <w:rFonts w:hint="default" w:ascii="楷体" w:hAnsi="楷体" w:eastAsia="楷体"/>
          <w:b w:val="0"/>
          <w:bCs w:val="0"/>
          <w:sz w:val="21"/>
          <w:szCs w:val="21"/>
          <w:highlight w:val="none"/>
          <w:lang w:val="en-US" w:eastAsia="zh-CN"/>
        </w:rPr>
        <w:t>南方资本管理有限公司</w:t>
      </w:r>
      <w:r>
        <w:rPr>
          <w:rFonts w:hint="eastAsia" w:ascii="楷体" w:hAnsi="楷体" w:eastAsia="楷体"/>
          <w:b w:val="0"/>
          <w:bCs w:val="0"/>
          <w:sz w:val="21"/>
          <w:szCs w:val="21"/>
          <w:highlight w:val="none"/>
          <w:lang w:val="en-US" w:eastAsia="zh-CN"/>
        </w:rPr>
        <w:t>：</w:t>
      </w:r>
      <w:r>
        <w:rPr>
          <w:rFonts w:hint="default" w:ascii="楷体" w:hAnsi="楷体" w:eastAsia="楷体"/>
          <w:b w:val="0"/>
          <w:bCs w:val="0"/>
          <w:sz w:val="21"/>
          <w:szCs w:val="21"/>
          <w:highlight w:val="none"/>
          <w:lang w:val="en-US" w:eastAsia="zh-CN"/>
        </w:rPr>
        <w:t>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default" w:ascii="楷体" w:hAnsi="楷体" w:eastAsia="楷体"/>
          <w:b w:val="0"/>
          <w:bCs w:val="0"/>
          <w:sz w:val="21"/>
          <w:szCs w:val="21"/>
          <w:highlight w:val="none"/>
          <w:lang w:val="en-US" w:eastAsia="zh-CN"/>
        </w:rPr>
      </w:pPr>
      <w:r>
        <w:rPr>
          <w:rFonts w:hint="eastAsia" w:ascii="楷体" w:hAnsi="楷体" w:eastAsia="楷体"/>
          <w:b w:val="0"/>
          <w:bCs w:val="0"/>
          <w:sz w:val="21"/>
          <w:szCs w:val="21"/>
          <w:highlight w:val="none"/>
          <w:lang w:val="en-US" w:eastAsia="zh-CN"/>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 个工作日内持有不低于产品资产净值5%的现金或者到期日在一年以内的国债、中央银行票据和政策性金融债券。</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6"/>
        </w:numPr>
        <w:tabs>
          <w:tab w:val="left" w:pos="993"/>
        </w:tabs>
        <w:ind w:left="0" w:firstLine="420" w:firstLineChars="200"/>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投资</w:t>
      </w:r>
      <w:r>
        <w:rPr>
          <w:rFonts w:hint="eastAsia" w:ascii="楷体" w:hAnsi="楷体" w:eastAsia="楷体" w:cs="Calibri"/>
          <w:b w:val="0"/>
          <w:bCs/>
          <w:sz w:val="21"/>
          <w:szCs w:val="21"/>
          <w:highlight w:val="none"/>
          <w:lang w:val="en-US" w:eastAsia="zh-CN"/>
        </w:rPr>
        <w:t>管理</w:t>
      </w:r>
      <w:r>
        <w:rPr>
          <w:rFonts w:hint="eastAsia" w:ascii="楷体" w:hAnsi="楷体" w:eastAsia="楷体" w:cs="Calibri"/>
          <w:b w:val="0"/>
          <w:bCs/>
          <w:sz w:val="21"/>
          <w:szCs w:val="21"/>
          <w:highlight w:val="none"/>
        </w:rPr>
        <w:t>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highlight w:val="none"/>
          <w:lang w:val="en-US" w:eastAsia="zh-CN" w:bidi="ar-SA"/>
        </w:rPr>
      </w:pPr>
      <w:r>
        <w:rPr>
          <w:rFonts w:hint="eastAsia" w:ascii="楷体" w:hAnsi="楷体" w:eastAsia="楷体" w:cs="Times New Roman"/>
          <w:color w:val="auto"/>
          <w:kern w:val="2"/>
          <w:sz w:val="21"/>
          <w:szCs w:val="21"/>
          <w:highlight w:val="none"/>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ascii="楷体" w:hAnsi="楷体" w:eastAsia="楷体"/>
          <w:sz w:val="21"/>
          <w:szCs w:val="21"/>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sz w:val="21"/>
          <w:szCs w:val="21"/>
          <w:highlight w:val="none"/>
          <w:lang w:val="en-US" w:eastAsia="zh-CN"/>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产品认购</w:t>
      </w:r>
    </w:p>
    <w:p>
      <w:pPr>
        <w:numPr>
          <w:ilvl w:val="0"/>
          <w:numId w:val="8"/>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认购方式</w:t>
      </w:r>
      <w:r>
        <w:rPr>
          <w:rFonts w:hint="eastAsia" w:ascii="楷体" w:hAnsi="楷体" w:eastAsia="楷体" w:cs="Calibri"/>
          <w:color w:val="auto"/>
          <w:sz w:val="21"/>
          <w:szCs w:val="21"/>
          <w:highlight w:val="none"/>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认购份额的计算</w:t>
      </w:r>
    </w:p>
    <w:p>
      <w:pPr>
        <w:numPr>
          <w:ilvl w:val="-1"/>
          <w:numId w:val="0"/>
        </w:numPr>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认购份额=认购金额/产品份额面值，认购份额以四舍五入的方法保留到小数点后两位。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sz w:val="21"/>
          <w:szCs w:val="21"/>
          <w:highlight w:val="none"/>
        </w:rPr>
      </w:pPr>
      <w:r>
        <w:rPr>
          <w:rFonts w:hint="eastAsia" w:ascii="楷体" w:hAnsi="楷体" w:eastAsia="楷体"/>
          <w:b/>
          <w:sz w:val="21"/>
          <w:szCs w:val="21"/>
          <w:highlight w:val="none"/>
        </w:rPr>
        <w:t>产品申购、赎回</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投资周期、开放计划</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本产品在每个投资周期结束前设置开放计划，时间为投资周期终止日前</w:t>
      </w:r>
      <w:r>
        <w:rPr>
          <w:rFonts w:hint="eastAsia" w:ascii="楷体" w:hAnsi="楷体" w:eastAsia="楷体"/>
          <w:sz w:val="21"/>
          <w:szCs w:val="21"/>
          <w:highlight w:val="none"/>
          <w:lang w:val="en-US" w:eastAsia="zh-CN"/>
        </w:rPr>
        <w:t>7个工作</w:t>
      </w:r>
      <w:r>
        <w:rPr>
          <w:rFonts w:hint="eastAsia" w:ascii="楷体" w:hAnsi="楷体" w:eastAsia="楷体"/>
          <w:sz w:val="21"/>
          <w:szCs w:val="21"/>
          <w:highlight w:val="none"/>
        </w:rPr>
        <w:t>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highlight w:val="none"/>
          <w:u w:val="single"/>
        </w:rPr>
        <w:t>除开放计划外的其他时间，管理人不接受投资者申购、赎回申请。</w:t>
      </w:r>
      <w:r>
        <w:rPr>
          <w:rFonts w:hint="eastAsia" w:ascii="楷体" w:hAnsi="楷体" w:eastAsia="楷体" w:cs="Calibri"/>
          <w:sz w:val="21"/>
          <w:szCs w:val="21"/>
          <w:highlight w:val="none"/>
        </w:rPr>
        <w:t>后续投资周期及开放计划受资产运作情况、节假日安排等要素限制，管理人将在每个投资周期结束前通过本理财产品说明书约定的方式披露下一周期开放计划。</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申购、赎回的规则</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申购、赎回的原则：投资者必须在产品开放计划内提出申购、赎回申请</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采用金额申购、份额赎回的原则，即申购以金额申请，赎回以份额申请。投资者提出申购申请时，须备足购买资金</w:t>
      </w:r>
      <w:r>
        <w:rPr>
          <w:rFonts w:hint="eastAsia" w:ascii="楷体" w:hAnsi="楷体" w:eastAsia="楷体" w:cs="Calibri"/>
          <w:sz w:val="21"/>
          <w:szCs w:val="21"/>
          <w:highlight w:val="none"/>
          <w:lang w:val="en-US" w:eastAsia="zh-CN"/>
        </w:rPr>
        <w:t>；</w:t>
      </w:r>
      <w:r>
        <w:rPr>
          <w:rFonts w:hint="eastAsia" w:ascii="楷体" w:hAnsi="楷体" w:eastAsia="楷体" w:cs="Calibri"/>
          <w:sz w:val="21"/>
          <w:szCs w:val="21"/>
          <w:highlight w:val="none"/>
        </w:rPr>
        <w:t>投资者提出赎回申请时，须有足够的理财产品份额余额。在开放计划内提交的申购/赎回申请可以在产品开放日</w:t>
      </w:r>
      <w:r>
        <w:rPr>
          <w:rFonts w:hint="eastAsia" w:ascii="楷体" w:hAnsi="楷体" w:eastAsia="楷体" w:cs="Calibri"/>
          <w:sz w:val="21"/>
          <w:szCs w:val="21"/>
          <w:highlight w:val="none"/>
          <w:lang w:val="en-US" w:eastAsia="zh-CN"/>
        </w:rPr>
        <w:t>闭市</w:t>
      </w:r>
      <w:r>
        <w:rPr>
          <w:rFonts w:hint="eastAsia" w:ascii="楷体" w:hAnsi="楷体" w:eastAsia="楷体" w:cs="Calibri"/>
          <w:sz w:val="21"/>
          <w:szCs w:val="21"/>
          <w:highlight w:val="none"/>
        </w:rPr>
        <w:t>前撤销，之后不得撤销。</w:t>
      </w:r>
      <w:r>
        <w:rPr>
          <w:rFonts w:hint="eastAsia" w:ascii="楷体" w:hAnsi="楷体" w:eastAsia="楷体"/>
          <w:sz w:val="21"/>
          <w:szCs w:val="21"/>
          <w:highlight w:val="none"/>
        </w:rPr>
        <w:t>（</w:t>
      </w:r>
      <w:r>
        <w:rPr>
          <w:rFonts w:hint="eastAsia" w:ascii="楷体" w:hAnsi="楷体" w:eastAsia="楷体" w:cs="Calibri"/>
          <w:sz w:val="21"/>
          <w:szCs w:val="21"/>
          <w:highlight w:val="none"/>
          <w:lang w:val="en-US" w:eastAsia="zh-CN"/>
        </w:rPr>
        <w:t>闭市时间</w:t>
      </w:r>
      <w:r>
        <w:rPr>
          <w:rFonts w:hint="eastAsia" w:ascii="楷体" w:hAnsi="楷体" w:eastAsia="楷体"/>
          <w:sz w:val="21"/>
          <w:szCs w:val="21"/>
          <w:highlight w:val="none"/>
        </w:rPr>
        <w:t>以各销售机构设置为准）</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投资者赎回资金将在确认日后2个工作日内到达投资者资金账户。</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申购份额的计算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申购份额=申购金额/开放日产品单位净值</w:t>
      </w:r>
      <w:r>
        <w:rPr>
          <w:rFonts w:hint="eastAsia" w:ascii="楷体" w:hAnsi="楷体" w:eastAsia="楷体"/>
          <w:sz w:val="21"/>
          <w:szCs w:val="21"/>
          <w:highlight w:val="none"/>
          <w:lang w:eastAsia="zh-CN"/>
        </w:rPr>
        <w:t>，</w:t>
      </w:r>
      <w:r>
        <w:rPr>
          <w:rFonts w:hint="eastAsia" w:ascii="楷体" w:hAnsi="楷体" w:eastAsia="楷体"/>
          <w:sz w:val="21"/>
          <w:szCs w:val="21"/>
          <w:highlight w:val="none"/>
        </w:rPr>
        <w:t>申购份额以四舍五入的方法保留到小数点后两位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赎回金额的计算</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赎回金额=赎回份额*开放日产品单位净值</w:t>
      </w:r>
      <w:r>
        <w:rPr>
          <w:rFonts w:hint="eastAsia" w:ascii="楷体" w:hAnsi="楷体" w:eastAsia="楷体"/>
          <w:sz w:val="21"/>
          <w:szCs w:val="21"/>
          <w:highlight w:val="none"/>
          <w:lang w:val="en-US" w:eastAsia="zh-CN"/>
        </w:rPr>
        <w:t>-超额业绩报酬（如有）</w:t>
      </w:r>
      <w:r>
        <w:rPr>
          <w:rFonts w:hint="eastAsia" w:ascii="楷体" w:hAnsi="楷体" w:eastAsia="楷体"/>
          <w:sz w:val="21"/>
          <w:szCs w:val="21"/>
          <w:highlight w:val="none"/>
          <w:lang w:eastAsia="zh-CN"/>
        </w:rPr>
        <w:t>，</w:t>
      </w:r>
      <w:r>
        <w:rPr>
          <w:rFonts w:hint="eastAsia" w:ascii="楷体" w:hAnsi="楷体" w:eastAsia="楷体"/>
          <w:sz w:val="21"/>
          <w:szCs w:val="21"/>
          <w:highlight w:val="none"/>
        </w:rPr>
        <w:t>赎回金额以四舍五入的方法保留到小数点后两位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巨额赎回</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lang w:val="en-US" w:eastAsia="zh-CN"/>
        </w:rPr>
        <w:t>详见“产品要素”</w:t>
      </w:r>
    </w:p>
    <w:p>
      <w:pPr>
        <w:numPr>
          <w:ilvl w:val="0"/>
          <w:numId w:val="9"/>
        </w:numPr>
        <w:tabs>
          <w:tab w:val="left" w:pos="993"/>
        </w:tabs>
        <w:ind w:left="0" w:firstLine="420" w:firstLineChars="200"/>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特殊情形及处理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（5）法律、法规规定认定的其他情形。</w:t>
      </w:r>
    </w:p>
    <w:p>
      <w:pPr>
        <w:numPr>
          <w:ilvl w:val="0"/>
          <w:numId w:val="0"/>
        </w:numPr>
        <w:tabs>
          <w:tab w:val="left" w:pos="728"/>
        </w:tabs>
        <w:ind w:firstLine="420" w:firstLineChars="200"/>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收益分配</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w:t>
      </w:r>
      <w:r>
        <w:rPr>
          <w:rFonts w:hint="eastAsia" w:ascii="楷体" w:hAnsi="楷体" w:eastAsia="楷体"/>
          <w:sz w:val="21"/>
          <w:szCs w:val="21"/>
          <w:highlight w:val="none"/>
          <w:lang w:val="en-US" w:eastAsia="zh-CN"/>
        </w:rPr>
        <w:t>计划</w:t>
      </w:r>
      <w:r>
        <w:rPr>
          <w:rFonts w:hint="eastAsia" w:ascii="楷体" w:hAnsi="楷体" w:eastAsia="楷体"/>
          <w:sz w:val="21"/>
          <w:szCs w:val="21"/>
          <w:highlight w:val="none"/>
        </w:rPr>
        <w:t>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22" w:firstLineChars="200"/>
        <w:rPr>
          <w:rFonts w:hint="eastAsia" w:ascii="楷体" w:hAnsi="楷体" w:eastAsia="楷体"/>
          <w:sz w:val="21"/>
          <w:szCs w:val="21"/>
          <w:highlight w:val="none"/>
          <w:lang w:eastAsia="zh-CN"/>
        </w:rPr>
      </w:pPr>
      <w:r>
        <w:rPr>
          <w:rFonts w:hint="eastAsia" w:ascii="楷体" w:hAnsi="楷体" w:eastAsia="楷体"/>
          <w:b/>
          <w:sz w:val="21"/>
          <w:szCs w:val="21"/>
          <w:highlight w:val="none"/>
          <w:u w:val="single"/>
        </w:rPr>
        <w:t>以下示例均为假设情况，不代表本产品实际投资业绩</w:t>
      </w:r>
      <w:r>
        <w:rPr>
          <w:rFonts w:hint="eastAsia" w:ascii="楷体" w:hAnsi="楷体" w:eastAsia="楷体"/>
          <w:b/>
          <w:sz w:val="21"/>
          <w:szCs w:val="21"/>
          <w:highlight w:val="none"/>
          <w:u w:val="single"/>
          <w:lang w:eastAsia="zh-CN"/>
        </w:rPr>
        <w:t>。</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1.情景一</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20。理财产品单位净值大于面值，管理人可进行现金分红，每份额可获得的现金分红为0.0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该投资周期投资者可得分红=10,000.00×0.0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w:t>
      </w:r>
      <w:r>
        <w:rPr>
          <w:rFonts w:hint="eastAsia" w:ascii="楷体" w:hAnsi="楷体" w:eastAsia="楷体"/>
          <w:sz w:val="21"/>
          <w:szCs w:val="21"/>
          <w:highlight w:val="none"/>
          <w:lang w:val="en-US" w:eastAsia="zh-CN"/>
        </w:rPr>
        <w:t>2</w:t>
      </w:r>
      <w:r>
        <w:rPr>
          <w:rFonts w:hint="eastAsia" w:ascii="楷体" w:hAnsi="楷体" w:eastAsia="楷体"/>
          <w:sz w:val="21"/>
          <w:szCs w:val="21"/>
          <w:highlight w:val="none"/>
        </w:rPr>
        <w:t>20.00（元）</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2.情景二</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22" w:firstLineChars="200"/>
        <w:rPr>
          <w:rFonts w:hint="eastAsia"/>
          <w:sz w:val="21"/>
          <w:szCs w:val="21"/>
          <w:highlight w:val="none"/>
        </w:rPr>
      </w:pPr>
      <w:r>
        <w:rPr>
          <w:rFonts w:hint="eastAsia" w:ascii="楷体" w:hAnsi="楷体" w:eastAsia="楷体"/>
          <w:b/>
          <w:sz w:val="21"/>
          <w:szCs w:val="21"/>
          <w:highlight w:val="none"/>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highlight w:val="none"/>
          <w:u w:val="single"/>
          <w:lang w:val="en-US" w:eastAsia="zh-CN"/>
        </w:rPr>
        <w:t>收益</w:t>
      </w:r>
      <w:r>
        <w:rPr>
          <w:rFonts w:hint="eastAsia" w:ascii="楷体" w:hAnsi="楷体" w:eastAsia="楷体"/>
          <w:b/>
          <w:sz w:val="21"/>
          <w:szCs w:val="21"/>
          <w:highlight w:val="none"/>
          <w:u w:val="single"/>
        </w:rPr>
        <w:t>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产品终止</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提前终止</w:t>
      </w:r>
    </w:p>
    <w:p>
      <w:pPr>
        <w:numPr>
          <w:ilvl w:val="0"/>
          <w:numId w:val="0"/>
        </w:numPr>
        <w:ind w:left="0" w:firstLine="420" w:firstLineChars="200"/>
        <w:rPr>
          <w:rFonts w:hint="eastAsia" w:ascii="楷体" w:hAnsi="楷体" w:eastAsia="楷体"/>
          <w:b w:val="0"/>
          <w:bCs w:val="0"/>
          <w:color w:val="auto"/>
          <w:sz w:val="21"/>
          <w:szCs w:val="21"/>
          <w:highlight w:val="none"/>
        </w:rPr>
      </w:pPr>
      <w:r>
        <w:rPr>
          <w:rFonts w:hint="eastAsia" w:ascii="楷体" w:hAnsi="楷体" w:eastAsia="楷体" w:cs="Calibri"/>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Calibri"/>
          <w:b w:val="0"/>
          <w:bCs w:val="0"/>
          <w:color w:val="auto"/>
          <w:sz w:val="21"/>
          <w:szCs w:val="21"/>
          <w:highlight w:val="none"/>
          <w:lang w:val="en-US" w:eastAsia="zh-CN"/>
        </w:rPr>
        <w:t>包括但不限于</w:t>
      </w:r>
      <w:r>
        <w:rPr>
          <w:rFonts w:hint="eastAsia" w:ascii="楷体" w:hAnsi="楷体" w:eastAsia="楷体" w:cs="Calibri"/>
          <w:b w:val="0"/>
          <w:bCs w:val="0"/>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明确产品终止日</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正常终止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投资者持有本理财产品至产品到期日，投资者的投资本金和收益（如有）将在产品到期后一次性支付。</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延期</w:t>
      </w:r>
      <w:r>
        <w:rPr>
          <w:rFonts w:hint="eastAsia" w:ascii="楷体" w:hAnsi="楷体" w:eastAsia="楷体" w:cs="Calibri"/>
          <w:b w:val="0"/>
          <w:bCs w:val="0"/>
          <w:color w:val="auto"/>
          <w:sz w:val="21"/>
          <w:szCs w:val="21"/>
          <w:highlight w:val="none"/>
          <w:lang w:val="en-US" w:eastAsia="zh-CN"/>
        </w:rPr>
        <w:t>终止</w:t>
      </w:r>
    </w:p>
    <w:p>
      <w:pPr>
        <w:ind w:firstLine="420" w:firstLineChars="200"/>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highlight w:val="none"/>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投资者可得资金计算</w:t>
      </w:r>
    </w:p>
    <w:p>
      <w:pPr>
        <w:ind w:firstLine="420" w:firstLineChars="200"/>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投资者可得资金=投资者持有份额×产品到期</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终止）</w:t>
      </w:r>
      <w:r>
        <w:rPr>
          <w:rFonts w:hint="eastAsia" w:ascii="楷体" w:hAnsi="楷体" w:eastAsia="楷体"/>
          <w:b w:val="0"/>
          <w:bCs w:val="0"/>
          <w:color w:val="auto"/>
          <w:sz w:val="21"/>
          <w:szCs w:val="21"/>
          <w:highlight w:val="none"/>
        </w:rPr>
        <w:t>时单位净值</w:t>
      </w:r>
      <w:r>
        <w:rPr>
          <w:rFonts w:hint="eastAsia" w:ascii="楷体" w:hAnsi="楷体" w:eastAsia="楷体"/>
          <w:b w:val="0"/>
          <w:bCs w:val="0"/>
          <w:color w:val="auto"/>
          <w:sz w:val="21"/>
          <w:szCs w:val="21"/>
          <w:highlight w:val="none"/>
          <w:lang w:val="en-US" w:eastAsia="zh-CN"/>
        </w:rPr>
        <w:t>-超额业绩报酬（如有）</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rPr>
        <w:t>投资者可得资金以四舍五入的方法保留到小数点后两位。</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终止</w:t>
      </w:r>
      <w:r>
        <w:rPr>
          <w:rFonts w:hint="eastAsia" w:ascii="楷体" w:hAnsi="楷体" w:eastAsia="楷体" w:cs="Calibri"/>
          <w:b w:val="0"/>
          <w:bCs w:val="0"/>
          <w:color w:val="auto"/>
          <w:sz w:val="21"/>
          <w:szCs w:val="21"/>
          <w:highlight w:val="none"/>
        </w:rPr>
        <w:t>清算</w:t>
      </w:r>
    </w:p>
    <w:p>
      <w:pPr>
        <w:widowControl w:val="0"/>
        <w:numPr>
          <w:ilvl w:val="0"/>
          <w:numId w:val="0"/>
        </w:numPr>
        <w:tabs>
          <w:tab w:val="left" w:pos="1092"/>
        </w:tabs>
        <w:jc w:val="both"/>
        <w:rPr>
          <w:rFonts w:hint="eastAsia" w:ascii="楷体" w:hAnsi="楷体" w:eastAsia="楷体" w:cs="Calibri"/>
          <w:color w:val="auto"/>
          <w:sz w:val="21"/>
          <w:szCs w:val="21"/>
          <w:highlight w:val="none"/>
          <w:lang w:eastAsia="zh-CN"/>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lang w:val="en-US" w:eastAsia="zh-CN"/>
        </w:rPr>
        <w:t>情景示例</w:t>
      </w:r>
    </w:p>
    <w:p>
      <w:pPr>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以下示例均为假设情况，不代表本产品实际投资业绩。</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1.情景一</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w:t>
      </w:r>
      <w:r>
        <w:rPr>
          <w:rFonts w:ascii="楷体" w:hAnsi="楷体" w:eastAsia="楷体"/>
          <w:color w:val="auto"/>
          <w:sz w:val="21"/>
          <w:szCs w:val="21"/>
          <w:highlight w:val="none"/>
        </w:rPr>
        <w:t>1.0</w:t>
      </w:r>
      <w:r>
        <w:rPr>
          <w:rFonts w:hint="eastAsia" w:ascii="楷体" w:hAnsi="楷体" w:eastAsia="楷体"/>
          <w:color w:val="auto"/>
          <w:sz w:val="21"/>
          <w:szCs w:val="21"/>
          <w:highlight w:val="none"/>
          <w:lang w:val="en-US" w:eastAsia="zh-CN"/>
        </w:rPr>
        <w:t>25503</w:t>
      </w:r>
      <w:r>
        <w:rPr>
          <w:rFonts w:hint="eastAsia" w:ascii="楷体" w:hAnsi="楷体" w:eastAsia="楷体"/>
          <w:color w:val="auto"/>
          <w:sz w:val="21"/>
          <w:szCs w:val="21"/>
          <w:highlight w:val="none"/>
        </w:rPr>
        <w:t>=</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w:t>
      </w:r>
      <w:r>
        <w:rPr>
          <w:rFonts w:ascii="楷体" w:hAnsi="楷体" w:eastAsia="楷体"/>
          <w:color w:val="auto"/>
          <w:sz w:val="21"/>
          <w:szCs w:val="21"/>
          <w:highlight w:val="none"/>
        </w:rPr>
        <w:t>10</w:t>
      </w:r>
      <w:r>
        <w:rPr>
          <w:rFonts w:hint="eastAsia"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-10,000.00=</w:t>
      </w:r>
      <w:r>
        <w:rPr>
          <w:rFonts w:hint="eastAsia" w:ascii="楷体" w:hAnsi="楷体" w:eastAsia="楷体"/>
          <w:color w:val="auto"/>
          <w:sz w:val="21"/>
          <w:szCs w:val="21"/>
          <w:highlight w:val="none"/>
          <w:lang w:val="en-US" w:eastAsia="zh-CN"/>
        </w:rPr>
        <w:t>255</w:t>
      </w:r>
      <w:r>
        <w:rPr>
          <w:rFonts w:ascii="楷体" w:hAnsi="楷体" w:eastAsia="楷体"/>
          <w:color w:val="auto"/>
          <w:sz w:val="21"/>
          <w:szCs w:val="21"/>
          <w:highlight w:val="none"/>
        </w:rPr>
        <w:t>.</w:t>
      </w:r>
      <w:r>
        <w:rPr>
          <w:rFonts w:hint="eastAsia" w:ascii="楷体" w:hAnsi="楷体" w:eastAsia="楷体"/>
          <w:color w:val="auto"/>
          <w:sz w:val="21"/>
          <w:szCs w:val="21"/>
          <w:highlight w:val="none"/>
          <w:lang w:val="en-US" w:eastAsia="zh-CN"/>
        </w:rPr>
        <w:t>03</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2.情景二</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假定投资者</w:t>
      </w:r>
      <w:r>
        <w:rPr>
          <w:rFonts w:hint="eastAsia" w:ascii="楷体" w:hAnsi="楷体" w:eastAsia="楷体"/>
          <w:color w:val="auto"/>
          <w:sz w:val="21"/>
          <w:szCs w:val="21"/>
          <w:highlight w:val="none"/>
          <w:lang w:val="en-US" w:eastAsia="zh-CN"/>
        </w:rPr>
        <w:t>购买</w:t>
      </w:r>
      <w:r>
        <w:rPr>
          <w:rFonts w:hint="eastAsia" w:ascii="楷体" w:hAnsi="楷体" w:eastAsia="楷体"/>
          <w:color w:val="auto"/>
          <w:sz w:val="21"/>
          <w:szCs w:val="21"/>
          <w:highlight w:val="none"/>
        </w:rPr>
        <w:t>本产品，投资金额为10,000.00元，</w:t>
      </w:r>
      <w:r>
        <w:rPr>
          <w:rFonts w:hint="eastAsia" w:ascii="楷体" w:hAnsi="楷体" w:eastAsia="楷体"/>
          <w:color w:val="auto"/>
          <w:sz w:val="21"/>
          <w:szCs w:val="21"/>
          <w:highlight w:val="none"/>
          <w:lang w:val="en-US" w:eastAsia="zh-CN"/>
        </w:rPr>
        <w:t>产品单位净值</w:t>
      </w:r>
      <w:r>
        <w:rPr>
          <w:rFonts w:hint="eastAsia" w:ascii="楷体" w:hAnsi="楷体" w:eastAsia="楷体"/>
          <w:color w:val="auto"/>
          <w:sz w:val="21"/>
          <w:szCs w:val="21"/>
          <w:highlight w:val="none"/>
        </w:rPr>
        <w:t>为1元</w:t>
      </w:r>
      <w:r>
        <w:rPr>
          <w:rFonts w:hint="eastAsia" w:ascii="楷体" w:hAnsi="楷体" w:eastAsia="楷体"/>
          <w:color w:val="auto"/>
          <w:sz w:val="21"/>
          <w:szCs w:val="21"/>
          <w:highlight w:val="none"/>
          <w:lang w:val="en-US" w:eastAsia="zh-CN"/>
        </w:rPr>
        <w:t>/份</w:t>
      </w:r>
      <w:r>
        <w:rPr>
          <w:rFonts w:hint="eastAsia" w:ascii="楷体" w:hAnsi="楷体" w:eastAsia="楷体"/>
          <w:color w:val="auto"/>
          <w:sz w:val="21"/>
          <w:szCs w:val="21"/>
          <w:highlight w:val="none"/>
        </w:rPr>
        <w:t>，折算份额为10,000.00份。</w:t>
      </w:r>
      <w:r>
        <w:rPr>
          <w:rFonts w:hint="eastAsia" w:ascii="楷体" w:hAnsi="楷体" w:eastAsia="楷体"/>
          <w:color w:val="auto"/>
          <w:sz w:val="21"/>
          <w:szCs w:val="21"/>
          <w:highlight w:val="none"/>
          <w:lang w:val="en-US" w:eastAsia="zh-CN"/>
        </w:rPr>
        <w:t>投资者赎回/</w:t>
      </w:r>
      <w:r>
        <w:rPr>
          <w:rFonts w:hint="eastAsia" w:ascii="楷体" w:hAnsi="楷体" w:eastAsia="楷体"/>
          <w:color w:val="auto"/>
          <w:sz w:val="21"/>
          <w:szCs w:val="21"/>
          <w:highlight w:val="none"/>
        </w:rPr>
        <w:t>到期时，产品单位净值为</w:t>
      </w:r>
      <w:r>
        <w:rPr>
          <w:rFonts w:ascii="楷体" w:hAnsi="楷体" w:eastAsia="楷体"/>
          <w:color w:val="auto"/>
          <w:sz w:val="21"/>
          <w:szCs w:val="21"/>
          <w:highlight w:val="none"/>
        </w:rPr>
        <w:t>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投资者可得资金=10,000.00×0.9975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（元）</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投资者投资收益=9,975.</w:t>
      </w:r>
      <w:r>
        <w:rPr>
          <w:rFonts w:hint="eastAsia" w:ascii="楷体" w:hAnsi="楷体" w:eastAsia="楷体"/>
          <w:color w:val="auto"/>
          <w:sz w:val="21"/>
          <w:szCs w:val="21"/>
          <w:highlight w:val="none"/>
          <w:lang w:val="en-US" w:eastAsia="zh-CN"/>
        </w:rPr>
        <w:t>94</w:t>
      </w:r>
      <w:r>
        <w:rPr>
          <w:rFonts w:hint="eastAsia" w:ascii="楷体" w:hAnsi="楷体" w:eastAsia="楷体"/>
          <w:color w:val="auto"/>
          <w:sz w:val="21"/>
          <w:szCs w:val="21"/>
          <w:highlight w:val="none"/>
        </w:rPr>
        <w:t>-10,000.00=-</w:t>
      </w:r>
      <w:r>
        <w:rPr>
          <w:rFonts w:ascii="楷体" w:hAnsi="楷体" w:eastAsia="楷体"/>
          <w:color w:val="auto"/>
          <w:sz w:val="21"/>
          <w:szCs w:val="21"/>
          <w:highlight w:val="none"/>
        </w:rPr>
        <w:t>2</w:t>
      </w:r>
      <w:r>
        <w:rPr>
          <w:rFonts w:hint="eastAsia" w:ascii="楷体" w:hAnsi="楷体" w:eastAsia="楷体"/>
          <w:color w:val="auto"/>
          <w:sz w:val="21"/>
          <w:szCs w:val="21"/>
          <w:highlight w:val="none"/>
          <w:lang w:val="en-US" w:eastAsia="zh-CN"/>
        </w:rPr>
        <w:t>4</w:t>
      </w:r>
      <w:r>
        <w:rPr>
          <w:rFonts w:hint="eastAsia" w:ascii="楷体" w:hAnsi="楷体" w:eastAsia="楷体"/>
          <w:color w:val="auto"/>
          <w:sz w:val="21"/>
          <w:szCs w:val="21"/>
          <w:highlight w:val="none"/>
        </w:rPr>
        <w:t>.</w:t>
      </w:r>
      <w:r>
        <w:rPr>
          <w:rFonts w:ascii="楷体" w:hAnsi="楷体" w:eastAsia="楷体"/>
          <w:color w:val="auto"/>
          <w:sz w:val="21"/>
          <w:szCs w:val="21"/>
          <w:highlight w:val="none"/>
        </w:rPr>
        <w:t>0</w:t>
      </w:r>
      <w:r>
        <w:rPr>
          <w:rFonts w:hint="eastAsia" w:ascii="楷体" w:hAnsi="楷体" w:eastAsia="楷体"/>
          <w:color w:val="auto"/>
          <w:sz w:val="21"/>
          <w:szCs w:val="21"/>
          <w:highlight w:val="none"/>
          <w:lang w:val="en-US" w:eastAsia="zh-CN"/>
        </w:rPr>
        <w:t>6</w:t>
      </w:r>
      <w:r>
        <w:rPr>
          <w:rFonts w:hint="eastAsia" w:ascii="楷体" w:hAnsi="楷体" w:eastAsia="楷体"/>
          <w:color w:val="auto"/>
          <w:sz w:val="21"/>
          <w:szCs w:val="21"/>
          <w:highlight w:val="none"/>
        </w:rPr>
        <w:t>（元）</w:t>
      </w:r>
    </w:p>
    <w:p>
      <w:pPr>
        <w:ind w:firstLine="422" w:firstLineChars="200"/>
        <w:rPr>
          <w:rFonts w:hint="eastAsia" w:ascii="楷体" w:hAnsi="楷体" w:eastAsia="楷体"/>
          <w:b/>
          <w:color w:val="auto"/>
          <w:sz w:val="21"/>
          <w:szCs w:val="21"/>
          <w:highlight w:val="none"/>
          <w:u w:val="single"/>
        </w:rPr>
      </w:pPr>
      <w:r>
        <w:rPr>
          <w:rFonts w:hint="eastAsia" w:ascii="楷体" w:hAnsi="楷体" w:eastAsia="楷体"/>
          <w:b/>
          <w:color w:val="auto"/>
          <w:sz w:val="21"/>
          <w:szCs w:val="21"/>
          <w:highlight w:val="none"/>
          <w:u w:val="single"/>
        </w:rPr>
        <w:t>最不利的情形下，投资者可能损失100%本金。</w:t>
      </w:r>
    </w:p>
    <w:p>
      <w:pPr>
        <w:ind w:left="0" w:leftChars="0" w:firstLine="422" w:firstLineChars="200"/>
        <w:rPr>
          <w:highlight w:val="none"/>
        </w:rPr>
      </w:pPr>
      <w:r>
        <w:rPr>
          <w:rFonts w:hint="eastAsia" w:ascii="楷体" w:hAnsi="楷体" w:eastAsia="楷体"/>
          <w:b/>
          <w:color w:val="auto"/>
          <w:sz w:val="21"/>
          <w:szCs w:val="21"/>
          <w:highlight w:val="none"/>
          <w:u w:val="single"/>
        </w:rPr>
        <w:t>上述情况假设仅用于向投资者示例收益计算方法之用，并不代表管理人对实际投资情况的预期判断，</w:t>
      </w:r>
      <w:r>
        <w:rPr>
          <w:rFonts w:hint="eastAsia" w:ascii="楷体" w:hAnsi="楷体" w:eastAsia="楷体"/>
          <w:b/>
          <w:color w:val="auto"/>
          <w:sz w:val="21"/>
          <w:szCs w:val="21"/>
          <w:highlight w:val="none"/>
          <w:u w:val="single"/>
          <w:lang w:val="en-US" w:eastAsia="zh-CN"/>
        </w:rPr>
        <w:t>也不代表</w:t>
      </w:r>
      <w:r>
        <w:rPr>
          <w:rFonts w:hint="eastAsia" w:ascii="楷体" w:hAnsi="楷体" w:eastAsia="楷体"/>
          <w:b/>
          <w:color w:val="auto"/>
          <w:sz w:val="21"/>
          <w:szCs w:val="21"/>
          <w:highlight w:val="none"/>
          <w:u w:val="single"/>
        </w:rPr>
        <w:t>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cs="Calibri"/>
          <w:b w:val="0"/>
          <w:bCs/>
          <w:sz w:val="21"/>
          <w:szCs w:val="21"/>
          <w:highlight w:val="none"/>
        </w:rPr>
      </w:pPr>
      <w:r>
        <w:rPr>
          <w:rFonts w:hint="eastAsia" w:ascii="楷体" w:hAnsi="楷体" w:eastAsia="楷体"/>
          <w:b/>
          <w:sz w:val="21"/>
          <w:szCs w:val="21"/>
          <w:highlight w:val="none"/>
        </w:rPr>
        <w:t>产品费用</w:t>
      </w:r>
    </w:p>
    <w:p>
      <w:pPr>
        <w:ind w:firstLine="420" w:firstLineChars="200"/>
        <w:rPr>
          <w:rFonts w:hint="default" w:ascii="楷体" w:hAnsi="楷体" w:eastAsia="楷体" w:cs="Calibri"/>
          <w:b w:val="0"/>
          <w:bCs/>
          <w:sz w:val="21"/>
          <w:szCs w:val="21"/>
          <w:highlight w:val="none"/>
          <w:lang w:val="en-US" w:eastAsia="zh-CN"/>
        </w:rPr>
      </w:pPr>
      <w:r>
        <w:rPr>
          <w:rFonts w:hint="eastAsia" w:ascii="楷体" w:hAnsi="楷体" w:eastAsia="楷体"/>
          <w:b w:val="0"/>
          <w:bCs/>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b w:val="0"/>
          <w:bCs/>
          <w:sz w:val="21"/>
          <w:szCs w:val="21"/>
          <w:highlight w:val="none"/>
        </w:rPr>
        <w:t>计提方法</w:t>
      </w:r>
      <w:r>
        <w:rPr>
          <w:rFonts w:hint="eastAsia" w:ascii="楷体" w:hAnsi="楷体" w:eastAsia="楷体" w:cs="Calibri"/>
          <w:b w:val="0"/>
          <w:bCs/>
          <w:sz w:val="21"/>
          <w:szCs w:val="21"/>
          <w:highlight w:val="none"/>
          <w:lang w:val="en-US" w:eastAsia="zh-CN"/>
        </w:rPr>
        <w:t>如下：</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：管理人按投资周期收取超额业绩报酬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超额业绩报酬计算详见“产品要素”。</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本产品不收取认购费用、申购费用、赎回费用。</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ind w:firstLine="420" w:firstLineChars="200"/>
        <w:rPr>
          <w:rFonts w:hint="default" w:eastAsia="楷体"/>
          <w:sz w:val="21"/>
          <w:szCs w:val="21"/>
          <w:highlight w:val="none"/>
          <w:lang w:val="en-US" w:eastAsia="zh-CN"/>
        </w:rPr>
      </w:pPr>
      <w:r>
        <w:rPr>
          <w:rFonts w:hint="eastAsia" w:ascii="楷体" w:hAnsi="楷体" w:eastAsia="楷体"/>
          <w:sz w:val="21"/>
          <w:szCs w:val="21"/>
          <w:highlight w:val="none"/>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产品估值</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本产品所拥有的各类证券、银行存款、应收款项及其它资产及负债。</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估值要求</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r>
        <w:rPr>
          <w:rFonts w:hint="eastAsia" w:ascii="楷体" w:hAnsi="楷体" w:eastAsia="楷体" w:cs="Calibri"/>
          <w:sz w:val="21"/>
          <w:szCs w:val="21"/>
          <w:highlight w:val="none"/>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位后截位。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存款类资产、货币市场工具：以本金列示，逐日计提利息。</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货币市场基金：以估值截止时间点能够取得的最新每万份收益进行估值。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债权类资产：按公允价值进行估值，采用合理的估值技术或监管机构认可的估值方法进行估值。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商品及衍生品类资产：按公允价值进行估值，采用市价、第三方估值机构提供的估值价格、合理的估值技术或监管机构认可的其他估值方法进行估值。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其他资产：按公允价值进行估值，采用合理的估值技术或监管机构认可的估值方法进行估值。</w:t>
      </w:r>
    </w:p>
    <w:p>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如有新增事项或变更事项，按国家法律法规及监管最新规定执行。</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highlight w:val="none"/>
        </w:rPr>
      </w:pPr>
      <w:r>
        <w:rPr>
          <w:rFonts w:hint="eastAsia" w:ascii="楷体" w:hAnsi="楷体" w:eastAsia="楷体"/>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暂停估值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highlight w:val="none"/>
        </w:rPr>
      </w:pPr>
      <w:r>
        <w:rPr>
          <w:rFonts w:hint="eastAsia" w:ascii="楷体" w:hAnsi="楷体" w:eastAsia="楷体"/>
          <w:b/>
          <w:sz w:val="21"/>
          <w:szCs w:val="21"/>
          <w:highlight w:val="none"/>
        </w:rPr>
        <w:t>信息披露</w:t>
      </w:r>
    </w:p>
    <w:p>
      <w:pPr>
        <w:numPr>
          <w:ilvl w:val="0"/>
          <w:numId w:val="1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方式</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highlight w:val="none"/>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信息披露</w:t>
      </w:r>
      <w:r>
        <w:rPr>
          <w:rFonts w:hint="eastAsia" w:ascii="楷体" w:hAnsi="楷体" w:eastAsia="楷体" w:cs="Calibri"/>
          <w:color w:val="auto"/>
          <w:sz w:val="21"/>
          <w:szCs w:val="21"/>
          <w:highlight w:val="none"/>
          <w:lang w:val="en-US" w:eastAsia="zh-CN"/>
        </w:rPr>
        <w:t>内容及时间</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r>
        <w:rPr>
          <w:rFonts w:hint="eastAsia" w:ascii="楷体" w:hAnsi="楷体" w:eastAsia="楷体" w:cs="Calibri"/>
          <w:color w:val="auto"/>
          <w:sz w:val="21"/>
          <w:szCs w:val="21"/>
          <w:highlight w:val="none"/>
        </w:rPr>
        <w:t>。</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临时性信息：管理人将及时披露国务院银行业监督管理机构规定的其他信息或除重大事项事件以外的其他信息。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其他</w:t>
      </w:r>
    </w:p>
    <w:p>
      <w:pPr>
        <w:numPr>
          <w:ilvl w:val="0"/>
          <w:numId w:val="19"/>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追索条款</w:t>
      </w:r>
    </w:p>
    <w:p>
      <w:pPr>
        <w:ind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9"/>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苏银理财及</w:t>
      </w:r>
      <w:r>
        <w:rPr>
          <w:rFonts w:hint="eastAsia" w:ascii="楷体" w:hAnsi="楷体" w:eastAsia="楷体"/>
          <w:color w:val="auto"/>
          <w:sz w:val="21"/>
          <w:szCs w:val="21"/>
          <w:highlight w:val="none"/>
          <w:lang w:val="en-US" w:eastAsia="zh-CN"/>
        </w:rPr>
        <w:t>销售</w:t>
      </w:r>
      <w:r>
        <w:rPr>
          <w:rFonts w:hint="eastAsia" w:ascii="楷体" w:hAnsi="楷体" w:eastAsia="楷体"/>
          <w:color w:val="auto"/>
          <w:sz w:val="21"/>
          <w:szCs w:val="21"/>
          <w:highlight w:val="none"/>
        </w:rPr>
        <w:t>机构将据相关法律、法规严格履行投资者信息保密责任，除监管机构或司法机关等有权机构外，不得对其他第三方提供任何投资者信息。</w:t>
      </w:r>
    </w:p>
    <w:p>
      <w:pPr>
        <w:numPr>
          <w:ilvl w:val="0"/>
          <w:numId w:val="19"/>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争议解决</w:t>
      </w:r>
    </w:p>
    <w:p>
      <w:pPr>
        <w:ind w:firstLine="420" w:firstLineChars="200"/>
        <w:jc w:val="left"/>
        <w:rPr>
          <w:rFonts w:hint="eastAsia"/>
          <w:highlight w:val="none"/>
        </w:rPr>
      </w:pPr>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的订立、生效、履行、解释、修改和终止等事项均适用中华人民共和国（</w:t>
      </w:r>
      <w:r>
        <w:rPr>
          <w:rFonts w:hint="eastAsia" w:ascii="楷体" w:hAnsi="楷体" w:eastAsia="楷体"/>
          <w:color w:val="auto"/>
          <w:sz w:val="21"/>
          <w:szCs w:val="21"/>
          <w:highlight w:val="none"/>
          <w:lang w:val="en-US" w:eastAsia="zh-CN"/>
        </w:rPr>
        <w:t>为本合同目的，</w:t>
      </w:r>
      <w:r>
        <w:rPr>
          <w:rFonts w:hint="eastAsia" w:ascii="楷体" w:hAnsi="楷体" w:eastAsia="楷体"/>
          <w:color w:val="auto"/>
          <w:sz w:val="21"/>
          <w:szCs w:val="21"/>
          <w:highlight w:val="none"/>
        </w:rPr>
        <w:t>不包括香港特别行政区、澳门特别行政区和台湾地区）法律。</w:t>
      </w:r>
      <w:r>
        <w:rPr>
          <w:rFonts w:hint="eastAsia" w:ascii="楷体" w:hAnsi="楷体" w:eastAsia="楷体"/>
          <w:color w:val="auto"/>
          <w:sz w:val="21"/>
          <w:szCs w:val="21"/>
          <w:highlight w:val="none"/>
          <w:lang w:val="en-US" w:eastAsia="zh-CN"/>
        </w:rPr>
        <w:t>因本产品说明书</w:t>
      </w:r>
      <w:r>
        <w:rPr>
          <w:rFonts w:hint="eastAsia" w:ascii="楷体" w:hAnsi="楷体" w:eastAsia="楷体"/>
          <w:color w:val="auto"/>
          <w:sz w:val="21"/>
          <w:szCs w:val="21"/>
          <w:highlight w:val="none"/>
        </w:rPr>
        <w:t>引起的或与</w:t>
      </w:r>
      <w:r>
        <w:rPr>
          <w:rFonts w:hint="eastAsia" w:ascii="楷体" w:hAnsi="楷体" w:eastAsia="楷体"/>
          <w:color w:val="auto"/>
          <w:sz w:val="21"/>
          <w:szCs w:val="21"/>
          <w:highlight w:val="none"/>
          <w:lang w:val="en-US" w:eastAsia="zh-CN"/>
        </w:rPr>
        <w:t>本产品说明书</w:t>
      </w:r>
      <w:r>
        <w:rPr>
          <w:rFonts w:hint="eastAsia" w:ascii="楷体" w:hAnsi="楷体" w:eastAsia="楷体"/>
          <w:color w:val="auto"/>
          <w:sz w:val="21"/>
          <w:szCs w:val="21"/>
          <w:highlight w:val="none"/>
        </w:rPr>
        <w:t>有关的任何争议，应当首先通过双方之间的友好协商解决；协商不成的，双方均有权提交产品管理人</w:t>
      </w:r>
      <w:r>
        <w:rPr>
          <w:rFonts w:hint="eastAsia" w:ascii="楷体" w:hAnsi="楷体" w:eastAsia="楷体"/>
          <w:color w:val="auto"/>
          <w:sz w:val="21"/>
          <w:szCs w:val="21"/>
          <w:highlight w:val="none"/>
          <w:lang w:val="en-US" w:eastAsia="zh-CN"/>
        </w:rPr>
        <w:t>住所地</w:t>
      </w:r>
      <w:r>
        <w:rPr>
          <w:rFonts w:hint="eastAsia" w:ascii="楷体" w:hAnsi="楷体" w:eastAsia="楷体"/>
          <w:color w:val="auto"/>
          <w:sz w:val="21"/>
          <w:szCs w:val="21"/>
          <w:highlight w:val="none"/>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471B109"/>
    <w:multiLevelType w:val="multilevel"/>
    <w:tmpl w:val="A471B10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550252B"/>
    <w:multiLevelType w:val="multilevel"/>
    <w:tmpl w:val="A550252B"/>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11AD990"/>
    <w:multiLevelType w:val="multilevel"/>
    <w:tmpl w:val="E11AD99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3CDDB3D"/>
    <w:multiLevelType w:val="multilevel"/>
    <w:tmpl w:val="13CDDB3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D5197BC"/>
    <w:multiLevelType w:val="multilevel"/>
    <w:tmpl w:val="2D5197B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9">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2">
    <w:nsid w:val="542FDF91"/>
    <w:multiLevelType w:val="multilevel"/>
    <w:tmpl w:val="542FDF9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038F410"/>
    <w:multiLevelType w:val="multilevel"/>
    <w:tmpl w:val="7038F41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F17FFC0"/>
    <w:multiLevelType w:val="multilevel"/>
    <w:tmpl w:val="7F17FF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7"/>
  </w:num>
  <w:num w:numId="3">
    <w:abstractNumId w:val="15"/>
  </w:num>
  <w:num w:numId="4">
    <w:abstractNumId w:val="16"/>
  </w:num>
  <w:num w:numId="5">
    <w:abstractNumId w:val="18"/>
  </w:num>
  <w:num w:numId="6">
    <w:abstractNumId w:val="17"/>
  </w:num>
  <w:num w:numId="7">
    <w:abstractNumId w:val="11"/>
  </w:num>
  <w:num w:numId="8">
    <w:abstractNumId w:val="10"/>
  </w:num>
  <w:num w:numId="9">
    <w:abstractNumId w:val="6"/>
  </w:num>
  <w:num w:numId="10">
    <w:abstractNumId w:val="2"/>
  </w:num>
  <w:num w:numId="11">
    <w:abstractNumId w:val="4"/>
  </w:num>
  <w:num w:numId="12">
    <w:abstractNumId w:val="0"/>
  </w:num>
  <w:num w:numId="13">
    <w:abstractNumId w:val="14"/>
  </w:num>
  <w:num w:numId="14">
    <w:abstractNumId w:val="12"/>
  </w:num>
  <w:num w:numId="15">
    <w:abstractNumId w:val="5"/>
  </w:num>
  <w:num w:numId="16">
    <w:abstractNumId w:val="13"/>
  </w:num>
  <w:num w:numId="17">
    <w:abstractNumId w:val="1"/>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CBB"/>
    <w:rsid w:val="00123B27"/>
    <w:rsid w:val="00276FCD"/>
    <w:rsid w:val="002A7F52"/>
    <w:rsid w:val="005610EB"/>
    <w:rsid w:val="00B73039"/>
    <w:rsid w:val="00F02299"/>
    <w:rsid w:val="00FD53CA"/>
    <w:rsid w:val="01081DDE"/>
    <w:rsid w:val="01916153"/>
    <w:rsid w:val="01C11F94"/>
    <w:rsid w:val="01DA571A"/>
    <w:rsid w:val="01F11ABC"/>
    <w:rsid w:val="02342294"/>
    <w:rsid w:val="02394C4E"/>
    <w:rsid w:val="023B31B5"/>
    <w:rsid w:val="02706D07"/>
    <w:rsid w:val="027B1BEB"/>
    <w:rsid w:val="02B04479"/>
    <w:rsid w:val="02BB217A"/>
    <w:rsid w:val="02E47F25"/>
    <w:rsid w:val="02EE64DC"/>
    <w:rsid w:val="030516AD"/>
    <w:rsid w:val="03B26B31"/>
    <w:rsid w:val="03E91BF7"/>
    <w:rsid w:val="03FC3F39"/>
    <w:rsid w:val="04351FFD"/>
    <w:rsid w:val="049E6222"/>
    <w:rsid w:val="04A92EE3"/>
    <w:rsid w:val="05120775"/>
    <w:rsid w:val="0522647B"/>
    <w:rsid w:val="052D480C"/>
    <w:rsid w:val="0537036B"/>
    <w:rsid w:val="05397409"/>
    <w:rsid w:val="05A60B08"/>
    <w:rsid w:val="05AB50DB"/>
    <w:rsid w:val="05C22B02"/>
    <w:rsid w:val="05DF682E"/>
    <w:rsid w:val="06411C20"/>
    <w:rsid w:val="06917613"/>
    <w:rsid w:val="06A93A70"/>
    <w:rsid w:val="06FF25F4"/>
    <w:rsid w:val="07363BBD"/>
    <w:rsid w:val="07770ECE"/>
    <w:rsid w:val="07963995"/>
    <w:rsid w:val="07DC6E8D"/>
    <w:rsid w:val="07DE1B77"/>
    <w:rsid w:val="07E626A5"/>
    <w:rsid w:val="083C4181"/>
    <w:rsid w:val="08494B4C"/>
    <w:rsid w:val="08545039"/>
    <w:rsid w:val="087E378B"/>
    <w:rsid w:val="08C87576"/>
    <w:rsid w:val="099730C7"/>
    <w:rsid w:val="09BB6FD3"/>
    <w:rsid w:val="09E64105"/>
    <w:rsid w:val="0AA20035"/>
    <w:rsid w:val="0B3550F2"/>
    <w:rsid w:val="0B426C20"/>
    <w:rsid w:val="0B471607"/>
    <w:rsid w:val="0B493D92"/>
    <w:rsid w:val="0B521344"/>
    <w:rsid w:val="0B7873E7"/>
    <w:rsid w:val="0BB15B92"/>
    <w:rsid w:val="0BE46D3E"/>
    <w:rsid w:val="0C2A04AF"/>
    <w:rsid w:val="0C383A1B"/>
    <w:rsid w:val="0C3C461F"/>
    <w:rsid w:val="0C8B2263"/>
    <w:rsid w:val="0C8C56A3"/>
    <w:rsid w:val="0CB3468E"/>
    <w:rsid w:val="0D460355"/>
    <w:rsid w:val="0D5044E7"/>
    <w:rsid w:val="0D5B3087"/>
    <w:rsid w:val="0DCA2B2C"/>
    <w:rsid w:val="0DDD75CE"/>
    <w:rsid w:val="0DE6245C"/>
    <w:rsid w:val="0E324ADA"/>
    <w:rsid w:val="0E8C12CF"/>
    <w:rsid w:val="0E995783"/>
    <w:rsid w:val="0EA24D8E"/>
    <w:rsid w:val="0EFD7A26"/>
    <w:rsid w:val="0F1B4A58"/>
    <w:rsid w:val="0F1B4AB3"/>
    <w:rsid w:val="0F2D7FC5"/>
    <w:rsid w:val="0FA551A3"/>
    <w:rsid w:val="0FD22F01"/>
    <w:rsid w:val="100459CF"/>
    <w:rsid w:val="106A7BFD"/>
    <w:rsid w:val="109A102D"/>
    <w:rsid w:val="10B72620"/>
    <w:rsid w:val="10D208A6"/>
    <w:rsid w:val="11022343"/>
    <w:rsid w:val="111D76A0"/>
    <w:rsid w:val="1137604C"/>
    <w:rsid w:val="1167461D"/>
    <w:rsid w:val="11C449B6"/>
    <w:rsid w:val="12136ABA"/>
    <w:rsid w:val="121A7943"/>
    <w:rsid w:val="121F3DCB"/>
    <w:rsid w:val="12627D38"/>
    <w:rsid w:val="126807AF"/>
    <w:rsid w:val="126877DE"/>
    <w:rsid w:val="12705D8B"/>
    <w:rsid w:val="12E2190B"/>
    <w:rsid w:val="130762C7"/>
    <w:rsid w:val="130A1945"/>
    <w:rsid w:val="132C05F4"/>
    <w:rsid w:val="133603BC"/>
    <w:rsid w:val="13512072"/>
    <w:rsid w:val="13566046"/>
    <w:rsid w:val="1363315E"/>
    <w:rsid w:val="13813EDF"/>
    <w:rsid w:val="13BA3C51"/>
    <w:rsid w:val="142E3B87"/>
    <w:rsid w:val="14AE7D5C"/>
    <w:rsid w:val="14E76B1D"/>
    <w:rsid w:val="14EA3140"/>
    <w:rsid w:val="14ED722A"/>
    <w:rsid w:val="151627A4"/>
    <w:rsid w:val="15250560"/>
    <w:rsid w:val="15452BE9"/>
    <w:rsid w:val="15661276"/>
    <w:rsid w:val="15961DF8"/>
    <w:rsid w:val="15C23F41"/>
    <w:rsid w:val="15D95D65"/>
    <w:rsid w:val="16321C77"/>
    <w:rsid w:val="16452649"/>
    <w:rsid w:val="165A010B"/>
    <w:rsid w:val="16DB02E7"/>
    <w:rsid w:val="16E82A20"/>
    <w:rsid w:val="17E11F5A"/>
    <w:rsid w:val="17F83B61"/>
    <w:rsid w:val="18563155"/>
    <w:rsid w:val="18766114"/>
    <w:rsid w:val="18790C37"/>
    <w:rsid w:val="18903A4D"/>
    <w:rsid w:val="18925467"/>
    <w:rsid w:val="18D417E2"/>
    <w:rsid w:val="191E3445"/>
    <w:rsid w:val="19525097"/>
    <w:rsid w:val="19765916"/>
    <w:rsid w:val="19B25954"/>
    <w:rsid w:val="19D011E9"/>
    <w:rsid w:val="19DA1846"/>
    <w:rsid w:val="19DF46F8"/>
    <w:rsid w:val="19E8300C"/>
    <w:rsid w:val="1A1254D5"/>
    <w:rsid w:val="1A2331F2"/>
    <w:rsid w:val="1A74679E"/>
    <w:rsid w:val="1AA527A3"/>
    <w:rsid w:val="1AB40CBF"/>
    <w:rsid w:val="1BB6506B"/>
    <w:rsid w:val="1BC003D1"/>
    <w:rsid w:val="1BC94B68"/>
    <w:rsid w:val="1BF53974"/>
    <w:rsid w:val="1C1B3B29"/>
    <w:rsid w:val="1C4231EC"/>
    <w:rsid w:val="1C512181"/>
    <w:rsid w:val="1CB5609A"/>
    <w:rsid w:val="1D17073A"/>
    <w:rsid w:val="1D505225"/>
    <w:rsid w:val="1DA43FDF"/>
    <w:rsid w:val="1E0972D4"/>
    <w:rsid w:val="1E1E7279"/>
    <w:rsid w:val="1E315B06"/>
    <w:rsid w:val="1E3C6829"/>
    <w:rsid w:val="1E5B385B"/>
    <w:rsid w:val="1E747638"/>
    <w:rsid w:val="1F111238"/>
    <w:rsid w:val="1F603109"/>
    <w:rsid w:val="1F9E2BED"/>
    <w:rsid w:val="1FBB7F9F"/>
    <w:rsid w:val="1FC73DB2"/>
    <w:rsid w:val="1FC85FB0"/>
    <w:rsid w:val="1FCD5CBB"/>
    <w:rsid w:val="200E39C9"/>
    <w:rsid w:val="20220C48"/>
    <w:rsid w:val="203F2777"/>
    <w:rsid w:val="205E2E63"/>
    <w:rsid w:val="20862AD5"/>
    <w:rsid w:val="208D0A85"/>
    <w:rsid w:val="20A5280C"/>
    <w:rsid w:val="20D359FB"/>
    <w:rsid w:val="20E556F1"/>
    <w:rsid w:val="21361C5E"/>
    <w:rsid w:val="2185500C"/>
    <w:rsid w:val="21893A13"/>
    <w:rsid w:val="219707AA"/>
    <w:rsid w:val="21F94FCB"/>
    <w:rsid w:val="22046BDF"/>
    <w:rsid w:val="22386D07"/>
    <w:rsid w:val="22480419"/>
    <w:rsid w:val="22965783"/>
    <w:rsid w:val="22DC376E"/>
    <w:rsid w:val="22ED32DA"/>
    <w:rsid w:val="22FD3574"/>
    <w:rsid w:val="231C6AB5"/>
    <w:rsid w:val="233F30E4"/>
    <w:rsid w:val="23593C8E"/>
    <w:rsid w:val="23727724"/>
    <w:rsid w:val="239F40F6"/>
    <w:rsid w:val="23AA2793"/>
    <w:rsid w:val="23ED3B3C"/>
    <w:rsid w:val="24CA7BB8"/>
    <w:rsid w:val="24FA6D92"/>
    <w:rsid w:val="250550E5"/>
    <w:rsid w:val="2536069B"/>
    <w:rsid w:val="25374980"/>
    <w:rsid w:val="254734B9"/>
    <w:rsid w:val="2550672C"/>
    <w:rsid w:val="25624188"/>
    <w:rsid w:val="25BD0FD2"/>
    <w:rsid w:val="263B5F44"/>
    <w:rsid w:val="265A1DE6"/>
    <w:rsid w:val="26690F27"/>
    <w:rsid w:val="26694895"/>
    <w:rsid w:val="26A12F28"/>
    <w:rsid w:val="26AC79F8"/>
    <w:rsid w:val="26B91D54"/>
    <w:rsid w:val="26C45E5E"/>
    <w:rsid w:val="26E75D9A"/>
    <w:rsid w:val="26E90667"/>
    <w:rsid w:val="26F43175"/>
    <w:rsid w:val="274A0B5C"/>
    <w:rsid w:val="279142F8"/>
    <w:rsid w:val="27FA7E2E"/>
    <w:rsid w:val="280B1A43"/>
    <w:rsid w:val="287A6F6C"/>
    <w:rsid w:val="28877CFD"/>
    <w:rsid w:val="288E0F4E"/>
    <w:rsid w:val="28B0474F"/>
    <w:rsid w:val="28EF5796"/>
    <w:rsid w:val="28F60FCD"/>
    <w:rsid w:val="29522941"/>
    <w:rsid w:val="29855A2C"/>
    <w:rsid w:val="29B92A03"/>
    <w:rsid w:val="29CE7219"/>
    <w:rsid w:val="2A5C719F"/>
    <w:rsid w:val="2A832D10"/>
    <w:rsid w:val="2AF12700"/>
    <w:rsid w:val="2B221E6C"/>
    <w:rsid w:val="2B3631F4"/>
    <w:rsid w:val="2B575927"/>
    <w:rsid w:val="2B797161"/>
    <w:rsid w:val="2B9D3E9D"/>
    <w:rsid w:val="2CE341B5"/>
    <w:rsid w:val="2D11017C"/>
    <w:rsid w:val="2D2626A0"/>
    <w:rsid w:val="2DDC0B49"/>
    <w:rsid w:val="2E407A81"/>
    <w:rsid w:val="2E6D5504"/>
    <w:rsid w:val="2E835E5F"/>
    <w:rsid w:val="2E8A38BB"/>
    <w:rsid w:val="2E9559D9"/>
    <w:rsid w:val="2E9F679E"/>
    <w:rsid w:val="2EA56E27"/>
    <w:rsid w:val="2F0313A8"/>
    <w:rsid w:val="2F3015A3"/>
    <w:rsid w:val="2F5219B0"/>
    <w:rsid w:val="2F6A13F9"/>
    <w:rsid w:val="2FC41CB0"/>
    <w:rsid w:val="302144DC"/>
    <w:rsid w:val="30405DB5"/>
    <w:rsid w:val="30426D1D"/>
    <w:rsid w:val="30CF5A24"/>
    <w:rsid w:val="31097378"/>
    <w:rsid w:val="311D7D22"/>
    <w:rsid w:val="31312245"/>
    <w:rsid w:val="31376781"/>
    <w:rsid w:val="31526B96"/>
    <w:rsid w:val="315A6870"/>
    <w:rsid w:val="316E051C"/>
    <w:rsid w:val="31F16321"/>
    <w:rsid w:val="32035262"/>
    <w:rsid w:val="32273428"/>
    <w:rsid w:val="3270263D"/>
    <w:rsid w:val="328344B2"/>
    <w:rsid w:val="3286033C"/>
    <w:rsid w:val="328F0574"/>
    <w:rsid w:val="3296605F"/>
    <w:rsid w:val="331B4ED5"/>
    <w:rsid w:val="334151A1"/>
    <w:rsid w:val="33463EAF"/>
    <w:rsid w:val="33550FE6"/>
    <w:rsid w:val="336C141E"/>
    <w:rsid w:val="339C18CC"/>
    <w:rsid w:val="33A87FED"/>
    <w:rsid w:val="33C259F7"/>
    <w:rsid w:val="34127147"/>
    <w:rsid w:val="34201613"/>
    <w:rsid w:val="34291F23"/>
    <w:rsid w:val="344806D1"/>
    <w:rsid w:val="34727D99"/>
    <w:rsid w:val="34750B27"/>
    <w:rsid w:val="347A39E3"/>
    <w:rsid w:val="349E222E"/>
    <w:rsid w:val="34B33411"/>
    <w:rsid w:val="34C51A78"/>
    <w:rsid w:val="34E0563C"/>
    <w:rsid w:val="34EB675E"/>
    <w:rsid w:val="351055D8"/>
    <w:rsid w:val="355F3301"/>
    <w:rsid w:val="35CD3B0F"/>
    <w:rsid w:val="35F40894"/>
    <w:rsid w:val="35F53BC7"/>
    <w:rsid w:val="35FC56A1"/>
    <w:rsid w:val="36771768"/>
    <w:rsid w:val="36D265FE"/>
    <w:rsid w:val="36E01197"/>
    <w:rsid w:val="37195DD0"/>
    <w:rsid w:val="37396667"/>
    <w:rsid w:val="375223CF"/>
    <w:rsid w:val="375F35B5"/>
    <w:rsid w:val="379E3A7A"/>
    <w:rsid w:val="37CA14FC"/>
    <w:rsid w:val="37F6376B"/>
    <w:rsid w:val="38005C99"/>
    <w:rsid w:val="3806789C"/>
    <w:rsid w:val="38324F36"/>
    <w:rsid w:val="396430B4"/>
    <w:rsid w:val="398C207A"/>
    <w:rsid w:val="399651CC"/>
    <w:rsid w:val="39E64E78"/>
    <w:rsid w:val="3A2F3A82"/>
    <w:rsid w:val="3A2F453A"/>
    <w:rsid w:val="3A6A61E5"/>
    <w:rsid w:val="3AC86100"/>
    <w:rsid w:val="3ACC2A06"/>
    <w:rsid w:val="3B20468F"/>
    <w:rsid w:val="3B316DAA"/>
    <w:rsid w:val="3B372FD2"/>
    <w:rsid w:val="3BAF51F7"/>
    <w:rsid w:val="3BC8097B"/>
    <w:rsid w:val="3C565716"/>
    <w:rsid w:val="3CA73211"/>
    <w:rsid w:val="3CC938CE"/>
    <w:rsid w:val="3CD97263"/>
    <w:rsid w:val="3D19224B"/>
    <w:rsid w:val="3DC06319"/>
    <w:rsid w:val="3E390124"/>
    <w:rsid w:val="3E3C7880"/>
    <w:rsid w:val="3E4F4139"/>
    <w:rsid w:val="3ED33ABA"/>
    <w:rsid w:val="3EDC31B1"/>
    <w:rsid w:val="3EEA1626"/>
    <w:rsid w:val="3F366D42"/>
    <w:rsid w:val="3F3B3EDB"/>
    <w:rsid w:val="3F522DEF"/>
    <w:rsid w:val="3F8A45CE"/>
    <w:rsid w:val="3FBD5D22"/>
    <w:rsid w:val="3FD352E5"/>
    <w:rsid w:val="3FFF7279"/>
    <w:rsid w:val="40456F00"/>
    <w:rsid w:val="405B780B"/>
    <w:rsid w:val="407A2131"/>
    <w:rsid w:val="40B93161"/>
    <w:rsid w:val="40BB01C3"/>
    <w:rsid w:val="41670A1F"/>
    <w:rsid w:val="420B0DEA"/>
    <w:rsid w:val="423A0CFF"/>
    <w:rsid w:val="42414BD8"/>
    <w:rsid w:val="427B00CF"/>
    <w:rsid w:val="43016A94"/>
    <w:rsid w:val="430644A8"/>
    <w:rsid w:val="43076EE2"/>
    <w:rsid w:val="432F1E46"/>
    <w:rsid w:val="43484F6E"/>
    <w:rsid w:val="43562586"/>
    <w:rsid w:val="43A60B8B"/>
    <w:rsid w:val="43CA7AC6"/>
    <w:rsid w:val="43DD1CAC"/>
    <w:rsid w:val="43ED3FBD"/>
    <w:rsid w:val="44044239"/>
    <w:rsid w:val="442A5561"/>
    <w:rsid w:val="44524527"/>
    <w:rsid w:val="447F71E8"/>
    <w:rsid w:val="451A06ED"/>
    <w:rsid w:val="45245151"/>
    <w:rsid w:val="456926CF"/>
    <w:rsid w:val="458B1600"/>
    <w:rsid w:val="45A31E9F"/>
    <w:rsid w:val="45E06380"/>
    <w:rsid w:val="46132E83"/>
    <w:rsid w:val="46F648FA"/>
    <w:rsid w:val="47A4705A"/>
    <w:rsid w:val="480D1D44"/>
    <w:rsid w:val="4835453B"/>
    <w:rsid w:val="48652264"/>
    <w:rsid w:val="48683357"/>
    <w:rsid w:val="489F12B3"/>
    <w:rsid w:val="48B60ED8"/>
    <w:rsid w:val="48E038AF"/>
    <w:rsid w:val="49287F12"/>
    <w:rsid w:val="49466806"/>
    <w:rsid w:val="49582C60"/>
    <w:rsid w:val="495D6DB6"/>
    <w:rsid w:val="496E5595"/>
    <w:rsid w:val="497B6BF6"/>
    <w:rsid w:val="499F73AD"/>
    <w:rsid w:val="49B83F7E"/>
    <w:rsid w:val="4A007BF5"/>
    <w:rsid w:val="4A06662F"/>
    <w:rsid w:val="4A0D148A"/>
    <w:rsid w:val="4A4009DF"/>
    <w:rsid w:val="4A6F5CAB"/>
    <w:rsid w:val="4ABD162D"/>
    <w:rsid w:val="4B80633B"/>
    <w:rsid w:val="4BD02064"/>
    <w:rsid w:val="4BF23C29"/>
    <w:rsid w:val="4BF673B5"/>
    <w:rsid w:val="4C0A2CBC"/>
    <w:rsid w:val="4C0B3EB6"/>
    <w:rsid w:val="4C281795"/>
    <w:rsid w:val="4C4F3FC2"/>
    <w:rsid w:val="4CAB3057"/>
    <w:rsid w:val="4CC732A2"/>
    <w:rsid w:val="4D077EEE"/>
    <w:rsid w:val="4D0B68F4"/>
    <w:rsid w:val="4D0E0101"/>
    <w:rsid w:val="4D3C02CC"/>
    <w:rsid w:val="4D7311CC"/>
    <w:rsid w:val="4DB35E08"/>
    <w:rsid w:val="4DBC05B9"/>
    <w:rsid w:val="4DFD4F82"/>
    <w:rsid w:val="4E1131A0"/>
    <w:rsid w:val="4E470622"/>
    <w:rsid w:val="4E5E45D2"/>
    <w:rsid w:val="4E66112F"/>
    <w:rsid w:val="4EB57E15"/>
    <w:rsid w:val="4EFB1622"/>
    <w:rsid w:val="4F1D45B9"/>
    <w:rsid w:val="4F3141FC"/>
    <w:rsid w:val="4F3B33EB"/>
    <w:rsid w:val="4F5E5E3A"/>
    <w:rsid w:val="4F833B49"/>
    <w:rsid w:val="504D489E"/>
    <w:rsid w:val="505C2070"/>
    <w:rsid w:val="50AC6DEA"/>
    <w:rsid w:val="50B618F8"/>
    <w:rsid w:val="50B9327D"/>
    <w:rsid w:val="50D13718"/>
    <w:rsid w:val="514805FC"/>
    <w:rsid w:val="517B26E0"/>
    <w:rsid w:val="51950F66"/>
    <w:rsid w:val="5219373E"/>
    <w:rsid w:val="524C0A95"/>
    <w:rsid w:val="52780153"/>
    <w:rsid w:val="52EF7092"/>
    <w:rsid w:val="52F50359"/>
    <w:rsid w:val="53155F5F"/>
    <w:rsid w:val="532064EF"/>
    <w:rsid w:val="539677B2"/>
    <w:rsid w:val="539B5F4C"/>
    <w:rsid w:val="53C2259E"/>
    <w:rsid w:val="53F44044"/>
    <w:rsid w:val="53FB4F58"/>
    <w:rsid w:val="54047DE6"/>
    <w:rsid w:val="54BF0519"/>
    <w:rsid w:val="55F51240"/>
    <w:rsid w:val="561B6485"/>
    <w:rsid w:val="56376A81"/>
    <w:rsid w:val="566B4A32"/>
    <w:rsid w:val="567D1A39"/>
    <w:rsid w:val="56812378"/>
    <w:rsid w:val="56A64B36"/>
    <w:rsid w:val="56EF4E6F"/>
    <w:rsid w:val="575431DF"/>
    <w:rsid w:val="57597E5D"/>
    <w:rsid w:val="576079D6"/>
    <w:rsid w:val="57C205D4"/>
    <w:rsid w:val="57E25806"/>
    <w:rsid w:val="581A432A"/>
    <w:rsid w:val="58381A4A"/>
    <w:rsid w:val="58B925EB"/>
    <w:rsid w:val="58DF20B1"/>
    <w:rsid w:val="58EF2ED0"/>
    <w:rsid w:val="5910752F"/>
    <w:rsid w:val="59144A6B"/>
    <w:rsid w:val="59205884"/>
    <w:rsid w:val="597317D1"/>
    <w:rsid w:val="597E4543"/>
    <w:rsid w:val="598A3524"/>
    <w:rsid w:val="59D963B1"/>
    <w:rsid w:val="59EE2A23"/>
    <w:rsid w:val="59F60EF3"/>
    <w:rsid w:val="5A093EC3"/>
    <w:rsid w:val="5A1070D1"/>
    <w:rsid w:val="5A650D5A"/>
    <w:rsid w:val="5A86434D"/>
    <w:rsid w:val="5A8702A8"/>
    <w:rsid w:val="5ADF54B5"/>
    <w:rsid w:val="5AF50649"/>
    <w:rsid w:val="5B591D6B"/>
    <w:rsid w:val="5B8174BD"/>
    <w:rsid w:val="5B956ECD"/>
    <w:rsid w:val="5C6D5D06"/>
    <w:rsid w:val="5C882FDD"/>
    <w:rsid w:val="5C8D0FEA"/>
    <w:rsid w:val="5C98615B"/>
    <w:rsid w:val="5CB22E1D"/>
    <w:rsid w:val="5CBD3C3C"/>
    <w:rsid w:val="5CE337EF"/>
    <w:rsid w:val="5D3922E6"/>
    <w:rsid w:val="5D78775B"/>
    <w:rsid w:val="5D7A4CE1"/>
    <w:rsid w:val="5DCB48EE"/>
    <w:rsid w:val="5E0B4E24"/>
    <w:rsid w:val="5E0F1B60"/>
    <w:rsid w:val="5E7B340D"/>
    <w:rsid w:val="5EB35D09"/>
    <w:rsid w:val="5EC17405"/>
    <w:rsid w:val="5ECB7D14"/>
    <w:rsid w:val="5ECE5416"/>
    <w:rsid w:val="5EEB7403"/>
    <w:rsid w:val="5F095F47"/>
    <w:rsid w:val="5F0C6580"/>
    <w:rsid w:val="5F20411D"/>
    <w:rsid w:val="5F247745"/>
    <w:rsid w:val="5F43566A"/>
    <w:rsid w:val="5F5271CC"/>
    <w:rsid w:val="5FE307E1"/>
    <w:rsid w:val="5FEF45F4"/>
    <w:rsid w:val="5FFB2605"/>
    <w:rsid w:val="600C6122"/>
    <w:rsid w:val="60382A88"/>
    <w:rsid w:val="608C2C29"/>
    <w:rsid w:val="60B91793"/>
    <w:rsid w:val="60CC4D75"/>
    <w:rsid w:val="60E67AA7"/>
    <w:rsid w:val="6124795C"/>
    <w:rsid w:val="61331572"/>
    <w:rsid w:val="613F1997"/>
    <w:rsid w:val="6142619F"/>
    <w:rsid w:val="614D07E8"/>
    <w:rsid w:val="61521F2D"/>
    <w:rsid w:val="61883090"/>
    <w:rsid w:val="618E39BF"/>
    <w:rsid w:val="618F2A1B"/>
    <w:rsid w:val="619E0AB7"/>
    <w:rsid w:val="61B16453"/>
    <w:rsid w:val="61BA0B42"/>
    <w:rsid w:val="61E536FC"/>
    <w:rsid w:val="620C10EB"/>
    <w:rsid w:val="620D0C17"/>
    <w:rsid w:val="624548B3"/>
    <w:rsid w:val="627E6257"/>
    <w:rsid w:val="628D12AE"/>
    <w:rsid w:val="629E645C"/>
    <w:rsid w:val="62C9149E"/>
    <w:rsid w:val="62E5554B"/>
    <w:rsid w:val="631B084A"/>
    <w:rsid w:val="632A023E"/>
    <w:rsid w:val="63894210"/>
    <w:rsid w:val="63CD32CA"/>
    <w:rsid w:val="63DD04FD"/>
    <w:rsid w:val="63E17D6C"/>
    <w:rsid w:val="63F6448F"/>
    <w:rsid w:val="64133A3F"/>
    <w:rsid w:val="643D2685"/>
    <w:rsid w:val="643E4883"/>
    <w:rsid w:val="645D5138"/>
    <w:rsid w:val="6495118C"/>
    <w:rsid w:val="64BF1959"/>
    <w:rsid w:val="64C14621"/>
    <w:rsid w:val="64EF46A6"/>
    <w:rsid w:val="65014B04"/>
    <w:rsid w:val="65017F33"/>
    <w:rsid w:val="65143FAD"/>
    <w:rsid w:val="65225514"/>
    <w:rsid w:val="653A47CB"/>
    <w:rsid w:val="655A3D56"/>
    <w:rsid w:val="657938B0"/>
    <w:rsid w:val="65A137B1"/>
    <w:rsid w:val="65CD5630"/>
    <w:rsid w:val="65FC7340"/>
    <w:rsid w:val="662117DA"/>
    <w:rsid w:val="663C214A"/>
    <w:rsid w:val="664A6EE1"/>
    <w:rsid w:val="66682C0E"/>
    <w:rsid w:val="66A065EB"/>
    <w:rsid w:val="66A32DF3"/>
    <w:rsid w:val="66A717F9"/>
    <w:rsid w:val="66A9578C"/>
    <w:rsid w:val="67057615"/>
    <w:rsid w:val="6734105D"/>
    <w:rsid w:val="67896ED4"/>
    <w:rsid w:val="67AA451F"/>
    <w:rsid w:val="67FA4DDD"/>
    <w:rsid w:val="67FA7C0D"/>
    <w:rsid w:val="68251C6A"/>
    <w:rsid w:val="683C5113"/>
    <w:rsid w:val="685C1DC4"/>
    <w:rsid w:val="688556A7"/>
    <w:rsid w:val="688E2042"/>
    <w:rsid w:val="6895189D"/>
    <w:rsid w:val="68BC0EE4"/>
    <w:rsid w:val="68FC334A"/>
    <w:rsid w:val="69473E9F"/>
    <w:rsid w:val="698718B2"/>
    <w:rsid w:val="69AC4F69"/>
    <w:rsid w:val="69D72936"/>
    <w:rsid w:val="6A4C28F4"/>
    <w:rsid w:val="6A572E84"/>
    <w:rsid w:val="6A5C730C"/>
    <w:rsid w:val="6A8E01AC"/>
    <w:rsid w:val="6ABE3B2D"/>
    <w:rsid w:val="6B2D6E6C"/>
    <w:rsid w:val="6B4F2A74"/>
    <w:rsid w:val="6B7460C1"/>
    <w:rsid w:val="6B7912ED"/>
    <w:rsid w:val="6BA359B8"/>
    <w:rsid w:val="6BFB3534"/>
    <w:rsid w:val="6C035B7A"/>
    <w:rsid w:val="6C303D8F"/>
    <w:rsid w:val="6C6A6233"/>
    <w:rsid w:val="6C6C0792"/>
    <w:rsid w:val="6C9E1E44"/>
    <w:rsid w:val="6CAB2100"/>
    <w:rsid w:val="6CE33832"/>
    <w:rsid w:val="6D106257"/>
    <w:rsid w:val="6D1F1846"/>
    <w:rsid w:val="6D8E77D0"/>
    <w:rsid w:val="6D9A555F"/>
    <w:rsid w:val="6DC70BD2"/>
    <w:rsid w:val="6DFD7CD4"/>
    <w:rsid w:val="6E046353"/>
    <w:rsid w:val="6E3034D4"/>
    <w:rsid w:val="6F5161E8"/>
    <w:rsid w:val="6F722BE7"/>
    <w:rsid w:val="6FF51B3B"/>
    <w:rsid w:val="6FFC72C8"/>
    <w:rsid w:val="704A3BFB"/>
    <w:rsid w:val="709561C1"/>
    <w:rsid w:val="709642CC"/>
    <w:rsid w:val="70CF70D5"/>
    <w:rsid w:val="70F85622"/>
    <w:rsid w:val="711F0324"/>
    <w:rsid w:val="7156627F"/>
    <w:rsid w:val="71812947"/>
    <w:rsid w:val="719B567C"/>
    <w:rsid w:val="72210801"/>
    <w:rsid w:val="72755659"/>
    <w:rsid w:val="72827EA0"/>
    <w:rsid w:val="72CE224D"/>
    <w:rsid w:val="72E91E80"/>
    <w:rsid w:val="73022ABD"/>
    <w:rsid w:val="73E55634"/>
    <w:rsid w:val="7408726D"/>
    <w:rsid w:val="747E7F88"/>
    <w:rsid w:val="74905ACD"/>
    <w:rsid w:val="74C3179F"/>
    <w:rsid w:val="74FF3B82"/>
    <w:rsid w:val="755D77B8"/>
    <w:rsid w:val="761D2C35"/>
    <w:rsid w:val="765C023B"/>
    <w:rsid w:val="7684397E"/>
    <w:rsid w:val="76B344CD"/>
    <w:rsid w:val="77150CEF"/>
    <w:rsid w:val="774477A2"/>
    <w:rsid w:val="77492D2D"/>
    <w:rsid w:val="77524F4D"/>
    <w:rsid w:val="775B5A6C"/>
    <w:rsid w:val="777C1998"/>
    <w:rsid w:val="77DA01B2"/>
    <w:rsid w:val="77EF6453"/>
    <w:rsid w:val="78177B29"/>
    <w:rsid w:val="782352CE"/>
    <w:rsid w:val="782A33A6"/>
    <w:rsid w:val="782E17BB"/>
    <w:rsid w:val="783A2119"/>
    <w:rsid w:val="784D09EB"/>
    <w:rsid w:val="78535B94"/>
    <w:rsid w:val="785E0C86"/>
    <w:rsid w:val="786A5D9D"/>
    <w:rsid w:val="787F629A"/>
    <w:rsid w:val="78A83684"/>
    <w:rsid w:val="78AA535B"/>
    <w:rsid w:val="78D9250F"/>
    <w:rsid w:val="78DC2FDD"/>
    <w:rsid w:val="78DC7260"/>
    <w:rsid w:val="7900411B"/>
    <w:rsid w:val="790D0E29"/>
    <w:rsid w:val="79395171"/>
    <w:rsid w:val="79A35C57"/>
    <w:rsid w:val="79A90A44"/>
    <w:rsid w:val="79B85C40"/>
    <w:rsid w:val="7A385137"/>
    <w:rsid w:val="7A4D5F33"/>
    <w:rsid w:val="7AFC2853"/>
    <w:rsid w:val="7B425546"/>
    <w:rsid w:val="7B4A194A"/>
    <w:rsid w:val="7B5016A8"/>
    <w:rsid w:val="7B647B37"/>
    <w:rsid w:val="7B825B7C"/>
    <w:rsid w:val="7B931FE5"/>
    <w:rsid w:val="7B9F28DD"/>
    <w:rsid w:val="7BBF3DB1"/>
    <w:rsid w:val="7BC24B9B"/>
    <w:rsid w:val="7BD21CD6"/>
    <w:rsid w:val="7BE372CE"/>
    <w:rsid w:val="7C440773"/>
    <w:rsid w:val="7C981154"/>
    <w:rsid w:val="7C9B635C"/>
    <w:rsid w:val="7CB55428"/>
    <w:rsid w:val="7CCC5756"/>
    <w:rsid w:val="7D0C38B8"/>
    <w:rsid w:val="7D466F15"/>
    <w:rsid w:val="7D805BC0"/>
    <w:rsid w:val="7D9A0522"/>
    <w:rsid w:val="7DAE7CF4"/>
    <w:rsid w:val="7DC971F1"/>
    <w:rsid w:val="7DD76804"/>
    <w:rsid w:val="7DEB54A4"/>
    <w:rsid w:val="7E125364"/>
    <w:rsid w:val="7E93243A"/>
    <w:rsid w:val="7EB03B57"/>
    <w:rsid w:val="7EBA0FF5"/>
    <w:rsid w:val="7F3412A1"/>
    <w:rsid w:val="7FD3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正文文本 字符"/>
    <w:link w:val="2"/>
    <w:qFormat/>
    <w:uiPriority w:val="1"/>
    <w:rPr>
      <w:rFonts w:ascii="宋体" w:hAnsi="Times New Roman" w:eastAsia="宋体" w:cs="Times New Roman"/>
      <w:kern w:val="0"/>
      <w:sz w:val="20"/>
      <w:szCs w:val="21"/>
    </w:rPr>
  </w:style>
  <w:style w:type="character" w:customStyle="1" w:styleId="23">
    <w:name w:val="标题 1 字符"/>
    <w:link w:val="3"/>
    <w:qFormat/>
    <w:uiPriority w:val="1"/>
    <w:rPr>
      <w:rFonts w:ascii="黑体" w:hAnsi="Times New Roman" w:eastAsia="黑体" w:cs="Times New Roman"/>
      <w:b/>
      <w:bCs/>
      <w:kern w:val="0"/>
      <w:sz w:val="36"/>
      <w:szCs w:val="36"/>
    </w:rPr>
  </w:style>
  <w:style w:type="character" w:customStyle="1" w:styleId="24">
    <w:name w:val="标题 2 字符"/>
    <w:link w:val="4"/>
    <w:qFormat/>
    <w:uiPriority w:val="9"/>
    <w:rPr>
      <w:rFonts w:ascii="Cambria" w:hAnsi="Cambria" w:eastAsia="宋体" w:cs="Times New Roman"/>
      <w:b/>
      <w:bCs/>
      <w:kern w:val="0"/>
      <w:sz w:val="32"/>
      <w:szCs w:val="32"/>
    </w:rPr>
  </w:style>
  <w:style w:type="character" w:customStyle="1" w:styleId="25">
    <w:name w:val="标题 3 字符"/>
    <w:link w:val="5"/>
    <w:qFormat/>
    <w:uiPriority w:val="1"/>
    <w:rPr>
      <w:rFonts w:ascii="宋体" w:hAnsi="Times New Roman" w:eastAsia="宋体" w:cs="Times New Roman"/>
      <w:b/>
      <w:bCs/>
      <w:kern w:val="0"/>
      <w:sz w:val="20"/>
      <w:szCs w:val="21"/>
    </w:rPr>
  </w:style>
  <w:style w:type="character" w:customStyle="1" w:styleId="26">
    <w:name w:val="批注文字 字符"/>
    <w:link w:val="6"/>
    <w:qFormat/>
    <w:uiPriority w:val="99"/>
    <w:rPr>
      <w:rFonts w:ascii="Times New Roman" w:hAnsi="Times New Roman" w:eastAsia="宋体" w:cs="Times New Roman"/>
    </w:rPr>
  </w:style>
  <w:style w:type="character" w:customStyle="1" w:styleId="27">
    <w:name w:val="日期 字符"/>
    <w:basedOn w:val="17"/>
    <w:link w:val="7"/>
    <w:semiHidden/>
    <w:qFormat/>
    <w:uiPriority w:val="99"/>
    <w:rPr>
      <w:rFonts w:ascii="Times New Roman" w:hAnsi="Times New Roman" w:eastAsia="宋体" w:cs="Times New Roman"/>
    </w:rPr>
  </w:style>
  <w:style w:type="character" w:customStyle="1" w:styleId="28">
    <w:name w:val="批注框文本 字符"/>
    <w:link w:val="8"/>
    <w:semiHidden/>
    <w:qFormat/>
    <w:uiPriority w:val="99"/>
    <w:rPr>
      <w:rFonts w:ascii="Times New Roman" w:hAnsi="Times New Roman" w:eastAsia="宋体" w:cs="Times New Roman"/>
      <w:kern w:val="0"/>
      <w:sz w:val="18"/>
      <w:szCs w:val="18"/>
    </w:rPr>
  </w:style>
  <w:style w:type="character" w:customStyle="1" w:styleId="29">
    <w:name w:val="页脚 字符"/>
    <w:link w:val="9"/>
    <w:qFormat/>
    <w:uiPriority w:val="99"/>
    <w:rPr>
      <w:rFonts w:ascii="Times New Roman" w:hAnsi="Times New Roman" w:eastAsia="宋体" w:cs="Times New Roman"/>
      <w:kern w:val="0"/>
      <w:sz w:val="18"/>
      <w:szCs w:val="18"/>
    </w:rPr>
  </w:style>
  <w:style w:type="character" w:customStyle="1" w:styleId="30">
    <w:name w:val="页眉 字符"/>
    <w:link w:val="10"/>
    <w:qFormat/>
    <w:uiPriority w:val="99"/>
    <w:rPr>
      <w:rFonts w:ascii="Times New Roman" w:hAnsi="Times New Roman" w:eastAsia="宋体" w:cs="Times New Roman"/>
      <w:kern w:val="0"/>
      <w:sz w:val="18"/>
      <w:szCs w:val="18"/>
    </w:rPr>
  </w:style>
  <w:style w:type="character" w:customStyle="1" w:styleId="31">
    <w:name w:val="脚注文本 字符1"/>
    <w:link w:val="11"/>
    <w:qFormat/>
    <w:uiPriority w:val="99"/>
    <w:rPr>
      <w:rFonts w:ascii="Times New Roman" w:hAnsi="Times New Roman" w:eastAsia="宋体" w:cs="Times New Roman"/>
      <w:sz w:val="18"/>
      <w:szCs w:val="18"/>
    </w:rPr>
  </w:style>
  <w:style w:type="character" w:customStyle="1" w:styleId="32">
    <w:name w:val="批注主题 字符"/>
    <w:link w:val="14"/>
    <w:semiHidden/>
    <w:qFormat/>
    <w:uiPriority w:val="99"/>
    <w:rPr>
      <w:rFonts w:ascii="Times New Roman" w:hAnsi="Times New Roman" w:eastAsia="宋体" w:cs="Times New Roman"/>
      <w:b/>
      <w:bCs/>
    </w:rPr>
  </w:style>
  <w:style w:type="character" w:customStyle="1" w:styleId="33">
    <w:name w:val="脚注文本 字符"/>
    <w:semiHidden/>
    <w:qFormat/>
    <w:uiPriority w:val="99"/>
    <w:rPr>
      <w:rFonts w:ascii="Times New Roman" w:hAnsi="Times New Roman" w:eastAsia="宋体" w:cs="Times New Roman"/>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8">
    <w:name w:val="_Style 33"/>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Char"/>
    <w:link w:val="3"/>
    <w:qFormat/>
    <w:uiPriority w:val="1"/>
    <w:rPr>
      <w:rFonts w:ascii="黑体" w:hAnsi="Times New Roman" w:eastAsia="黑体" w:cs="黑体"/>
      <w:b/>
      <w:bCs/>
      <w:kern w:val="0"/>
      <w:sz w:val="36"/>
      <w:szCs w:val="36"/>
    </w:rPr>
  </w:style>
  <w:style w:type="character" w:customStyle="1" w:styleId="40">
    <w:name w:val="标题 2 Char"/>
    <w:link w:val="4"/>
    <w:qFormat/>
    <w:uiPriority w:val="9"/>
    <w:rPr>
      <w:rFonts w:ascii="Cambria" w:hAnsi="Cambria" w:eastAsia="宋体" w:cs="Times New Roman"/>
      <w:b/>
      <w:bCs/>
      <w:sz w:val="32"/>
      <w:szCs w:val="32"/>
    </w:rPr>
  </w:style>
  <w:style w:type="character" w:customStyle="1" w:styleId="41">
    <w:name w:val="标题 3 Char"/>
    <w:link w:val="5"/>
    <w:qFormat/>
    <w:uiPriority w:val="1"/>
    <w:rPr>
      <w:rFonts w:ascii="宋体" w:hAnsi="Times New Roman" w:eastAsia="宋体" w:cs="宋体"/>
      <w:b/>
      <w:bCs/>
      <w:kern w:val="0"/>
      <w:szCs w:val="21"/>
    </w:rPr>
  </w:style>
  <w:style w:type="character" w:customStyle="1" w:styleId="42">
    <w:name w:val="批注文字 Char"/>
    <w:link w:val="6"/>
    <w:qFormat/>
    <w:uiPriority w:val="99"/>
    <w:rPr>
      <w:rFonts w:ascii="Times New Roman" w:hAnsi="Times New Roman" w:eastAsia="宋体" w:cs="Times New Roman"/>
      <w:kern w:val="2"/>
      <w:sz w:val="21"/>
      <w:szCs w:val="22"/>
    </w:rPr>
  </w:style>
  <w:style w:type="character" w:customStyle="1" w:styleId="43">
    <w:name w:val="正文文本 Char"/>
    <w:link w:val="2"/>
    <w:qFormat/>
    <w:uiPriority w:val="1"/>
    <w:rPr>
      <w:rFonts w:ascii="宋体" w:hAnsi="Times New Roman" w:eastAsia="宋体" w:cs="宋体"/>
      <w:kern w:val="0"/>
      <w:szCs w:val="21"/>
    </w:rPr>
  </w:style>
  <w:style w:type="character" w:customStyle="1" w:styleId="44">
    <w:name w:val="日期 Char"/>
    <w:basedOn w:val="17"/>
    <w:link w:val="7"/>
    <w:semiHidden/>
    <w:qFormat/>
    <w:uiPriority w:val="99"/>
    <w:rPr>
      <w:rFonts w:ascii="Times New Roman" w:hAnsi="Times New Roman" w:eastAsia="宋体" w:cs="Times New Roman"/>
    </w:rPr>
  </w:style>
  <w:style w:type="character" w:customStyle="1" w:styleId="45">
    <w:name w:val="批注框文本 Char"/>
    <w:link w:val="8"/>
    <w:semiHidden/>
    <w:qFormat/>
    <w:uiPriority w:val="99"/>
    <w:rPr>
      <w:rFonts w:ascii="Times New Roman" w:hAnsi="Times New Roman" w:eastAsia="宋体" w:cs="Times New Roman"/>
      <w:sz w:val="18"/>
      <w:szCs w:val="18"/>
    </w:rPr>
  </w:style>
  <w:style w:type="character" w:customStyle="1" w:styleId="46">
    <w:name w:val="页脚 Char"/>
    <w:link w:val="9"/>
    <w:qFormat/>
    <w:uiPriority w:val="99"/>
    <w:rPr>
      <w:rFonts w:ascii="Times New Roman" w:hAnsi="Times New Roman" w:eastAsia="宋体" w:cs="Times New Roman"/>
      <w:sz w:val="18"/>
      <w:szCs w:val="18"/>
    </w:rPr>
  </w:style>
  <w:style w:type="character" w:customStyle="1" w:styleId="47">
    <w:name w:val="页眉 Char"/>
    <w:link w:val="10"/>
    <w:qFormat/>
    <w:uiPriority w:val="99"/>
    <w:rPr>
      <w:rFonts w:ascii="Times New Roman" w:hAnsi="Times New Roman" w:eastAsia="宋体" w:cs="Times New Roman"/>
      <w:sz w:val="18"/>
      <w:szCs w:val="18"/>
    </w:rPr>
  </w:style>
  <w:style w:type="character" w:customStyle="1" w:styleId="48">
    <w:name w:val="批注主题 Char"/>
    <w:link w:val="14"/>
    <w:semiHidden/>
    <w:qFormat/>
    <w:uiPriority w:val="99"/>
    <w:rPr>
      <w:rFonts w:ascii="Times New Roman" w:hAnsi="Times New Roman" w:eastAsia="宋体" w:cs="Times New Roman"/>
      <w:b/>
      <w:bCs/>
      <w:kern w:val="2"/>
      <w:sz w:val="21"/>
      <w:szCs w:val="22"/>
    </w:rPr>
  </w:style>
  <w:style w:type="paragraph" w:customStyle="1" w:styleId="49">
    <w:name w:val="_Style 27"/>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21563</Words>
  <Characters>22897</Characters>
  <Lines>37</Lines>
  <Paragraphs>10</Paragraphs>
  <TotalTime>5</TotalTime>
  <ScaleCrop>false</ScaleCrop>
  <LinksUpToDate>false</LinksUpToDate>
  <CharactersWithSpaces>22916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sylc</cp:lastModifiedBy>
  <cp:lastPrinted>2026-01-27T02:32:00Z</cp:lastPrinted>
  <dcterms:modified xsi:type="dcterms:W3CDTF">2026-05-20T08:03:26Z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57DE483545F742868D80F7217A5BA398</vt:lpwstr>
  </property>
</Properties>
</file>