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bookmarkStart w:id="0" w:name="_Hlk168577216"/>
      <w:r>
        <w:rPr>
          <w:rFonts w:hint="eastAsia" w:ascii="楷体" w:hAnsi="楷体" w:eastAsia="楷体" w:cs="楷体"/>
          <w:b/>
          <w:color w:val="auto"/>
          <w:sz w:val="28"/>
          <w:szCs w:val="28"/>
        </w:rPr>
        <w:t>“</w:t>
      </w:r>
      <w:r>
        <w:rPr>
          <w:rFonts w:hint="eastAsia" w:ascii="楷体" w:hAnsi="楷体" w:eastAsia="楷体" w:cs="楷体"/>
          <w:b/>
          <w:color w:val="auto"/>
          <w:sz w:val="28"/>
          <w:szCs w:val="28"/>
          <w:lang w:val="en-US" w:eastAsia="zh-CN"/>
        </w:rPr>
        <w:t>苏银理财恒源封闭债权305期</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w:t>
      </w:r>
      <w:r>
        <w:rPr>
          <w:rFonts w:hint="eastAsia" w:ascii="楷体" w:hAnsi="楷体" w:eastAsia="楷体" w:cs="楷体"/>
          <w:sz w:val="21"/>
          <w:szCs w:val="21"/>
          <w:lang w:val="en-US" w:eastAsia="zh-CN"/>
        </w:rPr>
        <w:t>苏银理财恒源封闭债权305期</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苏银理财恒源封闭债权305期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Z7003126000179，投资者可依据该编码在中国理财网www.chinawealth.com.cn查询产品信息。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A份额：苏银理财恒源封闭债权305期13月A/J19929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B份额：苏银理财恒源封闭债权305期13月B/J19930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C份额：苏银理财恒源封闭债权305期13月C/J19931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D份额：苏银理财恒源封闭债权305期13月D/J19932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E份额：苏银理财恒源封闭债权305期13月E/J19933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F份额：苏银理财恒源封闭债权305期13月F/J19934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G份额：苏银理财恒源封闭债权305期13月G/J19935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H份额：苏银理财恒源封闭债权305期13月H/J19936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I份额：苏银理财恒源封闭债权305期13月I/J19937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J份额：苏银理财恒源封闭债权305期13月J/J19938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K份额：苏银理财恒源封闭债权305期13月K（新客专属）/J19939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M份额：苏银理财恒源封闭债权305期13月M/J19940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N份额：苏银理财恒源封闭债权305期13月N/J19941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P份额：苏银理财恒源封闭债权305期13月P/J19942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Q份额：苏银理财恒源封闭债权305期13月Q/J19943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R份额：苏银理财恒源封闭债权305期13月R（童程筑梦）/J19944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S份额：苏银理财恒源封闭债权305期13月S/J19945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Z份额：苏银理财恒源封闭债权305期13月Z/J19946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JS份额：苏银理财恒源封闭债权305期13月JS鑫福款/J19947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LM份额：苏银理财恒源封闭债权305期13月LM（兰马专属）/J19948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芙蓉锦程·优选份额：苏银理财恒源封闭债权305期13月（芙蓉锦程·优选）/J19949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default"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highlight w:val="none"/>
                <w:u w:val="single"/>
                <w:lang w:val="en-US" w:eastAsia="zh-CN"/>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u w:val="none"/>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lang w:val="en-US" w:eastAsia="zh-CN"/>
              </w:rPr>
              <w:t>★★二级，适合中低风险型投资者，适合投资策略为稳健发展的投资者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r>
              <w:rPr>
                <w:rFonts w:hint="eastAsia" w:ascii="楷体" w:hAnsi="楷体" w:eastAsia="楷体" w:cs="楷体"/>
                <w:b w:val="0"/>
                <w:bCs w:val="0"/>
                <w:color w:val="auto"/>
                <w:sz w:val="18"/>
                <w:szCs w:val="18"/>
                <w:u w:val="none"/>
              </w:rPr>
              <w:t>理财产品存续期间，若市场环境等因素发生变化，在符合监管政策要求的前提下管理人可对产品风险评级进行调整，并及时将调整情况向投资者披露。</w:t>
            </w:r>
          </w:p>
          <w:tbl>
            <w:tblPr>
              <w:tblStyle w:val="1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val="0"/>
                      <w:bCs/>
                      <w:color w:val="auto"/>
                      <w:kern w:val="0"/>
                      <w:sz w:val="18"/>
                      <w:szCs w:val="18"/>
                    </w:rPr>
                  </w:pPr>
                  <w:r>
                    <w:rPr>
                      <w:rFonts w:hint="eastAsia" w:ascii="楷体" w:hAnsi="楷体" w:eastAsia="楷体" w:cs="楷体"/>
                      <w:b/>
                      <w:bCs/>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val="0"/>
                      <w:bCs/>
                      <w:color w:val="auto"/>
                      <w:kern w:val="0"/>
                      <w:sz w:val="18"/>
                      <w:szCs w:val="18"/>
                    </w:rPr>
                  </w:pPr>
                  <w:r>
                    <w:rPr>
                      <w:rFonts w:hint="eastAsia" w:ascii="楷体" w:hAnsi="楷体" w:eastAsia="楷体" w:cs="楷体"/>
                      <w:b/>
                      <w:bCs/>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val="0"/>
                      <w:bCs/>
                      <w:color w:val="auto"/>
                      <w:kern w:val="0"/>
                      <w:sz w:val="18"/>
                      <w:szCs w:val="18"/>
                    </w:rPr>
                  </w:pPr>
                  <w:r>
                    <w:rPr>
                      <w:rFonts w:hint="eastAsia" w:ascii="楷体" w:hAnsi="楷体" w:eastAsia="楷体" w:cs="楷体"/>
                      <w:b/>
                      <w:bCs/>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A份额：面向个人和机构投资者销售；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B份额：面向个人和机构投资者销售；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C份额：面向个人和机构投资者销售，销售机构江苏银行仅限新资金客户、新客户及代发工资客户，具体以销售机构系统设置为准。新资金的达标条件为“客户前一日资产时点余额”较“前一月末资产月日均余额”的新增额大于5万元；新客户是指首次购买理财产品的客户；</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D份额：面向个人和机构投资者销售；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E份额：面向个人和机构投资者销售，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F份额：面向个人和机构投资者销售；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G份额：面向个人和机构投资者销售；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H份额：面向个人和机构投资者销售；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I份额：面向个人和机构投资者销售；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J份额：面向个人和机构投资者销售；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K份额：面向个人和机构投资者销售；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M份额：面向个人投资者销售；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N份额：面向个人和机构投资者销售；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P份额：面向个人和机构投资者销售；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Q份额：面向个人和机构投资者销售；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R份额：面向个人和机构投资者销售；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S份额：面向个人和机构投资者销售；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Z份额：面向个人和机构投资者销售；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JS份额：面向个人和机构投资者销售；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LM份额：面向个人和机构投资者销售；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default" w:ascii="楷体" w:hAnsi="楷体" w:eastAsia="楷体" w:cs="楷体"/>
                <w:b/>
                <w:color w:val="auto"/>
                <w:spacing w:val="-2"/>
                <w:sz w:val="18"/>
                <w:szCs w:val="18"/>
                <w:u w:val="single"/>
                <w:lang w:val="en-US"/>
              </w:rPr>
            </w:pPr>
            <w:r>
              <w:rPr>
                <w:rFonts w:hint="eastAsia" w:ascii="楷体" w:hAnsi="楷体" w:eastAsia="楷体" w:cs="楷体"/>
                <w:color w:val="auto"/>
                <w:spacing w:val="-2"/>
                <w:kern w:val="0"/>
                <w:sz w:val="18"/>
                <w:szCs w:val="18"/>
                <w:highlight w:val="none"/>
                <w:lang w:val="en-US" w:eastAsia="zh-CN" w:bidi="ar-SA"/>
              </w:rPr>
              <w:t>芙蓉锦程·优选份额：面向个人和机构投资者销售。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sz w:val="18"/>
                <w:szCs w:val="18"/>
                <w:lang w:val="en-US" w:eastAsia="zh-CN"/>
              </w:rPr>
              <w:t>20亿元</w:t>
            </w:r>
            <w:r>
              <w:rPr>
                <w:rFonts w:hint="eastAsia" w:ascii="楷体" w:hAnsi="楷体" w:eastAsia="楷体" w:cs="楷体"/>
                <w:color w:val="auto"/>
                <w:spacing w:val="-2"/>
                <w:kern w:val="0"/>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3000万元。</w:t>
            </w:r>
            <w:r>
              <w:rPr>
                <w:rFonts w:hint="eastAsia" w:ascii="楷体" w:hAnsi="楷体" w:eastAsia="楷体" w:cs="楷体"/>
                <w:spacing w:val="-2"/>
                <w:sz w:val="18"/>
                <w:szCs w:val="18"/>
                <w:highlight w:val="none"/>
              </w:rPr>
              <w:t>若产品认购规模未达到最低发行规模，或新的法律、法规或监管政策导致本产品无法合法合规运行，或出现其他导致影响产品成立不可抗力因素，产品管理人将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A份额：1元/1元的整数倍；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B份额：1元/1元的整数倍；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C份额：10,000元/10,000元的整数倍；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D份额：1元/1元的整数倍；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F份额：1元/1元的整数倍；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G份额：1元/1元的整数倍；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H份额：1元/1元的整数倍；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I份额：1元/1元的整数倍；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J份额：1元/1元的整数倍；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K份额：1元/1元的整数倍；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M份额：10,000元/10,000元的整数倍；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N份额：1元/1元的整数倍；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P份额：1元/1元的整数倍；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Q份额：1元/1元的整数倍；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R份额：1元/1元的整数倍；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S份额：1元/1元的整数倍；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Z份额：1元/1元的整数倍；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JS份额：1元/1元的整数倍；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LM份额：1元/1元的整数倍；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highlight w:val="none"/>
              </w:rPr>
            </w:pPr>
            <w:r>
              <w:rPr>
                <w:rFonts w:hint="eastAsia" w:ascii="楷体" w:hAnsi="楷体" w:eastAsia="楷体" w:cs="楷体"/>
                <w:color w:val="auto"/>
                <w:sz w:val="18"/>
                <w:szCs w:val="18"/>
                <w:lang w:val="en-US" w:eastAsia="zh-CN"/>
              </w:rPr>
              <w:t>芙蓉锦程·优选份额：1元/1元的整数倍。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val="en-US" w:eastAsia="zh-CN"/>
              </w:rPr>
              <w:t>2026年5月27日</w:t>
            </w:r>
            <w:r>
              <w:rPr>
                <w:rFonts w:hint="eastAsia" w:ascii="楷体" w:hAnsi="楷体" w:eastAsia="楷体" w:cs="楷体"/>
                <w:color w:val="auto"/>
                <w:spacing w:val="-2"/>
                <w:sz w:val="18"/>
                <w:szCs w:val="18"/>
              </w:rPr>
              <w:t>至</w:t>
            </w:r>
            <w:r>
              <w:rPr>
                <w:rFonts w:hint="eastAsia" w:ascii="楷体" w:hAnsi="楷体" w:eastAsia="楷体" w:cs="楷体"/>
                <w:color w:val="auto"/>
                <w:spacing w:val="-2"/>
                <w:sz w:val="18"/>
                <w:szCs w:val="18"/>
                <w:lang w:val="en-US" w:eastAsia="zh-CN"/>
              </w:rPr>
              <w:t>2026年6月2日</w:t>
            </w:r>
            <w:r>
              <w:rPr>
                <w:rFonts w:hint="eastAsia" w:ascii="楷体" w:hAnsi="楷体" w:eastAsia="楷体" w:cs="楷体"/>
                <w:color w:val="auto"/>
                <w:spacing w:val="-2"/>
                <w:sz w:val="18"/>
                <w:szCs w:val="18"/>
                <w:lang w:eastAsia="zh-CN"/>
              </w:rPr>
              <w:t>。</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产品成立日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2026年6月3日。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2027年6月29日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highlight w:val="none"/>
              </w:rPr>
              <w:t>如遇节假日，顺延至下一工作日。产品到期日受制于提前终止、延期终止条款。详见下文“产品终止”。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391</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color w:val="0000FF"/>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default"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2.45%-2.85%；B份额：2.40%-2.80%；C份额：2.50%-2.90%；D份额：2.50%-2.90%；E份额：2.55%-2.95%；F份额：2.45%-2.85%；G份额：2.35%-2.75%；H份额：2.45%-2.85%；I份额：2.45%-2.85%；J份额：2.40%-2.80%；K份额：2.65%-3.05%；M份额：2.30%-2.70%；N份额：2.40%-2.80%；P份额：2.50%-2.90%；Q份额：2.60%-3.00%；R份额：2.65%-3.05%；S份额：2.45%-2.85%；Z份额：2.55%-2.95%；JS份额：2.45%-2.85%；LM份额：2.55%-2.95%；芙蓉锦程·优选份额：2.50%-2.90%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3"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0000FF"/>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0.02%/年</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A份额：0.15%；B份额：0.30%；C份额：0.15%；D份额：0.20%；E份额：0.15%；F份额：0.20%；G份额：0.30%；H份额：0.20%；I份额：0.15%；J份额：0.20%；K份额：0.10%；M份额：0.35%；N份额：0.25%；P份额：0.15%；Q份额：0.10%；R份额：0.05%；S份额：0.25%；Z份额：0.10%；JS份额：0.20%；LM份额：0.15%；芙蓉锦程·优选份额：0.15%。其中D/H/K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A份额：0.20%；B份额：0.10%；C份额：0.15%；D份额：0.10%；E份额：0.10%；F份额：0.15%；G份额：0.15%；H份额：0.15%；I份额：0.20%；J份额：0.20%；K份额：0.05%；M份额：0.15%；N份额：0.15%；P份额：0.15%；Q份额：0.10%；R份额：0.10%；S份额：0.10%；Z份额：0.15%；JS份额：0.15%；LM份额：0.10%；芙蓉锦程·优选份额：0.15%。</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b/>
                <w:spacing w:val="-2"/>
                <w:sz w:val="18"/>
                <w:szCs w:val="18"/>
                <w:u w:val="single"/>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若产品各份额实际投资收益在扣除托管费、销售服务费、投资管理费等费用后超过各份额业绩比较基准下限，产品管理人将按照超出部分的50%收取超额业绩报酬</w:t>
            </w:r>
            <w:r>
              <w:rPr>
                <w:rFonts w:hint="eastAsia" w:ascii="楷体" w:hAnsi="楷体" w:eastAsia="楷体" w:cs="楷体"/>
                <w:color w:val="auto"/>
                <w:spacing w:val="-2"/>
                <w:sz w:val="18"/>
                <w:szCs w:val="18"/>
              </w:rPr>
              <w:t>。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按照本理财产品合同的约定，及时、足额获得投资管理费；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default"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highlight w:val="none"/>
          <w:u w:val="single"/>
          <w:lang w:val="en-US" w:eastAsia="zh-CN"/>
        </w:rPr>
        <w:t>江苏</w:t>
      </w:r>
      <w:r>
        <w:rPr>
          <w:rFonts w:hint="eastAsia" w:ascii="楷体" w:hAnsi="楷体" w:eastAsia="楷体" w:cs="楷体"/>
          <w:b/>
          <w:bCs/>
          <w:color w:val="auto"/>
          <w:sz w:val="21"/>
          <w:szCs w:val="21"/>
          <w:u w:val="single"/>
          <w:lang w:val="en-US" w:eastAsia="zh-CN"/>
        </w:rPr>
        <w:t>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color w:val="auto"/>
          <w:sz w:val="21"/>
          <w:szCs w:val="21"/>
          <w:u w:val="single"/>
          <w:lang w:val="en-US" w:eastAsia="zh-CN"/>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highlight w:val="none"/>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w:t>
      </w:r>
      <w:r>
        <w:rPr>
          <w:rFonts w:hint="eastAsia" w:ascii="楷体" w:hAnsi="楷体" w:eastAsia="楷体" w:cs="楷体"/>
          <w:b w:val="0"/>
          <w:bCs w:val="0"/>
          <w:sz w:val="21"/>
          <w:szCs w:val="21"/>
          <w:highlight w:val="none"/>
          <w:u w:val="none"/>
          <w:lang w:val="en-US" w:eastAsia="zh-CN"/>
        </w:rPr>
        <w:t>和</w:t>
      </w:r>
      <w:r>
        <w:rPr>
          <w:rFonts w:hint="eastAsia" w:ascii="楷体" w:hAnsi="楷体" w:eastAsia="楷体" w:cs="楷体"/>
          <w:b w:val="0"/>
          <w:bCs w:val="0"/>
          <w:sz w:val="21"/>
          <w:szCs w:val="21"/>
          <w:highlight w:val="none"/>
          <w:u w:val="none"/>
        </w:rPr>
        <w:t>兑付责任，产品的投资</w:t>
      </w:r>
      <w:r>
        <w:rPr>
          <w:rFonts w:hint="eastAsia" w:ascii="楷体" w:hAnsi="楷体" w:eastAsia="楷体" w:cs="楷体"/>
          <w:b w:val="0"/>
          <w:bCs w:val="0"/>
          <w:sz w:val="21"/>
          <w:szCs w:val="21"/>
          <w:highlight w:val="none"/>
          <w:u w:val="none"/>
          <w:lang w:val="en-US" w:eastAsia="zh-CN"/>
        </w:rPr>
        <w:t>和</w:t>
      </w:r>
      <w:r>
        <w:rPr>
          <w:rFonts w:hint="eastAsia" w:ascii="楷体" w:hAnsi="楷体" w:eastAsia="楷体" w:cs="楷体"/>
          <w:b w:val="0"/>
          <w:bCs w:val="0"/>
          <w:sz w:val="21"/>
          <w:szCs w:val="21"/>
          <w:highlight w:val="none"/>
          <w:u w:val="none"/>
        </w:rPr>
        <w:t>兑付责任由管理人承担。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A份额：江苏高淳农村商业银行股份有限公司/江苏姜堰农村商业银行股份有限公司/江苏常熟农村商业银行股份有限公司/江苏银行股份有限公司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B份额：晋商银行股份有限公司/东莞农村商业银行股份有限公司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C份额：江苏银行股份有限公司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D份额：武汉农村商业银行股份有限公司/重庆农村商业银行股份有限公司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E份额：江苏银行股份有限公司/江苏常熟农村商业银行股份有限公司/江苏宜兴农村商业银行股份有限公司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F份额：莱商银行股份有限公司/威海银行股份有限公司/齐鲁银行股份有限公司/青岛银行股份有限公司/宁夏银行股份有限公司/广州银行股份有限公司/江苏苏州农村商业银行股份有限公司/东营银行股份有限公司/秦皇岛银行股份有限公司/嘉兴银行股份有限公司/上海银行股份有限公司/山西银行股份有限公司/徽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G份额：江苏苏州农村商业银行股份有限公司/江苏常熟农村商业银行股份有限公司/北京农村商业银行股份有限公司/湖北银行股份有限公司/山西银行股份有限公司/上海农村商业银行股份有限公司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H份额：宁波东海银行股份有限公司/宁波通商银行股份有限公司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I份额：浙江平湖农村商业银行股份有限公司/浙江乐清农村商业银行股份有限公司/杭州联合农村商业银行股份有限公司/浙江萧山农村商业银行股份有限公司/浙江永嘉农村商业银行股份有限公司/浙江嘉善农村商业银行股份有限公司/湖州吴兴农村商业银行股份有限公司/浙江淳安农村商业银行股份有限公司/浙江舟山定海海洋农村商业银行股份有限公司/浙江岱山农村商业银行股份有限公司/浙江绍兴瑞丰农村商业银行股份有限公司/浙江温州龙湾农村商业银行股份有限公司/浙江德清农村商业银行股份有限公司/浙江桐乡农村商业银行股份有限公司/浙江上虞农村商业银行股份有限公司/浙江温州瓯海农村商业银行股份有限公司/浙江兰溪农村商业银行股份有限公司/浙江青田农村商业银行股份有限公司/浙江文成农村商业银行股份有限公司/浙江杭州余杭农村商业银行股份有限公司/浙江舟山普陀农村商业银行股份有限公司/浙江桐庐农村商业银行股份有限公司/浙江禾城农村商业银行股份有限公司/浙江温岭农村商业银行股份有限公司/浙江海盐农村商业银行股份有限公司/浙江南浔农村商业银行股份有限公司/浙江永康农村商业银行股份有限公司/浙江海宁农村商业银行股份有限公司/浙江江山农村商业银行股份有限公司/浙江瑞安农村商业银行股份有限公司/浙江浦江农村商业银行股份有限公司/浙江龙泉农村商业银行股份有限公司/浙江台州黄岩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份额：浙江桐庐农村商业银行股份有限公司/浙江绍兴瑞丰农村商业银行股份有限公司/浙江新昌农村商业银行股份有限公司/浙江武义农村商业银行股份有限公司/浙江平湖农村商业银行股份有限公司/浙江龙游农村商业银行股份有限公司/浙江兰溪农村商业银行股份有限公司/浙江南浔农村商业银行股份有限公司/浙江海宁农村商业银行股份有限公司/浙江舟山定海海洋农村商业银行股份有限公司/浙江安吉农村商业银行股份有限公司/浙江绍兴恒信农村商业银行股份有限公司/杭州联合农村商业银行股份有限公司/浙江桐乡农村商业银行股份有限公司/浙江义乌农村商业银行股份有限公司/浙江瑞安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K份额：武汉农村商业银行股份有限公司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M份额：重庆农村商业银行股份有限公司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N份额：青岛银行股份有限公司/山西银行股份有限公司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P份额：东营银行股份有限公司/上海银行股份有限公司/山西银行股份有限公司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Q份额：浙江海宁农村商业银行股份有限公司/浙江平湖农村商业银行股份有限公司/浙江海盐农村商业银行股份有限公司/浙江桐乡农村商业银行股份有限公司/浙江嘉善农村商业银行股份有限公司/浙江瑞安农村商业银行股份有限公司/浙江绍兴瑞丰农村商业银行股份有限公司/浙江温州瓯海农村商业银行股份有限公司/浙江禾城农村商业银行股份有限公司/浙江上虞农村商业银行股份有限公司/浙江苍南农村商业银行股份有限公司/浙江温州龙湾农村商业银行股份有限公司/浙江永康农村商业银行股份有限公司/浙江温州鹿城农村商业银行股份有限公司/浙江永嘉农村商业银行股份有限公司/浙江德清农村商业银行股份有限公司/浙江乐清农村商业银行股份有限公司/浙江新昌农村商业银行股份有限公司/浙江武义农村商业银行股份有限公司/浙江嵊州农村商业银行股份有限公司/浙江东阳农村商业银行股份有限公司/浙江安吉农村商业银行股份有限公司/浙江岱山农村商业银行股份有限公司/浙江温岭农村商业银行股份有限公司/浙江青田农村商业银行股份有限公司/浙江临海农村商业银行股份有限公司/湖州吴兴农村商业银行股份有限公司/浙江舟山定海海洋农村商业银行股份有限公司/浙江义乌农村商业银行股份有限公司/浙江江山农村商业银行股份有限公司/浙江南浔农村商业银行股份有限公司/浙江兰溪农村商业银行股份有限公司/浙江舟山普陀农村商业银行股份有限公司/浙江衢州柯城农村商业银行股份有限公司/浙江天台农村商业银行股份有限公司/浙江台州路桥农村商业银行股份有限公司/浙江衢州衢江农村商业银行股份有限公司/浙江文成农村商业银行股份有限公司/浙江龙泉农村商业银行股份有限公司/浙江绍兴恒信农村商业银行股份有限公司/浙江金华成泰农村商业银行股份有限公司/浙江缙云农村商业银行股份有限公司/浙江浦江农村商业银行股份有限公司/浙江长兴农村商业银行股份有限公司/浙江开化农村商业银行股份有限公司/浙江仙居农村商业银行股份有限公司/浙江</w:t>
      </w:r>
      <w:bookmarkStart w:id="1" w:name="_GoBack"/>
      <w:bookmarkEnd w:id="1"/>
      <w:r>
        <w:rPr>
          <w:rFonts w:hint="eastAsia" w:ascii="楷体" w:hAnsi="楷体" w:eastAsia="楷体" w:cs="楷体"/>
          <w:b w:val="0"/>
          <w:bCs w:val="0"/>
          <w:sz w:val="21"/>
          <w:szCs w:val="21"/>
          <w:highlight w:val="none"/>
          <w:u w:val="none"/>
          <w:lang w:val="en-US" w:eastAsia="zh-CN"/>
        </w:rPr>
        <w:t>龙游农村商业银行股份有限公司/浙江台州黄岩农村商业银行股份有限公司/浙江泰顺农村商业银行股份有限公司/浙江遂昌农村商业银行股份有限公司/浙江诸暨农村商业银行股份有限公司/苏银理财有限责任公司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R份额：潍坊银行股份有限公司/浙江海宁农村商业银行股份有限公司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S份额：兴业银行股份有限公司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Z份额：莱商银行股份有限公司/郑州银行股份有限公司/日照银行股份有限公司/齐鲁银行股份有限公司/甘肃银行股份有限公司/泰安银行股份有限公司/山西银行股份有限公司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S份额：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紫金农村商业银行股份有限公司/江苏溧水农村商业银行股份有限公司/江苏大丰农村商业银行股份有限公司/江苏扬州农村商业银行股份有限公司/江苏张家港农村商业银行股份有限公司/江苏如东农村商业银行股份有限公司/江苏江南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海安农村商业银行股份有限公司/江苏苏州农村商业银行股份有限公司/江苏建湖农村商业银行股份有限公司/江苏淮安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宜兴农村商业银行股份有限公司/连云港东方农村商业银行股份有限公司/江苏金湖农村商业银行股份有限公司/江苏响水农村商业银行股份有限公司/江苏太仓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LM份额：兰州银行股份有限公司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芙蓉锦程·优选份额：成都银行股份有限公司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default" w:ascii="楷体" w:hAnsi="楷体" w:eastAsia="楷体" w:cs="楷体"/>
          <w:color w:val="auto"/>
          <w:sz w:val="21"/>
          <w:szCs w:val="21"/>
          <w:lang w:val="en-US" w:eastAsia="zh-CN"/>
        </w:rPr>
      </w:pPr>
      <w:r>
        <w:rPr>
          <w:rFonts w:hint="eastAsia" w:ascii="楷体" w:hAnsi="楷体" w:eastAsia="楷体"/>
          <w:color w:val="auto"/>
          <w:sz w:val="21"/>
          <w:szCs w:val="21"/>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default"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本产品计划配置以下备选非标准化债权类资产：</w:t>
      </w:r>
    </w:p>
    <w:p>
      <w:pPr>
        <w:ind w:firstLine="400" w:firstLineChars="200"/>
        <w:rPr>
          <w:rFonts w:hint="eastAsia" w:ascii="楷体" w:hAnsi="楷体" w:eastAsia="楷体" w:cs="楷体"/>
          <w:color w:val="auto"/>
          <w:sz w:val="21"/>
          <w:szCs w:val="21"/>
          <w:highlight w:val="none"/>
          <w:lang w:val="en-US" w:eastAsia="zh-CN"/>
        </w:rPr>
      </w:pPr>
      <w:r>
        <w:rPr>
          <w:rFonts w:ascii="楷体" w:hAnsi="楷体" w:eastAsia="楷体" w:cs="楷体"/>
          <w:sz w:val="20"/>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r>
        <w:rPr>
          <w:rFonts w:hint="eastAsia" w:ascii="楷体" w:hAnsi="楷体" w:eastAsia="楷体" w:cs="楷体"/>
          <w:sz w:val="20"/>
          <w:lang w:eastAsia="zh-CN"/>
        </w:rPr>
        <w:t>（</w:t>
      </w:r>
      <w:r>
        <w:rPr>
          <w:rFonts w:hint="eastAsia" w:ascii="楷体" w:hAnsi="楷体" w:eastAsia="楷体" w:cs="楷体"/>
          <w:sz w:val="20"/>
          <w:lang w:val="en-US" w:eastAsia="zh-CN"/>
        </w:rPr>
        <w:t>3</w:t>
      </w:r>
      <w:r>
        <w:rPr>
          <w:rFonts w:hint="eastAsia" w:ascii="楷体" w:hAnsi="楷体" w:eastAsia="楷体" w:cs="楷体"/>
          <w:sz w:val="20"/>
          <w:lang w:eastAsia="zh-CN"/>
        </w:rPr>
        <w:t>）</w:t>
      </w:r>
      <w:r>
        <w:rPr>
          <w:rFonts w:hint="eastAsia" w:ascii="楷体" w:hAnsi="楷体" w:eastAsia="楷体" w:cs="楷体"/>
          <w:sz w:val="20"/>
        </w:rPr>
        <w:t>同业借款：融资人为中国中信金融资产管理股份有限公司。融资人经营正常，是依法成立的国有公司，主要股东为中国中信集团有限公司、财政局、中国融信私募基金有限公司，实际控制人为财政部。</w:t>
      </w:r>
      <w:r>
        <w:rPr>
          <w:rFonts w:hint="eastAsia" w:ascii="楷体" w:hAnsi="楷体" w:eastAsia="楷体" w:cs="楷体"/>
          <w:sz w:val="20"/>
          <w:lang w:eastAsia="zh-CN"/>
        </w:rPr>
        <w:t>（</w:t>
      </w:r>
      <w:r>
        <w:rPr>
          <w:rFonts w:hint="eastAsia" w:ascii="楷体" w:hAnsi="楷体" w:eastAsia="楷体" w:cs="楷体"/>
          <w:sz w:val="20"/>
          <w:lang w:val="en-US" w:eastAsia="zh-CN"/>
        </w:rPr>
        <w:t>4</w:t>
      </w:r>
      <w:r>
        <w:rPr>
          <w:rFonts w:hint="eastAsia" w:ascii="楷体" w:hAnsi="楷体" w:eastAsia="楷体" w:cs="楷体"/>
          <w:sz w:val="20"/>
          <w:lang w:eastAsia="zh-CN"/>
        </w:rPr>
        <w:t>）</w:t>
      </w:r>
      <w:r>
        <w:rPr>
          <w:rFonts w:hint="eastAsia" w:ascii="楷体" w:hAnsi="楷体" w:eastAsia="楷体" w:cs="楷体"/>
          <w:sz w:val="20"/>
        </w:rPr>
        <w:t>同业借款：融资人为中国东方资产管理股份有限公司。融资人经营正常，是依法成立的国有公司，主要股东为中央汇金投资有限责任公司、全国社会保障基金理事会、中国电信集团有限公司，实际控制人为国务院。</w:t>
      </w:r>
      <w:r>
        <w:rPr>
          <w:rFonts w:hint="eastAsia" w:ascii="楷体" w:hAnsi="楷体" w:eastAsia="楷体" w:cs="楷体"/>
          <w:sz w:val="20"/>
          <w:lang w:eastAsia="zh-CN"/>
        </w:rPr>
        <w:t>（</w:t>
      </w:r>
      <w:r>
        <w:rPr>
          <w:rFonts w:hint="eastAsia" w:ascii="楷体" w:hAnsi="楷体" w:eastAsia="楷体" w:cs="楷体"/>
          <w:sz w:val="20"/>
          <w:lang w:val="en-US" w:eastAsia="zh-CN"/>
        </w:rPr>
        <w:t>5</w:t>
      </w:r>
      <w:r>
        <w:rPr>
          <w:rFonts w:hint="eastAsia" w:ascii="楷体" w:hAnsi="楷体" w:eastAsia="楷体" w:cs="楷体"/>
          <w:sz w:val="20"/>
          <w:lang w:eastAsia="zh-CN"/>
        </w:rPr>
        <w:t>）</w:t>
      </w:r>
      <w:r>
        <w:rPr>
          <w:rFonts w:hint="eastAsia" w:ascii="楷体" w:hAnsi="楷体" w:eastAsia="楷体" w:cs="楷体"/>
          <w:sz w:val="20"/>
        </w:rPr>
        <w:t>同业借款：融资人为中国信达资产管理股份有限公司。融资人经营正常，是依法成立的国有公司，主要股东为中央汇金投资有限责任公司，实际控制人为国务院。</w:t>
      </w:r>
      <w:r>
        <w:rPr>
          <w:rFonts w:hint="eastAsia" w:ascii="楷体" w:hAnsi="楷体" w:eastAsia="楷体" w:cs="楷体"/>
          <w:sz w:val="20"/>
          <w:lang w:eastAsia="zh-CN"/>
        </w:rPr>
        <w:t>（</w:t>
      </w:r>
      <w:r>
        <w:rPr>
          <w:rFonts w:hint="eastAsia" w:ascii="楷体" w:hAnsi="楷体" w:eastAsia="楷体" w:cs="楷体"/>
          <w:sz w:val="20"/>
          <w:lang w:val="en-US" w:eastAsia="zh-CN"/>
        </w:rPr>
        <w:t>6</w:t>
      </w:r>
      <w:r>
        <w:rPr>
          <w:rFonts w:hint="eastAsia" w:ascii="楷体" w:hAnsi="楷体" w:eastAsia="楷体" w:cs="楷体"/>
          <w:sz w:val="20"/>
          <w:lang w:eastAsia="zh-CN"/>
        </w:rPr>
        <w:t>）</w:t>
      </w:r>
      <w:r>
        <w:rPr>
          <w:rFonts w:hint="eastAsia" w:ascii="楷体" w:hAnsi="楷体" w:eastAsia="楷体" w:cs="楷体"/>
          <w:sz w:val="20"/>
        </w:rPr>
        <w:t>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w:t>
      </w:r>
      <w:r>
        <w:rPr>
          <w:rFonts w:hint="eastAsia" w:ascii="楷体" w:hAnsi="楷体" w:eastAsia="楷体" w:cs="楷体"/>
          <w:sz w:val="20"/>
          <w:lang w:eastAsia="zh-CN"/>
        </w:rPr>
        <w:t>（</w:t>
      </w:r>
      <w:r>
        <w:rPr>
          <w:rFonts w:hint="eastAsia" w:ascii="楷体" w:hAnsi="楷体" w:eastAsia="楷体" w:cs="楷体"/>
          <w:sz w:val="20"/>
          <w:lang w:val="en-US" w:eastAsia="zh-CN"/>
        </w:rPr>
        <w:t>7</w:t>
      </w:r>
      <w:r>
        <w:rPr>
          <w:rFonts w:hint="eastAsia" w:ascii="楷体" w:hAnsi="楷体" w:eastAsia="楷体" w:cs="楷体"/>
          <w:sz w:val="20"/>
          <w:lang w:eastAsia="zh-CN"/>
        </w:rPr>
        <w:t>）</w:t>
      </w:r>
      <w:r>
        <w:rPr>
          <w:rFonts w:hint="eastAsia" w:ascii="楷体" w:hAnsi="楷体" w:eastAsia="楷体" w:cs="楷体"/>
          <w:sz w:val="20"/>
        </w:rPr>
        <w:t>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w:t>
      </w:r>
      <w:r>
        <w:rPr>
          <w:rFonts w:hint="eastAsia" w:ascii="楷体" w:hAnsi="楷体" w:eastAsia="楷体" w:cs="楷体"/>
          <w:sz w:val="20"/>
          <w:lang w:eastAsia="zh-CN"/>
        </w:rPr>
        <w:t>（</w:t>
      </w:r>
      <w:r>
        <w:rPr>
          <w:rFonts w:hint="eastAsia" w:ascii="楷体" w:hAnsi="楷体" w:eastAsia="楷体" w:cs="楷体"/>
          <w:sz w:val="20"/>
          <w:lang w:val="en-US" w:eastAsia="zh-CN"/>
        </w:rPr>
        <w:t>8</w:t>
      </w:r>
      <w:r>
        <w:rPr>
          <w:rFonts w:hint="eastAsia" w:ascii="楷体" w:hAnsi="楷体" w:eastAsia="楷体" w:cs="楷体"/>
          <w:sz w:val="20"/>
          <w:lang w:eastAsia="zh-CN"/>
        </w:rPr>
        <w:t>）</w:t>
      </w:r>
      <w:r>
        <w:rPr>
          <w:rFonts w:hint="eastAsia" w:ascii="楷体" w:hAnsi="楷体" w:eastAsia="楷体" w:cs="楷体"/>
          <w:sz w:val="20"/>
        </w:rPr>
        <w:t>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w:t>
      </w:r>
      <w:r>
        <w:rPr>
          <w:rFonts w:hint="eastAsia" w:ascii="楷体" w:hAnsi="楷体" w:eastAsia="楷体" w:cs="楷体"/>
          <w:sz w:val="20"/>
          <w:lang w:eastAsia="zh-CN"/>
        </w:rPr>
        <w:t>（</w:t>
      </w:r>
      <w:r>
        <w:rPr>
          <w:rFonts w:hint="eastAsia" w:ascii="楷体" w:hAnsi="楷体" w:eastAsia="楷体" w:cs="楷体"/>
          <w:sz w:val="20"/>
          <w:lang w:val="en-US" w:eastAsia="zh-CN"/>
        </w:rPr>
        <w:t>9</w:t>
      </w:r>
      <w:r>
        <w:rPr>
          <w:rFonts w:hint="eastAsia" w:ascii="楷体" w:hAnsi="楷体" w:eastAsia="楷体" w:cs="楷体"/>
          <w:sz w:val="20"/>
          <w:lang w:eastAsia="zh-CN"/>
        </w:rPr>
        <w:t>）</w:t>
      </w:r>
      <w:r>
        <w:rPr>
          <w:rFonts w:hint="eastAsia" w:ascii="楷体" w:hAnsi="楷体" w:eastAsia="楷体" w:cs="楷体"/>
          <w:sz w:val="20"/>
        </w:rPr>
        <w:t>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w:t>
      </w:r>
      <w:r>
        <w:rPr>
          <w:rFonts w:hint="eastAsia" w:ascii="楷体" w:hAnsi="楷体" w:eastAsia="楷体" w:cs="楷体"/>
          <w:sz w:val="20"/>
          <w:lang w:eastAsia="zh-CN"/>
        </w:rPr>
        <w:t>（</w:t>
      </w:r>
      <w:r>
        <w:rPr>
          <w:rFonts w:hint="eastAsia" w:ascii="楷体" w:hAnsi="楷体" w:eastAsia="楷体" w:cs="楷体"/>
          <w:sz w:val="20"/>
          <w:lang w:val="en-US" w:eastAsia="zh-CN"/>
        </w:rPr>
        <w:t>10</w:t>
      </w:r>
      <w:r>
        <w:rPr>
          <w:rFonts w:hint="eastAsia" w:ascii="楷体" w:hAnsi="楷体" w:eastAsia="楷体" w:cs="楷体"/>
          <w:sz w:val="20"/>
          <w:lang w:eastAsia="zh-CN"/>
        </w:rPr>
        <w:t>）</w:t>
      </w:r>
      <w:r>
        <w:rPr>
          <w:rFonts w:hint="eastAsia" w:ascii="楷体" w:hAnsi="楷体" w:eastAsia="楷体" w:cs="楷体"/>
          <w:sz w:val="20"/>
        </w:rPr>
        <w:t>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w:t>
      </w:r>
      <w:r>
        <w:rPr>
          <w:rFonts w:hint="eastAsia" w:ascii="楷体" w:hAnsi="楷体" w:eastAsia="楷体" w:cs="楷体"/>
          <w:sz w:val="20"/>
          <w:lang w:eastAsia="zh-CN"/>
        </w:rPr>
        <w:t>（</w:t>
      </w:r>
      <w:r>
        <w:rPr>
          <w:rFonts w:hint="eastAsia" w:ascii="楷体" w:hAnsi="楷体" w:eastAsia="楷体" w:cs="楷体"/>
          <w:sz w:val="20"/>
          <w:lang w:val="en-US" w:eastAsia="zh-CN"/>
        </w:rPr>
        <w:t>11</w:t>
      </w:r>
      <w:r>
        <w:rPr>
          <w:rFonts w:hint="eastAsia" w:ascii="楷体" w:hAnsi="楷体" w:eastAsia="楷体" w:cs="楷体"/>
          <w:sz w:val="20"/>
          <w:lang w:eastAsia="zh-CN"/>
        </w:rPr>
        <w:t>）</w:t>
      </w:r>
      <w:r>
        <w:rPr>
          <w:rFonts w:hint="eastAsia" w:ascii="楷体" w:hAnsi="楷体" w:eastAsia="楷体" w:cs="楷体"/>
          <w:sz w:val="20"/>
        </w:rPr>
        <w:t>收益凭证：融资人为华泰证券股份有限公司。融资人经营正常，是依法设立的持牌金融机构，主要股东为江苏省国信集团有限公司、香港中央结算（代理人）有限公司、江苏交通控股有限公司，无实际控制人。</w:t>
      </w:r>
      <w:r>
        <w:rPr>
          <w:rFonts w:hint="eastAsia" w:ascii="楷体" w:hAnsi="楷体" w:eastAsia="楷体" w:cs="楷体"/>
          <w:sz w:val="20"/>
          <w:lang w:eastAsia="zh-CN"/>
        </w:rPr>
        <w:t>（</w:t>
      </w:r>
      <w:r>
        <w:rPr>
          <w:rFonts w:hint="eastAsia" w:ascii="楷体" w:hAnsi="楷体" w:eastAsia="楷体" w:cs="楷体"/>
          <w:sz w:val="20"/>
          <w:lang w:val="en-US" w:eastAsia="zh-CN"/>
        </w:rPr>
        <w:t>12</w:t>
      </w:r>
      <w:r>
        <w:rPr>
          <w:rFonts w:hint="eastAsia" w:ascii="楷体" w:hAnsi="楷体" w:eastAsia="楷体" w:cs="楷体"/>
          <w:sz w:val="20"/>
          <w:lang w:eastAsia="zh-CN"/>
        </w:rPr>
        <w:t>）</w:t>
      </w:r>
      <w:r>
        <w:rPr>
          <w:rFonts w:hint="eastAsia" w:ascii="楷体" w:hAnsi="楷体" w:eastAsia="楷体" w:cs="楷体"/>
          <w:sz w:val="20"/>
        </w:rPr>
        <w:t>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w:t>
      </w:r>
      <w:r>
        <w:rPr>
          <w:rFonts w:hint="eastAsia" w:ascii="楷体" w:hAnsi="楷体" w:eastAsia="楷体" w:cs="楷体"/>
          <w:sz w:val="20"/>
          <w:lang w:eastAsia="zh-CN"/>
        </w:rPr>
        <w:t>（</w:t>
      </w:r>
      <w:r>
        <w:rPr>
          <w:rFonts w:hint="eastAsia" w:ascii="楷体" w:hAnsi="楷体" w:eastAsia="楷体" w:cs="楷体"/>
          <w:sz w:val="20"/>
          <w:lang w:val="en-US" w:eastAsia="zh-CN"/>
        </w:rPr>
        <w:t>13</w:t>
      </w:r>
      <w:r>
        <w:rPr>
          <w:rFonts w:hint="eastAsia" w:ascii="楷体" w:hAnsi="楷体" w:eastAsia="楷体" w:cs="楷体"/>
          <w:sz w:val="20"/>
          <w:lang w:eastAsia="zh-CN"/>
        </w:rPr>
        <w:t>）</w:t>
      </w:r>
      <w:r>
        <w:rPr>
          <w:rFonts w:hint="eastAsia" w:ascii="楷体" w:hAnsi="楷体" w:eastAsia="楷体" w:cs="楷体"/>
          <w:sz w:val="20"/>
        </w:rPr>
        <w:t>收益凭证：融资人为申万宏源证券有限公司。融资人经营正常，是依法设立的持牌金融机构，主要股东为申万宏源集团股份有限公司，实际控制人为中央汇金投资有限责任公司。</w:t>
      </w:r>
      <w:r>
        <w:rPr>
          <w:rFonts w:hint="eastAsia" w:ascii="楷体" w:hAnsi="楷体" w:eastAsia="楷体" w:cs="楷体"/>
          <w:sz w:val="20"/>
          <w:lang w:eastAsia="zh-CN"/>
        </w:rPr>
        <w:t>（</w:t>
      </w:r>
      <w:r>
        <w:rPr>
          <w:rFonts w:hint="eastAsia" w:ascii="楷体" w:hAnsi="楷体" w:eastAsia="楷体" w:cs="楷体"/>
          <w:sz w:val="20"/>
          <w:lang w:val="en-US" w:eastAsia="zh-CN"/>
        </w:rPr>
        <w:t>14</w:t>
      </w:r>
      <w:r>
        <w:rPr>
          <w:rFonts w:hint="eastAsia" w:ascii="楷体" w:hAnsi="楷体" w:eastAsia="楷体" w:cs="楷体"/>
          <w:sz w:val="20"/>
          <w:lang w:eastAsia="zh-CN"/>
        </w:rPr>
        <w:t>）</w:t>
      </w:r>
      <w:r>
        <w:rPr>
          <w:rFonts w:hint="eastAsia" w:ascii="楷体" w:hAnsi="楷体" w:eastAsia="楷体" w:cs="楷体"/>
          <w:sz w:val="20"/>
        </w:rPr>
        <w:t>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w:t>
      </w:r>
      <w:r>
        <w:rPr>
          <w:rFonts w:hint="eastAsia" w:ascii="楷体" w:hAnsi="楷体" w:eastAsia="楷体" w:cs="楷体"/>
          <w:sz w:val="20"/>
          <w:lang w:eastAsia="zh-CN"/>
        </w:rPr>
        <w:t>（</w:t>
      </w:r>
      <w:r>
        <w:rPr>
          <w:rFonts w:hint="eastAsia" w:ascii="楷体" w:hAnsi="楷体" w:eastAsia="楷体" w:cs="楷体"/>
          <w:sz w:val="20"/>
          <w:lang w:val="en-US" w:eastAsia="zh-CN"/>
        </w:rPr>
        <w:t>15</w:t>
      </w:r>
      <w:r>
        <w:rPr>
          <w:rFonts w:hint="eastAsia" w:ascii="楷体" w:hAnsi="楷体" w:eastAsia="楷体" w:cs="楷体"/>
          <w:sz w:val="20"/>
          <w:lang w:eastAsia="zh-CN"/>
        </w:rPr>
        <w:t>）</w:t>
      </w:r>
      <w:r>
        <w:rPr>
          <w:rFonts w:hint="eastAsia" w:ascii="楷体" w:hAnsi="楷体" w:eastAsia="楷体" w:cs="楷体"/>
          <w:sz w:val="20"/>
        </w:rPr>
        <w:t>收益凭证：融资人为浙商证券股份有限公司。融资人经营正常，是依法设立的持牌金融机构，主要股东为浙江上三高速公路有限公司、台州市金融投资集团有限公司，实际控制人为浙江省交通投资集团有限公司。</w:t>
      </w:r>
      <w:r>
        <w:rPr>
          <w:rFonts w:hint="eastAsia" w:ascii="楷体" w:hAnsi="楷体" w:eastAsia="楷体" w:cs="楷体"/>
          <w:sz w:val="20"/>
          <w:lang w:eastAsia="zh-CN"/>
        </w:rPr>
        <w:t>（</w:t>
      </w:r>
      <w:r>
        <w:rPr>
          <w:rFonts w:hint="eastAsia" w:ascii="楷体" w:hAnsi="楷体" w:eastAsia="楷体" w:cs="楷体"/>
          <w:sz w:val="20"/>
          <w:lang w:val="en-US" w:eastAsia="zh-CN"/>
        </w:rPr>
        <w:t>16</w:t>
      </w:r>
      <w:r>
        <w:rPr>
          <w:rFonts w:hint="eastAsia" w:ascii="楷体" w:hAnsi="楷体" w:eastAsia="楷体" w:cs="楷体"/>
          <w:sz w:val="20"/>
          <w:lang w:eastAsia="zh-CN"/>
        </w:rPr>
        <w:t>）</w:t>
      </w:r>
      <w:r>
        <w:rPr>
          <w:rFonts w:hint="eastAsia" w:ascii="楷体" w:hAnsi="楷体" w:eastAsia="楷体" w:cs="楷体"/>
          <w:sz w:val="20"/>
        </w:rPr>
        <w:t>收益凭证：融资人为国投证券股份有限公司。融资人经营正常，是依法设立的持牌金融机构，主要股东为国投资本股份有限公司、上海毅胜投资有限公司，实际控制人为国家开发投资集团有限公司。</w:t>
      </w:r>
      <w:r>
        <w:rPr>
          <w:rFonts w:hint="eastAsia" w:ascii="楷体" w:hAnsi="楷体" w:eastAsia="楷体" w:cs="楷体"/>
          <w:sz w:val="20"/>
          <w:lang w:eastAsia="zh-CN"/>
        </w:rPr>
        <w:t>（</w:t>
      </w:r>
      <w:r>
        <w:rPr>
          <w:rFonts w:hint="eastAsia" w:ascii="楷体" w:hAnsi="楷体" w:eastAsia="楷体" w:cs="楷体"/>
          <w:sz w:val="20"/>
          <w:lang w:val="en-US" w:eastAsia="zh-CN"/>
        </w:rPr>
        <w:t>17</w:t>
      </w:r>
      <w:r>
        <w:rPr>
          <w:rFonts w:hint="eastAsia" w:ascii="楷体" w:hAnsi="楷体" w:eastAsia="楷体" w:cs="楷体"/>
          <w:sz w:val="20"/>
          <w:lang w:eastAsia="zh-CN"/>
        </w:rPr>
        <w:t>）</w:t>
      </w:r>
      <w:r>
        <w:rPr>
          <w:rFonts w:hint="eastAsia" w:ascii="楷体" w:hAnsi="楷体" w:eastAsia="楷体" w:cs="楷体"/>
          <w:sz w:val="20"/>
        </w:rPr>
        <w:t>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w:t>
      </w:r>
      <w:r>
        <w:rPr>
          <w:rFonts w:hint="eastAsia" w:ascii="楷体" w:hAnsi="楷体" w:eastAsia="楷体" w:cs="楷体"/>
          <w:sz w:val="20"/>
          <w:lang w:eastAsia="zh-CN"/>
        </w:rPr>
        <w:t>（</w:t>
      </w:r>
      <w:r>
        <w:rPr>
          <w:rFonts w:hint="eastAsia" w:ascii="楷体" w:hAnsi="楷体" w:eastAsia="楷体" w:cs="楷体"/>
          <w:sz w:val="20"/>
          <w:lang w:val="en-US" w:eastAsia="zh-CN"/>
        </w:rPr>
        <w:t>18</w:t>
      </w:r>
      <w:r>
        <w:rPr>
          <w:rFonts w:hint="eastAsia" w:ascii="楷体" w:hAnsi="楷体" w:eastAsia="楷体" w:cs="楷体"/>
          <w:sz w:val="20"/>
          <w:lang w:eastAsia="zh-CN"/>
        </w:rPr>
        <w:t>）</w:t>
      </w:r>
      <w:r>
        <w:rPr>
          <w:rFonts w:hint="eastAsia" w:ascii="楷体" w:hAnsi="楷体" w:eastAsia="楷体" w:cs="楷体"/>
          <w:sz w:val="20"/>
        </w:rPr>
        <w:t>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w:t>
      </w:r>
      <w:r>
        <w:rPr>
          <w:rFonts w:hint="eastAsia" w:ascii="楷体" w:hAnsi="楷体" w:eastAsia="楷体" w:cs="楷体"/>
          <w:sz w:val="20"/>
          <w:lang w:eastAsia="zh-CN"/>
        </w:rPr>
        <w:t>（</w:t>
      </w:r>
      <w:r>
        <w:rPr>
          <w:rFonts w:hint="eastAsia" w:ascii="楷体" w:hAnsi="楷体" w:eastAsia="楷体" w:cs="楷体"/>
          <w:sz w:val="20"/>
          <w:lang w:val="en-US" w:eastAsia="zh-CN"/>
        </w:rPr>
        <w:t>19</w:t>
      </w:r>
      <w:r>
        <w:rPr>
          <w:rFonts w:hint="eastAsia" w:ascii="楷体" w:hAnsi="楷体" w:eastAsia="楷体" w:cs="楷体"/>
          <w:sz w:val="20"/>
          <w:lang w:eastAsia="zh-CN"/>
        </w:rPr>
        <w:t>）</w:t>
      </w:r>
      <w:r>
        <w:rPr>
          <w:rFonts w:hint="eastAsia" w:ascii="楷体" w:hAnsi="楷体" w:eastAsia="楷体" w:cs="楷体"/>
          <w:sz w:val="20"/>
        </w:rPr>
        <w:t>收益凭证：融资人为兴业证券股份有限公司。融资人经营正常，是依法设立的持牌金融机构，主要股东为福建省财政厅、福建省投资开发集团有限责任公司、上海申新（集团）有限公司，实际控制人为福建省财政厅。</w:t>
      </w:r>
      <w:r>
        <w:rPr>
          <w:rFonts w:hint="eastAsia" w:ascii="楷体" w:hAnsi="楷体" w:eastAsia="楷体" w:cs="楷体"/>
          <w:sz w:val="20"/>
          <w:lang w:eastAsia="zh-CN"/>
        </w:rPr>
        <w:t>（</w:t>
      </w:r>
      <w:r>
        <w:rPr>
          <w:rFonts w:hint="eastAsia" w:ascii="楷体" w:hAnsi="楷体" w:eastAsia="楷体" w:cs="楷体"/>
          <w:sz w:val="20"/>
          <w:lang w:val="en-US" w:eastAsia="zh-CN"/>
        </w:rPr>
        <w:t>20</w:t>
      </w:r>
      <w:r>
        <w:rPr>
          <w:rFonts w:hint="eastAsia" w:ascii="楷体" w:hAnsi="楷体" w:eastAsia="楷体" w:cs="楷体"/>
          <w:sz w:val="20"/>
          <w:lang w:eastAsia="zh-CN"/>
        </w:rPr>
        <w:t>）</w:t>
      </w:r>
      <w:r>
        <w:rPr>
          <w:rFonts w:hint="eastAsia" w:ascii="楷体" w:hAnsi="楷体" w:eastAsia="楷体" w:cs="楷体"/>
          <w:sz w:val="20"/>
        </w:rPr>
        <w:t>收益凭证：融资人为财通证券股份有限公司。融资人经营正常，是依法设立的持牌金融机构，主要股东为浙江省创新投资集团有限公司、浙江省财开集团有限公司、台州市金融投资集团有限公司，实际控制人为浙江省财政厅。</w:t>
      </w:r>
      <w:r>
        <w:rPr>
          <w:rFonts w:hint="eastAsia" w:ascii="楷体" w:hAnsi="楷体" w:eastAsia="楷体" w:cs="楷体"/>
          <w:sz w:val="20"/>
          <w:lang w:eastAsia="zh-CN"/>
        </w:rPr>
        <w:t>（</w:t>
      </w:r>
      <w:r>
        <w:rPr>
          <w:rFonts w:hint="eastAsia" w:ascii="楷体" w:hAnsi="楷体" w:eastAsia="楷体" w:cs="楷体"/>
          <w:sz w:val="20"/>
          <w:lang w:val="en-US" w:eastAsia="zh-CN"/>
        </w:rPr>
        <w:t>21</w:t>
      </w:r>
      <w:r>
        <w:rPr>
          <w:rFonts w:hint="eastAsia" w:ascii="楷体" w:hAnsi="楷体" w:eastAsia="楷体" w:cs="楷体"/>
          <w:sz w:val="20"/>
          <w:lang w:eastAsia="zh-CN"/>
        </w:rPr>
        <w:t>）</w:t>
      </w:r>
      <w:r>
        <w:rPr>
          <w:rFonts w:hint="eastAsia" w:ascii="楷体" w:hAnsi="楷体" w:eastAsia="楷体" w:cs="楷体"/>
          <w:sz w:val="20"/>
        </w:rPr>
        <w:t>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w:t>
      </w:r>
      <w:r>
        <w:rPr>
          <w:rFonts w:hint="eastAsia" w:ascii="楷体" w:hAnsi="楷体" w:eastAsia="楷体" w:cs="楷体"/>
          <w:sz w:val="20"/>
          <w:lang w:eastAsia="zh-CN"/>
        </w:rPr>
        <w:t>（</w:t>
      </w:r>
      <w:r>
        <w:rPr>
          <w:rFonts w:hint="eastAsia" w:ascii="楷体" w:hAnsi="楷体" w:eastAsia="楷体" w:cs="楷体"/>
          <w:sz w:val="20"/>
          <w:lang w:val="en-US" w:eastAsia="zh-CN"/>
        </w:rPr>
        <w:t>22</w:t>
      </w:r>
      <w:r>
        <w:rPr>
          <w:rFonts w:hint="eastAsia" w:ascii="楷体" w:hAnsi="楷体" w:eastAsia="楷体" w:cs="楷体"/>
          <w:sz w:val="20"/>
          <w:lang w:eastAsia="zh-CN"/>
        </w:rPr>
        <w:t>）</w:t>
      </w:r>
      <w:r>
        <w:rPr>
          <w:rFonts w:hint="eastAsia" w:ascii="楷体" w:hAnsi="楷体" w:eastAsia="楷体" w:cs="楷体"/>
          <w:sz w:val="20"/>
        </w:rPr>
        <w:t>收益凭证：融资人为东海证券股份有限公司。融资人经营正常，是依法设立的持牌金融机构，主要股东为常州投资集团有限公司、山东金控资本管理有限公司，实际控制人为常州投资集团有限公司。</w:t>
      </w:r>
      <w:r>
        <w:rPr>
          <w:rFonts w:hint="eastAsia" w:ascii="楷体" w:hAnsi="楷体" w:eastAsia="楷体" w:cs="楷体"/>
          <w:sz w:val="20"/>
          <w:lang w:eastAsia="zh-CN"/>
        </w:rPr>
        <w:t>（</w:t>
      </w:r>
      <w:r>
        <w:rPr>
          <w:rFonts w:hint="eastAsia" w:ascii="楷体" w:hAnsi="楷体" w:eastAsia="楷体" w:cs="楷体"/>
          <w:sz w:val="20"/>
          <w:lang w:val="en-US" w:eastAsia="zh-CN"/>
        </w:rPr>
        <w:t>23</w:t>
      </w:r>
      <w:r>
        <w:rPr>
          <w:rFonts w:hint="eastAsia" w:ascii="楷体" w:hAnsi="楷体" w:eastAsia="楷体" w:cs="楷体"/>
          <w:sz w:val="20"/>
          <w:lang w:eastAsia="zh-CN"/>
        </w:rPr>
        <w:t>）</w:t>
      </w:r>
      <w:r>
        <w:rPr>
          <w:rFonts w:hint="eastAsia" w:ascii="楷体" w:hAnsi="楷体" w:eastAsia="楷体" w:cs="楷体"/>
          <w:sz w:val="20"/>
        </w:rPr>
        <w:t>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w:t>
      </w:r>
      <w:r>
        <w:rPr>
          <w:rFonts w:hint="eastAsia" w:ascii="楷体" w:hAnsi="楷体" w:eastAsia="楷体" w:cs="楷体"/>
          <w:sz w:val="20"/>
          <w:lang w:eastAsia="zh-CN"/>
        </w:rPr>
        <w:t>（</w:t>
      </w:r>
      <w:r>
        <w:rPr>
          <w:rFonts w:hint="eastAsia" w:ascii="楷体" w:hAnsi="楷体" w:eastAsia="楷体" w:cs="楷体"/>
          <w:sz w:val="20"/>
          <w:lang w:val="en-US" w:eastAsia="zh-CN"/>
        </w:rPr>
        <w:t>24</w:t>
      </w:r>
      <w:r>
        <w:rPr>
          <w:rFonts w:hint="eastAsia" w:ascii="楷体" w:hAnsi="楷体" w:eastAsia="楷体" w:cs="楷体"/>
          <w:sz w:val="20"/>
          <w:lang w:eastAsia="zh-CN"/>
        </w:rPr>
        <w:t>）</w:t>
      </w:r>
      <w:r>
        <w:rPr>
          <w:rFonts w:hint="eastAsia" w:ascii="楷体" w:hAnsi="楷体" w:eastAsia="楷体" w:cs="楷体"/>
          <w:sz w:val="20"/>
        </w:rPr>
        <w:t>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w:t>
      </w:r>
      <w:r>
        <w:rPr>
          <w:rFonts w:hint="eastAsia" w:ascii="楷体" w:hAnsi="楷体" w:eastAsia="楷体" w:cs="楷体"/>
          <w:sz w:val="20"/>
          <w:lang w:eastAsia="zh-CN"/>
        </w:rPr>
        <w:t>（</w:t>
      </w:r>
      <w:r>
        <w:rPr>
          <w:rFonts w:hint="eastAsia" w:ascii="楷体" w:hAnsi="楷体" w:eastAsia="楷体" w:cs="楷体"/>
          <w:sz w:val="20"/>
          <w:lang w:val="en-US" w:eastAsia="zh-CN"/>
        </w:rPr>
        <w:t>25</w:t>
      </w:r>
      <w:r>
        <w:rPr>
          <w:rFonts w:hint="eastAsia" w:ascii="楷体" w:hAnsi="楷体" w:eastAsia="楷体" w:cs="楷体"/>
          <w:sz w:val="20"/>
          <w:lang w:eastAsia="zh-CN"/>
        </w:rPr>
        <w:t>）</w:t>
      </w:r>
      <w:r>
        <w:rPr>
          <w:rFonts w:hint="eastAsia" w:ascii="楷体" w:hAnsi="楷体" w:eastAsia="楷体" w:cs="楷体"/>
          <w:sz w:val="20"/>
        </w:rPr>
        <w:t>收益凭证：融资人为长城证券股份有限公司。融资人经营正常，是依法设立的持牌金融机构，主要股东为华能资本服务有限公司、深圳新江南投资有限公司、深圳能源集团股份有限公司，实际控制人为中央汇金投资有限责任公司。</w:t>
      </w:r>
      <w:r>
        <w:rPr>
          <w:rFonts w:hint="eastAsia" w:ascii="楷体" w:hAnsi="楷体" w:eastAsia="楷体" w:cs="楷体"/>
          <w:sz w:val="20"/>
          <w:lang w:eastAsia="zh-CN"/>
        </w:rPr>
        <w:t>（</w:t>
      </w:r>
      <w:r>
        <w:rPr>
          <w:rFonts w:hint="eastAsia" w:ascii="楷体" w:hAnsi="楷体" w:eastAsia="楷体" w:cs="楷体"/>
          <w:sz w:val="20"/>
          <w:lang w:val="en-US" w:eastAsia="zh-CN"/>
        </w:rPr>
        <w:t>26</w:t>
      </w:r>
      <w:r>
        <w:rPr>
          <w:rFonts w:hint="eastAsia" w:ascii="楷体" w:hAnsi="楷体" w:eastAsia="楷体" w:cs="楷体"/>
          <w:sz w:val="20"/>
          <w:lang w:eastAsia="zh-CN"/>
        </w:rPr>
        <w:t>）</w:t>
      </w:r>
      <w:r>
        <w:rPr>
          <w:rFonts w:hint="eastAsia" w:ascii="楷体" w:hAnsi="楷体" w:eastAsia="楷体" w:cs="楷体"/>
          <w:sz w:val="20"/>
        </w:rPr>
        <w:t>收益凭证：融资人为广发证券股份有限公司。融资人经营正常，是依法设立的持牌金融机构，主要股东为香港中央结算（代理人）有限公司、吉林敖东药业集团股份有限公司、辽宁成大股份有限公司，无实际控制人。</w:t>
      </w:r>
      <w:r>
        <w:rPr>
          <w:rFonts w:hint="eastAsia" w:ascii="楷体" w:hAnsi="楷体" w:eastAsia="楷体" w:cs="楷体"/>
          <w:sz w:val="20"/>
          <w:lang w:eastAsia="zh-CN"/>
        </w:rPr>
        <w:t>（</w:t>
      </w:r>
      <w:r>
        <w:rPr>
          <w:rFonts w:hint="eastAsia" w:ascii="楷体" w:hAnsi="楷体" w:eastAsia="楷体" w:cs="楷体"/>
          <w:sz w:val="20"/>
          <w:lang w:val="en-US" w:eastAsia="zh-CN"/>
        </w:rPr>
        <w:t>27</w:t>
      </w:r>
      <w:r>
        <w:rPr>
          <w:rFonts w:hint="eastAsia" w:ascii="楷体" w:hAnsi="楷体" w:eastAsia="楷体" w:cs="楷体"/>
          <w:sz w:val="20"/>
          <w:lang w:eastAsia="zh-CN"/>
        </w:rPr>
        <w:t>）</w:t>
      </w:r>
      <w:r>
        <w:rPr>
          <w:rFonts w:hint="eastAsia" w:ascii="楷体" w:hAnsi="楷体" w:eastAsia="楷体" w:cs="楷体"/>
          <w:sz w:val="20"/>
        </w:rPr>
        <w:t>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w:t>
      </w:r>
      <w:r>
        <w:rPr>
          <w:rFonts w:hint="eastAsia" w:ascii="楷体" w:hAnsi="楷体" w:eastAsia="楷体" w:cs="楷体"/>
          <w:sz w:val="20"/>
          <w:lang w:eastAsia="zh-CN"/>
        </w:rPr>
        <w:t>（</w:t>
      </w:r>
      <w:r>
        <w:rPr>
          <w:rFonts w:hint="eastAsia" w:ascii="楷体" w:hAnsi="楷体" w:eastAsia="楷体" w:cs="楷体"/>
          <w:sz w:val="20"/>
          <w:lang w:val="en-US" w:eastAsia="zh-CN"/>
        </w:rPr>
        <w:t>28</w:t>
      </w:r>
      <w:r>
        <w:rPr>
          <w:rFonts w:hint="eastAsia" w:ascii="楷体" w:hAnsi="楷体" w:eastAsia="楷体" w:cs="楷体"/>
          <w:sz w:val="20"/>
          <w:lang w:eastAsia="zh-CN"/>
        </w:rPr>
        <w:t>）</w:t>
      </w:r>
      <w:r>
        <w:rPr>
          <w:rFonts w:hint="eastAsia" w:ascii="楷体" w:hAnsi="楷体" w:eastAsia="楷体" w:cs="楷体"/>
          <w:sz w:val="20"/>
        </w:rPr>
        <w:t>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r>
        <w:rPr>
          <w:rFonts w:hint="eastAsia" w:ascii="楷体" w:hAnsi="楷体" w:eastAsia="楷体" w:cs="楷体"/>
          <w:sz w:val="20"/>
          <w:lang w:eastAsia="zh-CN"/>
        </w:rPr>
        <w:t>（</w:t>
      </w:r>
      <w:r>
        <w:rPr>
          <w:rFonts w:hint="eastAsia" w:ascii="楷体" w:hAnsi="楷体" w:eastAsia="楷体" w:cs="楷体"/>
          <w:sz w:val="20"/>
          <w:lang w:val="en-US" w:eastAsia="zh-CN"/>
        </w:rPr>
        <w:t>29</w:t>
      </w:r>
      <w:r>
        <w:rPr>
          <w:rFonts w:hint="eastAsia" w:ascii="楷体" w:hAnsi="楷体" w:eastAsia="楷体" w:cs="楷体"/>
          <w:sz w:val="20"/>
          <w:lang w:eastAsia="zh-CN"/>
        </w:rPr>
        <w:t>）收益凭证：融资人为中国中金财富证券有限公司。融资人经营正常，是依法设立的持牌金融机构，主要股东为中国国际金融股份有限公司，实际控制人为中央汇金投资有限责任公司。（</w:t>
      </w:r>
      <w:r>
        <w:rPr>
          <w:rFonts w:hint="eastAsia" w:ascii="楷体" w:hAnsi="楷体" w:eastAsia="楷体" w:cs="楷体"/>
          <w:sz w:val="20"/>
          <w:lang w:val="en-US" w:eastAsia="zh-CN"/>
        </w:rPr>
        <w:t>30</w:t>
      </w:r>
      <w:r>
        <w:rPr>
          <w:rFonts w:hint="eastAsia" w:ascii="楷体" w:hAnsi="楷体" w:eastAsia="楷体" w:cs="楷体"/>
          <w:sz w:val="20"/>
          <w:lang w:eastAsia="zh-CN"/>
        </w:rPr>
        <w:t>）收益凭证：融资人为山西证券股份有限公司。融资人经营正常，是依法设立的持牌金融机构，主要股东为山西金融投资控股集团有限公司、太原钢铁（集团）有限公司、山西国际电力集团有限公司，实际控制人为山西省财政厅。</w:t>
      </w:r>
    </w:p>
    <w:p>
      <w:pPr>
        <w:ind w:firstLine="400" w:firstLineChars="200"/>
        <w:rPr>
          <w:rFonts w:hint="default" w:ascii="楷体" w:hAnsi="楷体" w:eastAsia="楷体" w:cs="楷体"/>
          <w:color w:val="auto"/>
          <w:sz w:val="21"/>
          <w:szCs w:val="21"/>
          <w:highlight w:val="none"/>
          <w:lang w:val="en-US" w:eastAsia="zh-CN"/>
        </w:rPr>
      </w:pPr>
      <w:r>
        <w:rPr>
          <w:rFonts w:hint="eastAsia" w:ascii="楷体" w:hAnsi="楷体" w:eastAsia="楷体" w:cs="楷体"/>
          <w:sz w:val="20"/>
          <w:lang w:val="en-US" w:eastAsia="zh-CN"/>
        </w:rPr>
        <w:t>上述</w:t>
      </w:r>
      <w:r>
        <w:rPr>
          <w:rFonts w:ascii="楷体" w:hAnsi="楷体" w:eastAsia="楷体" w:cs="楷体"/>
          <w:sz w:val="20"/>
        </w:rPr>
        <w:t>资产到期日不超过理财产品到期日，循环期不还本、摊还期过手摊还本息。</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hint="eastAsia" w:ascii="楷体" w:hAnsi="楷体" w:eastAsia="楷体" w:cs="楷体"/>
          <w:sz w:val="21"/>
          <w:szCs w:val="21"/>
        </w:rPr>
      </w:pP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⑤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⑥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⑦南方资本管理有限公司：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1.本理财产品投资于单只证券或单只公募证券投资基金的市值不超过本产品净资产的10%。</w:t>
      </w:r>
    </w:p>
    <w:p>
      <w:pPr>
        <w:keepNext w:val="0"/>
        <w:keepLines w:val="0"/>
        <w:pageBreakBefore w:val="0"/>
        <w:widowControl w:val="0"/>
        <w:kinsoku/>
        <w:wordWrap/>
        <w:overflowPunct/>
        <w:topLinePunct w:val="0"/>
        <w:autoSpaceDE/>
        <w:autoSpaceDN/>
        <w:bidi w:val="0"/>
        <w:adjustRightInd/>
        <w:snapToGrid/>
        <w:ind w:firstLine="400" w:firstLineChars="200"/>
        <w:textAlignment w:val="auto"/>
        <w:rPr>
          <w:rFonts w:hint="eastAsia" w:ascii="楷体" w:hAnsi="楷体" w:eastAsia="楷体" w:cs="楷体"/>
          <w:color w:val="auto"/>
          <w:sz w:val="21"/>
          <w:szCs w:val="21"/>
          <w:lang w:val="en-US" w:eastAsia="zh-CN"/>
        </w:rPr>
      </w:pPr>
      <w:r>
        <w:rPr>
          <w:rFonts w:ascii="楷体" w:hAnsi="楷体" w:eastAsia="楷体" w:cs="楷体"/>
          <w:sz w:val="20"/>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kinsoku/>
        <w:wordWrap/>
        <w:overflowPunct/>
        <w:topLinePunct w:val="0"/>
        <w:autoSpaceDE/>
        <w:autoSpaceDN/>
        <w:bidi w:val="0"/>
        <w:adjustRightInd/>
        <w:snapToGrid/>
        <w:ind w:firstLine="400" w:firstLineChars="200"/>
        <w:textAlignment w:val="auto"/>
        <w:rPr>
          <w:rFonts w:hint="eastAsia" w:ascii="楷体" w:hAnsi="楷体" w:eastAsia="楷体" w:cs="楷体"/>
          <w:color w:val="auto"/>
          <w:sz w:val="21"/>
          <w:szCs w:val="21"/>
          <w:lang w:val="en-US" w:eastAsia="zh-CN"/>
        </w:rPr>
      </w:pPr>
      <w:r>
        <w:rPr>
          <w:rFonts w:ascii="楷体" w:hAnsi="楷体" w:eastAsia="楷体" w:cs="楷体"/>
          <w:sz w:val="20"/>
        </w:rPr>
        <w:t>3.管理人全部产品持有单一上市公司发行的股票，不得超过该上市公司可流通股票的30%。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00" w:firstLineChars="200"/>
        <w:textAlignment w:val="auto"/>
        <w:rPr>
          <w:rFonts w:hint="eastAsia" w:ascii="楷体" w:hAnsi="楷体" w:eastAsia="楷体" w:cs="楷体"/>
          <w:color w:val="auto"/>
          <w:sz w:val="21"/>
          <w:szCs w:val="21"/>
          <w:lang w:val="en-US" w:eastAsia="zh-CN"/>
        </w:rPr>
      </w:pPr>
      <w:r>
        <w:rPr>
          <w:rFonts w:ascii="楷体" w:hAnsi="楷体" w:eastAsia="楷体" w:cs="楷体"/>
          <w:sz w:val="20"/>
        </w:rPr>
        <w:t>针对上述1、2、3项，非因管理人主观因素致使不符合前述比例限制的，管理人将在流动性受限资产可出售、可转让或者恢复交易的10个交易日内调整至符合相关要求。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楷体" w:hAnsi="楷体" w:eastAsia="楷体" w:cs="楷体"/>
          <w:color w:val="auto"/>
          <w:sz w:val="21"/>
          <w:szCs w:val="21"/>
          <w:lang w:val="en-US" w:eastAsia="zh-CN"/>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w:t>
      </w:r>
      <w:r>
        <w:rPr>
          <w:rFonts w:hint="eastAsia" w:ascii="楷体" w:hAnsi="楷体" w:eastAsia="楷体" w:cs="楷体"/>
          <w:color w:val="auto"/>
          <w:sz w:val="21"/>
          <w:szCs w:val="21"/>
          <w:highlight w:val="none"/>
          <w:lang w:val="en-US" w:eastAsia="zh-CN"/>
        </w:rPr>
        <w:t>200%。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cs="楷体"/>
          <w:color w:val="auto"/>
          <w:sz w:val="21"/>
          <w:szCs w:val="21"/>
          <w:highlight w:val="none"/>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7"/>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7"/>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highlight w:val="none"/>
          <w:lang w:val="en-US" w:eastAsia="zh-CN"/>
        </w:rPr>
        <w:t>在</w:t>
      </w:r>
      <w:r>
        <w:rPr>
          <w:rFonts w:hint="eastAsia" w:ascii="楷体" w:hAnsi="楷体" w:eastAsia="楷体" w:cs="楷体"/>
          <w:b w:val="0"/>
          <w:bCs w:val="0"/>
          <w:color w:val="auto"/>
          <w:sz w:val="21"/>
          <w:szCs w:val="21"/>
          <w:highlight w:val="none"/>
        </w:rPr>
        <w:t>不可抗力、法律法规规定或监管部门认定的其他情形</w:t>
      </w:r>
      <w:r>
        <w:rPr>
          <w:rFonts w:hint="eastAsia" w:ascii="楷体" w:hAnsi="楷体" w:eastAsia="楷体" w:cs="楷体"/>
          <w:b w:val="0"/>
          <w:bCs w:val="0"/>
          <w:color w:val="auto"/>
          <w:sz w:val="21"/>
          <w:szCs w:val="21"/>
          <w:highlight w:val="none"/>
          <w:lang w:val="en-US" w:eastAsia="zh-CN"/>
        </w:rPr>
        <w:t>下</w:t>
      </w:r>
      <w:r>
        <w:rPr>
          <w:rFonts w:hint="eastAsia" w:ascii="楷体" w:hAnsi="楷体" w:eastAsia="楷体" w:cs="楷体"/>
          <w:b w:val="0"/>
          <w:bCs w:val="0"/>
          <w:color w:val="auto"/>
          <w:sz w:val="21"/>
          <w:szCs w:val="21"/>
          <w:highlight w:val="none"/>
        </w:rPr>
        <w:t>，产品管理人有权延长本理财产品的终止日。产品管理人决定延期兑付的，将至少提前2个工作日（含）按说明书约定的信息披露方式予以披露。</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以下示例均为假设情况，不代表本产品实际投资业绩。</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1.情景一</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-10,000.00=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2.情景二</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-10,000.00=-2</w:t>
      </w:r>
      <w:r>
        <w:rPr>
          <w:rFonts w:hint="eastAsia" w:ascii="楷体" w:hAnsi="楷体" w:eastAsia="楷体" w:cs="楷体"/>
          <w:color w:val="auto"/>
          <w:sz w:val="21"/>
          <w:szCs w:val="21"/>
          <w:lang w:val="en-US" w:eastAsia="zh-CN"/>
        </w:rPr>
        <w:t>4</w:t>
      </w:r>
      <w:r>
        <w:rPr>
          <w:rFonts w:hint="eastAsia" w:ascii="楷体" w:hAnsi="楷体" w:eastAsia="楷体" w:cs="楷体"/>
          <w:color w:val="auto"/>
          <w:sz w:val="21"/>
          <w:szCs w:val="21"/>
        </w:rPr>
        <w:t>.0</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（元）</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9"/>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9"/>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9"/>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9"/>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9"/>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9"/>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9"/>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1"/>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1"/>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2"/>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3"/>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3"/>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2"/>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4"/>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5"/>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5"/>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5"/>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rPr>
          <w:rFonts w:hint="eastAsia"/>
        </w:rPr>
      </w:pP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3"/>
  </w:num>
  <w:num w:numId="7">
    <w:abstractNumId w:val="9"/>
  </w:num>
  <w:num w:numId="8">
    <w:abstractNumId w:val="11"/>
  </w:num>
  <w:num w:numId="9">
    <w:abstractNumId w:val="14"/>
  </w:num>
  <w:num w:numId="10">
    <w:abstractNumId w:val="6"/>
  </w:num>
  <w:num w:numId="11">
    <w:abstractNumId w:val="5"/>
  </w:num>
  <w:num w:numId="12">
    <w:abstractNumId w:val="10"/>
  </w:num>
  <w:num w:numId="13">
    <w:abstractNumId w:val="4"/>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04D09"/>
    <w:rsid w:val="0153453C"/>
    <w:rsid w:val="0153462C"/>
    <w:rsid w:val="01572ED7"/>
    <w:rsid w:val="015A3032"/>
    <w:rsid w:val="0168358B"/>
    <w:rsid w:val="01695881"/>
    <w:rsid w:val="016D09F4"/>
    <w:rsid w:val="0177284C"/>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C5242"/>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47460C"/>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A6F66"/>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5F2E84"/>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6205"/>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0393"/>
    <w:rsid w:val="08992DEC"/>
    <w:rsid w:val="089B0120"/>
    <w:rsid w:val="08A17D4C"/>
    <w:rsid w:val="08AB297C"/>
    <w:rsid w:val="08B70287"/>
    <w:rsid w:val="08C15D2C"/>
    <w:rsid w:val="08CA0463"/>
    <w:rsid w:val="08CC0BDF"/>
    <w:rsid w:val="08D16F11"/>
    <w:rsid w:val="08DB0E3A"/>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331CA"/>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7739F"/>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013F9"/>
    <w:rsid w:val="10E55ACF"/>
    <w:rsid w:val="10EC6ED1"/>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904AC"/>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35113"/>
    <w:rsid w:val="159B190B"/>
    <w:rsid w:val="15A15127"/>
    <w:rsid w:val="15B650F5"/>
    <w:rsid w:val="15BC1645"/>
    <w:rsid w:val="15BE493E"/>
    <w:rsid w:val="15C704E4"/>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31148"/>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7A19B1"/>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36AE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50E2D"/>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64BB9"/>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BF44C4"/>
    <w:rsid w:val="1FD11518"/>
    <w:rsid w:val="1FD2380D"/>
    <w:rsid w:val="1FD61F23"/>
    <w:rsid w:val="1FE16E27"/>
    <w:rsid w:val="1FE94B02"/>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A84334"/>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14D7D"/>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57624"/>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AC5CEC"/>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72C5F"/>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0969F3"/>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47FAB"/>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012D7"/>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3C4843"/>
    <w:rsid w:val="2D505425"/>
    <w:rsid w:val="2D5A5065"/>
    <w:rsid w:val="2D6A1AEC"/>
    <w:rsid w:val="2D6F7BED"/>
    <w:rsid w:val="2D70535B"/>
    <w:rsid w:val="2D7251D8"/>
    <w:rsid w:val="2D755061"/>
    <w:rsid w:val="2D77483C"/>
    <w:rsid w:val="2D813B36"/>
    <w:rsid w:val="2D842F1A"/>
    <w:rsid w:val="2D89682F"/>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32C29"/>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7E46EE"/>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223E7"/>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7646B"/>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D21A4F"/>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517E"/>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DD32D3"/>
    <w:rsid w:val="3AE37BDD"/>
    <w:rsid w:val="3AED3D62"/>
    <w:rsid w:val="3AEE5B0E"/>
    <w:rsid w:val="3AF2531B"/>
    <w:rsid w:val="3AF93B35"/>
    <w:rsid w:val="3AF94658"/>
    <w:rsid w:val="3AFD08D2"/>
    <w:rsid w:val="3B1E322E"/>
    <w:rsid w:val="3B2136B9"/>
    <w:rsid w:val="3B230240"/>
    <w:rsid w:val="3B311019"/>
    <w:rsid w:val="3B3A1C03"/>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72EE0"/>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923CA"/>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9F6289"/>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894808"/>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084A14"/>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1F11FE"/>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C1746"/>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8D428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12634"/>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7E57"/>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6D6BDB"/>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B76A1"/>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5F3E59"/>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3F412F"/>
    <w:rsid w:val="584C467A"/>
    <w:rsid w:val="58564010"/>
    <w:rsid w:val="585E4CEA"/>
    <w:rsid w:val="586173E2"/>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9852F4"/>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CC1279"/>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AF33AD"/>
    <w:rsid w:val="60BF2F8F"/>
    <w:rsid w:val="60C00554"/>
    <w:rsid w:val="60C517C4"/>
    <w:rsid w:val="60C773AA"/>
    <w:rsid w:val="60D14602"/>
    <w:rsid w:val="60D567E5"/>
    <w:rsid w:val="60DF12F6"/>
    <w:rsid w:val="60E42077"/>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43A2E"/>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0979D9"/>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3E58E6"/>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C5BB1"/>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4C6CB0"/>
    <w:rsid w:val="6D506716"/>
    <w:rsid w:val="6D5645C6"/>
    <w:rsid w:val="6D57181B"/>
    <w:rsid w:val="6D5F137A"/>
    <w:rsid w:val="6D684EAB"/>
    <w:rsid w:val="6D6C0536"/>
    <w:rsid w:val="6D6C44AF"/>
    <w:rsid w:val="6D6D3FDF"/>
    <w:rsid w:val="6D7273BF"/>
    <w:rsid w:val="6D777BD8"/>
    <w:rsid w:val="6D7D449A"/>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DFF7EF9"/>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6F0EF3"/>
    <w:rsid w:val="6E7004E5"/>
    <w:rsid w:val="6E7A2651"/>
    <w:rsid w:val="6E7B361D"/>
    <w:rsid w:val="6E8C65B7"/>
    <w:rsid w:val="6E9F1975"/>
    <w:rsid w:val="6EAE3DA2"/>
    <w:rsid w:val="6EB8360B"/>
    <w:rsid w:val="6EC4312C"/>
    <w:rsid w:val="6EDE21EB"/>
    <w:rsid w:val="6EE55B90"/>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7F510C"/>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1532"/>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D960C1"/>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691CD2"/>
    <w:rsid w:val="757976E9"/>
    <w:rsid w:val="758837C0"/>
    <w:rsid w:val="75896B45"/>
    <w:rsid w:val="758C341D"/>
    <w:rsid w:val="758D62FC"/>
    <w:rsid w:val="759477AE"/>
    <w:rsid w:val="759810DC"/>
    <w:rsid w:val="759C1736"/>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57CF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13918</Words>
  <Characters>14773</Characters>
  <Lines>243</Lines>
  <Paragraphs>68</Paragraphs>
  <TotalTime>0</TotalTime>
  <ScaleCrop>false</ScaleCrop>
  <LinksUpToDate>false</LinksUpToDate>
  <CharactersWithSpaces>14779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2026-05-21T06:55:07Z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