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w:t>
      </w:r>
      <w:r>
        <w:rPr>
          <w:rFonts w:hint="eastAsia" w:ascii="楷体" w:hAnsi="楷体" w:eastAsia="楷体" w:cs="楷体"/>
          <w:b/>
          <w:color w:val="auto"/>
          <w:sz w:val="28"/>
          <w:szCs w:val="28"/>
          <w:lang w:val="en-US" w:eastAsia="zh-CN"/>
        </w:rPr>
        <w:t>苏银理财恒源封闭债权300</w:t>
      </w:r>
      <w:bookmarkStart w:id="0" w:name="_GoBack"/>
      <w:bookmarkEnd w:id="0"/>
      <w:r>
        <w:rPr>
          <w:rFonts w:hint="eastAsia" w:ascii="楷体" w:hAnsi="楷体" w:eastAsia="楷体" w:cs="楷体"/>
          <w:b/>
          <w:color w:val="auto"/>
          <w:sz w:val="28"/>
          <w:szCs w:val="28"/>
          <w:lang w:val="en-US" w:eastAsia="zh-CN"/>
        </w:rPr>
        <w:t>期优选2年</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lang w:val="en-US" w:eastAsia="zh-CN"/>
        </w:rPr>
        <w:t>1.非标准化债权的特殊风险：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①融资方还款履约能力可能的变化导致的信用风险。②债务人提前还款或逾期还款的风险。③保证人未履行保证义务的风险等。</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2.股票投资的特殊风险：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3.黄金、黄金主题股票、黄金ETF基金等黄金类资产的特殊风险：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影响黄金类资产的价格的主要因素包括但不限于：①黄金的供给与需求；②投资者的黄金交易行为；③外汇汇率；④全球和地区性政治经济环境的变化等。</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4.结构性存款的特殊风险：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市场风险。结构性存款挂钩的境内外债券、股票、利率、汇率、指数等标的受相关国家或地区的金融市场和经济趋势的影响，收益存在不确定性。②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③利率风险。结构性存款如挂钩特定债券或债券指数，可能因相关利率变动而导致产品收益发生变化。④汇率风险。结构性存款如挂钩境外证券资产，可能面临以非人民币计价的各类资产受汇率波动影响而引起人民币估值下的理财产品资产净值波动的风险。⑤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5.债券投资的特殊风险：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6.资产管理计划或基金产品的特殊风险：</w:t>
      </w:r>
    </w:p>
    <w:p>
      <w:pPr>
        <w:numPr>
          <w:ilvl w:val="0"/>
          <w:numId w:val="0"/>
        </w:numPr>
        <w:tabs>
          <w:tab w:val="left" w:pos="742"/>
        </w:tabs>
        <w:ind w:left="0" w:leftChars="0" w:firstLine="400" w:firstLineChars="200"/>
        <w:rPr>
          <w:rFonts w:hint="eastAsia" w:ascii="楷体" w:hAnsi="楷体" w:eastAsia="楷体" w:cs="楷体"/>
          <w:color w:val="auto"/>
          <w:sz w:val="21"/>
          <w:szCs w:val="21"/>
        </w:rPr>
      </w:pPr>
      <w:r>
        <w:rPr>
          <w:rFonts w:ascii="楷体" w:hAnsi="楷体" w:eastAsia="楷体" w:cs="楷体"/>
          <w:sz w:val="20"/>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3"/>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3"/>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3"/>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lang w:val="en-US" w:eastAsia="zh-CN"/>
        </w:rPr>
        <w:t>固定收益类、公募、封闭式，计划存续期限为2年。</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lang w:val="en-US" w:eastAsia="zh-CN"/>
        </w:rPr>
        <w:t>★★二级</w:t>
      </w:r>
      <w:r>
        <w:rPr>
          <w:rFonts w:hint="eastAsia" w:ascii="楷体" w:hAnsi="楷体" w:eastAsia="楷体" w:cs="楷体"/>
          <w:b/>
          <w:color w:val="auto"/>
          <w:sz w:val="21"/>
          <w:szCs w:val="21"/>
          <w:highlight w:val="none"/>
          <w:u w:val="single"/>
        </w:rPr>
        <w:t>，适合</w:t>
      </w:r>
      <w:r>
        <w:rPr>
          <w:rFonts w:hint="eastAsia" w:ascii="楷体" w:hAnsi="楷体" w:eastAsia="楷体" w:cs="楷体"/>
          <w:b/>
          <w:color w:val="auto"/>
          <w:sz w:val="21"/>
          <w:szCs w:val="21"/>
          <w:highlight w:val="none"/>
          <w:u w:val="single"/>
          <w:lang w:val="en-US" w:eastAsia="zh-CN"/>
        </w:rPr>
        <w:t>中低风险型</w:t>
      </w:r>
      <w:r>
        <w:rPr>
          <w:rFonts w:hint="eastAsia" w:ascii="楷体" w:hAnsi="楷体" w:eastAsia="楷体" w:cs="楷体"/>
          <w:b/>
          <w:color w:val="auto"/>
          <w:sz w:val="21"/>
          <w:szCs w:val="21"/>
          <w:highlight w:val="none"/>
          <w:u w:val="single"/>
        </w:rPr>
        <w:t>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普通投资者的风险承受能力等级不低于本产品风险评级。若普通投资者风险承受能力评估已超过一年，或影响风险承受能力的因素发生变化，请及时完成风险承受能力的重新评估，并对评估结果签字确认。</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rPr>
          <w:rFonts w:hint="eastAsia" w:ascii="楷体" w:hAnsi="楷体" w:eastAsia="楷体" w:cs="楷体"/>
          <w:b/>
          <w:color w:val="auto"/>
          <w:sz w:val="28"/>
          <w:szCs w:val="28"/>
        </w:rPr>
      </w:pPr>
      <w:r>
        <w:rPr>
          <w:rFonts w:hint="eastAsia" w:ascii="楷体" w:hAnsi="楷体" w:eastAsia="楷体" w:cs="楷体"/>
          <w:b/>
          <w:color w:val="auto"/>
          <w:sz w:val="28"/>
          <w:szCs w:val="28"/>
        </w:rPr>
        <w:br w:type="page"/>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w:t>
      </w:r>
      <w:r>
        <w:rPr>
          <w:rFonts w:hint="eastAsia" w:ascii="楷体" w:hAnsi="楷体" w:eastAsia="楷体"/>
          <w:color w:val="auto"/>
          <w:sz w:val="21"/>
          <w:szCs w:val="21"/>
          <w:lang w:val="en-US" w:eastAsia="zh-CN"/>
        </w:rPr>
        <w:t>/本机构</w:t>
      </w:r>
      <w:r>
        <w:rPr>
          <w:rFonts w:hint="eastAsia" w:ascii="楷体" w:hAnsi="楷体" w:eastAsia="楷体"/>
          <w:color w:val="auto"/>
          <w:sz w:val="21"/>
          <w:szCs w:val="21"/>
        </w:rPr>
        <w:t>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w:t>
      </w:r>
      <w:r>
        <w:rPr>
          <w:rFonts w:hint="eastAsia" w:ascii="楷体" w:hAnsi="楷体" w:eastAsia="楷体"/>
          <w:color w:val="auto"/>
          <w:sz w:val="21"/>
          <w:szCs w:val="21"/>
          <w:highlight w:val="none"/>
          <w:lang w:val="en-US" w:eastAsia="zh-CN"/>
        </w:rPr>
        <w:t>/本机构</w:t>
      </w:r>
      <w:r>
        <w:rPr>
          <w:rFonts w:hint="eastAsia" w:ascii="楷体" w:hAnsi="楷体" w:eastAsia="楷体"/>
          <w:color w:val="auto"/>
          <w:sz w:val="21"/>
          <w:szCs w:val="21"/>
          <w:highlight w:val="none"/>
        </w:rPr>
        <w:t>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rPr>
        <w:t>投资者亲笔抄录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w:t>
      </w:r>
      <w:r>
        <w:rPr>
          <w:rFonts w:hint="eastAsia" w:ascii="楷体" w:hAnsi="楷体" w:eastAsia="楷体"/>
          <w:b/>
          <w:color w:val="auto"/>
          <w:sz w:val="21"/>
          <w:szCs w:val="21"/>
          <w:u w:val="single"/>
          <w:lang w:val="en-US" w:eastAsia="zh-CN"/>
        </w:rPr>
        <w:t>/本机构</w:t>
      </w:r>
      <w:r>
        <w:rPr>
          <w:rFonts w:hint="eastAsia" w:ascii="楷体" w:hAnsi="楷体" w:eastAsia="楷体"/>
          <w:b/>
          <w:color w:val="auto"/>
          <w:sz w:val="21"/>
          <w:szCs w:val="21"/>
          <w:u w:val="single"/>
        </w:rPr>
        <w:t>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jc w:val="both"/>
        <w:rPr>
          <w:rFonts w:hint="eastAsia" w:ascii="楷体" w:hAnsi="楷体" w:eastAsia="楷体" w:cs="楷体"/>
          <w:color w:val="auto"/>
          <w:sz w:val="21"/>
          <w:szCs w:val="21"/>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D3000"/>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82917"/>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AF87BD4"/>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77CAA"/>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00378A"/>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67E4D"/>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0A31C0"/>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226C1"/>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83FCF"/>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43AB6"/>
    <w:rsid w:val="373A7AF8"/>
    <w:rsid w:val="373D491F"/>
    <w:rsid w:val="373D6328"/>
    <w:rsid w:val="373F58B6"/>
    <w:rsid w:val="37420AD4"/>
    <w:rsid w:val="374534D2"/>
    <w:rsid w:val="37457A24"/>
    <w:rsid w:val="3747673D"/>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AF11D4"/>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071A2"/>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83538"/>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0546B"/>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B49E6"/>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6B6B3A"/>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0E77F5"/>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005ED"/>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1E674C"/>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62604"/>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1FBD"/>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C74D1"/>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42E50"/>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482F3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05A42"/>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8"/>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9"/>
    <w:unhideWhenUsed/>
    <w:qFormat/>
    <w:uiPriority w:val="99"/>
    <w:rPr>
      <w:b/>
      <w:bCs/>
    </w:rPr>
  </w:style>
  <w:style w:type="paragraph" w:styleId="15">
    <w:name w:val="Body Text First Indent"/>
    <w:qFormat/>
    <w:uiPriority w:val="0"/>
    <w:pPr>
      <w:widowControl w:val="0"/>
      <w:spacing w:line="312" w:lineRule="auto"/>
      <w:ind w:left="860" w:firstLine="420"/>
      <w:jc w:val="both"/>
    </w:pPr>
    <w:rPr>
      <w:rFonts w:ascii="Times New Roman" w:hAnsi="Times New Roman" w:eastAsia="宋体" w:cs="Times New Roman"/>
      <w:kern w:val="2"/>
      <w:sz w:val="32"/>
      <w:szCs w:val="32"/>
      <w:lang w:val="en-US" w:eastAsia="zh-CN" w:bidi="ar-SA"/>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rFonts w:ascii="Times New Roman" w:hAnsi="Times New Roman" w:eastAsia="宋体" w:cs="Times New Roman"/>
      <w:b/>
      <w:bCs/>
    </w:rPr>
  </w:style>
  <w:style w:type="character" w:styleId="20">
    <w:name w:val="Hyperlink"/>
    <w:unhideWhenUsed/>
    <w:qFormat/>
    <w:uiPriority w:val="99"/>
    <w:rPr>
      <w:rFonts w:ascii="Times New Roman" w:hAnsi="Times New Roman" w:eastAsia="宋体" w:cs="Times New Roman"/>
      <w:color w:val="0000FF"/>
      <w:u w:val="single"/>
    </w:rPr>
  </w:style>
  <w:style w:type="character" w:styleId="21">
    <w:name w:val="annotation reference"/>
    <w:unhideWhenUsed/>
    <w:qFormat/>
    <w:uiPriority w:val="99"/>
    <w:rPr>
      <w:rFonts w:ascii="Times New Roman" w:hAnsi="Times New Roman" w:eastAsia="宋体" w:cs="Times New Roman"/>
      <w:sz w:val="21"/>
      <w:szCs w:val="21"/>
    </w:rPr>
  </w:style>
  <w:style w:type="character" w:styleId="22">
    <w:name w:val="footnote reference"/>
    <w:semiHidden/>
    <w:unhideWhenUsed/>
    <w:qFormat/>
    <w:uiPriority w:val="99"/>
    <w:rPr>
      <w:rFonts w:ascii="Times New Roman" w:hAnsi="Times New Roman" w:eastAsia="宋体" w:cs="Times New Roman"/>
      <w:vertAlign w:val="superscript"/>
    </w:rPr>
  </w:style>
  <w:style w:type="character" w:customStyle="1" w:styleId="23">
    <w:name w:val="批注文字 字符"/>
    <w:qFormat/>
    <w:uiPriority w:val="99"/>
    <w:rPr>
      <w:rFonts w:ascii="Times New Roman" w:hAnsi="Times New Roman" w:eastAsia="宋体" w:cs="Times New Roman"/>
    </w:rPr>
  </w:style>
  <w:style w:type="character" w:customStyle="1" w:styleId="24">
    <w:name w:val="标题 3 字符"/>
    <w:qFormat/>
    <w:uiPriority w:val="1"/>
    <w:rPr>
      <w:rFonts w:ascii="宋体" w:hAnsi="Times New Roman" w:eastAsia="宋体" w:cs="Times New Roman"/>
      <w:b/>
      <w:bCs/>
      <w:kern w:val="0"/>
      <w:sz w:val="20"/>
      <w:szCs w:val="21"/>
    </w:rPr>
  </w:style>
  <w:style w:type="character" w:customStyle="1" w:styleId="25">
    <w:name w:val="脚注文本 字符1"/>
    <w:semiHidden/>
    <w:qFormat/>
    <w:uiPriority w:val="99"/>
    <w:rPr>
      <w:rFonts w:ascii="Times New Roman" w:hAnsi="Times New Roman" w:eastAsia="宋体" w:cs="Times New Roman"/>
      <w:sz w:val="18"/>
      <w:szCs w:val="18"/>
    </w:rPr>
  </w:style>
  <w:style w:type="character" w:customStyle="1" w:styleId="26">
    <w:name w:val="标题 2 字符"/>
    <w:qFormat/>
    <w:uiPriority w:val="9"/>
    <w:rPr>
      <w:rFonts w:ascii="Cambria" w:hAnsi="Cambria" w:eastAsia="宋体" w:cs="Times New Roman"/>
      <w:b/>
      <w:bCs/>
      <w:kern w:val="0"/>
      <w:sz w:val="32"/>
      <w:szCs w:val="32"/>
    </w:rPr>
  </w:style>
  <w:style w:type="character" w:customStyle="1" w:styleId="27">
    <w:name w:val="正文文本 字符"/>
    <w:qFormat/>
    <w:uiPriority w:val="1"/>
    <w:rPr>
      <w:rFonts w:ascii="宋体" w:hAnsi="Times New Roman" w:eastAsia="宋体" w:cs="Times New Roman"/>
      <w:kern w:val="0"/>
      <w:sz w:val="20"/>
      <w:szCs w:val="21"/>
    </w:rPr>
  </w:style>
  <w:style w:type="character" w:customStyle="1" w:styleId="28">
    <w:name w:val="脚注文本 字符"/>
    <w:semiHidden/>
    <w:qFormat/>
    <w:uiPriority w:val="99"/>
    <w:rPr>
      <w:rFonts w:ascii="Times New Roman" w:hAnsi="Times New Roman" w:eastAsia="宋体" w:cs="Times New Roman"/>
      <w:kern w:val="2"/>
      <w:sz w:val="18"/>
      <w:szCs w:val="18"/>
    </w:rPr>
  </w:style>
  <w:style w:type="character" w:customStyle="1" w:styleId="29">
    <w:name w:val="批注主题 字符"/>
    <w:semiHidden/>
    <w:qFormat/>
    <w:uiPriority w:val="99"/>
    <w:rPr>
      <w:rFonts w:ascii="Times New Roman" w:hAnsi="Times New Roman" w:eastAsia="宋体" w:cs="Times New Roman"/>
      <w:b/>
      <w:bCs/>
    </w:rPr>
  </w:style>
  <w:style w:type="character" w:customStyle="1" w:styleId="30">
    <w:name w:val="日期 字符"/>
    <w:basedOn w:val="18"/>
    <w:semiHidden/>
    <w:qFormat/>
    <w:uiPriority w:val="99"/>
    <w:rPr>
      <w:rFonts w:ascii="Times New Roman" w:hAnsi="Times New Roman" w:eastAsia="宋体" w:cs="Times New Roman"/>
    </w:rPr>
  </w:style>
  <w:style w:type="character" w:customStyle="1" w:styleId="31">
    <w:name w:val="标题 1 字符"/>
    <w:qFormat/>
    <w:uiPriority w:val="1"/>
    <w:rPr>
      <w:rFonts w:ascii="黑体" w:hAnsi="Times New Roman" w:eastAsia="黑体" w:cs="Times New Roman"/>
      <w:b/>
      <w:bCs/>
      <w:kern w:val="0"/>
      <w:sz w:val="36"/>
      <w:szCs w:val="36"/>
    </w:rPr>
  </w:style>
  <w:style w:type="character" w:customStyle="1" w:styleId="32">
    <w:name w:val="页脚 字符"/>
    <w:qFormat/>
    <w:uiPriority w:val="99"/>
    <w:rPr>
      <w:rFonts w:ascii="Times New Roman" w:hAnsi="Times New Roman" w:eastAsia="宋体" w:cs="Times New Roman"/>
      <w:kern w:val="0"/>
      <w:sz w:val="18"/>
      <w:szCs w:val="18"/>
    </w:rPr>
  </w:style>
  <w:style w:type="character" w:customStyle="1" w:styleId="33">
    <w:name w:val="页眉 字符"/>
    <w:qFormat/>
    <w:uiPriority w:val="99"/>
    <w:rPr>
      <w:rFonts w:ascii="Times New Roman" w:hAnsi="Times New Roman" w:eastAsia="宋体" w:cs="Times New Roman"/>
      <w:kern w:val="0"/>
      <w:sz w:val="18"/>
      <w:szCs w:val="18"/>
    </w:rPr>
  </w:style>
  <w:style w:type="character" w:customStyle="1" w:styleId="34">
    <w:name w:val="批注框文本 字符"/>
    <w:semiHidden/>
    <w:qFormat/>
    <w:uiPriority w:val="99"/>
    <w:rPr>
      <w:rFonts w:ascii="Times New Roman" w:hAnsi="Times New Roman" w:eastAsia="宋体" w:cs="Times New Roman"/>
      <w:kern w:val="0"/>
      <w:sz w:val="18"/>
      <w:szCs w:val="18"/>
    </w:rPr>
  </w:style>
  <w:style w:type="paragraph" w:customStyle="1" w:styleId="35">
    <w:name w:val="Table Paragraph"/>
    <w:basedOn w:val="1"/>
    <w:qFormat/>
    <w:uiPriority w:val="1"/>
    <w:pPr>
      <w:autoSpaceDE w:val="0"/>
      <w:autoSpaceDN w:val="0"/>
      <w:adjustRightInd w:val="0"/>
      <w:jc w:val="left"/>
    </w:pPr>
    <w:rPr>
      <w:kern w:val="0"/>
      <w:sz w:val="24"/>
      <w:szCs w:val="24"/>
    </w:r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 w:type="paragraph" w:customStyle="1" w:styleId="38">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字符1"/>
    <w:link w:val="3"/>
    <w:qFormat/>
    <w:uiPriority w:val="1"/>
    <w:rPr>
      <w:rFonts w:ascii="黑体" w:hAnsi="Times New Roman" w:eastAsia="黑体" w:cs="黑体"/>
      <w:b/>
      <w:bCs/>
      <w:kern w:val="0"/>
      <w:sz w:val="36"/>
      <w:szCs w:val="36"/>
    </w:rPr>
  </w:style>
  <w:style w:type="character" w:customStyle="1" w:styleId="40">
    <w:name w:val="标题 2 字符1"/>
    <w:link w:val="4"/>
    <w:qFormat/>
    <w:uiPriority w:val="9"/>
    <w:rPr>
      <w:rFonts w:ascii="Cambria" w:hAnsi="Cambria" w:eastAsia="宋体" w:cs="Times New Roman"/>
      <w:b/>
      <w:bCs/>
      <w:sz w:val="32"/>
      <w:szCs w:val="32"/>
    </w:rPr>
  </w:style>
  <w:style w:type="character" w:customStyle="1" w:styleId="41">
    <w:name w:val="标题 3 字符1"/>
    <w:link w:val="5"/>
    <w:qFormat/>
    <w:uiPriority w:val="1"/>
    <w:rPr>
      <w:rFonts w:ascii="宋体" w:hAnsi="Times New Roman" w:eastAsia="宋体" w:cs="宋体"/>
      <w:b/>
      <w:bCs/>
      <w:kern w:val="0"/>
      <w:szCs w:val="21"/>
    </w:rPr>
  </w:style>
  <w:style w:type="character" w:customStyle="1" w:styleId="42">
    <w:name w:val="批注文字 字符1"/>
    <w:link w:val="6"/>
    <w:qFormat/>
    <w:uiPriority w:val="99"/>
    <w:rPr>
      <w:rFonts w:ascii="Times New Roman" w:hAnsi="Times New Roman" w:eastAsia="宋体" w:cs="Times New Roman"/>
      <w:kern w:val="2"/>
      <w:sz w:val="21"/>
      <w:szCs w:val="22"/>
    </w:rPr>
  </w:style>
  <w:style w:type="character" w:customStyle="1" w:styleId="43">
    <w:name w:val="正文文本 字符1"/>
    <w:link w:val="2"/>
    <w:qFormat/>
    <w:uiPriority w:val="1"/>
    <w:rPr>
      <w:rFonts w:ascii="宋体" w:hAnsi="Times New Roman" w:eastAsia="宋体" w:cs="宋体"/>
      <w:kern w:val="0"/>
      <w:szCs w:val="21"/>
    </w:rPr>
  </w:style>
  <w:style w:type="character" w:customStyle="1" w:styleId="44">
    <w:name w:val="日期 字符1"/>
    <w:basedOn w:val="18"/>
    <w:link w:val="7"/>
    <w:semiHidden/>
    <w:qFormat/>
    <w:uiPriority w:val="99"/>
    <w:rPr>
      <w:rFonts w:ascii="Times New Roman" w:hAnsi="Times New Roman" w:eastAsia="宋体" w:cs="Times New Roman"/>
    </w:rPr>
  </w:style>
  <w:style w:type="character" w:customStyle="1" w:styleId="45">
    <w:name w:val="批注框文本 字符1"/>
    <w:link w:val="8"/>
    <w:semiHidden/>
    <w:qFormat/>
    <w:uiPriority w:val="99"/>
    <w:rPr>
      <w:rFonts w:ascii="Times New Roman" w:hAnsi="Times New Roman" w:eastAsia="宋体" w:cs="Times New Roman"/>
      <w:sz w:val="18"/>
      <w:szCs w:val="18"/>
    </w:rPr>
  </w:style>
  <w:style w:type="character" w:customStyle="1" w:styleId="46">
    <w:name w:val="页脚 字符1"/>
    <w:link w:val="9"/>
    <w:qFormat/>
    <w:uiPriority w:val="99"/>
    <w:rPr>
      <w:rFonts w:ascii="Times New Roman" w:hAnsi="Times New Roman" w:eastAsia="宋体" w:cs="Times New Roman"/>
      <w:sz w:val="18"/>
      <w:szCs w:val="18"/>
    </w:rPr>
  </w:style>
  <w:style w:type="character" w:customStyle="1" w:styleId="47">
    <w:name w:val="页眉 字符1"/>
    <w:link w:val="10"/>
    <w:qFormat/>
    <w:uiPriority w:val="99"/>
    <w:rPr>
      <w:rFonts w:ascii="Times New Roman" w:hAnsi="Times New Roman" w:eastAsia="宋体" w:cs="Times New Roman"/>
      <w:sz w:val="18"/>
      <w:szCs w:val="18"/>
    </w:rPr>
  </w:style>
  <w:style w:type="character" w:customStyle="1" w:styleId="48">
    <w:name w:val="脚注文本 字符2"/>
    <w:link w:val="11"/>
    <w:semiHidden/>
    <w:qFormat/>
    <w:uiPriority w:val="99"/>
    <w:rPr>
      <w:rFonts w:ascii="Times New Roman" w:hAnsi="Times New Roman" w:eastAsia="宋体" w:cs="Times New Roman"/>
      <w:kern w:val="2"/>
      <w:sz w:val="18"/>
      <w:szCs w:val="18"/>
    </w:rPr>
  </w:style>
  <w:style w:type="character" w:customStyle="1" w:styleId="49">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2026-05-28T06:32:37Z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