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color w:val="auto"/>
          <w:sz w:val="28"/>
          <w:szCs w:val="28"/>
          <w:lang w:eastAsia="zh-CN"/>
        </w:rPr>
      </w:pPr>
      <w:bookmarkStart w:id="0" w:name="_Hlk168577216"/>
      <w:r>
        <w:rPr>
          <w:rFonts w:hint="eastAsia" w:ascii="楷体" w:hAnsi="楷体" w:eastAsia="楷体" w:cs="楷体"/>
          <w:b/>
          <w:color w:val="auto"/>
          <w:sz w:val="28"/>
          <w:szCs w:val="28"/>
        </w:rPr>
        <w:t>“</w:t>
      </w:r>
      <w:r>
        <w:rPr>
          <w:rFonts w:hint="eastAsia" w:ascii="楷体" w:hAnsi="楷体" w:eastAsia="楷体" w:cs="楷体"/>
          <w:b/>
          <w:color w:val="auto"/>
          <w:sz w:val="28"/>
          <w:szCs w:val="28"/>
          <w:lang w:val="en-US" w:eastAsia="zh-CN"/>
        </w:rPr>
        <w:t>苏银理财恒源封闭债权300期优选2年</w:t>
      </w:r>
      <w:r>
        <w:rPr>
          <w:rFonts w:hint="eastAsia" w:ascii="楷体" w:hAnsi="楷体" w:eastAsia="楷体" w:cs="楷体"/>
          <w:b/>
          <w:color w:val="auto"/>
          <w:sz w:val="28"/>
          <w:szCs w:val="28"/>
        </w:rPr>
        <w:t>”理财产品</w:t>
      </w:r>
      <w:r>
        <w:rPr>
          <w:rFonts w:hint="eastAsia" w:ascii="楷体" w:hAnsi="楷体" w:eastAsia="楷体" w:cs="楷体"/>
          <w:b/>
          <w:color w:val="auto"/>
          <w:sz w:val="28"/>
          <w:szCs w:val="28"/>
          <w:lang w:val="en-US" w:eastAsia="zh-CN"/>
        </w:rPr>
        <w:t>说明书</w:t>
      </w:r>
    </w:p>
    <w:p>
      <w:pPr>
        <w:jc w:val="center"/>
        <w:rPr>
          <w:rFonts w:hint="eastAsia" w:ascii="楷体" w:hAnsi="楷体" w:eastAsia="楷体" w:cs="楷体"/>
          <w:b/>
          <w:color w:val="auto"/>
          <w:sz w:val="24"/>
          <w:szCs w:val="24"/>
        </w:rPr>
      </w:pPr>
      <w:r>
        <w:rPr>
          <w:rFonts w:hint="eastAsia" w:ascii="楷体" w:hAnsi="楷体" w:eastAsia="楷体" w:cs="楷体"/>
          <w:b/>
          <w:color w:val="auto"/>
          <w:kern w:val="0"/>
          <w:sz w:val="24"/>
          <w:szCs w:val="24"/>
        </w:rPr>
        <w:t>理财非存款、产品有风险、投资须谨慎</w:t>
      </w:r>
    </w:p>
    <w:p>
      <w:pPr>
        <w:rPr>
          <w:rFonts w:hint="eastAsia" w:ascii="楷体" w:hAnsi="楷体" w:eastAsia="楷体" w:cs="楷体"/>
          <w:b/>
          <w:color w:val="auto"/>
          <w:sz w:val="21"/>
          <w:szCs w:val="21"/>
        </w:rPr>
      </w:pPr>
      <w:r>
        <w:rPr>
          <w:rFonts w:hint="eastAsia" w:ascii="楷体" w:hAnsi="楷体" w:eastAsia="楷体" w:cs="楷体"/>
          <w:b/>
          <w:color w:val="auto"/>
          <w:sz w:val="21"/>
          <w:szCs w:val="21"/>
        </w:rPr>
        <w:t>重要须知</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在购买本理财产品前，投资者应确保自己完全理解该项投资的性质和所涉及的风险，详细了解和审慎评估该理财产品的</w:t>
      </w:r>
      <w:r>
        <w:rPr>
          <w:rFonts w:hint="eastAsia" w:ascii="楷体" w:hAnsi="楷体" w:eastAsia="楷体" w:cs="楷体"/>
          <w:sz w:val="21"/>
          <w:szCs w:val="21"/>
          <w:lang w:val="en-US" w:eastAsia="zh-CN"/>
        </w:rPr>
        <w:t>投资范围</w:t>
      </w:r>
      <w:r>
        <w:rPr>
          <w:rFonts w:hint="eastAsia" w:ascii="楷体" w:hAnsi="楷体" w:eastAsia="楷体" w:cs="楷体"/>
          <w:sz w:val="21"/>
          <w:szCs w:val="21"/>
        </w:rPr>
        <w:t>、风险类型等基本情况，在慎重考虑后自行决定购买与自身风险承受能力和资产管理需求匹配的理财产品。</w:t>
      </w:r>
      <w:bookmarkStart w:id="1" w:name="_GoBack"/>
      <w:bookmarkEnd w:id="1"/>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本理财产品不保证本金及收益，您的本金可能因市场变动</w:t>
      </w:r>
      <w:r>
        <w:rPr>
          <w:rFonts w:hint="eastAsia" w:ascii="楷体" w:hAnsi="楷体" w:eastAsia="楷体" w:cs="楷体"/>
          <w:b/>
          <w:sz w:val="21"/>
          <w:szCs w:val="21"/>
          <w:u w:val="single"/>
          <w:lang w:val="en-US" w:eastAsia="zh-CN"/>
        </w:rPr>
        <w:t>或者交易违约等事项</w:t>
      </w:r>
      <w:r>
        <w:rPr>
          <w:rFonts w:hint="eastAsia" w:ascii="楷体" w:hAnsi="楷体" w:eastAsia="楷体" w:cs="楷体"/>
          <w:b/>
          <w:sz w:val="21"/>
          <w:szCs w:val="21"/>
          <w:u w:val="single"/>
        </w:rPr>
        <w:t>而蒙受相应损失，投资者应充分认识投资风险，谨慎投资</w:t>
      </w:r>
      <w:r>
        <w:rPr>
          <w:rFonts w:hint="eastAsia" w:ascii="楷体" w:hAnsi="楷体" w:eastAsia="楷体" w:cs="楷体"/>
          <w:b/>
          <w:sz w:val="21"/>
          <w:szCs w:val="21"/>
          <w:u w:val="single"/>
          <w:lang w:eastAsia="zh-CN"/>
        </w:rPr>
        <w:t>。</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本理财产品任何业绩比较基准</w:t>
      </w:r>
      <w:r>
        <w:rPr>
          <w:rFonts w:hint="eastAsia" w:ascii="楷体" w:hAnsi="楷体" w:eastAsia="楷体" w:cs="楷体"/>
          <w:b/>
          <w:sz w:val="21"/>
          <w:szCs w:val="21"/>
          <w:u w:val="single"/>
          <w:lang w:val="en-US" w:eastAsia="zh-CN"/>
        </w:rPr>
        <w:t>及</w:t>
      </w:r>
      <w:r>
        <w:rPr>
          <w:rFonts w:hint="eastAsia" w:ascii="楷体" w:hAnsi="楷体" w:eastAsia="楷体" w:cs="楷体"/>
          <w:b/>
          <w:sz w:val="21"/>
          <w:szCs w:val="21"/>
          <w:u w:val="single"/>
        </w:rPr>
        <w:t>类似表述均属不具有法律约束力的用语</w:t>
      </w:r>
      <w:r>
        <w:rPr>
          <w:rFonts w:hint="eastAsia" w:ascii="楷体" w:hAnsi="楷体" w:eastAsia="楷体" w:cs="楷体"/>
          <w:b/>
          <w:sz w:val="21"/>
          <w:szCs w:val="21"/>
          <w:u w:val="single"/>
          <w:lang w:eastAsia="zh-CN"/>
        </w:rPr>
        <w:t>。</w:t>
      </w:r>
      <w:r>
        <w:rPr>
          <w:rFonts w:hint="eastAsia" w:ascii="楷体" w:hAnsi="楷体" w:eastAsia="楷体" w:cs="楷体"/>
          <w:b/>
          <w:sz w:val="21"/>
          <w:szCs w:val="21"/>
          <w:u w:val="single"/>
        </w:rPr>
        <w:t>业绩比较基准</w:t>
      </w:r>
      <w:r>
        <w:rPr>
          <w:rFonts w:hint="eastAsia" w:ascii="楷体" w:hAnsi="楷体" w:eastAsia="楷体" w:cs="楷体"/>
          <w:b/>
          <w:sz w:val="21"/>
          <w:szCs w:val="21"/>
          <w:u w:val="single"/>
          <w:lang w:val="en-US" w:eastAsia="zh-CN"/>
        </w:rPr>
        <w:t>为</w:t>
      </w:r>
      <w:r>
        <w:rPr>
          <w:rFonts w:hint="eastAsia" w:ascii="楷体" w:hAnsi="楷体" w:eastAsia="楷体" w:cs="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cs="楷体"/>
          <w:sz w:val="21"/>
          <w:szCs w:val="21"/>
          <w:highlight w:val="none"/>
        </w:rPr>
      </w:pPr>
      <w:r>
        <w:rPr>
          <w:rFonts w:hint="eastAsia" w:ascii="楷体" w:hAnsi="楷体" w:eastAsia="楷体" w:cs="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如有）</w:t>
      </w:r>
      <w:r>
        <w:rPr>
          <w:rFonts w:hint="eastAsia" w:ascii="楷体" w:hAnsi="楷体" w:eastAsia="楷体" w:cs="楷体"/>
          <w:sz w:val="21"/>
          <w:szCs w:val="21"/>
        </w:rPr>
        <w:t>、不可抗力风险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关联关系及关联交易风险、</w:t>
      </w:r>
      <w:r>
        <w:rPr>
          <w:rFonts w:hint="eastAsia" w:ascii="楷体" w:hAnsi="楷体" w:eastAsia="楷体" w:cs="楷体"/>
          <w:sz w:val="21"/>
          <w:szCs w:val="21"/>
          <w:lang w:eastAsia="zh-CN"/>
        </w:rPr>
        <w:t>特定投资标的风险</w:t>
      </w:r>
      <w:r>
        <w:rPr>
          <w:rFonts w:hint="eastAsia" w:ascii="楷体" w:hAnsi="楷体" w:eastAsia="楷体" w:cs="楷体"/>
          <w:sz w:val="21"/>
          <w:szCs w:val="21"/>
        </w:rPr>
        <w:t>等。请仔细阅读《“</w:t>
      </w:r>
      <w:r>
        <w:rPr>
          <w:rFonts w:hint="eastAsia" w:ascii="楷体" w:hAnsi="楷体" w:eastAsia="楷体" w:cs="楷体"/>
          <w:sz w:val="21"/>
          <w:szCs w:val="21"/>
          <w:lang w:val="en-US" w:eastAsia="zh-CN"/>
        </w:rPr>
        <w:t>苏银理财恒源封闭债权300期优选2年</w:t>
      </w:r>
      <w:r>
        <w:rPr>
          <w:rFonts w:hint="eastAsia" w:ascii="楷体" w:hAnsi="楷体" w:eastAsia="楷体" w:cs="楷体"/>
          <w:sz w:val="21"/>
          <w:szCs w:val="21"/>
        </w:rPr>
        <w:t>”理财产</w:t>
      </w:r>
      <w:r>
        <w:rPr>
          <w:rFonts w:hint="eastAsia" w:ascii="楷体" w:hAnsi="楷体" w:eastAsia="楷体" w:cs="楷体"/>
          <w:sz w:val="21"/>
          <w:szCs w:val="21"/>
          <w:highlight w:val="none"/>
        </w:rPr>
        <w:t>品风险揭示书》的“风险揭示”部分。</w:t>
      </w:r>
    </w:p>
    <w:p>
      <w:pPr>
        <w:numPr>
          <w:ilvl w:val="0"/>
          <w:numId w:val="1"/>
        </w:numPr>
        <w:ind w:left="420" w:leftChars="0" w:hanging="420" w:firstLineChars="0"/>
        <w:rPr>
          <w:rFonts w:hint="eastAsia" w:ascii="楷体" w:hAnsi="楷体" w:eastAsia="楷体" w:cs="楷体"/>
          <w:b/>
          <w:bCs/>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楷体"/>
          <w:b/>
          <w:sz w:val="21"/>
          <w:szCs w:val="21"/>
          <w:highlight w:val="none"/>
          <w:u w:val="single"/>
        </w:rPr>
      </w:pPr>
      <w:r>
        <w:rPr>
          <w:rFonts w:hint="eastAsia" w:ascii="楷体" w:hAnsi="楷体" w:eastAsia="楷体" w:cs="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产品要素</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为保护投资者合法权益，尊重投资者的知情权和自主选择权，现将本理财产品的基本要素说明如下：</w:t>
      </w:r>
    </w:p>
    <w:tbl>
      <w:tblPr>
        <w:tblStyle w:val="1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产品名称</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楷体"/>
                <w:color w:val="auto"/>
                <w:spacing w:val="-2"/>
                <w:sz w:val="18"/>
                <w:szCs w:val="18"/>
                <w:lang w:val="en-US" w:eastAsia="zh-CN"/>
              </w:rPr>
            </w:pPr>
            <w:r>
              <w:rPr>
                <w:rFonts w:hint="eastAsia" w:ascii="楷体" w:hAnsi="楷体" w:eastAsia="楷体" w:cs="楷体"/>
                <w:color w:val="auto"/>
                <w:spacing w:val="-2"/>
                <w:sz w:val="18"/>
                <w:szCs w:val="18"/>
                <w:lang w:val="en-US" w:eastAsia="zh-CN"/>
              </w:rPr>
              <w:t>苏银理财恒源封闭债权300期优选2年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理财产品登记编码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Z7003126000188，投资者可依据该编码在中国理财网www.chinawealth.com.cn查询产品信息。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highlight w:val="none"/>
              </w:rPr>
              <w:t>销售</w:t>
            </w:r>
            <w:r>
              <w:rPr>
                <w:rFonts w:hint="eastAsia" w:ascii="楷体" w:hAnsi="楷体" w:eastAsia="楷体" w:cs="楷体"/>
                <w:b/>
                <w:color w:val="auto"/>
                <w:spacing w:val="-2"/>
                <w:sz w:val="18"/>
                <w:szCs w:val="18"/>
                <w:highlight w:val="none"/>
                <w:lang w:val="en-US" w:eastAsia="zh-CN"/>
              </w:rPr>
              <w:t>名称</w:t>
            </w:r>
            <w:r>
              <w:rPr>
                <w:rFonts w:hint="eastAsia" w:ascii="楷体" w:hAnsi="楷体" w:eastAsia="楷体" w:cs="楷体"/>
                <w:b/>
                <w:color w:val="auto"/>
                <w:spacing w:val="-2"/>
                <w:sz w:val="18"/>
                <w:szCs w:val="18"/>
                <w:highlight w:val="none"/>
              </w:rPr>
              <w:t>/销售代码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A份额：苏银理财恒源封闭债权300期优选2年A/J20401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B份额：苏银理财恒源封闭债权300期优选2年B/J20402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C份额：苏银理财恒源封闭债权300期优选2年C/J20403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D份额：苏银理财恒源封闭债权300期优选2年D/J20404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E份额：苏银理财恒源封闭债权300期优选2年E/J20405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F份额：苏银理财恒源封闭债权300期优选2年F/J20406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H份额：苏银理财恒源封闭债权300期优选2年H/J20408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J份额：苏银理财恒源封闭债权300期优选2年J/J20409</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K份额：苏银理财恒源封闭债权300期优选2年K/J20410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L份额：苏银理财恒源封闭债权300期优选2年L/J20411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N份额：苏银理财恒源封闭债权300期优选2年N/J20413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P份额：苏银理财恒源封闭债权300期优选2年P/J20414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Z份额：苏银理财恒源封闭债权300期优选2年Z/J20415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JS份额：苏银理财恒源封闭债权300期优选2年JS鑫福款/J20416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rPr>
              <w:t>产品类型</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default" w:ascii="楷体" w:hAnsi="楷体" w:eastAsia="楷体" w:cs="楷体"/>
                <w:b/>
                <w:color w:val="auto"/>
                <w:spacing w:val="-2"/>
                <w:sz w:val="18"/>
                <w:szCs w:val="18"/>
                <w:u w:val="single"/>
                <w:lang w:val="en-US" w:eastAsia="zh-CN"/>
              </w:rPr>
            </w:pPr>
            <w:r>
              <w:rPr>
                <w:rFonts w:hint="eastAsia" w:ascii="楷体" w:hAnsi="楷体" w:eastAsia="楷体" w:cs="楷体"/>
                <w:b/>
                <w:color w:val="auto"/>
                <w:spacing w:val="-2"/>
                <w:sz w:val="18"/>
                <w:szCs w:val="18"/>
                <w:highlight w:val="none"/>
                <w:u w:val="single"/>
                <w:lang w:val="en-US" w:eastAsia="zh-CN"/>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color w:val="auto"/>
                <w:sz w:val="18"/>
                <w:szCs w:val="18"/>
              </w:rPr>
            </w:pPr>
            <w:r>
              <w:rPr>
                <w:rFonts w:hint="eastAsia" w:ascii="楷体" w:hAnsi="楷体" w:eastAsia="楷体" w:cs="楷体"/>
                <w:color w:val="auto"/>
                <w:sz w:val="18"/>
                <w:szCs w:val="18"/>
                <w:lang w:val="en-US" w:eastAsia="zh-CN"/>
              </w:rPr>
              <w:t>1.</w:t>
            </w:r>
            <w:r>
              <w:rPr>
                <w:rFonts w:hint="eastAsia" w:ascii="楷体" w:hAnsi="楷体" w:eastAsia="楷体" w:cs="楷体"/>
                <w:color w:val="auto"/>
                <w:sz w:val="18"/>
                <w:szCs w:val="18"/>
              </w:rPr>
              <w:t>本理财产品经苏银理财内部风险评级为</w:t>
            </w:r>
            <w:r>
              <w:rPr>
                <w:rFonts w:hint="eastAsia" w:ascii="楷体" w:hAnsi="楷体" w:eastAsia="楷体" w:cs="楷体"/>
                <w:b/>
                <w:color w:val="auto"/>
                <w:sz w:val="18"/>
                <w:szCs w:val="18"/>
                <w:u w:val="single"/>
                <w:lang w:val="en-US" w:eastAsia="zh-CN"/>
              </w:rPr>
              <w:t>★★二级，适合中低风险型投资者，适合投资策略为稳健发展的投资者</w:t>
            </w:r>
            <w:r>
              <w:rPr>
                <w:rFonts w:hint="eastAsia" w:ascii="楷体" w:hAnsi="楷体" w:eastAsia="楷体" w:cs="楷体"/>
                <w:color w:val="auto"/>
                <w:sz w:val="18"/>
                <w:szCs w:val="18"/>
              </w:rPr>
              <w:t>。本评级为</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内部评级，由</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根据理财产品的投资组合、同类产品过往业绩和风险状况等因素，对理财产品进行评级，仅供</w:t>
            </w:r>
            <w:r>
              <w:rPr>
                <w:rFonts w:hint="eastAsia" w:ascii="楷体" w:hAnsi="楷体" w:eastAsia="楷体" w:cs="楷体"/>
                <w:color w:val="auto"/>
                <w:sz w:val="18"/>
                <w:szCs w:val="18"/>
                <w:lang w:val="en-US" w:eastAsia="zh-CN"/>
              </w:rPr>
              <w:t>投资者</w:t>
            </w:r>
            <w:r>
              <w:rPr>
                <w:rFonts w:hint="eastAsia" w:ascii="楷体" w:hAnsi="楷体" w:eastAsia="楷体" w:cs="楷体"/>
                <w:color w:val="auto"/>
                <w:sz w:val="18"/>
                <w:szCs w:val="18"/>
              </w:rPr>
              <w:t>参考。</w:t>
            </w:r>
            <w:r>
              <w:rPr>
                <w:rFonts w:hint="eastAsia" w:ascii="楷体" w:hAnsi="楷体" w:eastAsia="楷体" w:cs="楷体"/>
                <w:b w:val="0"/>
                <w:bCs w:val="0"/>
                <w:color w:val="auto"/>
                <w:sz w:val="18"/>
                <w:szCs w:val="18"/>
                <w:u w:val="none"/>
              </w:rPr>
              <w:t>理财产品存续期间，若市场环境等因素发生变化，在符合监管政策要求的前提下管理人可对产品风险评级进行调整，并及时将调整情况向投资者披露。</w:t>
            </w:r>
          </w:p>
          <w:tbl>
            <w:tblPr>
              <w:tblStyle w:val="1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val="0"/>
                      <w:bCs/>
                      <w:color w:val="auto"/>
                      <w:kern w:val="0"/>
                      <w:sz w:val="18"/>
                      <w:szCs w:val="18"/>
                    </w:rPr>
                  </w:pPr>
                  <w:r>
                    <w:rPr>
                      <w:rFonts w:hint="eastAsia" w:ascii="楷体" w:hAnsi="楷体" w:eastAsia="楷体" w:cs="楷体"/>
                      <w:b/>
                      <w:bCs/>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val="0"/>
                      <w:bCs/>
                      <w:color w:val="auto"/>
                      <w:kern w:val="0"/>
                      <w:sz w:val="18"/>
                      <w:szCs w:val="18"/>
                    </w:rPr>
                  </w:pPr>
                  <w:r>
                    <w:rPr>
                      <w:rFonts w:hint="eastAsia" w:ascii="楷体" w:hAnsi="楷体" w:eastAsia="楷体" w:cs="楷体"/>
                      <w:b/>
                      <w:bCs/>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val="0"/>
                      <w:bCs/>
                      <w:color w:val="auto"/>
                      <w:kern w:val="0"/>
                      <w:sz w:val="18"/>
                      <w:szCs w:val="18"/>
                    </w:rPr>
                  </w:pPr>
                  <w:r>
                    <w:rPr>
                      <w:rFonts w:hint="eastAsia" w:ascii="楷体" w:hAnsi="楷体" w:eastAsia="楷体" w:cs="楷体"/>
                      <w:b/>
                      <w:bCs/>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b/>
                <w:sz w:val="18"/>
                <w:szCs w:val="18"/>
                <w:highlight w:val="none"/>
                <w:u w:val="single"/>
              </w:rPr>
            </w:pPr>
            <w:r>
              <w:rPr>
                <w:rFonts w:hint="eastAsia" w:ascii="楷体" w:hAnsi="楷体" w:eastAsia="楷体" w:cs="楷体"/>
                <w:sz w:val="18"/>
                <w:szCs w:val="18"/>
                <w:highlight w:val="none"/>
                <w:lang w:val="en-US" w:eastAsia="zh-CN"/>
              </w:rPr>
              <w:t>2.</w:t>
            </w:r>
            <w:r>
              <w:rPr>
                <w:rFonts w:hint="eastAsia" w:ascii="楷体" w:hAnsi="楷体" w:eastAsia="楷体" w:cs="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cs="楷体"/>
                <w:b/>
                <w:bCs/>
                <w:sz w:val="18"/>
                <w:szCs w:val="18"/>
                <w:highlight w:val="none"/>
                <w:u w:val="single"/>
              </w:rPr>
              <w:t>如本产品通过代理销售机构渠道销售，</w:t>
            </w:r>
            <w:r>
              <w:rPr>
                <w:rFonts w:hint="eastAsia" w:ascii="楷体" w:hAnsi="楷体" w:eastAsia="楷体" w:cs="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z w:val="18"/>
                <w:szCs w:val="18"/>
                <w:lang w:val="en-US" w:eastAsia="zh-CN"/>
              </w:rPr>
              <w:t>3.</w:t>
            </w:r>
            <w:r>
              <w:rPr>
                <w:rFonts w:hint="eastAsia" w:ascii="楷体" w:hAnsi="楷体" w:eastAsia="楷体" w:cs="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销售对象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A份额：面向个人和机构投资者销售；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B份额：面向个人和机构投资者销售；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C份额：面向个人和机构投资者销售，销售机构江苏银行仅限新资金客户、新客户及代发工资客户，具体以销售机构系统设置为准。新资金的达标条件为“客户前一日资产时点余额”较“前一月末资产月日均余额”的新增额大于5万元；新客户是指首次购买理财产品的客户；</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D份额：面向个人和机构投资者销售；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E份额：面向个人和机构投资者销售，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F份额：面向个人和机构投资者销售；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H份额：面向个人投资者销售；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J份额：面向个人和机构投资者销售；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K份额：面向个人和机构投资者销售；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L份额：面向个人和机构投资者销售；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N份额：面向个人和机构投资者销售；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P份额：面向个人和机构投资者销售；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Z份额：面向个人和机构投资者销售；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default" w:ascii="楷体" w:hAnsi="楷体" w:eastAsia="楷体" w:cs="楷体"/>
                <w:b/>
                <w:color w:val="auto"/>
                <w:spacing w:val="-2"/>
                <w:sz w:val="18"/>
                <w:szCs w:val="18"/>
                <w:u w:val="single"/>
                <w:lang w:val="en-US"/>
              </w:rPr>
            </w:pPr>
            <w:r>
              <w:rPr>
                <w:rFonts w:hint="eastAsia" w:ascii="楷体" w:hAnsi="楷体" w:eastAsia="楷体" w:cs="楷体"/>
                <w:color w:val="auto"/>
                <w:spacing w:val="-2"/>
                <w:kern w:val="0"/>
                <w:sz w:val="18"/>
                <w:szCs w:val="18"/>
                <w:highlight w:val="none"/>
                <w:lang w:val="en-US" w:eastAsia="zh-CN" w:bidi="ar-SA"/>
              </w:rPr>
              <w:t>JS份额：面向个人和机构投资者销售</w:t>
            </w:r>
            <w:r>
              <w:rPr>
                <w:rFonts w:hint="eastAsia" w:ascii="楷体" w:hAnsi="楷体" w:eastAsia="楷体" w:cs="楷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币种</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份额面值</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val="0"/>
                <w:color w:val="auto"/>
                <w:spacing w:val="-2"/>
                <w:kern w:val="0"/>
                <w:sz w:val="18"/>
                <w:szCs w:val="18"/>
                <w:u w:val="none"/>
              </w:rPr>
            </w:pPr>
            <w:r>
              <w:rPr>
                <w:rFonts w:hint="eastAsia" w:ascii="楷体" w:hAnsi="楷体" w:eastAsia="楷体" w:cs="楷体"/>
                <w:color w:val="auto"/>
                <w:spacing w:val="-2"/>
                <w:sz w:val="18"/>
                <w:szCs w:val="18"/>
                <w:lang w:val="en-US" w:eastAsia="zh-CN"/>
              </w:rPr>
              <w:t>20亿元</w:t>
            </w:r>
            <w:r>
              <w:rPr>
                <w:rFonts w:hint="eastAsia" w:ascii="楷体" w:hAnsi="楷体" w:eastAsia="楷体" w:cs="楷体"/>
                <w:color w:val="auto"/>
                <w:spacing w:val="-2"/>
                <w:kern w:val="0"/>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lang w:val="en-US" w:eastAsia="zh-CN"/>
              </w:rPr>
            </w:pPr>
            <w:r>
              <w:rPr>
                <w:rFonts w:hint="eastAsia" w:ascii="楷体" w:hAnsi="楷体" w:eastAsia="楷体" w:cs="楷体"/>
                <w:b/>
                <w:color w:val="auto"/>
                <w:spacing w:val="-2"/>
                <w:sz w:val="18"/>
                <w:szCs w:val="18"/>
                <w:highlight w:val="none"/>
                <w:lang w:val="en-US" w:eastAsia="zh-CN"/>
              </w:rPr>
              <w:t>最低发行规模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highlight w:val="none"/>
              </w:rPr>
              <w:t>本产品最低发行规模为</w:t>
            </w:r>
            <w:r>
              <w:rPr>
                <w:rFonts w:hint="eastAsia" w:ascii="楷体" w:hAnsi="楷体" w:eastAsia="楷体" w:cs="楷体"/>
                <w:spacing w:val="-2"/>
                <w:sz w:val="18"/>
                <w:szCs w:val="18"/>
                <w:highlight w:val="none"/>
                <w:lang w:val="en-US" w:eastAsia="zh-CN"/>
              </w:rPr>
              <w:t>3000万元。</w:t>
            </w:r>
            <w:r>
              <w:rPr>
                <w:rFonts w:hint="eastAsia" w:ascii="楷体" w:hAnsi="楷体" w:eastAsia="楷体" w:cs="楷体"/>
                <w:spacing w:val="-2"/>
                <w:sz w:val="18"/>
                <w:szCs w:val="18"/>
                <w:highlight w:val="none"/>
              </w:rPr>
              <w:t>若产品认购规模未达到最低发行规模，或新的法律、法规或监管政策导致本产品无法合法合规运行，或出现其他导致影响产品成立不可抗力因素，产品管理人将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购买</w:t>
            </w:r>
            <w:r>
              <w:rPr>
                <w:rFonts w:hint="eastAsia" w:ascii="楷体" w:hAnsi="楷体" w:eastAsia="楷体" w:cs="楷体"/>
                <w:b/>
                <w:color w:val="auto"/>
                <w:spacing w:val="-2"/>
                <w:sz w:val="18"/>
                <w:szCs w:val="18"/>
              </w:rPr>
              <w:t>起点/追加金额</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A份额：1元/1元的整数倍；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B份额：1元/1元的整数倍；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C份额：10,000元/10,000元的整数倍；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D份额：1元/1元的整数倍；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F份额：1元/1元的整数倍；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H份额：10,000元/10,000元的整数倍；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J份额：1元/1元的整数倍；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K份额：1元/1元的整数倍；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L份额：1元/1元的整数倍；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N份额：1元/1元的整数倍；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P份额：1元/1元的整数倍；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Z份额：1元/1元的整数倍；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default" w:ascii="楷体" w:hAnsi="楷体" w:eastAsia="楷体" w:cs="楷体"/>
                <w:color w:val="auto"/>
                <w:spacing w:val="-2"/>
                <w:sz w:val="18"/>
                <w:szCs w:val="18"/>
                <w:highlight w:val="none"/>
                <w:lang w:val="en-US"/>
              </w:rPr>
            </w:pPr>
            <w:r>
              <w:rPr>
                <w:rFonts w:hint="eastAsia" w:ascii="楷体" w:hAnsi="楷体" w:eastAsia="楷体" w:cs="楷体"/>
                <w:color w:val="auto"/>
                <w:sz w:val="18"/>
                <w:szCs w:val="18"/>
                <w:lang w:val="en-US" w:eastAsia="zh-CN"/>
              </w:rPr>
              <w:t>JS份额：1元/1元的整数倍</w:t>
            </w:r>
            <w:r>
              <w:rPr>
                <w:rFonts w:hint="eastAsia" w:ascii="楷体" w:hAnsi="楷体" w:eastAsia="楷体" w:cs="楷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募集期</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lang w:val="en-US" w:eastAsia="zh-CN"/>
              </w:rPr>
              <w:t>2026年6月4日</w:t>
            </w:r>
            <w:r>
              <w:rPr>
                <w:rFonts w:hint="eastAsia" w:ascii="楷体" w:hAnsi="楷体" w:eastAsia="楷体" w:cs="楷体"/>
                <w:color w:val="auto"/>
                <w:spacing w:val="-2"/>
                <w:sz w:val="18"/>
                <w:szCs w:val="18"/>
              </w:rPr>
              <w:t>至</w:t>
            </w:r>
            <w:r>
              <w:rPr>
                <w:rFonts w:hint="eastAsia" w:ascii="楷体" w:hAnsi="楷体" w:eastAsia="楷体" w:cs="楷体"/>
                <w:color w:val="auto"/>
                <w:spacing w:val="-2"/>
                <w:sz w:val="18"/>
                <w:szCs w:val="18"/>
                <w:lang w:val="en-US" w:eastAsia="zh-CN"/>
              </w:rPr>
              <w:t>2026年6月10日</w:t>
            </w:r>
            <w:r>
              <w:rPr>
                <w:rFonts w:hint="eastAsia" w:ascii="楷体" w:hAnsi="楷体" w:eastAsia="楷体" w:cs="楷体"/>
                <w:color w:val="auto"/>
                <w:spacing w:val="-2"/>
                <w:sz w:val="18"/>
                <w:szCs w:val="18"/>
                <w:lang w:eastAsia="zh-CN"/>
              </w:rPr>
              <w:t>。</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rPr>
              <w:t>投资者可于募集期结束日交易闭市前撤销认购申请，该时点后不得撤销。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产品成立日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2026年6月11日。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w:t>
            </w:r>
            <w:r>
              <w:rPr>
                <w:rFonts w:hint="eastAsia" w:ascii="楷体" w:hAnsi="楷体" w:eastAsia="楷体" w:cs="楷体"/>
                <w:b/>
                <w:color w:val="auto"/>
                <w:spacing w:val="-2"/>
                <w:sz w:val="18"/>
                <w:szCs w:val="18"/>
                <w:lang w:val="en-US" w:eastAsia="zh-CN"/>
              </w:rPr>
              <w:t>终止日/</w:t>
            </w:r>
          </w:p>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到期日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2028年7月5日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highlight w:val="none"/>
              </w:rPr>
              <w:t>如遇节假日，顺延至下一工作日。产品到期日受制于提前终止、延期终止条款。详见下文“产品终止”。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755</w:t>
            </w:r>
            <w:r>
              <w:rPr>
                <w:rFonts w:hint="eastAsia" w:ascii="楷体" w:hAnsi="楷体" w:eastAsia="楷体" w:cs="楷体"/>
                <w:color w:val="auto"/>
                <w:spacing w:val="-2"/>
                <w:sz w:val="18"/>
                <w:szCs w:val="18"/>
              </w:rPr>
              <w:t>天（以理财产品实际存续天数为准）</w:t>
            </w:r>
            <w:r>
              <w:rPr>
                <w:rFonts w:hint="eastAsia" w:ascii="楷体" w:hAnsi="楷体" w:eastAsia="楷体" w:cs="楷体"/>
                <w:color w:val="auto"/>
                <w:spacing w:val="-2"/>
                <w:sz w:val="18"/>
                <w:szCs w:val="18"/>
                <w:lang w:eastAsia="zh-CN"/>
              </w:rPr>
              <w:t>。</w:t>
            </w:r>
            <w:r>
              <w:rPr>
                <w:rFonts w:hint="eastAsia" w:ascii="楷体" w:hAnsi="楷体" w:eastAsia="楷体" w:cs="楷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spacing w:val="-2"/>
                <w:sz w:val="18"/>
                <w:szCs w:val="18"/>
                <w:highlight w:val="none"/>
              </w:rPr>
              <w:t>单个</w:t>
            </w:r>
            <w:r>
              <w:rPr>
                <w:rFonts w:hint="eastAsia" w:ascii="楷体" w:hAnsi="楷体" w:eastAsia="楷体" w:cs="楷体"/>
                <w:b/>
                <w:spacing w:val="-2"/>
                <w:sz w:val="18"/>
                <w:szCs w:val="18"/>
                <w:highlight w:val="none"/>
                <w:lang w:val="en-US" w:eastAsia="zh-CN"/>
              </w:rPr>
              <w:t>投资者</w:t>
            </w:r>
            <w:r>
              <w:rPr>
                <w:rFonts w:hint="eastAsia" w:ascii="楷体" w:hAnsi="楷体" w:eastAsia="楷体" w:cs="楷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b/>
                <w:bCs/>
                <w:spacing w:val="-2"/>
                <w:sz w:val="18"/>
                <w:szCs w:val="18"/>
                <w:u w:val="single"/>
              </w:rPr>
            </w:pPr>
            <w:r>
              <w:rPr>
                <w:rFonts w:hint="eastAsia" w:ascii="楷体" w:hAnsi="楷体" w:eastAsia="楷体" w:cs="楷体"/>
                <w:b/>
                <w:bCs/>
                <w:spacing w:val="-2"/>
                <w:sz w:val="18"/>
                <w:szCs w:val="18"/>
                <w:u w:val="single"/>
                <w:lang w:val="en-US" w:eastAsia="zh-CN"/>
              </w:rPr>
              <w:t>1.管理人</w:t>
            </w:r>
            <w:r>
              <w:rPr>
                <w:rFonts w:hint="eastAsia" w:ascii="楷体" w:hAnsi="楷体" w:eastAsia="楷体" w:cs="楷体"/>
                <w:b/>
                <w:bCs/>
                <w:spacing w:val="-2"/>
                <w:sz w:val="18"/>
                <w:szCs w:val="18"/>
                <w:u w:val="single"/>
              </w:rPr>
              <w:t>参考过往投资经验，依据近期货币市场工具、债券、非标准化债权等资产投资收益水平，</w:t>
            </w:r>
            <w:r>
              <w:rPr>
                <w:rFonts w:hint="eastAsia" w:ascii="楷体" w:hAnsi="楷体" w:eastAsia="楷体" w:cs="楷体"/>
                <w:b/>
                <w:spacing w:val="-2"/>
                <w:sz w:val="18"/>
                <w:szCs w:val="18"/>
                <w:u w:val="single"/>
              </w:rPr>
              <w:t>在产品说明书约定的投资范围和投资比例内，</w:t>
            </w:r>
            <w:r>
              <w:rPr>
                <w:rFonts w:hint="eastAsia" w:ascii="楷体" w:hAnsi="楷体" w:eastAsia="楷体" w:cs="楷体"/>
                <w:b/>
                <w:spacing w:val="-2"/>
                <w:sz w:val="18"/>
                <w:szCs w:val="18"/>
                <w:highlight w:val="none"/>
                <w:u w:val="single"/>
              </w:rPr>
              <w:t>综合考虑各</w:t>
            </w:r>
            <w:r>
              <w:rPr>
                <w:rFonts w:hint="eastAsia" w:ascii="楷体" w:hAnsi="楷体" w:eastAsia="楷体" w:cs="楷体"/>
                <w:b/>
                <w:spacing w:val="-2"/>
                <w:sz w:val="18"/>
                <w:szCs w:val="18"/>
                <w:highlight w:val="none"/>
                <w:u w:val="single"/>
                <w:lang w:val="en-US" w:eastAsia="zh-CN"/>
              </w:rPr>
              <w:t>类</w:t>
            </w:r>
            <w:r>
              <w:rPr>
                <w:rFonts w:hint="eastAsia" w:ascii="楷体" w:hAnsi="楷体" w:eastAsia="楷体" w:cs="楷体"/>
                <w:b/>
                <w:spacing w:val="-2"/>
                <w:sz w:val="18"/>
                <w:szCs w:val="18"/>
                <w:highlight w:val="none"/>
                <w:u w:val="single"/>
              </w:rPr>
              <w:t>份额收取的</w:t>
            </w:r>
            <w:r>
              <w:rPr>
                <w:rFonts w:hint="eastAsia" w:ascii="楷体" w:hAnsi="楷体" w:eastAsia="楷体" w:cs="楷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color w:val="0000FF"/>
                <w:spacing w:val="-2"/>
                <w:sz w:val="18"/>
                <w:szCs w:val="18"/>
              </w:rPr>
            </w:pPr>
            <w:r>
              <w:rPr>
                <w:rFonts w:hint="eastAsia" w:ascii="楷体" w:hAnsi="楷体" w:eastAsia="楷体" w:cs="楷体"/>
                <w:b/>
                <w:bCs/>
                <w:spacing w:val="-2"/>
                <w:sz w:val="18"/>
                <w:szCs w:val="18"/>
                <w:u w:val="single"/>
                <w:lang w:val="en-US" w:eastAsia="zh-CN"/>
              </w:rPr>
              <w:t>2.</w:t>
            </w:r>
            <w:r>
              <w:rPr>
                <w:rFonts w:hint="eastAsia" w:ascii="楷体" w:hAnsi="楷体" w:eastAsia="楷体" w:cs="楷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楷体"/>
                <w:b w:val="0"/>
                <w:bCs/>
                <w:spacing w:val="-2"/>
                <w:sz w:val="18"/>
                <w:szCs w:val="18"/>
                <w:highlight w:val="none"/>
                <w:u w:val="none"/>
              </w:rPr>
              <w:t>各</w:t>
            </w:r>
            <w:r>
              <w:rPr>
                <w:rFonts w:hint="eastAsia" w:ascii="楷体" w:hAnsi="楷体" w:eastAsia="楷体" w:cs="楷体"/>
                <w:b w:val="0"/>
                <w:bCs/>
                <w:spacing w:val="-2"/>
                <w:sz w:val="18"/>
                <w:szCs w:val="18"/>
                <w:highlight w:val="none"/>
                <w:u w:val="none"/>
                <w:lang w:val="en-US" w:eastAsia="zh-CN"/>
              </w:rPr>
              <w:t>类</w:t>
            </w:r>
            <w:r>
              <w:rPr>
                <w:rFonts w:hint="eastAsia" w:ascii="楷体" w:hAnsi="楷体" w:eastAsia="楷体" w:cs="楷体"/>
                <w:b w:val="0"/>
                <w:bCs/>
                <w:spacing w:val="-2"/>
                <w:sz w:val="18"/>
                <w:szCs w:val="18"/>
                <w:highlight w:val="none"/>
                <w:u w:val="none"/>
              </w:rPr>
              <w:t>份额业绩比较基准如下：</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default"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A份额：2.55%-2.95%；B份额：2.50%-2.90%；C份额：2.60%-3.00%；D份额：2.50%-2.90%；E份额：2.65%-3.05%；F份额：2.55%-2.95%；H份额：2.40%-2.80%；J份额：2.50%-2.90%；K份额：2.45%-2.85%；L份额：2.50%-2.90%；N份额：2.60%-3.00%；P份额：2.45%-2.85%；Z份额：2.65%-3.05%；JS份额：2.55%-2.95%。</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3"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0000FF"/>
                <w:spacing w:val="-2"/>
                <w:sz w:val="18"/>
                <w:szCs w:val="18"/>
                <w:lang w:val="en-US" w:eastAsia="zh-CN"/>
              </w:rPr>
            </w:pPr>
            <w:r>
              <w:rPr>
                <w:rFonts w:hint="eastAsia" w:ascii="楷体" w:hAnsi="楷体" w:eastAsia="楷体" w:cs="楷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1.托管费率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val="en-US" w:eastAsia="zh-CN"/>
              </w:rPr>
              <w:t>0.02%/年</w:t>
            </w:r>
            <w:r>
              <w:rPr>
                <w:rFonts w:hint="eastAsia" w:ascii="楷体" w:hAnsi="楷体" w:eastAsia="楷体" w:cs="楷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rPr>
            </w:pPr>
            <w:r>
              <w:rPr>
                <w:rFonts w:hint="eastAsia" w:ascii="楷体" w:hAnsi="楷体" w:eastAsia="楷体" w:cs="楷体"/>
                <w:color w:val="auto"/>
                <w:spacing w:val="-2"/>
                <w:sz w:val="18"/>
                <w:szCs w:val="18"/>
              </w:rPr>
              <w:t>2.销售服务费率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val="en-US" w:eastAsia="zh-CN"/>
              </w:rPr>
              <w:t>A份额：0.15%；B份额：0.20%；C份额：0.15%；D份额：0.25%；E份额：0.15%；F份额：0.20%；H份额：0.35%；J份额：0.15%；K份额：0.20%；L份额：0.30%；N份额：0.05%；P份额：0.30%；Z份额：0.10%；JS份额：0.20%。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3.投资管理费率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val="en-US" w:eastAsia="zh-CN"/>
              </w:rPr>
              <w:t>A份额：0.20%；B份额：0.20%；C份额：0.15%；D份额：0.15%；E份额：0.10%；F份额：0.15%；H份额：0.15%；J份额：0.25%；K份额：0.25%；L份额：0.10%；N份额：0.25%；P份额：0.15%；Z份额：0.15%；JS份额：0.15%。</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b/>
                <w:spacing w:val="-2"/>
                <w:sz w:val="18"/>
                <w:szCs w:val="18"/>
                <w:u w:val="single"/>
              </w:rPr>
            </w:pPr>
            <w:r>
              <w:rPr>
                <w:rFonts w:hint="eastAsia" w:ascii="楷体" w:hAnsi="楷体" w:eastAsia="楷体" w:cs="楷体"/>
                <w:color w:val="auto"/>
                <w:spacing w:val="-2"/>
                <w:sz w:val="18"/>
                <w:szCs w:val="18"/>
              </w:rPr>
              <w:t>4.超额业绩报酬</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如有）</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val="en-US" w:eastAsia="zh-CN"/>
              </w:rPr>
              <w:t>若产品各份额实际投资收益在扣除托管费、销售服务费、投资管理费等费用后超过各份额业绩比较基准下限，产品管理人将按照超出部分的50%收取超额业绩报酬</w:t>
            </w:r>
            <w:r>
              <w:rPr>
                <w:rFonts w:hint="eastAsia" w:ascii="楷体" w:hAnsi="楷体" w:eastAsia="楷体" w:cs="楷体"/>
                <w:color w:val="auto"/>
                <w:spacing w:val="-2"/>
                <w:sz w:val="18"/>
                <w:szCs w:val="18"/>
              </w:rPr>
              <w:t>。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楷体"/>
                <w:spacing w:val="-2"/>
                <w:kern w:val="2"/>
                <w:sz w:val="18"/>
                <w:szCs w:val="18"/>
                <w:highlight w:val="none"/>
                <w:lang w:val="en-US" w:eastAsia="zh-CN" w:bidi="ar-SA"/>
              </w:rPr>
            </w:pPr>
            <w:r>
              <w:rPr>
                <w:rFonts w:hint="eastAsia" w:ascii="楷体" w:hAnsi="楷体" w:eastAsia="楷体" w:cs="楷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楷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产品管理人</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s="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s="楷体"/>
          <w:color w:val="auto"/>
          <w:sz w:val="21"/>
          <w:szCs w:val="21"/>
          <w:highlight w:val="none"/>
          <w:lang w:val="en-US" w:eastAsia="zh-CN"/>
        </w:rPr>
        <w:t>监管机构</w:t>
      </w:r>
      <w:r>
        <w:rPr>
          <w:rFonts w:hint="eastAsia" w:ascii="楷体" w:hAnsi="楷体" w:eastAsia="楷体" w:cs="楷体"/>
          <w:color w:val="auto"/>
          <w:sz w:val="21"/>
          <w:szCs w:val="21"/>
          <w:highlight w:val="none"/>
        </w:rPr>
        <w:t>批准的其他业务等。</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者在此授权并同意苏银理财享有以下权利：按照本理财产品合同的约定，管理、运用和处分理财计划资金；按照本理财产品合同的约定，及时、足额获得投资管理费；管理人有权依照法律规定和监管机构的要求将投资者的信息向有权部门或相关机构披露；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以理财产品投资管理人的名义，依照法律法规相关规定以及代表理财产品份额持有人的利益行使代为追索的权利（包括但不限于提起诉讼/仲裁、申请保全/执行的权利）或者实施其他法律行为；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Cs w:val="21"/>
          <w:highlight w:val="none"/>
        </w:rPr>
        <w:t>产品托管人</w:t>
      </w:r>
    </w:p>
    <w:p>
      <w:pPr>
        <w:numPr>
          <w:ilvl w:val="0"/>
          <w:numId w:val="0"/>
        </w:numPr>
        <w:ind w:firstLine="420" w:firstLineChars="200"/>
        <w:rPr>
          <w:rFonts w:hint="default" w:ascii="楷体" w:hAnsi="楷体" w:eastAsia="楷体" w:cs="楷体"/>
          <w:color w:val="auto"/>
          <w:sz w:val="21"/>
          <w:szCs w:val="21"/>
          <w:lang w:val="en-US" w:eastAsia="zh-CN"/>
        </w:rPr>
      </w:pPr>
      <w:r>
        <w:rPr>
          <w:rFonts w:hint="eastAsia" w:ascii="楷体" w:hAnsi="楷体" w:eastAsia="楷体" w:cs="楷体"/>
          <w:color w:val="auto"/>
          <w:sz w:val="21"/>
          <w:szCs w:val="21"/>
          <w:highlight w:val="none"/>
        </w:rPr>
        <w:t>本产品托管人为</w:t>
      </w:r>
      <w:r>
        <w:rPr>
          <w:rFonts w:hint="eastAsia" w:ascii="楷体" w:hAnsi="楷体" w:eastAsia="楷体" w:cs="楷体"/>
          <w:b/>
          <w:bCs/>
          <w:color w:val="auto"/>
          <w:sz w:val="21"/>
          <w:szCs w:val="21"/>
          <w:highlight w:val="none"/>
          <w:u w:val="single"/>
          <w:lang w:val="en-US" w:eastAsia="zh-CN"/>
        </w:rPr>
        <w:t>江苏</w:t>
      </w:r>
      <w:r>
        <w:rPr>
          <w:rFonts w:hint="eastAsia" w:ascii="楷体" w:hAnsi="楷体" w:eastAsia="楷体" w:cs="楷体"/>
          <w:b/>
          <w:bCs/>
          <w:color w:val="auto"/>
          <w:sz w:val="21"/>
          <w:szCs w:val="21"/>
          <w:u w:val="single"/>
          <w:lang w:val="en-US" w:eastAsia="zh-CN"/>
        </w:rPr>
        <w:t>银行股份有限公司</w:t>
      </w:r>
      <w:r>
        <w:rPr>
          <w:rFonts w:hint="eastAsia" w:ascii="楷体" w:hAnsi="楷体" w:eastAsia="楷体" w:cs="楷体"/>
          <w:color w:val="auto"/>
          <w:sz w:val="21"/>
          <w:szCs w:val="21"/>
          <w:highlight w:val="none"/>
        </w:rPr>
        <w:t>。托管人职责</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color w:val="auto"/>
          <w:sz w:val="21"/>
          <w:szCs w:val="21"/>
          <w:u w:val="single"/>
          <w:lang w:val="en-US" w:eastAsia="zh-CN"/>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cs="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s="楷体"/>
          <w:color w:val="auto"/>
          <w:sz w:val="21"/>
          <w:szCs w:val="21"/>
          <w:highlight w:val="none"/>
          <w:lang w:val="en-US" w:eastAsia="zh-CN"/>
        </w:rPr>
        <w:t>销售文件</w:t>
      </w:r>
      <w:r>
        <w:rPr>
          <w:rFonts w:hint="eastAsia" w:ascii="楷体" w:hAnsi="楷体" w:eastAsia="楷体" w:cs="楷体"/>
          <w:b w:val="0"/>
          <w:bCs w:val="0"/>
          <w:sz w:val="21"/>
          <w:szCs w:val="21"/>
          <w:highlight w:val="none"/>
          <w:u w:val="none"/>
        </w:rPr>
        <w:t>、协助投资者与管理人沟通、接受投资者咨询和</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维护等销售服务工作。销售机构不承担产品投资</w:t>
      </w:r>
      <w:r>
        <w:rPr>
          <w:rFonts w:hint="eastAsia" w:ascii="楷体" w:hAnsi="楷体" w:eastAsia="楷体" w:cs="楷体"/>
          <w:b w:val="0"/>
          <w:bCs w:val="0"/>
          <w:sz w:val="21"/>
          <w:szCs w:val="21"/>
          <w:highlight w:val="none"/>
          <w:u w:val="none"/>
          <w:lang w:val="en-US" w:eastAsia="zh-CN"/>
        </w:rPr>
        <w:t>和</w:t>
      </w:r>
      <w:r>
        <w:rPr>
          <w:rFonts w:hint="eastAsia" w:ascii="楷体" w:hAnsi="楷体" w:eastAsia="楷体" w:cs="楷体"/>
          <w:b w:val="0"/>
          <w:bCs w:val="0"/>
          <w:sz w:val="21"/>
          <w:szCs w:val="21"/>
          <w:highlight w:val="none"/>
          <w:u w:val="none"/>
        </w:rPr>
        <w:t>兑付责任，产品的投资</w:t>
      </w:r>
      <w:r>
        <w:rPr>
          <w:rFonts w:hint="eastAsia" w:ascii="楷体" w:hAnsi="楷体" w:eastAsia="楷体" w:cs="楷体"/>
          <w:b w:val="0"/>
          <w:bCs w:val="0"/>
          <w:sz w:val="21"/>
          <w:szCs w:val="21"/>
          <w:highlight w:val="none"/>
          <w:u w:val="none"/>
          <w:lang w:val="en-US" w:eastAsia="zh-CN"/>
        </w:rPr>
        <w:t>和</w:t>
      </w:r>
      <w:r>
        <w:rPr>
          <w:rFonts w:hint="eastAsia" w:ascii="楷体" w:hAnsi="楷体" w:eastAsia="楷体" w:cs="楷体"/>
          <w:b w:val="0"/>
          <w:bCs w:val="0"/>
          <w:sz w:val="21"/>
          <w:szCs w:val="21"/>
          <w:highlight w:val="none"/>
          <w:u w:val="none"/>
        </w:rPr>
        <w:t>兑付责任由管理人承担。</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A份额：江苏银行股份有限公司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江苏姜堰农村商业银行股份有限公司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江苏高淳农村商业银行股份有限公司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江苏常熟农村商业银行股份有限公司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B份额：徽商银行股份有限公司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C份额：江苏银行股份有限公司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D份额：宁波通商银行股份有限公司/宁波东海银行股份有限公司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E份额：宁波通商银行股份有限公司/江苏银行股份有限公司/江苏常熟农村商业银行股份有限公司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F份额：威海银行股份有限公司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青岛银行股份有限公司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东营银行股份有限公司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齐鲁银行股份有限公司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宁夏银行股份有限公司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莱商银行股份有限公司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甘肃银行股份有限公司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秦皇岛银行股份有限公司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嘉兴银行股份有限公司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兰州银行股份有限公司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H份额：重庆农村商业银行股份有限公司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J份额：浙江舟山普陀农村商业银行股份有限公司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浙江舟山定海海洋农村商业银行股份有限公司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浙江永康农村商业银行股份有限公司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浙江永嘉农村商业银行股份有限公司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浙江萧山农村商业银行股份有限公司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浙江文成农村商业银行股份有限公司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浙江温州瓯海农村商业银行股份有限公司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浙江温州龙湾农村商业银行股份有限公司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浙江桐乡农村商业银行股份有限公司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浙江桐庐农村商业银行股份有限公司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浙江绍兴瑞丰农村商业银行股份有限公司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浙江上虞农村商业银行股份有限公司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浙江青田农村商业银行股份有限公司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浙江乐清农村商业银行股份有限公司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浙江兰溪农村商业银行股份有限公司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浙江江山农村商业银行股份有限公司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浙江嘉善农村商业银行股份有限公司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浙江禾城农村商业银行股份有限公司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浙江德清农村商业银行股份有限公司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浙江岱山农村商业银行股份有限公司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浙江淳安农村商业银行股份有限公司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浙江平湖农村商业银行股份有限公司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浙江杭州余杭农村商业银行股份有限公司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湖州吴兴农村商业银行股份有限公司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杭州联合农村商业银行股份有限公司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浙江台州黄岩农村商业银行股份有限公司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K份额：浙江舟山定海海洋农村商业银行股份有限公司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浙江新昌农村商业银行股份有限公司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浙江武义农村商业银行股份有限公司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浙江衢州柯城农村商业银行股份有限公司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浙江平湖农村商业银行股份有限公司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浙江龙游农村商业银行股份有限公司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浙江海盐农村商业银行股份有限公司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浙江浦江农村商业银行股份有限公司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浙江海宁农村商业银行股份有限公司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浙江绍兴瑞丰农村商业银行股份有限公司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浙江桐庐农村商业银行股份有限公司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浙江永康农村商业银行股份有限公司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浙江绍兴恒信农村商业银行股份有限公司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浙江兰溪农村商业银行股份有限公司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L份额：湖北银行股份有限公司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晋商银行股份有限公司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东莞农村商业银行股份有限公司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江苏苏州农村商业银行股份有限公司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江苏常熟农村商业银行股份有限公司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N份额：浙江海宁农村商业银行股份有限公司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P份额：山西银行股份有限公司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广州农村商业银行股份有限公司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北京农村商业银行股份有限公司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江门农村商业银行股份有限公司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default" w:ascii="楷体" w:hAnsi="楷体" w:eastAsia="楷体" w:cs="楷体"/>
          <w:b w:val="0"/>
          <w:bCs w:val="0"/>
          <w:sz w:val="21"/>
          <w:szCs w:val="21"/>
          <w:highlight w:val="none"/>
          <w:u w:val="none"/>
          <w:lang w:val="en-US" w:eastAsia="zh-CN"/>
        </w:rPr>
        <w:t>Z份额：郑州银行股份有限公司</w:t>
      </w:r>
      <w:r>
        <w:rPr>
          <w:rFonts w:hint="eastAsia" w:ascii="楷体" w:hAnsi="楷体" w:eastAsia="楷体" w:cs="楷体"/>
          <w:b w:val="0"/>
          <w:bCs w:val="0"/>
          <w:sz w:val="21"/>
          <w:szCs w:val="21"/>
          <w:highlight w:val="none"/>
          <w:u w:val="none"/>
          <w:lang w:val="en-US" w:eastAsia="zh-CN"/>
        </w:rPr>
        <w:t>/莱商银行股份有限公司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w:t>
      </w:r>
      <w:r>
        <w:rPr>
          <w:rFonts w:hint="default" w:ascii="楷体" w:hAnsi="楷体" w:eastAsia="楷体" w:cs="楷体"/>
          <w:b w:val="0"/>
          <w:bCs w:val="0"/>
          <w:sz w:val="21"/>
          <w:szCs w:val="21"/>
          <w:highlight w:val="none"/>
          <w:u w:val="none"/>
          <w:lang w:val="en-US" w:eastAsia="zh-CN"/>
        </w:rPr>
        <w:t>S份额：江苏靖江农村商业银行股份有限公司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江苏姜堰农村商业银行股份有限公司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江苏江南农村商业银行股份有限公司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江苏江都农村商业银行股份有限公司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江苏建湖农村商业银行股份有限公司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江苏海门农村商业银行股份有限公司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江苏海安农村商业银行股份有限公司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江苏灌云农村商业银行股份有限公司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江苏灌南农村商业银行股份有限公司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江苏高邮农村商业银行股份有限公司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江苏高淳农村商业银行股份有限公司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江苏赣榆农村商业银行股份有限公司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江苏阜宁农村商业银行股份有限公司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江苏丰县农村商业银行股份有限公司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江苏东台农村商业银行股份有限公司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江苏东海农村商业银行股份有限公司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江苏大丰农村商业银行股份有限公司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江苏常熟农村商业银行股份有限公司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江苏宝应农村商业银行股份有限公司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徐州农村商业银行股份有限公司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连云港东方农村商业银行股份有限公司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江苏紫金农村商业银行股份有限公司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江苏镇江农村商业银行股份有限公司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江苏张家港农村商业银行股份有限公司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江苏仪征农村商业银行股份有限公司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江苏扬州农村商业银行股份有限公司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江苏扬中农村商业银行股份有限公司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江苏盐城农村商业银行股份有限公司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江苏新沂农村商业银行股份有限公司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江苏泰兴农村商业银行股份有限公司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江苏睢宁农村商业银行股份有限公司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江苏泗阳农村商业银行股份有限公司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江苏沭阳农村商业银行股份有限公司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江苏射阳农村商业银行股份有限公司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江苏如皋农村商业银行股份有限公司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江苏如东农村商业银行股份有限公司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江苏启东农村商业银行股份有限公司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江苏邳州农村商业银行股份有限公司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江苏沛县农村商业银行股份有限公司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江苏民丰农村商业银行股份有限公司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江苏溧水农村商业银行股份有限公司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江苏句容农村商业银行股份有限公司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江苏宜兴农村商业银行股份有限公司</w:t>
      </w:r>
      <w:r>
        <w:rPr>
          <w:rFonts w:hint="eastAsia" w:ascii="楷体" w:hAnsi="楷体" w:eastAsia="楷体" w:cs="楷体"/>
          <w:b w:val="0"/>
          <w:bCs w:val="0"/>
          <w:sz w:val="21"/>
          <w:szCs w:val="21"/>
          <w:highlight w:val="none"/>
          <w:u w:val="none"/>
          <w:lang w:val="en-US" w:eastAsia="zh-CN"/>
        </w:rPr>
        <w:t>/</w:t>
      </w:r>
      <w:r>
        <w:rPr>
          <w:rFonts w:hint="default" w:ascii="楷体" w:hAnsi="楷体" w:eastAsia="楷体" w:cs="楷体"/>
          <w:b w:val="0"/>
          <w:bCs w:val="0"/>
          <w:sz w:val="21"/>
          <w:szCs w:val="21"/>
          <w:highlight w:val="none"/>
          <w:u w:val="none"/>
          <w:lang w:val="en-US" w:eastAsia="zh-CN"/>
        </w:rPr>
        <w:t>江苏金湖农村商业银行股份有限公司/江苏太仓农村商业银行股份有限公司</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名词释义</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在本</w:t>
      </w: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销售代码：指本理财产品可能</w:t>
      </w:r>
      <w:r>
        <w:rPr>
          <w:rFonts w:hint="eastAsia" w:ascii="楷体" w:hAnsi="楷体" w:eastAsia="楷体" w:cs="楷体"/>
          <w:color w:val="auto"/>
          <w:sz w:val="21"/>
          <w:szCs w:val="21"/>
          <w:highlight w:val="none"/>
          <w:lang w:val="en-US" w:eastAsia="zh-CN"/>
        </w:rPr>
        <w:t>设置一类或多类</w:t>
      </w:r>
      <w:r>
        <w:rPr>
          <w:rFonts w:hint="eastAsia" w:ascii="楷体" w:hAnsi="楷体" w:eastAsia="楷体" w:cs="楷体"/>
          <w:color w:val="auto"/>
          <w:sz w:val="21"/>
          <w:szCs w:val="21"/>
          <w:highlight w:val="none"/>
        </w:rPr>
        <w:t>产品份额，管理人在理财产品销售管理过程中</w:t>
      </w:r>
      <w:r>
        <w:rPr>
          <w:rFonts w:hint="eastAsia" w:ascii="楷体" w:hAnsi="楷体" w:eastAsia="楷体" w:cs="楷体"/>
          <w:color w:val="auto"/>
          <w:sz w:val="21"/>
          <w:szCs w:val="21"/>
          <w:highlight w:val="none"/>
          <w:lang w:val="en-US" w:eastAsia="zh-CN"/>
        </w:rPr>
        <w:t>对各类份额</w:t>
      </w:r>
      <w:r>
        <w:rPr>
          <w:rFonts w:hint="eastAsia" w:ascii="楷体" w:hAnsi="楷体" w:eastAsia="楷体" w:cs="楷体"/>
          <w:color w:val="auto"/>
          <w:sz w:val="21"/>
          <w:szCs w:val="21"/>
          <w:highlight w:val="none"/>
        </w:rPr>
        <w:t>设置的内部</w:t>
      </w:r>
      <w:r>
        <w:rPr>
          <w:rFonts w:hint="eastAsia" w:ascii="楷体" w:hAnsi="楷体" w:eastAsia="楷体" w:cs="楷体"/>
          <w:color w:val="auto"/>
          <w:sz w:val="21"/>
          <w:szCs w:val="21"/>
          <w:highlight w:val="none"/>
          <w:lang w:val="en-US" w:eastAsia="zh-CN"/>
        </w:rPr>
        <w:t>代码</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产品资产总值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流动性受限资产：</w:t>
      </w:r>
      <w:r>
        <w:rPr>
          <w:rFonts w:hint="eastAsia" w:ascii="楷体" w:hAnsi="楷体" w:eastAsia="楷体" w:cs="楷体"/>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kern w:val="2"/>
          <w:sz w:val="21"/>
          <w:szCs w:val="21"/>
          <w:highlight w:val="none"/>
        </w:rPr>
        <w:t>7个工作日可变现资产</w:t>
      </w:r>
      <w:r>
        <w:rPr>
          <w:rFonts w:hint="eastAsia" w:ascii="楷体" w:hAnsi="楷体" w:eastAsia="楷体" w:cs="楷体"/>
          <w:kern w:val="2"/>
          <w:sz w:val="21"/>
          <w:szCs w:val="21"/>
          <w:highlight w:val="none"/>
          <w:lang w:eastAsia="zh-CN"/>
        </w:rPr>
        <w:t>：</w:t>
      </w:r>
      <w:r>
        <w:rPr>
          <w:rFonts w:hint="eastAsia" w:ascii="楷体" w:hAnsi="楷体" w:eastAsia="楷体" w:cs="楷体"/>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工作日：</w:t>
      </w:r>
      <w:r>
        <w:rPr>
          <w:rFonts w:hint="eastAsia" w:ascii="楷体" w:hAnsi="楷体" w:eastAsia="楷体" w:cs="楷体"/>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交易日：指上海证券交易所和深圳证券交易所的正常开盘交易日。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份额登记日/份额确认日：指管理人对投资者提交的</w:t>
      </w:r>
      <w:r>
        <w:rPr>
          <w:rFonts w:hint="eastAsia" w:ascii="楷体" w:hAnsi="楷体" w:eastAsia="楷体" w:cs="楷体"/>
          <w:color w:val="auto"/>
          <w:sz w:val="21"/>
          <w:szCs w:val="21"/>
          <w:lang w:val="en-US" w:eastAsia="zh-CN"/>
        </w:rPr>
        <w:t>购买</w:t>
      </w:r>
      <w:r>
        <w:rPr>
          <w:rFonts w:hint="eastAsia" w:ascii="楷体" w:hAnsi="楷体" w:eastAsia="楷体" w:cs="楷体"/>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投资管理</w:t>
      </w:r>
    </w:p>
    <w:p>
      <w:pPr>
        <w:numPr>
          <w:ilvl w:val="0"/>
          <w:numId w:val="6"/>
        </w:numPr>
        <w:tabs>
          <w:tab w:val="left" w:pos="993"/>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投资范围和比例</w:t>
      </w:r>
    </w:p>
    <w:p>
      <w:pPr>
        <w:ind w:firstLine="420" w:firstLineChars="200"/>
        <w:rPr>
          <w:rFonts w:hint="default" w:ascii="楷体" w:hAnsi="楷体" w:eastAsia="楷体" w:cs="楷体"/>
          <w:color w:val="auto"/>
          <w:sz w:val="21"/>
          <w:szCs w:val="21"/>
          <w:lang w:val="en-US" w:eastAsia="zh-CN"/>
        </w:rPr>
      </w:pPr>
      <w:r>
        <w:rPr>
          <w:rFonts w:hint="eastAsia" w:ascii="楷体" w:hAnsi="楷体" w:eastAsia="楷体"/>
          <w:color w:val="auto"/>
          <w:sz w:val="21"/>
          <w:szCs w:val="21"/>
          <w:lang w:val="en-US" w:eastAsia="zh-CN"/>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拟投资</w:t>
      </w:r>
      <w:r>
        <w:rPr>
          <w:rFonts w:hint="eastAsia" w:ascii="楷体" w:hAnsi="楷体" w:eastAsia="楷体" w:cs="楷体"/>
          <w:b w:val="0"/>
          <w:bCs w:val="0"/>
          <w:color w:val="auto"/>
          <w:sz w:val="21"/>
          <w:szCs w:val="21"/>
          <w:highlight w:val="none"/>
          <w:u w:val="none"/>
        </w:rPr>
        <w:t>非标准化债权类资产</w:t>
      </w:r>
    </w:p>
    <w:p>
      <w:pPr>
        <w:ind w:firstLine="420" w:firstLineChars="200"/>
        <w:rPr>
          <w:rFonts w:hint="default"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本产品计划配置以下备选非标准化债权类资产：</w:t>
      </w:r>
    </w:p>
    <w:p>
      <w:pPr>
        <w:ind w:firstLine="400" w:firstLineChars="200"/>
        <w:rPr>
          <w:rFonts w:hint="default" w:ascii="楷体" w:hAnsi="楷体" w:eastAsia="楷体" w:cs="楷体"/>
          <w:color w:val="auto"/>
          <w:sz w:val="21"/>
          <w:szCs w:val="21"/>
          <w:highlight w:val="none"/>
          <w:lang w:val="en-US" w:eastAsia="zh-CN"/>
        </w:rPr>
      </w:pPr>
      <w:r>
        <w:rPr>
          <w:rFonts w:hint="eastAsia" w:ascii="楷体" w:hAnsi="楷体" w:eastAsia="楷体" w:cs="楷体"/>
          <w:sz w:val="20"/>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3）同业借款：融资人为中国中信金融资产管理股份有限公司。融资人经营正常，是依法成立的国有公司，主要股东为中国中信集团有限公司、财政局、中国融信私募基金有限公司，实际控制人为财政部。（4）同业借款：融资人为中国东方资产管理股份有限公司。融资人经营正常，是依法成立的国有公司，主要股东为中央汇金投资有限责任公司、全国社会保障基金理事会、中国电信集团有限公司，实际控制人为国务院。（5）同业借款：融资人为中国信达资产管理股份有限公司。融资人经营正常，是依法成立的国有公司，主要股东为中央汇金投资有限责任公司，实际控制人为国务院。（6）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7）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8）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9）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10）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11）收益凭证：融资人为华泰证券股份有限公司。融资人经营正常，是依法设立的持牌金融机构，主要股东为江苏省国信集团有限公司、香港中央结算（代理人）有限公司、江苏交通控股有限公司，无实际控制人。（12）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13）收益凭证：融资人为申万宏源证券有限公司。融资人经营正常，是依法设立的持牌金融机构，主要股东为申万宏源集团股份有限公司，实际控制人为中央汇金投资有限责任公司。（14）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15）收益凭证：融资人为浙商证券股份有限公司。融资人经营正常，是依法设立的持牌金融机构，主要股东为浙江上三高速公路有限公司、台州市金融投资集团有限公司，实际控制人为浙江省交通投资集团有限公司。（16）收益凭证：融资人为国投证券股份有限公司。融资人经营正常，是依法设立的持牌金融机构，主要股东为国投资本股份有限公司、上海毅胜投资有限公司，实际控制人为国家开发投资集团有限公司。（17）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18）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19）收益凭证：融资人为兴业证券股份有限公司。融资人经营正常，是依法设立的持牌金融机构，主要股东为福建省财政厅、福建省投资开发集团有限责任公司、上海申新（集团）有限公司，实际控制人为福建省财政厅。（20）收益凭证：融资人为财通证券股份有限公司。融资人经营正常，是依法设立的持牌金融机构，主要股东为浙江省创新投资集团有限公司、浙江省财开集团有限公司、台州市金融投资集团有限公司，实际控制人为浙江省财政厅。（21）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22）收益凭证：融资人为东海证券股份有限公司。融资人经营正常，是依法设立的持牌金融机构，主要股东为常州投资集团有限公司、山东金控资本管理有限公司，实际控制人为常州投资集团有限公司。（23）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24）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25）收益凭证：融资人为长城证券股份有限公司。融资人经营正常，是依法设立的持牌金融机构，主要股东为华能资本服务有限公司、深圳新江南投资有限公司、深圳能源集团股份有限公司，实际控制人为中央汇金投资有限责任公司。（26）收益凭证：融资人为广发证券股份有限公司。融资人经营正常，是依法设立的持牌金融机构，主要股东为香港中央结算（代理人）有限公司、吉林敖东药业集团股份有限公司、辽宁成大股份有限公司，无实际控制人。（27）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28）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r>
        <w:rPr>
          <w:rFonts w:hint="eastAsia" w:ascii="楷体" w:hAnsi="楷体" w:eastAsia="楷体" w:cs="楷体"/>
          <w:sz w:val="20"/>
          <w:lang w:eastAsia="zh-CN"/>
        </w:rPr>
        <w:t>（</w:t>
      </w:r>
      <w:r>
        <w:rPr>
          <w:rFonts w:hint="eastAsia" w:ascii="楷体" w:hAnsi="楷体" w:eastAsia="楷体" w:cs="楷体"/>
          <w:sz w:val="20"/>
          <w:lang w:val="en-US" w:eastAsia="zh-CN"/>
        </w:rPr>
        <w:t>29</w:t>
      </w:r>
      <w:r>
        <w:rPr>
          <w:rFonts w:hint="eastAsia" w:ascii="楷体" w:hAnsi="楷体" w:eastAsia="楷体" w:cs="楷体"/>
          <w:sz w:val="20"/>
          <w:lang w:eastAsia="zh-CN"/>
        </w:rPr>
        <w:t>）收益凭证：融资人为中国中金财富证券有限公司。融资人经营正常，是依法设立的持牌金融机构，主要股东为中国国际金融股份有限公司，实际控制人为中央汇金投资有限责任公司。（</w:t>
      </w:r>
      <w:r>
        <w:rPr>
          <w:rFonts w:hint="eastAsia" w:ascii="楷体" w:hAnsi="楷体" w:eastAsia="楷体" w:cs="楷体"/>
          <w:sz w:val="20"/>
          <w:lang w:val="en-US" w:eastAsia="zh-CN"/>
        </w:rPr>
        <w:t>30</w:t>
      </w:r>
      <w:r>
        <w:rPr>
          <w:rFonts w:hint="eastAsia" w:ascii="楷体" w:hAnsi="楷体" w:eastAsia="楷体" w:cs="楷体"/>
          <w:sz w:val="20"/>
          <w:lang w:eastAsia="zh-CN"/>
        </w:rPr>
        <w:t>）收益凭证：融资人为山西证券股份有限公司。融资人经营正常，是依法设立的持牌金融机构，主要股东为山西金融投资控股集团有限公司、太原钢铁（集团）有限公司、山西国际电力集团有限公司，实际控制人为山西省财政厅。</w:t>
      </w:r>
    </w:p>
    <w:p>
      <w:pPr>
        <w:ind w:firstLine="400" w:firstLineChars="200"/>
        <w:rPr>
          <w:rFonts w:hint="default" w:ascii="楷体" w:hAnsi="楷体" w:eastAsia="楷体" w:cs="楷体"/>
          <w:color w:val="auto"/>
          <w:sz w:val="21"/>
          <w:szCs w:val="21"/>
          <w:highlight w:val="none"/>
          <w:lang w:val="en-US" w:eastAsia="zh-CN"/>
        </w:rPr>
      </w:pPr>
      <w:r>
        <w:rPr>
          <w:rFonts w:hint="eastAsia" w:ascii="楷体" w:hAnsi="楷体" w:eastAsia="楷体" w:cs="楷体"/>
          <w:sz w:val="20"/>
          <w:lang w:val="en-US" w:eastAsia="zh-CN"/>
        </w:rPr>
        <w:t>上述</w:t>
      </w:r>
      <w:r>
        <w:rPr>
          <w:rFonts w:ascii="楷体" w:hAnsi="楷体" w:eastAsia="楷体" w:cs="楷体"/>
          <w:sz w:val="20"/>
        </w:rPr>
        <w:t>资产到期日不超过理财产品到期日，循环期不还本、摊还期过手摊还本息。</w:t>
      </w:r>
    </w:p>
    <w:p>
      <w:pPr>
        <w:numPr>
          <w:ilvl w:val="0"/>
          <w:numId w:val="6"/>
        </w:numPr>
        <w:tabs>
          <w:tab w:val="left" w:pos="993"/>
        </w:tabs>
        <w:ind w:firstLine="0" w:firstLineChars="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投资合作机构主要职责是对理财产品受托资金进行投资管理，</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hint="eastAsia" w:ascii="楷体" w:hAnsi="楷体" w:eastAsia="楷体" w:cs="楷体"/>
          <w:sz w:val="21"/>
          <w:szCs w:val="21"/>
        </w:rPr>
      </w:pP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⑤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⑥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⑦南方资本管理有限公司：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投资限制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1.本理财产品投资于单只证券或单只公募证券投资基金的市值不超过本产品净资产的10%。</w:t>
      </w:r>
    </w:p>
    <w:p>
      <w:pPr>
        <w:keepNext w:val="0"/>
        <w:keepLines w:val="0"/>
        <w:pageBreakBefore w:val="0"/>
        <w:widowControl w:val="0"/>
        <w:kinsoku/>
        <w:wordWrap/>
        <w:overflowPunct/>
        <w:topLinePunct w:val="0"/>
        <w:autoSpaceDE/>
        <w:autoSpaceDN/>
        <w:bidi w:val="0"/>
        <w:adjustRightInd/>
        <w:snapToGrid/>
        <w:ind w:firstLine="400" w:firstLineChars="200"/>
        <w:textAlignment w:val="auto"/>
        <w:rPr>
          <w:rFonts w:hint="eastAsia" w:ascii="楷体" w:hAnsi="楷体" w:eastAsia="楷体" w:cs="楷体"/>
          <w:color w:val="auto"/>
          <w:sz w:val="21"/>
          <w:szCs w:val="21"/>
          <w:lang w:val="en-US" w:eastAsia="zh-CN"/>
        </w:rPr>
      </w:pPr>
      <w:r>
        <w:rPr>
          <w:rFonts w:ascii="楷体" w:hAnsi="楷体" w:eastAsia="楷体" w:cs="楷体"/>
          <w:sz w:val="20"/>
        </w:rPr>
        <w:t>2.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kinsoku/>
        <w:wordWrap/>
        <w:overflowPunct/>
        <w:topLinePunct w:val="0"/>
        <w:autoSpaceDE/>
        <w:autoSpaceDN/>
        <w:bidi w:val="0"/>
        <w:adjustRightInd/>
        <w:snapToGrid/>
        <w:ind w:firstLine="400" w:firstLineChars="200"/>
        <w:textAlignment w:val="auto"/>
        <w:rPr>
          <w:rFonts w:hint="eastAsia" w:ascii="楷体" w:hAnsi="楷体" w:eastAsia="楷体" w:cs="楷体"/>
          <w:color w:val="auto"/>
          <w:sz w:val="21"/>
          <w:szCs w:val="21"/>
          <w:lang w:val="en-US" w:eastAsia="zh-CN"/>
        </w:rPr>
      </w:pPr>
      <w:r>
        <w:rPr>
          <w:rFonts w:ascii="楷体" w:hAnsi="楷体" w:eastAsia="楷体" w:cs="楷体"/>
          <w:sz w:val="20"/>
        </w:rPr>
        <w:t>3.管理人全部产品持有单一上市公司发行的股票，不得超过该上市公司可流通股票的30%。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00" w:firstLineChars="200"/>
        <w:textAlignment w:val="auto"/>
        <w:rPr>
          <w:rFonts w:hint="eastAsia" w:ascii="楷体" w:hAnsi="楷体" w:eastAsia="楷体" w:cs="楷体"/>
          <w:color w:val="auto"/>
          <w:sz w:val="21"/>
          <w:szCs w:val="21"/>
          <w:lang w:val="en-US" w:eastAsia="zh-CN"/>
        </w:rPr>
      </w:pPr>
      <w:r>
        <w:rPr>
          <w:rFonts w:ascii="楷体" w:hAnsi="楷体" w:eastAsia="楷体" w:cs="楷体"/>
          <w:sz w:val="20"/>
        </w:rPr>
        <w:t>针对上述1、2、3项，非因管理人主观因素致使不符合前述比例限制的，管理人将在流动性受限资产可出售、可转让或者恢复交易的10个交易日内调整至符合相关要求。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楷体" w:hAnsi="楷体" w:eastAsia="楷体" w:cs="楷体"/>
          <w:color w:val="auto"/>
          <w:sz w:val="21"/>
          <w:szCs w:val="21"/>
          <w:lang w:val="en-US" w:eastAsia="zh-CN"/>
        </w:rPr>
      </w:pP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杠杆率</w:t>
      </w:r>
      <w:r>
        <w:rPr>
          <w:rFonts w:hint="eastAsia" w:ascii="楷体" w:hAnsi="楷体" w:eastAsia="楷体" w:cs="楷体"/>
          <w:color w:val="auto"/>
          <w:sz w:val="21"/>
          <w:szCs w:val="21"/>
        </w:rPr>
        <w:t>不</w:t>
      </w:r>
      <w:r>
        <w:rPr>
          <w:rFonts w:hint="eastAsia" w:ascii="楷体" w:hAnsi="楷体" w:eastAsia="楷体" w:cs="楷体"/>
          <w:color w:val="auto"/>
          <w:sz w:val="21"/>
          <w:szCs w:val="21"/>
          <w:highlight w:val="none"/>
        </w:rPr>
        <w:t>超过</w:t>
      </w:r>
      <w:r>
        <w:rPr>
          <w:rFonts w:hint="eastAsia" w:ascii="楷体" w:hAnsi="楷体" w:eastAsia="楷体" w:cs="楷体"/>
          <w:color w:val="auto"/>
          <w:sz w:val="21"/>
          <w:szCs w:val="21"/>
          <w:highlight w:val="none"/>
          <w:lang w:val="en-US" w:eastAsia="zh-CN"/>
        </w:rPr>
        <w:t>200%。</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将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lang w:val="en-US" w:eastAsia="zh-CN"/>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cs="楷体"/>
          <w:color w:val="auto"/>
          <w:sz w:val="21"/>
          <w:szCs w:val="21"/>
          <w:highlight w:val="none"/>
        </w:rPr>
        <w:t>。</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产品认购</w:t>
      </w:r>
    </w:p>
    <w:p>
      <w:pPr>
        <w:numPr>
          <w:ilvl w:val="0"/>
          <w:numId w:val="7"/>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认购方式</w:t>
      </w:r>
      <w:r>
        <w:rPr>
          <w:rFonts w:hint="eastAsia" w:ascii="楷体" w:hAnsi="楷体" w:eastAsia="楷体" w:cs="楷体"/>
          <w:color w:val="auto"/>
          <w:sz w:val="21"/>
          <w:szCs w:val="21"/>
          <w:lang w:val="en-US" w:eastAsia="zh-CN"/>
        </w:rPr>
        <w:t>及确认</w:t>
      </w:r>
    </w:p>
    <w:p>
      <w:pPr>
        <w:numPr>
          <w:ilvl w:val="0"/>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7"/>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认购份额的计算</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认购份额=认购金额/产品</w:t>
      </w:r>
      <w:r>
        <w:rPr>
          <w:rFonts w:hint="eastAsia" w:ascii="楷体" w:hAnsi="楷体" w:eastAsia="楷体" w:cs="楷体"/>
          <w:color w:val="auto"/>
          <w:sz w:val="21"/>
          <w:szCs w:val="21"/>
          <w:lang w:val="en-US" w:eastAsia="zh-CN"/>
        </w:rPr>
        <w:t>份额面值，</w:t>
      </w:r>
      <w:r>
        <w:rPr>
          <w:rFonts w:hint="eastAsia" w:ascii="楷体" w:hAnsi="楷体" w:eastAsia="楷体" w:cs="楷体"/>
          <w:color w:val="auto"/>
          <w:sz w:val="21"/>
          <w:szCs w:val="21"/>
        </w:rPr>
        <w:t>认购份额以四舍五入的方法保留到小数点后两位。</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产品终止</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提前终止</w:t>
      </w:r>
    </w:p>
    <w:p>
      <w:pPr>
        <w:numPr>
          <w:ilvl w:val="0"/>
          <w:numId w:val="0"/>
        </w:numPr>
        <w:ind w:left="0"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在理财产品投资运作期间内，投资者无权要求提前终止该理财产品。在理财产品投资运作期间内，</w:t>
      </w:r>
      <w:r>
        <w:rPr>
          <w:rFonts w:hint="eastAsia" w:ascii="楷体" w:hAnsi="楷体" w:eastAsia="楷体" w:cs="楷体"/>
          <w:b w:val="0"/>
          <w:bCs w:val="0"/>
          <w:color w:val="auto"/>
          <w:sz w:val="21"/>
          <w:szCs w:val="21"/>
          <w:lang w:val="en-US" w:eastAsia="zh-CN"/>
        </w:rPr>
        <w:t>包括但不限于</w:t>
      </w:r>
      <w:r>
        <w:rPr>
          <w:rFonts w:hint="eastAsia" w:ascii="楷体" w:hAnsi="楷体" w:eastAsia="楷体" w:cs="楷体"/>
          <w:b w:val="0"/>
          <w:bCs w:val="0"/>
          <w:color w:val="auto"/>
          <w:sz w:val="21"/>
          <w:szCs w:val="21"/>
        </w:rPr>
        <w:t>出现下列情形时，产品管理人有权提前终止本产品：因不可抗力原因导致理财产品无法继续运作；因法律法规变化或国家金融政策调整。如理财产品管理人提前终止本理财产品，将至少提前2个工作日（含）按说明书约定的信息披露方式予以披露</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明确产品终止日</w:t>
      </w:r>
      <w:r>
        <w:rPr>
          <w:rFonts w:hint="eastAsia" w:ascii="楷体" w:hAnsi="楷体" w:eastAsia="楷体" w:cs="楷体"/>
          <w:b w:val="0"/>
          <w:bCs w:val="0"/>
          <w:color w:val="auto"/>
          <w:sz w:val="21"/>
          <w:szCs w:val="21"/>
        </w:rPr>
        <w:t>。</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正常终止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投资者持有本理财产品至产品到期日，投资者的投资本金和收益（如有）将在产品到期后一次性支付。</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延期</w:t>
      </w:r>
      <w:r>
        <w:rPr>
          <w:rFonts w:hint="eastAsia" w:ascii="楷体" w:hAnsi="楷体" w:eastAsia="楷体" w:cs="楷体"/>
          <w:color w:val="auto"/>
          <w:sz w:val="21"/>
          <w:szCs w:val="21"/>
          <w:lang w:val="en-US" w:eastAsia="zh-CN"/>
        </w:rPr>
        <w:t>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highlight w:val="none"/>
          <w:lang w:val="en-US" w:eastAsia="zh-CN"/>
        </w:rPr>
        <w:t>在</w:t>
      </w:r>
      <w:r>
        <w:rPr>
          <w:rFonts w:hint="eastAsia" w:ascii="楷体" w:hAnsi="楷体" w:eastAsia="楷体" w:cs="楷体"/>
          <w:b w:val="0"/>
          <w:bCs w:val="0"/>
          <w:color w:val="auto"/>
          <w:sz w:val="21"/>
          <w:szCs w:val="21"/>
          <w:highlight w:val="none"/>
        </w:rPr>
        <w:t>不可抗力、法律法规规定或监管部门认定的其他情形</w:t>
      </w:r>
      <w:r>
        <w:rPr>
          <w:rFonts w:hint="eastAsia" w:ascii="楷体" w:hAnsi="楷体" w:eastAsia="楷体" w:cs="楷体"/>
          <w:b w:val="0"/>
          <w:bCs w:val="0"/>
          <w:color w:val="auto"/>
          <w:sz w:val="21"/>
          <w:szCs w:val="21"/>
          <w:highlight w:val="none"/>
          <w:lang w:val="en-US" w:eastAsia="zh-CN"/>
        </w:rPr>
        <w:t>下</w:t>
      </w:r>
      <w:r>
        <w:rPr>
          <w:rFonts w:hint="eastAsia" w:ascii="楷体" w:hAnsi="楷体" w:eastAsia="楷体" w:cs="楷体"/>
          <w:b w:val="0"/>
          <w:bCs w:val="0"/>
          <w:color w:val="auto"/>
          <w:sz w:val="21"/>
          <w:szCs w:val="21"/>
          <w:highlight w:val="none"/>
        </w:rPr>
        <w:t>，产品管理人有权延长本理财产品的终止日。产品管理人决定延期兑付的，将至少提前2个工作日（含）按说明书约定的信息披露方式予以披露。</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投资者可得资金计算</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投资者可得资金=投资者持有份额×产品到期</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终止）</w:t>
      </w:r>
      <w:r>
        <w:rPr>
          <w:rFonts w:hint="eastAsia" w:ascii="楷体" w:hAnsi="楷体" w:eastAsia="楷体" w:cs="楷体"/>
          <w:b w:val="0"/>
          <w:bCs w:val="0"/>
          <w:color w:val="auto"/>
          <w:sz w:val="21"/>
          <w:szCs w:val="21"/>
        </w:rPr>
        <w:t>时单位净值</w:t>
      </w:r>
      <w:r>
        <w:rPr>
          <w:rFonts w:hint="eastAsia" w:ascii="楷体" w:hAnsi="楷体" w:eastAsia="楷体" w:cs="楷体"/>
          <w:b w:val="0"/>
          <w:bCs w:val="0"/>
          <w:color w:val="auto"/>
          <w:sz w:val="21"/>
          <w:szCs w:val="21"/>
          <w:lang w:val="en-US" w:eastAsia="zh-CN"/>
        </w:rPr>
        <w:t>-超额业绩报酬（如有）</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rPr>
        <w:t>投资者可得资金以四舍五入的方法保留到小数点后两位。</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终止</w:t>
      </w:r>
      <w:r>
        <w:rPr>
          <w:rFonts w:hint="eastAsia" w:ascii="楷体" w:hAnsi="楷体" w:eastAsia="楷体" w:cs="楷体"/>
          <w:color w:val="auto"/>
          <w:sz w:val="21"/>
          <w:szCs w:val="21"/>
        </w:rPr>
        <w:t>清算</w:t>
      </w:r>
    </w:p>
    <w:p>
      <w:pPr>
        <w:ind w:firstLine="420" w:firstLineChars="200"/>
        <w:rPr>
          <w:rFonts w:hint="eastAsia" w:ascii="楷体" w:hAnsi="楷体" w:eastAsia="楷体" w:cs="楷体"/>
        </w:rPr>
      </w:pPr>
      <w:r>
        <w:rPr>
          <w:rFonts w:hint="eastAsia" w:ascii="楷体" w:hAnsi="楷体" w:eastAsia="楷体" w:cs="楷体"/>
          <w:color w:val="auto"/>
          <w:sz w:val="21"/>
          <w:szCs w:val="21"/>
        </w:rPr>
        <w:t>投资者的投资本金和收益（如有）将于产品到期日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产品终止日）</w:t>
      </w:r>
      <w:r>
        <w:rPr>
          <w:rFonts w:hint="eastAsia" w:ascii="楷体" w:hAnsi="楷体" w:eastAsia="楷体" w:cs="楷体"/>
          <w:color w:val="auto"/>
          <w:sz w:val="21"/>
          <w:szCs w:val="21"/>
        </w:rPr>
        <w:t>后5个工作日以内划至投资者指定账户，如遇</w:t>
      </w:r>
      <w:r>
        <w:rPr>
          <w:rFonts w:hint="eastAsia" w:ascii="楷体" w:hAnsi="楷体" w:eastAsia="楷体" w:cs="楷体"/>
          <w:color w:val="auto"/>
          <w:sz w:val="21"/>
          <w:szCs w:val="21"/>
          <w:lang w:val="en-US" w:eastAsia="zh-CN"/>
        </w:rPr>
        <w:t>非工作日</w:t>
      </w:r>
      <w:r>
        <w:rPr>
          <w:rFonts w:hint="eastAsia" w:ascii="楷体" w:hAnsi="楷体" w:eastAsia="楷体" w:cs="楷体"/>
          <w:color w:val="auto"/>
          <w:sz w:val="21"/>
          <w:szCs w:val="21"/>
        </w:rPr>
        <w:t>则相应顺延。</w:t>
      </w:r>
    </w:p>
    <w:p>
      <w:pPr>
        <w:numPr>
          <w:ilvl w:val="0"/>
          <w:numId w:val="2"/>
        </w:numPr>
        <w:tabs>
          <w:tab w:val="left" w:pos="1134"/>
        </w:tabs>
        <w:ind w:left="420" w:leftChars="0" w:firstLine="0" w:firstLineChars="0"/>
        <w:rPr>
          <w:rFonts w:hint="eastAsia" w:ascii="楷体" w:hAnsi="楷体" w:eastAsia="楷体" w:cs="楷体"/>
          <w:b/>
          <w:color w:val="auto"/>
          <w:sz w:val="21"/>
          <w:szCs w:val="21"/>
          <w:lang w:val="en-US" w:eastAsia="zh-CN"/>
        </w:rPr>
      </w:pPr>
      <w:r>
        <w:rPr>
          <w:rFonts w:hint="eastAsia" w:ascii="楷体" w:hAnsi="楷体" w:eastAsia="楷体" w:cs="楷体"/>
          <w:b/>
          <w:color w:val="auto"/>
          <w:sz w:val="21"/>
          <w:szCs w:val="21"/>
          <w:lang w:val="en-US" w:eastAsia="zh-CN"/>
        </w:rPr>
        <w:t>情景示例</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以下示例均为假设情况，不代表本产品实际投资业绩。</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1.情景一</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-10,000.00=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2.情景二</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-10,000.00=-2</w:t>
      </w:r>
      <w:r>
        <w:rPr>
          <w:rFonts w:hint="eastAsia" w:ascii="楷体" w:hAnsi="楷体" w:eastAsia="楷体" w:cs="楷体"/>
          <w:color w:val="auto"/>
          <w:sz w:val="21"/>
          <w:szCs w:val="21"/>
          <w:lang w:val="en-US" w:eastAsia="zh-CN"/>
        </w:rPr>
        <w:t>4</w:t>
      </w:r>
      <w:r>
        <w:rPr>
          <w:rFonts w:hint="eastAsia" w:ascii="楷体" w:hAnsi="楷体" w:eastAsia="楷体" w:cs="楷体"/>
          <w:color w:val="auto"/>
          <w:sz w:val="21"/>
          <w:szCs w:val="21"/>
        </w:rPr>
        <w:t>.0</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（元）</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cs="楷体"/>
          <w:b/>
          <w:bCs w:val="0"/>
          <w:sz w:val="21"/>
          <w:szCs w:val="21"/>
          <w:highlight w:val="none"/>
        </w:rPr>
      </w:pPr>
      <w:r>
        <w:rPr>
          <w:rFonts w:hint="eastAsia" w:ascii="楷体" w:hAnsi="楷体" w:eastAsia="楷体" w:cs="楷体"/>
          <w:b/>
          <w:bCs w:val="0"/>
          <w:color w:val="auto"/>
          <w:sz w:val="21"/>
          <w:szCs w:val="21"/>
          <w:lang w:val="en-US" w:eastAsia="zh-CN"/>
        </w:rPr>
        <w:t>产品费用</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本产品费用包括托管费、销售服务费、投资管理费、超额业绩报酬（如有）以及产品运作和清算中产生的其他费用等。计提方法</w:t>
      </w:r>
      <w:r>
        <w:rPr>
          <w:rFonts w:hint="eastAsia" w:ascii="楷体" w:hAnsi="楷体" w:eastAsia="楷体" w:cs="楷体"/>
          <w:color w:val="auto"/>
          <w:sz w:val="21"/>
          <w:szCs w:val="21"/>
          <w:lang w:val="en-US" w:eastAsia="zh-CN"/>
        </w:rPr>
        <w:t>如下:</w:t>
      </w:r>
    </w:p>
    <w:p>
      <w:pPr>
        <w:numPr>
          <w:ilvl w:val="0"/>
          <w:numId w:val="9"/>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托管费：每日计提，</w:t>
      </w:r>
      <w:r>
        <w:rPr>
          <w:rFonts w:hint="eastAsia" w:ascii="楷体" w:hAnsi="楷体" w:eastAsia="楷体" w:cs="楷体"/>
          <w:sz w:val="21"/>
          <w:szCs w:val="21"/>
        </w:rPr>
        <w:t>每日应计提的托管费＝前一日的产品资产净值×托管费率÷365</w:t>
      </w:r>
      <w:r>
        <w:rPr>
          <w:rFonts w:hint="eastAsia" w:ascii="楷体" w:hAnsi="楷体" w:eastAsia="楷体" w:cs="楷体"/>
          <w:sz w:val="21"/>
          <w:szCs w:val="21"/>
          <w:lang w:eastAsia="zh-CN"/>
        </w:rPr>
        <w:t>。</w:t>
      </w:r>
    </w:p>
    <w:p>
      <w:pPr>
        <w:numPr>
          <w:ilvl w:val="0"/>
          <w:numId w:val="9"/>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销售服务费：</w:t>
      </w:r>
    </w:p>
    <w:p>
      <w:pPr>
        <w:numPr>
          <w:ilvl w:val="-1"/>
          <w:numId w:val="0"/>
        </w:numPr>
        <w:tabs>
          <w:tab w:val="left" w:pos="728"/>
        </w:tabs>
        <w:ind w:firstLine="420" w:firstLineChars="200"/>
        <w:rPr>
          <w:rFonts w:hint="eastAsia" w:ascii="楷体" w:hAnsi="楷体" w:eastAsia="楷体" w:cs="楷体"/>
          <w:sz w:val="21"/>
          <w:szCs w:val="21"/>
          <w:lang w:eastAsia="zh-CN"/>
        </w:rPr>
      </w:pPr>
      <w:r>
        <w:rPr>
          <w:rFonts w:hint="eastAsia" w:ascii="楷体" w:hAnsi="楷体" w:eastAsia="楷体" w:cs="楷体"/>
          <w:color w:val="auto"/>
          <w:sz w:val="21"/>
          <w:szCs w:val="21"/>
        </w:rPr>
        <w:t>①</w:t>
      </w:r>
      <w:r>
        <w:rPr>
          <w:rFonts w:hint="eastAsia" w:ascii="楷体" w:hAnsi="楷体" w:eastAsia="楷体" w:cs="楷体"/>
          <w:color w:val="auto"/>
          <w:sz w:val="21"/>
          <w:szCs w:val="21"/>
          <w:lang w:val="en-US" w:eastAsia="zh-CN"/>
        </w:rPr>
        <w:t>每日计提模式：</w:t>
      </w:r>
      <w:r>
        <w:rPr>
          <w:rFonts w:hint="eastAsia" w:ascii="楷体" w:hAnsi="楷体" w:eastAsia="楷体" w:cs="楷体"/>
          <w:color w:val="auto"/>
          <w:sz w:val="21"/>
          <w:szCs w:val="21"/>
        </w:rPr>
        <w:t>每日计提</w:t>
      </w:r>
      <w:r>
        <w:rPr>
          <w:rFonts w:hint="eastAsia" w:ascii="楷体" w:hAnsi="楷体" w:eastAsia="楷体" w:cs="楷体"/>
          <w:color w:val="auto"/>
          <w:sz w:val="21"/>
          <w:szCs w:val="21"/>
          <w:lang w:eastAsia="zh-CN"/>
        </w:rPr>
        <w:t>，</w:t>
      </w:r>
      <w:r>
        <w:rPr>
          <w:rFonts w:hint="eastAsia" w:ascii="楷体" w:hAnsi="楷体" w:eastAsia="楷体" w:cs="楷体"/>
          <w:sz w:val="21"/>
          <w:szCs w:val="21"/>
        </w:rPr>
        <w:t>每日应计提的销售服务费＝前一日的产品资产净值×销售服务费率÷365</w:t>
      </w:r>
      <w:r>
        <w:rPr>
          <w:rFonts w:hint="eastAsia" w:ascii="楷体" w:hAnsi="楷体" w:eastAsia="楷体" w:cs="楷体"/>
          <w:sz w:val="21"/>
          <w:szCs w:val="21"/>
          <w:lang w:eastAsia="zh-CN"/>
        </w:rPr>
        <w:t>。</w:t>
      </w:r>
    </w:p>
    <w:p>
      <w:pPr>
        <w:ind w:firstLine="420" w:firstLineChars="200"/>
        <w:rPr>
          <w:rFonts w:hint="eastAsia" w:ascii="楷体" w:hAnsi="楷体" w:eastAsia="楷体" w:cs="楷体"/>
          <w:szCs w:val="21"/>
          <w:lang w:eastAsia="zh-CN"/>
        </w:rPr>
      </w:pPr>
      <w:r>
        <w:rPr>
          <w:rFonts w:hint="eastAsia" w:ascii="楷体" w:hAnsi="楷体" w:eastAsia="楷体" w:cs="楷体"/>
          <w:szCs w:val="21"/>
        </w:rPr>
        <w:t>②</w:t>
      </w:r>
      <w:r>
        <w:rPr>
          <w:rFonts w:hint="eastAsia" w:ascii="楷体" w:hAnsi="楷体" w:eastAsia="楷体" w:cs="楷体"/>
          <w:szCs w:val="21"/>
          <w:lang w:val="en-US" w:eastAsia="zh-CN"/>
        </w:rPr>
        <w:t>一次性提取模式：</w:t>
      </w:r>
      <w:r>
        <w:rPr>
          <w:rFonts w:hint="eastAsia" w:ascii="楷体" w:hAnsi="楷体" w:eastAsia="楷体" w:cs="楷体"/>
          <w:szCs w:val="21"/>
        </w:rPr>
        <w:t>成立日一次性提取，每日摊销</w:t>
      </w:r>
      <w:r>
        <w:rPr>
          <w:rFonts w:hint="eastAsia" w:ascii="楷体" w:hAnsi="楷体" w:eastAsia="楷体" w:cs="楷体"/>
          <w:szCs w:val="21"/>
          <w:lang w:eastAsia="zh-CN"/>
        </w:rPr>
        <w:t>，</w:t>
      </w:r>
      <w:r>
        <w:rPr>
          <w:rFonts w:hint="eastAsia" w:ascii="楷体" w:hAnsi="楷体" w:eastAsia="楷体" w:cs="楷体"/>
          <w:szCs w:val="21"/>
        </w:rPr>
        <w:t>销售服务费＝产品成立日的产品份额</w:t>
      </w:r>
      <w:r>
        <w:rPr>
          <w:rFonts w:hint="eastAsia" w:ascii="楷体" w:hAnsi="楷体" w:eastAsia="楷体" w:cs="楷体"/>
          <w:szCs w:val="21"/>
          <w:lang w:val="en-US" w:eastAsia="zh-CN"/>
        </w:rPr>
        <w:t>数</w:t>
      </w:r>
      <w:r>
        <w:rPr>
          <w:rFonts w:hint="eastAsia" w:ascii="楷体" w:hAnsi="楷体" w:eastAsia="楷体" w:cs="楷体"/>
          <w:szCs w:val="21"/>
        </w:rPr>
        <w:t>×销售服务费率×产品投资期限天数÷365</w:t>
      </w:r>
      <w:r>
        <w:rPr>
          <w:rFonts w:hint="eastAsia" w:ascii="楷体" w:hAnsi="楷体" w:eastAsia="楷体" w:cs="楷体"/>
          <w:szCs w:val="21"/>
          <w:lang w:eastAsia="zh-CN"/>
        </w:rPr>
        <w:t>。</w:t>
      </w:r>
    </w:p>
    <w:p>
      <w:pPr>
        <w:numPr>
          <w:ilvl w:val="0"/>
          <w:numId w:val="9"/>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投资管理费：每日计提，</w:t>
      </w:r>
      <w:r>
        <w:rPr>
          <w:rFonts w:hint="eastAsia" w:ascii="楷体" w:hAnsi="楷体" w:eastAsia="楷体" w:cs="楷体"/>
          <w:sz w:val="21"/>
          <w:szCs w:val="21"/>
        </w:rPr>
        <w:t>每日应计提的投资管理费＝前一日的产品资产净值×投资管理费率÷365</w:t>
      </w:r>
      <w:r>
        <w:rPr>
          <w:rFonts w:hint="eastAsia" w:ascii="楷体" w:hAnsi="楷体" w:eastAsia="楷体" w:cs="楷体"/>
          <w:sz w:val="21"/>
          <w:szCs w:val="21"/>
          <w:lang w:eastAsia="zh-CN"/>
        </w:rPr>
        <w:t>。</w:t>
      </w:r>
    </w:p>
    <w:p>
      <w:pPr>
        <w:numPr>
          <w:ilvl w:val="0"/>
          <w:numId w:val="9"/>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超额业绩报酬</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如有）</w:t>
      </w:r>
      <w:r>
        <w:rPr>
          <w:rFonts w:hint="eastAsia" w:ascii="楷体" w:hAnsi="楷体" w:eastAsia="楷体" w:cs="楷体"/>
          <w:color w:val="auto"/>
          <w:sz w:val="21"/>
          <w:szCs w:val="21"/>
        </w:rPr>
        <w:t>：</w:t>
      </w:r>
      <w:r>
        <w:rPr>
          <w:rFonts w:hint="eastAsia" w:ascii="楷体" w:hAnsi="楷体" w:eastAsia="楷体" w:cs="楷体"/>
          <w:sz w:val="21"/>
          <w:szCs w:val="21"/>
          <w:highlight w:val="none"/>
        </w:rPr>
        <w:t>管理人按</w:t>
      </w:r>
      <w:r>
        <w:rPr>
          <w:rFonts w:hint="eastAsia" w:ascii="楷体" w:hAnsi="楷体" w:eastAsia="楷体" w:cs="楷体"/>
          <w:sz w:val="21"/>
          <w:szCs w:val="21"/>
          <w:highlight w:val="none"/>
          <w:lang w:val="en-US" w:eastAsia="zh-CN"/>
        </w:rPr>
        <w:t>产品存续期</w:t>
      </w:r>
      <w:r>
        <w:rPr>
          <w:rFonts w:hint="eastAsia" w:ascii="楷体" w:hAnsi="楷体" w:eastAsia="楷体" w:cs="楷体"/>
          <w:sz w:val="21"/>
          <w:szCs w:val="21"/>
          <w:highlight w:val="none"/>
        </w:rPr>
        <w:t>收取超额业绩报酬</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lang w:val="en-US" w:eastAsia="zh-CN"/>
        </w:rPr>
        <w:t>超额业绩报酬计算详见“产品要素”。</w:t>
      </w:r>
    </w:p>
    <w:p>
      <w:pPr>
        <w:numPr>
          <w:ilvl w:val="0"/>
          <w:numId w:val="9"/>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产品运作和清算中产生的交易手续费、注册登记费、账户服务费、审计费及其他应由本产品承担的费用从产品中列支。</w:t>
      </w:r>
    </w:p>
    <w:p>
      <w:pPr>
        <w:numPr>
          <w:ilvl w:val="0"/>
          <w:numId w:val="9"/>
        </w:numPr>
        <w:tabs>
          <w:tab w:val="left" w:pos="728"/>
        </w:tabs>
        <w:ind w:left="0" w:firstLine="420" w:firstLineChars="200"/>
        <w:rPr>
          <w:rFonts w:hint="eastAsia" w:ascii="楷体" w:hAnsi="楷体" w:eastAsia="楷体" w:cs="楷体"/>
        </w:rPr>
      </w:pPr>
      <w:r>
        <w:rPr>
          <w:rFonts w:hint="eastAsia" w:ascii="楷体" w:hAnsi="楷体" w:eastAsia="楷体" w:cs="楷体"/>
          <w:color w:val="auto"/>
          <w:szCs w:val="21"/>
        </w:rPr>
        <w:t>本产品不收取认购费用、申购费用、赎回费用。</w:t>
      </w:r>
    </w:p>
    <w:p>
      <w:pPr>
        <w:numPr>
          <w:ilvl w:val="0"/>
          <w:numId w:val="9"/>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Cs w:val="21"/>
          <w:lang w:val="en-US" w:eastAsia="zh-CN"/>
        </w:rPr>
        <w:t>费用计算</w:t>
      </w:r>
      <w:r>
        <w:rPr>
          <w:rFonts w:hint="eastAsia" w:ascii="楷体" w:hAnsi="楷体" w:eastAsia="楷体" w:cs="楷体"/>
          <w:color w:val="auto"/>
          <w:szCs w:val="21"/>
        </w:rPr>
        <w:t>四舍五入保留至小数点后两位</w:t>
      </w:r>
      <w:r>
        <w:rPr>
          <w:rFonts w:hint="eastAsia" w:ascii="楷体" w:hAnsi="楷体" w:eastAsia="楷体" w:cs="楷体"/>
          <w:color w:val="auto"/>
          <w:szCs w:val="21"/>
          <w:lang w:eastAsia="zh-CN"/>
        </w:rPr>
        <w:t>。</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产品估值</w:t>
      </w:r>
    </w:p>
    <w:p>
      <w:pPr>
        <w:numPr>
          <w:ilvl w:val="0"/>
          <w:numId w:val="10"/>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估值对象</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本产品所拥有的各类证券、银行存款、应收款项及其它资产及负债。</w:t>
      </w:r>
    </w:p>
    <w:p>
      <w:pPr>
        <w:numPr>
          <w:ilvl w:val="0"/>
          <w:numId w:val="10"/>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估值要求</w:t>
      </w:r>
    </w:p>
    <w:p>
      <w:pPr>
        <w:numPr>
          <w:ilvl w:val="0"/>
          <w:numId w:val="11"/>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本产品资产估值的目的是客观、准确</w:t>
      </w:r>
      <w:r>
        <w:rPr>
          <w:rFonts w:hint="eastAsia" w:ascii="楷体" w:hAnsi="楷体" w:eastAsia="楷体" w:cs="楷体"/>
          <w:color w:val="auto"/>
          <w:sz w:val="21"/>
          <w:szCs w:val="21"/>
          <w:lang w:val="en-US" w:eastAsia="zh-CN"/>
        </w:rPr>
        <w:t>地</w:t>
      </w:r>
      <w:r>
        <w:rPr>
          <w:rFonts w:hint="eastAsia" w:ascii="楷体" w:hAnsi="楷体" w:eastAsia="楷体" w:cs="楷体"/>
          <w:color w:val="auto"/>
          <w:sz w:val="21"/>
          <w:szCs w:val="21"/>
        </w:rPr>
        <w:t>反映资产净值，确定理财产品资产净值，并为理财产品的兑付提供计价依据。</w:t>
      </w:r>
    </w:p>
    <w:p>
      <w:pPr>
        <w:numPr>
          <w:ilvl w:val="0"/>
          <w:numId w:val="11"/>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本产品单位净值精确到小数点后</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位，小数点</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位后截位。</w:t>
      </w:r>
    </w:p>
    <w:p>
      <w:pPr>
        <w:numPr>
          <w:ilvl w:val="0"/>
          <w:numId w:val="10"/>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估值方法</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1.存款类资产、货币市场工具：以本金列示，逐日计提利息。</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7.其他资产：按公允价值进行估值。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如有新增事项或变更事项，按国家法律法规及监管最新规定执行。</w:t>
      </w:r>
    </w:p>
    <w:p>
      <w:pPr>
        <w:numPr>
          <w:ilvl w:val="0"/>
          <w:numId w:val="10"/>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估值错误的处理</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0"/>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暂停估值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信息披露</w:t>
      </w:r>
    </w:p>
    <w:p>
      <w:pPr>
        <w:numPr>
          <w:ilvl w:val="0"/>
          <w:numId w:val="12"/>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方式</w:t>
      </w:r>
    </w:p>
    <w:p>
      <w:pPr>
        <w:numPr>
          <w:ilvl w:val="0"/>
          <w:numId w:val="13"/>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通过苏银理财有限责任公司官方网站（www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com）进行信息披露。</w:t>
      </w:r>
    </w:p>
    <w:p>
      <w:pPr>
        <w:numPr>
          <w:ilvl w:val="0"/>
          <w:numId w:val="13"/>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将信息披露内容发送销售机构，由销售机构通过</w:t>
      </w:r>
      <w:r>
        <w:rPr>
          <w:rFonts w:hint="eastAsia" w:ascii="楷体" w:hAnsi="楷体" w:eastAsia="楷体" w:cs="楷体"/>
          <w:sz w:val="21"/>
          <w:szCs w:val="21"/>
          <w:highlight w:val="none"/>
          <w:lang w:val="en-US" w:eastAsia="zh-CN"/>
        </w:rPr>
        <w:t>短信及</w:t>
      </w:r>
      <w:r>
        <w:rPr>
          <w:rFonts w:hint="eastAsia" w:ascii="楷体" w:hAnsi="楷体" w:eastAsia="楷体" w:cs="楷体"/>
          <w:sz w:val="21"/>
          <w:szCs w:val="21"/>
          <w:highlight w:val="none"/>
        </w:rPr>
        <w:t>销售机构电子渠道和营业网点</w:t>
      </w:r>
      <w:r>
        <w:rPr>
          <w:rFonts w:hint="eastAsia" w:ascii="楷体" w:hAnsi="楷体" w:eastAsia="楷体" w:cs="楷体"/>
          <w:sz w:val="21"/>
          <w:szCs w:val="21"/>
          <w:highlight w:val="none"/>
          <w:lang w:val="en-US" w:eastAsia="zh-CN"/>
        </w:rPr>
        <w:t>等方式</w:t>
      </w:r>
      <w:r>
        <w:rPr>
          <w:rFonts w:hint="eastAsia" w:ascii="楷体" w:hAnsi="楷体" w:eastAsia="楷体" w:cs="楷体"/>
          <w:sz w:val="21"/>
          <w:szCs w:val="21"/>
          <w:highlight w:val="none"/>
        </w:rPr>
        <w:t>进行信息披露。</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rPr>
        <w:t>相关信息在发布或发出之日视为通知已送达投资者并生效，</w:t>
      </w:r>
      <w:r>
        <w:rPr>
          <w:rFonts w:hint="eastAsia" w:ascii="楷体" w:hAnsi="楷体" w:eastAsia="楷体" w:cs="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cs="楷体"/>
          <w:sz w:val="21"/>
          <w:szCs w:val="21"/>
          <w:highlight w:val="none"/>
        </w:rPr>
        <w:t>请</w:t>
      </w:r>
      <w:r>
        <w:rPr>
          <w:rFonts w:hint="eastAsia" w:ascii="楷体" w:hAnsi="楷体" w:eastAsia="楷体" w:cs="楷体"/>
          <w:sz w:val="21"/>
          <w:szCs w:val="21"/>
          <w:highlight w:val="none"/>
          <w:lang w:val="en-US" w:eastAsia="zh-CN"/>
        </w:rPr>
        <w:t>投资者</w:t>
      </w:r>
      <w:r>
        <w:rPr>
          <w:rFonts w:hint="eastAsia" w:ascii="楷体" w:hAnsi="楷体" w:eastAsia="楷体" w:cs="楷体"/>
          <w:sz w:val="21"/>
          <w:szCs w:val="21"/>
          <w:highlight w:val="none"/>
        </w:rPr>
        <w:t>及时登陆苏银理财有限责任</w:t>
      </w:r>
      <w:r>
        <w:rPr>
          <w:rFonts w:hint="eastAsia" w:ascii="楷体" w:hAnsi="楷体" w:eastAsia="楷体" w:cs="楷体"/>
          <w:sz w:val="21"/>
          <w:szCs w:val="21"/>
          <w:highlight w:val="none"/>
          <w:lang w:val="en-US" w:eastAsia="zh-CN"/>
        </w:rPr>
        <w:t>公司</w:t>
      </w:r>
      <w:r>
        <w:rPr>
          <w:rFonts w:hint="eastAsia" w:ascii="楷体" w:hAnsi="楷体" w:eastAsia="楷体" w:cs="楷体"/>
          <w:sz w:val="21"/>
          <w:szCs w:val="21"/>
          <w:highlight w:val="none"/>
        </w:rPr>
        <w:t>官方网站或者向销售机构查询获取披露信息</w:t>
      </w:r>
      <w:r>
        <w:rPr>
          <w:rFonts w:hint="eastAsia" w:ascii="楷体" w:hAnsi="楷体" w:eastAsia="楷体" w:cs="楷体"/>
          <w:color w:val="auto"/>
          <w:sz w:val="21"/>
          <w:szCs w:val="21"/>
          <w:highlight w:val="none"/>
        </w:rPr>
        <w:t>。</w:t>
      </w:r>
    </w:p>
    <w:p>
      <w:pPr>
        <w:numPr>
          <w:ilvl w:val="0"/>
          <w:numId w:val="12"/>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内容及时间</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产品净值：</w:t>
      </w:r>
      <w:r>
        <w:rPr>
          <w:rFonts w:hint="eastAsia" w:ascii="楷体" w:hAnsi="楷体" w:eastAsia="楷体" w:cs="楷体"/>
          <w:color w:val="auto"/>
          <w:sz w:val="21"/>
          <w:szCs w:val="21"/>
          <w:highlight w:val="none"/>
          <w:lang w:val="en-US" w:eastAsia="zh-CN"/>
        </w:rPr>
        <w:t>公募封闭式产品至少</w:t>
      </w:r>
      <w:r>
        <w:rPr>
          <w:rFonts w:hint="eastAsia" w:ascii="楷体" w:hAnsi="楷体" w:eastAsia="楷体" w:cs="楷体"/>
          <w:color w:val="auto"/>
          <w:sz w:val="21"/>
          <w:szCs w:val="21"/>
          <w:highlight w:val="none"/>
        </w:rPr>
        <w:t>每周向投资者披露一次产品的份额净值、份额累计净值</w:t>
      </w:r>
      <w:r>
        <w:rPr>
          <w:rFonts w:hint="eastAsia" w:ascii="楷体" w:hAnsi="楷体" w:eastAsia="楷体" w:cs="楷体"/>
          <w:color w:val="auto"/>
          <w:sz w:val="21"/>
          <w:szCs w:val="21"/>
          <w:highlight w:val="none"/>
          <w:lang w:val="en-US" w:eastAsia="zh-CN"/>
        </w:rPr>
        <w:t>；公募开放式产品</w:t>
      </w:r>
      <w:r>
        <w:rPr>
          <w:rFonts w:hint="eastAsia" w:ascii="楷体" w:hAnsi="楷体" w:eastAsia="楷体" w:cs="楷体"/>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楷体"/>
          <w:color w:val="auto"/>
          <w:sz w:val="21"/>
          <w:szCs w:val="21"/>
          <w:highlight w:val="none"/>
          <w:lang w:val="en-US" w:eastAsia="zh-CN"/>
        </w:rPr>
        <w:t>；私募产品至少每季度向投资者披露一次产品的份额净值、份额累计净值，以管理人实际披露为准。</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发行公告：管理人在产品成立后5个工作日内，披露产品成立公告，内容包括理财产品成立日期和募集规模等信息。</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到期公告：管理人在产品终止后5个工作日内，披露产品到期公告，内容包括理财产品的存续期限、终止日期、收费情况和收益分配情况等信息。</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重大事项公告：管理人在发生可能对理财产品投资者或者理财产品收益</w:t>
      </w:r>
      <w:r>
        <w:rPr>
          <w:rFonts w:hint="eastAsia" w:ascii="楷体" w:hAnsi="楷体" w:eastAsia="楷体" w:cs="楷体"/>
          <w:color w:val="auto"/>
          <w:sz w:val="21"/>
          <w:szCs w:val="21"/>
          <w:lang w:val="en-US" w:eastAsia="zh-CN"/>
        </w:rPr>
        <w:t>产生重大影响</w:t>
      </w:r>
      <w:r>
        <w:rPr>
          <w:rFonts w:hint="eastAsia" w:ascii="楷体" w:hAnsi="楷体" w:eastAsia="楷体" w:cs="楷体"/>
          <w:color w:val="auto"/>
          <w:sz w:val="21"/>
          <w:szCs w:val="21"/>
        </w:rPr>
        <w:t>的事件后2个工作日内发布重大事项公告。</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临时性信息：管理人将及时披露国务院银行业监督管理机构规定的其他信息或除重大事项事件以外的其他信息。</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半年度整体报告：每半年披露从事理财业务活动的有关信息。</w:t>
      </w:r>
    </w:p>
    <w:p>
      <w:pPr>
        <w:numPr>
          <w:ilvl w:val="0"/>
          <w:numId w:val="14"/>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楷体"/>
          <w:color w:val="auto"/>
          <w:sz w:val="21"/>
          <w:szCs w:val="21"/>
          <w:lang w:val="en-US" w:eastAsia="zh-CN"/>
        </w:rPr>
        <w:t>单位</w:t>
      </w:r>
      <w:r>
        <w:rPr>
          <w:rFonts w:hint="eastAsia" w:ascii="楷体" w:hAnsi="楷体" w:eastAsia="楷体" w:cs="楷体"/>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其他</w:t>
      </w:r>
    </w:p>
    <w:p>
      <w:pPr>
        <w:numPr>
          <w:ilvl w:val="0"/>
          <w:numId w:val="15"/>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追索条款</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5"/>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信息安全</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苏银理财及</w:t>
      </w:r>
      <w:r>
        <w:rPr>
          <w:rFonts w:hint="eastAsia" w:ascii="楷体" w:hAnsi="楷体" w:eastAsia="楷体" w:cs="楷体"/>
          <w:color w:val="auto"/>
          <w:sz w:val="21"/>
          <w:szCs w:val="21"/>
          <w:lang w:val="en-US" w:eastAsia="zh-CN"/>
        </w:rPr>
        <w:t>销售</w:t>
      </w:r>
      <w:r>
        <w:rPr>
          <w:rFonts w:hint="eastAsia" w:ascii="楷体" w:hAnsi="楷体" w:eastAsia="楷体" w:cs="楷体"/>
          <w:color w:val="auto"/>
          <w:sz w:val="21"/>
          <w:szCs w:val="21"/>
        </w:rPr>
        <w:t>机构将据相关法律、法规严格履行投资者信息保密责任，除监管机构或司法机关等有权机构外，不得对其他第三方提供任何投资者信息。</w:t>
      </w:r>
    </w:p>
    <w:p>
      <w:pPr>
        <w:numPr>
          <w:ilvl w:val="0"/>
          <w:numId w:val="15"/>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争议解决</w:t>
      </w:r>
    </w:p>
    <w:p>
      <w:pPr>
        <w:ind w:firstLine="420" w:firstLineChars="200"/>
        <w:rPr>
          <w:rFonts w:hint="eastAsia"/>
          <w:lang w:val="en-US" w:eastAsia="zh-CN"/>
        </w:rPr>
      </w:pP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cs="楷体"/>
          <w:b w:val="0"/>
          <w:bCs w:val="0"/>
          <w:color w:val="auto"/>
          <w:sz w:val="21"/>
          <w:szCs w:val="21"/>
          <w:lang w:val="en-US" w:eastAsia="zh-CN"/>
        </w:rPr>
        <w:t>因本产品说明书</w:t>
      </w:r>
      <w:r>
        <w:rPr>
          <w:rFonts w:hint="eastAsia" w:ascii="楷体" w:hAnsi="楷体" w:eastAsia="楷体" w:cs="楷体"/>
          <w:b w:val="0"/>
          <w:bCs w:val="0"/>
          <w:color w:val="auto"/>
          <w:sz w:val="21"/>
          <w:szCs w:val="21"/>
        </w:rPr>
        <w:t>引起的或与</w:t>
      </w: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有关的任何争议，应当首先通过双方之间的友好协商解决；协商不成的，双方均有权提交产品管理人住所地有管辖权的人民法院诉讼解决。</w:t>
      </w:r>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3"/>
  </w:num>
  <w:num w:numId="7">
    <w:abstractNumId w:val="9"/>
  </w:num>
  <w:num w:numId="8">
    <w:abstractNumId w:val="11"/>
  </w:num>
  <w:num w:numId="9">
    <w:abstractNumId w:val="14"/>
  </w:num>
  <w:num w:numId="10">
    <w:abstractNumId w:val="6"/>
  </w:num>
  <w:num w:numId="11">
    <w:abstractNumId w:val="5"/>
  </w:num>
  <w:num w:numId="12">
    <w:abstractNumId w:val="10"/>
  </w:num>
  <w:num w:numId="13">
    <w:abstractNumId w:val="4"/>
  </w:num>
  <w:num w:numId="14">
    <w:abstractNumId w:val="1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77284C"/>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A6F66"/>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5F2E84"/>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0393"/>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383E99"/>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083815"/>
    <w:rsid w:val="0D171BAB"/>
    <w:rsid w:val="0D2A6377"/>
    <w:rsid w:val="0D2E781D"/>
    <w:rsid w:val="0D36755F"/>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173CCE"/>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A3163"/>
    <w:rsid w:val="109D79E8"/>
    <w:rsid w:val="10A654B6"/>
    <w:rsid w:val="10A83A33"/>
    <w:rsid w:val="10A945F4"/>
    <w:rsid w:val="10BD5C09"/>
    <w:rsid w:val="10BE78BE"/>
    <w:rsid w:val="10C664A7"/>
    <w:rsid w:val="10C81A80"/>
    <w:rsid w:val="10D80961"/>
    <w:rsid w:val="10D84BB2"/>
    <w:rsid w:val="10E55ACF"/>
    <w:rsid w:val="10EC6ED1"/>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64164A"/>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904AC"/>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35113"/>
    <w:rsid w:val="159B190B"/>
    <w:rsid w:val="15A15127"/>
    <w:rsid w:val="15B650F5"/>
    <w:rsid w:val="15BC1645"/>
    <w:rsid w:val="15BE493E"/>
    <w:rsid w:val="15C704E4"/>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31148"/>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36AE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50E2D"/>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64BB9"/>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BF44C4"/>
    <w:rsid w:val="1FD11518"/>
    <w:rsid w:val="1FD2380D"/>
    <w:rsid w:val="1FD61F23"/>
    <w:rsid w:val="1FE16E27"/>
    <w:rsid w:val="1FE94B02"/>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2F376A"/>
    <w:rsid w:val="21345203"/>
    <w:rsid w:val="213D7C4C"/>
    <w:rsid w:val="214510F2"/>
    <w:rsid w:val="21453080"/>
    <w:rsid w:val="21497810"/>
    <w:rsid w:val="214B381F"/>
    <w:rsid w:val="215D084D"/>
    <w:rsid w:val="215D7191"/>
    <w:rsid w:val="215E768F"/>
    <w:rsid w:val="21641DE3"/>
    <w:rsid w:val="216D4D6D"/>
    <w:rsid w:val="217312AC"/>
    <w:rsid w:val="21776B0B"/>
    <w:rsid w:val="21824410"/>
    <w:rsid w:val="21867929"/>
    <w:rsid w:val="2189144E"/>
    <w:rsid w:val="218E592C"/>
    <w:rsid w:val="219042DA"/>
    <w:rsid w:val="21A1172D"/>
    <w:rsid w:val="21A84334"/>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14D7D"/>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57624"/>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AC5CEC"/>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0969F3"/>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47FAB"/>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012D7"/>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4526E"/>
    <w:rsid w:val="2AC95377"/>
    <w:rsid w:val="2ACB3B4E"/>
    <w:rsid w:val="2AD0063B"/>
    <w:rsid w:val="2AD06270"/>
    <w:rsid w:val="2AD22100"/>
    <w:rsid w:val="2ADC58F6"/>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3C4843"/>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92055"/>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7C2B1C"/>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3F3185"/>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3353B"/>
    <w:rsid w:val="36641444"/>
    <w:rsid w:val="36762B93"/>
    <w:rsid w:val="367F0410"/>
    <w:rsid w:val="3696776B"/>
    <w:rsid w:val="369E0FB4"/>
    <w:rsid w:val="36B01301"/>
    <w:rsid w:val="36C162B9"/>
    <w:rsid w:val="36C22673"/>
    <w:rsid w:val="36D03DAA"/>
    <w:rsid w:val="36D1082A"/>
    <w:rsid w:val="36D254F8"/>
    <w:rsid w:val="36E9091E"/>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223E7"/>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7646B"/>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517E"/>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3A1C03"/>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72EE0"/>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1365B"/>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730CB"/>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D66C10"/>
    <w:rsid w:val="3FE266C5"/>
    <w:rsid w:val="3FE3566B"/>
    <w:rsid w:val="3FE63A4B"/>
    <w:rsid w:val="3FF54B35"/>
    <w:rsid w:val="40087B33"/>
    <w:rsid w:val="400D25C8"/>
    <w:rsid w:val="4013542E"/>
    <w:rsid w:val="40183E9E"/>
    <w:rsid w:val="401923CA"/>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AC3E3D"/>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5D593F"/>
    <w:rsid w:val="416C77F7"/>
    <w:rsid w:val="416E41C2"/>
    <w:rsid w:val="417B1439"/>
    <w:rsid w:val="418215F8"/>
    <w:rsid w:val="418600AC"/>
    <w:rsid w:val="419F6289"/>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6B2376"/>
    <w:rsid w:val="427325F0"/>
    <w:rsid w:val="427442DA"/>
    <w:rsid w:val="4274697B"/>
    <w:rsid w:val="428772D4"/>
    <w:rsid w:val="42894808"/>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1F11FE"/>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6B7E57"/>
    <w:rsid w:val="4B7A6E1E"/>
    <w:rsid w:val="4BA13FCA"/>
    <w:rsid w:val="4BA441CB"/>
    <w:rsid w:val="4BA7353C"/>
    <w:rsid w:val="4BB75EE8"/>
    <w:rsid w:val="4BB82AAE"/>
    <w:rsid w:val="4BCC0512"/>
    <w:rsid w:val="4BCD36D2"/>
    <w:rsid w:val="4BCE4304"/>
    <w:rsid w:val="4BD04899"/>
    <w:rsid w:val="4BD67E9D"/>
    <w:rsid w:val="4BD7272C"/>
    <w:rsid w:val="4BD84A1A"/>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B2919"/>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422F5"/>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2E48E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5F3E59"/>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026F1A"/>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9852F4"/>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8A7880"/>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CC1279"/>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D411A"/>
    <w:rsid w:val="60AE54C3"/>
    <w:rsid w:val="60AF33AD"/>
    <w:rsid w:val="60BF2F8F"/>
    <w:rsid w:val="60C00554"/>
    <w:rsid w:val="60C517C4"/>
    <w:rsid w:val="60C773AA"/>
    <w:rsid w:val="60D14602"/>
    <w:rsid w:val="60D567E5"/>
    <w:rsid w:val="60DF12F6"/>
    <w:rsid w:val="60E42077"/>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43A2E"/>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506F9"/>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0979D9"/>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11751"/>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3E58E6"/>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4C6CB0"/>
    <w:rsid w:val="6D506716"/>
    <w:rsid w:val="6D5645C6"/>
    <w:rsid w:val="6D57181B"/>
    <w:rsid w:val="6D5F137A"/>
    <w:rsid w:val="6D684EAB"/>
    <w:rsid w:val="6D6C0536"/>
    <w:rsid w:val="6D6C44AF"/>
    <w:rsid w:val="6D6D3FDF"/>
    <w:rsid w:val="6D7273BF"/>
    <w:rsid w:val="6D777BD8"/>
    <w:rsid w:val="6D7D449A"/>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DFF7EF9"/>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6F0EF3"/>
    <w:rsid w:val="6E7004E5"/>
    <w:rsid w:val="6E7A2651"/>
    <w:rsid w:val="6E7B361D"/>
    <w:rsid w:val="6E8C65B7"/>
    <w:rsid w:val="6E9F1975"/>
    <w:rsid w:val="6EAE3DA2"/>
    <w:rsid w:val="6EB8360B"/>
    <w:rsid w:val="6EC4312C"/>
    <w:rsid w:val="6EDE21EB"/>
    <w:rsid w:val="6EE55B90"/>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7F510C"/>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AB5A01"/>
    <w:rsid w:val="73B20910"/>
    <w:rsid w:val="73BD69AD"/>
    <w:rsid w:val="73C121B9"/>
    <w:rsid w:val="73C91E6F"/>
    <w:rsid w:val="73CB59CA"/>
    <w:rsid w:val="73D74517"/>
    <w:rsid w:val="73DA730C"/>
    <w:rsid w:val="73DF7BFD"/>
    <w:rsid w:val="73E32D7C"/>
    <w:rsid w:val="73E647D0"/>
    <w:rsid w:val="73E814A3"/>
    <w:rsid w:val="73F15747"/>
    <w:rsid w:val="73F80AC3"/>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9C1736"/>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01EB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13918</Words>
  <Characters>14773</Characters>
  <Lines>243</Lines>
  <Paragraphs>68</Paragraphs>
  <TotalTime>0</TotalTime>
  <ScaleCrop>false</ScaleCrop>
  <LinksUpToDate>false</LinksUpToDate>
  <CharactersWithSpaces>14779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2026-05-28T06:33:28Z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