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276" w:lineRule="auto"/>
        <w:jc w:val="center"/>
        <w:outlineLvl w:val="0"/>
        <w:rPr>
          <w:rStyle w:val="6"/>
          <w:rFonts w:ascii="黑体" w:hAnsi="黑体" w:eastAsia="黑体"/>
          <w:sz w:val="28"/>
          <w:szCs w:val="28"/>
        </w:rPr>
      </w:pPr>
      <w:r>
        <w:rPr>
          <w:rStyle w:val="6"/>
          <w:rFonts w:hint="eastAsia" w:ascii="黑体" w:hAnsi="黑体" w:eastAsia="黑体"/>
          <w:sz w:val="28"/>
          <w:szCs w:val="28"/>
        </w:rPr>
        <w:t>兴银理财</w:t>
      </w:r>
      <w:permStart w:id="0" w:edGrp="everyone"/>
      <w:r>
        <w:rPr>
          <w:rStyle w:val="6"/>
          <w:rFonts w:hint="eastAsia" w:ascii="黑体" w:hAnsi="黑体" w:eastAsia="黑体"/>
          <w:sz w:val="28"/>
          <w:szCs w:val="28"/>
        </w:rPr>
        <w:t>【稳添利日盈日开固收类】</w:t>
      </w:r>
      <w:permEnd w:id="0"/>
      <w:r>
        <w:rPr>
          <w:rStyle w:val="6"/>
          <w:rFonts w:hint="eastAsia" w:ascii="黑体" w:hAnsi="黑体" w:eastAsia="黑体"/>
          <w:sz w:val="28"/>
          <w:szCs w:val="28"/>
        </w:rPr>
        <w:t>理财产品</w:t>
      </w:r>
    </w:p>
    <w:p>
      <w:pPr>
        <w:adjustRightInd w:val="0"/>
        <w:spacing w:line="276" w:lineRule="auto"/>
        <w:jc w:val="center"/>
        <w:outlineLvl w:val="0"/>
        <w:rPr>
          <w:rStyle w:val="6"/>
          <w:rFonts w:ascii="黑体" w:hAnsi="黑体" w:eastAsia="黑体"/>
          <w:sz w:val="28"/>
          <w:szCs w:val="28"/>
        </w:rPr>
      </w:pPr>
      <w:r>
        <w:rPr>
          <w:rStyle w:val="6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9"/>
        <w:jc w:val="center"/>
        <w:outlineLvl w:val="0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（适用于个人投资者）</w:t>
      </w:r>
    </w:p>
    <w:p>
      <w:pPr>
        <w:outlineLvl w:val="1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" w:edGrp="everyone"/>
      <w:r>
        <w:rPr>
          <w:rFonts w:hint="eastAsia" w:ascii="宋体" w:hAnsi="宋体"/>
          <w:sz w:val="18"/>
          <w:szCs w:val="18"/>
        </w:rPr>
        <w:t>【</w:t>
      </w:r>
      <w:bookmarkStart w:id="1" w:name="_GoBack"/>
      <w:bookmarkEnd w:id="1"/>
      <w:r>
        <w:rPr>
          <w:rFonts w:hint="eastAsia" w:ascii="宋体" w:hAnsi="宋体"/>
          <w:sz w:val="18"/>
          <w:szCs w:val="18"/>
        </w:rPr>
        <w:t>】</w:t>
      </w:r>
      <w:permEnd w:id="1"/>
      <w:r>
        <w:rPr>
          <w:rFonts w:hint="eastAsia" w:ascii="宋体" w:hAnsi="宋体"/>
          <w:sz w:val="18"/>
          <w:szCs w:val="18"/>
        </w:rPr>
        <w:t>以(</w:t>
      </w:r>
      <w:permStart w:id="2" w:edGrp="everyone"/>
      <w:r>
        <w:rPr>
          <w:rFonts w:hint="eastAsia" w:ascii="宋体" w:hAnsi="宋体"/>
          <w:sz w:val="18"/>
          <w:szCs w:val="18"/>
        </w:rPr>
        <w:t>□ 直销：产品管理人销售/■ 代销：代理销售机构销售</w:t>
      </w:r>
      <w:permEnd w:id="2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</w:p>
    <w:p>
      <w:pPr>
        <w:ind w:firstLine="361" w:firstLineChars="200"/>
        <w:outlineLvl w:val="1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</w:t>
      </w:r>
      <w:r>
        <w:rPr>
          <w:rFonts w:hint="eastAsia" w:ascii="宋体" w:hAnsi="宋体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</w:t>
      </w:r>
      <w:r>
        <w:rPr>
          <w:rFonts w:ascii="宋体" w:hAnsi="宋体"/>
          <w:sz w:val="18"/>
          <w:szCs w:val="18"/>
        </w:rPr>
        <w:t>《风险揭示书》《投资者权益须知》以及其他有关文件（如有），确认已同意相关内容、充分了解相关风险并无疑问和异议后，签署相关销售文件，并办理购买手续。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ind w:firstLine="361" w:firstLineChars="200"/>
        <w:outlineLvl w:val="1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.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bCs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>2.</w:t>
      </w:r>
      <w:r>
        <w:rPr>
          <w:rFonts w:hint="eastAsia" w:ascii="宋体" w:hAnsi="宋体"/>
          <w:b/>
          <w:sz w:val="18"/>
          <w:szCs w:val="18"/>
        </w:rPr>
        <w:t>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投资者风险承受能力，个人投资者由低至高分为</w:t>
      </w:r>
      <w:permStart w:id="3" w:edGrp="everyone"/>
      <w:r>
        <w:rPr>
          <w:rFonts w:hint="eastAsia" w:ascii="宋体" w:hAnsi="宋体"/>
          <w:sz w:val="18"/>
          <w:szCs w:val="18"/>
        </w:rPr>
        <w:t>【C1至C6六个等级】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hint="eastAsia" w:ascii="宋体" w:hAnsi="宋体"/>
          <w:sz w:val="18"/>
          <w:szCs w:val="18"/>
        </w:rPr>
        <w:t>【</w:t>
      </w:r>
      <w:r>
        <w:rPr>
          <w:rFonts w:ascii="宋体" w:hAnsi="宋体"/>
          <w:sz w:val="18"/>
          <w:szCs w:val="18"/>
        </w:rPr>
        <w:t>C1</w:t>
      </w:r>
      <w:r>
        <w:rPr>
          <w:rFonts w:hint="eastAsia" w:ascii="宋体" w:hAnsi="宋体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hint="eastAsia" w:ascii="宋体" w:hAnsi="宋体"/>
          <w:sz w:val="18"/>
          <w:szCs w:val="18"/>
        </w:rPr>
        <w:t>【</w:t>
      </w:r>
      <w:r>
        <w:rPr>
          <w:rFonts w:ascii="宋体" w:hAnsi="宋体"/>
          <w:sz w:val="18"/>
          <w:szCs w:val="18"/>
        </w:rPr>
        <w:t>C6</w:t>
      </w:r>
      <w:r>
        <w:rPr>
          <w:rFonts w:hint="eastAsia" w:ascii="宋体" w:hAnsi="宋体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4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4860"/>
        <w:gridCol w:w="286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安逸型（R1）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top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top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安逸型（C1）及以上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top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谨慎型（R2）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top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top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谨慎型（C2）及以上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top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稳健型（R3）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top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有一定的本金风险，收益浮动且有一定波动。产品结构简单，过往业绩及净值的历史波动率较低；投资标的流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top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稳健型（C3）及以上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top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增长型（R4）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top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top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增长型（C4）及以上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top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进取型（R5）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top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top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进取型（C5）及以上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top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激进型（R6）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top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top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激进型（C6） </w:t>
            </w:r>
          </w:p>
        </w:tc>
      </w:tr>
      <w:permEnd w:id="6"/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 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ind w:firstLine="361" w:firstLineChars="200"/>
        <w:outlineLvl w:val="1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ind w:firstLine="361" w:firstLineChars="200"/>
        <w:outlineLvl w:val="1"/>
        <w:rPr>
          <w:rFonts w:asciiTheme="minorEastAsia" w:hAnsiTheme="minorEastAsia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outlineLvl w:val="2"/>
        <w:rPr>
          <w:rFonts w:ascii="宋体" w:hAnsi="宋体"/>
          <w:sz w:val="18"/>
          <w:szCs w:val="18"/>
        </w:rPr>
      </w:pPr>
      <w:bookmarkStart w:id="0" w:name="_Hlk64707831"/>
      <w:r>
        <w:rPr>
          <w:rFonts w:hint="eastAsia" w:ascii="宋体" w:hAnsi="宋体"/>
          <w:sz w:val="18"/>
          <w:szCs w:val="18"/>
        </w:rPr>
        <w:t>1.产品管理人：兴银理财有限责任公司</w:t>
      </w:r>
    </w:p>
    <w:bookmarkEnd w:id="0"/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>
      <w:pPr>
        <w:spacing w:line="280" w:lineRule="atLeast"/>
        <w:ind w:firstLine="360" w:firstLineChars="200"/>
        <w:outlineLvl w:val="2"/>
        <w:rPr>
          <w:rFonts w:ascii="宋体" w:hAnsi="宋体"/>
          <w:sz w:val="18"/>
          <w:szCs w:val="18"/>
        </w:rPr>
      </w:pPr>
      <w:permStart w:id="7" w:edGrp="everyone"/>
      <w:r>
        <w:rPr>
          <w:rFonts w:hint="eastAsia" w:ascii="宋体" w:hAnsi="宋体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hint="eastAsia" w:ascii="宋体" w:hAnsi="宋体"/>
          <w:sz w:val="18"/>
          <w:szCs w:val="18"/>
        </w:rPr>
        <w:t>：兴业银行股份有限公司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兴业银行理财经理或兴业银行各营业网点。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hint="eastAsia" w:ascii="宋体" w:hAnsi="宋体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hint="eastAsia" w:ascii="宋体" w:hAnsi="宋体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ind w:firstLine="360" w:firstLineChars="200"/>
        <w:outlineLvl w:val="2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3.销售机构：【】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【】</w:t>
      </w:r>
    </w:p>
    <w:permEnd w:id="7"/>
    <w:p>
      <w:pPr>
        <w:autoSpaceDE w:val="0"/>
        <w:autoSpaceDN w:val="0"/>
        <w:adjustRightInd w:val="0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>
      <w:pPr>
        <w:adjustRightInd w:val="0"/>
        <w:spacing w:line="280" w:lineRule="atLeast"/>
        <w:jc w:val="center"/>
        <w:outlineLvl w:val="0"/>
        <w:rPr>
          <w:rStyle w:val="6"/>
          <w:rFonts w:ascii="黑体" w:hAnsi="黑体" w:eastAsia="黑体"/>
          <w:sz w:val="28"/>
          <w:szCs w:val="28"/>
        </w:rPr>
      </w:pPr>
      <w:r>
        <w:rPr>
          <w:rStyle w:val="6"/>
          <w:rFonts w:hint="eastAsia" w:ascii="黑体" w:hAnsi="黑体" w:eastAsia="黑体"/>
          <w:sz w:val="28"/>
          <w:szCs w:val="28"/>
        </w:rPr>
        <w:t>兴银理财</w:t>
      </w:r>
      <w:permStart w:id="8" w:edGrp="everyone"/>
      <w:r>
        <w:rPr>
          <w:rStyle w:val="6"/>
          <w:rFonts w:hint="eastAsia" w:ascii="黑体" w:hAnsi="黑体" w:eastAsia="黑体"/>
          <w:sz w:val="28"/>
          <w:szCs w:val="28"/>
        </w:rPr>
        <w:t>【稳添利日盈日开固收类】</w:t>
      </w:r>
      <w:permEnd w:id="8"/>
      <w:r>
        <w:rPr>
          <w:rStyle w:val="6"/>
          <w:rFonts w:hint="eastAsia" w:ascii="黑体" w:hAnsi="黑体" w:eastAsia="黑体"/>
          <w:sz w:val="28"/>
          <w:szCs w:val="28"/>
        </w:rPr>
        <w:t>理财产品</w:t>
      </w:r>
    </w:p>
    <w:p>
      <w:pPr>
        <w:adjustRightInd w:val="0"/>
        <w:spacing w:line="280" w:lineRule="atLeast"/>
        <w:jc w:val="center"/>
        <w:outlineLvl w:val="0"/>
        <w:rPr>
          <w:rStyle w:val="6"/>
          <w:rFonts w:ascii="黑体" w:hAnsi="黑体" w:eastAsia="黑体"/>
          <w:sz w:val="28"/>
          <w:szCs w:val="28"/>
        </w:rPr>
      </w:pPr>
      <w:r>
        <w:rPr>
          <w:rStyle w:val="6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9"/>
        <w:spacing w:line="280" w:lineRule="atLeast"/>
        <w:jc w:val="center"/>
        <w:outlineLvl w:val="0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</w:t>
      </w:r>
      <w:permStart w:id="9" w:edGrp="everyone"/>
      <w:r>
        <w:rPr>
          <w:rFonts w:hint="eastAsia" w:hAnsi="宋体"/>
          <w:b/>
          <w:color w:val="auto"/>
          <w:sz w:val="28"/>
          <w:szCs w:val="28"/>
        </w:rPr>
        <w:t>机构投资者</w:t>
      </w:r>
      <w:permEnd w:id="9"/>
      <w:r>
        <w:rPr>
          <w:rFonts w:hint="eastAsia" w:hAnsi="宋体"/>
          <w:b/>
          <w:color w:val="auto"/>
          <w:sz w:val="28"/>
          <w:szCs w:val="28"/>
        </w:rPr>
        <w:t>）</w:t>
      </w:r>
    </w:p>
    <w:p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0" w:edGrp="everyone"/>
      <w:r>
        <w:rPr>
          <w:rFonts w:hint="eastAsia" w:ascii="宋体" w:hAnsi="宋体"/>
          <w:sz w:val="18"/>
          <w:szCs w:val="18"/>
        </w:rPr>
        <w:t>【】</w:t>
      </w:r>
      <w:permEnd w:id="10"/>
      <w:r>
        <w:rPr>
          <w:rFonts w:hint="eastAsia" w:ascii="宋体" w:hAnsi="宋体"/>
          <w:sz w:val="18"/>
          <w:szCs w:val="18"/>
        </w:rPr>
        <w:t>以(</w:t>
      </w:r>
      <w:permStart w:id="11" w:edGrp="everyone"/>
      <w:r>
        <w:rPr>
          <w:rFonts w:hint="eastAsia" w:ascii="宋体" w:hAnsi="宋体"/>
          <w:sz w:val="18"/>
          <w:szCs w:val="18"/>
        </w:rPr>
        <w:t>□ 直销：产品管理人销售/□ 代销：代理销售机构销售</w:t>
      </w:r>
      <w:permEnd w:id="11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</w:p>
    <w:p>
      <w:pPr>
        <w:spacing w:line="280" w:lineRule="atLeast"/>
        <w:ind w:firstLine="361" w:firstLineChars="200"/>
        <w:outlineLvl w:val="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</w:t>
      </w:r>
      <w:r>
        <w:rPr>
          <w:rFonts w:hint="eastAsia" w:ascii="宋体" w:hAnsi="宋体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</w:t>
      </w:r>
      <w:r>
        <w:rPr>
          <w:rFonts w:ascii="宋体" w:hAnsi="宋体"/>
          <w:sz w:val="18"/>
          <w:szCs w:val="18"/>
        </w:rPr>
        <w:t>《风险揭示书》《投资者权益须知》以及其他有关文件（如有），确认已同意相关内容、充分了解相关风险并无疑问和异议后，签署相关销售文件，并办理购买手续。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spacing w:line="280" w:lineRule="atLeast"/>
        <w:ind w:firstLine="361" w:firstLineChars="200"/>
        <w:outlineLvl w:val="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spacing w:line="280" w:lineRule="atLeast"/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bCs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>2</w:t>
      </w:r>
      <w:r>
        <w:rPr>
          <w:rFonts w:hint="eastAsia" w:ascii="宋体" w:hAnsi="宋体"/>
          <w:b/>
          <w:sz w:val="18"/>
          <w:szCs w:val="18"/>
        </w:rPr>
        <w:t>.投资者风险承受能力评级与理财产品风险评级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投资者风险承受能力，机构投资者由低至高分为</w:t>
      </w:r>
      <w:permStart w:id="12" w:edGrp="everyone"/>
      <w:r>
        <w:rPr>
          <w:rFonts w:hint="eastAsia" w:ascii="宋体" w:hAnsi="宋体"/>
          <w:sz w:val="18"/>
          <w:szCs w:val="18"/>
        </w:rPr>
        <w:t>【】</w:t>
      </w:r>
      <w:permEnd w:id="12"/>
      <w:r>
        <w:rPr>
          <w:rFonts w:ascii="宋体" w:hAnsi="宋体"/>
          <w:sz w:val="18"/>
          <w:szCs w:val="18"/>
        </w:rPr>
        <w:t>。其中，</w:t>
      </w:r>
      <w:permStart w:id="13" w:edGrp="everyone"/>
      <w:r>
        <w:rPr>
          <w:rFonts w:hint="eastAsia" w:ascii="宋体" w:hAnsi="宋体"/>
          <w:sz w:val="18"/>
          <w:szCs w:val="18"/>
        </w:rPr>
        <w:t>【】</w:t>
      </w:r>
      <w:permEnd w:id="13"/>
      <w:r>
        <w:rPr>
          <w:rFonts w:ascii="宋体" w:hAnsi="宋体"/>
          <w:sz w:val="18"/>
          <w:szCs w:val="18"/>
        </w:rPr>
        <w:t>为风险承受能力最低类别，</w:t>
      </w:r>
      <w:permStart w:id="14" w:edGrp="everyone"/>
      <w:r>
        <w:rPr>
          <w:rFonts w:hint="eastAsia" w:ascii="宋体" w:hAnsi="宋体"/>
          <w:sz w:val="18"/>
          <w:szCs w:val="18"/>
        </w:rPr>
        <w:t>【】</w:t>
      </w:r>
      <w:permEnd w:id="14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4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4840"/>
        <w:gridCol w:w="286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permStart w:id="15" w:edGrp="everyone"/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permEnd w:id="15"/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 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spacing w:line="280" w:lineRule="atLeast"/>
        <w:ind w:firstLine="361" w:firstLineChars="200"/>
        <w:outlineLvl w:val="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spacing w:line="280" w:lineRule="atLeast"/>
        <w:ind w:firstLine="361" w:firstLineChars="200"/>
        <w:outlineLvl w:val="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（二）联络方式：</w:t>
      </w:r>
    </w:p>
    <w:p>
      <w:pPr>
        <w:ind w:firstLine="360" w:firstLineChars="200"/>
        <w:outlineLvl w:val="1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1.产品管理人：兴银理财有限责任公司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>
      <w:pPr>
        <w:spacing w:line="280" w:lineRule="atLeast"/>
        <w:ind w:firstLine="360" w:firstLineChars="200"/>
        <w:outlineLvl w:val="1"/>
        <w:rPr>
          <w:rFonts w:ascii="宋体" w:hAnsi="宋体"/>
          <w:sz w:val="18"/>
          <w:szCs w:val="18"/>
        </w:rPr>
      </w:pPr>
      <w:permStart w:id="16" w:edGrp="everyone"/>
      <w:r>
        <w:rPr>
          <w:rFonts w:hint="eastAsia" w:ascii="宋体" w:hAnsi="宋体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hint="eastAsia" w:ascii="宋体" w:hAnsi="宋体"/>
          <w:sz w:val="18"/>
          <w:szCs w:val="18"/>
        </w:rPr>
        <w:t>：兴业银行股份有限公司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兴业银行理财经理或兴业银行各营业网点。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hint="eastAsia" w:ascii="宋体" w:hAnsi="宋体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hint="eastAsia" w:ascii="宋体" w:hAnsi="宋体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ind w:firstLine="360" w:firstLineChars="200"/>
        <w:outlineLvl w:val="1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3.销售机构：【 】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【】</w:t>
      </w:r>
    </w:p>
    <w:permEnd w:id="16"/>
    <w:p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>
      <w:pPr>
        <w:widowControl/>
        <w:spacing w:line="280" w:lineRule="atLeast"/>
        <w:jc w:val="left"/>
      </w:pPr>
    </w:p>
    <w:p/>
    <w:sectPr>
      <w:headerReference r:id="rId3" w:type="default"/>
      <w:footerReference r:id="rId4" w:type="default"/>
      <w:pgSz w:w="11906" w:h="16838"/>
      <w:pgMar w:top="1440" w:right="1800" w:bottom="1440" w:left="1800" w:header="567" w:footer="964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03202528"/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3</w:t>
        </w:r>
        <w: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投资者权益须知</w:t>
    </w:r>
  </w:p>
  <w:p>
    <w:pPr>
      <w:pStyle w:val="3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注：本文件由兴银理财有限责任公司统一编制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dit="readOnly" w:enforcement="1" w:cryptProviderType="rsaAES" w:cryptAlgorithmClass="hash" w:cryptAlgorithmType="typeAny" w:cryptAlgorithmSid="14" w:cryptSpinCount="100000" w:hash="3lTXpawx85HUa5IViZ6M1BqRN7BSyIBBPQEqRtVWiSK0LnptoIW/A8d2ztSz9tFYyrPhEeTpzmkkqCKEgASkcQ==" w:salt="ihFY/Xd5hTr24Ip5FrERtQ==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6209"/>
    <w:rsid w:val="003D2920"/>
    <w:rsid w:val="00491E7C"/>
    <w:rsid w:val="00C16209"/>
    <w:rsid w:val="00CF737F"/>
    <w:rsid w:val="00DE450C"/>
    <w:rsid w:val="174D31F2"/>
    <w:rsid w:val="69124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qFormat/>
    <w:uiPriority w:val="22"/>
    <w:rPr>
      <w:b/>
      <w:bCs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  <w:style w:type="paragraph" w:customStyle="1" w:styleId="9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kern w:val="0"/>
      <w:sz w:val="24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神州网信技术有限公司</Company>
  <Pages>4</Pages>
  <Words>429</Words>
  <Characters>2448</Characters>
  <Lines>20</Lines>
  <Paragraphs>5</Paragraphs>
  <TotalTime>0</TotalTime>
  <ScaleCrop>false</ScaleCrop>
  <LinksUpToDate>false</LinksUpToDate>
  <CharactersWithSpaces>2872</CharactersWithSpaces>
  <Application>WPS Office_11.8.2.10164_F1E327BC-269C-435d-A152-05C5408002CA</Application>
  <DocSecurity>8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2025-01-24T12:01:00Z</dcterms:created>
  <dc:creator>兴银理财法务002</dc:creator>
  <cp:lastModifiedBy>cib</cp:lastModifiedBy>
  <dcterms:modified xsi:type="dcterms:W3CDTF">2025-11-13T02:56:00Z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2052-11.8.2.10164</vt:lpwstr>
  </property>
</Properties>
</file>