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w:t>
      </w:r>
      <w:r>
        <w:rPr>
          <w:rFonts w:hint="eastAsia" w:ascii="楷体" w:hAnsi="楷体" w:eastAsia="楷体"/>
          <w:b/>
          <w:color w:val="auto"/>
          <w:sz w:val="28"/>
          <w:szCs w:val="28"/>
          <w:highlight w:val="none"/>
          <w:lang w:val="en-US" w:eastAsia="zh-CN"/>
        </w:rPr>
        <w:t>苏银理财恒源1年定开5期</w:t>
      </w:r>
      <w:r>
        <w:rPr>
          <w:rFonts w:hint="eastAsia" w:ascii="楷体" w:hAnsi="楷体" w:eastAsia="楷体"/>
          <w:b/>
          <w:color w:val="auto"/>
          <w:sz w:val="28"/>
          <w:szCs w:val="28"/>
          <w:highlight w:val="none"/>
        </w:rPr>
        <w:t>”理财产品说</w:t>
      </w:r>
      <w:r>
        <w:rPr>
          <w:rFonts w:hint="eastAsia" w:ascii="楷体" w:hAnsi="楷体" w:eastAsia="楷体"/>
          <w:b/>
          <w:color w:val="auto"/>
          <w:sz w:val="28"/>
          <w:szCs w:val="28"/>
          <w:highlight w:val="none"/>
          <w:lang w:val="en-US" w:eastAsia="zh-CN"/>
        </w:rPr>
        <w:t>明</w:t>
      </w:r>
      <w:r>
        <w:rPr>
          <w:rFonts w:hint="eastAsia" w:ascii="楷体" w:hAnsi="楷体" w:eastAsia="楷体"/>
          <w:b/>
          <w:color w:val="auto"/>
          <w:sz w:val="28"/>
          <w:szCs w:val="28"/>
          <w:highlight w:val="none"/>
        </w:rPr>
        <w:t>书</w:t>
      </w:r>
    </w:p>
    <w:p>
      <w:pPr>
        <w:pStyle w:val="13"/>
        <w:pageBreakBefore w:val="0"/>
        <w:spacing w:before="0" w:beforeAutospacing="0" w:after="0" w:afterAutospacing="0" w:line="240" w:lineRule="auto"/>
        <w:jc w:val="center"/>
        <w:rPr>
          <w:rFonts w:hint="default" w:ascii="楷体" w:hAnsi="楷体" w:eastAsia="楷体" w:cs="Times New Roman"/>
          <w:kern w:val="2"/>
          <w:sz w:val="21"/>
          <w:szCs w:val="21"/>
          <w:highlight w:val="none"/>
          <w:lang w:val="en-US" w:eastAsia="zh-CN" w:bidi="ar-SA"/>
        </w:rPr>
      </w:pPr>
      <w:r>
        <w:rPr>
          <w:rFonts w:hint="eastAsia" w:ascii="楷体" w:hAnsi="楷体" w:eastAsia="楷体" w:cs="Times New Roman"/>
          <w:kern w:val="2"/>
          <w:sz w:val="21"/>
          <w:szCs w:val="21"/>
          <w:highlight w:val="none"/>
          <w:lang w:val="en-US" w:eastAsia="zh-CN" w:bidi="ar-SA"/>
        </w:rPr>
        <w:t>（2026年6月版）</w:t>
      </w:r>
    </w:p>
    <w:p>
      <w:pPr>
        <w:jc w:val="center"/>
        <w:rPr>
          <w:rFonts w:hint="eastAsia" w:ascii="楷体" w:hAnsi="楷体" w:eastAsia="楷体"/>
          <w:b/>
          <w:sz w:val="24"/>
          <w:szCs w:val="24"/>
          <w:highlight w:val="none"/>
        </w:rPr>
      </w:pPr>
      <w:r>
        <w:rPr>
          <w:rFonts w:hint="eastAsia" w:ascii="楷体" w:hAnsi="楷体" w:eastAsia="楷体" w:cs="宋体"/>
          <w:b/>
          <w:kern w:val="0"/>
          <w:sz w:val="24"/>
          <w:szCs w:val="24"/>
          <w:highlight w:val="none"/>
        </w:rPr>
        <w:t>理财非存款、产品有风险、投资须谨慎</w:t>
      </w:r>
    </w:p>
    <w:p>
      <w:pPr>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重要须知</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highlight w:val="none"/>
        </w:rPr>
        <w:t>在购买本理财产品前，投资者应确保自己完全理解该项投资的性质和所涉及的风险，详细了解和审慎评估该理财产品的</w:t>
      </w:r>
      <w:r>
        <w:rPr>
          <w:rFonts w:hint="eastAsia" w:ascii="楷体" w:hAnsi="楷体" w:eastAsia="楷体"/>
          <w:sz w:val="21"/>
          <w:szCs w:val="21"/>
          <w:highlight w:val="none"/>
          <w:lang w:val="en-US" w:eastAsia="zh-CN"/>
        </w:rPr>
        <w:t>投资范围</w:t>
      </w:r>
      <w:r>
        <w:rPr>
          <w:rFonts w:hint="eastAsia" w:ascii="楷体" w:hAnsi="楷体" w:eastAsia="楷体"/>
          <w:sz w:val="21"/>
          <w:szCs w:val="21"/>
          <w:highlight w:val="none"/>
        </w:rPr>
        <w:t>、风险类型等基本情况，在慎重考虑后自行决定购买与自身风险承受能力和资产管理需求匹配的理财产品。</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本理财产品不保证本金及收益，您的本金可能因市场变动</w:t>
      </w:r>
      <w:r>
        <w:rPr>
          <w:rFonts w:hint="eastAsia" w:ascii="楷体" w:hAnsi="楷体" w:eastAsia="楷体"/>
          <w:b/>
          <w:sz w:val="21"/>
          <w:szCs w:val="21"/>
          <w:highlight w:val="none"/>
          <w:u w:val="single"/>
          <w:lang w:val="en-US" w:eastAsia="zh-CN"/>
        </w:rPr>
        <w:t>或者交易违约等事项</w:t>
      </w:r>
      <w:r>
        <w:rPr>
          <w:rFonts w:hint="eastAsia" w:ascii="楷体" w:hAnsi="楷体" w:eastAsia="楷体"/>
          <w:b/>
          <w:sz w:val="21"/>
          <w:szCs w:val="21"/>
          <w:highlight w:val="none"/>
          <w:u w:val="single"/>
        </w:rPr>
        <w:t>而蒙受相应损失，投资者应充分认识投资风险，谨慎投资</w:t>
      </w:r>
      <w:r>
        <w:rPr>
          <w:rFonts w:hint="eastAsia" w:ascii="楷体" w:hAnsi="楷体" w:eastAsia="楷体"/>
          <w:b/>
          <w:sz w:val="21"/>
          <w:szCs w:val="21"/>
          <w:highlight w:val="none"/>
          <w:u w:val="single"/>
          <w:lang w:eastAsia="zh-CN"/>
        </w:rPr>
        <w:t>。</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本理财产品任何业绩比较基准</w:t>
      </w:r>
      <w:r>
        <w:rPr>
          <w:rFonts w:hint="eastAsia" w:ascii="楷体" w:hAnsi="楷体" w:eastAsia="楷体"/>
          <w:b/>
          <w:sz w:val="21"/>
          <w:szCs w:val="21"/>
          <w:highlight w:val="none"/>
          <w:u w:val="single"/>
          <w:lang w:val="en-US" w:eastAsia="zh-CN"/>
        </w:rPr>
        <w:t>及</w:t>
      </w:r>
      <w:r>
        <w:rPr>
          <w:rFonts w:hint="eastAsia" w:ascii="楷体" w:hAnsi="楷体" w:eastAsia="楷体"/>
          <w:b/>
          <w:sz w:val="21"/>
          <w:szCs w:val="21"/>
          <w:highlight w:val="none"/>
          <w:u w:val="single"/>
        </w:rPr>
        <w:t>类似表述均属不具有法律约束力的用语</w:t>
      </w:r>
      <w:r>
        <w:rPr>
          <w:rFonts w:hint="eastAsia" w:ascii="楷体" w:hAnsi="楷体" w:eastAsia="楷体"/>
          <w:b/>
          <w:sz w:val="21"/>
          <w:szCs w:val="21"/>
          <w:highlight w:val="none"/>
          <w:u w:val="single"/>
          <w:lang w:eastAsia="zh-CN"/>
        </w:rPr>
        <w:t>。</w:t>
      </w:r>
      <w:r>
        <w:rPr>
          <w:rFonts w:hint="eastAsia" w:ascii="楷体" w:hAnsi="楷体" w:eastAsia="楷体"/>
          <w:b/>
          <w:sz w:val="21"/>
          <w:szCs w:val="21"/>
          <w:highlight w:val="none"/>
          <w:u w:val="single"/>
        </w:rPr>
        <w:t>业绩比较基准</w:t>
      </w:r>
      <w:r>
        <w:rPr>
          <w:rFonts w:hint="eastAsia" w:ascii="楷体" w:hAnsi="楷体" w:eastAsia="楷体"/>
          <w:b/>
          <w:sz w:val="21"/>
          <w:szCs w:val="21"/>
          <w:highlight w:val="none"/>
          <w:u w:val="single"/>
          <w:lang w:val="en-US" w:eastAsia="zh-CN"/>
        </w:rPr>
        <w:t>为</w:t>
      </w:r>
      <w:r>
        <w:rPr>
          <w:rFonts w:hint="eastAsia" w:ascii="楷体" w:hAnsi="楷体" w:eastAsia="楷体"/>
          <w:b/>
          <w:sz w:val="21"/>
          <w:szCs w:val="21"/>
          <w:highlight w:val="none"/>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highlight w:val="none"/>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highlight w:val="none"/>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如有）</w:t>
      </w:r>
      <w:r>
        <w:rPr>
          <w:rFonts w:hint="eastAsia" w:ascii="楷体" w:hAnsi="楷体" w:eastAsia="楷体"/>
          <w:sz w:val="21"/>
          <w:szCs w:val="21"/>
          <w:highlight w:val="none"/>
        </w:rPr>
        <w:t>、不可抗力风险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关联关系及关联交易风险、</w:t>
      </w:r>
      <w:r>
        <w:rPr>
          <w:rFonts w:hint="eastAsia" w:ascii="楷体" w:hAnsi="楷体" w:eastAsia="楷体"/>
          <w:sz w:val="21"/>
          <w:szCs w:val="21"/>
          <w:highlight w:val="none"/>
          <w:lang w:eastAsia="zh-CN"/>
        </w:rPr>
        <w:t>特定投资标的风险</w:t>
      </w:r>
      <w:r>
        <w:rPr>
          <w:rFonts w:hint="eastAsia" w:ascii="楷体" w:hAnsi="楷体" w:eastAsia="楷体"/>
          <w:sz w:val="21"/>
          <w:szCs w:val="21"/>
          <w:highlight w:val="none"/>
        </w:rPr>
        <w:t>等。请仔细阅读《“苏银理财恒源1年定开5期”理财产品风险揭示书》的“风险揭示”部分。</w:t>
      </w:r>
    </w:p>
    <w:p>
      <w:pPr>
        <w:numPr>
          <w:ilvl w:val="0"/>
          <w:numId w:val="1"/>
        </w:numPr>
        <w:ind w:left="420" w:leftChars="0" w:hanging="420" w:firstLineChars="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本产品可设置多</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份额可能设置不同的销售对象、销售起点、业绩比较基准等，各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份额实际收取的销售服务费率、投资管理费率、超额业绩报酬（如有）等可能存在差异，投资者应根据实际情况自主选择购买。</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highlight w:val="none"/>
        </w:rPr>
        <w:t>在本产品存续期内，如因监管政策或法律法规发生变化，在不损害投资者利益的前提下，苏银理财有权单方对本产品条款进行修订，并按本理财产品说明书约定的信息披露方式予以披露。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sz w:val="21"/>
          <w:szCs w:val="21"/>
          <w:highlight w:val="none"/>
        </w:rPr>
      </w:pPr>
      <w:r>
        <w:rPr>
          <w:rFonts w:hint="eastAsia" w:ascii="楷体" w:hAnsi="楷体" w:eastAsia="楷体"/>
          <w:b/>
          <w:sz w:val="21"/>
          <w:szCs w:val="21"/>
          <w:highlight w:val="none"/>
        </w:rPr>
        <w:t>产品要素</w:t>
      </w:r>
    </w:p>
    <w:p>
      <w:pPr>
        <w:numPr>
          <w:ilvl w:val="0"/>
          <w:numId w:val="0"/>
        </w:numPr>
        <w:tabs>
          <w:tab w:val="left" w:pos="1134"/>
        </w:tabs>
        <w:ind w:left="0" w:leftChars="0" w:firstLine="420" w:firstLineChars="200"/>
        <w:outlineLvl w:val="1"/>
        <w:rPr>
          <w:rFonts w:hint="eastAsia" w:ascii="楷体" w:hAnsi="楷体" w:eastAsia="楷体"/>
          <w:sz w:val="21"/>
          <w:szCs w:val="21"/>
          <w:highlight w:val="none"/>
        </w:rPr>
      </w:pPr>
      <w:r>
        <w:rPr>
          <w:rFonts w:hint="eastAsia" w:ascii="楷体" w:hAnsi="楷体" w:eastAsia="楷体"/>
          <w:sz w:val="21"/>
          <w:szCs w:val="21"/>
          <w:highlight w:val="none"/>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2"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产品名称</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苏银理财恒源1年定开5期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理财产品登记编码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eastAsia="zh-CN"/>
              </w:rPr>
            </w:pPr>
            <w:r>
              <w:rPr>
                <w:rFonts w:hint="eastAsia" w:ascii="楷体" w:hAnsi="楷体" w:eastAsia="楷体" w:cs="宋体"/>
                <w:spacing w:val="-2"/>
                <w:sz w:val="18"/>
                <w:szCs w:val="18"/>
                <w:highlight w:val="none"/>
                <w:lang w:val="en-US" w:eastAsia="zh-CN"/>
              </w:rPr>
              <w:t>Z7003121000015</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投资者可依据该编码在中国理财网</w:t>
            </w:r>
            <w:r>
              <w:rPr>
                <w:rFonts w:ascii="楷体" w:hAnsi="楷体" w:eastAsia="楷体" w:cs="宋体"/>
                <w:spacing w:val="-2"/>
                <w:sz w:val="18"/>
                <w:szCs w:val="18"/>
                <w:highlight w:val="none"/>
              </w:rPr>
              <w:fldChar w:fldCharType="begin"/>
            </w:r>
            <w:r>
              <w:rPr>
                <w:rFonts w:ascii="楷体" w:hAnsi="楷体" w:eastAsia="楷体" w:cs="宋体"/>
                <w:spacing w:val="-2"/>
                <w:sz w:val="18"/>
                <w:szCs w:val="18"/>
                <w:highlight w:val="none"/>
              </w:rPr>
              <w:instrText xml:space="preserve"> HYPERLINK "http://www.chinawealth.com.cn/" </w:instrText>
            </w:r>
            <w:r>
              <w:rPr>
                <w:rFonts w:ascii="楷体" w:hAnsi="楷体" w:eastAsia="楷体" w:cs="宋体"/>
                <w:spacing w:val="-2"/>
                <w:sz w:val="18"/>
                <w:szCs w:val="18"/>
                <w:highlight w:val="none"/>
              </w:rPr>
              <w:fldChar w:fldCharType="separate"/>
            </w:r>
            <w:r>
              <w:rPr>
                <w:rFonts w:ascii="楷体" w:hAnsi="楷体" w:eastAsia="楷体" w:cs="宋体"/>
                <w:spacing w:val="-2"/>
                <w:sz w:val="18"/>
                <w:szCs w:val="18"/>
                <w:highlight w:val="none"/>
              </w:rPr>
              <w:t>www.chinawealth.com.cn</w:t>
            </w:r>
            <w:r>
              <w:rPr>
                <w:rFonts w:ascii="楷体" w:hAnsi="楷体" w:eastAsia="楷体" w:cs="宋体"/>
                <w:spacing w:val="-2"/>
                <w:sz w:val="18"/>
                <w:szCs w:val="18"/>
                <w:highlight w:val="none"/>
              </w:rPr>
              <w:fldChar w:fldCharType="end"/>
            </w:r>
            <w:r>
              <w:rPr>
                <w:rFonts w:hint="eastAsia" w:ascii="楷体" w:hAnsi="楷体" w:eastAsia="楷体" w:cs="宋体"/>
                <w:spacing w:val="-2"/>
                <w:sz w:val="18"/>
                <w:szCs w:val="18"/>
                <w:highlight w:val="none"/>
              </w:rPr>
              <w:t>查询产品信息</w:t>
            </w:r>
            <w:r>
              <w:rPr>
                <w:rFonts w:hint="eastAsia" w:ascii="楷体" w:hAnsi="楷体" w:eastAsia="楷体" w:cs="宋体"/>
                <w:spacing w:val="-2"/>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w:t>
            </w:r>
            <w:r>
              <w:rPr>
                <w:rFonts w:hint="eastAsia" w:ascii="楷体" w:hAnsi="楷体" w:eastAsia="楷体" w:cs="宋体"/>
                <w:b/>
                <w:spacing w:val="-2"/>
                <w:sz w:val="18"/>
                <w:szCs w:val="18"/>
                <w:highlight w:val="none"/>
                <w:lang w:val="en-US" w:eastAsia="zh-CN"/>
              </w:rPr>
              <w:t>名称</w:t>
            </w:r>
            <w:r>
              <w:rPr>
                <w:rFonts w:hint="eastAsia" w:ascii="楷体" w:hAnsi="楷体" w:eastAsia="楷体" w:cs="宋体"/>
                <w:b/>
                <w:spacing w:val="-2"/>
                <w:sz w:val="18"/>
                <w:szCs w:val="18"/>
                <w:highlight w:val="none"/>
              </w:rPr>
              <w:t>/销售代码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A份额:苏银理财恒源1年定开5期A/JSA000000186</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B份额:苏银理财恒源1年定开5期B/JSA000000187</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C份额:苏银理财恒源1年定开5期C/J20658</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D份额:苏银理财恒源1年定开5期D/J03293</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F份额:苏银理财恒源1年定开5期F/J03294</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G份额:苏银理财恒源1年定开5期G/J03295</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J份额:苏银理财恒源1年定开5期J/J03296</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M份额:苏银理财恒源1年定开5期M/J03297</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P份额:苏银理财恒源1年定开5期P/J04357</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GS份额:苏银理财恒源1年定开5期GS/J20659</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SX份额:苏银理财恒源1年定开5期SX（山银晋晟）/J20660</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U份额:苏银理财恒源1年定开5期U/J20661</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Z份额:苏银理财恒源1年定开5期Z/J20662</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Z1份额:苏银理财恒源1年定开5期Z1/J21107</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Z2份额:苏银理财恒源1年定开5期Z2/J21108</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ZA份额:苏银理财恒源1年定开5期ZA鑫福款（自动赎回）/J03298</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ZF份额:苏银理财恒源1年定开5期ZF（自动赎回）/J03299</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ZF2份额:苏银理财恒源1年定开5期ZF2（自动赎回）/J21166</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ZJ份额:苏银理财恒源1年定开5期ZJ（自动赎回）/J20663</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ZL份额:苏银理财恒源1年定开5期ZL（自动赎回）/J20664</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ZN份额:苏银理财恒源1年定开5期ZN（自动赎回）/J04359</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ZQ份额:苏银理财恒源1年定开5期ZQ（自动赎回）/J04360</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ZC份额:苏银理财恒源1年定开5期ZC鑫福优享（自动赎回）/J20665</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ZK份额:苏银理财恒源1年定开5期ZK鑫福尊享（自动赎回）/J20666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产品类型</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spacing w:val="-2"/>
                <w:kern w:val="0"/>
                <w:sz w:val="18"/>
                <w:szCs w:val="18"/>
                <w:highlight w:val="none"/>
                <w:u w:val="single"/>
                <w:lang w:val="en-US" w:eastAsia="zh-CN" w:bidi="ar-SA"/>
              </w:rPr>
            </w:pPr>
            <w:r>
              <w:rPr>
                <w:rFonts w:hint="eastAsia" w:ascii="楷体" w:hAnsi="楷体" w:eastAsia="楷体" w:cs="宋体"/>
                <w:b/>
                <w:spacing w:val="-2"/>
                <w:sz w:val="18"/>
                <w:szCs w:val="18"/>
                <w:highlight w:val="none"/>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产品内部风险评级</w:t>
            </w:r>
          </w:p>
        </w:tc>
        <w:tc>
          <w:tcPr>
            <w:tcW w:w="7937" w:type="dxa"/>
            <w:noWrap w:val="0"/>
            <w:vAlign w:val="center"/>
          </w:tcPr>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1.</w:t>
            </w:r>
            <w:r>
              <w:rPr>
                <w:rFonts w:hint="eastAsia" w:ascii="楷体" w:hAnsi="楷体" w:eastAsia="楷体"/>
                <w:color w:val="auto"/>
                <w:sz w:val="18"/>
                <w:szCs w:val="18"/>
                <w:highlight w:val="none"/>
              </w:rPr>
              <w:t>本理财产品经苏银理财内部风险评级为</w:t>
            </w:r>
            <w:r>
              <w:rPr>
                <w:rFonts w:hint="eastAsia" w:ascii="楷体" w:hAnsi="楷体" w:eastAsia="楷体"/>
                <w:b/>
                <w:color w:val="auto"/>
                <w:sz w:val="18"/>
                <w:szCs w:val="18"/>
                <w:highlight w:val="none"/>
                <w:u w:val="single"/>
              </w:rPr>
              <w:t>★★二级，适合中低风险型投资者，适合投资策略为稳健发展</w:t>
            </w:r>
            <w:r>
              <w:rPr>
                <w:rFonts w:hint="eastAsia" w:ascii="楷体" w:hAnsi="楷体" w:eastAsia="楷体"/>
                <w:b/>
                <w:color w:val="auto"/>
                <w:sz w:val="18"/>
                <w:szCs w:val="18"/>
                <w:highlight w:val="none"/>
                <w:u w:val="single"/>
                <w:lang w:val="en-US" w:eastAsia="zh-CN"/>
              </w:rPr>
              <w:t>的投资者</w:t>
            </w:r>
            <w:r>
              <w:rPr>
                <w:rFonts w:hint="eastAsia" w:ascii="楷体" w:hAnsi="楷体" w:eastAsia="楷体"/>
                <w:color w:val="auto"/>
                <w:sz w:val="18"/>
                <w:szCs w:val="18"/>
                <w:highlight w:val="none"/>
              </w:rPr>
              <w:t>。本评级为</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内部评级，由</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根据理财产品的投资组合、同类产品过往业绩和风险状况等因素，对理财产品进行评级，仅供</w:t>
            </w:r>
            <w:r>
              <w:rPr>
                <w:rFonts w:hint="eastAsia" w:ascii="楷体" w:hAnsi="楷体" w:eastAsia="楷体"/>
                <w:color w:val="auto"/>
                <w:sz w:val="18"/>
                <w:szCs w:val="18"/>
                <w:highlight w:val="none"/>
                <w:lang w:val="en-US" w:eastAsia="zh-CN"/>
              </w:rPr>
              <w:t>投资者</w:t>
            </w:r>
            <w:r>
              <w:rPr>
                <w:rFonts w:hint="eastAsia" w:ascii="楷体" w:hAnsi="楷体" w:eastAsia="楷体"/>
                <w:color w:val="auto"/>
                <w:sz w:val="18"/>
                <w:szCs w:val="18"/>
                <w:highlight w:val="none"/>
              </w:rPr>
              <w:t>参考。理财产品存续期间，若市场环境等因素发生变化，在符合监管政策要求的前提下管理人可对产品风险评级进行调整，并及时将调整情况向投资者披露。</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风险星级</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风险级别</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适合的投资者类别</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一级（PR1）</w:t>
                  </w:r>
                </w:p>
              </w:tc>
              <w:tc>
                <w:tcPr>
                  <w:tcW w:w="1493"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低风险型</w:t>
                  </w:r>
                </w:p>
              </w:tc>
              <w:tc>
                <w:tcPr>
                  <w:tcW w:w="1229"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二级（PR2）</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中低风险型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三级（PR3）</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四级（PR4）</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五级（PR5）</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风险承受</w:t>
                  </w:r>
                </w:p>
              </w:tc>
            </w:tr>
          </w:tbl>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highlight w:val="none"/>
              </w:rPr>
            </w:pP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4"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销售对象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个人和机构</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其中C份额销售机构江苏银行个人投资者仅限代发工资客户；新资金客户及新客户，新资金的达标条件为“客户前一日资产时点余额”较“前一月末资产月日均余额”的新增额大于5万元，新客户是指首次购买理财产品的客户；50周岁及以上客户；机构投资者具体以销售机构设置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D份额销售机构江苏银行个人投资者仅限财富客户购买，江苏银行财富客户指在江苏银行日均资产大于等于200万元的个人客户；机构投资者具体以销售机构设置为准。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币种</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highlight w:val="none"/>
              </w:rPr>
            </w:pPr>
            <w:r>
              <w:rPr>
                <w:rFonts w:hint="eastAsia" w:ascii="楷体" w:hAnsi="楷体" w:eastAsia="楷体" w:cs="宋体"/>
                <w:spacing w:val="-2"/>
                <w:sz w:val="18"/>
                <w:szCs w:val="18"/>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份额面值</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lang w:eastAsia="zh-CN"/>
              </w:rPr>
              <w:t>1元</w:t>
            </w:r>
            <w:r>
              <w:rPr>
                <w:rFonts w:hint="eastAsia" w:ascii="楷体" w:hAnsi="楷体" w:eastAsia="楷体" w:cs="宋体"/>
                <w:spacing w:val="-2"/>
                <w:sz w:val="18"/>
                <w:szCs w:val="18"/>
                <w:highlight w:val="none"/>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投资周期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b/>
                <w:spacing w:val="-2"/>
                <w:sz w:val="18"/>
                <w:szCs w:val="18"/>
                <w:highlight w:val="none"/>
                <w:lang w:val="en-US" w:eastAsia="zh-CN"/>
              </w:rPr>
            </w:pPr>
            <w:r>
              <w:rPr>
                <w:rFonts w:hint="eastAsia" w:ascii="楷体" w:hAnsi="楷体" w:eastAsia="楷体" w:cs="宋体"/>
                <w:spacing w:val="-2"/>
                <w:sz w:val="18"/>
                <w:szCs w:val="18"/>
                <w:highlight w:val="none"/>
                <w:lang w:val="en-US" w:eastAsia="zh-CN"/>
              </w:rPr>
              <w:t>1年左右，具体天数以实际投资为准。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计划发行规模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本产品计划发行规模为100000万元，管理人有权根据实际需要调整计划发行规模。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最低发行规模</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购买起点</w:t>
            </w:r>
            <w:r>
              <w:rPr>
                <w:rFonts w:ascii="楷体" w:hAnsi="楷体" w:eastAsia="楷体" w:cs="宋体"/>
                <w:b/>
                <w:spacing w:val="-2"/>
                <w:sz w:val="18"/>
                <w:szCs w:val="18"/>
                <w:highlight w:val="none"/>
              </w:rPr>
              <w:t>/</w:t>
            </w:r>
            <w:r>
              <w:rPr>
                <w:rFonts w:hint="eastAsia" w:ascii="楷体" w:hAnsi="楷体" w:eastAsia="楷体" w:cs="宋体"/>
                <w:b/>
                <w:spacing w:val="-2"/>
                <w:sz w:val="18"/>
                <w:szCs w:val="18"/>
                <w:highlight w:val="none"/>
              </w:rPr>
              <w:t>追加金额</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A份额:100元/100元的整数倍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B份额:200,000元/10,000元的整数倍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C份额:10,000元/1元的整数倍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D份额:个人投资者：500,000元/10,000元的整数倍,机构投资者：30,000,000元/10,000元的整数倍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F份额:100元/100元的整数倍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G份额:200,000元/10,000元的整数倍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J份额:500,000元/10,000元的整数倍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M份额:100元/100元的整数倍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P份额:100元/100元的整数倍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GS份额:100元/100元的整数倍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SX份额:100元/100元的整数倍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U份额:100元/100元的整数倍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Z1份额:10,000元/1元的整数倍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Z2份额:500,000元/10,000元的整数倍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ZA份额:100元/100元的整数倍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ZF2份额:1000元/1000元的整数倍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ZJ份额:100元/100元的整数倍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ZL份额:个人投资者：500,000元/10,000元的整数倍,机构投资者：30,000,000元/10,000元的整数倍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ZN份额:100元/100元的整数倍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ZQ份额:100元/100元的整数倍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ZC份额:10,000元/1元的整数倍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ZK份额:个人投资者：500,000元/10,000元的整数倍,机构投资者：30,000,000元/10,000元的整数倍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highlight w:val="none"/>
                <w:lang w:eastAsia="zh-CN"/>
              </w:rPr>
            </w:pPr>
            <w:r>
              <w:rPr>
                <w:rFonts w:hint="eastAsia" w:ascii="楷体" w:hAnsi="楷体" w:eastAsia="楷体"/>
                <w:sz w:val="18"/>
                <w:szCs w:val="18"/>
                <w:highlight w:val="none"/>
              </w:rPr>
              <w:t>苏银理财有权对上述起点金额和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金额进行调整，并在调整前进行公告。</w:t>
            </w:r>
            <w:r>
              <w:rPr>
                <w:rFonts w:hint="eastAsia" w:ascii="楷体" w:hAnsi="楷体" w:eastAsia="楷体"/>
                <w:sz w:val="18"/>
                <w:szCs w:val="18"/>
                <w:highlight w:val="none"/>
                <w:lang w:eastAsia="zh-CN"/>
              </w:rPr>
              <w:t>（</w:t>
            </w:r>
            <w:r>
              <w:rPr>
                <w:rFonts w:hint="eastAsia" w:ascii="楷体" w:hAnsi="楷体" w:eastAsia="楷体"/>
                <w:sz w:val="18"/>
                <w:szCs w:val="18"/>
                <w:highlight w:val="none"/>
              </w:rPr>
              <w:t>具体以销售机构设置为准。</w:t>
            </w:r>
            <w:r>
              <w:rPr>
                <w:rFonts w:hint="eastAsia" w:ascii="楷体" w:hAnsi="楷体" w:eastAsia="楷体"/>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募集期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2021年3月26日至2021年3月31日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产品成立日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2021年4月1日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before="0" w:line="0" w:lineRule="atLeast"/>
              <w:ind w:left="0" w:leftChars="0"/>
              <w:jc w:val="both"/>
              <w:textAlignment w:val="auto"/>
              <w:rPr>
                <w:rFonts w:hint="eastAsia"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rPr>
              <w:t>产品</w:t>
            </w:r>
            <w:r>
              <w:rPr>
                <w:rFonts w:hint="eastAsia" w:ascii="楷体" w:hAnsi="楷体" w:eastAsia="楷体" w:cs="宋体"/>
                <w:b/>
                <w:color w:val="auto"/>
                <w:spacing w:val="-2"/>
                <w:sz w:val="18"/>
                <w:szCs w:val="18"/>
                <w:highlight w:val="none"/>
                <w:lang w:val="en-US" w:eastAsia="zh-CN"/>
              </w:rPr>
              <w:t>终止日/</w:t>
            </w:r>
          </w:p>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color w:val="auto"/>
                <w:spacing w:val="-2"/>
                <w:sz w:val="18"/>
                <w:szCs w:val="18"/>
                <w:highlight w:val="none"/>
              </w:rPr>
              <w:t>到期日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lang w:val="en-US" w:eastAsia="zh-CN"/>
              </w:rPr>
              <w:t>2031年4月15日</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rPr>
              <w:t>如遇节假日，顺延至下一工作日</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rPr>
              <w:t>在符合产品说明书约定的条件下，管理人有权</w:t>
            </w:r>
            <w:r>
              <w:rPr>
                <w:rFonts w:hint="eastAsia" w:ascii="楷体" w:hAnsi="楷体" w:eastAsia="楷体" w:cs="宋体"/>
                <w:color w:val="auto"/>
                <w:spacing w:val="-2"/>
                <w:sz w:val="18"/>
                <w:szCs w:val="18"/>
                <w:highlight w:val="none"/>
                <w:lang w:val="en-US" w:eastAsia="zh-CN"/>
              </w:rPr>
              <w:t>调整产品到期日</w:t>
            </w:r>
            <w:r>
              <w:rPr>
                <w:rFonts w:hint="eastAsia" w:ascii="楷体" w:hAnsi="楷体" w:eastAsia="楷体" w:cs="宋体"/>
                <w:color w:val="auto"/>
                <w:spacing w:val="-2"/>
                <w:sz w:val="18"/>
                <w:szCs w:val="18"/>
                <w:highlight w:val="none"/>
              </w:rPr>
              <w:t>，产品到期日受制于提前终止</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延期终止</w:t>
            </w:r>
            <w:r>
              <w:rPr>
                <w:rFonts w:hint="eastAsia" w:ascii="楷体" w:hAnsi="楷体" w:eastAsia="楷体" w:cs="宋体"/>
                <w:color w:val="auto"/>
                <w:spacing w:val="-2"/>
                <w:sz w:val="18"/>
                <w:szCs w:val="18"/>
                <w:highlight w:val="none"/>
              </w:rPr>
              <w:t>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开放计划</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highlight w:val="none"/>
                <w:u w:val="single"/>
                <w:lang w:val="en-US" w:eastAsia="zh-CN"/>
              </w:rPr>
            </w:pPr>
            <w:r>
              <w:rPr>
                <w:rFonts w:hint="eastAsia" w:ascii="楷体" w:hAnsi="楷体" w:eastAsia="楷体" w:cs="宋体"/>
                <w:spacing w:val="-2"/>
                <w:sz w:val="18"/>
                <w:szCs w:val="18"/>
                <w:highlight w:val="none"/>
                <w:lang w:val="en-US" w:eastAsia="zh-CN"/>
              </w:rPr>
              <w:t>本产品</w:t>
            </w:r>
            <w:r>
              <w:rPr>
                <w:rFonts w:hint="eastAsia" w:ascii="楷体" w:hAnsi="楷体" w:eastAsia="楷体" w:cs="宋体"/>
                <w:spacing w:val="-2"/>
                <w:sz w:val="18"/>
                <w:szCs w:val="18"/>
                <w:highlight w:val="none"/>
              </w:rPr>
              <w:t>按投资周期开放申购与赎回，</w:t>
            </w:r>
            <w:r>
              <w:rPr>
                <w:rFonts w:hint="eastAsia" w:ascii="楷体" w:hAnsi="楷体" w:eastAsia="楷体" w:cs="宋体"/>
                <w:spacing w:val="-2"/>
                <w:sz w:val="18"/>
                <w:szCs w:val="18"/>
                <w:highlight w:val="none"/>
                <w:lang w:val="en-US" w:eastAsia="zh-CN"/>
              </w:rPr>
              <w:t>最新投资周期（2026年6月17日-2027年7月8日）开放申购与赎回时间为：2026年6月8日至2026年6月16日</w:t>
            </w:r>
            <w:r>
              <w:rPr>
                <w:rFonts w:hint="eastAsia" w:ascii="楷体" w:hAnsi="楷体" w:eastAsia="楷体" w:cs="宋体"/>
                <w:b/>
                <w:bCs/>
                <w:spacing w:val="-2"/>
                <w:sz w:val="18"/>
                <w:szCs w:val="18"/>
                <w:highlight w:val="none"/>
                <w:lang w:val="en-US" w:eastAsia="zh-CN"/>
              </w:rPr>
              <w:t>（</w:t>
            </w:r>
            <w:r>
              <w:rPr>
                <w:rFonts w:hint="eastAsia" w:ascii="楷体" w:hAnsi="楷体" w:eastAsia="楷体" w:cs="宋体"/>
                <w:spacing w:val="-2"/>
                <w:sz w:val="18"/>
                <w:szCs w:val="18"/>
                <w:highlight w:val="none"/>
              </w:rPr>
              <w:t>以各销售机构设置的时间为准</w:t>
            </w:r>
            <w:r>
              <w:rPr>
                <w:rFonts w:hint="eastAsia" w:ascii="楷体" w:hAnsi="楷体" w:eastAsia="楷体" w:cs="宋体"/>
                <w:b/>
                <w:bCs/>
                <w:spacing w:val="-2"/>
                <w:sz w:val="18"/>
                <w:szCs w:val="18"/>
                <w:highlight w:val="none"/>
                <w:lang w:val="en-US" w:eastAsia="zh-CN"/>
              </w:rPr>
              <w:t>）。</w:t>
            </w:r>
            <w:r>
              <w:rPr>
                <w:rFonts w:hint="eastAsia" w:ascii="楷体" w:hAnsi="楷体" w:eastAsia="楷体" w:cs="宋体"/>
                <w:spacing w:val="-2"/>
                <w:sz w:val="18"/>
                <w:szCs w:val="18"/>
                <w:highlight w:val="none"/>
              </w:rPr>
              <w:t>投资者可在</w:t>
            </w:r>
            <w:r>
              <w:rPr>
                <w:rFonts w:hint="eastAsia" w:ascii="楷体" w:hAnsi="楷体" w:eastAsia="楷体" w:cs="宋体"/>
                <w:spacing w:val="-2"/>
                <w:sz w:val="18"/>
                <w:szCs w:val="18"/>
                <w:highlight w:val="none"/>
                <w:lang w:val="en-US" w:eastAsia="zh-CN"/>
              </w:rPr>
              <w:t>此期间提交申购/赎回申请，</w:t>
            </w:r>
            <w:r>
              <w:rPr>
                <w:rFonts w:hint="eastAsia" w:ascii="楷体" w:hAnsi="楷体" w:eastAsia="楷体" w:cs="宋体"/>
                <w:b w:val="0"/>
                <w:bCs w:val="0"/>
                <w:spacing w:val="-2"/>
                <w:sz w:val="18"/>
                <w:szCs w:val="18"/>
                <w:highlight w:val="none"/>
                <w:lang w:val="en-US" w:eastAsia="zh-CN"/>
              </w:rPr>
              <w:t>投资者</w:t>
            </w:r>
            <w:r>
              <w:rPr>
                <w:rFonts w:hint="eastAsia" w:ascii="楷体" w:hAnsi="楷体" w:eastAsia="楷体" w:cs="宋体"/>
                <w:spacing w:val="-2"/>
                <w:sz w:val="18"/>
                <w:szCs w:val="18"/>
                <w:highlight w:val="none"/>
              </w:rPr>
              <w:t>未赎回的部分自动进入下一个投资周期</w:t>
            </w:r>
            <w:r>
              <w:rPr>
                <w:rFonts w:hint="eastAsia" w:ascii="楷体" w:hAnsi="楷体" w:eastAsia="楷体" w:cs="宋体"/>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(其中ZA份额/ZF份额/ZF2份额/ZJ份额/ZL份额/ZN份额/ZQ份额/ZC份额/ZK份额由系统主动发起赎回申请，投资者无须发起赎回申请</w:t>
            </w:r>
            <w:r>
              <w:rPr>
                <w:rFonts w:hint="eastAsia" w:ascii="楷体" w:hAnsi="楷体" w:eastAsia="楷体" w:cs="宋体"/>
                <w:b/>
                <w:bCs/>
                <w:color w:val="auto"/>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w:t>
            </w:r>
            <w:r>
              <w:rPr>
                <w:rFonts w:hint="eastAsia" w:ascii="楷体" w:hAnsi="楷体" w:eastAsia="楷体" w:cs="宋体"/>
                <w:b/>
                <w:bCs/>
                <w:spacing w:val="-2"/>
                <w:sz w:val="18"/>
                <w:szCs w:val="18"/>
                <w:highlight w:val="none"/>
                <w:u w:val="single"/>
              </w:rPr>
              <w:t>除开放计划外的其他时间，管理人不接受投资者申购、赎回申请</w:t>
            </w:r>
            <w:r>
              <w:rPr>
                <w:rFonts w:hint="eastAsia" w:ascii="楷体" w:hAnsi="楷体" w:eastAsia="楷体" w:cs="宋体"/>
                <w:b/>
                <w:bCs/>
                <w:spacing w:val="-2"/>
                <w:sz w:val="18"/>
                <w:szCs w:val="18"/>
                <w:highlight w:val="none"/>
                <w:u w:val="single"/>
                <w:lang w:eastAsia="zh-CN"/>
              </w:rPr>
              <w:t>。</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管理人有权根据资产运作情况、节假日安排调整开放计划，并在调整前进行公告。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rPr>
              <w:t>单笔</w:t>
            </w:r>
            <w:r>
              <w:rPr>
                <w:rFonts w:hint="eastAsia" w:ascii="楷体" w:hAnsi="楷体" w:eastAsia="楷体" w:cs="宋体"/>
                <w:b/>
                <w:spacing w:val="-2"/>
                <w:sz w:val="18"/>
                <w:szCs w:val="18"/>
                <w:highlight w:val="none"/>
                <w:lang w:val="en-US" w:eastAsia="zh-CN"/>
              </w:rPr>
              <w:t>购买</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元。超过购买上限时，管理人有权拒绝投资者</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eastAsia="zh-CN"/>
              </w:rPr>
              <w:t>投资者</w:t>
            </w:r>
            <w:r>
              <w:rPr>
                <w:rFonts w:hint="eastAsia" w:ascii="楷体" w:hAnsi="楷体" w:eastAsia="楷体" w:cs="宋体"/>
                <w:spacing w:val="-2"/>
                <w:sz w:val="18"/>
                <w:szCs w:val="18"/>
                <w:highlight w:val="none"/>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lang w:val="en-US" w:eastAsia="zh-CN"/>
              </w:rPr>
              <w:t>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份。超过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rPr>
              <w:t>持有比例上限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rPr>
              <w:t>单一投资者持有份额不得超过总份额50%。非因主观因素导致突破前款规定比例限制的，在单一投资者持有份额占理财产品总份额比例降至50%以下之前，不再接受该单一投资者对理财产品的</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巨额申购</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kern w:val="0"/>
                <w:sz w:val="18"/>
                <w:szCs w:val="18"/>
                <w:highlight w:val="none"/>
              </w:rPr>
              <w:t>本产品单个开放日投资者净申购额（申购申请份额总数扣除赎回申请份额总数）超过上一日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巨额赎回</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w:t>
            </w:r>
            <w:r>
              <w:rPr>
                <w:rFonts w:hint="eastAsia" w:ascii="楷体" w:hAnsi="楷体" w:eastAsia="楷体" w:cs="宋体"/>
                <w:b/>
                <w:bCs/>
                <w:spacing w:val="-2"/>
                <w:sz w:val="18"/>
                <w:szCs w:val="18"/>
                <w:highlight w:val="none"/>
                <w:u w:val="single"/>
                <w:lang w:val="en-US" w:eastAsia="zh-CN"/>
              </w:rPr>
              <w:t>单</w:t>
            </w:r>
            <w:r>
              <w:rPr>
                <w:rFonts w:hint="eastAsia" w:ascii="楷体" w:hAnsi="楷体" w:eastAsia="楷体" w:cs="宋体"/>
                <w:b/>
                <w:bCs/>
                <w:spacing w:val="-2"/>
                <w:sz w:val="18"/>
                <w:szCs w:val="18"/>
                <w:highlight w:val="none"/>
                <w:u w:val="single"/>
              </w:rPr>
              <w:t>个开放日投资者净赎回额（赎回申请份额总数扣除申购申请份额总数）超过上一日</w:t>
            </w:r>
            <w:r>
              <w:rPr>
                <w:rFonts w:hint="eastAsia" w:ascii="楷体" w:hAnsi="楷体" w:eastAsia="楷体" w:cs="宋体"/>
                <w:b/>
                <w:bCs/>
                <w:spacing w:val="-2"/>
                <w:sz w:val="18"/>
                <w:szCs w:val="18"/>
                <w:highlight w:val="none"/>
                <w:u w:val="single"/>
                <w:lang w:val="en-US" w:eastAsia="zh-CN"/>
              </w:rPr>
              <w:t>日终</w:t>
            </w:r>
            <w:r>
              <w:rPr>
                <w:rFonts w:hint="eastAsia" w:ascii="楷体" w:hAnsi="楷体" w:eastAsia="楷体" w:cs="宋体"/>
                <w:b/>
                <w:bCs/>
                <w:spacing w:val="-2"/>
                <w:sz w:val="18"/>
                <w:szCs w:val="18"/>
                <w:highlight w:val="none"/>
                <w:u w:val="single"/>
              </w:rPr>
              <w:t>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2.部分赎回</w:t>
            </w:r>
            <w:r>
              <w:rPr>
                <w:rFonts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highlight w:val="none"/>
                <w:u w:val="none"/>
                <w:lang w:val="en-US" w:eastAsia="zh-CN"/>
              </w:rPr>
              <w:t>日</w:t>
            </w:r>
            <w:r>
              <w:rPr>
                <w:rFonts w:hint="eastAsia" w:ascii="楷体" w:hAnsi="楷体" w:eastAsia="楷体" w:cs="宋体"/>
                <w:b w:val="0"/>
                <w:bCs/>
                <w:spacing w:val="-2"/>
                <w:sz w:val="18"/>
                <w:szCs w:val="18"/>
                <w:highlight w:val="none"/>
                <w:u w:val="none"/>
              </w:rPr>
              <w:t>日终理财产品总份额的10%，对其余赎回申请管理人有权暂停接受或延期办理。对该产品单个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的赎回申请，按照其申请占当日申请赎回总份额的比例，确定该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当日申请赎回份额5万份，当日全部赎回申请10000万份，假设前一日日终总份额50000万份，发生巨额赎回，管理人当日办理的赎回份额5000万份，则该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wordWrap/>
              <w:topLinePunct w:val="0"/>
              <w:bidi w:val="0"/>
              <w:snapToGrid/>
              <w:spacing w:line="0" w:lineRule="atLeast"/>
              <w:ind w:left="0" w:leftChars="0" w:right="0" w:rightChars="0"/>
              <w:textAlignment w:val="auto"/>
              <w:rPr>
                <w:rFonts w:ascii="楷体" w:hAnsi="楷体" w:eastAsia="楷体" w:cs="宋体"/>
                <w:b/>
                <w:spacing w:val="-2"/>
                <w:sz w:val="18"/>
                <w:szCs w:val="18"/>
                <w:highlight w:val="none"/>
                <w:u w:val="single"/>
              </w:rPr>
            </w:pPr>
            <w:r>
              <w:rPr>
                <w:rFonts w:hint="eastAsia" w:ascii="楷体" w:hAnsi="楷体" w:eastAsia="楷体" w:cs="宋体"/>
                <w:b w:val="0"/>
                <w:bCs/>
                <w:spacing w:val="-2"/>
                <w:sz w:val="18"/>
                <w:szCs w:val="18"/>
                <w:highlight w:val="none"/>
                <w:u w:val="none"/>
              </w:rPr>
              <w:t>3.延缓支付赎回款项：连续2个以上开放日发生巨额赎回的，管理人除有权选择全额赎回或部分赎回等措施外，对于已经接受的赎回申请，管理人可以延缓支付赎回款项，但延缓期限不得超过20个工作日。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业绩比较基准（年化）</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lang w:val="en-US" w:eastAsia="zh-CN"/>
              </w:rPr>
              <w:t>1.管理人</w:t>
            </w:r>
            <w:r>
              <w:rPr>
                <w:rFonts w:ascii="楷体" w:hAnsi="楷体" w:eastAsia="楷体" w:cs="宋体"/>
                <w:b/>
                <w:bCs/>
                <w:spacing w:val="-2"/>
                <w:sz w:val="18"/>
                <w:szCs w:val="18"/>
                <w:highlight w:val="none"/>
                <w:u w:val="single"/>
              </w:rPr>
              <w:t>参考过往投资经验，依据近期货币市场工具、</w:t>
            </w:r>
            <w:r>
              <w:rPr>
                <w:rFonts w:hint="eastAsia" w:ascii="楷体" w:hAnsi="楷体" w:eastAsia="楷体" w:cs="宋体"/>
                <w:b/>
                <w:bCs/>
                <w:spacing w:val="-2"/>
                <w:sz w:val="18"/>
                <w:szCs w:val="18"/>
                <w:highlight w:val="none"/>
                <w:u w:val="single"/>
                <w:lang w:val="en-US" w:eastAsia="zh-CN"/>
              </w:rPr>
              <w:t>银行存款（含结构性存款）、</w:t>
            </w:r>
            <w:r>
              <w:rPr>
                <w:rFonts w:ascii="楷体" w:hAnsi="楷体" w:eastAsia="楷体" w:cs="宋体"/>
                <w:b/>
                <w:bCs/>
                <w:spacing w:val="-2"/>
                <w:sz w:val="18"/>
                <w:szCs w:val="18"/>
                <w:highlight w:val="none"/>
                <w:u w:val="single"/>
              </w:rPr>
              <w:t>债券</w:t>
            </w:r>
            <w:r>
              <w:rPr>
                <w:rFonts w:hint="eastAsia" w:ascii="楷体" w:hAnsi="楷体" w:eastAsia="楷体" w:cs="宋体"/>
                <w:b/>
                <w:bCs/>
                <w:spacing w:val="-2"/>
                <w:sz w:val="18"/>
                <w:szCs w:val="18"/>
                <w:highlight w:val="none"/>
                <w:u w:val="single"/>
              </w:rPr>
              <w:t>、非标准化债权</w:t>
            </w:r>
            <w:r>
              <w:rPr>
                <w:rFonts w:ascii="楷体" w:hAnsi="楷体" w:eastAsia="楷体" w:cs="宋体"/>
                <w:b/>
                <w:bCs/>
                <w:spacing w:val="-2"/>
                <w:sz w:val="18"/>
                <w:szCs w:val="18"/>
                <w:highlight w:val="none"/>
                <w:u w:val="single"/>
              </w:rPr>
              <w:t>等资产</w:t>
            </w:r>
            <w:r>
              <w:rPr>
                <w:rFonts w:hint="eastAsia" w:ascii="楷体" w:hAnsi="楷体" w:eastAsia="楷体" w:cs="宋体"/>
                <w:b/>
                <w:bCs/>
                <w:spacing w:val="-2"/>
                <w:sz w:val="18"/>
                <w:szCs w:val="18"/>
                <w:highlight w:val="none"/>
                <w:u w:val="single"/>
              </w:rPr>
              <w:t>投资</w:t>
            </w:r>
            <w:r>
              <w:rPr>
                <w:rFonts w:ascii="楷体" w:hAnsi="楷体" w:eastAsia="楷体" w:cs="宋体"/>
                <w:b/>
                <w:bCs/>
                <w:spacing w:val="-2"/>
                <w:sz w:val="18"/>
                <w:szCs w:val="18"/>
                <w:highlight w:val="none"/>
                <w:u w:val="single"/>
              </w:rPr>
              <w:t>收益水平，在产品说明书约定的投资范围和投资比例内</w:t>
            </w:r>
            <w:r>
              <w:rPr>
                <w:rFonts w:hint="eastAsia" w:ascii="楷体" w:hAnsi="楷体" w:eastAsia="楷体" w:cs="宋体"/>
                <w:b/>
                <w:bCs/>
                <w:spacing w:val="-2"/>
                <w:sz w:val="18"/>
                <w:szCs w:val="18"/>
                <w:highlight w:val="none"/>
                <w:u w:val="single"/>
              </w:rPr>
              <w:t>，综合考虑各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份额收取的销售服务费和投资管理费</w:t>
            </w:r>
            <w:r>
              <w:rPr>
                <w:rFonts w:hint="eastAsia" w:ascii="楷体" w:hAnsi="楷体" w:eastAsia="楷体" w:cs="宋体"/>
                <w:b/>
                <w:bCs/>
                <w:spacing w:val="-2"/>
                <w:sz w:val="18"/>
                <w:szCs w:val="18"/>
                <w:highlight w:val="none"/>
                <w:u w:val="single"/>
                <w:lang w:val="en-US" w:eastAsia="zh-CN"/>
              </w:rPr>
              <w:t>等费用</w:t>
            </w:r>
            <w:r>
              <w:rPr>
                <w:rFonts w:hint="eastAsia" w:ascii="楷体" w:hAnsi="楷体" w:eastAsia="楷体" w:cs="宋体"/>
                <w:b/>
                <w:bCs/>
                <w:spacing w:val="-2"/>
                <w:sz w:val="18"/>
                <w:szCs w:val="18"/>
                <w:highlight w:val="none"/>
                <w:u w:val="single"/>
              </w:rPr>
              <w:t>情况，</w:t>
            </w:r>
            <w:r>
              <w:rPr>
                <w:rFonts w:ascii="楷体" w:hAnsi="楷体" w:eastAsia="楷体" w:cs="宋体"/>
                <w:b/>
                <w:bCs/>
                <w:spacing w:val="-2"/>
                <w:sz w:val="18"/>
                <w:szCs w:val="18"/>
                <w:highlight w:val="none"/>
                <w:u w:val="single"/>
              </w:rPr>
              <w:t>模拟测算得出</w:t>
            </w:r>
            <w:r>
              <w:rPr>
                <w:rFonts w:hint="eastAsia" w:ascii="楷体" w:hAnsi="楷体" w:eastAsia="楷体" w:cs="宋体"/>
                <w:b/>
                <w:bCs/>
                <w:spacing w:val="-2"/>
                <w:sz w:val="18"/>
                <w:szCs w:val="18"/>
                <w:highlight w:val="none"/>
                <w:u w:val="single"/>
              </w:rPr>
              <w:t>业绩比较基准。</w:t>
            </w:r>
          </w:p>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kern w:val="0"/>
                <w:sz w:val="18"/>
                <w:szCs w:val="18"/>
                <w:highlight w:val="none"/>
                <w:lang w:val="en-US" w:eastAsia="zh-CN" w:bidi="ar-SA"/>
              </w:rPr>
            </w:pPr>
            <w:r>
              <w:rPr>
                <w:rFonts w:hint="eastAsia" w:ascii="楷体" w:hAnsi="楷体" w:eastAsia="楷体" w:cs="宋体"/>
                <w:b/>
                <w:bCs/>
                <w:spacing w:val="-2"/>
                <w:sz w:val="18"/>
                <w:szCs w:val="18"/>
                <w:highlight w:val="none"/>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bCs/>
                <w:spacing w:val="-2"/>
                <w:sz w:val="18"/>
                <w:szCs w:val="18"/>
                <w:highlight w:val="none"/>
                <w:u w:val="single"/>
              </w:rPr>
              <w:t>。</w:t>
            </w:r>
            <w:r>
              <w:rPr>
                <w:rFonts w:hint="eastAsia" w:ascii="楷体" w:hAnsi="楷体" w:eastAsia="楷体" w:cs="宋体"/>
                <w:spacing w:val="-2"/>
                <w:kern w:val="0"/>
                <w:sz w:val="18"/>
                <w:szCs w:val="18"/>
                <w:highlight w:val="none"/>
                <w:lang w:val="en-US" w:eastAsia="zh-CN" w:bidi="ar-SA"/>
              </w:rPr>
              <w:t>各类份额最新投资周期（2026年6月17日-2027年7月8日）业绩比较基准如下：</w:t>
            </w:r>
          </w:p>
          <w:tbl>
            <w:tblPr>
              <w:tblStyle w:val="15"/>
              <w:tblW w:w="70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871"/>
              <w:gridCol w:w="1803"/>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eastAsia" w:ascii="楷体" w:hAnsi="楷体" w:eastAsia="楷体"/>
                      <w:sz w:val="18"/>
                      <w:szCs w:val="18"/>
                      <w:highlight w:val="none"/>
                    </w:rPr>
                  </w:pPr>
                  <w:r>
                    <w:rPr>
                      <w:rFonts w:hint="eastAsia" w:ascii="楷体" w:hAnsi="楷体" w:eastAsia="楷体"/>
                      <w:sz w:val="18"/>
                      <w:szCs w:val="18"/>
                      <w:highlight w:val="none"/>
                    </w:rPr>
                    <w:t>投资周期</w:t>
                  </w:r>
                </w:p>
              </w:tc>
              <w:tc>
                <w:tcPr>
                  <w:tcW w:w="1871" w:type="dxa"/>
                  <w:vAlign w:val="center"/>
                </w:tcPr>
                <w:p>
                  <w:pPr>
                    <w:jc w:val="center"/>
                    <w:rPr>
                      <w:rFonts w:hint="eastAsia" w:ascii="楷体" w:hAnsi="楷体" w:eastAsia="楷体"/>
                      <w:sz w:val="18"/>
                      <w:szCs w:val="18"/>
                      <w:highlight w:val="none"/>
                    </w:rPr>
                  </w:pPr>
                  <w:r>
                    <w:rPr>
                      <w:rFonts w:hint="eastAsia" w:ascii="楷体" w:hAnsi="楷体" w:eastAsia="楷体"/>
                      <w:sz w:val="18"/>
                      <w:szCs w:val="18"/>
                      <w:highlight w:val="none"/>
                    </w:rPr>
                    <w:t>投资周期起始日</w:t>
                  </w:r>
                </w:p>
              </w:tc>
              <w:tc>
                <w:tcPr>
                  <w:tcW w:w="1803" w:type="dxa"/>
                  <w:vAlign w:val="center"/>
                </w:tcPr>
                <w:p>
                  <w:pPr>
                    <w:jc w:val="center"/>
                    <w:rPr>
                      <w:rFonts w:hint="eastAsia" w:ascii="楷体" w:hAnsi="楷体" w:eastAsia="楷体"/>
                      <w:sz w:val="18"/>
                      <w:szCs w:val="18"/>
                      <w:highlight w:val="none"/>
                    </w:rPr>
                  </w:pPr>
                  <w:r>
                    <w:rPr>
                      <w:rFonts w:hint="eastAsia" w:ascii="楷体" w:hAnsi="楷体" w:eastAsia="楷体"/>
                      <w:sz w:val="18"/>
                      <w:szCs w:val="18"/>
                      <w:highlight w:val="none"/>
                    </w:rPr>
                    <w:t>投资周期终止日</w:t>
                  </w:r>
                </w:p>
              </w:tc>
              <w:tc>
                <w:tcPr>
                  <w:tcW w:w="2701" w:type="dxa"/>
                  <w:vAlign w:val="center"/>
                </w:tcPr>
                <w:p>
                  <w:pPr>
                    <w:jc w:val="center"/>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业绩比较基准</w:t>
                  </w:r>
                </w:p>
                <w:p>
                  <w:pPr>
                    <w:jc w:val="center"/>
                    <w:rPr>
                      <w:rFonts w:hint="default" w:ascii="楷体" w:hAnsi="楷体" w:eastAsia="楷体"/>
                      <w:sz w:val="18"/>
                      <w:szCs w:val="18"/>
                      <w:highlight w:val="none"/>
                      <w:lang w:val="en-US" w:eastAsia="zh-CN"/>
                    </w:rPr>
                  </w:pPr>
                  <w:r>
                    <w:rPr>
                      <w:rFonts w:hint="eastAsia" w:ascii="楷体" w:hAnsi="楷体" w:eastAsia="楷体"/>
                      <w:sz w:val="18"/>
                      <w:szCs w:val="18"/>
                      <w:highlight w:val="none"/>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1</w:t>
                  </w:r>
                </w:p>
              </w:tc>
              <w:tc>
                <w:tcPr>
                  <w:tcW w:w="1871" w:type="dxa"/>
                  <w:vAlign w:val="center"/>
                </w:tcPr>
                <w:p>
                  <w:pPr>
                    <w:spacing w:before="0" w:after="0" w:line="0" w:lineRule="atLeast"/>
                    <w:jc w:val="center"/>
                  </w:pPr>
                  <w:r>
                    <w:rPr>
                      <w:rFonts w:ascii="楷体" w:hAnsi="楷体" w:eastAsia="楷体"/>
                      <w:sz w:val="18"/>
                    </w:rPr>
                    <w:t>2021年4月1日</w:t>
                  </w:r>
                </w:p>
              </w:tc>
              <w:tc>
                <w:tcPr>
                  <w:tcW w:w="1803" w:type="dxa"/>
                  <w:vAlign w:val="center"/>
                </w:tcPr>
                <w:p>
                  <w:pPr>
                    <w:spacing w:before="0" w:after="0" w:line="0" w:lineRule="atLeast"/>
                    <w:jc w:val="center"/>
                  </w:pPr>
                  <w:r>
                    <w:rPr>
                      <w:rFonts w:ascii="楷体" w:hAnsi="楷体" w:eastAsia="楷体"/>
                      <w:sz w:val="18"/>
                    </w:rPr>
                    <w:t>2022年5月10日</w:t>
                  </w:r>
                </w:p>
              </w:tc>
              <w:tc>
                <w:tcPr>
                  <w:tcW w:w="2701" w:type="dxa"/>
                  <w:vAlign w:val="center"/>
                </w:tcPr>
                <w:p>
                  <w:pPr>
                    <w:spacing w:before="0" w:after="0" w:line="0" w:lineRule="atLeast"/>
                    <w:jc w:val="center"/>
                  </w:pPr>
                  <w:r>
                    <w:rPr>
                      <w:rFonts w:ascii="楷体" w:hAnsi="楷体" w:eastAsia="楷体"/>
                      <w:sz w:val="18"/>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2</w:t>
                  </w:r>
                </w:p>
              </w:tc>
              <w:tc>
                <w:tcPr>
                  <w:tcW w:w="1871" w:type="dxa"/>
                  <w:vAlign w:val="center"/>
                </w:tcPr>
                <w:p>
                  <w:pPr>
                    <w:spacing w:before="0" w:after="0" w:line="0" w:lineRule="atLeast"/>
                    <w:jc w:val="center"/>
                  </w:pPr>
                  <w:r>
                    <w:rPr>
                      <w:rFonts w:ascii="楷体" w:hAnsi="楷体" w:eastAsia="楷体"/>
                      <w:sz w:val="18"/>
                    </w:rPr>
                    <w:t>2022年5月11日</w:t>
                  </w:r>
                </w:p>
              </w:tc>
              <w:tc>
                <w:tcPr>
                  <w:tcW w:w="1803" w:type="dxa"/>
                  <w:vAlign w:val="center"/>
                </w:tcPr>
                <w:p>
                  <w:pPr>
                    <w:spacing w:before="0" w:after="0" w:line="0" w:lineRule="atLeast"/>
                    <w:jc w:val="center"/>
                  </w:pPr>
                  <w:r>
                    <w:rPr>
                      <w:rFonts w:ascii="楷体" w:hAnsi="楷体" w:eastAsia="楷体"/>
                      <w:sz w:val="18"/>
                    </w:rPr>
                    <w:t>2023年5月9日</w:t>
                  </w:r>
                </w:p>
              </w:tc>
              <w:tc>
                <w:tcPr>
                  <w:tcW w:w="2701" w:type="dxa"/>
                  <w:vAlign w:val="center"/>
                </w:tcPr>
                <w:p>
                  <w:pPr>
                    <w:spacing w:before="0" w:after="0" w:line="0" w:lineRule="atLeast"/>
                    <w:jc w:val="center"/>
                  </w:pPr>
                  <w:r>
                    <w:rPr>
                      <w:rFonts w:ascii="楷体" w:hAnsi="楷体" w:eastAsia="楷体"/>
                      <w:sz w:val="18"/>
                    </w:rPr>
                    <w:t>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3</w:t>
                  </w:r>
                </w:p>
              </w:tc>
              <w:tc>
                <w:tcPr>
                  <w:tcW w:w="1871" w:type="dxa"/>
                  <w:vAlign w:val="center"/>
                </w:tcPr>
                <w:p>
                  <w:pPr>
                    <w:spacing w:before="0" w:after="0" w:line="0" w:lineRule="atLeast"/>
                    <w:jc w:val="center"/>
                  </w:pPr>
                  <w:r>
                    <w:rPr>
                      <w:rFonts w:ascii="楷体" w:hAnsi="楷体" w:eastAsia="楷体"/>
                      <w:sz w:val="18"/>
                    </w:rPr>
                    <w:t>2023年5月10日</w:t>
                  </w:r>
                </w:p>
              </w:tc>
              <w:tc>
                <w:tcPr>
                  <w:tcW w:w="1803" w:type="dxa"/>
                  <w:vAlign w:val="center"/>
                </w:tcPr>
                <w:p>
                  <w:pPr>
                    <w:spacing w:before="0" w:after="0" w:line="0" w:lineRule="atLeast"/>
                    <w:jc w:val="center"/>
                  </w:pPr>
                  <w:r>
                    <w:rPr>
                      <w:rFonts w:ascii="楷体" w:hAnsi="楷体" w:eastAsia="楷体"/>
                      <w:sz w:val="18"/>
                    </w:rPr>
                    <w:t>2024年5月15日</w:t>
                  </w:r>
                </w:p>
              </w:tc>
              <w:tc>
                <w:tcPr>
                  <w:tcW w:w="2701" w:type="dxa"/>
                  <w:vAlign w:val="center"/>
                </w:tcPr>
                <w:p>
                  <w:pPr>
                    <w:spacing w:before="0" w:after="0" w:line="0" w:lineRule="atLeast"/>
                    <w:jc w:val="center"/>
                  </w:pPr>
                  <w:r>
                    <w:rPr>
                      <w:rFonts w:ascii="楷体" w:hAnsi="楷体" w:eastAsia="楷体"/>
                      <w:sz w:val="18"/>
                    </w:rPr>
                    <w:t>A份额 4%</w:t>
                  </w:r>
                  <w:r>
                    <w:rPr>
                      <w:rFonts w:ascii="楷体" w:hAnsi="楷体" w:eastAsia="楷体"/>
                      <w:sz w:val="18"/>
                    </w:rPr>
                    <w:br w:type="textWrapping"/>
                  </w:r>
                  <w:r>
                    <w:rPr>
                      <w:rFonts w:ascii="楷体" w:hAnsi="楷体" w:eastAsia="楷体"/>
                      <w:sz w:val="18"/>
                    </w:rPr>
                    <w:t>B份额 4.03%</w:t>
                  </w:r>
                  <w:r>
                    <w:rPr>
                      <w:rFonts w:ascii="楷体" w:hAnsi="楷体" w:eastAsia="楷体"/>
                      <w:sz w:val="18"/>
                    </w:rPr>
                    <w:br w:type="textWrapping"/>
                  </w:r>
                  <w:r>
                    <w:rPr>
                      <w:rFonts w:ascii="楷体" w:hAnsi="楷体" w:eastAsia="楷体"/>
                      <w:sz w:val="18"/>
                    </w:rPr>
                    <w:t>X份额 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4</w:t>
                  </w:r>
                </w:p>
              </w:tc>
              <w:tc>
                <w:tcPr>
                  <w:tcW w:w="1871" w:type="dxa"/>
                  <w:vAlign w:val="center"/>
                </w:tcPr>
                <w:p>
                  <w:pPr>
                    <w:spacing w:before="0" w:after="0" w:line="0" w:lineRule="atLeast"/>
                    <w:jc w:val="center"/>
                  </w:pPr>
                  <w:r>
                    <w:rPr>
                      <w:rFonts w:ascii="楷体" w:hAnsi="楷体" w:eastAsia="楷体"/>
                      <w:sz w:val="18"/>
                    </w:rPr>
                    <w:t>2024年5月16日</w:t>
                  </w:r>
                </w:p>
              </w:tc>
              <w:tc>
                <w:tcPr>
                  <w:tcW w:w="1803" w:type="dxa"/>
                  <w:vAlign w:val="center"/>
                </w:tcPr>
                <w:p>
                  <w:pPr>
                    <w:spacing w:before="0" w:after="0" w:line="0" w:lineRule="atLeast"/>
                    <w:jc w:val="center"/>
                  </w:pPr>
                  <w:r>
                    <w:rPr>
                      <w:rFonts w:ascii="楷体" w:hAnsi="楷体" w:eastAsia="楷体"/>
                      <w:sz w:val="18"/>
                    </w:rPr>
                    <w:t>2025年5月22日</w:t>
                  </w:r>
                </w:p>
              </w:tc>
              <w:tc>
                <w:tcPr>
                  <w:tcW w:w="2701" w:type="dxa"/>
                  <w:vAlign w:val="center"/>
                </w:tcPr>
                <w:p>
                  <w:pPr>
                    <w:spacing w:before="0" w:after="0" w:line="0" w:lineRule="atLeast"/>
                    <w:jc w:val="center"/>
                  </w:pPr>
                  <w:r>
                    <w:rPr>
                      <w:rFonts w:ascii="楷体" w:hAnsi="楷体" w:eastAsia="楷体"/>
                      <w:sz w:val="18"/>
                    </w:rPr>
                    <w:t>A份额3.00%-3.60%</w:t>
                  </w:r>
                  <w:r>
                    <w:rPr>
                      <w:rFonts w:ascii="楷体" w:hAnsi="楷体" w:eastAsia="楷体"/>
                      <w:sz w:val="18"/>
                    </w:rPr>
                    <w:br w:type="textWrapping"/>
                  </w:r>
                  <w:r>
                    <w:rPr>
                      <w:rFonts w:ascii="楷体" w:hAnsi="楷体" w:eastAsia="楷体"/>
                      <w:sz w:val="18"/>
                    </w:rPr>
                    <w:t>B份额3.03%-3.63%</w:t>
                  </w:r>
                  <w:r>
                    <w:rPr>
                      <w:rFonts w:ascii="楷体" w:hAnsi="楷体" w:eastAsia="楷体"/>
                      <w:sz w:val="18"/>
                    </w:rPr>
                    <w:br w:type="textWrapping"/>
                  </w:r>
                  <w:r>
                    <w:rPr>
                      <w:rFonts w:ascii="楷体" w:hAnsi="楷体" w:eastAsia="楷体"/>
                      <w:sz w:val="18"/>
                    </w:rPr>
                    <w:t>D份额3.15%-3.75%</w:t>
                  </w:r>
                  <w:r>
                    <w:rPr>
                      <w:rFonts w:ascii="楷体" w:hAnsi="楷体" w:eastAsia="楷体"/>
                      <w:sz w:val="18"/>
                    </w:rPr>
                    <w:br w:type="textWrapping"/>
                  </w:r>
                  <w:r>
                    <w:rPr>
                      <w:rFonts w:ascii="楷体" w:hAnsi="楷体" w:eastAsia="楷体"/>
                      <w:sz w:val="18"/>
                    </w:rPr>
                    <w:t>F份额3.00%-3.60%</w:t>
                  </w:r>
                  <w:r>
                    <w:rPr>
                      <w:rFonts w:ascii="楷体" w:hAnsi="楷体" w:eastAsia="楷体"/>
                      <w:sz w:val="18"/>
                    </w:rPr>
                    <w:br w:type="textWrapping"/>
                  </w:r>
                  <w:r>
                    <w:rPr>
                      <w:rFonts w:ascii="楷体" w:hAnsi="楷体" w:eastAsia="楷体"/>
                      <w:sz w:val="18"/>
                    </w:rPr>
                    <w:t>G份额3.05%-3.65%</w:t>
                  </w:r>
                  <w:r>
                    <w:rPr>
                      <w:rFonts w:ascii="楷体" w:hAnsi="楷体" w:eastAsia="楷体"/>
                      <w:sz w:val="18"/>
                    </w:rPr>
                    <w:br w:type="textWrapping"/>
                  </w:r>
                  <w:r>
                    <w:rPr>
                      <w:rFonts w:ascii="楷体" w:hAnsi="楷体" w:eastAsia="楷体"/>
                      <w:sz w:val="18"/>
                    </w:rPr>
                    <w:t>J份额3.10%-3.70%</w:t>
                  </w:r>
                  <w:r>
                    <w:rPr>
                      <w:rFonts w:ascii="楷体" w:hAnsi="楷体" w:eastAsia="楷体"/>
                      <w:sz w:val="18"/>
                    </w:rPr>
                    <w:br w:type="textWrapping"/>
                  </w:r>
                  <w:r>
                    <w:rPr>
                      <w:rFonts w:ascii="楷体" w:hAnsi="楷体" w:eastAsia="楷体"/>
                      <w:sz w:val="18"/>
                    </w:rPr>
                    <w:t>M份额 3.10%-3.70%</w:t>
                  </w:r>
                  <w:r>
                    <w:rPr>
                      <w:rFonts w:ascii="楷体" w:hAnsi="楷体" w:eastAsia="楷体"/>
                      <w:sz w:val="18"/>
                    </w:rPr>
                    <w:br w:type="textWrapping"/>
                  </w:r>
                  <w:r>
                    <w:rPr>
                      <w:rFonts w:ascii="楷体" w:hAnsi="楷体" w:eastAsia="楷体"/>
                      <w:sz w:val="18"/>
                    </w:rPr>
                    <w:t>ZA份额3.00%-3.60%</w:t>
                  </w:r>
                  <w:r>
                    <w:rPr>
                      <w:rFonts w:ascii="楷体" w:hAnsi="楷体" w:eastAsia="楷体"/>
                      <w:sz w:val="18"/>
                    </w:rPr>
                    <w:br w:type="textWrapping"/>
                  </w:r>
                  <w:r>
                    <w:rPr>
                      <w:rFonts w:ascii="楷体" w:hAnsi="楷体" w:eastAsia="楷体"/>
                      <w:sz w:val="18"/>
                    </w:rPr>
                    <w:t>ZF份额3.00%-3.60%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5</w:t>
                  </w:r>
                </w:p>
              </w:tc>
              <w:tc>
                <w:tcPr>
                  <w:tcW w:w="1871" w:type="dxa"/>
                  <w:vAlign w:val="center"/>
                </w:tcPr>
                <w:p>
                  <w:pPr>
                    <w:spacing w:before="0" w:after="0" w:line="0" w:lineRule="atLeast"/>
                    <w:jc w:val="center"/>
                  </w:pPr>
                  <w:r>
                    <w:rPr>
                      <w:rFonts w:ascii="楷体" w:hAnsi="楷体" w:eastAsia="楷体"/>
                      <w:sz w:val="18"/>
                    </w:rPr>
                    <w:t>2025年5月23日</w:t>
                  </w:r>
                </w:p>
              </w:tc>
              <w:tc>
                <w:tcPr>
                  <w:tcW w:w="1803" w:type="dxa"/>
                  <w:vAlign w:val="center"/>
                </w:tcPr>
                <w:p>
                  <w:pPr>
                    <w:spacing w:before="0" w:after="0" w:line="0" w:lineRule="atLeast"/>
                    <w:jc w:val="center"/>
                  </w:pPr>
                  <w:r>
                    <w:rPr>
                      <w:rFonts w:ascii="楷体" w:hAnsi="楷体" w:eastAsia="楷体"/>
                      <w:sz w:val="18"/>
                    </w:rPr>
                    <w:t>2026年6月16日</w:t>
                  </w:r>
                </w:p>
              </w:tc>
              <w:tc>
                <w:tcPr>
                  <w:tcW w:w="2701" w:type="dxa"/>
                  <w:vAlign w:val="center"/>
                </w:tcPr>
                <w:p>
                  <w:pPr>
                    <w:spacing w:before="0" w:after="0" w:line="0" w:lineRule="atLeast"/>
                    <w:jc w:val="center"/>
                  </w:pPr>
                  <w:r>
                    <w:rPr>
                      <w:rFonts w:ascii="楷体" w:hAnsi="楷体" w:eastAsia="楷体"/>
                      <w:sz w:val="18"/>
                    </w:rPr>
                    <w:t>A份额 2.60%-3.20%</w:t>
                  </w:r>
                  <w:r>
                    <w:rPr>
                      <w:rFonts w:ascii="楷体" w:hAnsi="楷体" w:eastAsia="楷体"/>
                      <w:sz w:val="18"/>
                    </w:rPr>
                    <w:br w:type="textWrapping"/>
                  </w:r>
                  <w:r>
                    <w:rPr>
                      <w:rFonts w:ascii="楷体" w:hAnsi="楷体" w:eastAsia="楷体"/>
                      <w:sz w:val="18"/>
                    </w:rPr>
                    <w:t>B份额 2.63%-3.23%</w:t>
                  </w:r>
                  <w:r>
                    <w:rPr>
                      <w:rFonts w:ascii="楷体" w:hAnsi="楷体" w:eastAsia="楷体"/>
                      <w:sz w:val="18"/>
                    </w:rPr>
                    <w:br w:type="textWrapping"/>
                  </w:r>
                  <w:r>
                    <w:rPr>
                      <w:rFonts w:ascii="楷体" w:hAnsi="楷体" w:eastAsia="楷体"/>
                      <w:sz w:val="18"/>
                    </w:rPr>
                    <w:t>D份额 2.75%-3.35%</w:t>
                  </w:r>
                  <w:r>
                    <w:rPr>
                      <w:rFonts w:ascii="楷体" w:hAnsi="楷体" w:eastAsia="楷体"/>
                      <w:sz w:val="18"/>
                    </w:rPr>
                    <w:br w:type="textWrapping"/>
                  </w:r>
                  <w:r>
                    <w:rPr>
                      <w:rFonts w:ascii="楷体" w:hAnsi="楷体" w:eastAsia="楷体"/>
                      <w:sz w:val="18"/>
                    </w:rPr>
                    <w:t>F份额 2.60%-3.20%</w:t>
                  </w:r>
                  <w:r>
                    <w:rPr>
                      <w:rFonts w:ascii="楷体" w:hAnsi="楷体" w:eastAsia="楷体"/>
                      <w:sz w:val="18"/>
                    </w:rPr>
                    <w:br w:type="textWrapping"/>
                  </w:r>
                  <w:r>
                    <w:rPr>
                      <w:rFonts w:ascii="楷体" w:hAnsi="楷体" w:eastAsia="楷体"/>
                      <w:sz w:val="18"/>
                    </w:rPr>
                    <w:t>G份额 2.65%-3.25%</w:t>
                  </w:r>
                  <w:r>
                    <w:rPr>
                      <w:rFonts w:ascii="楷体" w:hAnsi="楷体" w:eastAsia="楷体"/>
                      <w:sz w:val="18"/>
                    </w:rPr>
                    <w:br w:type="textWrapping"/>
                  </w:r>
                  <w:r>
                    <w:rPr>
                      <w:rFonts w:ascii="楷体" w:hAnsi="楷体" w:eastAsia="楷体"/>
                      <w:sz w:val="18"/>
                    </w:rPr>
                    <w:t>J份额 2.70%-3.30%</w:t>
                  </w:r>
                  <w:r>
                    <w:rPr>
                      <w:rFonts w:ascii="楷体" w:hAnsi="楷体" w:eastAsia="楷体"/>
                      <w:sz w:val="18"/>
                    </w:rPr>
                    <w:br w:type="textWrapping"/>
                  </w:r>
                  <w:r>
                    <w:rPr>
                      <w:rFonts w:ascii="楷体" w:hAnsi="楷体" w:eastAsia="楷体"/>
                      <w:sz w:val="18"/>
                    </w:rPr>
                    <w:t>M份额 2.70%-3.30%</w:t>
                  </w:r>
                  <w:r>
                    <w:rPr>
                      <w:rFonts w:ascii="楷体" w:hAnsi="楷体" w:eastAsia="楷体"/>
                      <w:sz w:val="18"/>
                    </w:rPr>
                    <w:br w:type="textWrapping"/>
                  </w:r>
                  <w:r>
                    <w:rPr>
                      <w:rFonts w:ascii="楷体" w:hAnsi="楷体" w:eastAsia="楷体"/>
                      <w:sz w:val="18"/>
                    </w:rPr>
                    <w:t>P份额 2.80%-3.40%</w:t>
                  </w:r>
                  <w:r>
                    <w:rPr>
                      <w:rFonts w:ascii="楷体" w:hAnsi="楷体" w:eastAsia="楷体"/>
                      <w:sz w:val="18"/>
                    </w:rPr>
                    <w:br w:type="textWrapping"/>
                  </w:r>
                  <w:r>
                    <w:rPr>
                      <w:rFonts w:ascii="楷体" w:hAnsi="楷体" w:eastAsia="楷体"/>
                      <w:sz w:val="18"/>
                    </w:rPr>
                    <w:t>V份额 2.75%-3.35%</w:t>
                  </w:r>
                  <w:r>
                    <w:rPr>
                      <w:rFonts w:ascii="楷体" w:hAnsi="楷体" w:eastAsia="楷体"/>
                      <w:sz w:val="18"/>
                    </w:rPr>
                    <w:br w:type="textWrapping"/>
                  </w:r>
                  <w:r>
                    <w:rPr>
                      <w:rFonts w:ascii="楷体" w:hAnsi="楷体" w:eastAsia="楷体"/>
                      <w:sz w:val="18"/>
                    </w:rPr>
                    <w:t>ZA份额 2.60%-3.20%</w:t>
                  </w:r>
                  <w:r>
                    <w:rPr>
                      <w:rFonts w:ascii="楷体" w:hAnsi="楷体" w:eastAsia="楷体"/>
                      <w:sz w:val="18"/>
                    </w:rPr>
                    <w:br w:type="textWrapping"/>
                  </w:r>
                  <w:r>
                    <w:rPr>
                      <w:rFonts w:ascii="楷体" w:hAnsi="楷体" w:eastAsia="楷体"/>
                      <w:sz w:val="18"/>
                    </w:rPr>
                    <w:t>ZF份额 2.60%-3.20%</w:t>
                  </w:r>
                  <w:r>
                    <w:rPr>
                      <w:rFonts w:ascii="楷体" w:hAnsi="楷体" w:eastAsia="楷体"/>
                      <w:sz w:val="18"/>
                    </w:rPr>
                    <w:br w:type="textWrapping"/>
                  </w:r>
                  <w:r>
                    <w:rPr>
                      <w:rFonts w:ascii="楷体" w:hAnsi="楷体" w:eastAsia="楷体"/>
                      <w:sz w:val="18"/>
                    </w:rPr>
                    <w:t>ZN份额 2.79%-3.39%</w:t>
                  </w:r>
                  <w:r>
                    <w:rPr>
                      <w:rFonts w:ascii="楷体" w:hAnsi="楷体" w:eastAsia="楷体"/>
                      <w:sz w:val="18"/>
                    </w:rPr>
                    <w:br w:type="textWrapping"/>
                  </w:r>
                  <w:r>
                    <w:rPr>
                      <w:rFonts w:ascii="楷体" w:hAnsi="楷体" w:eastAsia="楷体"/>
                      <w:sz w:val="18"/>
                    </w:rPr>
                    <w:t>ZQ份额 2.55%-3.15%</w:t>
                  </w:r>
                  <w:r>
                    <w:rPr>
                      <w:rFonts w:ascii="楷体" w:hAnsi="楷体" w:eastAsia="楷体"/>
                      <w:sz w:val="18"/>
                    </w:rPr>
                    <w:br w:type="textWrapping"/>
                  </w:r>
                  <w:r>
                    <w:rPr>
                      <w:rFonts w:ascii="楷体" w:hAnsi="楷体" w:eastAsia="楷体"/>
                      <w:sz w:val="18"/>
                    </w:rPr>
                    <w:t>ZR份额 2.85%-3.45%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rPr>
                      <w:rFonts w:hint="eastAsia" w:eastAsia="宋体"/>
                      <w:lang w:eastAsia="zh-CN"/>
                    </w:rPr>
                  </w:pPr>
                  <w:r>
                    <w:rPr>
                      <w:rFonts w:hint="eastAsia" w:ascii="楷体" w:hAnsi="楷体" w:eastAsia="楷体"/>
                      <w:sz w:val="18"/>
                      <w:lang w:val="en-US" w:eastAsia="zh-CN"/>
                    </w:rPr>
                    <w:t>6</w:t>
                  </w:r>
                </w:p>
              </w:tc>
              <w:tc>
                <w:tcPr>
                  <w:tcW w:w="1871" w:type="dxa"/>
                  <w:vAlign w:val="center"/>
                </w:tcPr>
                <w:p>
                  <w:pPr>
                    <w:spacing w:before="0" w:after="0" w:line="0" w:lineRule="atLeast"/>
                    <w:jc w:val="center"/>
                  </w:pPr>
                  <w:r>
                    <w:rPr>
                      <w:rFonts w:ascii="楷体" w:hAnsi="楷体" w:eastAsia="楷体"/>
                      <w:sz w:val="18"/>
                    </w:rPr>
                    <w:t>2026年6月17日</w:t>
                  </w:r>
                </w:p>
              </w:tc>
              <w:tc>
                <w:tcPr>
                  <w:tcW w:w="1803" w:type="dxa"/>
                  <w:vAlign w:val="center"/>
                </w:tcPr>
                <w:p>
                  <w:pPr>
                    <w:spacing w:before="0" w:after="0" w:line="0" w:lineRule="atLeast"/>
                    <w:jc w:val="center"/>
                  </w:pPr>
                  <w:r>
                    <w:rPr>
                      <w:rFonts w:ascii="楷体" w:hAnsi="楷体" w:eastAsia="楷体"/>
                      <w:sz w:val="18"/>
                    </w:rPr>
                    <w:t>2027年7月8日</w:t>
                  </w:r>
                </w:p>
              </w:tc>
              <w:tc>
                <w:tcPr>
                  <w:tcW w:w="2701" w:type="dxa"/>
                  <w:vAlign w:val="center"/>
                </w:tcPr>
                <w:p>
                  <w:pPr>
                    <w:spacing w:before="0" w:after="0" w:line="0" w:lineRule="atLeast"/>
                    <w:jc w:val="center"/>
                  </w:pPr>
                  <w:r>
                    <w:rPr>
                      <w:rFonts w:ascii="楷体" w:hAnsi="楷体" w:eastAsia="楷体"/>
                      <w:sz w:val="18"/>
                    </w:rPr>
                    <w:t>A份额2.45%-3.05%</w:t>
                  </w:r>
                  <w:r>
                    <w:rPr>
                      <w:rFonts w:ascii="楷体" w:hAnsi="楷体" w:eastAsia="楷体"/>
                      <w:sz w:val="18"/>
                    </w:rPr>
                    <w:br w:type="textWrapping"/>
                  </w:r>
                  <w:r>
                    <w:rPr>
                      <w:rFonts w:ascii="楷体" w:hAnsi="楷体" w:eastAsia="楷体"/>
                      <w:sz w:val="18"/>
                    </w:rPr>
                    <w:t>B份额2.48%-3.08%</w:t>
                  </w:r>
                  <w:r>
                    <w:rPr>
                      <w:rFonts w:ascii="楷体" w:hAnsi="楷体" w:eastAsia="楷体"/>
                      <w:sz w:val="18"/>
                    </w:rPr>
                    <w:br w:type="textWrapping"/>
                  </w:r>
                  <w:r>
                    <w:rPr>
                      <w:rFonts w:ascii="楷体" w:hAnsi="楷体" w:eastAsia="楷体"/>
                      <w:sz w:val="18"/>
                    </w:rPr>
                    <w:t>C份额2.50%-3.10%</w:t>
                  </w:r>
                  <w:r>
                    <w:rPr>
                      <w:rFonts w:ascii="楷体" w:hAnsi="楷体" w:eastAsia="楷体"/>
                      <w:sz w:val="18"/>
                    </w:rPr>
                    <w:br w:type="textWrapping"/>
                  </w:r>
                  <w:r>
                    <w:rPr>
                      <w:rFonts w:ascii="楷体" w:hAnsi="楷体" w:eastAsia="楷体"/>
                      <w:sz w:val="18"/>
                    </w:rPr>
                    <w:t>D份额2.60%-3.20%</w:t>
                  </w:r>
                  <w:r>
                    <w:rPr>
                      <w:rFonts w:ascii="楷体" w:hAnsi="楷体" w:eastAsia="楷体"/>
                      <w:sz w:val="18"/>
                    </w:rPr>
                    <w:br w:type="textWrapping"/>
                  </w:r>
                  <w:r>
                    <w:rPr>
                      <w:rFonts w:ascii="楷体" w:hAnsi="楷体" w:eastAsia="楷体"/>
                      <w:sz w:val="18"/>
                    </w:rPr>
                    <w:t>F份额2.45%-3.05%</w:t>
                  </w:r>
                  <w:r>
                    <w:rPr>
                      <w:rFonts w:ascii="楷体" w:hAnsi="楷体" w:eastAsia="楷体"/>
                      <w:sz w:val="18"/>
                    </w:rPr>
                    <w:br w:type="textWrapping"/>
                  </w:r>
                  <w:r>
                    <w:rPr>
                      <w:rFonts w:ascii="楷体" w:hAnsi="楷体" w:eastAsia="楷体"/>
                      <w:sz w:val="18"/>
                    </w:rPr>
                    <w:t>G份额2.48%-3.08%</w:t>
                  </w:r>
                  <w:r>
                    <w:rPr>
                      <w:rFonts w:ascii="楷体" w:hAnsi="楷体" w:eastAsia="楷体"/>
                      <w:sz w:val="18"/>
                    </w:rPr>
                    <w:br w:type="textWrapping"/>
                  </w:r>
                  <w:r>
                    <w:rPr>
                      <w:rFonts w:ascii="楷体" w:hAnsi="楷体" w:eastAsia="楷体"/>
                      <w:sz w:val="18"/>
                    </w:rPr>
                    <w:t>J份额2.55%-3.15%</w:t>
                  </w:r>
                  <w:r>
                    <w:rPr>
                      <w:rFonts w:ascii="楷体" w:hAnsi="楷体" w:eastAsia="楷体"/>
                      <w:sz w:val="18"/>
                    </w:rPr>
                    <w:br w:type="textWrapping"/>
                  </w:r>
                  <w:r>
                    <w:rPr>
                      <w:rFonts w:ascii="楷体" w:hAnsi="楷体" w:eastAsia="楷体"/>
                      <w:sz w:val="18"/>
                    </w:rPr>
                    <w:t>M份额2.55%-3.15%</w:t>
                  </w:r>
                  <w:r>
                    <w:rPr>
                      <w:rFonts w:ascii="楷体" w:hAnsi="楷体" w:eastAsia="楷体"/>
                      <w:sz w:val="18"/>
                    </w:rPr>
                    <w:br w:type="textWrapping"/>
                  </w:r>
                  <w:r>
                    <w:rPr>
                      <w:rFonts w:ascii="楷体" w:hAnsi="楷体" w:eastAsia="楷体"/>
                      <w:sz w:val="18"/>
                    </w:rPr>
                    <w:t>P份额2.65%-3.25%</w:t>
                  </w:r>
                  <w:r>
                    <w:rPr>
                      <w:rFonts w:ascii="楷体" w:hAnsi="楷体" w:eastAsia="楷体"/>
                      <w:sz w:val="18"/>
                    </w:rPr>
                    <w:br w:type="textWrapping"/>
                  </w:r>
                  <w:r>
                    <w:rPr>
                      <w:rFonts w:ascii="楷体" w:hAnsi="楷体" w:eastAsia="楷体"/>
                      <w:sz w:val="18"/>
                    </w:rPr>
                    <w:t>GS份额2.55%-3.15%</w:t>
                  </w:r>
                  <w:r>
                    <w:rPr>
                      <w:rFonts w:ascii="楷体" w:hAnsi="楷体" w:eastAsia="楷体"/>
                      <w:sz w:val="18"/>
                    </w:rPr>
                    <w:br w:type="textWrapping"/>
                  </w:r>
                  <w:r>
                    <w:rPr>
                      <w:rFonts w:ascii="楷体" w:hAnsi="楷体" w:eastAsia="楷体"/>
                      <w:sz w:val="18"/>
                    </w:rPr>
                    <w:t>SX份额2.55%-3.15%</w:t>
                  </w:r>
                  <w:r>
                    <w:rPr>
                      <w:rFonts w:ascii="楷体" w:hAnsi="楷体" w:eastAsia="楷体"/>
                      <w:sz w:val="18"/>
                    </w:rPr>
                    <w:br w:type="textWrapping"/>
                  </w:r>
                  <w:r>
                    <w:rPr>
                      <w:rFonts w:ascii="楷体" w:hAnsi="楷体" w:eastAsia="楷体"/>
                      <w:sz w:val="18"/>
                    </w:rPr>
                    <w:t>U份额2.45%-3.05%</w:t>
                  </w:r>
                  <w:r>
                    <w:rPr>
                      <w:rFonts w:ascii="楷体" w:hAnsi="楷体" w:eastAsia="楷体"/>
                      <w:sz w:val="18"/>
                    </w:rPr>
                    <w:br w:type="textWrapping"/>
                  </w:r>
                  <w:r>
                    <w:rPr>
                      <w:rFonts w:ascii="楷体" w:hAnsi="楷体" w:eastAsia="楷体"/>
                      <w:sz w:val="18"/>
                    </w:rPr>
                    <w:t>Z份额2.45%-3.05%</w:t>
                  </w:r>
                  <w:r>
                    <w:rPr>
                      <w:rFonts w:ascii="楷体" w:hAnsi="楷体" w:eastAsia="楷体"/>
                      <w:sz w:val="18"/>
                    </w:rPr>
                    <w:br w:type="textWrapping"/>
                  </w:r>
                  <w:r>
                    <w:rPr>
                      <w:rFonts w:ascii="楷体" w:hAnsi="楷体" w:eastAsia="楷体"/>
                      <w:sz w:val="18"/>
                    </w:rPr>
                    <w:t>Z1份额2.50%-3.10%</w:t>
                  </w:r>
                  <w:r>
                    <w:rPr>
                      <w:rFonts w:ascii="楷体" w:hAnsi="楷体" w:eastAsia="楷体"/>
                      <w:sz w:val="18"/>
                    </w:rPr>
                    <w:br w:type="textWrapping"/>
                  </w:r>
                  <w:r>
                    <w:rPr>
                      <w:rFonts w:ascii="楷体" w:hAnsi="楷体" w:eastAsia="楷体"/>
                      <w:sz w:val="18"/>
                    </w:rPr>
                    <w:t>Z2份额2.55%-3.15%</w:t>
                  </w:r>
                  <w:r>
                    <w:rPr>
                      <w:rFonts w:ascii="楷体" w:hAnsi="楷体" w:eastAsia="楷体"/>
                      <w:sz w:val="18"/>
                    </w:rPr>
                    <w:br w:type="textWrapping"/>
                  </w:r>
                  <w:r>
                    <w:rPr>
                      <w:rFonts w:ascii="楷体" w:hAnsi="楷体" w:eastAsia="楷体"/>
                      <w:sz w:val="18"/>
                    </w:rPr>
                    <w:t>ZA份额2.45%-3.05%</w:t>
                  </w:r>
                  <w:r>
                    <w:rPr>
                      <w:rFonts w:ascii="楷体" w:hAnsi="楷体" w:eastAsia="楷体"/>
                      <w:sz w:val="18"/>
                    </w:rPr>
                    <w:br w:type="textWrapping"/>
                  </w:r>
                  <w:r>
                    <w:rPr>
                      <w:rFonts w:ascii="楷体" w:hAnsi="楷体" w:eastAsia="楷体"/>
                      <w:sz w:val="18"/>
                    </w:rPr>
                    <w:t>ZF份额2.45%-3.05%</w:t>
                  </w:r>
                  <w:r>
                    <w:rPr>
                      <w:rFonts w:ascii="楷体" w:hAnsi="楷体" w:eastAsia="楷体"/>
                      <w:sz w:val="18"/>
                    </w:rPr>
                    <w:br w:type="textWrapping"/>
                  </w:r>
                  <w:r>
                    <w:rPr>
                      <w:rFonts w:ascii="楷体" w:hAnsi="楷体" w:eastAsia="楷体"/>
                      <w:sz w:val="18"/>
                    </w:rPr>
                    <w:t>ZF2份额2.55%-3.15%</w:t>
                  </w:r>
                  <w:r>
                    <w:rPr>
                      <w:rFonts w:ascii="楷体" w:hAnsi="楷体" w:eastAsia="楷体"/>
                      <w:sz w:val="18"/>
                    </w:rPr>
                    <w:br w:type="textWrapping"/>
                  </w:r>
                  <w:r>
                    <w:rPr>
                      <w:rFonts w:ascii="楷体" w:hAnsi="楷体" w:eastAsia="楷体"/>
                      <w:sz w:val="18"/>
                    </w:rPr>
                    <w:t>ZJ份额2.70%-3.30%</w:t>
                  </w:r>
                  <w:r>
                    <w:rPr>
                      <w:rFonts w:ascii="楷体" w:hAnsi="楷体" w:eastAsia="楷体"/>
                      <w:sz w:val="18"/>
                    </w:rPr>
                    <w:br w:type="textWrapping"/>
                  </w:r>
                  <w:r>
                    <w:rPr>
                      <w:rFonts w:ascii="楷体" w:hAnsi="楷体" w:eastAsia="楷体"/>
                      <w:sz w:val="18"/>
                    </w:rPr>
                    <w:t>ZL份额2.60%-3.20%</w:t>
                  </w:r>
                  <w:r>
                    <w:rPr>
                      <w:rFonts w:ascii="楷体" w:hAnsi="楷体" w:eastAsia="楷体"/>
                      <w:sz w:val="18"/>
                    </w:rPr>
                    <w:br w:type="textWrapping"/>
                  </w:r>
                  <w:r>
                    <w:rPr>
                      <w:rFonts w:ascii="楷体" w:hAnsi="楷体" w:eastAsia="楷体"/>
                      <w:sz w:val="18"/>
                    </w:rPr>
                    <w:t>ZN份额2.55%-3.15%</w:t>
                  </w:r>
                  <w:r>
                    <w:rPr>
                      <w:rFonts w:ascii="楷体" w:hAnsi="楷体" w:eastAsia="楷体"/>
                      <w:sz w:val="18"/>
                    </w:rPr>
                    <w:br w:type="textWrapping"/>
                  </w:r>
                  <w:r>
                    <w:rPr>
                      <w:rFonts w:ascii="楷体" w:hAnsi="楷体" w:eastAsia="楷体"/>
                      <w:sz w:val="18"/>
                    </w:rPr>
                    <w:t>ZQ份额2.40%-3.00%</w:t>
                  </w:r>
                  <w:r>
                    <w:rPr>
                      <w:rFonts w:ascii="楷体" w:hAnsi="楷体" w:eastAsia="楷体"/>
                      <w:sz w:val="18"/>
                    </w:rPr>
                    <w:br w:type="textWrapping"/>
                  </w:r>
                  <w:r>
                    <w:rPr>
                      <w:rFonts w:ascii="楷体" w:hAnsi="楷体" w:eastAsia="楷体"/>
                      <w:sz w:val="18"/>
                    </w:rPr>
                    <w:t>ZC份额2.50%-3.10%</w:t>
                  </w:r>
                  <w:r>
                    <w:rPr>
                      <w:rFonts w:ascii="楷体" w:hAnsi="楷体" w:eastAsia="楷体"/>
                      <w:sz w:val="18"/>
                    </w:rPr>
                    <w:br w:type="textWrapping"/>
                  </w:r>
                  <w:r>
                    <w:rPr>
                      <w:rFonts w:ascii="楷体" w:hAnsi="楷体" w:eastAsia="楷体"/>
                      <w:sz w:val="18"/>
                    </w:rPr>
                    <w:t>ZK份额2.60%-3.20%</w:t>
                  </w:r>
                </w:p>
              </w:tc>
            </w:tr>
          </w:tbl>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highlight w:val="none"/>
                <w:u w:val="single"/>
                <w:lang w:val="en-US" w:eastAsia="zh-CN"/>
              </w:rPr>
            </w:pPr>
            <w:r>
              <w:rPr>
                <w:rFonts w:hint="eastAsia" w:ascii="楷体" w:hAnsi="楷体" w:eastAsia="楷体" w:cs="宋体"/>
                <w:b/>
                <w:spacing w:val="-2"/>
                <w:sz w:val="18"/>
                <w:szCs w:val="18"/>
                <w:highlight w:val="none"/>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w:t>
            </w:r>
          </w:p>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spacing w:val="-2"/>
                <w:sz w:val="18"/>
                <w:szCs w:val="18"/>
                <w:highlight w:val="none"/>
                <w:u w:val="single"/>
              </w:rPr>
              <w:t>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spacing w:val="-2"/>
                <w:sz w:val="18"/>
                <w:szCs w:val="18"/>
                <w:highlight w:val="none"/>
              </w:rPr>
            </w:pPr>
            <w:r>
              <w:rPr>
                <w:rFonts w:hint="eastAsia" w:ascii="楷体" w:hAnsi="楷体" w:eastAsia="楷体" w:cs="宋体"/>
                <w:b/>
                <w:spacing w:val="-2"/>
                <w:sz w:val="18"/>
                <w:szCs w:val="18"/>
                <w:highlight w:val="none"/>
              </w:rPr>
              <w:t>产品费用</w:t>
            </w:r>
          </w:p>
        </w:tc>
        <w:tc>
          <w:tcPr>
            <w:tcW w:w="7937" w:type="dxa"/>
            <w:noWrap w:val="0"/>
            <w:vAlign w:val="center"/>
          </w:tcPr>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本产品费用包括托管费、销售服务费、投资管理费、超额业绩报酬（如有）以及产品运作和清算中产生的其他费用等。</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1.托管费率（年化）：0.02%。</w:t>
            </w:r>
          </w:p>
          <w:p>
            <w:pPr>
              <w:keepNext w:val="0"/>
              <w:keepLines w:val="0"/>
              <w:pageBreakBefore w:val="0"/>
              <w:numPr>
                <w:ilvl w:val="0"/>
                <w:numId w:val="0"/>
              </w:numPr>
              <w:wordWrap/>
              <w:topLinePunct w:val="0"/>
              <w:bidi w:val="0"/>
              <w:snapToGrid/>
              <w:spacing w:line="0" w:lineRule="atLeast"/>
              <w:ind w:right="0" w:rightChars="0"/>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2.销售服务费率（年化）：A份额 0.50%，B份额 0.50%，C份额 0.50%，D份额 0.50%，F份额 0.65%，G份额 0.55%，J份额 0.50%，M份额 0.55%，P份额 0.45%，GS份额 0.55%，SX份额 0.55%，U份额 0.60%，Z份额 0.65%，Z1份额 0.60%，Z2份额 0.55%，ZA份额 0.65%，ZF份额 0.65%，ZF2份额 0.60%，ZJ份额 0.45%，ZL份额 0.50%，ZN份额 0.55%，ZQ份额 0.65%，ZC份额 0.60%，ZK份额 0.50%。</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3.投资管理费率（年化）：A份额 0.80%，B份额 0.77%，C份额 0.75%，D份额 0.65%，F份额 0.65%，G份额 0.72%，J份额 0.70%，M份额 0.65%，P份额 0.65%，GS份额 0.65%，SX份额 0.65%，U份额 0.70%，Z份额 0.65%，Z1份额 0.65%，Z2份额 0.65%，ZA份额 0.65%，ZF份额 0.65%，ZF2份额 0.60%，ZJ份额 0.60%，ZL份额 0.65%，ZN份额 0.65%，ZQ份额 0.70%，ZC份额 0.65%，ZK份额 0.65%。</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4</w:t>
            </w:r>
            <w:r>
              <w:rPr>
                <w:rFonts w:hint="eastAsia" w:ascii="楷体" w:hAnsi="楷体" w:eastAsia="楷体" w:cs="宋体"/>
                <w:color w:val="auto"/>
                <w:spacing w:val="-2"/>
                <w:sz w:val="18"/>
                <w:szCs w:val="18"/>
                <w:highlight w:val="none"/>
              </w:rPr>
              <w:t>.超额业绩报酬：管理人按投资周期收取超额业绩报酬。若单一投资周期产品各份额实际投资收益在扣除托管费、销售服务费、投资管理费等费用后超过各份额业绩比较基准下限，则该投资周期终止日后管理人将按照超出部分的50%收取超额业绩报酬。</w:t>
            </w:r>
          </w:p>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单一投资周期运作期间内理财产品将每日暂估超额业绩报酬，仅用于理财产品会计核算，并将扣除“暂估超额业绩报酬”后的理财产品份额净值按照说明书约定向投资者进行披露。理财产品实际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highlight w:val="none"/>
                <w:lang w:val="en-US" w:eastAsia="zh-CN"/>
              </w:rPr>
              <w:t>收取</w:t>
            </w:r>
            <w:r>
              <w:rPr>
                <w:rFonts w:hint="eastAsia" w:ascii="楷体" w:hAnsi="楷体" w:eastAsia="楷体" w:cs="宋体"/>
                <w:color w:val="auto"/>
                <w:spacing w:val="-2"/>
                <w:sz w:val="18"/>
                <w:szCs w:val="18"/>
                <w:highlight w:val="none"/>
              </w:rPr>
              <w:t>的超额业绩报酬以投资周期终止日计提核算的数值为准。</w:t>
            </w:r>
          </w:p>
          <w:p>
            <w:pPr>
              <w:keepNext w:val="0"/>
              <w:keepLines w:val="0"/>
              <w:pageBreakBefore w:val="0"/>
              <w:widowControl w:val="0"/>
              <w:wordWrap/>
              <w:topLinePunct w:val="0"/>
              <w:bidi w:val="0"/>
              <w:snapToGrid/>
              <w:spacing w:line="0" w:lineRule="atLeast"/>
              <w:ind w:left="0" w:leftChars="0" w:right="0" w:rightChars="0"/>
              <w:textAlignment w:val="auto"/>
              <w:rPr>
                <w:sz w:val="18"/>
                <w:szCs w:val="18"/>
                <w:highlight w:val="none"/>
              </w:rPr>
            </w:pPr>
            <w:r>
              <w:rPr>
                <w:rFonts w:hint="eastAsia" w:ascii="楷体" w:hAnsi="楷体" w:eastAsia="楷体" w:cs="宋体"/>
                <w:b/>
                <w:spacing w:val="-2"/>
                <w:sz w:val="18"/>
                <w:szCs w:val="18"/>
                <w:highlight w:val="none"/>
                <w:u w:val="single"/>
              </w:rPr>
              <w:t>本产品设置</w:t>
            </w:r>
            <w:r>
              <w:rPr>
                <w:rFonts w:hint="eastAsia" w:ascii="楷体" w:hAnsi="楷体" w:eastAsia="楷体" w:cs="宋体"/>
                <w:b/>
                <w:bCs w:val="0"/>
                <w:spacing w:val="-2"/>
                <w:kern w:val="0"/>
                <w:sz w:val="18"/>
                <w:szCs w:val="18"/>
                <w:highlight w:val="none"/>
                <w:u w:val="single"/>
                <w:lang w:val="en-US" w:eastAsia="zh-CN" w:bidi="ar-SA"/>
              </w:rPr>
              <w:t>有多类份额，各类份额按照设置的销售对象和销售起点在不同的销售机构销售，各类份额实际收取的销售服务费率、投资管理费率和超额业绩报酬（如有）可能存在差异，投资者应根据各类份额收费情况自主选择购买。</w:t>
            </w:r>
          </w:p>
          <w:p>
            <w:pPr>
              <w:pStyle w:val="34"/>
              <w:keepNext w:val="0"/>
              <w:keepLines w:val="0"/>
              <w:pageBreakBefore w:val="0"/>
              <w:widowControl w:val="0"/>
              <w:numPr>
                <w:ilvl w:val="0"/>
                <w:numId w:val="0"/>
              </w:numPr>
              <w:kinsoku w:val="0"/>
              <w:wordWrap/>
              <w:overflowPunct w:val="0"/>
              <w:topLinePunct w:val="0"/>
              <w:autoSpaceDE w:val="0"/>
              <w:autoSpaceDN w:val="0"/>
              <w:bidi w:val="0"/>
              <w:adjustRightInd w:val="0"/>
              <w:snapToGrid/>
              <w:spacing w:line="0" w:lineRule="atLeast"/>
              <w:ind w:left="0" w:leftChars="0" w:right="0" w:rightChars="0" w:firstLine="0" w:firstLineChars="0"/>
              <w:jc w:val="both"/>
              <w:textAlignment w:val="auto"/>
              <w:rPr>
                <w:rFonts w:ascii="楷体" w:hAnsi="楷体" w:eastAsia="楷体"/>
                <w:sz w:val="18"/>
                <w:szCs w:val="18"/>
                <w:highlight w:val="none"/>
              </w:rPr>
            </w:pPr>
            <w:r>
              <w:rPr>
                <w:rFonts w:hint="eastAsia" w:ascii="楷体" w:hAnsi="楷体" w:eastAsia="楷体" w:cs="宋体"/>
                <w:b/>
                <w:bCs w:val="0"/>
                <w:spacing w:val="-2"/>
                <w:sz w:val="18"/>
                <w:szCs w:val="18"/>
                <w:highlight w:val="none"/>
                <w:u w:val="single"/>
              </w:rPr>
              <w:t>产品存续期内管理人有权根据产品运行情况制定费率优惠措施，优惠后实际执行的费率以管理人公告为准</w:t>
            </w:r>
            <w:r>
              <w:rPr>
                <w:rFonts w:hint="eastAsia" w:ascii="楷体" w:hAnsi="楷体" w:eastAsia="楷体" w:cs="宋体"/>
                <w:b/>
                <w:bCs w:val="0"/>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bottom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收益分配</w:t>
            </w:r>
          </w:p>
        </w:tc>
        <w:tc>
          <w:tcPr>
            <w:tcW w:w="7937" w:type="dxa"/>
            <w:tcBorders>
              <w:bottom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本产品按投资周期进行现金分红</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w:t>
            </w:r>
            <w:r>
              <w:rPr>
                <w:rFonts w:ascii="楷体" w:hAnsi="楷体" w:eastAsia="楷体" w:cs="宋体"/>
                <w:spacing w:val="-2"/>
                <w:sz w:val="18"/>
                <w:szCs w:val="18"/>
                <w:highlight w:val="none"/>
              </w:rPr>
              <w:t>详见下文</w:t>
            </w:r>
            <w:r>
              <w:rPr>
                <w:rFonts w:hint="eastAsia" w:ascii="楷体" w:hAnsi="楷体" w:eastAsia="楷体" w:cs="宋体"/>
                <w:spacing w:val="-2"/>
                <w:sz w:val="18"/>
                <w:szCs w:val="18"/>
                <w:highlight w:val="none"/>
              </w:rPr>
              <w:t>“收益分配”。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top w:val="single" w:color="auto" w:sz="4" w:space="0"/>
              <w:left w:val="single" w:color="auto" w:sz="4" w:space="0"/>
              <w:bottom w:val="single" w:color="auto" w:sz="4" w:space="0"/>
              <w:right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default" w:ascii="楷体" w:hAnsi="楷体" w:eastAsia="楷体" w:cs="宋体"/>
                <w:b/>
                <w:spacing w:val="-2"/>
                <w:sz w:val="18"/>
                <w:szCs w:val="18"/>
                <w:highlight w:val="none"/>
                <w:lang w:val="en-US"/>
              </w:rPr>
            </w:pPr>
            <w:r>
              <w:rPr>
                <w:rFonts w:hint="eastAsia" w:ascii="楷体" w:hAnsi="楷体" w:eastAsia="楷体" w:cs="宋体"/>
                <w:b/>
                <w:color w:val="auto"/>
                <w:spacing w:val="-2"/>
                <w:sz w:val="18"/>
                <w:szCs w:val="18"/>
                <w:highlight w:val="none"/>
                <w:lang w:val="en-US" w:eastAsia="zh-CN"/>
              </w:rPr>
              <w:t>税款</w:t>
            </w:r>
          </w:p>
        </w:tc>
        <w:tc>
          <w:tcPr>
            <w:tcW w:w="79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rPr>
              <w:t>根据中国增值税等税收相关法律法规、税收政策等要求，</w:t>
            </w:r>
            <w:r>
              <w:rPr>
                <w:rFonts w:hint="eastAsia" w:ascii="楷体" w:hAnsi="楷体" w:eastAsia="楷体" w:cs="宋体"/>
                <w:color w:val="auto"/>
                <w:spacing w:val="-2"/>
                <w:sz w:val="18"/>
                <w:szCs w:val="18"/>
                <w:highlight w:val="none"/>
                <w:shd w:val="clear" w:fill="auto"/>
                <w:lang w:val="en-US" w:eastAsia="zh-CN"/>
              </w:rPr>
              <w:t>产品</w:t>
            </w:r>
            <w:r>
              <w:rPr>
                <w:rFonts w:hint="eastAsia" w:ascii="楷体" w:hAnsi="楷体" w:eastAsia="楷体" w:cs="宋体"/>
                <w:color w:val="auto"/>
                <w:spacing w:val="-2"/>
                <w:sz w:val="18"/>
                <w:szCs w:val="18"/>
                <w:highlight w:val="none"/>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highlight w:val="none"/>
                <w:u w:val="single"/>
              </w:rPr>
              <w:t>投资者从理财产品取得的收益应缴纳的税款，由投资者自行申报及缴纳。</w:t>
            </w:r>
          </w:p>
        </w:tc>
      </w:tr>
    </w:tbl>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产品管理人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本产品管理人为</w:t>
      </w:r>
      <w:r>
        <w:rPr>
          <w:rFonts w:hint="eastAsia" w:ascii="楷体" w:hAnsi="楷体" w:eastAsia="楷体" w:cs="Calibri"/>
          <w:b/>
          <w:bCs/>
          <w:sz w:val="21"/>
          <w:szCs w:val="21"/>
          <w:highlight w:val="none"/>
          <w:u w:val="single"/>
        </w:rPr>
        <w:t>苏银理财有限责任公司</w:t>
      </w:r>
      <w:r>
        <w:rPr>
          <w:rFonts w:hint="eastAsia" w:ascii="楷体" w:hAnsi="楷体" w:eastAsia="楷体" w:cs="Calibri"/>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监管机构批准的其他业务等。</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投资者在此授权并同意苏银理财享有以下权利：按照本理财产品合同的约定，管理、运用和处分理财计划资金；按照本理财产品合同的约定，及时、足额获得投资管理费；管理人有权根据本理财产品合同的约定提前终止或延长本理财产品的期限；管理人有权调整本理财产品的认购规模上限、认购起点、认购金额上限、认购资金的最低金额等要素；管理人有权依照法律规定和监管机构的要求将投资者的信息向有权部门或相关机构披露；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以理财产品投资管理人的名义，依照法律法规相关规定以及代表理财产品份额持有人的利益行使代为追索的权利（包括但不限于提起诉讼/仲裁、申请保全/执行的权利）或者实施其他法律行为；法律法规、监管政策和本理财计划文件约定的其他权利。</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产品托管人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楷体"/>
          <w:b/>
          <w:bCs/>
          <w:sz w:val="21"/>
          <w:szCs w:val="21"/>
          <w:highlight w:val="none"/>
          <w:u w:val="single"/>
        </w:rPr>
      </w:pPr>
      <w:r>
        <w:rPr>
          <w:rFonts w:hint="eastAsia" w:ascii="楷体" w:hAnsi="楷体" w:eastAsia="楷体"/>
          <w:color w:val="auto"/>
          <w:sz w:val="21"/>
          <w:szCs w:val="21"/>
          <w:highlight w:val="none"/>
        </w:rPr>
        <w:t>本产品托管人为</w:t>
      </w:r>
      <w:r>
        <w:rPr>
          <w:rFonts w:hint="eastAsia" w:ascii="楷体" w:hAnsi="楷体" w:eastAsia="楷体" w:cs="Calibri"/>
          <w:b/>
          <w:bCs/>
          <w:sz w:val="21"/>
          <w:szCs w:val="21"/>
          <w:highlight w:val="none"/>
          <w:u w:val="single"/>
          <w:lang w:val="en-US" w:eastAsia="zh-CN"/>
        </w:rPr>
        <w:t>江苏银行股份有限</w:t>
      </w:r>
      <w:r>
        <w:rPr>
          <w:rFonts w:hint="eastAsia" w:ascii="楷体" w:hAnsi="楷体" w:eastAsia="楷体" w:cs="Calibri"/>
          <w:b/>
          <w:bCs/>
          <w:sz w:val="21"/>
          <w:szCs w:val="21"/>
          <w:highlight w:val="none"/>
          <w:u w:val="single"/>
        </w:rPr>
        <w:t>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highlight w:val="none"/>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销售机构</w:t>
      </w:r>
    </w:p>
    <w:p>
      <w:pPr>
        <w:numPr>
          <w:ilvl w:val="0"/>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highlight w:val="none"/>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兑付责任，产品的投资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兑付责任由管理人承担。</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A份额:江苏宜兴农村商业银行股份有限公司/江苏扬州农村商业银行股份有限公司/江苏淮安农村商业银行股份有限公司/江苏靖江农村商业银行股份有限公司/江苏高淳农村商业银行股份有限公司/江苏银行股份有限公司/江苏丹阳农村商业银行股份有限公司/九江银行股份有限公司/江苏盱眙农村商业银行股份有限公司/江苏阜宁农村商业银行股份有限公司/江苏新沂农村商业银行股份有限公司/江苏如东农村商业银行股份有限公司/江苏泰兴农村商业银行股份有限公司/江苏句容农村商业银行股份有限公司/江苏邳州农村商业银行股份有限公司/江苏东台农村商业银行股份有限公司/江苏江阴农村商业银行股份有限公司/江苏沭阳农村商业银行股份有限公司/江苏高邮农村商业银行股份有限公司/江苏洪泽农村商业银行股份有限公司/江苏涟水农村商业银行股份有限公司/江苏扬中农村商业银行股份有限公司/江苏溧水农村商业银行股份有限公司/江苏紫金农村商业银行股份有限公司/江苏仪征农村商业银行股份有限公司/江苏如皋农村商业银行股份有限公司/江苏南通农村商业银行股份有限公司/江苏海安农村商业银行股份有限公司/宁波东海银行股份有限公司/齐鲁银行股份有限公司/上海银行股份有限公司/苏银理财有限责任公司/上海农村商业银行股份有限公司/威海银行股份有限公司/徐州农村商业银行股份有限公司/兴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B份额:江苏宜兴农村商业银行股份有限公司/江苏扬州农村商业银行股份有限公司/江苏淮安农村商业银行股份有限公司/江苏靖江农村商业银行股份有限公司/江苏高淳农村商业银行股份有限公司/江苏苏州农村商业银行股份有限公司/江苏银行股份有限公司/江苏丹阳农村商业银行股份有限公司/江苏盱眙农村商业银行股份有限公司/江苏阜宁农村商业银行股份有限公司/江苏新沂农村商业银行股份有限公司/江苏如东农村商业银行股份有限公司/江苏泰兴农村商业银行股份有限公司/江苏句容农村商业银行股份有限公司/江苏邳州农村商业银行股份有限公司/江苏东台农村商业银行股份有限公司/江苏沭阳农村商业银行股份有限公司/江苏高邮农村商业银行股份有限公司/江苏洪泽农村商业银行股份有限公司/江苏涟水农村商业银行股份有限公司/江苏常熟农村商业银行股份有限公司/江苏扬中农村商业银行股份有限公司/江苏溧水农村商业银行股份有限公司/江苏紫金农村商业银行股份有限公司/江苏仪征农村商业银行股份有限公司/江苏如皋农村商业银行股份有限公司/江苏南通农村商业银行股份有限公司/江苏海安农村商业银行股份有限公司/宁波东海银行股份有限公司/齐鲁银行股份有限公司/苏银理财有限责任公司/威海银行股份有限公司/兴业银行股份有限公司/徐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C份额:江苏银行股份有限公司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D份额:江苏银行股份有限公司/江苏江阴农村商业银行股份有限公司/上海银行股份有限公司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F份额:北京农村商业银行股份有限公司/广州农村商业银行股份有限公司/甘肃银行股份有限公司/广州银行股份有限公司/杭州联合农村商业银行股份有限公司/华侨银行有限公司/九江银行股份有限公司/交通银行股份有限公司/宁波慈溪农村商业银行股份有限公司/宁波镇海农村商业银行股份有限公司/宁波余姚农村商业银行股份有限公司/宁波通商银行股份有限公司/日照银行股份有限公司/苏州银行股份有限公司/深圳农村商业银行股份有限公司/山西银行股份有限公司/泰安银行股份有限公司/台州银行股份有限公司/天津滨海农村商业银行股份有限公司/潍坊银行股份有限公司/兴业银行股份有限公司/浙江义乌农村商业银行股份有限公司/浙江永康农村商业银行股份有限公司/浙江武义农村商业银行股份有限公司/浙江青田农村商业银行股份有限公司/浙江开化农村商业银行股份有限公司/浙江绍兴瑞丰农村商业银行股份有限公司/浙江温州龙湾农村商业银行股份有限公司/浙江嘉善农村商业银行股份有限公司/浙江上虞农村商业银行股份有限公司/浙江杭州余杭农村商业银行股份有限公司/浙江温州瓯海农村商业银行股份有限公司/浙江舟山定海海洋农村商业银行股份有限公司/浙江乐清农村商业银行股份有限公司/浙江淳安农村商业银行股份有限公司/浙江海宁农村商业银行股份有限公司/浙江岱山农村商业银行股份有限公司/中邮邮惠万家银行有限责任公司/浙江江山农村商业银行股份有限公司/浙江长兴农村商业银行股份有限公司/浙江永嘉农村商业银行股份有限公司/浙江德清农村商业银行股份有限公司/浙江萧山农村商业银行股份有限公司/浙江临海农村商业银行股份有限公司/浙商银行股份有限公司/浙江泰顺农村商业银行股份有限公司/浙江桐庐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G份额:广州农村商业银行股份有限公司/广州银行股份有限公司/徽商银行股份有限公司/杭州联合农村商业银行股份有限公司/九江银行股份有限公司/宁波余姚农村商业银行股份有限公司/宁波通商银行股份有限公司/深圳农村商业银行股份有限公司/山西银行股份有限公司/兴业银行股份有限公司/浙江青田农村商业银行股份有限公司/浙江绍兴瑞丰农村商业银行股份有限公司/浙江嘉善农村商业银行股份有限公司/浙江上虞农村商业银行股份有限公司/浙江杭州余杭农村商业银行股份有限公司/浙江衢州衢江农村商业银行股份有限公司/浙江舟山定海海洋农村商业银行股份有限公司/浙江淳安农村商业银行股份有限公司/浙江海宁农村商业银行股份有限公司/浙江岱山农村商业银行股份有限公司/浙江永嘉农村商业银行股份有限公司/浙江德清农村商业银行股份有限公司/浙商银行股份有限公司/浙江桐庐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J份额:江苏如皋农村商业银行股份有限公司/江苏银行股份有限公司/上海银行股份有限公司/威海银行股份有限公司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M份额:徽商银行股份有限公司/宁波通商银行股份有限公司/兴业银行股份有限公司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P份额:甘肃银行股份有限公司/泰安银行股份有限公司/郑州银行股份有限公司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GS份额:甘肃银行股份有限公司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SX份额:山西银行股份有限公司</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default"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U份额：徽商银行股份有限公司</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default"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Z份额：上海农村商业银行股份有限公司</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Z1份额：上海农村商业银行股份有限公司</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default" w:ascii="楷体" w:hAnsi="楷体" w:eastAsia="楷体" w:cs="楷体"/>
          <w:kern w:val="2"/>
          <w:sz w:val="21"/>
          <w:szCs w:val="21"/>
          <w:highlight w:val="none"/>
          <w:lang w:val="en-US" w:eastAsia="zh-CN" w:bidi="ar-SA"/>
        </w:rPr>
      </w:pPr>
      <w:r>
        <w:rPr>
          <w:rFonts w:hint="eastAsia" w:ascii="楷体" w:hAnsi="楷体" w:eastAsia="楷体" w:cs="楷体"/>
          <w:sz w:val="21"/>
          <w:szCs w:val="21"/>
          <w:highlight w:val="none"/>
          <w:lang w:val="en-US" w:eastAsia="zh-CN"/>
        </w:rPr>
        <w:t>Z2份额：上海农村商业银行股份有限公司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A份额:江苏宜兴农村商业银行股份有限公司/江苏盐城农村商业银行股份有限公司/江苏扬州农村商业银行股份有限公司/江苏淮安农村商业银行股份有限公司/江苏睢宁农村商业银行股份有限公司/江苏建湖农村商业银行股份有限公司/江苏江都农村商业银行股份有限公司/江苏靖江农村商业银行股份有限公司/江苏高淳农村商业银行股份有限公司/江苏苏州农村商业银行股份有限公司/江苏灌南农村商业银行股份有限公司/江苏丹阳农村商业银行股份有限公司/江苏镇江农村商业银行股份有限公司/江苏民丰农村商业银行股份有限公司/江苏盱眙农村商业银行股份有限公司/江苏阜宁农村商业银行股份有限公司/江苏如东农村商业银行股份有限公司/江苏新沂农村商业银行股份有限公司/江苏丰县农村商业银行股份有限公司/江苏泰兴农村商业银行股份有限公司/江苏句容农村商业银行股份有限公司/江苏邳州农村商业银行股份有限公司/江苏东台农村商业银行股份有限公司/江苏金湖农村商业银行股份有限公司/江苏东海农村商业银行股份有限公司/江苏沭阳农村商业银行股份有限公司/江苏高邮农村商业银行股份有限公司/江苏洪泽农村商业银行股份有限公司/江苏涟水农村商业银行股份有限公司/江苏常熟农村商业银行股份有限公司/江苏大丰农村商业银行股份有限公司/江苏扬中农村商业银行股份有限公司/江苏溧水农村商业银行股份有限公司/江苏启东农村商业银行股份有限公司/江苏泗阳农村商业银行股份有限公司/江苏紫金农村商业银行股份有限公司/江苏仪征农村商业银行股份有限公司/江苏如皋农村商业银行股份有限公司/江苏响水农村商业银行股份有限公司/江苏灌云农村商业银行股份有限公司/江苏姜堰农村商业银行股份有限公司/江苏南通农村商业银行股份有限公司/江苏泗洪农村商业银行股份有限公司/江苏海安农村商业银行股份有限公司/连云港东方农村商业银行股份有限公司/宁波东海银行股份有限公司/徐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份额:汉口银行股份有限公司/河北银行股份有限公司/江苏江南农村商业银行股份有限公司/嘉兴银行股份有限公司/江苏张家港农村商业银行股份有限公司/江门农村商业银行股份有限公司/莱商银行股份有限公司/宁波慈溪农村商业银行股份有限公司/宁波镇海农村商业银行股份有限公司/宁波余姚农村商业银行股份有限公司/宁波甬城农村商业银行股份有限公司/苏州银行股份有限公司/厦门银行股份有限公司/兴业银行股份有限公司/浙江浦江农村商业银行股份有限公司/浙江义乌农村商业银行股份有限公司/浙江永康农村商业银行股份有限公司/浙江武义农村商业银行股份有限公司/浙江嵊州农村商业银行股份有限公司/浙江民泰商业银行股份有限公司/浙江青田农村商业银行股份有限公司/浙江开化农村商业银行股份有限公司/浙江温州龙湾农村商业银行股份有限公司/浙江嘉善农村商业银行股份有限公司/浙江上虞农村商业银行股份有限公司/浙江杭州余杭农村商业银行股份有限公司/浙江温州瓯海农村商业银行股份有限公司/浙江衢州衢江农村商业银行股份有限公司/浙江龙泉农村商业银行股份有限公司/浙江岱山农村商业银行股份有限公司/浙江南浔农村商业银行股份有限公司/浙江东阳农村商业银行股份有限公司/浙江江山农村商业银行股份有限公司/浙江临安农村商业银行股份有限公司/浙江温岭农村商业银行股份有限公司/浙江德清农村商业银行股份有限公司/浙江萧山农村商业银行股份有限公司/浙江临海农村商业银行股份有限公司/浙江泰顺农村商业银行股份有限公司/浙江兰溪农村商业银行股份有限公司/中山农村商业银行股份有限公司/浙江新昌农村商业银行股份有限公司/浙江衢州柯城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ZF2份额:石嘴山银行股份有限公司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J份额:湖州吴兴农村商业银行股份有限公司/苏银理财有限责任公司/浙江浦江农村商业银行股份有限公司/浙江平湖农村商业银行股份有限公司/浙江金华成泰农村商业银行股份有限公司/浙江瑞安农村商业银行股份有限公司/浙江义乌农村商业银行股份有限公司/浙江桐乡农村商业银行股份有限公司/浙江永康农村商业银行股份有限公司/浙江仙居农村商业银行股份有限公司/浙江武义农村商业银行股份有限公司/浙江苍南农村商业银行股份有限公司/浙江嵊州农村商业银行股份有限公司/浙江安吉农村商业银行股份有限公司/浙江青田农村商业银行股份有限公司/浙江开化农村商业银行股份有限公司/浙江台州黄岩农村商业银行股份有限公司/浙江海盐农村商业银行股份有限公司/浙江文成农村商业银行股份有限公司/浙江温州龙湾农村商业银行股份有限公司/浙江绍兴瑞丰农村商业银行股份有限公司/浙江缙云农村商业银行股份有限公司/浙江禾城农村商业银行股份有限公司/浙江嘉善农村商业银行股份有限公司/浙江上虞农村商业银行股份有限公司/浙江温州瓯海农村商业银行股份有限公司/浙江衢州衢江农村商业银行股份有限公司/浙江诸暨农村商业银行股份有限公司/浙江舟山定海海洋农村商业银行股份有限公司/浙江乐清农村商业银行股份有限公司/浙江龙泉农村商业银行股份有限公司/浙江天台农村商业银行股份有限公司/浙江岱山农村商业银行股份有限公司/浙江海宁农村商业银行股份有限公司/浙江绍兴恒信农村商业银行股份有限公司/浙江遂昌农村商业银行股份有限公司/浙江南浔农村商业银行股份有限公司/浙江龙游农村商业银行股份有限公司/浙江东阳农村商业银行股份有限公司/浙江江山农村商业银行股份有限公司/浙江新昌农村商业银行股份有限公司/浙江长兴农村商业银行股份有限公司/浙江温州鹿城农村商业银行股份有限公司/浙江台州路桥农村商业银行股份有限公司/浙江永嘉农村商业银行股份有限公司/浙江温岭农村商业银行股份有限公司/浙江德清农村商业银行股份有限公司/浙江舟山普陀农村商业银行股份有限公司/浙江临海农村商业银行股份有限公司/浙江泰顺农村商业银行股份有限公司/浙江兰溪农村商业银行股份有限公司/浙江衢州柯城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ZL份额:苏州银行股份有限公司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ZN份额:广西北部湾银行股份有限公司/河北银行股份有限公司/宁波通商银行股份有限公司/浙江萧山农村商业银行股份有限公司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ZQ份额:江苏苏州农村商业银行股份有限公司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C份额:江苏宜兴农村商业银行股份有限公司/江苏盐城农村商业银行股份有限公司/江苏扬州农村商业银行股份有限公司/江苏建湖农村商业银行股份有限公司/江苏江都农村商业银行股份有限公司/江苏高淳农村商业银行股份有限公司/江苏灌南农村商业银行股份有限公司/江苏丹阳农村商业银行股份有限公司/江苏民丰农村商业银行股份有限公司/江苏兴化农村商业银行股份有限公司/江苏阜宁农村商业银行股份有限公司/江苏如东农村商业银行股份有限公司/江苏新沂农村商业银行股份有限公司/江苏泰兴农村商业银行股份有限公司/江苏东台农村商业银行股份有限公司/江苏东海农村商业银行股份有限公司/江苏高邮农村商业银行股份有限公司/江苏常熟农村商业银行股份有限公司/江苏大丰农村商业银行股份有限公司/江苏溧水农村商业银行股份有限公司/江苏泗阳农村商业银行股份有限公司/江苏紫金农村商业银行股份有限公司/江苏仪征农村商业银行股份有限公司/江苏如皋农村商业银行股份有限公司/江苏响水农村商业银行股份有限公司/江苏姜堰农村商业银行股份有限公司/江苏海安农村商业银行股份有限公司/连云港东方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K份额:江苏宜兴农村商业银行股份有限公司/江苏盐城农村商业银行股份有限公司/江苏扬州农村商业银行股份有限公司/江苏建湖农村商业银行股份有限公司/江苏江都农村商业银行股份有限公司/江苏高淳农村商业银行股份有限公司/江苏灌南农村商业银行股份有限公司/江苏丹阳农村商业银行股份有限公司/江苏民丰农村商业银行股份有限公司/江苏兴化农村商业银行股份有限公司/江苏阜宁农村商业银行股份有限公司/江苏如东农村商业银行股份有限公司/江苏新沂农村商业银行股份有限公司/江苏泰兴农村商业银行股份有限公司/江苏东台农村商业银行股份有限公司/江苏高邮农村商业银行股份有限公司/江苏常熟农村商业银行股份有限公司/江苏沛县农村商业银行股份有限公司/江苏溧水农村商业银行股份有限公司/江苏大丰农村商业银行股份有限公司/江苏泗阳农村商业银行股份有限公司/江苏紫金农村商业银行股份有限公司/江苏仪征农村商业银行股份有限公司/江苏如皋农村商业银行股份有限公司/江苏响水农村商业银行股份有限公司/江苏姜堰农村商业银行股份有限公司/江苏南通农村商业银行股份有限公司/江苏海安农村商业银行股份有限公司/连云港东方农村商业银行股份有限公司</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名词释义</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在本理财产品说明书中，除非上下文另有明确约定，下列用词将具有如下含义：</w:t>
      </w:r>
    </w:p>
    <w:p>
      <w:pPr>
        <w:numPr>
          <w:ilvl w:val="0"/>
          <w:numId w:val="3"/>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销售代码：指本理财产品可能设置一</w:t>
      </w:r>
      <w:r>
        <w:rPr>
          <w:rFonts w:hint="eastAsia" w:ascii="楷体" w:hAnsi="楷体" w:eastAsia="楷体" w:cs="Calibri"/>
          <w:sz w:val="21"/>
          <w:szCs w:val="21"/>
          <w:highlight w:val="none"/>
          <w:lang w:val="en-US" w:eastAsia="zh-CN"/>
        </w:rPr>
        <w:t>类</w:t>
      </w:r>
      <w:r>
        <w:rPr>
          <w:rFonts w:hint="eastAsia" w:ascii="楷体" w:hAnsi="楷体" w:eastAsia="楷体" w:cs="Calibri"/>
          <w:sz w:val="21"/>
          <w:szCs w:val="21"/>
          <w:highlight w:val="none"/>
        </w:rPr>
        <w:t>或多</w:t>
      </w:r>
      <w:r>
        <w:rPr>
          <w:rFonts w:hint="eastAsia" w:ascii="楷体" w:hAnsi="楷体" w:eastAsia="楷体" w:cs="Calibri"/>
          <w:sz w:val="21"/>
          <w:szCs w:val="21"/>
          <w:highlight w:val="none"/>
          <w:lang w:val="en-US" w:eastAsia="zh-CN"/>
        </w:rPr>
        <w:t>类</w:t>
      </w:r>
      <w:r>
        <w:rPr>
          <w:rFonts w:hint="eastAsia" w:ascii="楷体" w:hAnsi="楷体" w:eastAsia="楷体" w:cs="Calibri"/>
          <w:sz w:val="21"/>
          <w:szCs w:val="21"/>
          <w:highlight w:val="none"/>
        </w:rPr>
        <w:t>产品份额，管理人在理财产品销售管理过程中对各</w:t>
      </w:r>
      <w:r>
        <w:rPr>
          <w:rFonts w:hint="eastAsia" w:ascii="楷体" w:hAnsi="楷体" w:eastAsia="楷体" w:cs="Calibri"/>
          <w:sz w:val="21"/>
          <w:szCs w:val="21"/>
          <w:highlight w:val="none"/>
          <w:lang w:val="en-US" w:eastAsia="zh-CN"/>
        </w:rPr>
        <w:t>类</w:t>
      </w:r>
      <w:r>
        <w:rPr>
          <w:rFonts w:hint="eastAsia" w:ascii="楷体" w:hAnsi="楷体" w:eastAsia="楷体" w:cs="Calibri"/>
          <w:sz w:val="21"/>
          <w:szCs w:val="21"/>
          <w:highlight w:val="none"/>
        </w:rPr>
        <w:t>份额设置的</w:t>
      </w:r>
      <w:r>
        <w:rPr>
          <w:rFonts w:hint="eastAsia" w:ascii="楷体" w:hAnsi="楷体" w:eastAsia="楷体" w:cs="Calibri"/>
          <w:sz w:val="21"/>
          <w:szCs w:val="21"/>
          <w:highlight w:val="none"/>
          <w:lang w:val="en-US" w:eastAsia="zh-CN"/>
        </w:rPr>
        <w:t>内部代</w:t>
      </w:r>
      <w:r>
        <w:rPr>
          <w:rFonts w:hint="eastAsia" w:ascii="楷体" w:hAnsi="楷体" w:eastAsia="楷体" w:cs="Calibri"/>
          <w:sz w:val="21"/>
          <w:szCs w:val="21"/>
          <w:highlight w:val="none"/>
        </w:rPr>
        <w:t>码。</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理财</w:t>
      </w:r>
      <w:r>
        <w:rPr>
          <w:rFonts w:hint="eastAsia" w:ascii="楷体" w:hAnsi="楷体" w:eastAsia="楷体" w:cs="Calibri"/>
          <w:sz w:val="21"/>
          <w:szCs w:val="21"/>
          <w:highlight w:val="none"/>
        </w:rPr>
        <w:t>产品资产总值：指产品拥有的各类有价证券、银行存款、应收款项及其他资产的价值总和。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理财</w:t>
      </w:r>
      <w:r>
        <w:rPr>
          <w:rFonts w:hint="eastAsia" w:ascii="楷体" w:hAnsi="楷体" w:eastAsia="楷体" w:cs="Calibri"/>
          <w:sz w:val="21"/>
          <w:szCs w:val="21"/>
          <w:highlight w:val="none"/>
        </w:rPr>
        <w:t>产品负债总值：指产品运作及融资时形成的负债价值总和，包括融资资金本息、应付各项费用（包括托管费、销售服务费、投资管理费、超额业绩报酬、其他费用等）、应付税金及其他应付款项等。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理财产品资产净值/净资产：指产品资产总值减去产品负债总值后的价值。</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工作日：指国家法定工作日。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交易日：</w:t>
      </w:r>
      <w:r>
        <w:rPr>
          <w:rFonts w:ascii="楷体" w:hAnsi="楷体" w:eastAsia="楷体" w:cs="Calibri"/>
          <w:sz w:val="21"/>
          <w:szCs w:val="21"/>
          <w:highlight w:val="none"/>
        </w:rPr>
        <w:t>指上海证券交易所和深圳证券交易所的正常开盘交易日</w:t>
      </w:r>
      <w:r>
        <w:rPr>
          <w:rFonts w:hint="eastAsia" w:ascii="楷体" w:hAnsi="楷体" w:eastAsia="楷体" w:cs="Calibri"/>
          <w:sz w:val="21"/>
          <w:szCs w:val="21"/>
          <w:highlight w:val="none"/>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份额登记日/份额确认日：</w:t>
      </w:r>
      <w:r>
        <w:rPr>
          <w:rFonts w:hint="eastAsia" w:ascii="楷体" w:hAnsi="楷体" w:eastAsia="楷体" w:cs="Calibri"/>
          <w:color w:val="auto"/>
          <w:sz w:val="21"/>
          <w:szCs w:val="21"/>
          <w:highlight w:val="none"/>
        </w:rPr>
        <w:t>指管理人对投资者提交的</w:t>
      </w:r>
      <w:r>
        <w:rPr>
          <w:rFonts w:hint="eastAsia" w:ascii="楷体" w:hAnsi="楷体" w:eastAsia="楷体" w:cs="Calibri"/>
          <w:color w:val="auto"/>
          <w:sz w:val="21"/>
          <w:szCs w:val="21"/>
          <w:highlight w:val="none"/>
          <w:lang w:val="en-US" w:eastAsia="zh-CN"/>
        </w:rPr>
        <w:t>购买</w:t>
      </w:r>
      <w:r>
        <w:rPr>
          <w:rFonts w:hint="eastAsia" w:ascii="楷体" w:hAnsi="楷体" w:eastAsia="楷体" w:cs="Calibri"/>
          <w:color w:val="auto"/>
          <w:sz w:val="21"/>
          <w:szCs w:val="21"/>
          <w:highlight w:val="none"/>
        </w:rPr>
        <w:t>申请进行份额登记的日期</w:t>
      </w:r>
      <w:r>
        <w:rPr>
          <w:rFonts w:hint="eastAsia" w:ascii="楷体" w:hAnsi="楷体" w:eastAsia="楷体" w:cs="Calibri"/>
          <w:sz w:val="21"/>
          <w:szCs w:val="21"/>
          <w:highlight w:val="none"/>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投资周期：投资周期指投资者持有理财产品份额所对应的理财资金由产品管理人进行投资运作的一段完整期间，每一个投资周期为该投资周期起始日至该投资周期终止日的理财期间。</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开放日：指投资周期终止日。开放计划内的申购、赎回申请，将以开放日的净值进行确认。</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产品存续期：指自理财产品成立日起，至理财产品终止日的期间。</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投资管理</w:t>
      </w:r>
    </w:p>
    <w:p>
      <w:pPr>
        <w:numPr>
          <w:ilvl w:val="0"/>
          <w:numId w:val="6"/>
        </w:numPr>
        <w:tabs>
          <w:tab w:val="left" w:pos="993"/>
        </w:tabs>
        <w:ind w:left="0" w:firstLine="420" w:firstLineChars="200"/>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投资范围和比例</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直接或间接投资于货币市场工具类资产、银行存款（含结构性存款）、标准化债权类资产、非标准化债权类资产和监管机构允许投资的其他资产。具体资产投资比例为：货币市场工具、银行存款（含结构性存款）、债券以及符合监管要求的固定收益类资产占产品资产总值比例为80%-100%，符合监管要求的其他资产占产品资产总值比例0%-20%，其中非标准化债权类资产合计投资比例不高于产品净资产50%。</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变现价值。</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投资策略</w:t>
      </w:r>
    </w:p>
    <w:p>
      <w:pPr>
        <w:ind w:firstLine="420" w:firstLineChars="200"/>
        <w:rPr>
          <w:rFonts w:hint="default" w:ascii="楷体" w:hAnsi="楷体" w:eastAsia="楷体"/>
          <w:sz w:val="21"/>
          <w:szCs w:val="21"/>
          <w:highlight w:val="none"/>
          <w:lang w:val="en-US" w:eastAsia="zh-CN"/>
        </w:rPr>
      </w:pPr>
      <w:r>
        <w:rPr>
          <w:rFonts w:hint="default" w:ascii="楷体" w:hAnsi="楷体" w:eastAsia="楷体"/>
          <w:sz w:val="21"/>
          <w:szCs w:val="21"/>
          <w:highlight w:val="none"/>
          <w:lang w:val="en-US" w:eastAsia="zh-CN"/>
        </w:rPr>
        <w:t>本理财产品计划通过债券、非标准化债权类资产的配置获取稳健收益，同时适时适量配置银行存款，包括同业存</w:t>
      </w:r>
      <w:r>
        <w:rPr>
          <w:rFonts w:hint="eastAsia" w:ascii="楷体" w:hAnsi="楷体" w:eastAsia="楷体"/>
          <w:sz w:val="21"/>
          <w:szCs w:val="21"/>
          <w:highlight w:val="none"/>
          <w:lang w:val="en-US" w:eastAsia="zh-CN"/>
        </w:rPr>
        <w:t>款</w:t>
      </w:r>
      <w:r>
        <w:rPr>
          <w:rFonts w:hint="default" w:ascii="楷体" w:hAnsi="楷体" w:eastAsia="楷体"/>
          <w:sz w:val="21"/>
          <w:szCs w:val="21"/>
          <w:highlight w:val="none"/>
          <w:lang w:val="en-US" w:eastAsia="zh-CN"/>
        </w:rPr>
        <w:t>、结构性存款等。其中，拟开展的结构性存款主要为信用挂钩型结构性存款，该产品本质是内嵌收益互换合约的存款，挂钩标的包括优质同业存单、高评级信用债等资产，相关挂钩主体均需严格通过我司风险评估，在严控信用风险的前提下实现产品收益增厚的目标。</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非标准化债权类资产</w:t>
      </w:r>
    </w:p>
    <w:p>
      <w:pPr>
        <w:numPr>
          <w:ilvl w:val="0"/>
          <w:numId w:val="0"/>
        </w:numPr>
        <w:tabs>
          <w:tab w:val="left" w:pos="993"/>
        </w:tabs>
        <w:ind w:leftChars="200"/>
        <w:outlineLvl w:val="2"/>
        <w:rPr>
          <w:rFonts w:hint="eastAsia" w:ascii="楷体" w:hAnsi="楷体" w:eastAsia="楷体" w:cs="Calibri"/>
          <w:b w:val="0"/>
          <w:bCs/>
          <w:sz w:val="21"/>
          <w:szCs w:val="21"/>
          <w:highlight w:val="none"/>
          <w:lang w:val="en-US" w:eastAsia="zh-CN"/>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firstLine="420" w:firstLineChars="200"/>
        <w:rPr>
          <w:rFonts w:hint="eastAsia" w:ascii="楷体" w:hAnsi="楷体" w:eastAsia="楷体" w:cs="楷体"/>
          <w:color w:val="auto"/>
          <w:kern w:val="2"/>
          <w:sz w:val="21"/>
          <w:szCs w:val="21"/>
          <w:highlight w:val="none"/>
          <w:lang w:val="en-US" w:eastAsia="zh-CN" w:bidi="ar-SA"/>
        </w:rPr>
      </w:pPr>
      <w:r>
        <w:rPr>
          <w:rFonts w:hint="eastAsia" w:ascii="楷体" w:hAnsi="楷体" w:eastAsia="楷体" w:cs="楷体"/>
          <w:color w:val="auto"/>
          <w:kern w:val="2"/>
          <w:sz w:val="21"/>
          <w:szCs w:val="21"/>
          <w:highlight w:val="none"/>
          <w:lang w:val="en-US" w:eastAsia="zh-CN" w:bidi="ar-SA"/>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3）非标准化债权类资产：融资人为诸暨市国有资产经营有限公司。融资人经营正常，是依法设立的国有公司，主要股东为诸暨市财政局(诸暨市人民政府国有资产监督管理办公室)、浙江省财务开发有限责任公司，实际控制人为诸暨市财政局(诸暨市人民政府国有资产监督管理办公室)。（4）非标准化债权类资产：融资人为富港建设集团有限公司。融资人经营正常，是依法设立的国有公司，主要股东为如皋市人民政府、工银金融资产投资有限公司，实际控制人为如皋市人民政府。（5）非标准化债权类资产：融资人为无锡市梁溪产业发展集团有限公司。融资人经营正常，是依法设立的国有公司，主要股东为无锡市梁溪区人民政府国有资产监督管理办公室、无锡市梁溪城市运营服务集团有限公司，实际控制人为无锡市梁溪区人民政府国有资产监督管理办公室。（6）非标准化债权类资产：融资人为诸暨市城乡投资集团有限公司。融资人经营正常，是依法设立的国有公司，主要股东为诸暨市建设集团有限公司，实际控制人为诸暨市财政局。（7）非标准化债权类资产：融资人为台州市黄岩国有资本投资运营集团有限公司。融资人经营正常，是依法设立的国有公司，主要股东为台州市黄岩区财政局，实际控制人为台州市黄岩区财政局。（8）非标准化债权类资产：融资人为镇江文化广电产业集团有限公司。融资人经营正常，是依法设立的国有公司，主要股东为镇江市广播电视台，实际控制人为江苏省镇江市人民政府。（9）非标准化债权类资产：融资人为绍兴市镜湖开发集团有限公司。融资人经营正常，是依法设立的国有公司，主要股东为绍兴市人民政府国有资产监督管理委员会，实际控制人为绍兴市人民政府国有资产监督管理委员会。（10）非标准化债权类资产：融资人为泰兴市城市投资发展集团有限公司。融资人经营正常，是依法设立的国有公司，主要股东为江苏平仲科技发展集团有限公司，实际控制人为泰兴市人民政府国有资产监督管理办公室。（11）非标准化债权类资产：融资人为湖州经开投资发展集团有限公司。融资人经营正常，是依法设立的国有公司，主要股东为湖州南太湖国有控股集团有限公司，实际控制人为湖州市人民政府国有资产监督管理委员会。（12）非标准化债权类资产：融资人为湖州吴兴城市投资发展集团有限公司。融资人经营正常，是依法设立的国有公司，主要股东为湖州吴兴国控投资运营发展集团有限公司，实际控制人为湖州市吴兴区财政局。（13）非标准化债权类资产：融资人为江苏皋开投资发展集团有限公司。融资人经营正常，是依法设立的国有公司，主要股东为如皋市人民政府，实际控制人为如皋市人民政府。（14）非标准化债权类资产：融资人为燕舞集团有限公司。融资人经营正常，是依法设立的国有公司，主要股东为盐城市人民政府、盐城市城市资产投资集团有限公司、江苏悦达集团有限公司，实际控制人为盐城市人民政府。（15）非标准化债权类资产：融资人为兰溪市城市投资集团有限公司。融资人经营正常，是依法设立的国有公司，主要股东为兰溪市城市发展集团有限公司，实际控制人为兰溪市人民政府国有资产监督管理办公室。（16）非标准化债权类资产：融资人为绍兴市越城区城市发展建设集团有限公司。融资人经营正常，是依法设立的国有公司，主要股东为绍兴市越城区财政局，实际控制人为绍兴市越城区财政局。（17）非标准化债权类资产：融资人为桐庐县城市建设投资集团有限公司。融资人经营正常，是依法设立的国有公司，主要股东为桐庐投资建设发展集团有限公司，实际控制人为桐庐县人民政府国有资产监督管理委员会。（18）非标准化债权类资产：融资人为绍兴市上虞区国有资本投资运营有限公司。融资人经营正常，是依法设立的国有公司，主要股东为绍兴市上虞区国有资产发展集团有限公司，实际控制人为绍兴市上虞区人民政府国有资产监督管理委员会。（19）非标准化债权类资产：融资人为扬州新盛投资集团有限公司。融资人经营正常，是依法设立的国有公司，主要股东为扬州市城建国有资产控股(集团)有限责任公司、扬州易盛德产业投资集团有限公司、扬州市扬子江文旅投资发展集团有限责任公司，实际控制人为扬州市人民政府国有资产监督管理委员会。（20）非标准化债权类资产：融资人为张家港市高铁投资发展(集团)有限公司。融资人经营正常，是依法设立的国有公司，主要股东为张家港市交通控股有限公司、张家港市城市投资发展集团有限公司、张家港高新区投资控股有限公司，张家港市城镇发展集团有限公司，实际控制人为张家港市国有资产管理中心。（21）非标准化债权类资产：融资人为海安市城建开发投资集团有限公司。融资人经营正常，是依法设立的国有公司，主要股东为海安市政府国有资产监督管理办公室，实际控制人为海安市政府国有资产监督管理办公室。（22）非标准化债权类资产：融资人为徐州金龙湖控股集团有限公司。融资人经营正常，是依法设立的国有公司，主要股东为徐州市产业发展控股集团有限公司，实际控制人为徐州市人民政府国有资产监督管理委员会。（23）同业借款：融资人为中国中信金融资产管理股份有限公司。融资人经营正常，是依法成立的国有公司，主要股东为中国中信集团有限公司、财政局、中国融信私募基金有限公司，实际控制人为财政部。（24）同业借款：融资人为中国东方资产管理股份有限公司。融资人经营正常，是依法成立的国有公司，主要股东为中央汇金投资有限责任公司、全国社会保障基金理事会、中国电信集团有限公司，实际控制人为国务院。（25）同业借款：融资人为中国信达资产管理股份有限公司。融资人经营正常，是依法成立的国有公司，主要股东为中央汇金投资有限责任公司，实际控制人为国务院。（26）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27）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28）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29）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30）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31）收益凭证：融资人为华泰证券股份有限公司。融资人经营正常，是依法设立的持牌金融机构，主要股东为江苏省国信集团有限公司、香港中央结算（代理人）有限公司、江苏交通控股有限公司，无实际控制人。（32）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33）收益凭证：融资人为申万宏源证券有限公司。融资人经营正常，是依法设立的持牌金融机构，主要股东为申万宏源集团股份有限公司，实际控制人为中央汇金投资有限责任公司。（34）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35）收益凭证：融资人为浙商证券股份有限公司。融资人经营正常，是依法设立的持牌金融机构，主要股东为浙江上三高速公路有限公司、台州市金融投资集团有限公司，实际控制人为浙江省交通投资集团有限公司。（36）收益凭证：融资人为国投证券股份有限公司。融资人经营正常，是依法设立的持牌金融机构，主要股东为国投资本股份有限公司、上海毅胜投资有限公司，实际控制人为国家开发投资集团有限公司。（37）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38）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39）收益凭证：融资人为兴业证券股份有限公司。融资人经营正常，是依法设立的持牌金融机构，主要股东为福建省财政厅、福建省投资开发集团有限责任公司、上海申新（集团）有限公司，实际控制人为福建省财政厅。（40）收益凭证：融资人为财通证券股份有限公司。融资人经营正常，是依法设立的持牌金融机构，主要股东为浙江省创新投资集团有限公司、浙江省财开集团有限公司、台州</w:t>
      </w:r>
      <w:r>
        <w:rPr>
          <w:rFonts w:hint="eastAsia" w:ascii="楷体" w:hAnsi="楷体" w:eastAsia="楷体" w:cs="楷体"/>
          <w:color w:val="auto"/>
          <w:kern w:val="2"/>
          <w:sz w:val="21"/>
          <w:szCs w:val="21"/>
          <w:highlight w:val="none"/>
          <w:lang w:val="en-US" w:eastAsia="zh-CN" w:bidi="ar-SA"/>
        </w:rPr>
        <w:t>市金融投资集团有限公司，实际控制人为浙江省财政厅。（41）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42）收益凭证：融资人为东海证券股份有限公司。融资人经营正常，是依法设立的持牌金融机构，主要股东为常州投资集团有限公司、山东金控资本管理有限公司，实际控制人为常州投资集团有限公司。（43）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44）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45）收益凭证：融资人为长城证券股份有限公司。融资人经营正常，是依法设立的持牌金融机构，主要股东为华能资本服务有限公司、深圳新江南投资有限公司、深圳能源集团股份有限公司，实际控制人为中央汇金投资有限责任公司。（46）收益凭证：融资人为中国中金财富证券有限公司。融资人经营正常，是依法设立的持牌金融机构，主要股东为中国国际金融股份有限公司，实际控制人为中央汇金投资有限责任公司。（47）收益凭证：融资人为山西证券股份有限公司。融资人经营正常，是依法设立的持牌金融机构，主要股东为山西金融投资控股集团有限公司、太原钢铁（集团）有限公司、山西国际电力集团有限公司，实际控制人为山西省财政厅。（48）收益凭证：融资人为国都证券股份有限公司。融资人经营正常，是依法设立的持牌金融机构，主要股东为浙商证券股份有限公司、中诚信托有限责任公司、北京国际信托有限公司，实际控制人为浙江省交通投资集团有限公司。（49）收益凭证：融资人为东莞证券股份有限公司。融资人经营正常，是依法设立的持牌金融机构，主要股东为东莞市投资控股集团有限公司、东莞发展控股股份有限公司、广东锦龙发展股份有限公司，实际控制人为东莞市人民政府国有资产监督管理委员会。（50）收益凭证：融资人为华鑫证券有限责任公司。融资人经营正常，是依法设立的持牌金融机构，主要股东为上海华鑫股份有限公司，实际控制人为上海市国有资产监督管理委员会。（51）收益凭证：融资人为第一创业证券股份有限公司。融资人经营正常，是依法设立的持牌金融机构，主要股东为北京国有资本运营管理有限公司、北京首农食品集团有限公司，实际控制人为北京市人民政府国有资产监督管理委员会。（52）收益凭证：融资人为广发证券股份有限公司。融资人经营正常，是依法设立的持牌金融机构，主要股东为香港中央结算（代理人）有限公司、吉林敖东药业集团股份有限公司、辽宁成大股份有限公司，无实际控制人。（53）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54）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w:t>
      </w:r>
      <w:r>
        <w:rPr>
          <w:rFonts w:hint="eastAsia" w:ascii="楷体" w:hAnsi="楷体" w:eastAsia="楷体" w:cs="楷体"/>
          <w:color w:val="auto"/>
          <w:kern w:val="2"/>
          <w:sz w:val="21"/>
          <w:szCs w:val="21"/>
          <w:highlight w:val="none"/>
          <w:lang w:val="en-US" w:eastAsia="zh-CN" w:bidi="ar-SA"/>
        </w:rPr>
        <w:br w:type="textWrapping"/>
      </w:r>
      <w:r>
        <w:rPr>
          <w:rFonts w:hint="eastAsia" w:ascii="楷体" w:hAnsi="楷体" w:eastAsia="楷体" w:cs="楷体"/>
          <w:color w:val="auto"/>
          <w:kern w:val="2"/>
          <w:sz w:val="21"/>
          <w:szCs w:val="21"/>
          <w:highlight w:val="none"/>
          <w:lang w:val="en-US" w:eastAsia="zh-CN" w:bidi="ar-SA"/>
        </w:rPr>
        <w:t xml:space="preserve">    （1）-（2）各资产到期日不超过理财产品投资周期终止日，循环期不还本、摊还期过手摊还本息；（3）-（26）各资产到期日不超过理财产品投资周期终止日，定期付息、到期一次性还本；（27）-（54）各资产到期日不超过理财产品投资周期终止日，到期一次性还本付息。</w:t>
      </w:r>
      <w:r>
        <w:rPr>
          <w:rFonts w:hint="eastAsia" w:ascii="楷体" w:hAnsi="楷体" w:eastAsia="楷体" w:cs="楷体"/>
          <w:color w:val="auto"/>
          <w:kern w:val="2"/>
          <w:sz w:val="21"/>
          <w:szCs w:val="21"/>
          <w:highlight w:val="none"/>
          <w:lang w:val="en-US" w:eastAsia="zh-CN" w:bidi="ar-SA"/>
        </w:rPr>
        <w:br w:type="textWrapping"/>
      </w:r>
      <w:r>
        <w:rPr>
          <w:rFonts w:hint="eastAsia" w:ascii="楷体" w:hAnsi="楷体" w:eastAsia="楷体" w:cs="楷体"/>
          <w:color w:val="auto"/>
          <w:kern w:val="2"/>
          <w:sz w:val="21"/>
          <w:szCs w:val="21"/>
          <w:highlight w:val="none"/>
          <w:lang w:val="en-US" w:eastAsia="zh-CN" w:bidi="ar-SA"/>
        </w:rPr>
        <w:t xml:space="preserve">    产品存续期内若本理财产品投资的非标准化债权类资产有所调整，管理人将选择优质企业作为融资人，且融资项目已履行管理人内部审批流程，融资人业务经营正常，融资项目还款来源明确，并在本理财产品的定期报告中披露。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投资合作机构</w:t>
      </w:r>
    </w:p>
    <w:p>
      <w:pPr>
        <w:numPr>
          <w:ilvl w:val="0"/>
          <w:numId w:val="0"/>
        </w:numPr>
        <w:ind w:firstLine="420" w:firstLineChars="200"/>
        <w:rPr>
          <w:rFonts w:hint="eastAsia" w:ascii="楷体" w:hAnsi="楷体" w:eastAsia="楷体"/>
          <w:sz w:val="21"/>
          <w:szCs w:val="21"/>
          <w:highlight w:val="none"/>
        </w:rPr>
      </w:pPr>
      <w:r>
        <w:rPr>
          <w:rFonts w:hint="eastAsia" w:ascii="楷体" w:hAnsi="楷体" w:eastAsia="楷体"/>
          <w:color w:val="auto"/>
          <w:sz w:val="21"/>
          <w:szCs w:val="21"/>
          <w:highlight w:val="none"/>
        </w:rPr>
        <w:t>投资合作机构主要职责是对理财产品受托资金进行投资管理，</w:t>
      </w:r>
      <w:r>
        <w:rPr>
          <w:rFonts w:hint="eastAsia" w:ascii="楷体" w:hAnsi="楷体" w:eastAsia="楷体"/>
          <w:color w:val="auto"/>
          <w:sz w:val="21"/>
          <w:szCs w:val="21"/>
          <w:highlight w:val="none"/>
          <w:lang w:val="en-US" w:eastAsia="zh-CN"/>
        </w:rPr>
        <w:t>管理人</w:t>
      </w:r>
      <w:r>
        <w:rPr>
          <w:rFonts w:hint="eastAsia" w:ascii="楷体" w:hAnsi="楷体" w:eastAsia="楷体"/>
          <w:color w:val="auto"/>
          <w:sz w:val="21"/>
          <w:szCs w:val="21"/>
          <w:highlight w:val="none"/>
        </w:rPr>
        <w:t>已按投资决策流程对投资合作机构进行了准入，并持续开展投资合作机构的存续期管理。本产品投资合作机构包括</w:t>
      </w:r>
      <w:r>
        <w:rPr>
          <w:rFonts w:hint="eastAsia" w:ascii="楷体" w:hAnsi="楷体" w:eastAsia="楷体"/>
          <w:sz w:val="21"/>
          <w:szCs w:val="21"/>
          <w:highlight w:val="none"/>
        </w:rPr>
        <w:t>：</w:t>
      </w:r>
    </w:p>
    <w:p>
      <w:pPr>
        <w:ind w:firstLine="420" w:firstLineChars="200"/>
        <w:rPr>
          <w:rFonts w:hint="eastAsia" w:ascii="楷体" w:hAnsi="楷体" w:eastAsia="楷体"/>
          <w:b w:val="0"/>
          <w:bCs w:val="0"/>
          <w:sz w:val="21"/>
          <w:szCs w:val="21"/>
          <w:highlight w:val="none"/>
        </w:rPr>
      </w:pPr>
      <w:r>
        <w:rPr>
          <w:rFonts w:hint="default" w:ascii="Calibri" w:hAnsi="Calibri" w:eastAsia="楷体" w:cs="Calibri"/>
          <w:b w:val="0"/>
          <w:bCs w:val="0"/>
          <w:sz w:val="21"/>
          <w:szCs w:val="21"/>
          <w:highlight w:val="none"/>
        </w:rPr>
        <w:fldChar w:fldCharType="begin"/>
      </w:r>
      <w:r>
        <w:rPr>
          <w:rFonts w:hint="default" w:ascii="Calibri" w:hAnsi="Calibri" w:eastAsia="楷体" w:cs="Calibri"/>
          <w:b w:val="0"/>
          <w:bCs w:val="0"/>
          <w:sz w:val="21"/>
          <w:szCs w:val="21"/>
          <w:highlight w:val="none"/>
        </w:rPr>
        <w:instrText xml:space="preserve"> = 1 \* GB3 \* MERGEFORMAT </w:instrText>
      </w:r>
      <w:r>
        <w:rPr>
          <w:rFonts w:hint="default" w:ascii="Calibri" w:hAnsi="Calibri" w:eastAsia="楷体" w:cs="Calibri"/>
          <w:b w:val="0"/>
          <w:bCs w:val="0"/>
          <w:sz w:val="21"/>
          <w:szCs w:val="21"/>
          <w:highlight w:val="none"/>
        </w:rPr>
        <w:fldChar w:fldCharType="separate"/>
      </w:r>
      <w:r>
        <w:rPr>
          <w:highlight w:val="none"/>
        </w:rPr>
        <w:t>①</w:t>
      </w:r>
      <w:r>
        <w:rPr>
          <w:rFonts w:hint="default" w:ascii="Calibri" w:hAnsi="Calibri" w:eastAsia="楷体" w:cs="Calibri"/>
          <w:b w:val="0"/>
          <w:bCs w:val="0"/>
          <w:sz w:val="21"/>
          <w:szCs w:val="21"/>
          <w:highlight w:val="none"/>
        </w:rPr>
        <w:fldChar w:fldCharType="end"/>
      </w:r>
      <w:r>
        <w:rPr>
          <w:rFonts w:hint="eastAsia" w:ascii="楷体" w:hAnsi="楷体" w:eastAsia="楷体"/>
          <w:b w:val="0"/>
          <w:bCs w:val="0"/>
          <w:sz w:val="21"/>
          <w:szCs w:val="21"/>
          <w:highlight w:val="none"/>
        </w:rPr>
        <w:t>江苏省国际信托有限责任公司</w:t>
      </w:r>
      <w:r>
        <w:rPr>
          <w:rFonts w:hint="eastAsia" w:ascii="楷体" w:hAnsi="楷体" w:eastAsia="楷体"/>
          <w:b w:val="0"/>
          <w:bCs w:val="0"/>
          <w:sz w:val="21"/>
          <w:szCs w:val="21"/>
          <w:highlight w:val="none"/>
          <w:lang w:eastAsia="zh-CN"/>
        </w:rPr>
        <w:t>：</w:t>
      </w:r>
      <w:r>
        <w:rPr>
          <w:rFonts w:hint="eastAsia" w:ascii="楷体" w:hAnsi="楷体" w:eastAsia="楷体"/>
          <w:b w:val="0"/>
          <w:bCs w:val="0"/>
          <w:sz w:val="21"/>
          <w:szCs w:val="21"/>
          <w:highlight w:val="none"/>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ascii="楷体" w:hAnsi="楷体" w:eastAsia="楷体"/>
          <w:b w:val="0"/>
          <w:bCs w:val="0"/>
          <w:sz w:val="21"/>
          <w:szCs w:val="21"/>
          <w:highlight w:val="none"/>
        </w:rPr>
      </w:pPr>
      <w:r>
        <w:rPr>
          <w:rFonts w:hint="default" w:ascii="Calibri" w:hAnsi="Calibri" w:eastAsia="楷体" w:cs="Calibri"/>
          <w:b w:val="0"/>
          <w:bCs w:val="0"/>
          <w:sz w:val="21"/>
          <w:szCs w:val="21"/>
          <w:highlight w:val="none"/>
        </w:rPr>
        <w:fldChar w:fldCharType="begin"/>
      </w:r>
      <w:r>
        <w:rPr>
          <w:rFonts w:hint="default" w:ascii="Calibri" w:hAnsi="Calibri" w:eastAsia="楷体" w:cs="Calibri"/>
          <w:b w:val="0"/>
          <w:bCs w:val="0"/>
          <w:sz w:val="21"/>
          <w:szCs w:val="21"/>
          <w:highlight w:val="none"/>
        </w:rPr>
        <w:instrText xml:space="preserve"> = 2 \* GB3 \* MERGEFORMAT </w:instrText>
      </w:r>
      <w:r>
        <w:rPr>
          <w:rFonts w:hint="default" w:ascii="Calibri" w:hAnsi="Calibri" w:eastAsia="楷体" w:cs="Calibri"/>
          <w:b w:val="0"/>
          <w:bCs w:val="0"/>
          <w:sz w:val="21"/>
          <w:szCs w:val="21"/>
          <w:highlight w:val="none"/>
        </w:rPr>
        <w:fldChar w:fldCharType="separate"/>
      </w:r>
      <w:r>
        <w:rPr>
          <w:highlight w:val="none"/>
        </w:rPr>
        <w:t>②</w:t>
      </w:r>
      <w:r>
        <w:rPr>
          <w:rFonts w:hint="default" w:ascii="Calibri" w:hAnsi="Calibri" w:eastAsia="楷体" w:cs="Calibri"/>
          <w:b w:val="0"/>
          <w:bCs w:val="0"/>
          <w:sz w:val="21"/>
          <w:szCs w:val="21"/>
          <w:highlight w:val="none"/>
        </w:rPr>
        <w:fldChar w:fldCharType="end"/>
      </w:r>
      <w:r>
        <w:rPr>
          <w:rFonts w:hint="eastAsia" w:ascii="楷体" w:hAnsi="楷体" w:eastAsia="楷体"/>
          <w:b w:val="0"/>
          <w:bCs w:val="0"/>
          <w:sz w:val="21"/>
          <w:szCs w:val="21"/>
          <w:highlight w:val="none"/>
        </w:rPr>
        <w:t>创金合信基金管理有限公司</w:t>
      </w:r>
      <w:r>
        <w:rPr>
          <w:rFonts w:hint="eastAsia" w:ascii="楷体" w:hAnsi="楷体" w:eastAsia="楷体"/>
          <w:b w:val="0"/>
          <w:bCs w:val="0"/>
          <w:sz w:val="21"/>
          <w:szCs w:val="21"/>
          <w:highlight w:val="none"/>
          <w:lang w:eastAsia="zh-CN"/>
        </w:rPr>
        <w:t>：</w:t>
      </w:r>
      <w:r>
        <w:rPr>
          <w:rFonts w:ascii="楷体" w:hAnsi="楷体" w:eastAsia="楷体"/>
          <w:b w:val="0"/>
          <w:bCs w:val="0"/>
          <w:sz w:val="21"/>
          <w:szCs w:val="21"/>
          <w:highlight w:val="none"/>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b w:val="0"/>
          <w:bCs w:val="0"/>
          <w:sz w:val="21"/>
          <w:szCs w:val="21"/>
          <w:highlight w:val="none"/>
          <w:lang w:val="en-US" w:eastAsia="zh-CN"/>
        </w:rPr>
      </w:pPr>
      <w:r>
        <w:rPr>
          <w:rFonts w:hint="default" w:ascii="Calibri" w:hAnsi="Calibri" w:eastAsia="楷体" w:cs="Calibri"/>
          <w:b w:val="0"/>
          <w:bCs w:val="0"/>
          <w:sz w:val="21"/>
          <w:szCs w:val="21"/>
          <w:highlight w:val="none"/>
        </w:rPr>
        <w:fldChar w:fldCharType="begin"/>
      </w:r>
      <w:r>
        <w:rPr>
          <w:rFonts w:hint="default" w:ascii="Calibri" w:hAnsi="Calibri" w:eastAsia="楷体" w:cs="Calibri"/>
          <w:b w:val="0"/>
          <w:bCs w:val="0"/>
          <w:sz w:val="21"/>
          <w:szCs w:val="21"/>
          <w:highlight w:val="none"/>
        </w:rPr>
        <w:instrText xml:space="preserve"> = 3 \* GB3 \* MERGEFORMAT </w:instrText>
      </w:r>
      <w:r>
        <w:rPr>
          <w:rFonts w:hint="default" w:ascii="Calibri" w:hAnsi="Calibri" w:eastAsia="楷体" w:cs="Calibri"/>
          <w:b w:val="0"/>
          <w:bCs w:val="0"/>
          <w:sz w:val="21"/>
          <w:szCs w:val="21"/>
          <w:highlight w:val="none"/>
        </w:rPr>
        <w:fldChar w:fldCharType="separate"/>
      </w:r>
      <w:r>
        <w:rPr>
          <w:highlight w:val="none"/>
        </w:rPr>
        <w:t>③</w:t>
      </w:r>
      <w:r>
        <w:rPr>
          <w:rFonts w:hint="default" w:ascii="Calibri" w:hAnsi="Calibri" w:eastAsia="楷体" w:cs="Calibri"/>
          <w:b w:val="0"/>
          <w:bCs w:val="0"/>
          <w:sz w:val="21"/>
          <w:szCs w:val="21"/>
          <w:highlight w:val="none"/>
        </w:rPr>
        <w:fldChar w:fldCharType="end"/>
      </w:r>
      <w:r>
        <w:rPr>
          <w:rFonts w:hint="eastAsia" w:ascii="楷体" w:hAnsi="楷体" w:eastAsia="楷体"/>
          <w:b w:val="0"/>
          <w:bCs w:val="0"/>
          <w:sz w:val="21"/>
          <w:szCs w:val="21"/>
          <w:highlight w:val="none"/>
          <w:lang w:val="en-US" w:eastAsia="zh-CN"/>
        </w:rPr>
        <w:t>华鑫国际信托有限公司：华鑫国际信托有限公司于2010年2月获得中国银行业监督管理委员会批准重新登记，并于同年3月正式挂牌开业，实际控制人为中国华电集团有限公司，注册资本73.95亿元。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b w:val="0"/>
          <w:bCs w:val="0"/>
          <w:sz w:val="21"/>
          <w:szCs w:val="21"/>
          <w:highlight w:val="none"/>
          <w:lang w:val="en-US" w:eastAsia="zh-CN"/>
        </w:rPr>
      </w:pPr>
      <w:r>
        <w:rPr>
          <w:rFonts w:ascii="楷体" w:hAnsi="楷体" w:eastAsia="楷体"/>
          <w:b w:val="0"/>
          <w:bCs w:val="0"/>
          <w:sz w:val="21"/>
          <w:szCs w:val="21"/>
          <w:highlight w:val="none"/>
        </w:rPr>
        <w:fldChar w:fldCharType="begin"/>
      </w:r>
      <w:r>
        <w:rPr>
          <w:rFonts w:ascii="楷体" w:hAnsi="楷体" w:eastAsia="楷体"/>
          <w:b w:val="0"/>
          <w:bCs w:val="0"/>
          <w:sz w:val="21"/>
          <w:szCs w:val="21"/>
          <w:highlight w:val="none"/>
        </w:rPr>
        <w:instrText xml:space="preserve"> = 4 \* GB3 \* MERGEFORMAT </w:instrText>
      </w:r>
      <w:r>
        <w:rPr>
          <w:rFonts w:ascii="楷体" w:hAnsi="楷体" w:eastAsia="楷体"/>
          <w:b w:val="0"/>
          <w:bCs w:val="0"/>
          <w:sz w:val="21"/>
          <w:szCs w:val="21"/>
          <w:highlight w:val="none"/>
        </w:rPr>
        <w:fldChar w:fldCharType="separate"/>
      </w:r>
      <w:r>
        <w:rPr>
          <w:highlight w:val="none"/>
        </w:rPr>
        <w:t>④</w:t>
      </w:r>
      <w:r>
        <w:rPr>
          <w:rFonts w:ascii="楷体" w:hAnsi="楷体" w:eastAsia="楷体"/>
          <w:b w:val="0"/>
          <w:bCs w:val="0"/>
          <w:sz w:val="21"/>
          <w:szCs w:val="21"/>
          <w:highlight w:val="none"/>
        </w:rPr>
        <w:fldChar w:fldCharType="end"/>
      </w:r>
      <w:r>
        <w:rPr>
          <w:rFonts w:hint="eastAsia" w:ascii="楷体" w:hAnsi="楷体" w:eastAsia="楷体"/>
          <w:b w:val="0"/>
          <w:bCs w:val="0"/>
          <w:sz w:val="21"/>
          <w:szCs w:val="21"/>
          <w:highlight w:val="none"/>
          <w:lang w:val="en-US" w:eastAsia="zh-CN"/>
        </w:rPr>
        <w:t>中国国际金融股份有限公司：中国国际金融股份有限公司于1995年7月31日成立，实际控制人为中央汇金投资有限责任公司，注册资本4,827,256,868元。</w:t>
      </w:r>
    </w:p>
    <w:p>
      <w:pPr>
        <w:ind w:firstLine="420" w:firstLineChars="200"/>
        <w:rPr>
          <w:rFonts w:hint="eastAsia"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fldChar w:fldCharType="begin"/>
      </w:r>
      <w:r>
        <w:rPr>
          <w:rFonts w:hint="eastAsia" w:ascii="楷体" w:hAnsi="楷体" w:eastAsia="楷体"/>
          <w:b w:val="0"/>
          <w:bCs w:val="0"/>
          <w:sz w:val="21"/>
          <w:szCs w:val="21"/>
          <w:highlight w:val="none"/>
          <w:lang w:val="en-US" w:eastAsia="zh-CN"/>
        </w:rPr>
        <w:instrText xml:space="preserve"> = 5 \* GB3 \* MERGEFORMAT </w:instrText>
      </w:r>
      <w:r>
        <w:rPr>
          <w:rFonts w:hint="eastAsia" w:ascii="楷体" w:hAnsi="楷体" w:eastAsia="楷体"/>
          <w:b w:val="0"/>
          <w:bCs w:val="0"/>
          <w:sz w:val="21"/>
          <w:szCs w:val="21"/>
          <w:highlight w:val="none"/>
          <w:lang w:val="en-US" w:eastAsia="zh-CN"/>
        </w:rPr>
        <w:fldChar w:fldCharType="separate"/>
      </w:r>
      <w:r>
        <w:rPr>
          <w:highlight w:val="none"/>
        </w:rPr>
        <w:t>⑤</w:t>
      </w:r>
      <w:r>
        <w:rPr>
          <w:rFonts w:hint="eastAsia" w:ascii="楷体" w:hAnsi="楷体" w:eastAsia="楷体"/>
          <w:b w:val="0"/>
          <w:bCs w:val="0"/>
          <w:sz w:val="21"/>
          <w:szCs w:val="21"/>
          <w:highlight w:val="none"/>
          <w:lang w:val="en-US" w:eastAsia="zh-CN"/>
        </w:rPr>
        <w:fldChar w:fldCharType="end"/>
      </w:r>
      <w:r>
        <w:rPr>
          <w:rFonts w:hint="eastAsia" w:ascii="楷体" w:hAnsi="楷体" w:eastAsia="楷体"/>
          <w:b w:val="0"/>
          <w:bCs w:val="0"/>
          <w:sz w:val="21"/>
          <w:szCs w:val="21"/>
          <w:highlight w:val="none"/>
          <w:lang w:val="en-US" w:eastAsia="zh-CN"/>
        </w:rPr>
        <w:t>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fldChar w:fldCharType="begin"/>
      </w:r>
      <w:r>
        <w:rPr>
          <w:rFonts w:hint="eastAsia" w:ascii="楷体" w:hAnsi="楷体" w:eastAsia="楷体"/>
          <w:b w:val="0"/>
          <w:bCs w:val="0"/>
          <w:sz w:val="21"/>
          <w:szCs w:val="21"/>
          <w:highlight w:val="none"/>
          <w:lang w:val="en-US" w:eastAsia="zh-CN"/>
        </w:rPr>
        <w:instrText xml:space="preserve"> = 6 \* GB3 \* MERGEFORMAT </w:instrText>
      </w:r>
      <w:r>
        <w:rPr>
          <w:rFonts w:hint="eastAsia" w:ascii="楷体" w:hAnsi="楷体" w:eastAsia="楷体"/>
          <w:b w:val="0"/>
          <w:bCs w:val="0"/>
          <w:sz w:val="21"/>
          <w:szCs w:val="21"/>
          <w:highlight w:val="none"/>
          <w:lang w:val="en-US" w:eastAsia="zh-CN"/>
        </w:rPr>
        <w:fldChar w:fldCharType="separate"/>
      </w:r>
      <w:r>
        <w:rPr>
          <w:highlight w:val="none"/>
        </w:rPr>
        <w:t>⑥</w:t>
      </w:r>
      <w:r>
        <w:rPr>
          <w:rFonts w:hint="eastAsia" w:ascii="楷体" w:hAnsi="楷体" w:eastAsia="楷体"/>
          <w:b w:val="0"/>
          <w:bCs w:val="0"/>
          <w:sz w:val="21"/>
          <w:szCs w:val="21"/>
          <w:highlight w:val="none"/>
          <w:lang w:val="en-US" w:eastAsia="zh-CN"/>
        </w:rPr>
        <w:fldChar w:fldCharType="end"/>
      </w:r>
      <w:r>
        <w:rPr>
          <w:rFonts w:hint="eastAsia" w:ascii="楷体" w:hAnsi="楷体" w:eastAsia="楷体"/>
          <w:b w:val="0"/>
          <w:bCs w:val="0"/>
          <w:sz w:val="21"/>
          <w:szCs w:val="21"/>
          <w:highlight w:val="none"/>
          <w:lang w:val="en-US" w:eastAsia="zh-CN"/>
        </w:rPr>
        <w:t>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default"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fldChar w:fldCharType="begin"/>
      </w:r>
      <w:r>
        <w:rPr>
          <w:rFonts w:hint="eastAsia" w:ascii="楷体" w:hAnsi="楷体" w:eastAsia="楷体"/>
          <w:b w:val="0"/>
          <w:bCs w:val="0"/>
          <w:sz w:val="21"/>
          <w:szCs w:val="21"/>
          <w:highlight w:val="none"/>
          <w:lang w:val="en-US" w:eastAsia="zh-CN"/>
        </w:rPr>
        <w:instrText xml:space="preserve"> = 7 \* GB3 \* MERGEFORMAT </w:instrText>
      </w:r>
      <w:r>
        <w:rPr>
          <w:rFonts w:hint="eastAsia" w:ascii="楷体" w:hAnsi="楷体" w:eastAsia="楷体"/>
          <w:b w:val="0"/>
          <w:bCs w:val="0"/>
          <w:sz w:val="21"/>
          <w:szCs w:val="21"/>
          <w:highlight w:val="none"/>
          <w:lang w:val="en-US" w:eastAsia="zh-CN"/>
        </w:rPr>
        <w:fldChar w:fldCharType="separate"/>
      </w:r>
      <w:r>
        <w:rPr>
          <w:highlight w:val="none"/>
        </w:rPr>
        <w:t>⑦</w:t>
      </w:r>
      <w:r>
        <w:rPr>
          <w:rFonts w:hint="eastAsia" w:ascii="楷体" w:hAnsi="楷体" w:eastAsia="楷体"/>
          <w:b w:val="0"/>
          <w:bCs w:val="0"/>
          <w:sz w:val="21"/>
          <w:szCs w:val="21"/>
          <w:highlight w:val="none"/>
          <w:lang w:val="en-US" w:eastAsia="zh-CN"/>
        </w:rPr>
        <w:fldChar w:fldCharType="end"/>
      </w:r>
      <w:r>
        <w:rPr>
          <w:rFonts w:hint="default" w:ascii="楷体" w:hAnsi="楷体" w:eastAsia="楷体"/>
          <w:b w:val="0"/>
          <w:bCs w:val="0"/>
          <w:sz w:val="21"/>
          <w:szCs w:val="21"/>
          <w:highlight w:val="none"/>
          <w:lang w:val="en-US" w:eastAsia="zh-CN"/>
        </w:rPr>
        <w:t>南方资本管理有限公司</w:t>
      </w:r>
      <w:r>
        <w:rPr>
          <w:rFonts w:hint="eastAsia" w:ascii="楷体" w:hAnsi="楷体" w:eastAsia="楷体"/>
          <w:b w:val="0"/>
          <w:bCs w:val="0"/>
          <w:sz w:val="21"/>
          <w:szCs w:val="21"/>
          <w:highlight w:val="none"/>
          <w:lang w:val="en-US" w:eastAsia="zh-CN"/>
        </w:rPr>
        <w:t>：</w:t>
      </w:r>
      <w:r>
        <w:rPr>
          <w:rFonts w:hint="default" w:ascii="楷体" w:hAnsi="楷体" w:eastAsia="楷体"/>
          <w:b w:val="0"/>
          <w:bCs w:val="0"/>
          <w:sz w:val="21"/>
          <w:szCs w:val="21"/>
          <w:highlight w:val="none"/>
          <w:lang w:val="en-US" w:eastAsia="zh-CN"/>
        </w:rPr>
        <w:t>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firstLineChars="200"/>
        <w:rPr>
          <w:rFonts w:hint="default"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p>
    <w:p>
      <w:pPr>
        <w:numPr>
          <w:ilvl w:val="0"/>
          <w:numId w:val="6"/>
        </w:numPr>
        <w:tabs>
          <w:tab w:val="left" w:pos="993"/>
        </w:tabs>
        <w:ind w:left="0" w:firstLine="420" w:firstLineChars="200"/>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highlight w:val="none"/>
        </w:rPr>
      </w:pPr>
      <w:r>
        <w:rPr>
          <w:rFonts w:hint="eastAsia" w:ascii="楷体" w:hAnsi="楷体" w:eastAsia="楷体"/>
          <w:color w:val="auto"/>
          <w:sz w:val="21"/>
          <w:szCs w:val="21"/>
          <w:highlight w:val="none"/>
        </w:rPr>
        <w:t>针对上述第1、2</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杠杆率</w:t>
      </w:r>
      <w:r>
        <w:rPr>
          <w:rFonts w:hint="eastAsia" w:ascii="楷体" w:hAnsi="楷体" w:eastAsia="楷体"/>
          <w:color w:val="auto"/>
          <w:sz w:val="21"/>
          <w:szCs w:val="21"/>
          <w:highlight w:val="none"/>
        </w:rPr>
        <w:t>不超过140%。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 个工作日内持有不低于产品资产净值5%的现金或者到期日在一年以内的国债、中央银行票据和政策性金融债券。</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在开放日前一工作日内，本理财产品7个工作日可变现资产的可变现价值应当不低于本产品净资产的10%。</w:t>
      </w:r>
    </w:p>
    <w:p>
      <w:pPr>
        <w:numPr>
          <w:ilvl w:val="0"/>
          <w:numId w:val="6"/>
        </w:numPr>
        <w:tabs>
          <w:tab w:val="left" w:pos="993"/>
        </w:tabs>
        <w:ind w:left="0" w:firstLine="420" w:firstLineChars="200"/>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投资</w:t>
      </w:r>
      <w:r>
        <w:rPr>
          <w:rFonts w:hint="eastAsia" w:ascii="楷体" w:hAnsi="楷体" w:eastAsia="楷体" w:cs="Calibri"/>
          <w:b w:val="0"/>
          <w:bCs/>
          <w:sz w:val="21"/>
          <w:szCs w:val="21"/>
          <w:highlight w:val="none"/>
          <w:lang w:val="en-US" w:eastAsia="zh-CN"/>
        </w:rPr>
        <w:t>管理</w:t>
      </w:r>
      <w:r>
        <w:rPr>
          <w:rFonts w:hint="eastAsia" w:ascii="楷体" w:hAnsi="楷体" w:eastAsia="楷体" w:cs="Calibri"/>
          <w:b w:val="0"/>
          <w:bCs/>
          <w:sz w:val="21"/>
          <w:szCs w:val="21"/>
          <w:highlight w:val="none"/>
        </w:rPr>
        <w:t>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highlight w:val="none"/>
          <w:lang w:val="en-US" w:eastAsia="zh-CN" w:bidi="ar-SA"/>
        </w:rPr>
      </w:pPr>
      <w:r>
        <w:rPr>
          <w:rFonts w:hint="eastAsia" w:ascii="楷体" w:hAnsi="楷体" w:eastAsia="楷体" w:cs="Times New Roman"/>
          <w:color w:val="auto"/>
          <w:kern w:val="2"/>
          <w:sz w:val="21"/>
          <w:szCs w:val="21"/>
          <w:highlight w:val="none"/>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ind w:firstLine="420" w:firstLineChars="200"/>
        <w:rPr>
          <w:rFonts w:hint="eastAsia" w:ascii="楷体" w:hAnsi="楷体" w:eastAsia="楷体"/>
          <w:sz w:val="21"/>
          <w:szCs w:val="21"/>
          <w:highlight w:val="none"/>
          <w:lang w:val="en-US" w:eastAsia="zh-CN"/>
        </w:rPr>
      </w:pPr>
      <w:r>
        <w:rPr>
          <w:rFonts w:hint="eastAsia" w:ascii="楷体" w:hAnsi="楷体" w:eastAsia="楷体" w:cs="楷体"/>
          <w:color w:val="auto"/>
          <w:sz w:val="21"/>
          <w:szCs w:val="21"/>
          <w:highlight w:val="none"/>
        </w:rPr>
        <w:t>如监管有最新规定的，可参照监管规定</w:t>
      </w:r>
      <w:r>
        <w:rPr>
          <w:rFonts w:hint="eastAsia" w:ascii="楷体" w:hAnsi="楷体" w:eastAsia="楷体" w:cs="楷体"/>
          <w:color w:val="auto"/>
          <w:sz w:val="21"/>
          <w:szCs w:val="21"/>
          <w:highlight w:val="none"/>
          <w:lang w:val="en-US" w:eastAsia="zh-CN"/>
        </w:rPr>
        <w:t>执行</w:t>
      </w:r>
      <w:r>
        <w:rPr>
          <w:rFonts w:hint="eastAsia" w:ascii="楷体" w:hAnsi="楷体" w:eastAsia="楷体"/>
          <w:sz w:val="21"/>
          <w:szCs w:val="21"/>
          <w:highlight w:val="none"/>
          <w:lang w:val="en-US" w:eastAsia="zh-CN"/>
        </w:rPr>
        <w:t>。</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highlight w:val="none"/>
        </w:rPr>
      </w:pPr>
      <w:r>
        <w:rPr>
          <w:rFonts w:hint="eastAsia" w:ascii="楷体" w:hAnsi="楷体" w:eastAsia="楷体"/>
          <w:b/>
          <w:sz w:val="21"/>
          <w:szCs w:val="21"/>
          <w:highlight w:val="none"/>
        </w:rPr>
        <w:t>产品认购</w:t>
      </w:r>
    </w:p>
    <w:p>
      <w:pPr>
        <w:numPr>
          <w:ilvl w:val="0"/>
          <w:numId w:val="8"/>
        </w:numPr>
        <w:tabs>
          <w:tab w:val="left" w:pos="993"/>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认购方式</w:t>
      </w:r>
      <w:r>
        <w:rPr>
          <w:rFonts w:hint="eastAsia" w:ascii="楷体" w:hAnsi="楷体" w:eastAsia="楷体" w:cs="Calibri"/>
          <w:color w:val="auto"/>
          <w:sz w:val="21"/>
          <w:szCs w:val="21"/>
          <w:highlight w:val="none"/>
          <w:lang w:val="en-US" w:eastAsia="zh-CN"/>
        </w:rPr>
        <w:t>及确认</w:t>
      </w:r>
    </w:p>
    <w:p>
      <w:pPr>
        <w:numPr>
          <w:ilvl w:val="-1"/>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认购份额的计算</w:t>
      </w:r>
    </w:p>
    <w:p>
      <w:pPr>
        <w:numPr>
          <w:ilvl w:val="-1"/>
          <w:numId w:val="0"/>
        </w:numPr>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认购份额=认购金额/产品份额面值，认购份额以四舍五入的方法保留到小数点后两位。</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sz w:val="21"/>
          <w:szCs w:val="21"/>
          <w:highlight w:val="none"/>
        </w:rPr>
      </w:pPr>
      <w:r>
        <w:rPr>
          <w:rFonts w:hint="eastAsia" w:ascii="楷体" w:hAnsi="楷体" w:eastAsia="楷体"/>
          <w:b/>
          <w:sz w:val="21"/>
          <w:szCs w:val="21"/>
          <w:highlight w:val="none"/>
        </w:rPr>
        <w:t>产品申购、赎回</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投资周期、开放计划</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本产品在每个投资周期结束前设置开放计划，时间为投资周期终止日前</w:t>
      </w:r>
      <w:r>
        <w:rPr>
          <w:rFonts w:hint="eastAsia" w:ascii="楷体" w:hAnsi="楷体" w:eastAsia="楷体"/>
          <w:sz w:val="21"/>
          <w:szCs w:val="21"/>
          <w:highlight w:val="none"/>
          <w:lang w:val="en-US" w:eastAsia="zh-CN"/>
        </w:rPr>
        <w:t>7个工作</w:t>
      </w:r>
      <w:r>
        <w:rPr>
          <w:rFonts w:hint="eastAsia" w:ascii="楷体" w:hAnsi="楷体" w:eastAsia="楷体"/>
          <w:sz w:val="21"/>
          <w:szCs w:val="21"/>
          <w:highlight w:val="none"/>
        </w:rPr>
        <w:t>日（含投资周期终止日），开放计划最后一日（即投资周期终止日）为开放日。投资者可在开放计划时间内通过销售机构提出申购/赎回申请（以各销售机构设置的开放时间为准），</w:t>
      </w:r>
      <w:r>
        <w:rPr>
          <w:rFonts w:hint="eastAsia" w:ascii="楷体" w:hAnsi="楷体" w:eastAsia="楷体"/>
          <w:b/>
          <w:sz w:val="21"/>
          <w:szCs w:val="21"/>
          <w:highlight w:val="none"/>
          <w:u w:val="single"/>
        </w:rPr>
        <w:t>除开放计划外的其他时间，管理人不接受投资者申购、赎回申请。</w:t>
      </w:r>
      <w:r>
        <w:rPr>
          <w:rFonts w:hint="eastAsia" w:ascii="楷体" w:hAnsi="楷体" w:eastAsia="楷体" w:cs="Calibri"/>
          <w:sz w:val="21"/>
          <w:szCs w:val="21"/>
          <w:highlight w:val="none"/>
        </w:rPr>
        <w:t>后续投资周期及开放计划受资产运作情况、节假日安排等要素限制，管理人将在每个投资周期结束前通过本理财产品说明书约定的方式披露下一周期开放计划。</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申购、赎回的规则</w:t>
      </w:r>
    </w:p>
    <w:p>
      <w:pPr>
        <w:keepNext w:val="0"/>
        <w:keepLines w:val="0"/>
        <w:pageBreakBefore w:val="0"/>
        <w:widowControl w:val="0"/>
        <w:numPr>
          <w:ilvl w:val="0"/>
          <w:numId w:val="10"/>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申购、赎回的原则：投资者必须在产品开放计划内提出申购、赎回申请</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采用金额申购、份额赎回的原则，即申购以金额申请，赎回以份额申请。投资者提出申购申请时，须备足购买资金</w:t>
      </w:r>
      <w:r>
        <w:rPr>
          <w:rFonts w:hint="eastAsia" w:ascii="楷体" w:hAnsi="楷体" w:eastAsia="楷体" w:cs="Calibri"/>
          <w:sz w:val="21"/>
          <w:szCs w:val="21"/>
          <w:highlight w:val="none"/>
          <w:lang w:val="en-US" w:eastAsia="zh-CN"/>
        </w:rPr>
        <w:t>；</w:t>
      </w:r>
      <w:r>
        <w:rPr>
          <w:rFonts w:hint="eastAsia" w:ascii="楷体" w:hAnsi="楷体" w:eastAsia="楷体" w:cs="Calibri"/>
          <w:sz w:val="21"/>
          <w:szCs w:val="21"/>
          <w:highlight w:val="none"/>
        </w:rPr>
        <w:t>投资者提出赎回申请时，须有足够的理财产品份额余额。在开放计划内提交的申购/赎回申请可以在产品开放日</w:t>
      </w:r>
      <w:r>
        <w:rPr>
          <w:rFonts w:hint="eastAsia" w:ascii="楷体" w:hAnsi="楷体" w:eastAsia="楷体" w:cs="Calibri"/>
          <w:sz w:val="21"/>
          <w:szCs w:val="21"/>
          <w:highlight w:val="none"/>
          <w:lang w:val="en-US" w:eastAsia="zh-CN"/>
        </w:rPr>
        <w:t>闭市</w:t>
      </w:r>
      <w:r>
        <w:rPr>
          <w:rFonts w:hint="eastAsia" w:ascii="楷体" w:hAnsi="楷体" w:eastAsia="楷体" w:cs="Calibri"/>
          <w:sz w:val="21"/>
          <w:szCs w:val="21"/>
          <w:highlight w:val="none"/>
        </w:rPr>
        <w:t>前撤销，之后不得撤销。</w:t>
      </w:r>
      <w:r>
        <w:rPr>
          <w:rFonts w:hint="eastAsia" w:ascii="楷体" w:hAnsi="楷体" w:eastAsia="楷体"/>
          <w:sz w:val="21"/>
          <w:szCs w:val="21"/>
          <w:highlight w:val="none"/>
        </w:rPr>
        <w:t>（</w:t>
      </w:r>
      <w:r>
        <w:rPr>
          <w:rFonts w:hint="eastAsia" w:ascii="楷体" w:hAnsi="楷体" w:eastAsia="楷体" w:cs="Calibri"/>
          <w:sz w:val="21"/>
          <w:szCs w:val="21"/>
          <w:highlight w:val="none"/>
          <w:lang w:val="en-US" w:eastAsia="zh-CN"/>
        </w:rPr>
        <w:t>闭市时间</w:t>
      </w:r>
      <w:r>
        <w:rPr>
          <w:rFonts w:hint="eastAsia" w:ascii="楷体" w:hAnsi="楷体" w:eastAsia="楷体"/>
          <w:sz w:val="21"/>
          <w:szCs w:val="21"/>
          <w:highlight w:val="none"/>
        </w:rPr>
        <w:t>以各销售机构设置为准）</w:t>
      </w:r>
    </w:p>
    <w:p>
      <w:pPr>
        <w:keepNext w:val="0"/>
        <w:keepLines w:val="0"/>
        <w:pageBreakBefore w:val="0"/>
        <w:widowControl w:val="0"/>
        <w:numPr>
          <w:ilvl w:val="0"/>
          <w:numId w:val="10"/>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申购、赎回的确认：投资者申购/赎回本产品时采用“未知价”原则，投资者在开放计划时间内通过销售机构提出的申购/赎回申请，管理人于开放日后1个工作日按开放日单位净值对申购/赎回申请予以统一确认，未赎回的份额自动进入下一个投资周期。</w:t>
      </w:r>
    </w:p>
    <w:p>
      <w:pPr>
        <w:ind w:firstLine="420" w:firstLineChars="200"/>
        <w:rPr>
          <w:rFonts w:hint="eastAsia" w:ascii="楷体" w:hAnsi="楷体" w:eastAsia="楷体"/>
          <w:sz w:val="21"/>
          <w:szCs w:val="21"/>
          <w:highlight w:val="none"/>
        </w:rPr>
      </w:pPr>
      <w:r>
        <w:rPr>
          <w:rFonts w:hint="eastAsia" w:ascii="楷体" w:hAnsi="楷体" w:eastAsia="楷体" w:cs="Calibri"/>
          <w:sz w:val="21"/>
          <w:szCs w:val="21"/>
          <w:highlight w:val="none"/>
          <w:lang w:val="en-US" w:eastAsia="zh-CN"/>
        </w:rPr>
        <w:t>管理人在份额登记日对投资者的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申请登记成功后并收到投资者全额交付的款项，视为投资者的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申请生效。投资者应在</w:t>
      </w:r>
      <w:r>
        <w:rPr>
          <w:rFonts w:hint="eastAsia" w:ascii="楷体" w:hAnsi="楷体" w:eastAsia="楷体"/>
          <w:sz w:val="21"/>
          <w:szCs w:val="21"/>
          <w:highlight w:val="none"/>
        </w:rPr>
        <w:t>开放日后</w:t>
      </w:r>
      <w:r>
        <w:rPr>
          <w:rFonts w:hint="eastAsia" w:ascii="楷体" w:hAnsi="楷体" w:eastAsia="楷体" w:cs="Calibri"/>
          <w:sz w:val="21"/>
          <w:szCs w:val="21"/>
          <w:highlight w:val="none"/>
          <w:lang w:val="en-US" w:eastAsia="zh-CN"/>
        </w:rPr>
        <w:t>及时查询最终的成交情况以及</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的份额。</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和销售机构的事由出现，造成申购</w:t>
      </w:r>
      <w:r>
        <w:rPr>
          <w:rFonts w:hint="eastAsia" w:ascii="楷体" w:hAnsi="楷体" w:eastAsia="楷体" w:cs="Calibri"/>
          <w:sz w:val="21"/>
          <w:szCs w:val="21"/>
          <w:highlight w:val="none"/>
          <w:lang w:val="en-US" w:eastAsia="zh-CN"/>
        </w:rPr>
        <w:t>申请</w:t>
      </w:r>
      <w:r>
        <w:rPr>
          <w:rFonts w:hint="eastAsia" w:ascii="楷体" w:hAnsi="楷体" w:eastAsia="楷体"/>
          <w:sz w:val="21"/>
          <w:szCs w:val="21"/>
          <w:highlight w:val="none"/>
        </w:rPr>
        <w:t>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投资者赎回资金将在确认日后2个工作日内到达投资者资金账户。</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申购份额的计算</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申购份额=申购金额/开放日产品单位净值</w:t>
      </w:r>
      <w:r>
        <w:rPr>
          <w:rFonts w:hint="eastAsia" w:ascii="楷体" w:hAnsi="楷体" w:eastAsia="楷体"/>
          <w:sz w:val="21"/>
          <w:szCs w:val="21"/>
          <w:highlight w:val="none"/>
          <w:lang w:eastAsia="zh-CN"/>
        </w:rPr>
        <w:t>，</w:t>
      </w:r>
      <w:r>
        <w:rPr>
          <w:rFonts w:hint="eastAsia" w:ascii="楷体" w:hAnsi="楷体" w:eastAsia="楷体"/>
          <w:sz w:val="21"/>
          <w:szCs w:val="21"/>
          <w:highlight w:val="none"/>
        </w:rPr>
        <w:t>申购份额以四舍五入的方法保留到小数点后两位</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赎回金额的计算</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赎回金额=赎回份额*开放日产品单位净值</w:t>
      </w:r>
      <w:r>
        <w:rPr>
          <w:rFonts w:hint="eastAsia" w:ascii="楷体" w:hAnsi="楷体" w:eastAsia="楷体"/>
          <w:sz w:val="21"/>
          <w:szCs w:val="21"/>
          <w:highlight w:val="none"/>
          <w:lang w:val="en-US" w:eastAsia="zh-CN"/>
        </w:rPr>
        <w:t>-超额业绩报酬（如有）</w:t>
      </w:r>
      <w:r>
        <w:rPr>
          <w:rFonts w:hint="eastAsia" w:ascii="楷体" w:hAnsi="楷体" w:eastAsia="楷体"/>
          <w:sz w:val="21"/>
          <w:szCs w:val="21"/>
          <w:highlight w:val="none"/>
          <w:lang w:eastAsia="zh-CN"/>
        </w:rPr>
        <w:t>，</w:t>
      </w:r>
      <w:r>
        <w:rPr>
          <w:rFonts w:hint="eastAsia" w:ascii="楷体" w:hAnsi="楷体" w:eastAsia="楷体"/>
          <w:sz w:val="21"/>
          <w:szCs w:val="21"/>
          <w:highlight w:val="none"/>
        </w:rPr>
        <w:t>赎回金额以四舍五入的方法保留到小数点后两位</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巨额赎回</w:t>
      </w:r>
      <w:r>
        <w:rPr>
          <w:rFonts w:hint="eastAsia" w:ascii="楷体" w:hAnsi="楷体" w:eastAsia="楷体" w:cs="Calibri"/>
          <w:b w:val="0"/>
          <w:bCs/>
          <w:sz w:val="21"/>
          <w:szCs w:val="21"/>
          <w:highlight w:val="none"/>
          <w:lang w:eastAsia="zh-CN"/>
        </w:rPr>
        <w:t>：</w:t>
      </w:r>
      <w:r>
        <w:rPr>
          <w:rFonts w:hint="eastAsia" w:ascii="楷体" w:hAnsi="楷体" w:eastAsia="楷体" w:cs="Calibri"/>
          <w:b w:val="0"/>
          <w:bCs/>
          <w:sz w:val="21"/>
          <w:szCs w:val="21"/>
          <w:highlight w:val="none"/>
          <w:lang w:val="en-US" w:eastAsia="zh-CN"/>
        </w:rPr>
        <w:t>详见“产品要素”</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特殊情形及处理</w:t>
      </w:r>
    </w:p>
    <w:p>
      <w:pPr>
        <w:ind w:firstLine="420" w:firstLineChars="200"/>
        <w:rPr>
          <w:rFonts w:ascii="楷体" w:hAnsi="楷体" w:eastAsia="楷体"/>
          <w:b w:val="0"/>
          <w:bCs w:val="0"/>
          <w:sz w:val="21"/>
          <w:szCs w:val="21"/>
          <w:highlight w:val="none"/>
        </w:rPr>
      </w:pPr>
      <w:r>
        <w:rPr>
          <w:rFonts w:ascii="楷体" w:hAnsi="楷体" w:eastAsia="楷体"/>
          <w:b w:val="0"/>
          <w:bCs w:val="0"/>
          <w:sz w:val="21"/>
          <w:szCs w:val="21"/>
          <w:highlight w:val="none"/>
        </w:rPr>
        <w:t>1.</w:t>
      </w:r>
      <w:r>
        <w:rPr>
          <w:rFonts w:hint="eastAsia" w:ascii="楷体" w:hAnsi="楷体" w:eastAsia="楷体"/>
          <w:b w:val="0"/>
          <w:bCs w:val="0"/>
          <w:sz w:val="21"/>
          <w:szCs w:val="21"/>
          <w:highlight w:val="none"/>
        </w:rPr>
        <w:t>除以下情形外，管理人不得拒绝接受或暂停接受投资者的申购申请：</w:t>
      </w:r>
    </w:p>
    <w:p>
      <w:pPr>
        <w:numPr>
          <w:ilvl w:val="0"/>
          <w:numId w:val="0"/>
        </w:numPr>
        <w:tabs>
          <w:tab w:val="left" w:pos="728"/>
        </w:tabs>
        <w:ind w:left="0" w:leftChars="0"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（1）不可抗力的原因导致产品无法正常运作</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（2）超出产品单一投资者持有上限</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3</w:t>
      </w:r>
      <w:r>
        <w:rPr>
          <w:rFonts w:hint="eastAsia" w:ascii="楷体" w:hAnsi="楷体" w:eastAsia="楷体" w:cs="Calibri"/>
          <w:sz w:val="21"/>
          <w:szCs w:val="21"/>
          <w:highlight w:val="none"/>
        </w:rPr>
        <w:t>）发生《理财产品说明书》约定的暂停估值的情形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4</w:t>
      </w:r>
      <w:r>
        <w:rPr>
          <w:rFonts w:hint="eastAsia" w:ascii="楷体" w:hAnsi="楷体" w:eastAsia="楷体" w:cs="Calibri"/>
          <w:sz w:val="21"/>
          <w:szCs w:val="21"/>
          <w:highlight w:val="none"/>
        </w:rPr>
        <w:t>）管理人接受某笔或者某些申购申请有可能导致单一投资者持有理财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份额的比例达到或者超过50%的情形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）当接受某笔或某些申购申请可能对存量理财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）法律、法规规定认定的其他情形。</w:t>
      </w:r>
    </w:p>
    <w:p>
      <w:pPr>
        <w:numPr>
          <w:ilvl w:val="0"/>
          <w:numId w:val="0"/>
        </w:numPr>
        <w:tabs>
          <w:tab w:val="left" w:pos="728"/>
        </w:tabs>
        <w:ind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ind w:firstLine="420" w:firstLineChars="200"/>
        <w:rPr>
          <w:rFonts w:ascii="楷体" w:hAnsi="楷体" w:eastAsia="楷体"/>
          <w:b w:val="0"/>
          <w:bCs w:val="0"/>
          <w:sz w:val="21"/>
          <w:szCs w:val="21"/>
          <w:highlight w:val="none"/>
        </w:rPr>
      </w:pPr>
      <w:r>
        <w:rPr>
          <w:rFonts w:ascii="楷体" w:hAnsi="楷体" w:eastAsia="楷体"/>
          <w:b w:val="0"/>
          <w:bCs w:val="0"/>
          <w:sz w:val="21"/>
          <w:szCs w:val="21"/>
          <w:highlight w:val="none"/>
        </w:rPr>
        <w:t>2.</w:t>
      </w:r>
      <w:r>
        <w:rPr>
          <w:rFonts w:hint="eastAsia" w:ascii="楷体" w:hAnsi="楷体" w:eastAsia="楷体"/>
          <w:b w:val="0"/>
          <w:bCs w:val="0"/>
          <w:sz w:val="21"/>
          <w:szCs w:val="21"/>
          <w:highlight w:val="none"/>
        </w:rPr>
        <w:t>除以下情形外，管理人不得暂停接受投资者的赎回申请或延缓支付赎回款项：</w:t>
      </w:r>
    </w:p>
    <w:p>
      <w:pPr>
        <w:numPr>
          <w:ilvl w:val="0"/>
          <w:numId w:val="0"/>
        </w:numPr>
        <w:tabs>
          <w:tab w:val="left" w:pos="728"/>
        </w:tabs>
        <w:ind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（1）不可抗力的原因导致管理人不能支付赎回款项</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（2）触发巨额赎回条款</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（3）发生《理财产品说明书》约定的暂停估值的情形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（4）当接受某笔或某些赎回申请可能对存量理财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（5）法律、法规规定认定的其他情形。</w:t>
      </w:r>
    </w:p>
    <w:p>
      <w:pPr>
        <w:numPr>
          <w:ilvl w:val="0"/>
          <w:numId w:val="0"/>
        </w:numPr>
        <w:tabs>
          <w:tab w:val="left" w:pos="728"/>
        </w:tabs>
        <w:ind w:firstLine="420" w:firstLineChars="200"/>
        <w:rPr>
          <w:rFonts w:hint="eastAsia" w:ascii="楷体" w:hAnsi="楷体" w:eastAsia="楷体" w:cs="Calibri"/>
          <w:sz w:val="21"/>
          <w:szCs w:val="21"/>
          <w:highlight w:val="none"/>
        </w:rPr>
      </w:pPr>
      <w:r>
        <w:rPr>
          <w:rFonts w:hint="eastAsia" w:ascii="楷体" w:hAnsi="楷体" w:eastAsia="楷体" w:cs="Calibri"/>
          <w:sz w:val="21"/>
          <w:szCs w:val="21"/>
          <w:highlight w:val="none"/>
        </w:rPr>
        <w:t>若管理人决定</w:t>
      </w:r>
      <w:r>
        <w:rPr>
          <w:rFonts w:hint="eastAsia" w:ascii="楷体" w:hAnsi="楷体" w:eastAsia="楷体"/>
          <w:sz w:val="21"/>
          <w:szCs w:val="21"/>
          <w:highlight w:val="none"/>
        </w:rPr>
        <w:t>暂停接受投资者的赎回申请或延缓支付赎回款项</w:t>
      </w:r>
      <w:r>
        <w:rPr>
          <w:rFonts w:hint="eastAsia" w:ascii="楷体" w:hAnsi="楷体" w:eastAsia="楷体" w:cs="Calibri"/>
          <w:sz w:val="21"/>
          <w:szCs w:val="21"/>
          <w:highlight w:val="none"/>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highlight w:val="none"/>
        </w:rPr>
        <w:t>暂停接受投资者的赎回申请或延缓支付赎回款项的情况消除后</w:t>
      </w:r>
      <w:r>
        <w:rPr>
          <w:rFonts w:hint="eastAsia" w:ascii="楷体" w:hAnsi="楷体" w:eastAsia="楷体" w:cs="Calibri"/>
          <w:sz w:val="21"/>
          <w:szCs w:val="21"/>
          <w:highlight w:val="none"/>
        </w:rPr>
        <w:t>，管理人将及时恢复</w:t>
      </w:r>
      <w:r>
        <w:rPr>
          <w:rFonts w:hint="eastAsia" w:ascii="楷体" w:hAnsi="楷体" w:eastAsia="楷体" w:cs="Calibri"/>
          <w:sz w:val="21"/>
          <w:szCs w:val="21"/>
          <w:highlight w:val="none"/>
          <w:lang w:val="en-US" w:eastAsia="zh-CN"/>
        </w:rPr>
        <w:t>赎回</w:t>
      </w:r>
      <w:r>
        <w:rPr>
          <w:rFonts w:hint="eastAsia" w:ascii="楷体" w:hAnsi="楷体" w:eastAsia="楷体" w:cs="Calibri"/>
          <w:sz w:val="21"/>
          <w:szCs w:val="21"/>
          <w:highlight w:val="none"/>
        </w:rPr>
        <w:t>业务的办理。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收益分配</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w:t>
      </w:r>
      <w:r>
        <w:rPr>
          <w:rFonts w:hint="eastAsia" w:ascii="楷体" w:hAnsi="楷体" w:eastAsia="楷体"/>
          <w:sz w:val="21"/>
          <w:szCs w:val="21"/>
          <w:highlight w:val="none"/>
          <w:lang w:val="en-US" w:eastAsia="zh-CN"/>
        </w:rPr>
        <w:t>计划</w:t>
      </w:r>
      <w:r>
        <w:rPr>
          <w:rFonts w:hint="eastAsia" w:ascii="楷体" w:hAnsi="楷体" w:eastAsia="楷体"/>
          <w:sz w:val="21"/>
          <w:szCs w:val="21"/>
          <w:highlight w:val="none"/>
        </w:rPr>
        <w:t>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将于投资周期终止日后2个工作日内分配至投资者资金账户。</w:t>
      </w:r>
    </w:p>
    <w:p>
      <w:pPr>
        <w:ind w:firstLine="422" w:firstLineChars="200"/>
        <w:rPr>
          <w:rFonts w:hint="eastAsia" w:ascii="楷体" w:hAnsi="楷体" w:eastAsia="楷体"/>
          <w:sz w:val="21"/>
          <w:szCs w:val="21"/>
          <w:highlight w:val="none"/>
          <w:lang w:eastAsia="zh-CN"/>
        </w:rPr>
      </w:pPr>
      <w:r>
        <w:rPr>
          <w:rFonts w:hint="eastAsia" w:ascii="楷体" w:hAnsi="楷体" w:eastAsia="楷体"/>
          <w:b/>
          <w:sz w:val="21"/>
          <w:szCs w:val="21"/>
          <w:highlight w:val="none"/>
          <w:u w:val="single"/>
        </w:rPr>
        <w:t>以下示例均为假设情况，不代表本产品实际投资业绩</w:t>
      </w:r>
      <w:r>
        <w:rPr>
          <w:rFonts w:hint="eastAsia" w:ascii="楷体" w:hAnsi="楷体" w:eastAsia="楷体"/>
          <w:b/>
          <w:sz w:val="21"/>
          <w:szCs w:val="21"/>
          <w:highlight w:val="none"/>
          <w:u w:val="single"/>
          <w:lang w:eastAsia="zh-CN"/>
        </w:rPr>
        <w:t>。</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1.情景一</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假定投资者在该投资周期持有该产品的份额为10,000.00份，该投资周期扣除固定费用（包括托管费、销售服务费、投资管理费）、运作产品所必须缴纳的税费、提取业绩报酬（如有）后，产品单位净值为1.0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20。理财产品单位净值大于面值，管理人可进行现金分红，每份额可获得的现金分红为0.0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该投资周期投资者可得分红=10,000.00×0.0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20.00（元）</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2.情景二</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假定投资者在该投资周期持有该产品的份额为10,000.00份，该投资周期扣除固定费用（包括托管费、销售服务费、投资管理费）、运作产品所必须缴纳的税费、提取业绩报酬（如有）后，产品单位净值为0.9975。理财产品单位净值小于面值，该投资周期无现金分红。</w:t>
      </w:r>
    </w:p>
    <w:p>
      <w:pPr>
        <w:ind w:firstLine="422" w:firstLineChars="200"/>
        <w:rPr>
          <w:rFonts w:hint="eastAsia"/>
          <w:sz w:val="21"/>
          <w:szCs w:val="21"/>
          <w:highlight w:val="none"/>
        </w:rPr>
      </w:pPr>
      <w:r>
        <w:rPr>
          <w:rFonts w:hint="eastAsia" w:ascii="楷体" w:hAnsi="楷体" w:eastAsia="楷体"/>
          <w:b/>
          <w:sz w:val="21"/>
          <w:szCs w:val="21"/>
          <w:highlight w:val="none"/>
          <w:u w:val="single"/>
        </w:rPr>
        <w:t>上述情况假设仅用于向投资者示例现金分红计算方法之用，并不代表管理人对实际分红情况的预期判断，也不代表以上所有情形或某一情形一定会发生，或管理人认为发生的可能性很大。投资者获得的最终</w:t>
      </w:r>
      <w:r>
        <w:rPr>
          <w:rFonts w:hint="eastAsia" w:ascii="楷体" w:hAnsi="楷体" w:eastAsia="楷体"/>
          <w:b/>
          <w:sz w:val="21"/>
          <w:szCs w:val="21"/>
          <w:highlight w:val="none"/>
          <w:u w:val="single"/>
          <w:lang w:val="en-US" w:eastAsia="zh-CN"/>
        </w:rPr>
        <w:t>收益</w:t>
      </w:r>
      <w:r>
        <w:rPr>
          <w:rFonts w:hint="eastAsia" w:ascii="楷体" w:hAnsi="楷体" w:eastAsia="楷体"/>
          <w:b/>
          <w:sz w:val="21"/>
          <w:szCs w:val="21"/>
          <w:highlight w:val="none"/>
          <w:u w:val="single"/>
        </w:rPr>
        <w:t>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产品终止</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highlight w:val="none"/>
        </w:rPr>
      </w:pPr>
      <w:r>
        <w:rPr>
          <w:rFonts w:hint="eastAsia" w:ascii="楷体" w:hAnsi="楷体" w:eastAsia="楷体" w:cs="楷体"/>
          <w:b w:val="0"/>
          <w:bCs w:val="0"/>
          <w:color w:val="auto"/>
          <w:sz w:val="21"/>
          <w:szCs w:val="21"/>
          <w:highlight w:val="none"/>
        </w:rPr>
        <w:t>提前终止</w:t>
      </w:r>
    </w:p>
    <w:p>
      <w:pPr>
        <w:numPr>
          <w:ilvl w:val="0"/>
          <w:numId w:val="0"/>
        </w:numPr>
        <w:ind w:left="0" w:firstLine="420" w:firstLineChars="200"/>
        <w:rPr>
          <w:rFonts w:hint="eastAsia" w:ascii="楷体" w:hAnsi="楷体" w:eastAsia="楷体"/>
          <w:b w:val="0"/>
          <w:bCs w:val="0"/>
          <w:color w:val="auto"/>
          <w:sz w:val="21"/>
          <w:szCs w:val="21"/>
          <w:highlight w:val="none"/>
        </w:rPr>
      </w:pPr>
      <w:r>
        <w:rPr>
          <w:rFonts w:hint="eastAsia" w:ascii="楷体" w:hAnsi="楷体" w:eastAsia="楷体" w:cs="Calibri"/>
          <w:b w:val="0"/>
          <w:bCs w:val="0"/>
          <w:color w:val="auto"/>
          <w:sz w:val="21"/>
          <w:szCs w:val="21"/>
          <w:highlight w:val="none"/>
        </w:rPr>
        <w:t>在理财产品投资运作期间内，投资者无权要求提前终止该理财产品。在理财产品投资运作期间内，</w:t>
      </w:r>
      <w:r>
        <w:rPr>
          <w:rFonts w:hint="eastAsia" w:ascii="楷体" w:hAnsi="楷体" w:eastAsia="楷体" w:cs="Calibri"/>
          <w:b w:val="0"/>
          <w:bCs w:val="0"/>
          <w:color w:val="auto"/>
          <w:sz w:val="21"/>
          <w:szCs w:val="21"/>
          <w:highlight w:val="none"/>
          <w:lang w:val="en-US" w:eastAsia="zh-CN"/>
        </w:rPr>
        <w:t>包括但不限于</w:t>
      </w:r>
      <w:r>
        <w:rPr>
          <w:rFonts w:hint="eastAsia" w:ascii="楷体" w:hAnsi="楷体" w:eastAsia="楷体" w:cs="Calibri"/>
          <w:b w:val="0"/>
          <w:bCs w:val="0"/>
          <w:color w:val="auto"/>
          <w:sz w:val="21"/>
          <w:szCs w:val="21"/>
          <w:highlight w:val="none"/>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highlight w:val="none"/>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明确产品终止日</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正常终止</w:t>
      </w:r>
    </w:p>
    <w:p>
      <w:pPr>
        <w:ind w:firstLine="420" w:firstLineChars="200"/>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投资者持有本理财产品至产品到期日，投资者的投资本金和收益（如有）将在产品到期后一次性支付。</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延期</w:t>
      </w:r>
      <w:r>
        <w:rPr>
          <w:rFonts w:hint="eastAsia" w:ascii="楷体" w:hAnsi="楷体" w:eastAsia="楷体" w:cs="Calibri"/>
          <w:b w:val="0"/>
          <w:bCs w:val="0"/>
          <w:color w:val="auto"/>
          <w:sz w:val="21"/>
          <w:szCs w:val="21"/>
          <w:highlight w:val="none"/>
          <w:lang w:val="en-US" w:eastAsia="zh-CN"/>
        </w:rPr>
        <w:t>终止</w:t>
      </w:r>
    </w:p>
    <w:p>
      <w:pPr>
        <w:ind w:firstLine="420" w:firstLineChars="200"/>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r>
        <w:rPr>
          <w:rFonts w:hint="eastAsia" w:ascii="楷体" w:hAnsi="楷体" w:eastAsia="楷体" w:cs="Calibri"/>
          <w:color w:val="auto"/>
          <w:sz w:val="21"/>
          <w:szCs w:val="21"/>
          <w:highlight w:val="none"/>
        </w:rPr>
        <w:t>。</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投资者可得资金计算</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投资者可得资金=投资者持有份额×产品到期</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终止）</w:t>
      </w:r>
      <w:r>
        <w:rPr>
          <w:rFonts w:hint="eastAsia" w:ascii="楷体" w:hAnsi="楷体" w:eastAsia="楷体"/>
          <w:b w:val="0"/>
          <w:bCs w:val="0"/>
          <w:color w:val="auto"/>
          <w:sz w:val="21"/>
          <w:szCs w:val="21"/>
          <w:highlight w:val="none"/>
        </w:rPr>
        <w:t>时单位净值</w:t>
      </w:r>
      <w:r>
        <w:rPr>
          <w:rFonts w:hint="eastAsia" w:ascii="楷体" w:hAnsi="楷体" w:eastAsia="楷体"/>
          <w:b w:val="0"/>
          <w:bCs w:val="0"/>
          <w:color w:val="auto"/>
          <w:sz w:val="21"/>
          <w:szCs w:val="21"/>
          <w:highlight w:val="none"/>
          <w:lang w:val="en-US" w:eastAsia="zh-CN"/>
        </w:rPr>
        <w:t>-超额业绩报酬（如有）</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rPr>
        <w:t>投资者可得资金以四舍五入的方法保留到小数点后两位。</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终止</w:t>
      </w:r>
      <w:r>
        <w:rPr>
          <w:rFonts w:hint="eastAsia" w:ascii="楷体" w:hAnsi="楷体" w:eastAsia="楷体" w:cs="Calibri"/>
          <w:b w:val="0"/>
          <w:bCs w:val="0"/>
          <w:color w:val="auto"/>
          <w:sz w:val="21"/>
          <w:szCs w:val="21"/>
          <w:highlight w:val="none"/>
        </w:rPr>
        <w:t>清算</w:t>
      </w:r>
    </w:p>
    <w:p>
      <w:pPr>
        <w:widowControl w:val="0"/>
        <w:numPr>
          <w:ilvl w:val="0"/>
          <w:numId w:val="0"/>
        </w:numPr>
        <w:tabs>
          <w:tab w:val="left" w:pos="1092"/>
        </w:tabs>
        <w:jc w:val="both"/>
        <w:rPr>
          <w:rFonts w:hint="eastAsia" w:ascii="楷体" w:hAnsi="楷体" w:eastAsia="楷体" w:cs="Calibri"/>
          <w:color w:val="auto"/>
          <w:sz w:val="21"/>
          <w:szCs w:val="21"/>
          <w:highlight w:val="none"/>
          <w:lang w:eastAsia="zh-CN"/>
        </w:rPr>
      </w:pPr>
      <w:r>
        <w:rPr>
          <w:rFonts w:hint="eastAsia" w:ascii="楷体" w:hAnsi="楷体" w:eastAsia="楷体" w:cs="Calibri"/>
          <w:color w:val="auto"/>
          <w:sz w:val="21"/>
          <w:szCs w:val="21"/>
          <w:highlight w:val="none"/>
        </w:rPr>
        <w:t>投资者的投资本金和收益（如有）将于产品到期日</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产品终止日）</w:t>
      </w:r>
      <w:r>
        <w:rPr>
          <w:rFonts w:hint="eastAsia" w:ascii="楷体" w:hAnsi="楷体" w:eastAsia="楷体" w:cs="Calibri"/>
          <w:color w:val="auto"/>
          <w:sz w:val="21"/>
          <w:szCs w:val="21"/>
          <w:highlight w:val="none"/>
        </w:rPr>
        <w:t>后5个工作日以内划至投资者指定账户，如遇</w:t>
      </w:r>
      <w:r>
        <w:rPr>
          <w:rFonts w:hint="eastAsia" w:ascii="楷体" w:hAnsi="楷体" w:eastAsia="楷体" w:cs="Calibri"/>
          <w:color w:val="auto"/>
          <w:sz w:val="21"/>
          <w:szCs w:val="21"/>
          <w:highlight w:val="none"/>
          <w:lang w:val="en-US" w:eastAsia="zh-CN"/>
        </w:rPr>
        <w:t>非工作日</w:t>
      </w:r>
      <w:r>
        <w:rPr>
          <w:rFonts w:hint="eastAsia" w:ascii="楷体" w:hAnsi="楷体" w:eastAsia="楷体" w:cs="Calibri"/>
          <w:color w:val="auto"/>
          <w:sz w:val="21"/>
          <w:szCs w:val="21"/>
          <w:highlight w:val="none"/>
        </w:rPr>
        <w:t>则相应顺延。</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lang w:val="en-US" w:eastAsia="zh-CN"/>
        </w:rPr>
        <w:t>情景示例</w:t>
      </w:r>
    </w:p>
    <w:p>
      <w:pPr>
        <w:ind w:firstLine="422" w:firstLineChars="200"/>
        <w:rPr>
          <w:rFonts w:hint="eastAsia"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以下示例均为假设情况，不代表本产品实际投资业绩。</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1.情景一</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假定投资者</w:t>
      </w:r>
      <w:r>
        <w:rPr>
          <w:rFonts w:hint="eastAsia" w:ascii="楷体" w:hAnsi="楷体" w:eastAsia="楷体"/>
          <w:color w:val="auto"/>
          <w:sz w:val="21"/>
          <w:szCs w:val="21"/>
          <w:highlight w:val="none"/>
          <w:lang w:val="en-US" w:eastAsia="zh-CN"/>
        </w:rPr>
        <w:t>购买</w:t>
      </w:r>
      <w:r>
        <w:rPr>
          <w:rFonts w:hint="eastAsia" w:ascii="楷体" w:hAnsi="楷体" w:eastAsia="楷体"/>
          <w:color w:val="auto"/>
          <w:sz w:val="21"/>
          <w:szCs w:val="21"/>
          <w:highlight w:val="none"/>
        </w:rPr>
        <w:t>本产品，投资金额为10,000.00元，</w:t>
      </w:r>
      <w:r>
        <w:rPr>
          <w:rFonts w:hint="eastAsia" w:ascii="楷体" w:hAnsi="楷体" w:eastAsia="楷体"/>
          <w:color w:val="auto"/>
          <w:sz w:val="21"/>
          <w:szCs w:val="21"/>
          <w:highlight w:val="none"/>
          <w:lang w:val="en-US" w:eastAsia="zh-CN"/>
        </w:rPr>
        <w:t>产品单位净值</w:t>
      </w:r>
      <w:r>
        <w:rPr>
          <w:rFonts w:hint="eastAsia" w:ascii="楷体" w:hAnsi="楷体" w:eastAsia="楷体"/>
          <w:color w:val="auto"/>
          <w:sz w:val="21"/>
          <w:szCs w:val="21"/>
          <w:highlight w:val="none"/>
        </w:rPr>
        <w:t>为1元</w:t>
      </w:r>
      <w:r>
        <w:rPr>
          <w:rFonts w:hint="eastAsia" w:ascii="楷体" w:hAnsi="楷体" w:eastAsia="楷体"/>
          <w:color w:val="auto"/>
          <w:sz w:val="21"/>
          <w:szCs w:val="21"/>
          <w:highlight w:val="none"/>
          <w:lang w:val="en-US" w:eastAsia="zh-CN"/>
        </w:rPr>
        <w:t>/份</w:t>
      </w:r>
      <w:r>
        <w:rPr>
          <w:rFonts w:hint="eastAsia" w:ascii="楷体" w:hAnsi="楷体" w:eastAsia="楷体"/>
          <w:color w:val="auto"/>
          <w:sz w:val="21"/>
          <w:szCs w:val="21"/>
          <w:highlight w:val="none"/>
        </w:rPr>
        <w:t>，折算份额为10,000.00份。</w:t>
      </w:r>
      <w:r>
        <w:rPr>
          <w:rFonts w:hint="eastAsia" w:ascii="楷体" w:hAnsi="楷体" w:eastAsia="楷体"/>
          <w:color w:val="auto"/>
          <w:sz w:val="21"/>
          <w:szCs w:val="21"/>
          <w:highlight w:val="none"/>
          <w:lang w:val="en-US" w:eastAsia="zh-CN"/>
        </w:rPr>
        <w:t>投资者赎回/</w:t>
      </w:r>
      <w:r>
        <w:rPr>
          <w:rFonts w:hint="eastAsia" w:ascii="楷体" w:hAnsi="楷体" w:eastAsia="楷体"/>
          <w:color w:val="auto"/>
          <w:sz w:val="21"/>
          <w:szCs w:val="21"/>
          <w:highlight w:val="none"/>
        </w:rPr>
        <w:t>到期时，产品单位净值为</w:t>
      </w:r>
      <w:r>
        <w:rPr>
          <w:rFonts w:ascii="楷体" w:hAnsi="楷体" w:eastAsia="楷体"/>
          <w:color w:val="auto"/>
          <w:sz w:val="21"/>
          <w:szCs w:val="21"/>
          <w:highlight w:val="none"/>
        </w:rPr>
        <w:t>1.0</w:t>
      </w:r>
      <w:r>
        <w:rPr>
          <w:rFonts w:hint="eastAsia" w:ascii="楷体" w:hAnsi="楷体" w:eastAsia="楷体"/>
          <w:color w:val="auto"/>
          <w:sz w:val="21"/>
          <w:szCs w:val="21"/>
          <w:highlight w:val="none"/>
          <w:lang w:val="en-US" w:eastAsia="zh-CN"/>
        </w:rPr>
        <w:t>25503</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投资者可得资金=10,000.00×</w:t>
      </w:r>
      <w:r>
        <w:rPr>
          <w:rFonts w:ascii="楷体" w:hAnsi="楷体" w:eastAsia="楷体"/>
          <w:color w:val="auto"/>
          <w:sz w:val="21"/>
          <w:szCs w:val="21"/>
          <w:highlight w:val="none"/>
        </w:rPr>
        <w:t>1.0</w:t>
      </w:r>
      <w:r>
        <w:rPr>
          <w:rFonts w:hint="eastAsia" w:ascii="楷体" w:hAnsi="楷体" w:eastAsia="楷体"/>
          <w:color w:val="auto"/>
          <w:sz w:val="21"/>
          <w:szCs w:val="21"/>
          <w:highlight w:val="none"/>
          <w:lang w:val="en-US" w:eastAsia="zh-CN"/>
        </w:rPr>
        <w:t>25503</w:t>
      </w:r>
      <w:r>
        <w:rPr>
          <w:rFonts w:hint="eastAsia" w:ascii="楷体" w:hAnsi="楷体" w:eastAsia="楷体"/>
          <w:color w:val="auto"/>
          <w:sz w:val="21"/>
          <w:szCs w:val="21"/>
          <w:highlight w:val="none"/>
        </w:rPr>
        <w:t>=</w:t>
      </w:r>
      <w:r>
        <w:rPr>
          <w:rFonts w:ascii="楷体" w:hAnsi="楷体" w:eastAsia="楷体"/>
          <w:color w:val="auto"/>
          <w:sz w:val="21"/>
          <w:szCs w:val="21"/>
          <w:highlight w:val="none"/>
        </w:rPr>
        <w:t>10</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投资者投资收益=</w:t>
      </w:r>
      <w:r>
        <w:rPr>
          <w:rFonts w:ascii="楷体" w:hAnsi="楷体" w:eastAsia="楷体"/>
          <w:color w:val="auto"/>
          <w:sz w:val="21"/>
          <w:szCs w:val="21"/>
          <w:highlight w:val="none"/>
        </w:rPr>
        <w:t>10</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-10,000.00=</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2.情景二</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假定投资者</w:t>
      </w:r>
      <w:r>
        <w:rPr>
          <w:rFonts w:hint="eastAsia" w:ascii="楷体" w:hAnsi="楷体" w:eastAsia="楷体"/>
          <w:color w:val="auto"/>
          <w:sz w:val="21"/>
          <w:szCs w:val="21"/>
          <w:highlight w:val="none"/>
          <w:lang w:val="en-US" w:eastAsia="zh-CN"/>
        </w:rPr>
        <w:t>购买</w:t>
      </w:r>
      <w:r>
        <w:rPr>
          <w:rFonts w:hint="eastAsia" w:ascii="楷体" w:hAnsi="楷体" w:eastAsia="楷体"/>
          <w:color w:val="auto"/>
          <w:sz w:val="21"/>
          <w:szCs w:val="21"/>
          <w:highlight w:val="none"/>
        </w:rPr>
        <w:t>本产品，投资金额为10,000.00元，</w:t>
      </w:r>
      <w:r>
        <w:rPr>
          <w:rFonts w:hint="eastAsia" w:ascii="楷体" w:hAnsi="楷体" w:eastAsia="楷体"/>
          <w:color w:val="auto"/>
          <w:sz w:val="21"/>
          <w:szCs w:val="21"/>
          <w:highlight w:val="none"/>
          <w:lang w:val="en-US" w:eastAsia="zh-CN"/>
        </w:rPr>
        <w:t>产品单位净值</w:t>
      </w:r>
      <w:r>
        <w:rPr>
          <w:rFonts w:hint="eastAsia" w:ascii="楷体" w:hAnsi="楷体" w:eastAsia="楷体"/>
          <w:color w:val="auto"/>
          <w:sz w:val="21"/>
          <w:szCs w:val="21"/>
          <w:highlight w:val="none"/>
        </w:rPr>
        <w:t>为1元</w:t>
      </w:r>
      <w:r>
        <w:rPr>
          <w:rFonts w:hint="eastAsia" w:ascii="楷体" w:hAnsi="楷体" w:eastAsia="楷体"/>
          <w:color w:val="auto"/>
          <w:sz w:val="21"/>
          <w:szCs w:val="21"/>
          <w:highlight w:val="none"/>
          <w:lang w:val="en-US" w:eastAsia="zh-CN"/>
        </w:rPr>
        <w:t>/份</w:t>
      </w:r>
      <w:r>
        <w:rPr>
          <w:rFonts w:hint="eastAsia" w:ascii="楷体" w:hAnsi="楷体" w:eastAsia="楷体"/>
          <w:color w:val="auto"/>
          <w:sz w:val="21"/>
          <w:szCs w:val="21"/>
          <w:highlight w:val="none"/>
        </w:rPr>
        <w:t>，折算份额为10,000.00份。</w:t>
      </w:r>
      <w:r>
        <w:rPr>
          <w:rFonts w:hint="eastAsia" w:ascii="楷体" w:hAnsi="楷体" w:eastAsia="楷体"/>
          <w:color w:val="auto"/>
          <w:sz w:val="21"/>
          <w:szCs w:val="21"/>
          <w:highlight w:val="none"/>
          <w:lang w:val="en-US" w:eastAsia="zh-CN"/>
        </w:rPr>
        <w:t>投资者赎回/</w:t>
      </w:r>
      <w:r>
        <w:rPr>
          <w:rFonts w:hint="eastAsia" w:ascii="楷体" w:hAnsi="楷体" w:eastAsia="楷体"/>
          <w:color w:val="auto"/>
          <w:sz w:val="21"/>
          <w:szCs w:val="21"/>
          <w:highlight w:val="none"/>
        </w:rPr>
        <w:t>到期时，产品单位净值为</w:t>
      </w:r>
      <w:r>
        <w:rPr>
          <w:rFonts w:ascii="楷体" w:hAnsi="楷体" w:eastAsia="楷体"/>
          <w:color w:val="auto"/>
          <w:sz w:val="21"/>
          <w:szCs w:val="21"/>
          <w:highlight w:val="none"/>
        </w:rPr>
        <w:t>0.9975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投资者可得资金=10,000.00×0.9975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投资者投资收益=9,975.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-10,000.00=-</w:t>
      </w:r>
      <w:r>
        <w:rPr>
          <w:rFonts w:ascii="楷体" w:hAnsi="楷体" w:eastAsia="楷体"/>
          <w:color w:val="auto"/>
          <w:sz w:val="21"/>
          <w:szCs w:val="21"/>
          <w:highlight w:val="none"/>
        </w:rPr>
        <w:t>2</w:t>
      </w:r>
      <w:r>
        <w:rPr>
          <w:rFonts w:hint="eastAsia" w:ascii="楷体" w:hAnsi="楷体" w:eastAsia="楷体"/>
          <w:color w:val="auto"/>
          <w:sz w:val="21"/>
          <w:szCs w:val="21"/>
          <w:highlight w:val="none"/>
          <w:lang w:val="en-US" w:eastAsia="zh-CN"/>
        </w:rPr>
        <w:t>4</w:t>
      </w:r>
      <w:r>
        <w:rPr>
          <w:rFonts w:hint="eastAsia" w:ascii="楷体" w:hAnsi="楷体" w:eastAsia="楷体"/>
          <w:color w:val="auto"/>
          <w:sz w:val="21"/>
          <w:szCs w:val="21"/>
          <w:highlight w:val="none"/>
        </w:rPr>
        <w:t>.</w:t>
      </w:r>
      <w:r>
        <w:rPr>
          <w:rFonts w:ascii="楷体" w:hAnsi="楷体" w:eastAsia="楷体"/>
          <w:color w:val="auto"/>
          <w:sz w:val="21"/>
          <w:szCs w:val="21"/>
          <w:highlight w:val="none"/>
        </w:rPr>
        <w:t>0</w:t>
      </w:r>
      <w:r>
        <w:rPr>
          <w:rFonts w:hint="eastAsia" w:ascii="楷体" w:hAnsi="楷体" w:eastAsia="楷体"/>
          <w:color w:val="auto"/>
          <w:sz w:val="21"/>
          <w:szCs w:val="21"/>
          <w:highlight w:val="none"/>
          <w:lang w:val="en-US" w:eastAsia="zh-CN"/>
        </w:rPr>
        <w:t>6</w:t>
      </w:r>
      <w:r>
        <w:rPr>
          <w:rFonts w:hint="eastAsia" w:ascii="楷体" w:hAnsi="楷体" w:eastAsia="楷体"/>
          <w:color w:val="auto"/>
          <w:sz w:val="21"/>
          <w:szCs w:val="21"/>
          <w:highlight w:val="none"/>
        </w:rPr>
        <w:t>（元）</w:t>
      </w:r>
    </w:p>
    <w:p>
      <w:pPr>
        <w:ind w:firstLine="422" w:firstLineChars="200"/>
        <w:rPr>
          <w:rFonts w:hint="eastAsia"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最不利的情形下，投资者可能损失100%本金。</w:t>
      </w:r>
    </w:p>
    <w:p>
      <w:pPr>
        <w:ind w:left="0" w:leftChars="0" w:firstLine="422" w:firstLineChars="200"/>
        <w:rPr>
          <w:highlight w:val="none"/>
        </w:rPr>
      </w:pPr>
      <w:r>
        <w:rPr>
          <w:rFonts w:hint="eastAsia" w:ascii="楷体" w:hAnsi="楷体" w:eastAsia="楷体"/>
          <w:b/>
          <w:color w:val="auto"/>
          <w:sz w:val="21"/>
          <w:szCs w:val="21"/>
          <w:highlight w:val="none"/>
          <w:u w:val="single"/>
        </w:rPr>
        <w:t>上述情况假设仅用于向投资者示例收益计算方法之用，并不代表管理人对实际投资情况的预期判断，</w:t>
      </w:r>
      <w:r>
        <w:rPr>
          <w:rFonts w:hint="eastAsia" w:ascii="楷体" w:hAnsi="楷体" w:eastAsia="楷体"/>
          <w:b/>
          <w:color w:val="auto"/>
          <w:sz w:val="21"/>
          <w:szCs w:val="21"/>
          <w:highlight w:val="none"/>
          <w:u w:val="single"/>
          <w:lang w:val="en-US" w:eastAsia="zh-CN"/>
        </w:rPr>
        <w:t>也不代表</w:t>
      </w:r>
      <w:r>
        <w:rPr>
          <w:rFonts w:hint="eastAsia" w:ascii="楷体" w:hAnsi="楷体" w:eastAsia="楷体"/>
          <w:b/>
          <w:color w:val="auto"/>
          <w:sz w:val="21"/>
          <w:szCs w:val="21"/>
          <w:highlight w:val="none"/>
          <w:u w:val="single"/>
        </w:rPr>
        <w:t>以上所有情形或某一情形一定会发生，或管理人认为发生的可能性很大。投资者获得的最终收益以产品实际运作表现及管理人实际支付为准。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cs="Calibri"/>
          <w:b w:val="0"/>
          <w:bCs/>
          <w:sz w:val="21"/>
          <w:szCs w:val="21"/>
          <w:highlight w:val="none"/>
        </w:rPr>
      </w:pPr>
      <w:r>
        <w:rPr>
          <w:rFonts w:hint="eastAsia" w:ascii="楷体" w:hAnsi="楷体" w:eastAsia="楷体"/>
          <w:b/>
          <w:sz w:val="21"/>
          <w:szCs w:val="21"/>
          <w:highlight w:val="none"/>
        </w:rPr>
        <w:t>产品费用</w:t>
      </w:r>
    </w:p>
    <w:p>
      <w:pPr>
        <w:ind w:firstLine="420" w:firstLineChars="200"/>
        <w:rPr>
          <w:rFonts w:hint="default" w:ascii="楷体" w:hAnsi="楷体" w:eastAsia="楷体" w:cs="Calibri"/>
          <w:b w:val="0"/>
          <w:bCs/>
          <w:sz w:val="21"/>
          <w:szCs w:val="21"/>
          <w:highlight w:val="none"/>
          <w:lang w:val="en-US" w:eastAsia="zh-CN"/>
        </w:rPr>
      </w:pPr>
      <w:r>
        <w:rPr>
          <w:rFonts w:hint="eastAsia" w:ascii="楷体" w:hAnsi="楷体" w:eastAsia="楷体"/>
          <w:b w:val="0"/>
          <w:bCs/>
          <w:sz w:val="21"/>
          <w:szCs w:val="21"/>
          <w:highlight w:val="none"/>
        </w:rPr>
        <w:t>本产品费用包括托管费、销售服务费、投资管理费、超额业绩报酬（如有）以及产品运作和清算中产生的其他费用等。</w:t>
      </w:r>
      <w:r>
        <w:rPr>
          <w:rFonts w:hint="eastAsia" w:ascii="楷体" w:hAnsi="楷体" w:eastAsia="楷体" w:cs="Calibri"/>
          <w:b w:val="0"/>
          <w:bCs/>
          <w:sz w:val="21"/>
          <w:szCs w:val="21"/>
          <w:highlight w:val="none"/>
        </w:rPr>
        <w:t>计提方法</w:t>
      </w:r>
      <w:r>
        <w:rPr>
          <w:rFonts w:hint="eastAsia" w:ascii="楷体" w:hAnsi="楷体" w:eastAsia="楷体" w:cs="Calibri"/>
          <w:b w:val="0"/>
          <w:bCs/>
          <w:sz w:val="21"/>
          <w:szCs w:val="21"/>
          <w:highlight w:val="none"/>
          <w:lang w:val="en-US" w:eastAsia="zh-CN"/>
        </w:rPr>
        <w:t>如下：</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cs="Calibri"/>
          <w:color w:val="auto"/>
          <w:sz w:val="21"/>
          <w:szCs w:val="21"/>
          <w:highlight w:val="none"/>
          <w:lang w:eastAsia="zh-CN"/>
        </w:rPr>
        <w:t>，</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投资管理费：每日计提，每日应计提的投资管理费＝前一日的产品资产净值×投资管理费率÷365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如有）</w:t>
      </w:r>
      <w:r>
        <w:rPr>
          <w:rFonts w:hint="eastAsia" w:ascii="楷体" w:hAnsi="楷体" w:eastAsia="楷体" w:cs="Calibri"/>
          <w:color w:val="auto"/>
          <w:sz w:val="21"/>
          <w:szCs w:val="21"/>
          <w:highlight w:val="none"/>
        </w:rPr>
        <w:t>：管理人按投资周期收取超额业绩报酬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超额业绩报酬计算详见“产品要素”。</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本产品不收取认购费用、申购费用、赎回费用。</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费用计算</w:t>
      </w:r>
      <w:r>
        <w:rPr>
          <w:rFonts w:hint="eastAsia" w:ascii="楷体" w:hAnsi="楷体" w:eastAsia="楷体" w:cs="Calibri"/>
          <w:color w:val="auto"/>
          <w:sz w:val="21"/>
          <w:szCs w:val="21"/>
          <w:highlight w:val="none"/>
        </w:rPr>
        <w:t>四舍五入保留至小数点后两位</w:t>
      </w:r>
      <w:r>
        <w:rPr>
          <w:rFonts w:hint="eastAsia" w:ascii="楷体" w:hAnsi="楷体" w:eastAsia="楷体" w:cs="Calibri"/>
          <w:color w:val="auto"/>
          <w:sz w:val="21"/>
          <w:szCs w:val="21"/>
          <w:highlight w:val="none"/>
          <w:lang w:eastAsia="zh-CN"/>
        </w:rPr>
        <w:t>。</w:t>
      </w:r>
    </w:p>
    <w:p>
      <w:pPr>
        <w:ind w:firstLine="420" w:firstLineChars="200"/>
        <w:rPr>
          <w:rFonts w:hint="default" w:eastAsia="楷体"/>
          <w:sz w:val="21"/>
          <w:szCs w:val="21"/>
          <w:highlight w:val="none"/>
          <w:lang w:val="en-US" w:eastAsia="zh-CN"/>
        </w:rPr>
      </w:pPr>
      <w:r>
        <w:rPr>
          <w:rFonts w:hint="eastAsia" w:ascii="楷体" w:hAnsi="楷体" w:eastAsia="楷体"/>
          <w:sz w:val="21"/>
          <w:szCs w:val="21"/>
          <w:highlight w:val="none"/>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highlight w:val="none"/>
        </w:rPr>
      </w:pPr>
      <w:r>
        <w:rPr>
          <w:rFonts w:hint="eastAsia" w:ascii="楷体" w:hAnsi="楷体" w:eastAsia="楷体"/>
          <w:b/>
          <w:sz w:val="21"/>
          <w:szCs w:val="21"/>
          <w:highlight w:val="none"/>
        </w:rPr>
        <w:t>产品估值</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估值对象</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highlight w:val="none"/>
        </w:rPr>
      </w:pPr>
      <w:r>
        <w:rPr>
          <w:rFonts w:hint="eastAsia" w:ascii="楷体" w:hAnsi="楷体" w:eastAsia="楷体"/>
          <w:sz w:val="21"/>
          <w:szCs w:val="21"/>
          <w:highlight w:val="none"/>
        </w:rPr>
        <w:t>本产品所拥有的各类证券、银行存款、应收款项及其它资产及负债。</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估值要求</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b w:val="0"/>
          <w:bCs w:val="0"/>
          <w:color w:val="auto"/>
          <w:sz w:val="21"/>
          <w:szCs w:val="21"/>
          <w:highlight w:val="none"/>
        </w:rPr>
        <w:t>本产品资产估值的目的是客观、准确</w:t>
      </w:r>
      <w:r>
        <w:rPr>
          <w:rFonts w:hint="eastAsia" w:ascii="楷体" w:hAnsi="楷体" w:eastAsia="楷体" w:cs="Calibri"/>
          <w:b w:val="0"/>
          <w:bCs w:val="0"/>
          <w:color w:val="auto"/>
          <w:sz w:val="21"/>
          <w:szCs w:val="21"/>
          <w:highlight w:val="none"/>
          <w:lang w:val="en-US" w:eastAsia="zh-CN"/>
        </w:rPr>
        <w:t>地</w:t>
      </w:r>
      <w:r>
        <w:rPr>
          <w:rFonts w:hint="eastAsia" w:ascii="楷体" w:hAnsi="楷体" w:eastAsia="楷体" w:cs="Calibri"/>
          <w:b w:val="0"/>
          <w:bCs w:val="0"/>
          <w:color w:val="auto"/>
          <w:sz w:val="21"/>
          <w:szCs w:val="21"/>
          <w:highlight w:val="none"/>
        </w:rPr>
        <w:t>反映资产净值，确定理财产品资产净值，并为理财产品的兑付提供计价依据</w:t>
      </w:r>
      <w:r>
        <w:rPr>
          <w:rFonts w:hint="eastAsia" w:ascii="楷体" w:hAnsi="楷体" w:eastAsia="楷体" w:cs="Calibri"/>
          <w:sz w:val="21"/>
          <w:szCs w:val="21"/>
          <w:highlight w:val="none"/>
        </w:rPr>
        <w:t>。</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本产品单位净值精确到小数点后</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位，小数点</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位后截位。</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估值方法</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存款类资产、货币市场工具：以本金列示，逐日计提利息。</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货币市场基金：以估值截止时间点能够取得的最新每万份收益进行估值。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债券类资产：按公允价值进行估值，采用市价、第三方估值机构提供的估值价格、合理的估值技术或监管机构认可的其他估值方法进行估值。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债权类资产：按公允价值进行估值，采用合理的估值技术或监管机构认可的估值方法进行估值。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证券、基金、保险等资产管理计划和信托计划等资产（不含货币市场基金）：按照证券、基金、保险等资产管理计划和信托计划的管理人和托管人共同确认的最新净值或投资收益进行估值。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商品及衍生品类资产：按公允价值进行估值，采用市价、第三方估值机构提供的估值价格、合理的估值技术或监管机构认可的其他估值方法进行估值。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其他资产：按公允价值进行估值，采用合理的估值技术或监管机构认可的估值方法进行估值。</w:t>
      </w:r>
    </w:p>
    <w:p>
      <w:pPr>
        <w:keepNext w:val="0"/>
        <w:keepLines w:val="0"/>
        <w:pageBreakBefore w:val="0"/>
        <w:widowControl w:val="0"/>
        <w:kinsoku/>
        <w:wordWrap/>
        <w:overflowPunct/>
        <w:topLinePunct w:val="0"/>
        <w:autoSpaceDE/>
        <w:autoSpaceDN/>
        <w:bidi w:val="0"/>
        <w:adjustRightInd/>
        <w:snapToGrid/>
        <w:ind w:left="0"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如有新增事项或变更事项，按国家法律法规及监管最新规定执行。</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估值错误的处理</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highlight w:val="none"/>
        </w:rPr>
      </w:pPr>
      <w:r>
        <w:rPr>
          <w:rFonts w:hint="eastAsia" w:ascii="楷体" w:hAnsi="楷体" w:eastAsia="楷体"/>
          <w:sz w:val="21"/>
          <w:szCs w:val="21"/>
          <w:highlight w:val="none"/>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暂停估值</w:t>
      </w:r>
    </w:p>
    <w:p>
      <w:pPr>
        <w:keepNext w:val="0"/>
        <w:keepLines w:val="0"/>
        <w:pageBreakBefore w:val="0"/>
        <w:widowControl w:val="0"/>
        <w:kinsoku/>
        <w:wordWrap/>
        <w:overflowPunct/>
        <w:topLinePunct w:val="0"/>
        <w:bidi w:val="0"/>
        <w:snapToGrid/>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highlight w:val="none"/>
        </w:rPr>
      </w:pPr>
      <w:r>
        <w:rPr>
          <w:rFonts w:hint="eastAsia" w:ascii="楷体" w:hAnsi="楷体" w:eastAsia="楷体"/>
          <w:b/>
          <w:sz w:val="21"/>
          <w:szCs w:val="21"/>
          <w:highlight w:val="none"/>
        </w:rPr>
        <w:t>信息披露</w:t>
      </w:r>
    </w:p>
    <w:p>
      <w:pPr>
        <w:numPr>
          <w:ilvl w:val="0"/>
          <w:numId w:val="1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信息披露</w:t>
      </w:r>
      <w:r>
        <w:rPr>
          <w:rFonts w:hint="eastAsia" w:ascii="楷体" w:hAnsi="楷体" w:eastAsia="楷体" w:cs="Calibri"/>
          <w:color w:val="auto"/>
          <w:sz w:val="21"/>
          <w:szCs w:val="21"/>
          <w:highlight w:val="none"/>
          <w:lang w:val="en-US" w:eastAsia="zh-CN"/>
        </w:rPr>
        <w:t>方式</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highlight w:val="none"/>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信息披露</w:t>
      </w:r>
      <w:r>
        <w:rPr>
          <w:rFonts w:hint="eastAsia" w:ascii="楷体" w:hAnsi="楷体" w:eastAsia="楷体" w:cs="Calibri"/>
          <w:color w:val="auto"/>
          <w:sz w:val="21"/>
          <w:szCs w:val="21"/>
          <w:highlight w:val="none"/>
          <w:lang w:val="en-US" w:eastAsia="zh-CN"/>
        </w:rPr>
        <w:t>内容及时间</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r>
        <w:rPr>
          <w:rFonts w:hint="eastAsia" w:ascii="楷体" w:hAnsi="楷体" w:eastAsia="楷体" w:cs="Calibri"/>
          <w:color w:val="auto"/>
          <w:sz w:val="21"/>
          <w:szCs w:val="21"/>
          <w:highlight w:val="none"/>
        </w:rPr>
        <w:t>。</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发行公告：管理人在产品成立后5个工作日内，披露产品成立公告，内容包括理财产品成立日期和募集规模等信息。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重大事项公告：管理人在发生可能对理财产品投资者或者理财产品收益</w:t>
      </w:r>
      <w:r>
        <w:rPr>
          <w:rFonts w:hint="eastAsia" w:ascii="楷体" w:hAnsi="楷体" w:eastAsia="楷体" w:cs="Calibri"/>
          <w:color w:val="auto"/>
          <w:sz w:val="21"/>
          <w:szCs w:val="21"/>
          <w:highlight w:val="none"/>
          <w:lang w:val="en-US" w:eastAsia="zh-CN"/>
        </w:rPr>
        <w:t>产生重大影响</w:t>
      </w:r>
      <w:r>
        <w:rPr>
          <w:rFonts w:hint="eastAsia" w:ascii="楷体" w:hAnsi="楷体" w:eastAsia="楷体" w:cs="Calibri"/>
          <w:color w:val="auto"/>
          <w:sz w:val="21"/>
          <w:szCs w:val="21"/>
          <w:highlight w:val="none"/>
        </w:rPr>
        <w:t>的事件后2个工作日内发布重大事项公告。</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临时性信息：管理人将及时披露国务院银行业监督管理机构规定的其他信息或除重大事项事件以外的其他信息。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半年度整体报告：每半年披露从事理财业务活动的有关信息。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highlight w:val="none"/>
          <w:lang w:val="en-US" w:eastAsia="zh-CN"/>
        </w:rPr>
        <w:t>单位</w:t>
      </w:r>
      <w:r>
        <w:rPr>
          <w:rFonts w:hint="eastAsia" w:ascii="楷体" w:hAnsi="楷体" w:eastAsia="楷体" w:cs="Calibri"/>
          <w:color w:val="auto"/>
          <w:sz w:val="21"/>
          <w:szCs w:val="21"/>
          <w:highlight w:val="none"/>
        </w:rPr>
        <w:t>净值、份额累计净值、资产净值、收益情况、投资者理财交易账户发生的交易明细记录等信息。</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其他</w:t>
      </w:r>
    </w:p>
    <w:p>
      <w:pPr>
        <w:numPr>
          <w:ilvl w:val="0"/>
          <w:numId w:val="19"/>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追索条款</w:t>
      </w:r>
    </w:p>
    <w:p>
      <w:pPr>
        <w:ind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9"/>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苏银理财及</w:t>
      </w:r>
      <w:r>
        <w:rPr>
          <w:rFonts w:hint="eastAsia" w:ascii="楷体" w:hAnsi="楷体" w:eastAsia="楷体"/>
          <w:color w:val="auto"/>
          <w:sz w:val="21"/>
          <w:szCs w:val="21"/>
          <w:highlight w:val="none"/>
          <w:lang w:val="en-US" w:eastAsia="zh-CN"/>
        </w:rPr>
        <w:t>销售</w:t>
      </w:r>
      <w:r>
        <w:rPr>
          <w:rFonts w:hint="eastAsia" w:ascii="楷体" w:hAnsi="楷体" w:eastAsia="楷体"/>
          <w:color w:val="auto"/>
          <w:sz w:val="21"/>
          <w:szCs w:val="21"/>
          <w:highlight w:val="none"/>
        </w:rPr>
        <w:t>机构将据相关法律、法规严格履行投资者信息保密责任，除监管机构或司法机关等有权机构外，不得对其他第三方提供任何投资者信息。</w:t>
      </w:r>
    </w:p>
    <w:p>
      <w:pPr>
        <w:numPr>
          <w:ilvl w:val="0"/>
          <w:numId w:val="19"/>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争议解决</w:t>
      </w:r>
    </w:p>
    <w:p>
      <w:pPr>
        <w:ind w:firstLine="420" w:firstLineChars="200"/>
        <w:rPr>
          <w:rFonts w:hint="eastAsia"/>
        </w:rPr>
      </w:pPr>
      <w:bookmarkStart w:id="0" w:name="_GoBack"/>
      <w:bookmarkEnd w:id="0"/>
      <w:r>
        <w:rPr>
          <w:rFonts w:hint="eastAsia" w:ascii="楷体" w:hAnsi="楷体" w:eastAsia="楷体"/>
          <w:color w:val="auto"/>
          <w:sz w:val="21"/>
          <w:szCs w:val="21"/>
          <w:highlight w:val="none"/>
          <w:lang w:val="en-US" w:eastAsia="zh-CN"/>
        </w:rPr>
        <w:t>本产品说明书</w:t>
      </w:r>
      <w:r>
        <w:rPr>
          <w:rFonts w:hint="eastAsia" w:ascii="楷体" w:hAnsi="楷体" w:eastAsia="楷体"/>
          <w:color w:val="auto"/>
          <w:sz w:val="21"/>
          <w:szCs w:val="21"/>
          <w:highlight w:val="none"/>
        </w:rPr>
        <w:t>的订立、生效、履行、解释、修改和终止等事项均适用中华人民共和国（</w:t>
      </w:r>
      <w:r>
        <w:rPr>
          <w:rFonts w:hint="eastAsia" w:ascii="楷体" w:hAnsi="楷体" w:eastAsia="楷体"/>
          <w:color w:val="auto"/>
          <w:sz w:val="21"/>
          <w:szCs w:val="21"/>
          <w:highlight w:val="none"/>
          <w:lang w:val="en-US" w:eastAsia="zh-CN"/>
        </w:rPr>
        <w:t>为本合同目的，</w:t>
      </w:r>
      <w:r>
        <w:rPr>
          <w:rFonts w:hint="eastAsia" w:ascii="楷体" w:hAnsi="楷体" w:eastAsia="楷体"/>
          <w:color w:val="auto"/>
          <w:sz w:val="21"/>
          <w:szCs w:val="21"/>
          <w:highlight w:val="none"/>
        </w:rPr>
        <w:t>不包括香港特别行政区、澳门特别行政区和台湾地区）法律。</w:t>
      </w:r>
      <w:r>
        <w:rPr>
          <w:rFonts w:hint="eastAsia" w:ascii="楷体" w:hAnsi="楷体" w:eastAsia="楷体"/>
          <w:color w:val="auto"/>
          <w:sz w:val="21"/>
          <w:szCs w:val="21"/>
          <w:highlight w:val="none"/>
          <w:lang w:val="en-US" w:eastAsia="zh-CN"/>
        </w:rPr>
        <w:t>因本产品说明书</w:t>
      </w:r>
      <w:r>
        <w:rPr>
          <w:rFonts w:hint="eastAsia" w:ascii="楷体" w:hAnsi="楷体" w:eastAsia="楷体"/>
          <w:color w:val="auto"/>
          <w:sz w:val="21"/>
          <w:szCs w:val="21"/>
          <w:highlight w:val="none"/>
        </w:rPr>
        <w:t>引起的或与</w:t>
      </w:r>
      <w:r>
        <w:rPr>
          <w:rFonts w:hint="eastAsia" w:ascii="楷体" w:hAnsi="楷体" w:eastAsia="楷体"/>
          <w:color w:val="auto"/>
          <w:sz w:val="21"/>
          <w:szCs w:val="21"/>
          <w:highlight w:val="none"/>
          <w:lang w:val="en-US" w:eastAsia="zh-CN"/>
        </w:rPr>
        <w:t>本产品说明书</w:t>
      </w:r>
      <w:r>
        <w:rPr>
          <w:rFonts w:hint="eastAsia" w:ascii="楷体" w:hAnsi="楷体" w:eastAsia="楷体"/>
          <w:color w:val="auto"/>
          <w:sz w:val="21"/>
          <w:szCs w:val="21"/>
          <w:highlight w:val="none"/>
        </w:rPr>
        <w:t>有关的任何争议，应当首先通过双方之间的友好协商解决；协商不成的，双方均有权提交产品管理人</w:t>
      </w:r>
      <w:r>
        <w:rPr>
          <w:rFonts w:hint="eastAsia" w:ascii="楷体" w:hAnsi="楷体" w:eastAsia="楷体"/>
          <w:color w:val="auto"/>
          <w:sz w:val="21"/>
          <w:szCs w:val="21"/>
          <w:highlight w:val="none"/>
          <w:lang w:val="en-US" w:eastAsia="zh-CN"/>
        </w:rPr>
        <w:t>住所地</w:t>
      </w:r>
      <w:r>
        <w:rPr>
          <w:rFonts w:hint="eastAsia" w:ascii="楷体" w:hAnsi="楷体" w:eastAsia="楷体"/>
          <w:color w:val="auto"/>
          <w:sz w:val="21"/>
          <w:szCs w:val="21"/>
          <w:highlight w:val="none"/>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4"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1"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A471B109"/>
    <w:multiLevelType w:val="multilevel"/>
    <w:tmpl w:val="A471B10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550252B"/>
    <w:multiLevelType w:val="multilevel"/>
    <w:tmpl w:val="A550252B"/>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E11AD990"/>
    <w:multiLevelType w:val="multilevel"/>
    <w:tmpl w:val="E11AD99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13CDDB3D"/>
    <w:multiLevelType w:val="multilevel"/>
    <w:tmpl w:val="13CDDB3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D5197BC"/>
    <w:multiLevelType w:val="multilevel"/>
    <w:tmpl w:val="2D5197BC"/>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3708999D"/>
    <w:multiLevelType w:val="singleLevel"/>
    <w:tmpl w:val="3708999D"/>
    <w:lvl w:ilvl="0" w:tentative="0">
      <w:start w:val="1"/>
      <w:numFmt w:val="decimalEnclosedCircleChinese"/>
      <w:suff w:val="nothing"/>
      <w:lvlText w:val="%1　"/>
      <w:lvlJc w:val="left"/>
      <w:pPr>
        <w:ind w:left="0" w:firstLine="400"/>
      </w:pPr>
      <w:rPr>
        <w:rFonts w:hint="eastAsia"/>
      </w:rPr>
    </w:lvl>
  </w:abstractNum>
  <w:abstractNum w:abstractNumId="9">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2">
    <w:nsid w:val="542FDF91"/>
    <w:multiLevelType w:val="multilevel"/>
    <w:tmpl w:val="542FDF91"/>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038F410"/>
    <w:multiLevelType w:val="multilevel"/>
    <w:tmpl w:val="7038F41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F17FFC0"/>
    <w:multiLevelType w:val="multilevel"/>
    <w:tmpl w:val="7F17FFC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7"/>
  </w:num>
  <w:num w:numId="3">
    <w:abstractNumId w:val="15"/>
  </w:num>
  <w:num w:numId="4">
    <w:abstractNumId w:val="16"/>
  </w:num>
  <w:num w:numId="5">
    <w:abstractNumId w:val="18"/>
  </w:num>
  <w:num w:numId="6">
    <w:abstractNumId w:val="17"/>
  </w:num>
  <w:num w:numId="7">
    <w:abstractNumId w:val="11"/>
  </w:num>
  <w:num w:numId="8">
    <w:abstractNumId w:val="10"/>
  </w:num>
  <w:num w:numId="9">
    <w:abstractNumId w:val="6"/>
  </w:num>
  <w:num w:numId="10">
    <w:abstractNumId w:val="2"/>
  </w:num>
  <w:num w:numId="11">
    <w:abstractNumId w:val="4"/>
  </w:num>
  <w:num w:numId="12">
    <w:abstractNumId w:val="0"/>
  </w:num>
  <w:num w:numId="13">
    <w:abstractNumId w:val="14"/>
  </w:num>
  <w:num w:numId="14">
    <w:abstractNumId w:val="12"/>
  </w:num>
  <w:num w:numId="15">
    <w:abstractNumId w:val="5"/>
  </w:num>
  <w:num w:numId="16">
    <w:abstractNumId w:val="13"/>
  </w:num>
  <w:num w:numId="17">
    <w:abstractNumId w:val="1"/>
  </w:num>
  <w:num w:numId="18">
    <w:abstractNumId w:val="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61CBB"/>
    <w:rsid w:val="00276FCD"/>
    <w:rsid w:val="002A7F52"/>
    <w:rsid w:val="005610EB"/>
    <w:rsid w:val="00B73039"/>
    <w:rsid w:val="00F02299"/>
    <w:rsid w:val="00FD53CA"/>
    <w:rsid w:val="01081DDE"/>
    <w:rsid w:val="01916153"/>
    <w:rsid w:val="01C11F94"/>
    <w:rsid w:val="01DA571A"/>
    <w:rsid w:val="01F11ABC"/>
    <w:rsid w:val="02342294"/>
    <w:rsid w:val="02394C4E"/>
    <w:rsid w:val="023B31B5"/>
    <w:rsid w:val="02706D07"/>
    <w:rsid w:val="027B1BEB"/>
    <w:rsid w:val="02B04479"/>
    <w:rsid w:val="02BB217A"/>
    <w:rsid w:val="02E47F25"/>
    <w:rsid w:val="02EE64DC"/>
    <w:rsid w:val="030516AD"/>
    <w:rsid w:val="03B26B31"/>
    <w:rsid w:val="03E91BF7"/>
    <w:rsid w:val="03FC3F39"/>
    <w:rsid w:val="04351FFD"/>
    <w:rsid w:val="049E6222"/>
    <w:rsid w:val="04A92EE3"/>
    <w:rsid w:val="05120775"/>
    <w:rsid w:val="0522647B"/>
    <w:rsid w:val="052D480C"/>
    <w:rsid w:val="0537036B"/>
    <w:rsid w:val="05397409"/>
    <w:rsid w:val="05A60B08"/>
    <w:rsid w:val="05AB50DB"/>
    <w:rsid w:val="05C22B02"/>
    <w:rsid w:val="05DF682E"/>
    <w:rsid w:val="06411C20"/>
    <w:rsid w:val="06917613"/>
    <w:rsid w:val="06A93A70"/>
    <w:rsid w:val="06FF25F4"/>
    <w:rsid w:val="07363BBD"/>
    <w:rsid w:val="07770ECE"/>
    <w:rsid w:val="07963995"/>
    <w:rsid w:val="07DC6E8D"/>
    <w:rsid w:val="07DE1B77"/>
    <w:rsid w:val="07E626A5"/>
    <w:rsid w:val="083C4181"/>
    <w:rsid w:val="08494B4C"/>
    <w:rsid w:val="08545039"/>
    <w:rsid w:val="087E378B"/>
    <w:rsid w:val="08C87576"/>
    <w:rsid w:val="099730C7"/>
    <w:rsid w:val="09BB6FD3"/>
    <w:rsid w:val="09E64105"/>
    <w:rsid w:val="0AA20035"/>
    <w:rsid w:val="0B3550F2"/>
    <w:rsid w:val="0B426C20"/>
    <w:rsid w:val="0B471607"/>
    <w:rsid w:val="0B493D92"/>
    <w:rsid w:val="0B521344"/>
    <w:rsid w:val="0B7873E7"/>
    <w:rsid w:val="0BE46D3E"/>
    <w:rsid w:val="0C2A04AF"/>
    <w:rsid w:val="0C383A1B"/>
    <w:rsid w:val="0C3C461F"/>
    <w:rsid w:val="0C8B2263"/>
    <w:rsid w:val="0C8C56A3"/>
    <w:rsid w:val="0CB3468E"/>
    <w:rsid w:val="0D460355"/>
    <w:rsid w:val="0D5044E7"/>
    <w:rsid w:val="0D5B3087"/>
    <w:rsid w:val="0DCA2B2C"/>
    <w:rsid w:val="0DDD75CE"/>
    <w:rsid w:val="0DE6245C"/>
    <w:rsid w:val="0E324ADA"/>
    <w:rsid w:val="0E8C12CF"/>
    <w:rsid w:val="0E995783"/>
    <w:rsid w:val="0EA24D8E"/>
    <w:rsid w:val="0EFD7A26"/>
    <w:rsid w:val="0F1B4A58"/>
    <w:rsid w:val="0F1B4AB3"/>
    <w:rsid w:val="0F2D7FC5"/>
    <w:rsid w:val="0FA551A3"/>
    <w:rsid w:val="0FD22F01"/>
    <w:rsid w:val="100459CF"/>
    <w:rsid w:val="106A7BFD"/>
    <w:rsid w:val="109A102D"/>
    <w:rsid w:val="10B72620"/>
    <w:rsid w:val="10D208A6"/>
    <w:rsid w:val="11022343"/>
    <w:rsid w:val="111D76A0"/>
    <w:rsid w:val="1137604C"/>
    <w:rsid w:val="1167461D"/>
    <w:rsid w:val="11C449B6"/>
    <w:rsid w:val="12136ABA"/>
    <w:rsid w:val="121A7943"/>
    <w:rsid w:val="121F3DCB"/>
    <w:rsid w:val="12627D38"/>
    <w:rsid w:val="126807AF"/>
    <w:rsid w:val="126877DE"/>
    <w:rsid w:val="12705D8B"/>
    <w:rsid w:val="12E2190B"/>
    <w:rsid w:val="130762C7"/>
    <w:rsid w:val="130A1945"/>
    <w:rsid w:val="132C05F4"/>
    <w:rsid w:val="133603BC"/>
    <w:rsid w:val="13512072"/>
    <w:rsid w:val="13566046"/>
    <w:rsid w:val="1363315E"/>
    <w:rsid w:val="13813EDF"/>
    <w:rsid w:val="13BA3C51"/>
    <w:rsid w:val="142E3B87"/>
    <w:rsid w:val="14497ECB"/>
    <w:rsid w:val="14AE7D5C"/>
    <w:rsid w:val="14E76B1D"/>
    <w:rsid w:val="14EA3140"/>
    <w:rsid w:val="14ED722A"/>
    <w:rsid w:val="151627A4"/>
    <w:rsid w:val="15250560"/>
    <w:rsid w:val="15452BE9"/>
    <w:rsid w:val="15661276"/>
    <w:rsid w:val="15961DF8"/>
    <w:rsid w:val="15C23F41"/>
    <w:rsid w:val="15D95D65"/>
    <w:rsid w:val="16321C77"/>
    <w:rsid w:val="16452649"/>
    <w:rsid w:val="165A010B"/>
    <w:rsid w:val="16DB02E7"/>
    <w:rsid w:val="16E82A20"/>
    <w:rsid w:val="17E11F5A"/>
    <w:rsid w:val="17F83B61"/>
    <w:rsid w:val="18563155"/>
    <w:rsid w:val="18766114"/>
    <w:rsid w:val="18790C37"/>
    <w:rsid w:val="18903A4D"/>
    <w:rsid w:val="18925467"/>
    <w:rsid w:val="18D417E2"/>
    <w:rsid w:val="191E3445"/>
    <w:rsid w:val="19525097"/>
    <w:rsid w:val="19765916"/>
    <w:rsid w:val="19B25954"/>
    <w:rsid w:val="19D011E9"/>
    <w:rsid w:val="19DA1846"/>
    <w:rsid w:val="19DF46F8"/>
    <w:rsid w:val="19E8300C"/>
    <w:rsid w:val="1A1254D5"/>
    <w:rsid w:val="1A2331F2"/>
    <w:rsid w:val="1A74679E"/>
    <w:rsid w:val="1AA527A3"/>
    <w:rsid w:val="1AB40CBF"/>
    <w:rsid w:val="1BB6506B"/>
    <w:rsid w:val="1BC003D1"/>
    <w:rsid w:val="1BC94B68"/>
    <w:rsid w:val="1BF53974"/>
    <w:rsid w:val="1C1B3B29"/>
    <w:rsid w:val="1C4231EC"/>
    <w:rsid w:val="1C512181"/>
    <w:rsid w:val="1CB5609A"/>
    <w:rsid w:val="1D17073A"/>
    <w:rsid w:val="1D505225"/>
    <w:rsid w:val="1DA43FDF"/>
    <w:rsid w:val="1E0972D4"/>
    <w:rsid w:val="1E1E7279"/>
    <w:rsid w:val="1E315B06"/>
    <w:rsid w:val="1E3C6829"/>
    <w:rsid w:val="1E5B385B"/>
    <w:rsid w:val="1E747638"/>
    <w:rsid w:val="1F111238"/>
    <w:rsid w:val="1F603109"/>
    <w:rsid w:val="1F9E2BED"/>
    <w:rsid w:val="1FBB7F9F"/>
    <w:rsid w:val="1FC73DB2"/>
    <w:rsid w:val="1FC85FB0"/>
    <w:rsid w:val="1FCD5CBB"/>
    <w:rsid w:val="200E39C9"/>
    <w:rsid w:val="20220C48"/>
    <w:rsid w:val="203F2777"/>
    <w:rsid w:val="205E2E63"/>
    <w:rsid w:val="20862AD5"/>
    <w:rsid w:val="208D0A85"/>
    <w:rsid w:val="20A5280C"/>
    <w:rsid w:val="20D359FB"/>
    <w:rsid w:val="20E556F1"/>
    <w:rsid w:val="21361C5E"/>
    <w:rsid w:val="2185500C"/>
    <w:rsid w:val="21893A13"/>
    <w:rsid w:val="219707AA"/>
    <w:rsid w:val="21F94FCB"/>
    <w:rsid w:val="22046BDF"/>
    <w:rsid w:val="22386D07"/>
    <w:rsid w:val="22480419"/>
    <w:rsid w:val="22965783"/>
    <w:rsid w:val="22DC376E"/>
    <w:rsid w:val="22ED32DA"/>
    <w:rsid w:val="22FD3574"/>
    <w:rsid w:val="231C6AB5"/>
    <w:rsid w:val="233F30E4"/>
    <w:rsid w:val="23593C8E"/>
    <w:rsid w:val="23727724"/>
    <w:rsid w:val="239F40F6"/>
    <w:rsid w:val="23AA2793"/>
    <w:rsid w:val="23ED3B3C"/>
    <w:rsid w:val="24CA7BB8"/>
    <w:rsid w:val="24FA6D92"/>
    <w:rsid w:val="250550E5"/>
    <w:rsid w:val="2536069B"/>
    <w:rsid w:val="25374980"/>
    <w:rsid w:val="254734B9"/>
    <w:rsid w:val="2550672C"/>
    <w:rsid w:val="25624188"/>
    <w:rsid w:val="25BD0FD2"/>
    <w:rsid w:val="263B5F44"/>
    <w:rsid w:val="265A1DE6"/>
    <w:rsid w:val="26690F27"/>
    <w:rsid w:val="26694895"/>
    <w:rsid w:val="26A12F28"/>
    <w:rsid w:val="26AC79F8"/>
    <w:rsid w:val="26B91D54"/>
    <w:rsid w:val="26C45E5E"/>
    <w:rsid w:val="26E75D9A"/>
    <w:rsid w:val="26E90667"/>
    <w:rsid w:val="26F43175"/>
    <w:rsid w:val="274A0B5C"/>
    <w:rsid w:val="279142F8"/>
    <w:rsid w:val="27FA7E2E"/>
    <w:rsid w:val="280B1A43"/>
    <w:rsid w:val="287A6F6C"/>
    <w:rsid w:val="288E0F4E"/>
    <w:rsid w:val="28B0474F"/>
    <w:rsid w:val="28EF5796"/>
    <w:rsid w:val="28F60FCD"/>
    <w:rsid w:val="29522941"/>
    <w:rsid w:val="29855A2C"/>
    <w:rsid w:val="29B92A03"/>
    <w:rsid w:val="29CE7219"/>
    <w:rsid w:val="2A5C719F"/>
    <w:rsid w:val="2A832D10"/>
    <w:rsid w:val="2AF12700"/>
    <w:rsid w:val="2B221E6C"/>
    <w:rsid w:val="2B3631F4"/>
    <w:rsid w:val="2B575927"/>
    <w:rsid w:val="2B797161"/>
    <w:rsid w:val="2B9D3E9D"/>
    <w:rsid w:val="2CE341B5"/>
    <w:rsid w:val="2D11017C"/>
    <w:rsid w:val="2D2626A0"/>
    <w:rsid w:val="2DDC0B49"/>
    <w:rsid w:val="2E407A81"/>
    <w:rsid w:val="2E6D5504"/>
    <w:rsid w:val="2E835E5F"/>
    <w:rsid w:val="2E8A38BB"/>
    <w:rsid w:val="2E9559D9"/>
    <w:rsid w:val="2E9F679E"/>
    <w:rsid w:val="2EA56E27"/>
    <w:rsid w:val="2F0313A8"/>
    <w:rsid w:val="2F3015A3"/>
    <w:rsid w:val="2F5219B0"/>
    <w:rsid w:val="2F6A13F9"/>
    <w:rsid w:val="2FC41CB0"/>
    <w:rsid w:val="302144DC"/>
    <w:rsid w:val="30405DB5"/>
    <w:rsid w:val="30426D1D"/>
    <w:rsid w:val="30CF5A24"/>
    <w:rsid w:val="31097378"/>
    <w:rsid w:val="311D7D22"/>
    <w:rsid w:val="31312245"/>
    <w:rsid w:val="31376781"/>
    <w:rsid w:val="31526B96"/>
    <w:rsid w:val="315A6870"/>
    <w:rsid w:val="316E051C"/>
    <w:rsid w:val="31F16321"/>
    <w:rsid w:val="32035262"/>
    <w:rsid w:val="32273428"/>
    <w:rsid w:val="3270263D"/>
    <w:rsid w:val="328344B2"/>
    <w:rsid w:val="3286033C"/>
    <w:rsid w:val="328F0574"/>
    <w:rsid w:val="3296605F"/>
    <w:rsid w:val="331B4ED5"/>
    <w:rsid w:val="334151A1"/>
    <w:rsid w:val="33463EAF"/>
    <w:rsid w:val="33550FE6"/>
    <w:rsid w:val="336C141E"/>
    <w:rsid w:val="339C18CC"/>
    <w:rsid w:val="33A87FED"/>
    <w:rsid w:val="33C259F7"/>
    <w:rsid w:val="34127147"/>
    <w:rsid w:val="34201613"/>
    <w:rsid w:val="34291F23"/>
    <w:rsid w:val="344806D1"/>
    <w:rsid w:val="34727D99"/>
    <w:rsid w:val="34750B27"/>
    <w:rsid w:val="347A39E3"/>
    <w:rsid w:val="349E222E"/>
    <w:rsid w:val="34B33411"/>
    <w:rsid w:val="34C51A78"/>
    <w:rsid w:val="34E0563C"/>
    <w:rsid w:val="34EB675E"/>
    <w:rsid w:val="351055D8"/>
    <w:rsid w:val="355F3301"/>
    <w:rsid w:val="35CD3B0F"/>
    <w:rsid w:val="35F40894"/>
    <w:rsid w:val="35F53BC7"/>
    <w:rsid w:val="35FC56A1"/>
    <w:rsid w:val="36771768"/>
    <w:rsid w:val="36D265FE"/>
    <w:rsid w:val="36E01197"/>
    <w:rsid w:val="37195DD0"/>
    <w:rsid w:val="37396667"/>
    <w:rsid w:val="375223CF"/>
    <w:rsid w:val="375F35B5"/>
    <w:rsid w:val="379E3A7A"/>
    <w:rsid w:val="37CA14FC"/>
    <w:rsid w:val="37F6376B"/>
    <w:rsid w:val="38005C99"/>
    <w:rsid w:val="3806789C"/>
    <w:rsid w:val="38324F36"/>
    <w:rsid w:val="396430B4"/>
    <w:rsid w:val="398C207A"/>
    <w:rsid w:val="399651CC"/>
    <w:rsid w:val="39E64E78"/>
    <w:rsid w:val="3A2F3A82"/>
    <w:rsid w:val="3A2F453A"/>
    <w:rsid w:val="3A6A61E5"/>
    <w:rsid w:val="3AC86100"/>
    <w:rsid w:val="3ACC2A06"/>
    <w:rsid w:val="3B20468F"/>
    <w:rsid w:val="3B316DAA"/>
    <w:rsid w:val="3B372FD2"/>
    <w:rsid w:val="3BAF51F7"/>
    <w:rsid w:val="3BC8097B"/>
    <w:rsid w:val="3C565716"/>
    <w:rsid w:val="3CA73211"/>
    <w:rsid w:val="3CC938CE"/>
    <w:rsid w:val="3CD97263"/>
    <w:rsid w:val="3D19224B"/>
    <w:rsid w:val="3DC06319"/>
    <w:rsid w:val="3E390124"/>
    <w:rsid w:val="3E3C7880"/>
    <w:rsid w:val="3E4F4139"/>
    <w:rsid w:val="3ED33ABA"/>
    <w:rsid w:val="3EDC31B1"/>
    <w:rsid w:val="3EEA1626"/>
    <w:rsid w:val="3F366D42"/>
    <w:rsid w:val="3F3B3EDB"/>
    <w:rsid w:val="3F522DEF"/>
    <w:rsid w:val="3F8A45CE"/>
    <w:rsid w:val="3FBD5D22"/>
    <w:rsid w:val="3FD352E5"/>
    <w:rsid w:val="3FFF7279"/>
    <w:rsid w:val="40456F00"/>
    <w:rsid w:val="405B780B"/>
    <w:rsid w:val="407A2131"/>
    <w:rsid w:val="40B93161"/>
    <w:rsid w:val="40BB01C3"/>
    <w:rsid w:val="41670A1F"/>
    <w:rsid w:val="420B0DEA"/>
    <w:rsid w:val="423A0CFF"/>
    <w:rsid w:val="42414BD8"/>
    <w:rsid w:val="427B00CF"/>
    <w:rsid w:val="43016A94"/>
    <w:rsid w:val="430644A8"/>
    <w:rsid w:val="43076EE2"/>
    <w:rsid w:val="432F1E46"/>
    <w:rsid w:val="43484F6E"/>
    <w:rsid w:val="43562586"/>
    <w:rsid w:val="43A60B8B"/>
    <w:rsid w:val="43CA7AC6"/>
    <w:rsid w:val="43DD1CAC"/>
    <w:rsid w:val="43ED3FBD"/>
    <w:rsid w:val="44044239"/>
    <w:rsid w:val="442A5561"/>
    <w:rsid w:val="44524527"/>
    <w:rsid w:val="447F71E8"/>
    <w:rsid w:val="451A06ED"/>
    <w:rsid w:val="45245151"/>
    <w:rsid w:val="456926CF"/>
    <w:rsid w:val="458B1600"/>
    <w:rsid w:val="45A31E9F"/>
    <w:rsid w:val="45E06380"/>
    <w:rsid w:val="46132E83"/>
    <w:rsid w:val="46F648FA"/>
    <w:rsid w:val="47A4705A"/>
    <w:rsid w:val="480D1D44"/>
    <w:rsid w:val="4835453B"/>
    <w:rsid w:val="48652264"/>
    <w:rsid w:val="48683357"/>
    <w:rsid w:val="489F12B3"/>
    <w:rsid w:val="48B60ED8"/>
    <w:rsid w:val="48E038AF"/>
    <w:rsid w:val="49287F12"/>
    <w:rsid w:val="49466806"/>
    <w:rsid w:val="49582C60"/>
    <w:rsid w:val="495D6DB6"/>
    <w:rsid w:val="496E5595"/>
    <w:rsid w:val="497B6BF6"/>
    <w:rsid w:val="499F73AD"/>
    <w:rsid w:val="49B83F7E"/>
    <w:rsid w:val="4A007BF5"/>
    <w:rsid w:val="4A06662F"/>
    <w:rsid w:val="4A0D148A"/>
    <w:rsid w:val="4A4009DF"/>
    <w:rsid w:val="4A6F5CAB"/>
    <w:rsid w:val="4ABD162D"/>
    <w:rsid w:val="4B80633B"/>
    <w:rsid w:val="4BD02064"/>
    <w:rsid w:val="4BF23C29"/>
    <w:rsid w:val="4BF673B5"/>
    <w:rsid w:val="4C0A2CBC"/>
    <w:rsid w:val="4C0B3EB6"/>
    <w:rsid w:val="4C281795"/>
    <w:rsid w:val="4C4F3FC2"/>
    <w:rsid w:val="4CAB3057"/>
    <w:rsid w:val="4CC732A2"/>
    <w:rsid w:val="4D077EEE"/>
    <w:rsid w:val="4D0B68F4"/>
    <w:rsid w:val="4D0E0101"/>
    <w:rsid w:val="4D3C02CC"/>
    <w:rsid w:val="4D7311CC"/>
    <w:rsid w:val="4DB35E08"/>
    <w:rsid w:val="4DBC05B9"/>
    <w:rsid w:val="4DFD4F82"/>
    <w:rsid w:val="4E1131A0"/>
    <w:rsid w:val="4E470622"/>
    <w:rsid w:val="4E5E45D2"/>
    <w:rsid w:val="4E66112F"/>
    <w:rsid w:val="4EB57E15"/>
    <w:rsid w:val="4EFB1622"/>
    <w:rsid w:val="4F1D45B9"/>
    <w:rsid w:val="4F3141FC"/>
    <w:rsid w:val="4F3B33EB"/>
    <w:rsid w:val="4F5E5E3A"/>
    <w:rsid w:val="4F833B49"/>
    <w:rsid w:val="504D489E"/>
    <w:rsid w:val="505C2070"/>
    <w:rsid w:val="50AC6DEA"/>
    <w:rsid w:val="50B618F8"/>
    <w:rsid w:val="50B9327D"/>
    <w:rsid w:val="50D13718"/>
    <w:rsid w:val="514805FC"/>
    <w:rsid w:val="517B26E0"/>
    <w:rsid w:val="51950F66"/>
    <w:rsid w:val="5219373E"/>
    <w:rsid w:val="524C0A95"/>
    <w:rsid w:val="52780153"/>
    <w:rsid w:val="52EF7092"/>
    <w:rsid w:val="52F50359"/>
    <w:rsid w:val="53155F5F"/>
    <w:rsid w:val="532064EF"/>
    <w:rsid w:val="539677B2"/>
    <w:rsid w:val="539B5F4C"/>
    <w:rsid w:val="53C2259E"/>
    <w:rsid w:val="53F44044"/>
    <w:rsid w:val="53FB4F58"/>
    <w:rsid w:val="54047DE6"/>
    <w:rsid w:val="54BF0519"/>
    <w:rsid w:val="55F51240"/>
    <w:rsid w:val="561B6485"/>
    <w:rsid w:val="56376A81"/>
    <w:rsid w:val="566B4A32"/>
    <w:rsid w:val="567D1A39"/>
    <w:rsid w:val="56812378"/>
    <w:rsid w:val="56A64B36"/>
    <w:rsid w:val="56EF4E6F"/>
    <w:rsid w:val="575431DF"/>
    <w:rsid w:val="57597E5D"/>
    <w:rsid w:val="576079D6"/>
    <w:rsid w:val="57C205D4"/>
    <w:rsid w:val="57E25806"/>
    <w:rsid w:val="581A432A"/>
    <w:rsid w:val="58381A4A"/>
    <w:rsid w:val="58B925EB"/>
    <w:rsid w:val="58DF20B1"/>
    <w:rsid w:val="58EF2ED0"/>
    <w:rsid w:val="5910752F"/>
    <w:rsid w:val="59144A6B"/>
    <w:rsid w:val="59205884"/>
    <w:rsid w:val="597317D1"/>
    <w:rsid w:val="597E4543"/>
    <w:rsid w:val="598A3524"/>
    <w:rsid w:val="59D963B1"/>
    <w:rsid w:val="59EE2A23"/>
    <w:rsid w:val="59F60EF3"/>
    <w:rsid w:val="5A093EC3"/>
    <w:rsid w:val="5A1070D1"/>
    <w:rsid w:val="5A650D5A"/>
    <w:rsid w:val="5A86434D"/>
    <w:rsid w:val="5A8702A8"/>
    <w:rsid w:val="5ADF54B5"/>
    <w:rsid w:val="5AF50649"/>
    <w:rsid w:val="5B591D6B"/>
    <w:rsid w:val="5B8174BD"/>
    <w:rsid w:val="5B956ECD"/>
    <w:rsid w:val="5C6D5D06"/>
    <w:rsid w:val="5C882FDD"/>
    <w:rsid w:val="5C8D0FEA"/>
    <w:rsid w:val="5C98615B"/>
    <w:rsid w:val="5CB22E1D"/>
    <w:rsid w:val="5CBD3C3C"/>
    <w:rsid w:val="5CE337EF"/>
    <w:rsid w:val="5D3922E6"/>
    <w:rsid w:val="5D78775B"/>
    <w:rsid w:val="5D7A4CE1"/>
    <w:rsid w:val="5DCB48EE"/>
    <w:rsid w:val="5E0B4E24"/>
    <w:rsid w:val="5E0F1B60"/>
    <w:rsid w:val="5E7B340D"/>
    <w:rsid w:val="5EB35D09"/>
    <w:rsid w:val="5EC17405"/>
    <w:rsid w:val="5ECB7D14"/>
    <w:rsid w:val="5ECE5416"/>
    <w:rsid w:val="5EEB7403"/>
    <w:rsid w:val="5F095F47"/>
    <w:rsid w:val="5F0C6580"/>
    <w:rsid w:val="5F20411D"/>
    <w:rsid w:val="5F247745"/>
    <w:rsid w:val="5F43566A"/>
    <w:rsid w:val="5F5271CC"/>
    <w:rsid w:val="5FE307E1"/>
    <w:rsid w:val="5FEF45F4"/>
    <w:rsid w:val="5FFB2605"/>
    <w:rsid w:val="600C6122"/>
    <w:rsid w:val="60382A88"/>
    <w:rsid w:val="608C2C29"/>
    <w:rsid w:val="60B91793"/>
    <w:rsid w:val="60CC4D75"/>
    <w:rsid w:val="60E67AA7"/>
    <w:rsid w:val="6124795C"/>
    <w:rsid w:val="61331572"/>
    <w:rsid w:val="613F1997"/>
    <w:rsid w:val="6142619F"/>
    <w:rsid w:val="614D07E8"/>
    <w:rsid w:val="61521F2D"/>
    <w:rsid w:val="61883090"/>
    <w:rsid w:val="618E39BF"/>
    <w:rsid w:val="618F2A1B"/>
    <w:rsid w:val="619E0AB7"/>
    <w:rsid w:val="61B16453"/>
    <w:rsid w:val="61BA0B42"/>
    <w:rsid w:val="61E536FC"/>
    <w:rsid w:val="620C10EB"/>
    <w:rsid w:val="620D0C17"/>
    <w:rsid w:val="624548B3"/>
    <w:rsid w:val="627E6257"/>
    <w:rsid w:val="628D12AE"/>
    <w:rsid w:val="629E645C"/>
    <w:rsid w:val="62C9149E"/>
    <w:rsid w:val="62E5554B"/>
    <w:rsid w:val="631B084A"/>
    <w:rsid w:val="632A023E"/>
    <w:rsid w:val="63894210"/>
    <w:rsid w:val="63CD32CA"/>
    <w:rsid w:val="63DD04FD"/>
    <w:rsid w:val="63E17D6C"/>
    <w:rsid w:val="63F6448F"/>
    <w:rsid w:val="64133A3F"/>
    <w:rsid w:val="643D2685"/>
    <w:rsid w:val="643E4883"/>
    <w:rsid w:val="6495118C"/>
    <w:rsid w:val="64BF1959"/>
    <w:rsid w:val="64C14621"/>
    <w:rsid w:val="64EF46A6"/>
    <w:rsid w:val="65014B04"/>
    <w:rsid w:val="65017F33"/>
    <w:rsid w:val="65143FAD"/>
    <w:rsid w:val="65225514"/>
    <w:rsid w:val="653A47CB"/>
    <w:rsid w:val="655A3D56"/>
    <w:rsid w:val="657938B0"/>
    <w:rsid w:val="65A137B1"/>
    <w:rsid w:val="65CD5630"/>
    <w:rsid w:val="65FC7340"/>
    <w:rsid w:val="662117DA"/>
    <w:rsid w:val="663C214A"/>
    <w:rsid w:val="664A6EE1"/>
    <w:rsid w:val="66682C0E"/>
    <w:rsid w:val="66A065EB"/>
    <w:rsid w:val="66A32DF3"/>
    <w:rsid w:val="66A717F9"/>
    <w:rsid w:val="66A9578C"/>
    <w:rsid w:val="67057615"/>
    <w:rsid w:val="6734105D"/>
    <w:rsid w:val="67896ED4"/>
    <w:rsid w:val="67AA451F"/>
    <w:rsid w:val="67FA4DDD"/>
    <w:rsid w:val="67FA7C0D"/>
    <w:rsid w:val="68251C6A"/>
    <w:rsid w:val="683C5113"/>
    <w:rsid w:val="685C1DC4"/>
    <w:rsid w:val="688556A7"/>
    <w:rsid w:val="688E2042"/>
    <w:rsid w:val="6895189D"/>
    <w:rsid w:val="68BC0EE4"/>
    <w:rsid w:val="68FC334A"/>
    <w:rsid w:val="69473E9F"/>
    <w:rsid w:val="698718B2"/>
    <w:rsid w:val="69AC4F69"/>
    <w:rsid w:val="69D72936"/>
    <w:rsid w:val="6A4C28F4"/>
    <w:rsid w:val="6A572E84"/>
    <w:rsid w:val="6A5C730C"/>
    <w:rsid w:val="6A8E01AC"/>
    <w:rsid w:val="6ABE3B2D"/>
    <w:rsid w:val="6B2D6E6C"/>
    <w:rsid w:val="6B4F2A74"/>
    <w:rsid w:val="6B7460C1"/>
    <w:rsid w:val="6B7912ED"/>
    <w:rsid w:val="6BA359B8"/>
    <w:rsid w:val="6C035B7A"/>
    <w:rsid w:val="6C303D8F"/>
    <w:rsid w:val="6C6A6233"/>
    <w:rsid w:val="6C6C0792"/>
    <w:rsid w:val="6C9E1E44"/>
    <w:rsid w:val="6CAB2100"/>
    <w:rsid w:val="6CE33832"/>
    <w:rsid w:val="6D106257"/>
    <w:rsid w:val="6D1F1846"/>
    <w:rsid w:val="6D8E77D0"/>
    <w:rsid w:val="6D9A555F"/>
    <w:rsid w:val="6DC70BD2"/>
    <w:rsid w:val="6DFD7CD4"/>
    <w:rsid w:val="6E046353"/>
    <w:rsid w:val="6E3034D4"/>
    <w:rsid w:val="6F5161E8"/>
    <w:rsid w:val="6F722BE7"/>
    <w:rsid w:val="6FF51B3B"/>
    <w:rsid w:val="6FFC72C8"/>
    <w:rsid w:val="704A3BFB"/>
    <w:rsid w:val="709561C1"/>
    <w:rsid w:val="709642CC"/>
    <w:rsid w:val="70CF70D5"/>
    <w:rsid w:val="70F85622"/>
    <w:rsid w:val="711F0324"/>
    <w:rsid w:val="7156627F"/>
    <w:rsid w:val="71812947"/>
    <w:rsid w:val="719B567C"/>
    <w:rsid w:val="72210801"/>
    <w:rsid w:val="72755659"/>
    <w:rsid w:val="72827EA0"/>
    <w:rsid w:val="72CE224D"/>
    <w:rsid w:val="72E91E80"/>
    <w:rsid w:val="73022ABD"/>
    <w:rsid w:val="73E55634"/>
    <w:rsid w:val="7408726D"/>
    <w:rsid w:val="747E7F88"/>
    <w:rsid w:val="74905ACD"/>
    <w:rsid w:val="74C3179F"/>
    <w:rsid w:val="74FF3B82"/>
    <w:rsid w:val="755D77B8"/>
    <w:rsid w:val="761D2C35"/>
    <w:rsid w:val="765C023B"/>
    <w:rsid w:val="76805A72"/>
    <w:rsid w:val="7684397E"/>
    <w:rsid w:val="76B344CD"/>
    <w:rsid w:val="77150CEF"/>
    <w:rsid w:val="774477A2"/>
    <w:rsid w:val="77492D2D"/>
    <w:rsid w:val="77524F4D"/>
    <w:rsid w:val="775B5A6C"/>
    <w:rsid w:val="777C1998"/>
    <w:rsid w:val="77DA01B2"/>
    <w:rsid w:val="77EF6453"/>
    <w:rsid w:val="78177B29"/>
    <w:rsid w:val="782352CE"/>
    <w:rsid w:val="782A33A6"/>
    <w:rsid w:val="782E17BB"/>
    <w:rsid w:val="783A2119"/>
    <w:rsid w:val="784D09EB"/>
    <w:rsid w:val="78535B94"/>
    <w:rsid w:val="785E0C86"/>
    <w:rsid w:val="786A5D9D"/>
    <w:rsid w:val="787F629A"/>
    <w:rsid w:val="78A83684"/>
    <w:rsid w:val="78AA535B"/>
    <w:rsid w:val="78D9250F"/>
    <w:rsid w:val="78DC2FDD"/>
    <w:rsid w:val="78DC7260"/>
    <w:rsid w:val="7900411B"/>
    <w:rsid w:val="790D0E29"/>
    <w:rsid w:val="79395171"/>
    <w:rsid w:val="79A35C57"/>
    <w:rsid w:val="79A90A44"/>
    <w:rsid w:val="79B85C40"/>
    <w:rsid w:val="7A385137"/>
    <w:rsid w:val="7A4D5F33"/>
    <w:rsid w:val="7AFC2853"/>
    <w:rsid w:val="7B425546"/>
    <w:rsid w:val="7B4A194A"/>
    <w:rsid w:val="7B5016A8"/>
    <w:rsid w:val="7B647B37"/>
    <w:rsid w:val="7B825B7C"/>
    <w:rsid w:val="7B931FE5"/>
    <w:rsid w:val="7B9F28DD"/>
    <w:rsid w:val="7BBF3DB1"/>
    <w:rsid w:val="7BC24B9B"/>
    <w:rsid w:val="7BD21CD6"/>
    <w:rsid w:val="7BE372CE"/>
    <w:rsid w:val="7C440773"/>
    <w:rsid w:val="7C981154"/>
    <w:rsid w:val="7C9B635C"/>
    <w:rsid w:val="7CB55428"/>
    <w:rsid w:val="7CCC5756"/>
    <w:rsid w:val="7D0C38B8"/>
    <w:rsid w:val="7D466F15"/>
    <w:rsid w:val="7D805BC0"/>
    <w:rsid w:val="7D9A0522"/>
    <w:rsid w:val="7DAE7CF4"/>
    <w:rsid w:val="7DC971F1"/>
    <w:rsid w:val="7DD76804"/>
    <w:rsid w:val="7DEB54A4"/>
    <w:rsid w:val="7E125364"/>
    <w:rsid w:val="7E93243A"/>
    <w:rsid w:val="7EB03B57"/>
    <w:rsid w:val="7EBA0FF5"/>
    <w:rsid w:val="7F3412A1"/>
    <w:rsid w:val="7FD32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正文文本 字符"/>
    <w:link w:val="2"/>
    <w:qFormat/>
    <w:uiPriority w:val="1"/>
    <w:rPr>
      <w:rFonts w:ascii="宋体" w:hAnsi="Times New Roman" w:eastAsia="宋体" w:cs="Times New Roman"/>
      <w:kern w:val="0"/>
      <w:sz w:val="20"/>
      <w:szCs w:val="21"/>
    </w:rPr>
  </w:style>
  <w:style w:type="character" w:customStyle="1" w:styleId="23">
    <w:name w:val="标题 1 字符"/>
    <w:link w:val="3"/>
    <w:qFormat/>
    <w:uiPriority w:val="1"/>
    <w:rPr>
      <w:rFonts w:ascii="黑体" w:hAnsi="Times New Roman" w:eastAsia="黑体" w:cs="Times New Roman"/>
      <w:b/>
      <w:bCs/>
      <w:kern w:val="0"/>
      <w:sz w:val="36"/>
      <w:szCs w:val="36"/>
    </w:rPr>
  </w:style>
  <w:style w:type="character" w:customStyle="1" w:styleId="24">
    <w:name w:val="标题 2 字符"/>
    <w:link w:val="4"/>
    <w:qFormat/>
    <w:uiPriority w:val="9"/>
    <w:rPr>
      <w:rFonts w:ascii="Cambria" w:hAnsi="Cambria" w:eastAsia="宋体" w:cs="Times New Roman"/>
      <w:b/>
      <w:bCs/>
      <w:kern w:val="0"/>
      <w:sz w:val="32"/>
      <w:szCs w:val="32"/>
    </w:rPr>
  </w:style>
  <w:style w:type="character" w:customStyle="1" w:styleId="25">
    <w:name w:val="标题 3 字符"/>
    <w:link w:val="5"/>
    <w:qFormat/>
    <w:uiPriority w:val="1"/>
    <w:rPr>
      <w:rFonts w:ascii="宋体" w:hAnsi="Times New Roman" w:eastAsia="宋体" w:cs="Times New Roman"/>
      <w:b/>
      <w:bCs/>
      <w:kern w:val="0"/>
      <w:sz w:val="20"/>
      <w:szCs w:val="21"/>
    </w:rPr>
  </w:style>
  <w:style w:type="character" w:customStyle="1" w:styleId="26">
    <w:name w:val="批注文字 字符"/>
    <w:link w:val="6"/>
    <w:qFormat/>
    <w:uiPriority w:val="99"/>
    <w:rPr>
      <w:rFonts w:ascii="Times New Roman" w:hAnsi="Times New Roman" w:eastAsia="宋体" w:cs="Times New Roman"/>
    </w:rPr>
  </w:style>
  <w:style w:type="character" w:customStyle="1" w:styleId="27">
    <w:name w:val="日期 字符"/>
    <w:basedOn w:val="17"/>
    <w:link w:val="7"/>
    <w:semiHidden/>
    <w:qFormat/>
    <w:uiPriority w:val="99"/>
    <w:rPr>
      <w:rFonts w:ascii="Times New Roman" w:hAnsi="Times New Roman" w:eastAsia="宋体" w:cs="Times New Roman"/>
    </w:rPr>
  </w:style>
  <w:style w:type="character" w:customStyle="1" w:styleId="28">
    <w:name w:val="批注框文本 字符"/>
    <w:link w:val="8"/>
    <w:semiHidden/>
    <w:qFormat/>
    <w:uiPriority w:val="99"/>
    <w:rPr>
      <w:rFonts w:ascii="Times New Roman" w:hAnsi="Times New Roman" w:eastAsia="宋体" w:cs="Times New Roman"/>
      <w:kern w:val="0"/>
      <w:sz w:val="18"/>
      <w:szCs w:val="18"/>
    </w:rPr>
  </w:style>
  <w:style w:type="character" w:customStyle="1" w:styleId="29">
    <w:name w:val="页脚 字符"/>
    <w:link w:val="9"/>
    <w:qFormat/>
    <w:uiPriority w:val="99"/>
    <w:rPr>
      <w:rFonts w:ascii="Times New Roman" w:hAnsi="Times New Roman" w:eastAsia="宋体" w:cs="Times New Roman"/>
      <w:kern w:val="0"/>
      <w:sz w:val="18"/>
      <w:szCs w:val="18"/>
    </w:rPr>
  </w:style>
  <w:style w:type="character" w:customStyle="1" w:styleId="30">
    <w:name w:val="页眉 字符"/>
    <w:link w:val="10"/>
    <w:qFormat/>
    <w:uiPriority w:val="99"/>
    <w:rPr>
      <w:rFonts w:ascii="Times New Roman" w:hAnsi="Times New Roman" w:eastAsia="宋体" w:cs="Times New Roman"/>
      <w:kern w:val="0"/>
      <w:sz w:val="18"/>
      <w:szCs w:val="18"/>
    </w:rPr>
  </w:style>
  <w:style w:type="character" w:customStyle="1" w:styleId="31">
    <w:name w:val="脚注文本 字符1"/>
    <w:link w:val="11"/>
    <w:qFormat/>
    <w:uiPriority w:val="99"/>
    <w:rPr>
      <w:rFonts w:ascii="Times New Roman" w:hAnsi="Times New Roman" w:eastAsia="宋体" w:cs="Times New Roman"/>
      <w:sz w:val="18"/>
      <w:szCs w:val="18"/>
    </w:rPr>
  </w:style>
  <w:style w:type="character" w:customStyle="1" w:styleId="32">
    <w:name w:val="批注主题 字符"/>
    <w:link w:val="14"/>
    <w:semiHidden/>
    <w:qFormat/>
    <w:uiPriority w:val="99"/>
    <w:rPr>
      <w:rFonts w:ascii="Times New Roman" w:hAnsi="Times New Roman" w:eastAsia="宋体" w:cs="Times New Roman"/>
      <w:b/>
      <w:bCs/>
    </w:rPr>
  </w:style>
  <w:style w:type="character" w:customStyle="1" w:styleId="33">
    <w:name w:val="脚注文本 字符"/>
    <w:semiHidden/>
    <w:qFormat/>
    <w:uiPriority w:val="99"/>
    <w:rPr>
      <w:rFonts w:ascii="Times New Roman" w:hAnsi="Times New Roman" w:eastAsia="宋体" w:cs="Times New Roman"/>
      <w:kern w:val="2"/>
      <w:sz w:val="18"/>
      <w:szCs w:val="18"/>
    </w:rPr>
  </w:style>
  <w:style w:type="paragraph" w:customStyle="1" w:styleId="34">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5">
    <w:name w:val="List Paragraph"/>
    <w:basedOn w:val="1"/>
    <w:qFormat/>
    <w:uiPriority w:val="72"/>
    <w:pPr>
      <w:ind w:firstLine="420" w:firstLineChars="200"/>
    </w:p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7">
    <w:name w:val="_Style 35"/>
    <w:semiHidden/>
    <w:qFormat/>
    <w:uiPriority w:val="99"/>
    <w:rPr>
      <w:rFonts w:ascii="Times New Roman" w:hAnsi="Times New Roman" w:eastAsia="宋体" w:cs="Times New Roman"/>
      <w:kern w:val="2"/>
      <w:sz w:val="21"/>
      <w:szCs w:val="22"/>
      <w:lang w:val="en-US" w:eastAsia="zh-CN" w:bidi="ar-SA"/>
    </w:rPr>
  </w:style>
  <w:style w:type="paragraph" w:customStyle="1" w:styleId="38">
    <w:name w:val="_Style 33"/>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Char"/>
    <w:link w:val="3"/>
    <w:qFormat/>
    <w:uiPriority w:val="1"/>
    <w:rPr>
      <w:rFonts w:ascii="黑体" w:hAnsi="Times New Roman" w:eastAsia="黑体" w:cs="黑体"/>
      <w:b/>
      <w:bCs/>
      <w:kern w:val="0"/>
      <w:sz w:val="36"/>
      <w:szCs w:val="36"/>
    </w:rPr>
  </w:style>
  <w:style w:type="character" w:customStyle="1" w:styleId="40">
    <w:name w:val="标题 2 Char"/>
    <w:link w:val="4"/>
    <w:qFormat/>
    <w:uiPriority w:val="9"/>
    <w:rPr>
      <w:rFonts w:ascii="Cambria" w:hAnsi="Cambria" w:eastAsia="宋体" w:cs="Times New Roman"/>
      <w:b/>
      <w:bCs/>
      <w:sz w:val="32"/>
      <w:szCs w:val="32"/>
    </w:rPr>
  </w:style>
  <w:style w:type="character" w:customStyle="1" w:styleId="41">
    <w:name w:val="标题 3 Char"/>
    <w:link w:val="5"/>
    <w:qFormat/>
    <w:uiPriority w:val="1"/>
    <w:rPr>
      <w:rFonts w:ascii="宋体" w:hAnsi="Times New Roman" w:eastAsia="宋体" w:cs="宋体"/>
      <w:b/>
      <w:bCs/>
      <w:kern w:val="0"/>
      <w:szCs w:val="21"/>
    </w:rPr>
  </w:style>
  <w:style w:type="character" w:customStyle="1" w:styleId="42">
    <w:name w:val="批注文字 Char"/>
    <w:link w:val="6"/>
    <w:qFormat/>
    <w:uiPriority w:val="99"/>
    <w:rPr>
      <w:rFonts w:ascii="Times New Roman" w:hAnsi="Times New Roman" w:eastAsia="宋体" w:cs="Times New Roman"/>
      <w:kern w:val="2"/>
      <w:sz w:val="21"/>
      <w:szCs w:val="22"/>
    </w:rPr>
  </w:style>
  <w:style w:type="character" w:customStyle="1" w:styleId="43">
    <w:name w:val="正文文本 Char"/>
    <w:link w:val="2"/>
    <w:qFormat/>
    <w:uiPriority w:val="1"/>
    <w:rPr>
      <w:rFonts w:ascii="宋体" w:hAnsi="Times New Roman" w:eastAsia="宋体" w:cs="宋体"/>
      <w:kern w:val="0"/>
      <w:szCs w:val="21"/>
    </w:rPr>
  </w:style>
  <w:style w:type="character" w:customStyle="1" w:styleId="44">
    <w:name w:val="日期 Char"/>
    <w:basedOn w:val="17"/>
    <w:link w:val="7"/>
    <w:semiHidden/>
    <w:qFormat/>
    <w:uiPriority w:val="99"/>
    <w:rPr>
      <w:rFonts w:ascii="Times New Roman" w:hAnsi="Times New Roman" w:eastAsia="宋体" w:cs="Times New Roman"/>
    </w:rPr>
  </w:style>
  <w:style w:type="character" w:customStyle="1" w:styleId="45">
    <w:name w:val="批注框文本 Char"/>
    <w:link w:val="8"/>
    <w:semiHidden/>
    <w:qFormat/>
    <w:uiPriority w:val="99"/>
    <w:rPr>
      <w:rFonts w:ascii="Times New Roman" w:hAnsi="Times New Roman" w:eastAsia="宋体" w:cs="Times New Roman"/>
      <w:sz w:val="18"/>
      <w:szCs w:val="18"/>
    </w:rPr>
  </w:style>
  <w:style w:type="character" w:customStyle="1" w:styleId="46">
    <w:name w:val="页脚 Char"/>
    <w:link w:val="9"/>
    <w:qFormat/>
    <w:uiPriority w:val="99"/>
    <w:rPr>
      <w:rFonts w:ascii="Times New Roman" w:hAnsi="Times New Roman" w:eastAsia="宋体" w:cs="Times New Roman"/>
      <w:sz w:val="18"/>
      <w:szCs w:val="18"/>
    </w:rPr>
  </w:style>
  <w:style w:type="character" w:customStyle="1" w:styleId="47">
    <w:name w:val="页眉 Char"/>
    <w:link w:val="10"/>
    <w:qFormat/>
    <w:uiPriority w:val="99"/>
    <w:rPr>
      <w:rFonts w:ascii="Times New Roman" w:hAnsi="Times New Roman" w:eastAsia="宋体" w:cs="Times New Roman"/>
      <w:sz w:val="18"/>
      <w:szCs w:val="18"/>
    </w:rPr>
  </w:style>
  <w:style w:type="character" w:customStyle="1" w:styleId="48">
    <w:name w:val="批注主题 Char"/>
    <w:link w:val="14"/>
    <w:semiHidden/>
    <w:qFormat/>
    <w:uiPriority w:val="99"/>
    <w:rPr>
      <w:rFonts w:ascii="Times New Roman" w:hAnsi="Times New Roman" w:eastAsia="宋体" w:cs="Times New Roman"/>
      <w:b/>
      <w:bCs/>
      <w:kern w:val="2"/>
      <w:sz w:val="21"/>
      <w:szCs w:val="22"/>
    </w:rPr>
  </w:style>
  <w:style w:type="paragraph" w:customStyle="1" w:styleId="49">
    <w:name w:val="_Style 27"/>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15</Pages>
  <Words>21563</Words>
  <Characters>22897</Characters>
  <Lines>37</Lines>
  <Paragraphs>10</Paragraphs>
  <TotalTime>0</TotalTime>
  <ScaleCrop>false</ScaleCrop>
  <LinksUpToDate>false</LinksUpToDate>
  <CharactersWithSpaces>22916</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2022-06-24T09:49:00Z</dcterms:created>
  <dc:creator>JSYH</dc:creator>
  <cp:lastModifiedBy>lhy</cp:lastModifiedBy>
  <cp:lastPrinted>2026-01-27T02:32:00Z</cp:lastPrinted>
  <dcterms:modified xsi:type="dcterms:W3CDTF">2026-06-02T02:37:47Z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57DE483545F742868D80F7217A5BA398</vt:lpwstr>
  </property>
</Properties>
</file>