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苏银理财恒源1年定开7期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（2026年6月版）</w:t>
      </w:r>
    </w:p>
    <w:p>
      <w:pPr>
        <w:jc w:val="center"/>
        <w:rPr>
          <w:rFonts w:hint="eastAsia" w:ascii="楷体" w:hAnsi="楷体" w:eastAsia="楷体"/>
          <w:b/>
          <w:sz w:val="24"/>
          <w:szCs w:val="24"/>
          <w:highlight w:val="none"/>
        </w:rPr>
      </w:pPr>
      <w:r>
        <w:rPr>
          <w:rFonts w:hint="eastAsia" w:ascii="楷体" w:hAnsi="楷体" w:eastAsia="楷体" w:cs="宋体"/>
          <w:b/>
          <w:kern w:val="0"/>
          <w:sz w:val="24"/>
          <w:szCs w:val="24"/>
          <w:highlight w:val="none"/>
        </w:rPr>
        <w:t>理财非存款、产品有风险、投资须谨慎</w:t>
      </w:r>
    </w:p>
    <w:p>
      <w:pPr>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w:t>
      </w:r>
      <w:r>
        <w:rPr>
          <w:rFonts w:hint="eastAsia" w:ascii="楷体" w:hAnsi="楷体" w:eastAsia="楷体"/>
          <w:b/>
          <w:sz w:val="21"/>
          <w:szCs w:val="21"/>
          <w:highlight w:val="none"/>
          <w:u w:val="single"/>
          <w:lang w:val="en-US" w:eastAsia="zh-CN"/>
        </w:rPr>
        <w:t>或者交易违约等事项</w:t>
      </w:r>
      <w:r>
        <w:rPr>
          <w:rFonts w:hint="eastAsia" w:ascii="楷体" w:hAnsi="楷体" w:eastAsia="楷体"/>
          <w:b/>
          <w:sz w:val="21"/>
          <w:szCs w:val="21"/>
          <w:highlight w:val="none"/>
          <w:u w:val="single"/>
        </w:rPr>
        <w:t>而蒙受相应损失，投资者应充分认识投资风险，谨慎投资</w:t>
      </w:r>
      <w:r>
        <w:rPr>
          <w:rFonts w:hint="eastAsia" w:ascii="楷体" w:hAnsi="楷体" w:eastAsia="楷体"/>
          <w:b/>
          <w:sz w:val="21"/>
          <w:szCs w:val="21"/>
          <w:highlight w:val="none"/>
          <w:u w:val="single"/>
          <w:lang w:eastAsia="zh-CN"/>
        </w:rPr>
        <w:t>。</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w:t>
      </w:r>
      <w:r>
        <w:rPr>
          <w:rFonts w:hint="eastAsia" w:ascii="楷体" w:hAnsi="楷体" w:eastAsia="楷体"/>
          <w:b/>
          <w:sz w:val="21"/>
          <w:szCs w:val="21"/>
          <w:highlight w:val="none"/>
          <w:u w:val="single"/>
          <w:lang w:val="en-US" w:eastAsia="zh-CN"/>
        </w:rPr>
        <w:t>及</w:t>
      </w:r>
      <w:r>
        <w:rPr>
          <w:rFonts w:hint="eastAsia" w:ascii="楷体" w:hAnsi="楷体" w:eastAsia="楷体"/>
          <w:b/>
          <w:sz w:val="21"/>
          <w:szCs w:val="21"/>
          <w:highlight w:val="none"/>
          <w:u w:val="single"/>
        </w:rPr>
        <w:t>类似表述均属不具有法律约束力的用语</w:t>
      </w:r>
      <w:r>
        <w:rPr>
          <w:rFonts w:hint="eastAsia" w:ascii="楷体" w:hAnsi="楷体" w:eastAsia="楷体"/>
          <w:b/>
          <w:sz w:val="21"/>
          <w:szCs w:val="21"/>
          <w:highlight w:val="none"/>
          <w:u w:val="single"/>
          <w:lang w:eastAsia="zh-CN"/>
        </w:rPr>
        <w:t>。</w:t>
      </w:r>
      <w:r>
        <w:rPr>
          <w:rFonts w:hint="eastAsia" w:ascii="楷体" w:hAnsi="楷体" w:eastAsia="楷体"/>
          <w:b/>
          <w:sz w:val="21"/>
          <w:szCs w:val="21"/>
          <w:highlight w:val="none"/>
          <w:u w:val="single"/>
        </w:rPr>
        <w:t>业绩比较基准</w:t>
      </w:r>
      <w:r>
        <w:rPr>
          <w:rFonts w:hint="eastAsia" w:ascii="楷体" w:hAnsi="楷体" w:eastAsia="楷体"/>
          <w:b/>
          <w:sz w:val="21"/>
          <w:szCs w:val="21"/>
          <w:highlight w:val="none"/>
          <w:u w:val="single"/>
          <w:lang w:val="en-US" w:eastAsia="zh-CN"/>
        </w:rPr>
        <w:t>为</w:t>
      </w:r>
      <w:r>
        <w:rPr>
          <w:rFonts w:hint="eastAsia" w:ascii="楷体" w:hAnsi="楷体" w:eastAsia="楷体"/>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等。请仔细阅读《“苏银理财恒源1年定开7期”理财产品风险揭示书》的“风险揭示”部分。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highlight w:val="none"/>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苏银理财恒源1年定开7期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lang w:val="en-US" w:eastAsia="zh-CN"/>
              </w:rPr>
              <w:t>Z7003121000023</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投资者可依据该编码在中国理财网</w:t>
            </w:r>
            <w:r>
              <w:rPr>
                <w:rFonts w:ascii="楷体" w:hAnsi="楷体" w:eastAsia="楷体" w:cs="宋体"/>
                <w:spacing w:val="-2"/>
                <w:sz w:val="18"/>
                <w:szCs w:val="18"/>
                <w:highlight w:val="none"/>
              </w:rPr>
              <w:fldChar w:fldCharType="begin"/>
            </w:r>
            <w:r>
              <w:rPr>
                <w:rFonts w:ascii="楷体" w:hAnsi="楷体" w:eastAsia="楷体" w:cs="宋体"/>
                <w:spacing w:val="-2"/>
                <w:sz w:val="18"/>
                <w:szCs w:val="18"/>
                <w:highlight w:val="none"/>
              </w:rPr>
              <w:instrText xml:space="preserve"> HYPERLINK "http://www.chinawealth.com.cn/" </w:instrText>
            </w:r>
            <w:r>
              <w:rPr>
                <w:rFonts w:ascii="楷体" w:hAnsi="楷体" w:eastAsia="楷体" w:cs="宋体"/>
                <w:spacing w:val="-2"/>
                <w:sz w:val="18"/>
                <w:szCs w:val="18"/>
                <w:highlight w:val="none"/>
              </w:rPr>
              <w:fldChar w:fldCharType="separate"/>
            </w:r>
            <w:r>
              <w:rPr>
                <w:rFonts w:ascii="楷体" w:hAnsi="楷体" w:eastAsia="楷体" w:cs="宋体"/>
                <w:spacing w:val="-2"/>
                <w:sz w:val="18"/>
                <w:szCs w:val="18"/>
                <w:highlight w:val="none"/>
              </w:rPr>
              <w:t>www.chinawealth.com.cn</w:t>
            </w:r>
            <w:r>
              <w:rPr>
                <w:rFonts w:ascii="楷体" w:hAnsi="楷体" w:eastAsia="楷体" w:cs="宋体"/>
                <w:spacing w:val="-2"/>
                <w:sz w:val="18"/>
                <w:szCs w:val="18"/>
                <w:highlight w:val="none"/>
              </w:rPr>
              <w:fldChar w:fldCharType="end"/>
            </w:r>
            <w:r>
              <w:rPr>
                <w:rFonts w:hint="eastAsia" w:ascii="楷体" w:hAnsi="楷体" w:eastAsia="楷体" w:cs="宋体"/>
                <w:spacing w:val="-2"/>
                <w:sz w:val="18"/>
                <w:szCs w:val="18"/>
                <w:highlight w:val="none"/>
              </w:rPr>
              <w:t>查询产品信息</w:t>
            </w:r>
            <w:r>
              <w:rPr>
                <w:rFonts w:hint="eastAsia" w:ascii="楷体" w:hAnsi="楷体" w:eastAsia="楷体" w:cs="宋体"/>
                <w:spacing w:val="-2"/>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A份额:苏银理财恒源1年定开7期A/JSA000000199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B份额:苏银理财恒源1年定开7期B/JSA000000200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C份额:苏银理财恒源1年定开7期C/J20976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D份额:苏银理财恒源1年定开7期D/J03305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F份额:苏银理财恒源1年定开7期F/J03306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G份额:苏银理财恒源1年定开7期G/J03307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J份额:苏银理财恒源1年定开7期J/J03308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M份额:苏银理财恒源1年定开7期M/J03309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P份额:苏银理财恒源1年定开7期P/J04498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GRC份额:苏银理财恒源1年定开7期GRC（广州农商银行专属）/J20977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GS份额:苏银理财恒源1年定开7期GS/J20978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SX份额:苏银理财恒源1年定开7期SX（山银晋晟）/J20979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U份额:苏银理财恒源1年定开7期U/J20980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Z份额:苏银理财恒源1年定开7期Z/J20981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Z1份额:苏银理财恒源1年定开7期Z1/J21109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Z2份额:苏银理财恒源1年定开7期Z2/J21110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ZA份额:苏银理财恒源1年定开7期ZA鑫福款（自动赎回）/J03310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ZF份额:苏银理财恒源1年定开7期ZF（自动赎回）/J03311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ZF2份额:苏银理财恒源1年定开7期ZF2（自动赎回）/J21170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ZJ份额:苏银理财恒源1年定开7期ZJ（自动赎回）/J20982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ZL份额:苏银理财恒源1年定开7期ZL（自动赎回）/J20983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ZN份额:苏银理财恒源1年定开7期ZN（自动赎回）/J04499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ZQ份额:苏银理财恒源1年定开7期ZQ（自动赎回）/J04500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ZC份额:苏银理财恒源1年定开7期ZC鑫福优享（自动赎回）/J20984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ZK份额:苏银理财恒源1年定开7期ZK鑫福尊享（自动赎回）/J20985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highlight w:val="none"/>
                <w:u w:val="single"/>
                <w:lang w:val="en-US" w:eastAsia="zh-CN" w:bidi="ar-SA"/>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参考。理财产品存续期间，若市场环境等因素发生变化，在符合监管政策要求的前提下管理人可对产品风险评级进行调整，并及时将调整情况向投资者披露。</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1元</w:t>
            </w:r>
            <w:r>
              <w:rPr>
                <w:rFonts w:hint="eastAsia" w:ascii="楷体" w:hAnsi="楷体" w:eastAsia="楷体" w:cs="宋体"/>
                <w:spacing w:val="-2"/>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本产品计划发行规模为100000万元，管理人有权根据实际需要调整计划发行规模。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GRC份额:100元/100元的整数倍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GS份额:100元/100元的整数倍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SX份额:100元/100元的整数倍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Z1份额:10,000元/1元的整数倍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Z2份额:500,000元/10,000元的整数倍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ZF2份额:1000元/1000元的整数倍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ZJ份额:100元/100元的整数倍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ZL份额:个人投资者：500,000元/10,000元的整数倍,机构投资者：30,000,000元/10,000元的整数倍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ZN份额:100元/100元的整数倍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ZQ份额:100元/100元的整数倍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ZK份额:个人投资者：500,000元/10,000元的整数倍,机构投资者：30,000,000元/10,000元的整数倍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eastAsia="zh-CN"/>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2021年4月7日至2021年4月13日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2021年4月14日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lang w:val="en-US" w:eastAsia="zh-CN"/>
              </w:rPr>
              <w:t>2031年4月15日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如遇节假日，顺延至下一工作日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在符合产品说明书约定的条件下，管理人有权</w:t>
            </w:r>
            <w:r>
              <w:rPr>
                <w:rFonts w:hint="eastAsia" w:ascii="楷体" w:hAnsi="楷体" w:eastAsia="楷体" w:cs="宋体"/>
                <w:color w:val="auto"/>
                <w:spacing w:val="-2"/>
                <w:sz w:val="18"/>
                <w:szCs w:val="18"/>
                <w:highlight w:val="none"/>
                <w:lang w:val="en-US" w:eastAsia="zh-CN"/>
              </w:rPr>
              <w:t>调整产品到期日</w:t>
            </w:r>
            <w:r>
              <w:rPr>
                <w:rFonts w:hint="eastAsia" w:ascii="楷体" w:hAnsi="楷体" w:eastAsia="楷体" w:cs="宋体"/>
                <w:color w:val="auto"/>
                <w:spacing w:val="-2"/>
                <w:sz w:val="18"/>
                <w:szCs w:val="18"/>
                <w:highlight w:val="none"/>
              </w:rPr>
              <w:t>，产品到期日受制于提前终止</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延期终止</w:t>
            </w:r>
            <w:r>
              <w:rPr>
                <w:rFonts w:hint="eastAsia" w:ascii="楷体" w:hAnsi="楷体" w:eastAsia="楷体" w:cs="宋体"/>
                <w:color w:val="auto"/>
                <w:spacing w:val="-2"/>
                <w:sz w:val="18"/>
                <w:szCs w:val="18"/>
                <w:highlight w:val="none"/>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最新投资周期（2026年6月24日-2027年7月15日）开放申购与赎回时间为：2026年6月12日至2026年6月23日</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(其中ZA份额/ZF份额/ZF2份额/ZJ份额/ZL份额/ZN份额/ZQ份额/ZC份额/ZK份额由系统主动发起赎回申请，投资者无须发起赎回申请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highlight w:val="none"/>
                <w:u w:val="single"/>
              </w:rPr>
              <w:t>除开放计划外的其他时间，管理人不接受投资者申购、赎回申请</w:t>
            </w:r>
            <w:r>
              <w:rPr>
                <w:rFonts w:hint="eastAsia" w:ascii="楷体" w:hAnsi="楷体" w:eastAsia="楷体" w:cs="宋体"/>
                <w:b/>
                <w:bCs/>
                <w:spacing w:val="-2"/>
                <w:sz w:val="18"/>
                <w:szCs w:val="18"/>
                <w:highlight w:val="none"/>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lang w:val="en-US" w:eastAsia="zh-CN"/>
              </w:rPr>
              <w:t>1.管理人</w:t>
            </w:r>
            <w:r>
              <w:rPr>
                <w:rFonts w:ascii="楷体" w:hAnsi="楷体" w:eastAsia="楷体" w:cs="宋体"/>
                <w:b/>
                <w:bCs/>
                <w:spacing w:val="-2"/>
                <w:sz w:val="18"/>
                <w:szCs w:val="18"/>
                <w:highlight w:val="none"/>
                <w:u w:val="single"/>
              </w:rPr>
              <w:t>参考过往投资经验，依据近期货币市场工具、</w:t>
            </w:r>
            <w:r>
              <w:rPr>
                <w:rFonts w:hint="eastAsia" w:ascii="楷体" w:hAnsi="楷体" w:eastAsia="楷体" w:cs="宋体"/>
                <w:b/>
                <w:bCs/>
                <w:spacing w:val="-2"/>
                <w:sz w:val="18"/>
                <w:szCs w:val="18"/>
                <w:highlight w:val="none"/>
                <w:u w:val="single"/>
                <w:lang w:val="en-US" w:eastAsia="zh-CN"/>
              </w:rPr>
              <w:t>银行存款（含结构性存款）、</w:t>
            </w:r>
            <w:r>
              <w:rPr>
                <w:rFonts w:ascii="楷体" w:hAnsi="楷体" w:eastAsia="楷体" w:cs="宋体"/>
                <w:b/>
                <w:bCs/>
                <w:spacing w:val="-2"/>
                <w:sz w:val="18"/>
                <w:szCs w:val="18"/>
                <w:highlight w:val="none"/>
                <w:u w:val="single"/>
              </w:rPr>
              <w:t>债券</w:t>
            </w:r>
            <w:r>
              <w:rPr>
                <w:rFonts w:hint="eastAsia" w:ascii="楷体" w:hAnsi="楷体" w:eastAsia="楷体" w:cs="宋体"/>
                <w:b/>
                <w:bCs/>
                <w:spacing w:val="-2"/>
                <w:sz w:val="18"/>
                <w:szCs w:val="18"/>
                <w:highlight w:val="none"/>
                <w:u w:val="single"/>
              </w:rPr>
              <w:t>、非标准化债权</w:t>
            </w:r>
            <w:r>
              <w:rPr>
                <w:rFonts w:ascii="楷体" w:hAnsi="楷体" w:eastAsia="楷体" w:cs="宋体"/>
                <w:b/>
                <w:bCs/>
                <w:spacing w:val="-2"/>
                <w:sz w:val="18"/>
                <w:szCs w:val="18"/>
                <w:highlight w:val="none"/>
                <w:u w:val="single"/>
              </w:rPr>
              <w:t>等资产</w:t>
            </w:r>
            <w:r>
              <w:rPr>
                <w:rFonts w:hint="eastAsia" w:ascii="楷体" w:hAnsi="楷体" w:eastAsia="楷体" w:cs="宋体"/>
                <w:b/>
                <w:bCs/>
                <w:spacing w:val="-2"/>
                <w:sz w:val="18"/>
                <w:szCs w:val="18"/>
                <w:highlight w:val="none"/>
                <w:u w:val="single"/>
              </w:rPr>
              <w:t>投资</w:t>
            </w:r>
            <w:r>
              <w:rPr>
                <w:rFonts w:ascii="楷体" w:hAnsi="楷体" w:eastAsia="楷体" w:cs="宋体"/>
                <w:b/>
                <w:bCs/>
                <w:spacing w:val="-2"/>
                <w:sz w:val="18"/>
                <w:szCs w:val="18"/>
                <w:highlight w:val="none"/>
                <w:u w:val="single"/>
              </w:rPr>
              <w:t>收益水平，在产品说明书约定的投资范围和投资比例内</w:t>
            </w:r>
            <w:r>
              <w:rPr>
                <w:rFonts w:hint="eastAsia" w:ascii="楷体" w:hAnsi="楷体" w:eastAsia="楷体" w:cs="宋体"/>
                <w:b/>
                <w:bCs/>
                <w:spacing w:val="-2"/>
                <w:sz w:val="18"/>
                <w:szCs w:val="18"/>
                <w:highlight w:val="none"/>
                <w:u w:val="single"/>
              </w:rPr>
              <w:t>，综合考虑各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份额收取的销售服务费和投资管理费</w:t>
            </w:r>
            <w:r>
              <w:rPr>
                <w:rFonts w:hint="eastAsia" w:ascii="楷体" w:hAnsi="楷体" w:eastAsia="楷体" w:cs="宋体"/>
                <w:b/>
                <w:bCs/>
                <w:spacing w:val="-2"/>
                <w:sz w:val="18"/>
                <w:szCs w:val="18"/>
                <w:highlight w:val="none"/>
                <w:u w:val="single"/>
                <w:lang w:val="en-US" w:eastAsia="zh-CN"/>
              </w:rPr>
              <w:t>等费用</w:t>
            </w:r>
            <w:r>
              <w:rPr>
                <w:rFonts w:hint="eastAsia" w:ascii="楷体" w:hAnsi="楷体" w:eastAsia="楷体" w:cs="宋体"/>
                <w:b/>
                <w:bCs/>
                <w:spacing w:val="-2"/>
                <w:sz w:val="18"/>
                <w:szCs w:val="18"/>
                <w:highlight w:val="none"/>
                <w:u w:val="single"/>
              </w:rPr>
              <w:t>情况，</w:t>
            </w:r>
            <w:r>
              <w:rPr>
                <w:rFonts w:ascii="楷体" w:hAnsi="楷体" w:eastAsia="楷体" w:cs="宋体"/>
                <w:b/>
                <w:bCs/>
                <w:spacing w:val="-2"/>
                <w:sz w:val="18"/>
                <w:szCs w:val="18"/>
                <w:highlight w:val="none"/>
                <w:u w:val="single"/>
              </w:rPr>
              <w:t>模拟测算得出</w:t>
            </w:r>
            <w:r>
              <w:rPr>
                <w:rFonts w:hint="eastAsia" w:ascii="楷体" w:hAnsi="楷体" w:eastAsia="楷体" w:cs="宋体"/>
                <w:b/>
                <w:bCs/>
                <w:spacing w:val="-2"/>
                <w:sz w:val="18"/>
                <w:szCs w:val="18"/>
                <w:highlight w:val="none"/>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b/>
                <w:bCs/>
                <w:spacing w:val="-2"/>
                <w:sz w:val="18"/>
                <w:szCs w:val="18"/>
                <w:highlight w:val="none"/>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highlight w:val="none"/>
                <w:u w:val="single"/>
              </w:rPr>
              <w:t>。</w:t>
            </w:r>
            <w:r>
              <w:rPr>
                <w:rFonts w:hint="eastAsia" w:ascii="楷体" w:hAnsi="楷体" w:eastAsia="楷体" w:cs="宋体"/>
                <w:spacing w:val="-2"/>
                <w:kern w:val="0"/>
                <w:sz w:val="18"/>
                <w:szCs w:val="18"/>
                <w:highlight w:val="none"/>
                <w:lang w:val="en-US" w:eastAsia="zh-CN" w:bidi="ar-SA"/>
              </w:rPr>
              <w:t>各类份额最新投资周期（2026年6月24日-2027年7月15日）业绩比较基准如下：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w:t>
                  </w:r>
                </w:p>
              </w:tc>
              <w:tc>
                <w:tcPr>
                  <w:tcW w:w="1871"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投资周期起始日</w:t>
                  </w:r>
                </w:p>
              </w:tc>
              <w:tc>
                <w:tcPr>
                  <w:tcW w:w="1803"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投资周期终止日</w:t>
                  </w:r>
                </w:p>
              </w:tc>
              <w:tc>
                <w:tcPr>
                  <w:tcW w:w="2701" w:type="dxa"/>
                  <w:vAlign w:val="center"/>
                </w:tcPr>
                <w:p>
                  <w:pPr>
                    <w:jc w:val="center"/>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业绩比较基准</w:t>
                  </w:r>
                </w:p>
                <w:p>
                  <w:pPr>
                    <w:jc w:val="center"/>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1</w:t>
                  </w:r>
                </w:p>
              </w:tc>
              <w:tc>
                <w:tcPr>
                  <w:tcW w:w="1871" w:type="dxa"/>
                  <w:vAlign w:val="center"/>
                </w:tcPr>
                <w:p>
                  <w:pPr>
                    <w:spacing w:before="0" w:after="0" w:line="0" w:lineRule="atLeast"/>
                    <w:jc w:val="center"/>
                  </w:pPr>
                  <w:r>
                    <w:rPr>
                      <w:rFonts w:ascii="楷体" w:hAnsi="楷体" w:eastAsia="楷体"/>
                      <w:sz w:val="18"/>
                    </w:rPr>
                    <w:t>2021年4月14日</w:t>
                  </w:r>
                </w:p>
              </w:tc>
              <w:tc>
                <w:tcPr>
                  <w:tcW w:w="1803" w:type="dxa"/>
                  <w:vAlign w:val="center"/>
                </w:tcPr>
                <w:p>
                  <w:pPr>
                    <w:spacing w:before="0" w:after="0" w:line="0" w:lineRule="atLeast"/>
                    <w:jc w:val="center"/>
                  </w:pPr>
                  <w:r>
                    <w:rPr>
                      <w:rFonts w:ascii="楷体" w:hAnsi="楷体" w:eastAsia="楷体"/>
                      <w:sz w:val="18"/>
                    </w:rPr>
                    <w:t>2022年5月19日</w:t>
                  </w:r>
                </w:p>
              </w:tc>
              <w:tc>
                <w:tcPr>
                  <w:tcW w:w="2701" w:type="dxa"/>
                  <w:vAlign w:val="center"/>
                </w:tcPr>
                <w:p>
                  <w:pPr>
                    <w:spacing w:before="0" w:after="0" w:line="0" w:lineRule="atLeast"/>
                    <w:jc w:val="center"/>
                  </w:pPr>
                  <w:r>
                    <w:rPr>
                      <w:rFonts w:ascii="楷体" w:hAnsi="楷体" w:eastAsia="楷体"/>
                      <w:sz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2</w:t>
                  </w:r>
                </w:p>
              </w:tc>
              <w:tc>
                <w:tcPr>
                  <w:tcW w:w="1871" w:type="dxa"/>
                  <w:vAlign w:val="center"/>
                </w:tcPr>
                <w:p>
                  <w:pPr>
                    <w:spacing w:before="0" w:after="0" w:line="0" w:lineRule="atLeast"/>
                    <w:jc w:val="center"/>
                  </w:pPr>
                  <w:r>
                    <w:rPr>
                      <w:rFonts w:ascii="楷体" w:hAnsi="楷体" w:eastAsia="楷体"/>
                      <w:sz w:val="18"/>
                    </w:rPr>
                    <w:t>2022年5月20日</w:t>
                  </w:r>
                </w:p>
              </w:tc>
              <w:tc>
                <w:tcPr>
                  <w:tcW w:w="1803" w:type="dxa"/>
                  <w:vAlign w:val="center"/>
                </w:tcPr>
                <w:p>
                  <w:pPr>
                    <w:spacing w:before="0" w:after="0" w:line="0" w:lineRule="atLeast"/>
                    <w:jc w:val="center"/>
                  </w:pPr>
                  <w:r>
                    <w:rPr>
                      <w:rFonts w:ascii="楷体" w:hAnsi="楷体" w:eastAsia="楷体"/>
                      <w:sz w:val="18"/>
                    </w:rPr>
                    <w:t>2023年5月16日</w:t>
                  </w:r>
                </w:p>
              </w:tc>
              <w:tc>
                <w:tcPr>
                  <w:tcW w:w="2701" w:type="dxa"/>
                  <w:vAlign w:val="center"/>
                </w:tcPr>
                <w:p>
                  <w:pPr>
                    <w:spacing w:before="0" w:after="0" w:line="0" w:lineRule="atLeast"/>
                    <w:jc w:val="center"/>
                  </w:pPr>
                  <w:r>
                    <w:rPr>
                      <w:rFonts w:ascii="楷体" w:hAnsi="楷体" w:eastAsia="楷体"/>
                      <w:sz w:val="18"/>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3</w:t>
                  </w:r>
                </w:p>
              </w:tc>
              <w:tc>
                <w:tcPr>
                  <w:tcW w:w="1871" w:type="dxa"/>
                  <w:vAlign w:val="center"/>
                </w:tcPr>
                <w:p>
                  <w:pPr>
                    <w:spacing w:before="0" w:after="0" w:line="0" w:lineRule="atLeast"/>
                    <w:jc w:val="center"/>
                  </w:pPr>
                  <w:r>
                    <w:rPr>
                      <w:rFonts w:ascii="楷体" w:hAnsi="楷体" w:eastAsia="楷体"/>
                      <w:sz w:val="18"/>
                    </w:rPr>
                    <w:t>2023年5月17日</w:t>
                  </w:r>
                </w:p>
              </w:tc>
              <w:tc>
                <w:tcPr>
                  <w:tcW w:w="1803" w:type="dxa"/>
                  <w:vAlign w:val="center"/>
                </w:tcPr>
                <w:p>
                  <w:pPr>
                    <w:spacing w:before="0" w:after="0" w:line="0" w:lineRule="atLeast"/>
                    <w:jc w:val="center"/>
                  </w:pPr>
                  <w:r>
                    <w:rPr>
                      <w:rFonts w:ascii="楷体" w:hAnsi="楷体" w:eastAsia="楷体"/>
                      <w:sz w:val="18"/>
                    </w:rPr>
                    <w:t>2024年5月21日</w:t>
                  </w:r>
                </w:p>
              </w:tc>
              <w:tc>
                <w:tcPr>
                  <w:tcW w:w="2701" w:type="dxa"/>
                  <w:vAlign w:val="center"/>
                </w:tcPr>
                <w:p>
                  <w:pPr>
                    <w:spacing w:before="0" w:after="0" w:line="0" w:lineRule="atLeast"/>
                    <w:jc w:val="center"/>
                  </w:pPr>
                  <w:r>
                    <w:rPr>
                      <w:rFonts w:ascii="楷体" w:hAnsi="楷体" w:eastAsia="楷体"/>
                      <w:sz w:val="18"/>
                    </w:rPr>
                    <w:t>A份额 4%</w:t>
                  </w:r>
                  <w:r>
                    <w:rPr>
                      <w:rFonts w:ascii="楷体" w:hAnsi="楷体" w:eastAsia="楷体"/>
                      <w:sz w:val="18"/>
                    </w:rPr>
                    <w:br w:type="textWrapping"/>
                  </w:r>
                  <w:r>
                    <w:rPr>
                      <w:rFonts w:ascii="楷体" w:hAnsi="楷体" w:eastAsia="楷体"/>
                      <w:sz w:val="18"/>
                    </w:rPr>
                    <w:t>B份额 4.03%</w:t>
                  </w:r>
                  <w:r>
                    <w:rPr>
                      <w:rFonts w:ascii="楷体" w:hAnsi="楷体" w:eastAsia="楷体"/>
                      <w:sz w:val="18"/>
                    </w:rPr>
                    <w:br w:type="textWrapping"/>
                  </w:r>
                  <w:r>
                    <w:rPr>
                      <w:rFonts w:ascii="楷体" w:hAnsi="楷体" w:eastAsia="楷体"/>
                      <w:sz w:val="18"/>
                    </w:rPr>
                    <w:t>X份额 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4</w:t>
                  </w:r>
                </w:p>
              </w:tc>
              <w:tc>
                <w:tcPr>
                  <w:tcW w:w="1871" w:type="dxa"/>
                  <w:vAlign w:val="center"/>
                </w:tcPr>
                <w:p>
                  <w:pPr>
                    <w:spacing w:before="0" w:after="0" w:line="0" w:lineRule="atLeast"/>
                    <w:jc w:val="center"/>
                  </w:pPr>
                  <w:r>
                    <w:rPr>
                      <w:rFonts w:ascii="楷体" w:hAnsi="楷体" w:eastAsia="楷体"/>
                      <w:sz w:val="18"/>
                    </w:rPr>
                    <w:t>2024年5月22日</w:t>
                  </w:r>
                </w:p>
              </w:tc>
              <w:tc>
                <w:tcPr>
                  <w:tcW w:w="1803" w:type="dxa"/>
                  <w:vAlign w:val="center"/>
                </w:tcPr>
                <w:p>
                  <w:pPr>
                    <w:spacing w:before="0" w:after="0" w:line="0" w:lineRule="atLeast"/>
                    <w:jc w:val="center"/>
                  </w:pPr>
                  <w:r>
                    <w:rPr>
                      <w:rFonts w:ascii="楷体" w:hAnsi="楷体" w:eastAsia="楷体"/>
                      <w:sz w:val="18"/>
                    </w:rPr>
                    <w:t>2025年5月28日</w:t>
                  </w:r>
                </w:p>
              </w:tc>
              <w:tc>
                <w:tcPr>
                  <w:tcW w:w="2701" w:type="dxa"/>
                  <w:vAlign w:val="center"/>
                </w:tcPr>
                <w:p>
                  <w:pPr>
                    <w:spacing w:before="0" w:after="0" w:line="0" w:lineRule="atLeast"/>
                    <w:jc w:val="center"/>
                  </w:pPr>
                  <w:r>
                    <w:rPr>
                      <w:rFonts w:ascii="楷体" w:hAnsi="楷体" w:eastAsia="楷体"/>
                      <w:sz w:val="18"/>
                    </w:rPr>
                    <w:t>A份额3.00%-3.60%</w:t>
                  </w:r>
                  <w:r>
                    <w:rPr>
                      <w:rFonts w:ascii="楷体" w:hAnsi="楷体" w:eastAsia="楷体"/>
                      <w:sz w:val="18"/>
                    </w:rPr>
                    <w:br w:type="textWrapping"/>
                  </w:r>
                  <w:r>
                    <w:rPr>
                      <w:rFonts w:ascii="楷体" w:hAnsi="楷体" w:eastAsia="楷体"/>
                      <w:sz w:val="18"/>
                    </w:rPr>
                    <w:t>B份额3.03%-3.63%</w:t>
                  </w:r>
                  <w:r>
                    <w:rPr>
                      <w:rFonts w:ascii="楷体" w:hAnsi="楷体" w:eastAsia="楷体"/>
                      <w:sz w:val="18"/>
                    </w:rPr>
                    <w:br w:type="textWrapping"/>
                  </w:r>
                  <w:r>
                    <w:rPr>
                      <w:rFonts w:ascii="楷体" w:hAnsi="楷体" w:eastAsia="楷体"/>
                      <w:sz w:val="18"/>
                    </w:rPr>
                    <w:t>D份额3.15%-3.75%</w:t>
                  </w:r>
                  <w:r>
                    <w:rPr>
                      <w:rFonts w:ascii="楷体" w:hAnsi="楷体" w:eastAsia="楷体"/>
                      <w:sz w:val="18"/>
                    </w:rPr>
                    <w:br w:type="textWrapping"/>
                  </w:r>
                  <w:r>
                    <w:rPr>
                      <w:rFonts w:ascii="楷体" w:hAnsi="楷体" w:eastAsia="楷体"/>
                      <w:sz w:val="18"/>
                    </w:rPr>
                    <w:t>F份额3.00%-3.60%</w:t>
                  </w:r>
                  <w:r>
                    <w:rPr>
                      <w:rFonts w:ascii="楷体" w:hAnsi="楷体" w:eastAsia="楷体"/>
                      <w:sz w:val="18"/>
                    </w:rPr>
                    <w:br w:type="textWrapping"/>
                  </w:r>
                  <w:r>
                    <w:rPr>
                      <w:rFonts w:ascii="楷体" w:hAnsi="楷体" w:eastAsia="楷体"/>
                      <w:sz w:val="18"/>
                    </w:rPr>
                    <w:t>G份额3.05%-3.65%</w:t>
                  </w:r>
                  <w:r>
                    <w:rPr>
                      <w:rFonts w:ascii="楷体" w:hAnsi="楷体" w:eastAsia="楷体"/>
                      <w:sz w:val="18"/>
                    </w:rPr>
                    <w:br w:type="textWrapping"/>
                  </w:r>
                  <w:r>
                    <w:rPr>
                      <w:rFonts w:ascii="楷体" w:hAnsi="楷体" w:eastAsia="楷体"/>
                      <w:sz w:val="18"/>
                    </w:rPr>
                    <w:t>J份额3.10%-3.70%</w:t>
                  </w:r>
                  <w:r>
                    <w:rPr>
                      <w:rFonts w:ascii="楷体" w:hAnsi="楷体" w:eastAsia="楷体"/>
                      <w:sz w:val="18"/>
                    </w:rPr>
                    <w:br w:type="textWrapping"/>
                  </w:r>
                  <w:r>
                    <w:rPr>
                      <w:rFonts w:ascii="楷体" w:hAnsi="楷体" w:eastAsia="楷体"/>
                      <w:sz w:val="18"/>
                    </w:rPr>
                    <w:t>M份额 3.10%-3.70%</w:t>
                  </w:r>
                  <w:r>
                    <w:rPr>
                      <w:rFonts w:ascii="楷体" w:hAnsi="楷体" w:eastAsia="楷体"/>
                      <w:sz w:val="18"/>
                    </w:rPr>
                    <w:br w:type="textWrapping"/>
                  </w:r>
                  <w:r>
                    <w:rPr>
                      <w:rFonts w:ascii="楷体" w:hAnsi="楷体" w:eastAsia="楷体"/>
                      <w:sz w:val="18"/>
                    </w:rPr>
                    <w:t>ZA份额3.00%-3.60%</w:t>
                  </w:r>
                  <w:r>
                    <w:rPr>
                      <w:rFonts w:ascii="楷体" w:hAnsi="楷体" w:eastAsia="楷体"/>
                      <w:sz w:val="18"/>
                    </w:rPr>
                    <w:br w:type="textWrapping"/>
                  </w:r>
                  <w:r>
                    <w:rPr>
                      <w:rFonts w:ascii="楷体" w:hAnsi="楷体" w:eastAsia="楷体"/>
                      <w:sz w:val="18"/>
                    </w:rPr>
                    <w:t>ZF份额3.00%-3.60%</w:t>
                  </w:r>
                  <w:r>
                    <w:rPr>
                      <w:rFonts w:ascii="楷体" w:hAnsi="楷体" w:eastAsia="楷体"/>
                      <w:sz w:val="18"/>
                    </w:rPr>
                    <w:br w:type="textWrapping"/>
                  </w:r>
                  <w:r>
                    <w:rPr>
                      <w:rFonts w:ascii="楷体" w:hAnsi="楷体" w:eastAsia="楷体"/>
                      <w:sz w:val="18"/>
                    </w:rPr>
                    <w:t>ZS份额3.10%-3.70%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5</w:t>
                  </w:r>
                </w:p>
              </w:tc>
              <w:tc>
                <w:tcPr>
                  <w:tcW w:w="1871" w:type="dxa"/>
                  <w:vAlign w:val="center"/>
                </w:tcPr>
                <w:p>
                  <w:pPr>
                    <w:spacing w:before="0" w:after="0" w:line="0" w:lineRule="atLeast"/>
                    <w:jc w:val="center"/>
                  </w:pPr>
                  <w:r>
                    <w:rPr>
                      <w:rFonts w:ascii="楷体" w:hAnsi="楷体" w:eastAsia="楷体"/>
                      <w:sz w:val="18"/>
                    </w:rPr>
                    <w:t>2025年5月29日</w:t>
                  </w:r>
                </w:p>
              </w:tc>
              <w:tc>
                <w:tcPr>
                  <w:tcW w:w="1803" w:type="dxa"/>
                  <w:vAlign w:val="center"/>
                </w:tcPr>
                <w:p>
                  <w:pPr>
                    <w:spacing w:before="0" w:after="0" w:line="0" w:lineRule="atLeast"/>
                    <w:jc w:val="center"/>
                  </w:pPr>
                  <w:r>
                    <w:rPr>
                      <w:rFonts w:ascii="楷体" w:hAnsi="楷体" w:eastAsia="楷体"/>
                      <w:sz w:val="18"/>
                    </w:rPr>
                    <w:t>2026年6月23日</w:t>
                  </w:r>
                </w:p>
              </w:tc>
              <w:tc>
                <w:tcPr>
                  <w:tcW w:w="2701" w:type="dxa"/>
                  <w:vAlign w:val="center"/>
                </w:tcPr>
                <w:p>
                  <w:pPr>
                    <w:spacing w:before="0" w:after="0" w:line="0" w:lineRule="atLeast"/>
                    <w:jc w:val="center"/>
                  </w:pPr>
                  <w:r>
                    <w:rPr>
                      <w:rFonts w:ascii="楷体" w:hAnsi="楷体" w:eastAsia="楷体"/>
                      <w:sz w:val="18"/>
                    </w:rPr>
                    <w:t>A份额 2.60%-3.20%</w:t>
                  </w:r>
                  <w:r>
                    <w:rPr>
                      <w:rFonts w:ascii="楷体" w:hAnsi="楷体" w:eastAsia="楷体"/>
                      <w:sz w:val="18"/>
                    </w:rPr>
                    <w:br w:type="textWrapping"/>
                  </w:r>
                  <w:r>
                    <w:rPr>
                      <w:rFonts w:ascii="楷体" w:hAnsi="楷体" w:eastAsia="楷体"/>
                      <w:sz w:val="18"/>
                    </w:rPr>
                    <w:t>B份额 2.63%-3.23%</w:t>
                  </w:r>
                  <w:r>
                    <w:rPr>
                      <w:rFonts w:ascii="楷体" w:hAnsi="楷体" w:eastAsia="楷体"/>
                      <w:sz w:val="18"/>
                    </w:rPr>
                    <w:br w:type="textWrapping"/>
                  </w:r>
                  <w:r>
                    <w:rPr>
                      <w:rFonts w:ascii="楷体" w:hAnsi="楷体" w:eastAsia="楷体"/>
                      <w:sz w:val="18"/>
                    </w:rPr>
                    <w:t>D份额 2.75%-3.35%</w:t>
                  </w:r>
                  <w:r>
                    <w:rPr>
                      <w:rFonts w:ascii="楷体" w:hAnsi="楷体" w:eastAsia="楷体"/>
                      <w:sz w:val="18"/>
                    </w:rPr>
                    <w:br w:type="textWrapping"/>
                  </w:r>
                  <w:r>
                    <w:rPr>
                      <w:rFonts w:ascii="楷体" w:hAnsi="楷体" w:eastAsia="楷体"/>
                      <w:sz w:val="18"/>
                    </w:rPr>
                    <w:t>F份额 2.60%-3.20%</w:t>
                  </w:r>
                  <w:r>
                    <w:rPr>
                      <w:rFonts w:ascii="楷体" w:hAnsi="楷体" w:eastAsia="楷体"/>
                      <w:sz w:val="18"/>
                    </w:rPr>
                    <w:br w:type="textWrapping"/>
                  </w:r>
                  <w:r>
                    <w:rPr>
                      <w:rFonts w:ascii="楷体" w:hAnsi="楷体" w:eastAsia="楷体"/>
                      <w:sz w:val="18"/>
                    </w:rPr>
                    <w:t>G份额 2.65%-3.25%</w:t>
                  </w:r>
                  <w:r>
                    <w:rPr>
                      <w:rFonts w:ascii="楷体" w:hAnsi="楷体" w:eastAsia="楷体"/>
                      <w:sz w:val="18"/>
                    </w:rPr>
                    <w:br w:type="textWrapping"/>
                  </w:r>
                  <w:r>
                    <w:rPr>
                      <w:rFonts w:ascii="楷体" w:hAnsi="楷体" w:eastAsia="楷体"/>
                      <w:sz w:val="18"/>
                    </w:rPr>
                    <w:t>J份额 2.70%-3.30%</w:t>
                  </w:r>
                  <w:r>
                    <w:rPr>
                      <w:rFonts w:ascii="楷体" w:hAnsi="楷体" w:eastAsia="楷体"/>
                      <w:sz w:val="18"/>
                    </w:rPr>
                    <w:br w:type="textWrapping"/>
                  </w:r>
                  <w:r>
                    <w:rPr>
                      <w:rFonts w:ascii="楷体" w:hAnsi="楷体" w:eastAsia="楷体"/>
                      <w:sz w:val="18"/>
                    </w:rPr>
                    <w:t>M份额 2.70%-3.30%</w:t>
                  </w:r>
                  <w:r>
                    <w:rPr>
                      <w:rFonts w:ascii="楷体" w:hAnsi="楷体" w:eastAsia="楷体"/>
                      <w:sz w:val="18"/>
                    </w:rPr>
                    <w:br w:type="textWrapping"/>
                  </w:r>
                  <w:r>
                    <w:rPr>
                      <w:rFonts w:ascii="楷体" w:hAnsi="楷体" w:eastAsia="楷体"/>
                      <w:sz w:val="18"/>
                    </w:rPr>
                    <w:t>P份额 2.80%-3.40%</w:t>
                  </w:r>
                  <w:r>
                    <w:rPr>
                      <w:rFonts w:ascii="楷体" w:hAnsi="楷体" w:eastAsia="楷体"/>
                      <w:sz w:val="18"/>
                    </w:rPr>
                    <w:br w:type="textWrapping"/>
                  </w:r>
                  <w:r>
                    <w:rPr>
                      <w:rFonts w:ascii="楷体" w:hAnsi="楷体" w:eastAsia="楷体"/>
                      <w:sz w:val="18"/>
                    </w:rPr>
                    <w:t>ZA份额 2.60%-3.20%</w:t>
                  </w:r>
                  <w:r>
                    <w:rPr>
                      <w:rFonts w:ascii="楷体" w:hAnsi="楷体" w:eastAsia="楷体"/>
                      <w:sz w:val="18"/>
                    </w:rPr>
                    <w:br w:type="textWrapping"/>
                  </w:r>
                  <w:r>
                    <w:rPr>
                      <w:rFonts w:ascii="楷体" w:hAnsi="楷体" w:eastAsia="楷体"/>
                      <w:sz w:val="18"/>
                    </w:rPr>
                    <w:t>ZF份额 2.60%-3.20%</w:t>
                  </w:r>
                  <w:r>
                    <w:rPr>
                      <w:rFonts w:ascii="楷体" w:hAnsi="楷体" w:eastAsia="楷体"/>
                      <w:sz w:val="18"/>
                    </w:rPr>
                    <w:br w:type="textWrapping"/>
                  </w:r>
                  <w:r>
                    <w:rPr>
                      <w:rFonts w:ascii="楷体" w:hAnsi="楷体" w:eastAsia="楷体"/>
                      <w:sz w:val="18"/>
                    </w:rPr>
                    <w:t>ZN份额 2.79%-3.39%</w:t>
                  </w:r>
                  <w:r>
                    <w:rPr>
                      <w:rFonts w:ascii="楷体" w:hAnsi="楷体" w:eastAsia="楷体"/>
                      <w:sz w:val="18"/>
                    </w:rPr>
                    <w:br w:type="textWrapping"/>
                  </w:r>
                  <w:r>
                    <w:rPr>
                      <w:rFonts w:ascii="楷体" w:hAnsi="楷体" w:eastAsia="楷体"/>
                      <w:sz w:val="18"/>
                    </w:rPr>
                    <w:t>ZQ份额 2.55%-3.15%</w:t>
                  </w:r>
                  <w:r>
                    <w:rPr>
                      <w:rFonts w:ascii="楷体" w:hAnsi="楷体" w:eastAsia="楷体"/>
                      <w:sz w:val="18"/>
                    </w:rPr>
                    <w:br w:type="textWrapping"/>
                  </w:r>
                  <w:r>
                    <w:rPr>
                      <w:rFonts w:ascii="楷体" w:hAnsi="楷体" w:eastAsia="楷体"/>
                      <w:sz w:val="18"/>
                    </w:rPr>
                    <w:t>ZR份额 2.85%-3.45%</w:t>
                  </w:r>
                  <w:r>
                    <w:rPr>
                      <w:rFonts w:ascii="楷体" w:hAnsi="楷体" w:eastAsia="楷体"/>
                      <w:sz w:val="18"/>
                    </w:rPr>
                    <w:br w:type="textWrapping"/>
                  </w:r>
                  <w:r>
                    <w:rPr>
                      <w:rFonts w:ascii="楷体" w:hAnsi="楷体" w:eastAsia="楷体"/>
                      <w:sz w:val="18"/>
                    </w:rPr>
                    <w:t>ZS份额 2.70%-3.30%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rPr>
                      <w:rFonts w:hint="eastAsia" w:eastAsia="宋体"/>
                      <w:lang w:eastAsia="zh-CN"/>
                    </w:rPr>
                  </w:pPr>
                  <w:r>
                    <w:rPr>
                      <w:rFonts w:hint="eastAsia" w:ascii="楷体" w:hAnsi="楷体" w:eastAsia="楷体"/>
                      <w:sz w:val="18"/>
                      <w:lang w:val="en-US" w:eastAsia="zh-CN"/>
                    </w:rPr>
                    <w:t>6</w:t>
                  </w:r>
                </w:p>
              </w:tc>
              <w:tc>
                <w:tcPr>
                  <w:tcW w:w="1871" w:type="dxa"/>
                  <w:vAlign w:val="center"/>
                </w:tcPr>
                <w:p>
                  <w:pPr>
                    <w:spacing w:before="0" w:after="0" w:line="0" w:lineRule="atLeast"/>
                    <w:jc w:val="center"/>
                  </w:pPr>
                  <w:r>
                    <w:rPr>
                      <w:rFonts w:ascii="楷体" w:hAnsi="楷体" w:eastAsia="楷体"/>
                      <w:sz w:val="18"/>
                    </w:rPr>
                    <w:t>2026年6月24日</w:t>
                  </w:r>
                </w:p>
              </w:tc>
              <w:tc>
                <w:tcPr>
                  <w:tcW w:w="1803" w:type="dxa"/>
                  <w:vAlign w:val="center"/>
                </w:tcPr>
                <w:p>
                  <w:pPr>
                    <w:spacing w:before="0" w:after="0" w:line="0" w:lineRule="atLeast"/>
                    <w:jc w:val="center"/>
                  </w:pPr>
                  <w:r>
                    <w:rPr>
                      <w:rFonts w:ascii="楷体" w:hAnsi="楷体" w:eastAsia="楷体"/>
                      <w:sz w:val="18"/>
                    </w:rPr>
                    <w:t>2027年7月15日</w:t>
                  </w:r>
                </w:p>
              </w:tc>
              <w:tc>
                <w:tcPr>
                  <w:tcW w:w="2701" w:type="dxa"/>
                  <w:vAlign w:val="center"/>
                </w:tcPr>
                <w:p>
                  <w:pPr>
                    <w:spacing w:before="0" w:after="0" w:line="0" w:lineRule="atLeast"/>
                    <w:jc w:val="center"/>
                  </w:pPr>
                  <w:r>
                    <w:rPr>
                      <w:rFonts w:ascii="楷体" w:hAnsi="楷体" w:eastAsia="楷体"/>
                      <w:sz w:val="18"/>
                    </w:rPr>
                    <w:t>A份额2.45%-3.05%</w:t>
                  </w:r>
                  <w:r>
                    <w:rPr>
                      <w:rFonts w:ascii="楷体" w:hAnsi="楷体" w:eastAsia="楷体"/>
                      <w:sz w:val="18"/>
                    </w:rPr>
                    <w:br w:type="textWrapping"/>
                  </w:r>
                  <w:r>
                    <w:rPr>
                      <w:rFonts w:ascii="楷体" w:hAnsi="楷体" w:eastAsia="楷体"/>
                      <w:sz w:val="18"/>
                    </w:rPr>
                    <w:t>B份额2.48%-3.08%</w:t>
                  </w:r>
                  <w:r>
                    <w:rPr>
                      <w:rFonts w:ascii="楷体" w:hAnsi="楷体" w:eastAsia="楷体"/>
                      <w:sz w:val="18"/>
                    </w:rPr>
                    <w:br w:type="textWrapping"/>
                  </w:r>
                  <w:r>
                    <w:rPr>
                      <w:rFonts w:ascii="楷体" w:hAnsi="楷体" w:eastAsia="楷体"/>
                      <w:sz w:val="18"/>
                    </w:rPr>
                    <w:t>C份额2.50%-3.10%</w:t>
                  </w:r>
                  <w:r>
                    <w:rPr>
                      <w:rFonts w:ascii="楷体" w:hAnsi="楷体" w:eastAsia="楷体"/>
                      <w:sz w:val="18"/>
                    </w:rPr>
                    <w:br w:type="textWrapping"/>
                  </w:r>
                  <w:r>
                    <w:rPr>
                      <w:rFonts w:ascii="楷体" w:hAnsi="楷体" w:eastAsia="楷体"/>
                      <w:sz w:val="18"/>
                    </w:rPr>
                    <w:t>D份额2.60%-3.20%</w:t>
                  </w:r>
                  <w:r>
                    <w:rPr>
                      <w:rFonts w:ascii="楷体" w:hAnsi="楷体" w:eastAsia="楷体"/>
                      <w:sz w:val="18"/>
                    </w:rPr>
                    <w:br w:type="textWrapping"/>
                  </w:r>
                  <w:r>
                    <w:rPr>
                      <w:rFonts w:ascii="楷体" w:hAnsi="楷体" w:eastAsia="楷体"/>
                      <w:sz w:val="18"/>
                    </w:rPr>
                    <w:t>F份额2.45%-3.05%</w:t>
                  </w:r>
                  <w:r>
                    <w:rPr>
                      <w:rFonts w:ascii="楷体" w:hAnsi="楷体" w:eastAsia="楷体"/>
                      <w:sz w:val="18"/>
                    </w:rPr>
                    <w:br w:type="textWrapping"/>
                  </w:r>
                  <w:r>
                    <w:rPr>
                      <w:rFonts w:ascii="楷体" w:hAnsi="楷体" w:eastAsia="楷体"/>
                      <w:sz w:val="18"/>
                    </w:rPr>
                    <w:t>G份额2.48%-3.08%</w:t>
                  </w:r>
                  <w:r>
                    <w:rPr>
                      <w:rFonts w:ascii="楷体" w:hAnsi="楷体" w:eastAsia="楷体"/>
                      <w:sz w:val="18"/>
                    </w:rPr>
                    <w:br w:type="textWrapping"/>
                  </w:r>
                  <w:r>
                    <w:rPr>
                      <w:rFonts w:ascii="楷体" w:hAnsi="楷体" w:eastAsia="楷体"/>
                      <w:sz w:val="18"/>
                    </w:rPr>
                    <w:t>J份额2.55%-3.15%</w:t>
                  </w:r>
                  <w:r>
                    <w:rPr>
                      <w:rFonts w:ascii="楷体" w:hAnsi="楷体" w:eastAsia="楷体"/>
                      <w:sz w:val="18"/>
                    </w:rPr>
                    <w:br w:type="textWrapping"/>
                  </w:r>
                  <w:r>
                    <w:rPr>
                      <w:rFonts w:ascii="楷体" w:hAnsi="楷体" w:eastAsia="楷体"/>
                      <w:sz w:val="18"/>
                    </w:rPr>
                    <w:t>M份额2.55%-3.15%</w:t>
                  </w:r>
                  <w:r>
                    <w:rPr>
                      <w:rFonts w:ascii="楷体" w:hAnsi="楷体" w:eastAsia="楷体"/>
                      <w:sz w:val="18"/>
                    </w:rPr>
                    <w:br w:type="textWrapping"/>
                  </w:r>
                  <w:r>
                    <w:rPr>
                      <w:rFonts w:ascii="楷体" w:hAnsi="楷体" w:eastAsia="楷体"/>
                      <w:sz w:val="18"/>
                    </w:rPr>
                    <w:t>P份额2.65%-3.25%</w:t>
                  </w:r>
                  <w:r>
                    <w:rPr>
                      <w:rFonts w:ascii="楷体" w:hAnsi="楷体" w:eastAsia="楷体"/>
                      <w:sz w:val="18"/>
                    </w:rPr>
                    <w:br w:type="textWrapping"/>
                  </w:r>
                  <w:r>
                    <w:rPr>
                      <w:rFonts w:ascii="楷体" w:hAnsi="楷体" w:eastAsia="楷体"/>
                      <w:sz w:val="18"/>
                    </w:rPr>
                    <w:t>GRC份额2.50%-3.10%</w:t>
                  </w:r>
                  <w:r>
                    <w:rPr>
                      <w:rFonts w:ascii="楷体" w:hAnsi="楷体" w:eastAsia="楷体"/>
                      <w:sz w:val="18"/>
                    </w:rPr>
                    <w:br w:type="textWrapping"/>
                  </w:r>
                  <w:r>
                    <w:rPr>
                      <w:rFonts w:ascii="楷体" w:hAnsi="楷体" w:eastAsia="楷体"/>
                      <w:sz w:val="18"/>
                    </w:rPr>
                    <w:t>GS份额2.55%-3.15%</w:t>
                  </w:r>
                  <w:r>
                    <w:rPr>
                      <w:rFonts w:ascii="楷体" w:hAnsi="楷体" w:eastAsia="楷体"/>
                      <w:sz w:val="18"/>
                    </w:rPr>
                    <w:br w:type="textWrapping"/>
                  </w:r>
                  <w:r>
                    <w:rPr>
                      <w:rFonts w:ascii="楷体" w:hAnsi="楷体" w:eastAsia="楷体"/>
                      <w:sz w:val="18"/>
                    </w:rPr>
                    <w:t>SX份额2.55%-3.15%</w:t>
                  </w:r>
                  <w:r>
                    <w:rPr>
                      <w:rFonts w:ascii="楷体" w:hAnsi="楷体" w:eastAsia="楷体"/>
                      <w:sz w:val="18"/>
                    </w:rPr>
                    <w:br w:type="textWrapping"/>
                  </w:r>
                  <w:r>
                    <w:rPr>
                      <w:rFonts w:ascii="楷体" w:hAnsi="楷体" w:eastAsia="楷体"/>
                      <w:sz w:val="18"/>
                    </w:rPr>
                    <w:t>U份额2.45%-3.05%</w:t>
                  </w:r>
                  <w:r>
                    <w:rPr>
                      <w:rFonts w:ascii="楷体" w:hAnsi="楷体" w:eastAsia="楷体"/>
                      <w:sz w:val="18"/>
                    </w:rPr>
                    <w:br w:type="textWrapping"/>
                  </w:r>
                  <w:r>
                    <w:rPr>
                      <w:rFonts w:ascii="楷体" w:hAnsi="楷体" w:eastAsia="楷体"/>
                      <w:sz w:val="18"/>
                    </w:rPr>
                    <w:t>Z份额2.45%-3.05%</w:t>
                  </w:r>
                  <w:r>
                    <w:rPr>
                      <w:rFonts w:ascii="楷体" w:hAnsi="楷体" w:eastAsia="楷体"/>
                      <w:sz w:val="18"/>
                    </w:rPr>
                    <w:br w:type="textWrapping"/>
                  </w:r>
                  <w:r>
                    <w:rPr>
                      <w:rFonts w:ascii="楷体" w:hAnsi="楷体" w:eastAsia="楷体"/>
                      <w:sz w:val="18"/>
                    </w:rPr>
                    <w:t>Z1份额2.50%-3.10%</w:t>
                  </w:r>
                  <w:r>
                    <w:rPr>
                      <w:rFonts w:ascii="楷体" w:hAnsi="楷体" w:eastAsia="楷体"/>
                      <w:sz w:val="18"/>
                    </w:rPr>
                    <w:br w:type="textWrapping"/>
                  </w:r>
                  <w:r>
                    <w:rPr>
                      <w:rFonts w:ascii="楷体" w:hAnsi="楷体" w:eastAsia="楷体"/>
                      <w:sz w:val="18"/>
                    </w:rPr>
                    <w:t>Z2份额2.55%-3.15%</w:t>
                  </w:r>
                  <w:r>
                    <w:rPr>
                      <w:rFonts w:ascii="楷体" w:hAnsi="楷体" w:eastAsia="楷体"/>
                      <w:sz w:val="18"/>
                    </w:rPr>
                    <w:br w:type="textWrapping"/>
                  </w:r>
                  <w:r>
                    <w:rPr>
                      <w:rFonts w:ascii="楷体" w:hAnsi="楷体" w:eastAsia="楷体"/>
                      <w:sz w:val="18"/>
                    </w:rPr>
                    <w:t>ZA份额2.45%-3.05%</w:t>
                  </w:r>
                  <w:r>
                    <w:rPr>
                      <w:rFonts w:ascii="楷体" w:hAnsi="楷体" w:eastAsia="楷体"/>
                      <w:sz w:val="18"/>
                    </w:rPr>
                    <w:br w:type="textWrapping"/>
                  </w:r>
                  <w:r>
                    <w:rPr>
                      <w:rFonts w:ascii="楷体" w:hAnsi="楷体" w:eastAsia="楷体"/>
                      <w:sz w:val="18"/>
                    </w:rPr>
                    <w:t>ZF份额2.45%-3.05%</w:t>
                  </w:r>
                  <w:r>
                    <w:rPr>
                      <w:rFonts w:ascii="楷体" w:hAnsi="楷体" w:eastAsia="楷体"/>
                      <w:sz w:val="18"/>
                    </w:rPr>
                    <w:br w:type="textWrapping"/>
                  </w:r>
                  <w:r>
                    <w:rPr>
                      <w:rFonts w:ascii="楷体" w:hAnsi="楷体" w:eastAsia="楷体"/>
                      <w:sz w:val="18"/>
                    </w:rPr>
                    <w:t>ZF2份额2.55%-3.15%</w:t>
                  </w:r>
                  <w:r>
                    <w:rPr>
                      <w:rFonts w:ascii="楷体" w:hAnsi="楷体" w:eastAsia="楷体"/>
                      <w:sz w:val="18"/>
                    </w:rPr>
                    <w:br w:type="textWrapping"/>
                  </w:r>
                  <w:r>
                    <w:rPr>
                      <w:rFonts w:ascii="楷体" w:hAnsi="楷体" w:eastAsia="楷体"/>
                      <w:sz w:val="18"/>
                    </w:rPr>
                    <w:t>ZJ份额2.70%-3.30%</w:t>
                  </w:r>
                  <w:r>
                    <w:rPr>
                      <w:rFonts w:ascii="楷体" w:hAnsi="楷体" w:eastAsia="楷体"/>
                      <w:sz w:val="18"/>
                    </w:rPr>
                    <w:br w:type="textWrapping"/>
                  </w:r>
                  <w:r>
                    <w:rPr>
                      <w:rFonts w:ascii="楷体" w:hAnsi="楷体" w:eastAsia="楷体"/>
                      <w:sz w:val="18"/>
                    </w:rPr>
                    <w:t>ZL份额2.60%-3.20%</w:t>
                  </w:r>
                  <w:r>
                    <w:rPr>
                      <w:rFonts w:ascii="楷体" w:hAnsi="楷体" w:eastAsia="楷体"/>
                      <w:sz w:val="18"/>
                    </w:rPr>
                    <w:br w:type="textWrapping"/>
                  </w:r>
                  <w:r>
                    <w:rPr>
                      <w:rFonts w:ascii="楷体" w:hAnsi="楷体" w:eastAsia="楷体"/>
                      <w:sz w:val="18"/>
                    </w:rPr>
                    <w:t>ZN份额2.55%-3.15%</w:t>
                  </w:r>
                  <w:r>
                    <w:rPr>
                      <w:rFonts w:ascii="楷体" w:hAnsi="楷体" w:eastAsia="楷体"/>
                      <w:sz w:val="18"/>
                    </w:rPr>
                    <w:br w:type="textWrapping"/>
                  </w:r>
                  <w:r>
                    <w:rPr>
                      <w:rFonts w:ascii="楷体" w:hAnsi="楷体" w:eastAsia="楷体"/>
                      <w:sz w:val="18"/>
                    </w:rPr>
                    <w:t>ZQ份额2.40%-3.00%</w:t>
                  </w:r>
                  <w:r>
                    <w:rPr>
                      <w:rFonts w:ascii="楷体" w:hAnsi="楷体" w:eastAsia="楷体"/>
                      <w:sz w:val="18"/>
                    </w:rPr>
                    <w:br w:type="textWrapping"/>
                  </w:r>
                  <w:r>
                    <w:rPr>
                      <w:rFonts w:ascii="楷体" w:hAnsi="楷体" w:eastAsia="楷体"/>
                      <w:sz w:val="18"/>
                    </w:rPr>
                    <w:t>ZC份额2.50%-3.10%</w:t>
                  </w:r>
                  <w:r>
                    <w:rPr>
                      <w:rFonts w:ascii="楷体" w:hAnsi="楷体" w:eastAsia="楷体"/>
                      <w:sz w:val="18"/>
                    </w:rPr>
                    <w:br w:type="textWrapping"/>
                  </w:r>
                  <w:r>
                    <w:rPr>
                      <w:rFonts w:ascii="楷体" w:hAnsi="楷体" w:eastAsia="楷体"/>
                      <w:sz w:val="18"/>
                    </w:rPr>
                    <w:t>ZK份额2.60%-3.20%</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0.50%，B份额 0.50%，C份额 0.50%，D份额 0.50%，F份额 0.65%，G份额 0.55%，J份额 0.50%，M份额 0.55%，P份额 0.45%，GRC份额 0.65%，GS份额 0.55%，SX份额 0.55%，U份额 0.60%，Z份额 0.65%，Z1份额 0.60%，Z2份额 0.55%，ZA份额 0.65%，ZF份额 0.65%，ZF2份额 0.60%，ZJ份额 0.45%，ZL份额 0.50%，ZN份额 0.55%，ZQ份额 0.65%，ZC份额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0.65%，G份额 0.72%，J份额 0.70%，M份额 0.65%，P份额 0.65%，GRC份额 0.60%，GS份额 0.65%，SX份额 0.65%，U份额 0.70%，Z份额 0.65%，Z1份额 0.65%，Z2份额 0.65%，ZA份额 0.65%，ZF份额 0.65%，ZF2份额 0.60%，ZJ份额 0.60%，ZL份额 0.65%，ZN份额 0.65%，ZQ份额 0.70%，ZC份额 0.65%，ZK份额 0.65%。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highlight w:val="none"/>
              </w:rPr>
            </w:pPr>
            <w:r>
              <w:rPr>
                <w:rFonts w:hint="eastAsia" w:ascii="楷体" w:hAnsi="楷体" w:eastAsia="楷体" w:cs="宋体"/>
                <w:b/>
                <w:spacing w:val="-2"/>
                <w:sz w:val="18"/>
                <w:szCs w:val="18"/>
                <w:highlight w:val="none"/>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highlight w:val="non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本产品按投资周期进行现金分红</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highlight w:val="none"/>
              </w:rPr>
              <w:t>详见下文</w:t>
            </w:r>
            <w:r>
              <w:rPr>
                <w:rFonts w:hint="eastAsia" w:ascii="楷体" w:hAnsi="楷体" w:eastAsia="楷体" w:cs="宋体"/>
                <w:spacing w:val="-2"/>
                <w:sz w:val="18"/>
                <w:szCs w:val="18"/>
                <w:highlight w:val="none"/>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highlight w:val="none"/>
                <w:lang w:val="en-US"/>
              </w:rPr>
            </w:pPr>
            <w:r>
              <w:rPr>
                <w:rFonts w:hint="eastAsia" w:ascii="楷体" w:hAnsi="楷体" w:eastAsia="楷体" w:cs="宋体"/>
                <w:b/>
                <w:color w:val="auto"/>
                <w:spacing w:val="-2"/>
                <w:sz w:val="18"/>
                <w:szCs w:val="18"/>
                <w:highlight w:val="none"/>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w:t>
            </w:r>
            <w:r>
              <w:rPr>
                <w:rFonts w:hint="eastAsia" w:ascii="楷体" w:hAnsi="楷体" w:eastAsia="楷体" w:cs="宋体"/>
                <w:color w:val="auto"/>
                <w:spacing w:val="-2"/>
                <w:sz w:val="18"/>
                <w:szCs w:val="18"/>
                <w:highlight w:val="none"/>
                <w:shd w:val="clear" w:fill="auto"/>
                <w:lang w:val="en-US" w:eastAsia="zh-CN"/>
              </w:rPr>
              <w:t>产品</w:t>
            </w:r>
            <w:r>
              <w:rPr>
                <w:rFonts w:hint="eastAsia" w:ascii="楷体" w:hAnsi="楷体" w:eastAsia="楷体" w:cs="宋体"/>
                <w:color w:val="auto"/>
                <w:spacing w:val="-2"/>
                <w:sz w:val="18"/>
                <w:szCs w:val="18"/>
                <w:highlight w:val="none"/>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本产品管理人为</w:t>
      </w:r>
      <w:r>
        <w:rPr>
          <w:rFonts w:hint="eastAsia" w:ascii="楷体" w:hAnsi="楷体" w:eastAsia="楷体" w:cs="Calibri"/>
          <w:b/>
          <w:bCs/>
          <w:sz w:val="21"/>
          <w:szCs w:val="21"/>
          <w:highlight w:val="none"/>
          <w:u w:val="single"/>
        </w:rPr>
        <w:t>苏银理财有限责任公司</w:t>
      </w:r>
      <w:r>
        <w:rPr>
          <w:rFonts w:hint="eastAsia" w:ascii="楷体" w:hAnsi="楷体" w:eastAsia="楷体" w:cs="Calibri"/>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highlight w:val="none"/>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highlight w:val="none"/>
          <w:u w:val="single"/>
          <w:lang w:val="en-US" w:eastAsia="zh-CN"/>
        </w:rPr>
        <w:t>江苏银行股份有限</w:t>
      </w:r>
      <w:r>
        <w:rPr>
          <w:rFonts w:hint="eastAsia" w:ascii="楷体" w:hAnsi="楷体" w:eastAsia="楷体" w:cs="Calibri"/>
          <w:b/>
          <w:bCs/>
          <w:sz w:val="21"/>
          <w:szCs w:val="21"/>
          <w:highlight w:val="none"/>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江苏如皋农村商业银行股份有限公司/江苏高邮农村商业银行股份有限公司/江苏洪泽农村商业银行股份有限公司/江苏靖江农村商业银行股份有限公司/江苏句容农村商业银行股份有限公司/江苏阜宁农村商业银行股份有限公司/江苏盱眙农村商业银行股份有限公司/江苏新沂农村商业银行股份有限公司/江苏海安农村商业银行股份有限公司/江苏高淳农村商业银行股份有限公司/江苏扬中农村商业银行股份有限公司/江苏涟水农村商业银行股份有限公司/江苏溧水农村商业银行股份有限公司/江苏丹阳农村商业银行股份有限公司/江苏淮安农村商业银行股份有限公司/江苏江阴农村商业银行股份有限公司/江苏南通农村商业银行股份有限公司/江苏泰兴农村商业银行股份有限公司/江苏如东农村商业银行股份有限公司/江苏沭阳农村商业银行股份有限公司/江苏紫金农村商业银行股份有限公司/江苏仪征农村商业银行股份有限公司/江苏宜兴农村商业银行股份有限公司/江苏东台农村商业银行股份有限公司/江苏银行股份有限公司/江苏扬州农村商业银行股份有限公司/九江银行股份有限公司/江苏邳州农村商业银行股份有限公司/宁波东海银行股份有限公司/齐鲁银行股份有限公司/上海银行股份有限公司/苏银理财有限责任公司/上海农村商业银行股份有限公司/威海银行股份有限公司/兴业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B份额:江苏如皋农村商业银行股份有限公司/江苏高邮农村商业银行股份有限公司/江苏洪泽农村商业银行股份有限公司/江苏靖江农村商业银行股份有限公司/江苏句容农村商业银行股份有限公司/江苏阜宁农村商业银行股份有限公司/江苏盱眙农村商业银行股份有限公司/江苏新沂农村商业银行股份有限公司/江苏海安农村商业银行股份有限公司/江苏高淳农村商业银行股份有限公司/江苏扬中农村商业银行股份有限公司/江苏涟水农村商业银行股份有限公司/江苏溧水农村商业银行股份有限公司/江苏苏州农村商业银行股份有限公司/江苏丹阳农村商业银行股份有限公司/江苏淮安农村商业银行股份有限公司/江苏南通农村商业银行股份有限公司/江苏泰兴农村商业银行股份有限公司/江苏如东农村商业银行股份有限公司/江苏沭阳农村商业银行股份有限公司/江苏紫金农村商业银行股份有限公司/江苏仪征农村商业银行股份有限公司/江苏宜兴农村商业银行股份有限公司/江苏东台农村商业银行股份有限公司/江苏常熟农村商业银行股份有限公司/江苏银行股份有限公司/江苏扬州农村商业银行股份有限公司/江苏邳州农村商业银行股份有限公司/宁波东海银行股份有限公司/齐鲁银行股份有限公司/苏银理财有限责任公司/威海银行股份有限公司/徐州农村商业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C份额:江苏银行股份有限公司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D份额:江苏江阴农村商业银行股份有限公司/江苏银行股份有限公司/上海银行股份有限公司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F份额:北京农村商业银行股份有限公司/广州农村商业银行股份有限公司/甘肃银行股份有限公司/广州银行股份有限公司/杭州联合农村商业银行股份有限公司/华侨银行有限公司/交通银行股份有限公司/九江银行股份有限公司/宁波通商银行股份有限公司/宁波慈溪农村商业银行股份有限公司/宁波镇海农村商业银行股份有限公司/宁波余姚农村商业银行股份有限公司/日照银行股份有限公司/苏州银行股份有限公司/山西银行股份有限公司/深圳农村商业银行股份有限公司/泰安银行股份有限公司/台州银行股份有限公司/天津滨海农村商业银行股份有限公司/潍坊银行股份有限公司/兴业银行股份有限公司/浙江上虞农村商业银行股份有限公司/浙江桐庐农村商业银行股份有限公司/浙江永嘉农村商业银行股份有限公司/浙江临海农村商业银行股份有限公司/浙江海宁农村商业银行股份有限公司/浙江温州瓯海农村商业银行股份有限公司/浙江舟山定海海洋农村商业银行股份有限公司/浙江乐清农村商业银行股份有限公司/浙江杭州余杭农村商业银行股份有限公司/浙商银行股份有限公司/浙江萧山农村商业银行股份有限公司/浙江青田农村商业银行股份有限公司/浙江永康农村商业银行股份有限公司/浙江义乌农村商业银行股份有限公司/浙江温州龙湾农村商业银行股份有限公司/浙江德清农村商业银行股份有限公司/中邮邮惠万家银行有限责任公司/浙江嘉善农村商业银行股份有限公司/浙江长兴农村商业银行股份有限公司/浙江江山农村商业银行股份有限公司/浙江泰顺农村商业银行股份有限公司/浙江岱山农村商业银行股份有限公司/浙江开化农村商业银行股份有限公司/浙江武义农村商业银行股份有限公司/浙江绍兴瑞丰农村商业银行股份有限公司/浙江淳安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份额:广州农村商业银行股份有限公司/广州银行股份有限公司/杭州联合农村商业银行股份有限公司/徽商银行股份有限公司/九江银行股份有限公司/宁波通商银行股份有限公司/宁波余姚农村商业银行股份有限公司/山西银行股份有限公司/深圳农村商业银行股份有限公司/兴业银行股份有限公司/浙江上虞农村商业银行股份有限公司/浙江桐庐农村商业银行股份有限公司/浙江永嘉农村商业银行股份有限公司/浙江海宁农村商业银行股份有限公司/浙江舟山定海海洋农村商业银行股份有限公司/浙江杭州余杭农村商业银行股份有限公司/浙商银行股份有限公司/浙江衢州衢江农村商业银行股份有限公司/浙江青田农村商业银行股份有限公司/浙江德清农村商业银行股份有限公司/浙江嘉善农村商业银行股份有限公司/浙江岱山农村商业银行股份有限公司/浙江绍兴瑞丰农村商业银行股份有限公司/浙江淳安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J份额:江苏如皋农村商业银行股份有限公司/江苏银行股份有限公司/上海银行股份有限公司/威海银行股份有限公司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M份额:徽商银行股份有限公司/宁波通商银行股份有限公司/兴业银行股份有限公司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P份额:甘肃银行股份有限公司/徽商银行股份有限公司/泰安银行股份有限公司/郑州银行股份有限公司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GRC份额：广州农村商业银行股份有限公司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GS份额:甘肃银行股份有限公司/兰州银行股份有限公司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SX份额:山西银行股份有限公司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U份额：徽商银行股份有限公司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Z份额：上海农村商业银行股份有限公司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Z1份额：上海农村商业银行股份有限公司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sz w:val="21"/>
          <w:szCs w:val="21"/>
          <w:highlight w:val="none"/>
          <w:lang w:val="en-US" w:eastAsia="zh-CN"/>
        </w:rPr>
        <w:t>Z2份额：上海农村商业银行股份有限公司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A份额:江苏启东农村商业银行股份有限公司/江苏如皋农村商业银行股份有限公司/江苏高邮农村商业银行股份有限公司/江苏灌南农村商业银行股份有限公司/江苏洪泽农村商业银行股份有限公司/江苏靖江农村商业银行股份有限公司/江苏灌云农村商业银行股份有限公司/江苏句容农村商业银行股份有限公司/江苏阜宁农村商业银行股份有限公司/江苏盱眙农村商业银行股份有限公司/江苏新沂农村商业银行股份有限公司/江苏睢宁农村商业银行股份有限公司/江苏海安农村商业银行股份有限公司/江苏金湖农村商业银行股份有限公司/江苏东海农村商业银行股份有限公司/江苏高淳农村商业银行股份有限公司/江苏扬中农村商业银行股份有限公司/江苏姜堰农村商业银行股份有限公司/江苏盐城农村商业银行股份有限公司/江苏民丰农村商业银行股份有限公司/江苏涟水农村商业银行股份有限公司/江苏溧水农村商业银行股份有限公司/江苏丰县农村商业银行股份有限公司/江苏苏州农村商业银行股份有限公司/江苏大丰农村商业银行股份有限公司/江苏丹阳农村商业银行股份有限公司/江苏江都农村商业银行股份有限公司/江苏淮安农村商业银行股份有限公司/江苏南通农村商业银行股份有限公司/江苏镇江农村商业银行股份有限公司/江苏泰兴农村商业银行股份有限公司/江苏如东农村商业银行股份有限公司/江苏泗洪农村商业银行股份有限公司/江苏沭阳农村商业银行股份有限公司/江苏紫金农村商业银行股份有限公司/江苏仪征农村商业银行股份有限公司/江苏宜兴农村商业银行股份有限公司/江苏东台农村商业银行股份有限公司/江苏常熟农村商业银行股份有限公司/江苏建湖农村商业银行股份有限公司/江苏扬州农村商业银行股份有限公司/江苏泗阳农村商业银行股份有限公司/江苏响水农村商业银行股份有限公司/江苏邳州农村商业银行股份有限公司/连云港东方农村商业银行股份有限公司/宁波东海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份额:河北银行股份有限公司/汉口银行股份有限公司/江苏江南农村商业银行股份有限公司/江门农村商业银行股份有限公司/嘉兴银行股份有限公司/江苏张家港农村商业银行股份有限公司/莱商银行股份有限公司/宁波慈溪农村商业银行股份有限公司/宁波甬城农村商业银行股份有限公司/宁波镇海农村商业银行股份有限公司/宁波余姚农村商业银行股份有限公司/苏州银行股份有限公司/厦门银行股份有限公司/兴业银行股份有限公司/浙江上虞农村商业银行股份有限公司/中山农村商业银行股份有限公司/浙江衢州柯城农村商业银行股份有限公司/浙江民泰商业银行股份有限公司/浙江临海农村商业银行股份有限公司/浙江温州瓯海农村商业银行股份有限公司/浙江杭州余杭农村商业银行股份有限公司/浙江龙泉农村商业银行股份有限公司/浙江萧山农村商业银行股份有限公司/浙江衢州衢江农村商业银行股份有限公司/浙江青田农村商业银行股份有限公司/浙江永康农村商业银行股份有限公司/浙江义乌农村商业银行股份有限公司/浙江温州龙湾农村商业银行股份有限公司/浙江德清农村商业银行股份有限公司/浙江温岭农村商业银行股份有限公司/浙江临安农村商业银行股份有限公司/浙江嘉善农村商业银行股份有限公司/浙江南浔农村商业银行股份有限公司/浙江浦江农村商业银行股份有限公司/浙江新昌农村商业银行股份有限公司/浙江江山农村商业银行股份有限公司/浙江泰顺农村商业银行股份有限公司/浙江岱山农村商业银行股份有限公司/浙江兰溪农村商业银行股份有限公司/浙江开化农村商业银行股份有限公司/浙江东阳农村商业银行股份有限公司/浙江武义农村商业银行股份有限公司/浙江嵊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ZF2份额:石嘴山银行股份有限公司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J份额:湖州吴兴农村商业银行股份有限公司/苏银理财有限责任公司/泰安银行股份有限公司/浙江台州路桥农村商业银行股份有限公司/浙江上虞农村商业银行股份有限公司/浙江舟山普陀农村商业银行股份有限公司/浙江瑞安农村商业银行股份有限公司/浙江诸暨农村商业银行股份有限公司/浙江缙云农村商业银行股份有限公司/浙江衢州柯城农村商业银行股份有限公司/浙江禾城农村商业银行股份有限公司/浙江永嘉农村商业银行股份有限公司/浙江台州黄岩农村商业银行股份有限公司/浙江临海农村商业银行股份有限公司/浙江海宁农村商业银行股份有限公司/浙江温州瓯海农村商业银行股份有限公司/浙江舟山定海海洋农村商业银行股份有限公司/浙江乐清农村商业银行股份有限公司/浙江仙居农村商业银行股份有限公司/浙江龙泉农村商业银行股份有限公司/浙江绍兴恒信农村商业银行股份有限公司/浙江安吉农村商业银行股份有限公司/浙江金华成泰农村商业银行股份有限公司/浙江衢州衢江农村商业银行股份有限公司/浙江青田农村商业银行股份有限公司/浙江温州鹿城农村商业银行股份有限公司/浙江桐乡农村商业银行股份有限公司/浙江永康农村商业银行股份有限公司/浙江南浔农村商业银行股份有限公司/浙江义乌农村商业银行股份有限公司/浙江温州龙湾农村商业银行股份有限公司/浙江德清农村商业银行股份有限公司/浙江温岭农村商业银行股份有限公司/浙江嘉善农村商业银行股份有限公司/浙江长兴农村商业银行股份有限公司/浙江平湖农村商业银行股份有限公司/浙江浦江农村商业银行股份有限公司/浙江新昌农村商业银行股份有限公司/浙江苍南农村商业银行股份有限公司/浙江江山农村商业银行股份有限公司/浙江天台农村商业银行股份有限公司/浙江文成农村商业银行股份有限公司/浙江泰顺农村商业银行股份有限公司/浙江岱山农村商业银行股份有限公司/浙江海盐农村商业银行股份有限公司/浙江兰溪农村商业银行股份有限公司/浙江开化农村商业银行股份有限公司/浙江东阳农村商业银行股份有限公司/浙江遂昌农村商业银行股份有限公司/浙江武义农村商业银行股份有限公司/浙江龙游农村商业银行股份有限公司/浙江绍兴瑞丰农村商业银行股份有限公司/浙江嵊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ZL份额:苏州银行股份有限公司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ZN份额:广西北部湾银行股份有限公司/河北银行股份有限公司/宁波通商银行股份有限公司/苏银理财有限责任公司/浙江萧山农村商业银行股份有限公司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ZQ份额:江苏苏州农村商业银行股份有限公司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C份额:江苏如皋农村商业银行股份有限公司/江苏高邮农村商业银行股份有限公司/江苏灌南农村商业银行股份有限公司/江苏阜宁农村商业银行股份有限公司/江苏新沂农村商业银行股份有限公司/江苏海安农村商业银行股份有限公司/江苏东海农村商业银行股份有限公司/江苏高淳农村商业银行股份有限公司/江苏兴化农村商业银行股份有限公司/江苏姜堰农村商业银行股份有限公司/江苏盐城农村商业银行股份有限公司/江苏民丰农村商业银行股份有限公司/江苏溧水农村商业银行股份有限公司/江苏大丰农村商业银行股份有限公司/江苏丹阳农村商业银行股份有限公司/江苏江都农村商业银行股份有限公司/江苏泰兴农村商业银行股份有限公司/江苏如东农村商业银行股份有限公司/江苏紫金农村商业银行股份有限公司/江苏仪征农村商业银行股份有限公司/江苏宜兴农村商业银行股份有限公司/江苏东台农村商业银行股份有限公司/江苏常熟农村商业银行股份有限公司/江苏建湖农村商业银行股份有限公司/江苏扬州农村商业银行股份有限公司/江苏泗阳农村商业银行股份有限公司/江苏响水农村商业银行股份有限公司/连云港东方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K份额:江苏如皋农村商业银行股份有限公司/江苏高邮农村商业银行股份有限公司/江苏灌南农村商业银行股份有限公司/江苏阜宁农村商业银行股份有限公司/江苏新沂农村商业银行股份有限公司/江苏海安农村商业银行股份有限公司/江苏高淳农村商业银行股份有限公司/江苏兴化农村商业银行股份有限公司/江苏姜堰农村商业银行股份有限公司/江苏盐城农村商业银行股份有限公司/江苏民丰农村商业银行股份有限公司/江苏溧水农村商业银行股份有限公司/江苏大丰农村商业银行股份有限公司/江苏丹阳农村商业银行股份有限公司/江苏江都农村商业银行股份有限公司/江苏南通农村商业银行股份有限公司/江苏泰兴农村商业银行股份有限公司/江苏如东农村商业银行股份有限公司/江苏紫金农村商业银行股份有限公司/江苏仪征农村商业银行股份有限公司/江苏沛县农村商业银行股份有限公司/江苏宜兴农村商业银行股份有限公司/江苏东台农村商业银行股份有限公司/江苏常熟农村商业银行股份有限公司/江苏建湖农村商业银行股份有限公司/江苏扬州农村商业银行股份有限公司/江苏泗阳农村商业银行股份有限公司/江苏响水农村商业银行股份有限公司/连云港东方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名词释义</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销售代码：指本理财产品可能设置一</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或多</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产品份额，管理人在理财产品销售管理过程中对各</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份额设置的</w:t>
      </w:r>
      <w:r>
        <w:rPr>
          <w:rFonts w:hint="eastAsia" w:ascii="楷体" w:hAnsi="楷体" w:eastAsia="楷体" w:cs="Calibri"/>
          <w:sz w:val="21"/>
          <w:szCs w:val="21"/>
          <w:highlight w:val="none"/>
          <w:lang w:val="en-US" w:eastAsia="zh-CN"/>
        </w:rPr>
        <w:t>内部代</w:t>
      </w:r>
      <w:r>
        <w:rPr>
          <w:rFonts w:hint="eastAsia" w:ascii="楷体" w:hAnsi="楷体" w:eastAsia="楷体" w:cs="Calibri"/>
          <w:sz w:val="21"/>
          <w:szCs w:val="21"/>
          <w:highlight w:val="none"/>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交易日：</w:t>
      </w:r>
      <w:r>
        <w:rPr>
          <w:rFonts w:ascii="楷体" w:hAnsi="楷体" w:eastAsia="楷体" w:cs="Calibri"/>
          <w:sz w:val="21"/>
          <w:szCs w:val="21"/>
          <w:highlight w:val="none"/>
        </w:rPr>
        <w:t>指上海证券交易所和深圳证券交易所的正常开盘交易日</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份额登记日/份额确认日：</w:t>
      </w:r>
      <w:r>
        <w:rPr>
          <w:rFonts w:hint="eastAsia" w:ascii="楷体" w:hAnsi="楷体" w:eastAsia="楷体" w:cs="Calibri"/>
          <w:color w:val="auto"/>
          <w:sz w:val="21"/>
          <w:szCs w:val="21"/>
          <w:highlight w:val="none"/>
        </w:rPr>
        <w:t>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本理财产品计划通过债券、非标准化债权类资产的配置获取稳健收益，同时适时适量配置银行存款，包括同业存</w:t>
      </w:r>
      <w:r>
        <w:rPr>
          <w:rFonts w:hint="eastAsia" w:ascii="楷体" w:hAnsi="楷体" w:eastAsia="楷体"/>
          <w:sz w:val="21"/>
          <w:szCs w:val="21"/>
          <w:highlight w:val="none"/>
          <w:lang w:val="en-US" w:eastAsia="zh-CN"/>
        </w:rPr>
        <w:t>款</w:t>
      </w:r>
      <w:r>
        <w:rPr>
          <w:rFonts w:hint="default" w:ascii="楷体" w:hAnsi="楷体" w:eastAsia="楷体"/>
          <w:sz w:val="21"/>
          <w:szCs w:val="21"/>
          <w:highlight w:val="none"/>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none"/>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firstLine="420" w:firstLineChars="2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非标准化债权类资产：融资人为诸暨市国有资产经营有限公司。融资人经营正常，是依法设立的国有公司，主要股东为诸暨市财政局(诸暨市人民政府国有资产监督管理办公室)、浙江省财务开发有限责任公司，实际控制人为诸暨市财政局(诸暨市人民政府国有资产监督管理办公室)。（4）非标准化债权类资产：融资人为富港建设集团有限公司。融资人经营正常，是依法设立的国有公司，主要股东为如皋市人民政府、工银金融资产投资有限公司，实际控制人为如皋市人民政府。（5）非标准化债权类资产：融资人为无锡市梁溪产业发展集团有限公司。融资人经营正常，是依法设立的国有公司，主要股东为无锡市梁溪区人民政府国有资产监督管理办公室、无锡市梁溪城市运营服务集团有限公司，实际控制人为无锡市梁溪区人民政府国有资产监督管理办公室。（6）非标准化债权类资产：融资人为诸暨市城乡投资集团有限公司。融资人经营正常，是依法设立的国有公司，主要股东为诸暨市建设集团有限公司，实际控制人为诸暨市财政局。（7）非标准化债权类资产：融资人为台州市黄岩国有资本投资运营集团有限公司。融资人经营正常，是依法设立的国有公司，主要股东为台州市黄岩区财政局，实际控制人为台州市黄岩区财政局。（8）非标准化债权类资产：融资人为镇江文化广电产业集团有限公司。融资人经营正常，是依法设立的国有公司，主要股东为镇江市广播电视台，实际控制人为江苏省镇江市人民政府。（9）非标准化债权类资产：融资人为绍兴市镜湖开发集团有限公司。融资人经营正常，是依法设立的国有公司，主要股东为绍兴市人民政府国有资产监督管理委员会，实际控制人为绍兴市人民政府国有资产监督管理委员会。（10）非标准化债权类资产：融资人为泰兴市城市投资发展集团有限公司。融资人经营正常，是依法设立的国有公司，主要股东为江苏平仲科技发展集团有限公司，实际控制人为泰兴市人民政府国有资产监督管理办公室。（11）非标准化债权类资产：融资人为湖州经开投资发展集团有限公司。融资人经营正常，是依法设立的国有公司，主要股东为湖州南太湖国有控股集团有限公司，实际控制人为湖州市人民政府国有资产监督管理委员会。（12）非标准化债权类资产：融资人为湖州吴兴城市投资发展集团有限公司。融资人经营正常，是依法设立的国有公司，主要股东为湖州吴兴国控投资运营发展集团有限公司，实际控制人为湖州市吴兴区财政局。（13）非标准化债权类资产：融资人为江苏皋开投资发展集团有限公司。融资人经营正常，是依法设立的国有公司，主要股东为如皋市人民政府，实际控制人为如皋市人民政府。（14）非标准化债权类资产：融资人为燕舞集团有限公司。融资人经营正常，是依法设立的国有公司，主要股东为盐城市人民政府、盐城市城市资产投资集团有限公司、江苏悦达集团有限公司，实际控制人为盐城市人民政府。（15）非标准化债权类资产：融资人为兰溪市城市投资集团有限公司。融资人经营正常，是依法设立的国有公司，主要股东为兰溪市城市发展集团有限公司，实际控制人为兰溪市人民政府国有资产监督管理办公室。（16）非标准化债权类资产：融资人为绍兴市越城区城市发展建设集团有限公司。融资人经营正常，是依法设立的国有公司，主要股东为绍兴市越城区财政局，实际控制人为绍兴市越城区财政局。（17）非标准化债权类资产：融资人为桐庐县城市建设投资集团有限公司。融资人经营正常，是依法设立的国有公司，主要股东为桐庐投资建设发展集团有限公司，实际控制人为桐庐县人民政府国有资产监督管理委员会。（18）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19）非标准化债权类资产：融资人为扬州新盛投资集团有限公司。融资人经营正常，是依法设立的国有公司，主要股东为扬州市城建国有资产控股(集团)有限责任公司、扬州易盛德产业投资集团有限公司、扬州市扬子江文旅投资发展集团有限责任公司，实际控制人为扬州市人民政府国有资产监督管理委员会。（20）非标准化债权类资产：融资人为张家港市高铁投资发展(集团)有限公司。融资人经营正常，是依法设立的国有公司，主要股东为张家港市交通控股有限公司、张家港市城市投资发展集团有限公司、张家港高新区投资控股有限公司，张家港市城镇发展集团有限公司，实际控制人为张家港市国有资产管理中心。（21）非标准化债权类资产：融资人为海安市城建开发投资集团有限公司。融资人经营正常，是依法设立的国有公司，主要股东为海安市政府国有资产监督管理办公室，实际控制人为海安市政府国有资产监督管理办公室。（22）非标准化债权类资产：融资人为徐州金龙湖控股集团有限公司。融资人经营正常，是依法设立的国有公司，主要股东为徐州市产业发展控股集团有限公司，实际控制人为徐州市人民政府国有资产监督管理委员会。（23）同业借款：融资人为中国中信金融资产管理股份有限公司。融资人经营正常，是依法成立的国有公司，主要股东为中国中信集团有限公司、财政局、中国融信私募基金有限公司，实际控制人为财政部。（24）同业借款：融资人为中国东方资产管理股份有限公司。融资人经营正常，是依法成立的国有公司，主要股东为中央汇金投资有限责任公司、全国社会保障基金理事会、中国电信集团有限公司，实际控制人为国务院。（25）同业借款：融资人为中国信达资产管理股份有限公司。融资人经营正常，是依法成立的国有公司，主要股东为中央汇金投资有限责任公司，实际控制人为国务院。（26）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27）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28）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29）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30）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31）收益凭证：融资人为华泰证券股份有限公司。融资人经营正常，是依法设立的持牌金融机构，主要股东为江苏省国信集团有限公司、香港中央结算（代理人）有限公司、江苏交通控股有限公司，无实际控制人。（32）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33）收益凭证：融资人为申万宏源证券有限公司。融资人经营正常，是依法设立的持牌金融机构，主要股东为申万宏源集团股份有限公司，实际控制人为中央汇金投资有限责任公司。（34）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35）收益凭证：融资人为浙商证券股份有限公司。融资人经营正常，是依法设立的持牌金融机构，主要股东为浙江上三高速公路有限公司、台州市金融投资集团有限公司，实际控制人为浙江省交通投资集团有限公司。（36）收益凭证：融资人为国投证券股份有限公司。融资人经营正常，是依法设立的持牌金融机构，主要股东为国投资本股份有限公司、上海毅胜投资有限公司，实际控制人为国家开发投资集团有限公司。（37）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38）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39）收益凭证：融资人为兴业证券股份有限公司。融资人经营正常，是依法设立的持牌金融机构，主要股东为福建省财政厅、福建省投资开发集团有限责任公司、上海申新（集团）有限公司，实际控制人为福建省财政厅。（40）收益凭证：融资人为财通证券股份有限公司。融资人经营正常，是依法设立的持牌金融机构，主要股东为浙江省创新投资集团有限公司、浙江省财开集团有限公司、台州</w:t>
      </w:r>
      <w:r>
        <w:rPr>
          <w:rFonts w:hint="eastAsia" w:ascii="楷体" w:hAnsi="楷体" w:eastAsia="楷体" w:cs="楷体"/>
          <w:color w:val="auto"/>
          <w:kern w:val="2"/>
          <w:sz w:val="21"/>
          <w:szCs w:val="21"/>
          <w:highlight w:val="none"/>
          <w:lang w:val="en-US" w:eastAsia="zh-CN" w:bidi="ar-SA"/>
        </w:rPr>
        <w:t>市金融投资集团有限公司，实际控制人为浙江省财政厅。（41）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42）收益凭证：融资人为东海证券股份有限公司。融资人经营正常，是依法设立的持牌金融机构，主要股东为常州投资集团有限公司、山东金控资本管理有限公司，实际控制人为常州投资集团有限公司。（43）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44）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45）收益凭证：融资人为长城证券股份有限公司。融资人经营正常，是依法设立的持牌金融机构，主要股东为华能资本服务有限公司、深圳新江南投资有限公司、深圳能源集团股份有限公司，实际控制人为中央汇金投资有限责任公司。（46）收益凭证：融资人为中国中金财富证券有限公司。融资人经营正常，是依法设立的持牌金融机构，主要股东为中国国际金融股份有限公司，实际控制人为中央汇金投资有限责任公司。（47）收益凭证：融资人为山西证券股份有限公司。融资人经营正常，是依法设立的持牌金融机构，主要股东为山西金融投资控股集团有限公司、太原钢铁（集团）有限公司、山西国际电力集团有限公司，实际控制人为山西省财政厅。（48）收益凭证：融资人为国都证券股份有限公司。融资人经营正常，是依法设立的持牌金融机构，主要股东为浙商证券股份有限公司、中诚信托有限责任公司、北京国际信托有限公司，实际控制人为浙江省交通投资集团有限公司。（49）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50）收益凭证：融资人为华鑫证券有限责任公司。融资人经营正常，是依法设立的持牌金融机构，主要股东为上海华鑫股份有限公司，实际控制人为上海市国有资产监督管理委员会。（51）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52）收益凭证：融资人为广发证券股份有限公司。融资人经营正常，是依法设立的持牌金融机构，主要股东为香港中央结算（代理人）有限公司、吉林敖东药业集团股份有限公司、辽宁成大股份有限公司，无实际控制人。（53）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54）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1）-（2）各资产到期日不超过理财产品投资周期终止日，循环期不还本、摊还期过手摊还本息；（3）-（26）各资产到期日不超过理财产品投资周期终止日，定期付息、到期一次性还本；（27）-（54）各资产到期日不超过理财产品投资周期终止日，到期一次性还本付息。</w:t>
      </w:r>
      <w:bookmarkStart w:id="0" w:name="_GoBack"/>
      <w:bookmarkEnd w:id="0"/>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产品存续期内若本理财产品投资的非标准化债权类资产有所调整，管理人将选择优质企业作为融资人，且融资项目已履行管理人内部审批流程，融资人业务经营正常，融资项目还款来源明确，并在本理财产品的定期报告中披露。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numPr>
          <w:ilvl w:val="0"/>
          <w:numId w:val="0"/>
        </w:numPr>
        <w:ind w:firstLine="420" w:firstLineChars="200"/>
        <w:rPr>
          <w:rFonts w:hint="eastAsia" w:ascii="楷体" w:hAnsi="楷体" w:eastAsia="楷体"/>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r>
        <w:rPr>
          <w:rFonts w:hint="eastAsia" w:ascii="楷体" w:hAnsi="楷体" w:eastAsia="楷体"/>
          <w:sz w:val="21"/>
          <w:szCs w:val="21"/>
          <w:highlight w:val="none"/>
        </w:rPr>
        <w:t>：</w:t>
      </w:r>
    </w:p>
    <w:p>
      <w:pPr>
        <w:ind w:firstLine="420" w:firstLineChars="200"/>
        <w:rPr>
          <w:rFonts w:hint="eastAsia"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1 \* GB3 \* MERGEFORMAT </w:instrText>
      </w:r>
      <w:r>
        <w:rPr>
          <w:rFonts w:hint="default" w:ascii="Calibri" w:hAnsi="Calibri" w:eastAsia="楷体" w:cs="Calibri"/>
          <w:b w:val="0"/>
          <w:bCs w:val="0"/>
          <w:sz w:val="21"/>
          <w:szCs w:val="21"/>
          <w:highlight w:val="none"/>
        </w:rPr>
        <w:fldChar w:fldCharType="separate"/>
      </w:r>
      <w:r>
        <w:rPr>
          <w:highlight w:val="none"/>
        </w:rPr>
        <w:t>①</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江苏省国际信托有限责任公司</w:t>
      </w:r>
      <w:r>
        <w:rPr>
          <w:rFonts w:hint="eastAsia" w:ascii="楷体" w:hAnsi="楷体" w:eastAsia="楷体"/>
          <w:b w:val="0"/>
          <w:bCs w:val="0"/>
          <w:sz w:val="21"/>
          <w:szCs w:val="21"/>
          <w:highlight w:val="none"/>
          <w:lang w:eastAsia="zh-CN"/>
        </w:rPr>
        <w:t>：</w:t>
      </w:r>
      <w:r>
        <w:rPr>
          <w:rFonts w:hint="eastAsia" w:ascii="楷体" w:hAnsi="楷体" w:eastAsia="楷体"/>
          <w:b w:val="0"/>
          <w:bCs w:val="0"/>
          <w:sz w:val="21"/>
          <w:szCs w:val="21"/>
          <w:highlight w:val="none"/>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2 \* GB3 \* MERGEFORMAT </w:instrText>
      </w:r>
      <w:r>
        <w:rPr>
          <w:rFonts w:hint="default" w:ascii="Calibri" w:hAnsi="Calibri" w:eastAsia="楷体" w:cs="Calibri"/>
          <w:b w:val="0"/>
          <w:bCs w:val="0"/>
          <w:sz w:val="21"/>
          <w:szCs w:val="21"/>
          <w:highlight w:val="none"/>
        </w:rPr>
        <w:fldChar w:fldCharType="separate"/>
      </w:r>
      <w:r>
        <w:rPr>
          <w:highlight w:val="none"/>
        </w:rPr>
        <w:t>②</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创金合信基金管理有限公司</w:t>
      </w:r>
      <w:r>
        <w:rPr>
          <w:rFonts w:hint="eastAsia" w:ascii="楷体" w:hAnsi="楷体" w:eastAsia="楷体"/>
          <w:b w:val="0"/>
          <w:bCs w:val="0"/>
          <w:sz w:val="21"/>
          <w:szCs w:val="21"/>
          <w:highlight w:val="none"/>
          <w:lang w:eastAsia="zh-CN"/>
        </w:rPr>
        <w:t>：</w:t>
      </w:r>
      <w:r>
        <w:rPr>
          <w:rFonts w:ascii="楷体" w:hAnsi="楷体" w:eastAsia="楷体"/>
          <w:b w:val="0"/>
          <w:bCs w:val="0"/>
          <w:sz w:val="21"/>
          <w:szCs w:val="21"/>
          <w:highlight w:val="none"/>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b w:val="0"/>
          <w:bCs w:val="0"/>
          <w:sz w:val="21"/>
          <w:szCs w:val="21"/>
          <w:highlight w:val="none"/>
          <w:lang w:val="en-US" w:eastAsia="zh-CN"/>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3 \* GB3 \* MERGEFORMAT </w:instrText>
      </w:r>
      <w:r>
        <w:rPr>
          <w:rFonts w:hint="default" w:ascii="Calibri" w:hAnsi="Calibri" w:eastAsia="楷体" w:cs="Calibri"/>
          <w:b w:val="0"/>
          <w:bCs w:val="0"/>
          <w:sz w:val="21"/>
          <w:szCs w:val="21"/>
          <w:highlight w:val="none"/>
        </w:rPr>
        <w:fldChar w:fldCharType="separate"/>
      </w:r>
      <w:r>
        <w:rPr>
          <w:highlight w:val="none"/>
        </w:rPr>
        <w:t>③</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b w:val="0"/>
          <w:bCs w:val="0"/>
          <w:sz w:val="21"/>
          <w:szCs w:val="21"/>
          <w:highlight w:val="none"/>
          <w:lang w:val="en-US" w:eastAsia="zh-CN"/>
        </w:rPr>
      </w:pPr>
      <w:r>
        <w:rPr>
          <w:rFonts w:ascii="楷体" w:hAnsi="楷体" w:eastAsia="楷体"/>
          <w:b w:val="0"/>
          <w:bCs w:val="0"/>
          <w:sz w:val="21"/>
          <w:szCs w:val="21"/>
          <w:highlight w:val="none"/>
        </w:rPr>
        <w:fldChar w:fldCharType="begin"/>
      </w:r>
      <w:r>
        <w:rPr>
          <w:rFonts w:ascii="楷体" w:hAnsi="楷体" w:eastAsia="楷体"/>
          <w:b w:val="0"/>
          <w:bCs w:val="0"/>
          <w:sz w:val="21"/>
          <w:szCs w:val="21"/>
          <w:highlight w:val="none"/>
        </w:rPr>
        <w:instrText xml:space="preserve"> = 4 \* GB3 \* MERGEFORMAT </w:instrText>
      </w:r>
      <w:r>
        <w:rPr>
          <w:rFonts w:ascii="楷体" w:hAnsi="楷体" w:eastAsia="楷体"/>
          <w:b w:val="0"/>
          <w:bCs w:val="0"/>
          <w:sz w:val="21"/>
          <w:szCs w:val="21"/>
          <w:highlight w:val="none"/>
        </w:rPr>
        <w:fldChar w:fldCharType="separate"/>
      </w:r>
      <w:r>
        <w:rPr>
          <w:highlight w:val="none"/>
        </w:rPr>
        <w:t>④</w:t>
      </w:r>
      <w:r>
        <w:rPr>
          <w:rFonts w:ascii="楷体" w:hAnsi="楷体" w:eastAsia="楷体"/>
          <w:b w:val="0"/>
          <w:bCs w:val="0"/>
          <w:sz w:val="21"/>
          <w:szCs w:val="21"/>
          <w:highlight w:val="none"/>
        </w:rPr>
        <w:fldChar w:fldCharType="end"/>
      </w:r>
      <w:r>
        <w:rPr>
          <w:rFonts w:hint="eastAsia" w:ascii="楷体" w:hAnsi="楷体" w:eastAsia="楷体"/>
          <w:b w:val="0"/>
          <w:bCs w:val="0"/>
          <w:sz w:val="21"/>
          <w:szCs w:val="21"/>
          <w:highlight w:val="none"/>
          <w:lang w:val="en-US" w:eastAsia="zh-CN"/>
        </w:rPr>
        <w:t>中国国际金融股份有限公司：中国国际金融股份有限公司于1995年7月31日成立，实际控制人为中央汇金投资有限责任公司，注册资本4,827,256,868元。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5 \* GB3 \* MERGEFORMAT </w:instrText>
      </w:r>
      <w:r>
        <w:rPr>
          <w:rFonts w:hint="eastAsia" w:ascii="楷体" w:hAnsi="楷体" w:eastAsia="楷体"/>
          <w:b w:val="0"/>
          <w:bCs w:val="0"/>
          <w:sz w:val="21"/>
          <w:szCs w:val="21"/>
          <w:highlight w:val="none"/>
          <w:lang w:val="en-US" w:eastAsia="zh-CN"/>
        </w:rPr>
        <w:fldChar w:fldCharType="separate"/>
      </w:r>
      <w:r>
        <w:rPr>
          <w:highlight w:val="none"/>
        </w:rPr>
        <w:t>⑤</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6 \* GB3 \* MERGEFORMAT </w:instrText>
      </w:r>
      <w:r>
        <w:rPr>
          <w:rFonts w:hint="eastAsia" w:ascii="楷体" w:hAnsi="楷体" w:eastAsia="楷体"/>
          <w:b w:val="0"/>
          <w:bCs w:val="0"/>
          <w:sz w:val="21"/>
          <w:szCs w:val="21"/>
          <w:highlight w:val="none"/>
          <w:lang w:val="en-US" w:eastAsia="zh-CN"/>
        </w:rPr>
        <w:fldChar w:fldCharType="separate"/>
      </w:r>
      <w:r>
        <w:rPr>
          <w:highlight w:val="none"/>
        </w:rPr>
        <w:t>⑥</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7 \* GB3 \* MERGEFORMAT </w:instrText>
      </w:r>
      <w:r>
        <w:rPr>
          <w:rFonts w:hint="eastAsia" w:ascii="楷体" w:hAnsi="楷体" w:eastAsia="楷体"/>
          <w:b w:val="0"/>
          <w:bCs w:val="0"/>
          <w:sz w:val="21"/>
          <w:szCs w:val="21"/>
          <w:highlight w:val="none"/>
          <w:lang w:val="en-US" w:eastAsia="zh-CN"/>
        </w:rPr>
        <w:fldChar w:fldCharType="separate"/>
      </w:r>
      <w:r>
        <w:rPr>
          <w:highlight w:val="none"/>
        </w:rPr>
        <w:t>⑦</w:t>
      </w:r>
      <w:r>
        <w:rPr>
          <w:rFonts w:hint="eastAsia" w:ascii="楷体" w:hAnsi="楷体" w:eastAsia="楷体"/>
          <w:b w:val="0"/>
          <w:bCs w:val="0"/>
          <w:sz w:val="21"/>
          <w:szCs w:val="21"/>
          <w:highlight w:val="none"/>
          <w:lang w:val="en-US" w:eastAsia="zh-CN"/>
        </w:rPr>
        <w:fldChar w:fldCharType="end"/>
      </w:r>
      <w:r>
        <w:rPr>
          <w:rFonts w:hint="default" w:ascii="楷体" w:hAnsi="楷体" w:eastAsia="楷体"/>
          <w:b w:val="0"/>
          <w:bCs w:val="0"/>
          <w:sz w:val="21"/>
          <w:szCs w:val="21"/>
          <w:highlight w:val="none"/>
          <w:lang w:val="en-US" w:eastAsia="zh-CN"/>
        </w:rPr>
        <w:t>南方资本管理有限公司</w:t>
      </w:r>
      <w:r>
        <w:rPr>
          <w:rFonts w:hint="eastAsia" w:ascii="楷体" w:hAnsi="楷体" w:eastAsia="楷体"/>
          <w:b w:val="0"/>
          <w:bCs w:val="0"/>
          <w:sz w:val="21"/>
          <w:szCs w:val="21"/>
          <w:highlight w:val="none"/>
          <w:lang w:val="en-US" w:eastAsia="zh-CN"/>
        </w:rPr>
        <w:t>：</w:t>
      </w:r>
      <w:r>
        <w:rPr>
          <w:rFonts w:hint="default" w:ascii="楷体" w:hAnsi="楷体" w:eastAsia="楷体"/>
          <w:b w:val="0"/>
          <w:bCs w:val="0"/>
          <w:sz w:val="21"/>
          <w:szCs w:val="21"/>
          <w:highlight w:val="none"/>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w:t>
      </w:r>
      <w:r>
        <w:rPr>
          <w:rFonts w:hint="eastAsia" w:ascii="楷体" w:hAnsi="楷体" w:eastAsia="楷体" w:cs="Calibri"/>
          <w:b w:val="0"/>
          <w:bCs/>
          <w:sz w:val="21"/>
          <w:szCs w:val="21"/>
          <w:highlight w:val="none"/>
          <w:lang w:val="en-US" w:eastAsia="zh-CN"/>
        </w:rPr>
        <w:t>管理</w:t>
      </w:r>
      <w:r>
        <w:rPr>
          <w:rFonts w:hint="eastAsia" w:ascii="楷体" w:hAnsi="楷体" w:eastAsia="楷体" w:cs="Calibri"/>
          <w:b w:val="0"/>
          <w:bCs/>
          <w:sz w:val="21"/>
          <w:szCs w:val="21"/>
          <w:highlight w:val="none"/>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产品认购</w:t>
      </w:r>
    </w:p>
    <w:p>
      <w:pPr>
        <w:numPr>
          <w:ilvl w:val="0"/>
          <w:numId w:val="8"/>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认购方式</w:t>
      </w:r>
      <w:r>
        <w:rPr>
          <w:rFonts w:hint="eastAsia" w:ascii="楷体" w:hAnsi="楷体" w:eastAsia="楷体" w:cs="Calibri"/>
          <w:color w:val="auto"/>
          <w:sz w:val="21"/>
          <w:szCs w:val="21"/>
          <w:highlight w:val="none"/>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认购份额的计算</w:t>
      </w:r>
    </w:p>
    <w:p>
      <w:pPr>
        <w:numPr>
          <w:ilvl w:val="-1"/>
          <w:numId w:val="0"/>
        </w:numPr>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highlight w:val="none"/>
        </w:rPr>
      </w:pPr>
      <w:r>
        <w:rPr>
          <w:rFonts w:hint="eastAsia" w:ascii="楷体" w:hAnsi="楷体" w:eastAsia="楷体"/>
          <w:b/>
          <w:sz w:val="21"/>
          <w:szCs w:val="21"/>
          <w:highlight w:val="none"/>
        </w:rPr>
        <w:t>产品申购、赎回</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投资周期、开放计划</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本产品在每个投资周期结束前设置开放计划，时间为投资周期终止日前</w:t>
      </w:r>
      <w:r>
        <w:rPr>
          <w:rFonts w:hint="eastAsia" w:ascii="楷体" w:hAnsi="楷体" w:eastAsia="楷体"/>
          <w:sz w:val="21"/>
          <w:szCs w:val="21"/>
          <w:highlight w:val="none"/>
          <w:lang w:val="en-US" w:eastAsia="zh-CN"/>
        </w:rPr>
        <w:t>7个工作</w:t>
      </w:r>
      <w:r>
        <w:rPr>
          <w:rFonts w:hint="eastAsia" w:ascii="楷体" w:hAnsi="楷体" w:eastAsia="楷体"/>
          <w:sz w:val="21"/>
          <w:szCs w:val="21"/>
          <w:highlight w:val="none"/>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highlight w:val="none"/>
          <w:u w:val="single"/>
        </w:rPr>
        <w:t>除开放计划外的其他时间，管理人不接受投资者申购、赎回申请。</w:t>
      </w:r>
      <w:r>
        <w:rPr>
          <w:rFonts w:hint="eastAsia" w:ascii="楷体" w:hAnsi="楷体" w:eastAsia="楷体" w:cs="Calibri"/>
          <w:sz w:val="21"/>
          <w:szCs w:val="21"/>
          <w:highlight w:val="none"/>
        </w:rPr>
        <w:t>后续投资周期及开放计划受资产运作情况、节假日安排等要素限制，管理人将在每个投资周期结束前通过本理财产品说明书约定的方式披露下一周期开放计划。</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申购、赎回的原则：投资者必须在产品开放计划内提出申购、赎回申请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投资者提出赎回申请时，须有足够的理财产品份额余额。在开放计划内提交的申购/赎回申请可以在产品开放日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sz w:val="21"/>
          <w:szCs w:val="21"/>
          <w:highlight w:val="none"/>
        </w:rPr>
        <w:t>（</w:t>
      </w:r>
      <w:r>
        <w:rPr>
          <w:rFonts w:hint="eastAsia" w:ascii="楷体" w:hAnsi="楷体" w:eastAsia="楷体" w:cs="Calibri"/>
          <w:sz w:val="21"/>
          <w:szCs w:val="21"/>
          <w:highlight w:val="none"/>
          <w:lang w:val="en-US" w:eastAsia="zh-CN"/>
        </w:rPr>
        <w:t>闭市时间</w:t>
      </w:r>
      <w:r>
        <w:rPr>
          <w:rFonts w:hint="eastAsia" w:ascii="楷体" w:hAnsi="楷体" w:eastAsia="楷体"/>
          <w:sz w:val="21"/>
          <w:szCs w:val="21"/>
          <w:highlight w:val="none"/>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申购份额的计算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赎回金额的计算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巨额赎回</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详见“产品要素”</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特殊情形及处理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w:t>
      </w:r>
      <w:r>
        <w:rPr>
          <w:rFonts w:hint="eastAsia" w:ascii="楷体" w:hAnsi="楷体" w:eastAsia="楷体"/>
          <w:sz w:val="21"/>
          <w:szCs w:val="21"/>
          <w:highlight w:val="none"/>
          <w:lang w:val="en-US" w:eastAsia="zh-CN"/>
        </w:rPr>
        <w:t>计划</w:t>
      </w:r>
      <w:r>
        <w:rPr>
          <w:rFonts w:hint="eastAsia" w:ascii="楷体" w:hAnsi="楷体" w:eastAsia="楷体"/>
          <w:sz w:val="21"/>
          <w:szCs w:val="21"/>
          <w:highlight w:val="none"/>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highlight w:val="none"/>
          <w:lang w:eastAsia="zh-CN"/>
        </w:rPr>
      </w:pPr>
      <w:r>
        <w:rPr>
          <w:rFonts w:hint="eastAsia" w:ascii="楷体" w:hAnsi="楷体" w:eastAsia="楷体"/>
          <w:b/>
          <w:sz w:val="21"/>
          <w:szCs w:val="21"/>
          <w:highlight w:val="none"/>
          <w:u w:val="single"/>
        </w:rPr>
        <w:t>以下示例均为假设情况，不代表本产品实际投资业绩</w:t>
      </w:r>
      <w:r>
        <w:rPr>
          <w:rFonts w:hint="eastAsia" w:ascii="楷体" w:hAnsi="楷体" w:eastAsia="楷体"/>
          <w:b/>
          <w:sz w:val="21"/>
          <w:szCs w:val="21"/>
          <w:highlight w:val="none"/>
          <w:u w:val="single"/>
          <w:lang w:eastAsia="zh-CN"/>
        </w:rPr>
        <w:t>。</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1.情景一</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20。理财产品单位净值大于面值，管理人可进行现金分红，每份额可获得的现金分红为0.0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该投资周期投资者可得分红=10,000.00×0.0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20.00（元）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highlight w:val="none"/>
        </w:rPr>
      </w:pPr>
      <w:r>
        <w:rPr>
          <w:rFonts w:hint="eastAsia" w:ascii="楷体" w:hAnsi="楷体" w:eastAsia="楷体"/>
          <w:b/>
          <w:sz w:val="21"/>
          <w:szCs w:val="21"/>
          <w:highlight w:val="none"/>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highlight w:val="none"/>
          <w:u w:val="single"/>
          <w:lang w:val="en-US" w:eastAsia="zh-CN"/>
        </w:rPr>
        <w:t>收益</w:t>
      </w:r>
      <w:r>
        <w:rPr>
          <w:rFonts w:hint="eastAsia" w:ascii="楷体" w:hAnsi="楷体" w:eastAsia="楷体"/>
          <w:b/>
          <w:sz w:val="21"/>
          <w:szCs w:val="21"/>
          <w:highlight w:val="none"/>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numPr>
          <w:ilvl w:val="0"/>
          <w:numId w:val="0"/>
        </w:numPr>
        <w:ind w:left="0" w:firstLine="420" w:firstLineChars="200"/>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widowControl w:val="0"/>
        <w:numPr>
          <w:ilvl w:val="0"/>
          <w:numId w:val="0"/>
        </w:numPr>
        <w:tabs>
          <w:tab w:val="left" w:pos="1092"/>
        </w:tabs>
        <w:jc w:val="both"/>
        <w:rPr>
          <w:rFonts w:hint="eastAsia" w:ascii="楷体" w:hAnsi="楷体" w:eastAsia="楷体" w:cs="Calibri"/>
          <w:color w:val="auto"/>
          <w:sz w:val="21"/>
          <w:szCs w:val="21"/>
          <w:highlight w:val="none"/>
          <w:lang w:eastAsia="zh-CN"/>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lang w:val="en-US" w:eastAsia="zh-CN"/>
        </w:rPr>
        <w:t>情景示例</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1.情景一</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-10,000.00=</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2.情景二</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-10,000.00=-</w:t>
      </w:r>
      <w:r>
        <w:rPr>
          <w:rFonts w:ascii="楷体" w:hAnsi="楷体" w:eastAsia="楷体"/>
          <w:color w:val="auto"/>
          <w:sz w:val="21"/>
          <w:szCs w:val="21"/>
          <w:highlight w:val="none"/>
        </w:rPr>
        <w:t>2</w:t>
      </w: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w:t>
      </w:r>
      <w:r>
        <w:rPr>
          <w:rFonts w:ascii="楷体" w:hAnsi="楷体" w:eastAsia="楷体"/>
          <w:color w:val="auto"/>
          <w:sz w:val="21"/>
          <w:szCs w:val="21"/>
          <w:highlight w:val="none"/>
        </w:rPr>
        <w:t>0</w:t>
      </w:r>
      <w:r>
        <w:rPr>
          <w:rFonts w:hint="eastAsia" w:ascii="楷体" w:hAnsi="楷体" w:eastAsia="楷体"/>
          <w:color w:val="auto"/>
          <w:sz w:val="21"/>
          <w:szCs w:val="21"/>
          <w:highlight w:val="none"/>
          <w:lang w:val="en-US" w:eastAsia="zh-CN"/>
        </w:rPr>
        <w:t>6</w:t>
      </w:r>
      <w:r>
        <w:rPr>
          <w:rFonts w:hint="eastAsia" w:ascii="楷体" w:hAnsi="楷体" w:eastAsia="楷体"/>
          <w:color w:val="auto"/>
          <w:sz w:val="21"/>
          <w:szCs w:val="21"/>
          <w:highlight w:val="none"/>
        </w:rPr>
        <w:t>（元）</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最不利的情形下，投资者可能损失100%本金。</w:t>
      </w:r>
    </w:p>
    <w:p>
      <w:pPr>
        <w:ind w:left="0" w:leftChars="0" w:firstLine="422" w:firstLineChars="200"/>
        <w:rPr>
          <w:highlight w:val="none"/>
        </w:rPr>
      </w:pPr>
      <w:r>
        <w:rPr>
          <w:rFonts w:hint="eastAsia" w:ascii="楷体" w:hAnsi="楷体" w:eastAsia="楷体"/>
          <w:b/>
          <w:color w:val="auto"/>
          <w:sz w:val="21"/>
          <w:szCs w:val="21"/>
          <w:highlight w:val="none"/>
          <w:u w:val="single"/>
        </w:rPr>
        <w:t>上述情况假设仅用于向投资者示例收益计算方法之用，并不代表管理人对实际投资情况的预期判断，</w:t>
      </w:r>
      <w:r>
        <w:rPr>
          <w:rFonts w:hint="eastAsia" w:ascii="楷体" w:hAnsi="楷体" w:eastAsia="楷体"/>
          <w:b/>
          <w:color w:val="auto"/>
          <w:sz w:val="21"/>
          <w:szCs w:val="21"/>
          <w:highlight w:val="none"/>
          <w:u w:val="single"/>
          <w:lang w:val="en-US" w:eastAsia="zh-CN"/>
        </w:rPr>
        <w:t>也不代表</w:t>
      </w:r>
      <w:r>
        <w:rPr>
          <w:rFonts w:hint="eastAsia" w:ascii="楷体" w:hAnsi="楷体" w:eastAsia="楷体"/>
          <w:b/>
          <w:color w:val="auto"/>
          <w:sz w:val="21"/>
          <w:szCs w:val="21"/>
          <w:highlight w:val="none"/>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highlight w:val="none"/>
        </w:rPr>
      </w:pPr>
      <w:r>
        <w:rPr>
          <w:rFonts w:hint="eastAsia" w:ascii="楷体" w:hAnsi="楷体" w:eastAsia="楷体"/>
          <w:b/>
          <w:sz w:val="21"/>
          <w:szCs w:val="21"/>
          <w:highlight w:val="none"/>
        </w:rPr>
        <w:t>产品费用</w:t>
      </w:r>
    </w:p>
    <w:p>
      <w:pPr>
        <w:ind w:firstLine="420" w:firstLineChars="200"/>
        <w:rPr>
          <w:rFonts w:hint="default" w:ascii="楷体" w:hAnsi="楷体" w:eastAsia="楷体" w:cs="Calibri"/>
          <w:b w:val="0"/>
          <w:bCs/>
          <w:sz w:val="21"/>
          <w:szCs w:val="21"/>
          <w:highlight w:val="none"/>
          <w:lang w:val="en-US" w:eastAsia="zh-CN"/>
        </w:rPr>
      </w:pPr>
      <w:r>
        <w:rPr>
          <w:rFonts w:hint="eastAsia" w:ascii="楷体" w:hAnsi="楷体" w:eastAsia="楷体"/>
          <w:b w:val="0"/>
          <w:bCs/>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b w:val="0"/>
          <w:bCs/>
          <w:sz w:val="21"/>
          <w:szCs w:val="21"/>
          <w:highlight w:val="none"/>
        </w:rPr>
        <w:t>计提方法</w:t>
      </w:r>
      <w:r>
        <w:rPr>
          <w:rFonts w:hint="eastAsia" w:ascii="楷体" w:hAnsi="楷体" w:eastAsia="楷体" w:cs="Calibri"/>
          <w:b w:val="0"/>
          <w:bCs/>
          <w:sz w:val="21"/>
          <w:szCs w:val="21"/>
          <w:highlight w:val="none"/>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highlight w:val="none"/>
          <w:lang w:val="en-US" w:eastAsia="zh-CN"/>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产品估值</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本产品所拥有的各类证券、银行存款、应收款项及其它资产及负债。</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估值要求</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r>
        <w:rPr>
          <w:rFonts w:hint="eastAsia" w:ascii="楷体" w:hAnsi="楷体" w:eastAsia="楷体" w:cs="Calibri"/>
          <w:sz w:val="21"/>
          <w:szCs w:val="21"/>
          <w:highlight w:val="none"/>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位后截位。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存款类资产、货币市场工具：以本金列示，逐日计提利息。</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货币市场基金：以估值截止时间点能够取得的最新每万份收益进行估值。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债权类资产：按公允价值进行估值，采用合理的估值技术或监管机构认可的估值方法进行估值。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如有新增事项或变更事项，按国家法律法规及监管最新规定执行。</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信息披露</w:t>
      </w:r>
    </w:p>
    <w:p>
      <w:pPr>
        <w:numPr>
          <w:ilvl w:val="0"/>
          <w:numId w:val="1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方式</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highlight w:val="none"/>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内容及时间</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其他</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追索条款</w:t>
      </w:r>
    </w:p>
    <w:p>
      <w:pPr>
        <w:ind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苏银理财及</w:t>
      </w:r>
      <w:r>
        <w:rPr>
          <w:rFonts w:hint="eastAsia" w:ascii="楷体" w:hAnsi="楷体" w:eastAsia="楷体"/>
          <w:color w:val="auto"/>
          <w:sz w:val="21"/>
          <w:szCs w:val="21"/>
          <w:highlight w:val="none"/>
          <w:lang w:val="en-US" w:eastAsia="zh-CN"/>
        </w:rPr>
        <w:t>销售</w:t>
      </w:r>
      <w:r>
        <w:rPr>
          <w:rFonts w:hint="eastAsia" w:ascii="楷体" w:hAnsi="楷体" w:eastAsia="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争议解决</w:t>
      </w:r>
    </w:p>
    <w:p>
      <w:pPr>
        <w:ind w:firstLine="420" w:firstLineChars="200"/>
        <w:rPr>
          <w:rFonts w:hint="eastAsia"/>
        </w:rPr>
      </w:pP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的订立、生效、履行、解释、修改和终止等事项均适用中华人民共和国（</w:t>
      </w:r>
      <w:r>
        <w:rPr>
          <w:rFonts w:hint="eastAsia" w:ascii="楷体" w:hAnsi="楷体" w:eastAsia="楷体"/>
          <w:color w:val="auto"/>
          <w:sz w:val="21"/>
          <w:szCs w:val="21"/>
          <w:highlight w:val="none"/>
          <w:lang w:val="en-US" w:eastAsia="zh-CN"/>
        </w:rPr>
        <w:t>为本合同目的，</w:t>
      </w:r>
      <w:r>
        <w:rPr>
          <w:rFonts w:hint="eastAsia" w:ascii="楷体" w:hAnsi="楷体" w:eastAsia="楷体"/>
          <w:color w:val="auto"/>
          <w:sz w:val="21"/>
          <w:szCs w:val="21"/>
          <w:highlight w:val="none"/>
        </w:rPr>
        <w:t>不包括香港特别行政区、澳门特别行政区和台湾地区）法律。</w:t>
      </w:r>
      <w:r>
        <w:rPr>
          <w:rFonts w:hint="eastAsia" w:ascii="楷体" w:hAnsi="楷体" w:eastAsia="楷体"/>
          <w:color w:val="auto"/>
          <w:sz w:val="21"/>
          <w:szCs w:val="21"/>
          <w:highlight w:val="none"/>
          <w:lang w:val="en-US" w:eastAsia="zh-CN"/>
        </w:rPr>
        <w:t>因本产品说明书</w:t>
      </w:r>
      <w:r>
        <w:rPr>
          <w:rFonts w:hint="eastAsia" w:ascii="楷体" w:hAnsi="楷体" w:eastAsia="楷体"/>
          <w:color w:val="auto"/>
          <w:sz w:val="21"/>
          <w:szCs w:val="21"/>
          <w:highlight w:val="none"/>
        </w:rPr>
        <w:t>引起的或与</w:t>
      </w: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有关的任何争议，应当首先通过双方之间的友好协商解决；协商不成的，双方均有权提交产品管理人</w:t>
      </w:r>
      <w:r>
        <w:rPr>
          <w:rFonts w:hint="eastAsia" w:ascii="楷体" w:hAnsi="楷体" w:eastAsia="楷体"/>
          <w:color w:val="auto"/>
          <w:sz w:val="21"/>
          <w:szCs w:val="21"/>
          <w:highlight w:val="none"/>
          <w:lang w:val="en-US" w:eastAsia="zh-CN"/>
        </w:rPr>
        <w:t>住所地</w:t>
      </w:r>
      <w:r>
        <w:rPr>
          <w:rFonts w:hint="eastAsia" w:ascii="楷体" w:hAnsi="楷体" w:eastAsia="楷体"/>
          <w:color w:val="auto"/>
          <w:sz w:val="21"/>
          <w:szCs w:val="21"/>
          <w:highlight w:val="none"/>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081DDE"/>
    <w:rsid w:val="01916153"/>
    <w:rsid w:val="01C11F94"/>
    <w:rsid w:val="01DA571A"/>
    <w:rsid w:val="01F11ABC"/>
    <w:rsid w:val="02342294"/>
    <w:rsid w:val="02394C4E"/>
    <w:rsid w:val="023B31B5"/>
    <w:rsid w:val="02706D07"/>
    <w:rsid w:val="027B1BEB"/>
    <w:rsid w:val="02B04479"/>
    <w:rsid w:val="02BB217A"/>
    <w:rsid w:val="02E47F25"/>
    <w:rsid w:val="02EE64DC"/>
    <w:rsid w:val="030516AD"/>
    <w:rsid w:val="03B26B31"/>
    <w:rsid w:val="03E91BF7"/>
    <w:rsid w:val="03FC3F39"/>
    <w:rsid w:val="04351FFD"/>
    <w:rsid w:val="049E6222"/>
    <w:rsid w:val="04A92EE3"/>
    <w:rsid w:val="05120775"/>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7E626A5"/>
    <w:rsid w:val="083C4181"/>
    <w:rsid w:val="08494B4C"/>
    <w:rsid w:val="08545039"/>
    <w:rsid w:val="087E378B"/>
    <w:rsid w:val="08C42153"/>
    <w:rsid w:val="08C87576"/>
    <w:rsid w:val="099730C7"/>
    <w:rsid w:val="09BB6FD3"/>
    <w:rsid w:val="09E64105"/>
    <w:rsid w:val="0AA20035"/>
    <w:rsid w:val="0B3550F2"/>
    <w:rsid w:val="0B426C20"/>
    <w:rsid w:val="0B471607"/>
    <w:rsid w:val="0B493D92"/>
    <w:rsid w:val="0B521344"/>
    <w:rsid w:val="0B7873E7"/>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95783"/>
    <w:rsid w:val="0EA24D8E"/>
    <w:rsid w:val="0EFD7A26"/>
    <w:rsid w:val="0F1B4A58"/>
    <w:rsid w:val="0F1B4AB3"/>
    <w:rsid w:val="0F2D7FC5"/>
    <w:rsid w:val="0FA551A3"/>
    <w:rsid w:val="0FD22F01"/>
    <w:rsid w:val="100459CF"/>
    <w:rsid w:val="106A7BFD"/>
    <w:rsid w:val="109A102D"/>
    <w:rsid w:val="10B72620"/>
    <w:rsid w:val="10D208A6"/>
    <w:rsid w:val="11022343"/>
    <w:rsid w:val="111D76A0"/>
    <w:rsid w:val="1137604C"/>
    <w:rsid w:val="1167461D"/>
    <w:rsid w:val="11C449B6"/>
    <w:rsid w:val="12136ABA"/>
    <w:rsid w:val="121A7943"/>
    <w:rsid w:val="121F3DCB"/>
    <w:rsid w:val="12627D38"/>
    <w:rsid w:val="126807AF"/>
    <w:rsid w:val="126877DE"/>
    <w:rsid w:val="12705D8B"/>
    <w:rsid w:val="12E2190B"/>
    <w:rsid w:val="130762C7"/>
    <w:rsid w:val="130A1945"/>
    <w:rsid w:val="132C05F4"/>
    <w:rsid w:val="133603BC"/>
    <w:rsid w:val="13512072"/>
    <w:rsid w:val="13566046"/>
    <w:rsid w:val="1363315E"/>
    <w:rsid w:val="13813EDF"/>
    <w:rsid w:val="13BA3C51"/>
    <w:rsid w:val="142E3B87"/>
    <w:rsid w:val="14497ECB"/>
    <w:rsid w:val="14AE7D5C"/>
    <w:rsid w:val="14E76B1D"/>
    <w:rsid w:val="14EA3140"/>
    <w:rsid w:val="14ED722A"/>
    <w:rsid w:val="151627A4"/>
    <w:rsid w:val="15250560"/>
    <w:rsid w:val="15452BE9"/>
    <w:rsid w:val="15661276"/>
    <w:rsid w:val="15961DF8"/>
    <w:rsid w:val="15C23F41"/>
    <w:rsid w:val="15D95D65"/>
    <w:rsid w:val="16321C77"/>
    <w:rsid w:val="16452649"/>
    <w:rsid w:val="165A010B"/>
    <w:rsid w:val="16DB02E7"/>
    <w:rsid w:val="16E82A20"/>
    <w:rsid w:val="17E11F5A"/>
    <w:rsid w:val="17F83B61"/>
    <w:rsid w:val="18563155"/>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B6506B"/>
    <w:rsid w:val="1BC003D1"/>
    <w:rsid w:val="1BC94B68"/>
    <w:rsid w:val="1BF53974"/>
    <w:rsid w:val="1C1B3B29"/>
    <w:rsid w:val="1C4231EC"/>
    <w:rsid w:val="1C512181"/>
    <w:rsid w:val="1CB5609A"/>
    <w:rsid w:val="1D17073A"/>
    <w:rsid w:val="1D505225"/>
    <w:rsid w:val="1DA43FDF"/>
    <w:rsid w:val="1E0972D4"/>
    <w:rsid w:val="1E1E7279"/>
    <w:rsid w:val="1E315B06"/>
    <w:rsid w:val="1E3C6829"/>
    <w:rsid w:val="1E5B385B"/>
    <w:rsid w:val="1E747638"/>
    <w:rsid w:val="1F111238"/>
    <w:rsid w:val="1F603109"/>
    <w:rsid w:val="1F9E2BED"/>
    <w:rsid w:val="1FBB7F9F"/>
    <w:rsid w:val="1FC73DB2"/>
    <w:rsid w:val="1FC85FB0"/>
    <w:rsid w:val="1FCD5CBB"/>
    <w:rsid w:val="200E39C9"/>
    <w:rsid w:val="20220C48"/>
    <w:rsid w:val="203F2777"/>
    <w:rsid w:val="205E2E63"/>
    <w:rsid w:val="20862AD5"/>
    <w:rsid w:val="208D0A85"/>
    <w:rsid w:val="20A5280C"/>
    <w:rsid w:val="20D359FB"/>
    <w:rsid w:val="20E556F1"/>
    <w:rsid w:val="21361C5E"/>
    <w:rsid w:val="2185500C"/>
    <w:rsid w:val="21893A13"/>
    <w:rsid w:val="219707AA"/>
    <w:rsid w:val="21F94FCB"/>
    <w:rsid w:val="22046BDF"/>
    <w:rsid w:val="22386D07"/>
    <w:rsid w:val="22480419"/>
    <w:rsid w:val="22965783"/>
    <w:rsid w:val="22DC376E"/>
    <w:rsid w:val="22ED32DA"/>
    <w:rsid w:val="22FD3574"/>
    <w:rsid w:val="231C6AB5"/>
    <w:rsid w:val="233F30E4"/>
    <w:rsid w:val="23593C8E"/>
    <w:rsid w:val="23727724"/>
    <w:rsid w:val="239F40F6"/>
    <w:rsid w:val="23AA2793"/>
    <w:rsid w:val="23ED3B3C"/>
    <w:rsid w:val="24CA7BB8"/>
    <w:rsid w:val="24FA6D92"/>
    <w:rsid w:val="250550E5"/>
    <w:rsid w:val="2536069B"/>
    <w:rsid w:val="25374980"/>
    <w:rsid w:val="254734B9"/>
    <w:rsid w:val="2550672C"/>
    <w:rsid w:val="25624188"/>
    <w:rsid w:val="25BD0FD2"/>
    <w:rsid w:val="263B5F44"/>
    <w:rsid w:val="265A1DE6"/>
    <w:rsid w:val="26690F27"/>
    <w:rsid w:val="26694895"/>
    <w:rsid w:val="26A12F28"/>
    <w:rsid w:val="26AC79F8"/>
    <w:rsid w:val="26B91D54"/>
    <w:rsid w:val="26C45E5E"/>
    <w:rsid w:val="26E75D9A"/>
    <w:rsid w:val="26E90667"/>
    <w:rsid w:val="26F43175"/>
    <w:rsid w:val="274A0B5C"/>
    <w:rsid w:val="279142F8"/>
    <w:rsid w:val="27FA7E2E"/>
    <w:rsid w:val="280B1A43"/>
    <w:rsid w:val="287A6F6C"/>
    <w:rsid w:val="288E0F4E"/>
    <w:rsid w:val="28B0474F"/>
    <w:rsid w:val="28EF5796"/>
    <w:rsid w:val="28F60FCD"/>
    <w:rsid w:val="29522941"/>
    <w:rsid w:val="29855A2C"/>
    <w:rsid w:val="29B92A03"/>
    <w:rsid w:val="29CE7219"/>
    <w:rsid w:val="2A5C719F"/>
    <w:rsid w:val="2A832D10"/>
    <w:rsid w:val="2AF12700"/>
    <w:rsid w:val="2B221E6C"/>
    <w:rsid w:val="2B3631F4"/>
    <w:rsid w:val="2B575927"/>
    <w:rsid w:val="2B797161"/>
    <w:rsid w:val="2B9D3E9D"/>
    <w:rsid w:val="2CE341B5"/>
    <w:rsid w:val="2D11017C"/>
    <w:rsid w:val="2D2626A0"/>
    <w:rsid w:val="2DDC0B49"/>
    <w:rsid w:val="2E407A81"/>
    <w:rsid w:val="2E6D5504"/>
    <w:rsid w:val="2E835E5F"/>
    <w:rsid w:val="2E8A38BB"/>
    <w:rsid w:val="2E9559D9"/>
    <w:rsid w:val="2E9F679E"/>
    <w:rsid w:val="2EA56E27"/>
    <w:rsid w:val="2F0313A8"/>
    <w:rsid w:val="2F3015A3"/>
    <w:rsid w:val="2F5219B0"/>
    <w:rsid w:val="2F6A13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4806D1"/>
    <w:rsid w:val="34727D99"/>
    <w:rsid w:val="34750B27"/>
    <w:rsid w:val="347A39E3"/>
    <w:rsid w:val="349E222E"/>
    <w:rsid w:val="34B33411"/>
    <w:rsid w:val="34C51A78"/>
    <w:rsid w:val="34E0563C"/>
    <w:rsid w:val="34EB675E"/>
    <w:rsid w:val="351055D8"/>
    <w:rsid w:val="355F3301"/>
    <w:rsid w:val="35CD3B0F"/>
    <w:rsid w:val="35F40894"/>
    <w:rsid w:val="35F53BC7"/>
    <w:rsid w:val="35FC56A1"/>
    <w:rsid w:val="36771768"/>
    <w:rsid w:val="36D265FE"/>
    <w:rsid w:val="36E01197"/>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AF51F7"/>
    <w:rsid w:val="3BC8097B"/>
    <w:rsid w:val="3C565716"/>
    <w:rsid w:val="3CA73211"/>
    <w:rsid w:val="3CC938CE"/>
    <w:rsid w:val="3CD97263"/>
    <w:rsid w:val="3D19224B"/>
    <w:rsid w:val="3DC06319"/>
    <w:rsid w:val="3E390124"/>
    <w:rsid w:val="3E3C7880"/>
    <w:rsid w:val="3E4F4139"/>
    <w:rsid w:val="3ED33ABA"/>
    <w:rsid w:val="3EDC31B1"/>
    <w:rsid w:val="3EEA1626"/>
    <w:rsid w:val="3F366D42"/>
    <w:rsid w:val="3F3B3EDB"/>
    <w:rsid w:val="3F522DEF"/>
    <w:rsid w:val="3F8A45CE"/>
    <w:rsid w:val="3FBD5D22"/>
    <w:rsid w:val="3FD352E5"/>
    <w:rsid w:val="3FFF7279"/>
    <w:rsid w:val="40456F00"/>
    <w:rsid w:val="405B780B"/>
    <w:rsid w:val="407A2131"/>
    <w:rsid w:val="40B93161"/>
    <w:rsid w:val="40BB01C3"/>
    <w:rsid w:val="41670A1F"/>
    <w:rsid w:val="420B0DEA"/>
    <w:rsid w:val="423A0CFF"/>
    <w:rsid w:val="42414BD8"/>
    <w:rsid w:val="427B00CF"/>
    <w:rsid w:val="43016A94"/>
    <w:rsid w:val="430644A8"/>
    <w:rsid w:val="43076EE2"/>
    <w:rsid w:val="432F1E46"/>
    <w:rsid w:val="43484F6E"/>
    <w:rsid w:val="43562586"/>
    <w:rsid w:val="43A60B8B"/>
    <w:rsid w:val="43CA7AC6"/>
    <w:rsid w:val="43DD1CAC"/>
    <w:rsid w:val="43ED3FBD"/>
    <w:rsid w:val="44044239"/>
    <w:rsid w:val="442A5561"/>
    <w:rsid w:val="44524527"/>
    <w:rsid w:val="447F71E8"/>
    <w:rsid w:val="451A06ED"/>
    <w:rsid w:val="45245151"/>
    <w:rsid w:val="456926CF"/>
    <w:rsid w:val="458B1600"/>
    <w:rsid w:val="45A31E9F"/>
    <w:rsid w:val="45E06380"/>
    <w:rsid w:val="46132E83"/>
    <w:rsid w:val="46F648FA"/>
    <w:rsid w:val="47A4705A"/>
    <w:rsid w:val="480D1D44"/>
    <w:rsid w:val="4835453B"/>
    <w:rsid w:val="48652264"/>
    <w:rsid w:val="48683357"/>
    <w:rsid w:val="489F12B3"/>
    <w:rsid w:val="48B60ED8"/>
    <w:rsid w:val="48E038AF"/>
    <w:rsid w:val="49287F12"/>
    <w:rsid w:val="49466806"/>
    <w:rsid w:val="49582C60"/>
    <w:rsid w:val="495D6DB6"/>
    <w:rsid w:val="496E5595"/>
    <w:rsid w:val="497B6BF6"/>
    <w:rsid w:val="499F73AD"/>
    <w:rsid w:val="49B83F7E"/>
    <w:rsid w:val="4A007BF5"/>
    <w:rsid w:val="4A06662F"/>
    <w:rsid w:val="4A0D148A"/>
    <w:rsid w:val="4A4009DF"/>
    <w:rsid w:val="4A6F5CAB"/>
    <w:rsid w:val="4ABD162D"/>
    <w:rsid w:val="4B80633B"/>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35E08"/>
    <w:rsid w:val="4DBC05B9"/>
    <w:rsid w:val="4DFD4F82"/>
    <w:rsid w:val="4E1131A0"/>
    <w:rsid w:val="4E470622"/>
    <w:rsid w:val="4E5E45D2"/>
    <w:rsid w:val="4E66112F"/>
    <w:rsid w:val="4EB57E15"/>
    <w:rsid w:val="4EFB1622"/>
    <w:rsid w:val="4F1D45B9"/>
    <w:rsid w:val="4F3141FC"/>
    <w:rsid w:val="4F3B33EB"/>
    <w:rsid w:val="4F5E5E3A"/>
    <w:rsid w:val="4F833B49"/>
    <w:rsid w:val="504D489E"/>
    <w:rsid w:val="505C2070"/>
    <w:rsid w:val="50AC6DEA"/>
    <w:rsid w:val="50B618F8"/>
    <w:rsid w:val="50B9327D"/>
    <w:rsid w:val="50D13718"/>
    <w:rsid w:val="514805FC"/>
    <w:rsid w:val="517B26E0"/>
    <w:rsid w:val="51950F66"/>
    <w:rsid w:val="5219373E"/>
    <w:rsid w:val="524C0A95"/>
    <w:rsid w:val="52780153"/>
    <w:rsid w:val="52EF7092"/>
    <w:rsid w:val="52F50359"/>
    <w:rsid w:val="53155F5F"/>
    <w:rsid w:val="532064EF"/>
    <w:rsid w:val="539677B2"/>
    <w:rsid w:val="539B5F4C"/>
    <w:rsid w:val="53C2259E"/>
    <w:rsid w:val="53F44044"/>
    <w:rsid w:val="53FB4F58"/>
    <w:rsid w:val="54047DE6"/>
    <w:rsid w:val="54BF0519"/>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B925EB"/>
    <w:rsid w:val="58DF20B1"/>
    <w:rsid w:val="58EF2ED0"/>
    <w:rsid w:val="5910752F"/>
    <w:rsid w:val="59144A6B"/>
    <w:rsid w:val="59205884"/>
    <w:rsid w:val="597317D1"/>
    <w:rsid w:val="597E4543"/>
    <w:rsid w:val="598A3524"/>
    <w:rsid w:val="59D963B1"/>
    <w:rsid w:val="59EE2A23"/>
    <w:rsid w:val="59F60EF3"/>
    <w:rsid w:val="5A093EC3"/>
    <w:rsid w:val="5A1070D1"/>
    <w:rsid w:val="5A650D5A"/>
    <w:rsid w:val="5A86434D"/>
    <w:rsid w:val="5A8702A8"/>
    <w:rsid w:val="5ADF54B5"/>
    <w:rsid w:val="5AF50649"/>
    <w:rsid w:val="5B591D6B"/>
    <w:rsid w:val="5B8174BD"/>
    <w:rsid w:val="5B956ECD"/>
    <w:rsid w:val="5C6D5D06"/>
    <w:rsid w:val="5C882FDD"/>
    <w:rsid w:val="5C8D0FEA"/>
    <w:rsid w:val="5C98615B"/>
    <w:rsid w:val="5CB22E1D"/>
    <w:rsid w:val="5CBD3C3C"/>
    <w:rsid w:val="5CE337EF"/>
    <w:rsid w:val="5D3922E6"/>
    <w:rsid w:val="5D78775B"/>
    <w:rsid w:val="5D7A4CE1"/>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E307E1"/>
    <w:rsid w:val="5FEF45F4"/>
    <w:rsid w:val="5FFB2605"/>
    <w:rsid w:val="600C6122"/>
    <w:rsid w:val="60382A88"/>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BA0B42"/>
    <w:rsid w:val="61E536FC"/>
    <w:rsid w:val="620C10EB"/>
    <w:rsid w:val="620D0C17"/>
    <w:rsid w:val="624548B3"/>
    <w:rsid w:val="627E6257"/>
    <w:rsid w:val="628D12AE"/>
    <w:rsid w:val="629E645C"/>
    <w:rsid w:val="62C9149E"/>
    <w:rsid w:val="62E5554B"/>
    <w:rsid w:val="631B084A"/>
    <w:rsid w:val="632A023E"/>
    <w:rsid w:val="63894210"/>
    <w:rsid w:val="63CD32CA"/>
    <w:rsid w:val="63DD04FD"/>
    <w:rsid w:val="63E17D6C"/>
    <w:rsid w:val="63F6448F"/>
    <w:rsid w:val="64133A3F"/>
    <w:rsid w:val="643D2685"/>
    <w:rsid w:val="643E4883"/>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4A6EE1"/>
    <w:rsid w:val="66682C0E"/>
    <w:rsid w:val="66A065EB"/>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8718B2"/>
    <w:rsid w:val="69AC4F69"/>
    <w:rsid w:val="69D72936"/>
    <w:rsid w:val="6A4C28F4"/>
    <w:rsid w:val="6A572E84"/>
    <w:rsid w:val="6A5C730C"/>
    <w:rsid w:val="6A8E01AC"/>
    <w:rsid w:val="6ABE3B2D"/>
    <w:rsid w:val="6B2D6E6C"/>
    <w:rsid w:val="6B4F2A74"/>
    <w:rsid w:val="6B7460C1"/>
    <w:rsid w:val="6B7912ED"/>
    <w:rsid w:val="6BA359B8"/>
    <w:rsid w:val="6C035B7A"/>
    <w:rsid w:val="6C303D8F"/>
    <w:rsid w:val="6C6A6233"/>
    <w:rsid w:val="6C6C0792"/>
    <w:rsid w:val="6C9E1E44"/>
    <w:rsid w:val="6CAB2100"/>
    <w:rsid w:val="6CE33832"/>
    <w:rsid w:val="6D106257"/>
    <w:rsid w:val="6D1F1846"/>
    <w:rsid w:val="6D8E77D0"/>
    <w:rsid w:val="6D9A555F"/>
    <w:rsid w:val="6DC70BD2"/>
    <w:rsid w:val="6DFD7CD4"/>
    <w:rsid w:val="6E046353"/>
    <w:rsid w:val="6E3034D4"/>
    <w:rsid w:val="6F5161E8"/>
    <w:rsid w:val="6F722BE7"/>
    <w:rsid w:val="6FF51B3B"/>
    <w:rsid w:val="6FFC72C8"/>
    <w:rsid w:val="704A3BFB"/>
    <w:rsid w:val="709561C1"/>
    <w:rsid w:val="709642CC"/>
    <w:rsid w:val="70CF70D5"/>
    <w:rsid w:val="70F85622"/>
    <w:rsid w:val="711F0324"/>
    <w:rsid w:val="7156627F"/>
    <w:rsid w:val="71812947"/>
    <w:rsid w:val="719B567C"/>
    <w:rsid w:val="72210801"/>
    <w:rsid w:val="72755659"/>
    <w:rsid w:val="72827EA0"/>
    <w:rsid w:val="72CE224D"/>
    <w:rsid w:val="72E91E80"/>
    <w:rsid w:val="73022ABD"/>
    <w:rsid w:val="73E55634"/>
    <w:rsid w:val="7408726D"/>
    <w:rsid w:val="747E7F88"/>
    <w:rsid w:val="74905ACD"/>
    <w:rsid w:val="74C3179F"/>
    <w:rsid w:val="74FF3B82"/>
    <w:rsid w:val="755D77B8"/>
    <w:rsid w:val="761D2C35"/>
    <w:rsid w:val="765C023B"/>
    <w:rsid w:val="7684397E"/>
    <w:rsid w:val="76B344CD"/>
    <w:rsid w:val="77150CEF"/>
    <w:rsid w:val="774477A2"/>
    <w:rsid w:val="77492D2D"/>
    <w:rsid w:val="77524F4D"/>
    <w:rsid w:val="775B5A6C"/>
    <w:rsid w:val="777C1998"/>
    <w:rsid w:val="77DA01B2"/>
    <w:rsid w:val="77EF6453"/>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A90A44"/>
    <w:rsid w:val="79B85C40"/>
    <w:rsid w:val="7A385137"/>
    <w:rsid w:val="7A4D5F33"/>
    <w:rsid w:val="7AFC2853"/>
    <w:rsid w:val="7B425546"/>
    <w:rsid w:val="7B4A194A"/>
    <w:rsid w:val="7B5016A8"/>
    <w:rsid w:val="7B647B37"/>
    <w:rsid w:val="7B825B7C"/>
    <w:rsid w:val="7B931FE5"/>
    <w:rsid w:val="7B9F28DD"/>
    <w:rsid w:val="7BBF3DB1"/>
    <w:rsid w:val="7BC24B9B"/>
    <w:rsid w:val="7BD21CD6"/>
    <w:rsid w:val="7BE372CE"/>
    <w:rsid w:val="7C440773"/>
    <w:rsid w:val="7C981154"/>
    <w:rsid w:val="7C9B635C"/>
    <w:rsid w:val="7CB55428"/>
    <w:rsid w:val="7CCC5756"/>
    <w:rsid w:val="7D0C38B8"/>
    <w:rsid w:val="7D466F15"/>
    <w:rsid w:val="7D805BC0"/>
    <w:rsid w:val="7D9A0522"/>
    <w:rsid w:val="7DAE7CF4"/>
    <w:rsid w:val="7DC971F1"/>
    <w:rsid w:val="7DD76804"/>
    <w:rsid w:val="7DEB54A4"/>
    <w:rsid w:val="7E125364"/>
    <w:rsid w:val="7E93243A"/>
    <w:rsid w:val="7EB03B57"/>
    <w:rsid w:val="7EBA0FF5"/>
    <w:rsid w:val="7F3412A1"/>
    <w:rsid w:val="7FD32DC6"/>
    <w:rsid w:val="7FDD3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0</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lhy</cp:lastModifiedBy>
  <cp:lastPrinted>2026-01-27T02:32:00Z</cp:lastPrinted>
  <dcterms:modified xsi:type="dcterms:W3CDTF">2026-06-03T06:31:04Z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