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3"/>
        <w:spacing w:before="0" w:beforeAutospacing="0" w:after="0" w:afterAutospacing="0" w:line="360" w:lineRule="auto"/>
        <w:jc w:val="center"/>
        <w:rPr>
          <w:rFonts w:hint="eastAsia" w:ascii="楷体" w:hAnsi="楷体" w:eastAsia="楷体"/>
          <w:b/>
          <w:color w:val="auto"/>
          <w:sz w:val="28"/>
          <w:szCs w:val="28"/>
          <w:highlight w:val="none"/>
        </w:rPr>
      </w:pPr>
      <w:r>
        <w:rPr>
          <w:rFonts w:hint="eastAsia" w:ascii="楷体" w:hAnsi="楷体" w:eastAsia="楷体"/>
          <w:b/>
          <w:color w:val="auto"/>
          <w:sz w:val="28"/>
          <w:szCs w:val="28"/>
        </w:rPr>
        <w:t>“苏银理财恒源封闭债权308期</w:t>
      </w:r>
      <w:r>
        <w:rPr>
          <w:rFonts w:hint="eastAsia" w:ascii="楷体" w:hAnsi="楷体" w:eastAsia="楷体"/>
          <w:b/>
          <w:color w:val="auto"/>
          <w:sz w:val="28"/>
          <w:szCs w:val="28"/>
          <w:highlight w:val="none"/>
        </w:rPr>
        <w:t>”理财产品说明书</w:t>
      </w:r>
    </w:p>
    <w:p>
      <w:pPr>
        <w:pStyle w:val="23"/>
        <w:pageBreakBefore w:val="0"/>
        <w:spacing w:before="0" w:beforeAutospacing="0" w:after="0" w:afterAutospacing="0" w:line="240" w:lineRule="auto"/>
        <w:jc w:val="center"/>
        <w:rPr>
          <w:rFonts w:hint="eastAsia" w:ascii="楷体" w:hAnsi="楷体" w:eastAsia="楷体" w:cs="宋体"/>
          <w:b/>
          <w:color w:val="auto"/>
          <w:sz w:val="24"/>
          <w:szCs w:val="24"/>
          <w:highlight w:val="none"/>
        </w:rPr>
      </w:pPr>
      <w:r>
        <w:rPr>
          <w:rFonts w:hint="eastAsia" w:ascii="楷体" w:hAnsi="楷体" w:eastAsia="楷体" w:cs="Times New Roman"/>
          <w:sz w:val="21"/>
          <w:szCs w:val="21"/>
          <w:highlight w:val="none"/>
          <w:lang w:val="en-US" w:eastAsia="zh-CN" w:bidi="ar-SA"/>
        </w:rPr>
        <w:t>2026年6月版</w:t>
      </w:r>
    </w:p>
    <w:p>
      <w:pPr>
        <w:jc w:val="center"/>
        <w:rPr>
          <w:rFonts w:hint="eastAsia" w:ascii="楷体" w:hAnsi="楷体" w:eastAsia="楷体"/>
          <w:b/>
          <w:color w:val="auto"/>
          <w:sz w:val="24"/>
          <w:szCs w:val="24"/>
        </w:rPr>
      </w:pPr>
      <w:r>
        <w:rPr>
          <w:rFonts w:hint="eastAsia" w:ascii="楷体" w:hAnsi="楷体" w:eastAsia="楷体" w:cs="宋体"/>
          <w:b/>
          <w:color w:val="auto"/>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hanging="42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w:t>
      </w:r>
      <w:r>
        <w:rPr>
          <w:rFonts w:hint="eastAsia" w:ascii="楷体" w:hAnsi="楷体" w:eastAsia="楷体"/>
          <w:sz w:val="21"/>
          <w:szCs w:val="21"/>
          <w:lang w:val="en-US" w:eastAsia="zh-CN"/>
        </w:rPr>
        <w:t>投资范围</w:t>
      </w:r>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hanging="420"/>
        <w:rPr>
          <w:rFonts w:ascii="楷体" w:hAnsi="楷体" w:eastAsia="楷体"/>
          <w:b/>
          <w:sz w:val="21"/>
          <w:szCs w:val="21"/>
          <w:u w:val="single"/>
        </w:rPr>
      </w:pPr>
      <w:r>
        <w:rPr>
          <w:rFonts w:hint="eastAsia" w:ascii="楷体" w:hAnsi="楷体" w:eastAsia="楷体"/>
          <w:b/>
          <w:sz w:val="21"/>
          <w:szCs w:val="21"/>
          <w:u w:val="single"/>
        </w:rPr>
        <w:t>本理财产品不保证本金及收益，您的本金可能因市场变动</w:t>
      </w:r>
      <w:r>
        <w:rPr>
          <w:rFonts w:hint="eastAsia" w:ascii="楷体" w:hAnsi="楷体" w:eastAsia="楷体"/>
          <w:b/>
          <w:sz w:val="21"/>
          <w:szCs w:val="21"/>
          <w:u w:val="single"/>
          <w:lang w:val="en-US" w:eastAsia="zh-CN"/>
        </w:rPr>
        <w:t>或者交易违约等事项</w:t>
      </w:r>
      <w:r>
        <w:rPr>
          <w:rFonts w:hint="eastAsia" w:ascii="楷体" w:hAnsi="楷体" w:eastAsia="楷体"/>
          <w:b/>
          <w:sz w:val="21"/>
          <w:szCs w:val="21"/>
          <w:u w:val="single"/>
        </w:rPr>
        <w:t>而蒙受相应损失，投资者应充分认识投资风险，谨慎投资</w:t>
      </w:r>
      <w:r>
        <w:rPr>
          <w:rFonts w:hint="eastAsia" w:ascii="楷体" w:hAnsi="楷体" w:eastAsia="楷体"/>
          <w:b/>
          <w:sz w:val="21"/>
          <w:szCs w:val="21"/>
          <w:u w:val="single"/>
          <w:lang w:eastAsia="zh-CN"/>
        </w:rPr>
        <w:t>。</w:t>
      </w:r>
    </w:p>
    <w:p>
      <w:pPr>
        <w:numPr>
          <w:ilvl w:val="0"/>
          <w:numId w:val="1"/>
        </w:numPr>
        <w:ind w:left="420" w:hanging="420"/>
        <w:rPr>
          <w:rFonts w:ascii="楷体" w:hAnsi="楷体" w:eastAsia="楷体"/>
          <w:b/>
          <w:sz w:val="21"/>
          <w:szCs w:val="21"/>
          <w:u w:val="single"/>
        </w:rPr>
      </w:pPr>
      <w:r>
        <w:rPr>
          <w:rFonts w:hint="eastAsia" w:ascii="楷体" w:hAnsi="楷体" w:eastAsia="楷体"/>
          <w:b/>
          <w:sz w:val="21"/>
          <w:szCs w:val="21"/>
          <w:u w:val="single"/>
        </w:rPr>
        <w:t>本理财产品过往业绩不代表其未来表现，不等于理财产品实际收益，投资须谨慎；理财非存款、产品有风险、投资须谨慎。</w:t>
      </w:r>
    </w:p>
    <w:p>
      <w:pPr>
        <w:numPr>
          <w:ilvl w:val="0"/>
          <w:numId w:val="1"/>
        </w:numPr>
        <w:ind w:left="420" w:hanging="420"/>
        <w:rPr>
          <w:rFonts w:hint="eastAsia" w:ascii="楷体" w:hAnsi="楷体" w:eastAsia="楷体"/>
          <w:b/>
          <w:sz w:val="21"/>
          <w:szCs w:val="21"/>
          <w:u w:val="single"/>
        </w:rPr>
      </w:pPr>
      <w:r>
        <w:rPr>
          <w:rFonts w:hint="eastAsia" w:ascii="楷体" w:hAnsi="楷体" w:eastAsia="楷体"/>
          <w:b/>
          <w:sz w:val="21"/>
          <w:szCs w:val="21"/>
          <w:u w:val="single"/>
        </w:rPr>
        <w:t>本理财产品任何业绩比较基准</w:t>
      </w:r>
      <w:r>
        <w:rPr>
          <w:rFonts w:hint="eastAsia" w:ascii="楷体" w:hAnsi="楷体" w:eastAsia="楷体"/>
          <w:b/>
          <w:sz w:val="21"/>
          <w:szCs w:val="21"/>
          <w:u w:val="single"/>
          <w:lang w:val="en-US" w:eastAsia="zh-CN"/>
        </w:rPr>
        <w:t>及</w:t>
      </w:r>
      <w:r>
        <w:rPr>
          <w:rFonts w:hint="eastAsia" w:ascii="楷体" w:hAnsi="楷体" w:eastAsia="楷体"/>
          <w:b/>
          <w:sz w:val="21"/>
          <w:szCs w:val="21"/>
          <w:u w:val="single"/>
        </w:rPr>
        <w:t>类似表述均属不具有法律约束力的用语</w:t>
      </w:r>
      <w:r>
        <w:rPr>
          <w:rFonts w:hint="eastAsia" w:ascii="楷体" w:hAnsi="楷体" w:eastAsia="楷体"/>
          <w:b/>
          <w:sz w:val="21"/>
          <w:szCs w:val="21"/>
          <w:u w:val="single"/>
          <w:lang w:eastAsia="zh-CN"/>
        </w:rPr>
        <w:t>。</w:t>
      </w:r>
      <w:r>
        <w:rPr>
          <w:rFonts w:hint="eastAsia" w:ascii="楷体" w:hAnsi="楷体" w:eastAsia="楷体"/>
          <w:b/>
          <w:sz w:val="21"/>
          <w:szCs w:val="21"/>
          <w:u w:val="single"/>
        </w:rPr>
        <w:t>业绩比较基准</w:t>
      </w:r>
      <w:r>
        <w:rPr>
          <w:rFonts w:hint="eastAsia" w:ascii="楷体" w:hAnsi="楷体" w:eastAsia="楷体"/>
          <w:b/>
          <w:sz w:val="21"/>
          <w:szCs w:val="21"/>
          <w:u w:val="single"/>
          <w:lang w:val="en-US" w:eastAsia="zh-CN"/>
        </w:rPr>
        <w:t>为</w:t>
      </w:r>
      <w:r>
        <w:rPr>
          <w:rFonts w:hint="eastAsia" w:ascii="楷体" w:hAnsi="楷体" w:eastAsia="楷体"/>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hanging="42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hanging="420"/>
        <w:rPr>
          <w:rFonts w:hint="eastAsia" w:ascii="楷体" w:hAnsi="楷体" w:eastAsia="楷体"/>
          <w:sz w:val="21"/>
          <w:szCs w:val="21"/>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w:t>
      </w:r>
      <w:r>
        <w:rPr>
          <w:rFonts w:hint="eastAsia" w:ascii="楷体" w:hAnsi="楷体" w:eastAsia="楷体"/>
          <w:b w:val="0"/>
          <w:bCs w:val="0"/>
          <w:sz w:val="21"/>
          <w:szCs w:val="21"/>
          <w:highlight w:val="none"/>
          <w:lang w:eastAsia="zh-CN"/>
        </w:rPr>
        <w:t>苏银理财恒源封闭债权308期</w:t>
      </w:r>
      <w:r>
        <w:rPr>
          <w:rFonts w:hint="eastAsia" w:ascii="楷体" w:hAnsi="楷体" w:eastAsia="楷体"/>
          <w:sz w:val="21"/>
          <w:szCs w:val="21"/>
        </w:rPr>
        <w:t>”理财产品风险揭示书》的“风险揭示”部分。</w:t>
      </w:r>
    </w:p>
    <w:p>
      <w:pPr>
        <w:numPr>
          <w:ilvl w:val="0"/>
          <w:numId w:val="1"/>
        </w:numPr>
        <w:ind w:left="420" w:hanging="420"/>
        <w:rPr>
          <w:rFonts w:ascii="楷体" w:hAnsi="楷体" w:eastAsia="楷体"/>
          <w:b/>
          <w:sz w:val="21"/>
          <w:szCs w:val="21"/>
          <w:highlight w:val="none"/>
          <w:u w:val="single"/>
        </w:rPr>
      </w:pPr>
      <w:r>
        <w:rPr>
          <w:rFonts w:hint="eastAsia" w:ascii="楷体" w:hAnsi="楷体" w:eastAsia="楷体"/>
          <w:b/>
          <w:sz w:val="21"/>
          <w:szCs w:val="21"/>
          <w:highlight w:val="none"/>
          <w:u w:val="single"/>
        </w:rPr>
        <w:t>投资者不得使用贷款、发行债券等筹集的非自有资金投资本理财产品。</w:t>
      </w:r>
    </w:p>
    <w:p>
      <w:pPr>
        <w:numPr>
          <w:ilvl w:val="0"/>
          <w:numId w:val="1"/>
        </w:numPr>
        <w:ind w:left="420" w:hanging="420"/>
        <w:rPr>
          <w:rFonts w:ascii="楷体" w:hAnsi="楷体" w:eastAsia="楷体"/>
          <w:sz w:val="21"/>
          <w:szCs w:val="21"/>
          <w:highlight w:val="none"/>
        </w:rPr>
      </w:pPr>
      <w:r>
        <w:rPr>
          <w:rFonts w:hint="eastAsia" w:ascii="楷体" w:hAnsi="楷体" w:eastAsia="楷体"/>
          <w:sz w:val="21"/>
          <w:szCs w:val="21"/>
        </w:rPr>
        <w:t>在本产品存续期内，如因监管政策或法律法规发生变化，在不损害投资者利益的前提下</w:t>
      </w:r>
      <w:r>
        <w:rPr>
          <w:rFonts w:hint="eastAsia" w:ascii="楷体" w:hAnsi="楷体" w:eastAsia="楷体"/>
          <w:sz w:val="21"/>
          <w:szCs w:val="21"/>
          <w:highlight w:val="none"/>
        </w:rPr>
        <w:t>，苏银理财有权单方对本产品条款进行修订，并按本理财产品说明书约定的信息披露方式予以披露。</w:t>
      </w:r>
    </w:p>
    <w:p>
      <w:pPr>
        <w:keepNext w:val="0"/>
        <w:keepLines w:val="0"/>
        <w:pageBreakBefore w:val="0"/>
        <w:widowControl w:val="0"/>
        <w:numPr>
          <w:ilvl w:val="0"/>
          <w:numId w:val="2"/>
        </w:numPr>
        <w:tabs>
          <w:tab w:val="left" w:pos="1134"/>
        </w:tabs>
        <w:bidi w:val="0"/>
        <w:ind w:left="0" w:firstLine="422"/>
        <w:outlineLvl w:val="0"/>
        <w:rPr>
          <w:rFonts w:hint="eastAsia" w:ascii="楷体" w:hAnsi="楷体" w:eastAsia="楷体"/>
          <w:b/>
          <w:color w:val="auto"/>
          <w:sz w:val="21"/>
          <w:szCs w:val="21"/>
        </w:rPr>
      </w:pPr>
      <w:r>
        <w:rPr>
          <w:rFonts w:hint="eastAsia" w:ascii="楷体" w:hAnsi="楷体" w:eastAsia="楷体"/>
          <w:b/>
          <w:color w:val="auto"/>
          <w:sz w:val="21"/>
          <w:szCs w:val="21"/>
        </w:rPr>
        <w:t>产品要素</w:t>
      </w:r>
    </w:p>
    <w:p>
      <w:pPr>
        <w:ind w:firstLine="420"/>
        <w:rPr>
          <w:rFonts w:ascii="楷体" w:hAnsi="楷体" w:eastAsia="楷体" w:cs="Calibri"/>
          <w:color w:val="auto"/>
          <w:sz w:val="21"/>
          <w:szCs w:val="21"/>
        </w:rPr>
      </w:pPr>
      <w:r>
        <w:rPr>
          <w:rFonts w:hint="eastAsia" w:ascii="楷体" w:hAnsi="楷体" w:eastAsia="楷体" w:cs="Calibri"/>
          <w:color w:val="auto"/>
          <w:sz w:val="21"/>
          <w:szCs w:val="21"/>
        </w:rPr>
        <w:t>为保护投资者合法权益，尊重投资者的知情权和自主选择权，现将本理财产品的基本要素说明如下：</w:t>
      </w:r>
    </w:p>
    <w:tbl>
      <w:tblPr>
        <w:tblStyle w:val="26"/>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1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产品名称</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color w:val="auto"/>
                <w:spacing w:val="-2"/>
                <w:sz w:val="18"/>
                <w:szCs w:val="18"/>
                <w:highlight w:val="none"/>
                <w:lang w:eastAsia="zh-CN"/>
              </w:rPr>
            </w:pPr>
            <w:r>
              <w:rPr>
                <w:rFonts w:hint="eastAsia" w:ascii="楷体" w:hAnsi="楷体" w:eastAsia="楷体" w:cs="宋体"/>
                <w:color w:val="auto"/>
                <w:spacing w:val="-2"/>
                <w:sz w:val="18"/>
                <w:szCs w:val="18"/>
                <w:highlight w:val="none"/>
                <w:lang w:eastAsia="zh-CN"/>
              </w:rPr>
              <w:t>苏银理财恒源封闭债权308期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1" w:hRule="atLeast"/>
          <w:jc w:val="center"/>
        </w:trPr>
        <w:tc>
          <w:tcPr>
            <w:tcW w:w="1701" w:type="dxa"/>
            <w:noWrap w:val="0"/>
            <w:vAlign w:val="center"/>
          </w:tcPr>
          <w:p>
            <w:pPr>
              <w:pStyle w:val="198"/>
              <w:keepNext w:val="0"/>
              <w:keepLines w:val="0"/>
              <w:pageBreakBefore w:val="0"/>
              <w:widowControl w:val="0"/>
              <w:bidi w:val="0"/>
              <w:spacing w:line="0" w:lineRule="atLeast"/>
              <w:ind w:left="0"/>
              <w:jc w:val="both"/>
              <w:outlineLvl w:val="9"/>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理财产品登记编码</w:t>
            </w:r>
          </w:p>
        </w:tc>
        <w:tc>
          <w:tcPr>
            <w:tcW w:w="7937" w:type="dxa"/>
            <w:noWrap w:val="0"/>
            <w:vAlign w:val="center"/>
          </w:tcPr>
          <w:p>
            <w:pPr>
              <w:pStyle w:val="198"/>
              <w:keepNext w:val="0"/>
              <w:keepLines w:val="0"/>
              <w:pageBreakBefore w:val="0"/>
              <w:widowControl w:val="0"/>
              <w:bidi w:val="0"/>
              <w:spacing w:line="0" w:lineRule="atLeast"/>
              <w:ind w:left="0" w:right="0"/>
              <w:jc w:val="both"/>
              <w:rPr>
                <w:rFonts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lang w:val="en-US" w:eastAsia="zh-CN"/>
              </w:rPr>
              <w:t>Z7003126000215，投资者可依据该编码在中国理财网www.chinawealth.com.cn查询产品信息。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8" w:hRule="atLeast"/>
          <w:jc w:val="center"/>
        </w:trPr>
        <w:tc>
          <w:tcPr>
            <w:tcW w:w="1701" w:type="dxa"/>
            <w:shd w:val="clear" w:color="auto" w:fill="auto"/>
            <w:noWrap w:val="0"/>
            <w:vAlign w:val="center"/>
          </w:tcPr>
          <w:p>
            <w:pPr>
              <w:pStyle w:val="198"/>
              <w:keepNext w:val="0"/>
              <w:keepLines w:val="0"/>
              <w:pageBreakBefore w:val="0"/>
              <w:widowControl w:val="0"/>
              <w:bidi w:val="0"/>
              <w:spacing w:before="0" w:line="0" w:lineRule="atLeast"/>
              <w:jc w:val="both"/>
              <w:outlineLvl w:val="9"/>
              <w:rPr>
                <w:rFonts w:ascii="楷体" w:hAnsi="楷体" w:eastAsia="楷体" w:cs="宋体"/>
                <w:b/>
                <w:color w:val="auto"/>
                <w:spacing w:val="-2"/>
                <w:sz w:val="18"/>
                <w:szCs w:val="18"/>
                <w:highlight w:val="none"/>
              </w:rPr>
            </w:pPr>
            <w:r>
              <w:rPr>
                <w:rFonts w:hint="eastAsia" w:ascii="楷体" w:hAnsi="楷体" w:eastAsia="楷体" w:cs="宋体"/>
                <w:b/>
                <w:spacing w:val="-2"/>
                <w:sz w:val="18"/>
                <w:szCs w:val="18"/>
                <w:lang w:val="en-US" w:eastAsia="zh-CN"/>
              </w:rPr>
              <w:t>销售名称</w:t>
            </w:r>
            <w:r>
              <w:rPr>
                <w:rFonts w:hint="eastAsia" w:ascii="楷体" w:hAnsi="楷体" w:eastAsia="楷体" w:cs="宋体"/>
                <w:b/>
                <w:spacing w:val="-2"/>
                <w:sz w:val="18"/>
                <w:szCs w:val="18"/>
              </w:rPr>
              <w:t>/销售代码</w:t>
            </w:r>
          </w:p>
        </w:tc>
        <w:tc>
          <w:tcPr>
            <w:tcW w:w="7937" w:type="dxa"/>
            <w:shd w:val="clear" w:color="auto" w:fill="auto"/>
            <w:noWrap w:val="0"/>
            <w:vAlign w:val="center"/>
          </w:tcPr>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A份额：苏银理财恒源封闭债权308期13月A/J21280</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B份额：苏银理财恒源封闭债权308期13月B/J21281</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C份额：苏银理财恒源封闭债权308期13月C/J21282</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D份额：苏银理财恒源封闭债权308期13月D/J21283</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E份额：苏银理财恒源封闭债权308期13月E/J21284</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F份额：苏银理财恒源封闭债权308期13月F/J21285</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G份额：苏银理财恒源封闭债权308期13月G/J21286</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H份额：苏银理财恒源封闭债权308期13月H/J21287</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I份额：苏银理财恒源封闭债权308期13月I/J21288</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J份额：苏银理财恒源封闭债权308期13月J/J21289</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K份额：苏银理财恒源封闭债权308期13月K（新客专属）/J21290</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L份额：苏银理财恒源封闭债权308期13月L（童程筑梦）/J21291</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N份额：苏银理财恒源封闭债权308期13月N/J21292</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O份额：苏银理财恒源封闭债权308期13月O/J21293</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P份额：苏银理财恒源封闭债权308期13月P/J21294</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Q份额：苏银理财恒源封闭债权308期13月Q/J21295</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R份额：苏银理财恒源封闭债权308期13月R/J21296</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S份额：苏银理财恒源封闭债权308期13月S/J21297</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T份额：苏银理财恒源封闭债权308期13月T/J21298</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Z份额：苏银理财恒源封闭债权308期13月Z/J21299</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JS份额：苏银理财恒源封闭债权308期13月JS鑫福款/J21300</w:t>
            </w:r>
          </w:p>
          <w:p>
            <w:pPr>
              <w:pStyle w:val="198"/>
              <w:keepNext w:val="0"/>
              <w:keepLines w:val="0"/>
              <w:pageBreakBefore w:val="0"/>
              <w:bidi w:val="0"/>
              <w:spacing w:line="0" w:lineRule="atLeast"/>
              <w:ind w:left="0" w:right="0"/>
              <w:jc w:val="both"/>
              <w:rPr>
                <w:rFonts w:hint="default" w:ascii="楷体" w:hAnsi="楷体" w:eastAsia="楷体" w:cs="宋体"/>
                <w:color w:val="auto"/>
                <w:spacing w:val="-2"/>
                <w:sz w:val="18"/>
                <w:szCs w:val="18"/>
                <w:highlight w:val="none"/>
                <w:lang w:val="en-US" w:eastAsia="zh-CN"/>
              </w:rPr>
            </w:pPr>
            <w:r>
              <w:rPr>
                <w:rFonts w:hint="eastAsia" w:ascii="楷体" w:hAnsi="楷体" w:eastAsia="楷体" w:cs="宋体"/>
                <w:color w:val="auto"/>
                <w:spacing w:val="-2"/>
                <w:sz w:val="18"/>
                <w:szCs w:val="18"/>
                <w:highlight w:val="none"/>
                <w:lang w:val="en-US" w:eastAsia="zh-CN"/>
              </w:rPr>
              <w:t>芙蓉锦程·优选份额：苏银理财恒源封闭债权308期13月（芙蓉锦程·优选）/J21301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5" w:hRule="atLeast"/>
          <w:jc w:val="center"/>
        </w:trPr>
        <w:tc>
          <w:tcPr>
            <w:tcW w:w="1701" w:type="dxa"/>
            <w:shd w:val="clear" w:color="auto" w:fill="auto"/>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highlight w:val="none"/>
                <w:lang w:val="en-US" w:eastAsia="zh-CN" w:bidi="ar-SA"/>
              </w:rPr>
            </w:pPr>
            <w:r>
              <w:rPr>
                <w:rFonts w:hint="eastAsia" w:ascii="楷体" w:hAnsi="楷体" w:eastAsia="楷体" w:cs="宋体"/>
                <w:b/>
                <w:color w:val="auto"/>
                <w:spacing w:val="-2"/>
                <w:sz w:val="18"/>
                <w:szCs w:val="18"/>
              </w:rPr>
              <w:t>产品类型</w:t>
            </w:r>
          </w:p>
        </w:tc>
        <w:tc>
          <w:tcPr>
            <w:tcW w:w="7937" w:type="dxa"/>
            <w:shd w:val="clear" w:color="auto" w:fill="auto"/>
            <w:noWrap w:val="0"/>
            <w:vAlign w:val="center"/>
          </w:tcPr>
          <w:p>
            <w:pPr>
              <w:pStyle w:val="198"/>
              <w:keepNext w:val="0"/>
              <w:keepLines w:val="0"/>
              <w:pageBreakBefore w:val="0"/>
              <w:widowControl w:val="0"/>
              <w:bidi w:val="0"/>
              <w:spacing w:line="0" w:lineRule="atLeast"/>
              <w:ind w:left="0" w:right="0"/>
              <w:jc w:val="both"/>
              <w:rPr>
                <w:rFonts w:hint="eastAsia" w:ascii="楷体" w:hAnsi="楷体" w:eastAsia="楷体" w:cs="宋体"/>
                <w:b/>
                <w:color w:val="auto"/>
                <w:spacing w:val="-2"/>
                <w:sz w:val="18"/>
                <w:szCs w:val="18"/>
                <w:u w:val="single"/>
                <w:lang w:val="en-US" w:eastAsia="zh-CN" w:bidi="ar-SA"/>
              </w:rPr>
            </w:pPr>
            <w:r>
              <w:rPr>
                <w:rFonts w:hint="eastAsia" w:ascii="楷体" w:hAnsi="楷体" w:eastAsia="楷体" w:cs="宋体"/>
                <w:b/>
                <w:color w:val="auto"/>
                <w:spacing w:val="-2"/>
                <w:sz w:val="18"/>
                <w:szCs w:val="18"/>
                <w:highlight w:val="none"/>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57"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产品内部风险评级</w:t>
            </w:r>
          </w:p>
        </w:tc>
        <w:tc>
          <w:tcPr>
            <w:tcW w:w="7937" w:type="dxa"/>
            <w:noWrap w:val="0"/>
            <w:vAlign w:val="center"/>
          </w:tcPr>
          <w:p>
            <w:pPr>
              <w:keepNext w:val="0"/>
              <w:keepLines w:val="0"/>
              <w:pageBreakBefore w:val="0"/>
              <w:widowControl w:val="0"/>
              <w:numPr>
                <w:ilvl w:val="0"/>
                <w:numId w:val="0"/>
              </w:numPr>
              <w:bidi w:val="0"/>
              <w:spacing w:line="0" w:lineRule="atLeast"/>
              <w:ind w:left="0" w:right="0" w:firstLine="0"/>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参考。理财产品存续期间，若市场环境等因素发生变化，在符合监管政策要求的前提下管理人可对产品风险评级进行调整，并及时将调整情况向投资者披露。</w:t>
            </w:r>
          </w:p>
          <w:tbl>
            <w:tblPr>
              <w:tblStyle w:val="26"/>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5"/>
              <w:gridCol w:w="1489"/>
              <w:gridCol w:w="2029"/>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风险星级</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风险级别</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适合的投资者类别</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一级（PR1）</w:t>
                  </w:r>
                </w:p>
              </w:tc>
              <w:tc>
                <w:tcPr>
                  <w:tcW w:w="1493"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低风险型</w:t>
                  </w:r>
                </w:p>
              </w:tc>
              <w:tc>
                <w:tcPr>
                  <w:tcW w:w="1229" w:type="pct"/>
                  <w:tcBorders>
                    <w:bottom w:val="single" w:color="auto" w:sz="4" w:space="0"/>
                  </w:tcBorders>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二级（PR2）</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中低风险型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b/>
                      <w:color w:val="auto"/>
                      <w:sz w:val="18"/>
                      <w:szCs w:val="18"/>
                    </w:rPr>
                  </w:pPr>
                  <w:r>
                    <w:rPr>
                      <w:rFonts w:hint="eastAsia" w:ascii="楷体" w:hAnsi="楷体" w:eastAsia="楷体" w:cs="浠垮畫"/>
                      <w:b/>
                      <w:color w:val="auto"/>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三级（PR3）</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中风险型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四级（PR4）</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中高风险型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w:t>
                  </w:r>
                </w:p>
              </w:tc>
              <w:tc>
                <w:tcPr>
                  <w:tcW w:w="1095"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五级（PR5）</w:t>
                  </w:r>
                </w:p>
              </w:tc>
              <w:tc>
                <w:tcPr>
                  <w:tcW w:w="1493"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高风险型</w:t>
                  </w:r>
                </w:p>
              </w:tc>
              <w:tc>
                <w:tcPr>
                  <w:tcW w:w="1229" w:type="pct"/>
                  <w:noWrap w:val="0"/>
                  <w:vAlign w:val="center"/>
                </w:tcPr>
                <w:p>
                  <w:pPr>
                    <w:keepNext w:val="0"/>
                    <w:keepLines w:val="0"/>
                    <w:pageBreakBefore w:val="0"/>
                    <w:widowControl w:val="0"/>
                    <w:bidi w:val="0"/>
                    <w:spacing w:line="0" w:lineRule="atLeast"/>
                    <w:ind w:left="0" w:right="0" w:firstLine="0"/>
                    <w:jc w:val="center"/>
                    <w:rPr>
                      <w:rFonts w:ascii="楷体" w:hAnsi="楷体" w:eastAsia="楷体" w:cs="浠垮畫"/>
                      <w:color w:val="auto"/>
                      <w:sz w:val="18"/>
                      <w:szCs w:val="18"/>
                    </w:rPr>
                  </w:pPr>
                  <w:r>
                    <w:rPr>
                      <w:rFonts w:hint="eastAsia" w:ascii="楷体" w:hAnsi="楷体" w:eastAsia="楷体" w:cs="浠垮畫"/>
                      <w:color w:val="auto"/>
                      <w:sz w:val="18"/>
                      <w:szCs w:val="18"/>
                    </w:rPr>
                    <w:t>风险承受</w:t>
                  </w:r>
                </w:p>
              </w:tc>
            </w:tr>
          </w:tbl>
          <w:p>
            <w:pPr>
              <w:keepNext w:val="0"/>
              <w:keepLines w:val="0"/>
              <w:pageBreakBefore w:val="0"/>
              <w:widowControl w:val="0"/>
              <w:numPr>
                <w:ilvl w:val="0"/>
                <w:numId w:val="0"/>
              </w:numPr>
              <w:bidi w:val="0"/>
              <w:spacing w:line="0" w:lineRule="atLeast"/>
              <w:ind w:left="0" w:right="0" w:firstLine="0"/>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keepNext w:val="0"/>
              <w:keepLines w:val="0"/>
              <w:pageBreakBefore w:val="0"/>
              <w:widowControl w:val="0"/>
              <w:bidi w:val="0"/>
              <w:spacing w:line="0" w:lineRule="atLeast"/>
              <w:ind w:left="0" w:right="0" w:firstLine="0"/>
              <w:jc w:val="both"/>
              <w:rPr>
                <w:rFonts w:ascii="楷体" w:hAnsi="楷体" w:eastAsia="楷体" w:cs="宋体"/>
                <w:color w:val="auto"/>
                <w:spacing w:val="-2"/>
                <w:sz w:val="18"/>
                <w:szCs w:val="18"/>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4"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销售对象</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A份额：面向个人和机构投资者销售；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B份额：面向个人和机构投资者销售；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C份额：面向个人和机构投资者销售</w:t>
            </w:r>
            <w:r>
              <w:rPr>
                <w:rFonts w:hint="eastAsia" w:ascii="楷体" w:hAnsi="楷体" w:eastAsia="楷体" w:cs="楷体"/>
                <w:color w:val="auto"/>
                <w:spacing w:val="-2"/>
                <w:kern w:val="0"/>
                <w:sz w:val="18"/>
                <w:szCs w:val="18"/>
                <w:highlight w:val="none"/>
                <w:lang w:val="en-US" w:eastAsia="zh-CN" w:bidi="ar-SA"/>
              </w:rPr>
              <w:t>，销售机构江苏银行仅限新资金客户、新客户及代发工资客户，具体以销售机构系统设置为准。新资金的达标条件为“客户前一日资产时点余额”较“前一月末资产月日均余额”的新增额大于5万元；新客户是指首次购买理财产品的客户</w:t>
            </w:r>
            <w:r>
              <w:rPr>
                <w:rFonts w:hint="eastAsia" w:ascii="楷体" w:hAnsi="楷体" w:eastAsia="楷体" w:cs="宋体"/>
                <w:spacing w:val="-2"/>
                <w:sz w:val="18"/>
                <w:szCs w:val="18"/>
                <w:highlight w:val="none"/>
                <w:lang w:val="en-US" w:eastAsia="zh-CN"/>
              </w:rPr>
              <w:t>；</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D份额：面向个人和机构投资者销售；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E份额：面向个人和机构投资者销售</w:t>
            </w:r>
            <w:r>
              <w:rPr>
                <w:rFonts w:hint="eastAsia" w:ascii="楷体" w:hAnsi="楷体" w:eastAsia="楷体" w:cs="楷体"/>
                <w:color w:val="auto"/>
                <w:spacing w:val="-2"/>
                <w:kern w:val="0"/>
                <w:sz w:val="18"/>
                <w:szCs w:val="18"/>
                <w:highlight w:val="none"/>
                <w:lang w:val="en-US" w:eastAsia="zh-CN" w:bidi="ar-SA"/>
              </w:rPr>
              <w:t>，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bookmarkStart w:id="0" w:name="_GoBack"/>
            <w:bookmarkEnd w:id="0"/>
            <w:r>
              <w:rPr>
                <w:rFonts w:hint="eastAsia" w:ascii="楷体" w:hAnsi="楷体" w:eastAsia="楷体" w:cs="宋体"/>
                <w:spacing w:val="-2"/>
                <w:sz w:val="18"/>
                <w:szCs w:val="18"/>
                <w:highlight w:val="none"/>
                <w:lang w:val="en-US" w:eastAsia="zh-CN"/>
              </w:rPr>
              <w:t>；</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F份额：面向个人和机构投资者销售；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G份额：面向个人和机构投资者销售；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H份额：面向个人和机构投资者销售；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I份额：面向个人和机构投资者销售；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J份额：面向个人和机构投资者销售；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K份额：面向个人和机构投资者销售；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L份额：面向个人和机构投资者销售；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N份额：面向个人和机构投资者销售；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O份额：面向个人和机构投资者销售；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P份额：面向个人和机构投资者销售；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Q份额：面向个人和机构投资者销售；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R份额：面向个人和机构投资者销售；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S份额：面向个人和机构投资者销售；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T份额：面向个人和机构投资者销售；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Z份额：面向个人和机构投资者销售；</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JS份额：面向个人和机构投资者销售；</w:t>
            </w:r>
          </w:p>
          <w:p>
            <w:pPr>
              <w:pStyle w:val="198"/>
              <w:keepNext w:val="0"/>
              <w:keepLines w:val="0"/>
              <w:pageBreakBefore w:val="0"/>
              <w:widowControl w:val="0"/>
              <w:bidi w:val="0"/>
              <w:spacing w:before="0" w:line="0" w:lineRule="atLeast"/>
              <w:ind w:left="0" w:right="0"/>
              <w:jc w:val="both"/>
              <w:rPr>
                <w:rFonts w:hint="default" w:ascii="楷体" w:hAnsi="楷体" w:eastAsia="楷体" w:cs="宋体"/>
                <w:color w:val="auto"/>
                <w:spacing w:val="-2"/>
                <w:sz w:val="18"/>
                <w:szCs w:val="18"/>
                <w:lang w:val="en-US" w:eastAsia="zh-CN"/>
              </w:rPr>
            </w:pPr>
            <w:r>
              <w:rPr>
                <w:rFonts w:hint="eastAsia" w:ascii="楷体" w:hAnsi="楷体" w:eastAsia="楷体" w:cs="宋体"/>
                <w:spacing w:val="-2"/>
                <w:sz w:val="18"/>
                <w:szCs w:val="18"/>
                <w:highlight w:val="none"/>
                <w:lang w:val="en-US" w:eastAsia="zh-CN"/>
              </w:rPr>
              <w:t>芙蓉锦程·优选份额：面向个人和机构投资者销售。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币种</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ascii="楷体" w:hAnsi="楷体" w:eastAsia="楷体" w:cs="宋体"/>
                <w:color w:val="auto"/>
                <w:spacing w:val="-2"/>
                <w:sz w:val="18"/>
                <w:szCs w:val="18"/>
              </w:rPr>
            </w:pPr>
            <w:r>
              <w:rPr>
                <w:rFonts w:hint="eastAsia" w:ascii="楷体" w:hAnsi="楷体" w:eastAsia="楷体" w:cs="宋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2"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lang w:val="en-US" w:eastAsia="zh-CN" w:bidi="ar-SA"/>
              </w:rPr>
            </w:pPr>
            <w:r>
              <w:rPr>
                <w:rFonts w:hint="eastAsia" w:ascii="楷体" w:hAnsi="楷体" w:eastAsia="楷体" w:cs="宋体"/>
                <w:b/>
                <w:color w:val="auto"/>
                <w:spacing w:val="-2"/>
                <w:sz w:val="18"/>
                <w:szCs w:val="18"/>
              </w:rPr>
              <w:t>份额面值</w:t>
            </w:r>
          </w:p>
        </w:tc>
        <w:tc>
          <w:tcPr>
            <w:tcW w:w="7937"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color w:val="auto"/>
                <w:spacing w:val="-2"/>
                <w:sz w:val="18"/>
                <w:szCs w:val="18"/>
                <w:lang w:val="en-US" w:eastAsia="zh-CN" w:bidi="ar-SA"/>
              </w:rPr>
            </w:pPr>
            <w:r>
              <w:rPr>
                <w:rFonts w:hint="eastAsia" w:ascii="楷体" w:hAnsi="楷体" w:eastAsia="楷体" w:cs="宋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0"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color w:val="auto"/>
                <w:spacing w:val="-2"/>
                <w:sz w:val="18"/>
                <w:szCs w:val="18"/>
              </w:rPr>
            </w:pPr>
            <w:r>
              <w:rPr>
                <w:rFonts w:hint="eastAsia" w:ascii="楷体" w:hAnsi="楷体" w:eastAsia="楷体" w:cs="宋体"/>
                <w:b/>
                <w:color w:val="auto"/>
                <w:spacing w:val="-2"/>
                <w:sz w:val="18"/>
                <w:szCs w:val="18"/>
                <w:highlight w:val="none"/>
              </w:rPr>
              <w:t>计划发行规模</w:t>
            </w:r>
          </w:p>
        </w:tc>
        <w:tc>
          <w:tcPr>
            <w:tcW w:w="7937" w:type="dxa"/>
            <w:noWrap w:val="0"/>
            <w:vAlign w:val="center"/>
          </w:tcPr>
          <w:p>
            <w:pPr>
              <w:keepNext w:val="0"/>
              <w:keepLines w:val="0"/>
              <w:pageBreakBefore w:val="0"/>
              <w:widowControl w:val="0"/>
              <w:bidi w:val="0"/>
              <w:spacing w:line="0" w:lineRule="atLeast"/>
              <w:ind w:left="0" w:right="0"/>
              <w:jc w:val="both"/>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highlight w:val="none"/>
                <w:lang w:val="en-US" w:eastAsia="zh-CN"/>
              </w:rPr>
              <w:t>20亿元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47"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highlight w:val="none"/>
                <w:lang w:val="en-US" w:eastAsia="zh-CN" w:bidi="ar-SA"/>
              </w:rPr>
            </w:pPr>
            <w:r>
              <w:rPr>
                <w:rFonts w:hint="eastAsia" w:ascii="楷体" w:hAnsi="楷体" w:eastAsia="楷体" w:cs="宋体"/>
                <w:b/>
                <w:color w:val="auto"/>
                <w:spacing w:val="-2"/>
                <w:sz w:val="18"/>
                <w:szCs w:val="18"/>
                <w:highlight w:val="none"/>
                <w:lang w:val="en-US" w:eastAsia="zh-CN"/>
              </w:rPr>
              <w:t>最低发行规模</w:t>
            </w:r>
          </w:p>
        </w:tc>
        <w:tc>
          <w:tcPr>
            <w:tcW w:w="7937" w:type="dxa"/>
            <w:noWrap w:val="0"/>
            <w:vAlign w:val="center"/>
          </w:tcPr>
          <w:p>
            <w:pPr>
              <w:pStyle w:val="198"/>
              <w:keepNext w:val="0"/>
              <w:keepLines w:val="0"/>
              <w:pageBreakBefore w:val="0"/>
              <w:widowControl w:val="0"/>
              <w:bidi w:val="0"/>
              <w:spacing w:line="0" w:lineRule="atLeast"/>
              <w:ind w:left="0" w:right="0"/>
              <w:jc w:val="both"/>
              <w:rPr>
                <w:rFonts w:hint="eastAsia" w:ascii="楷体" w:hAnsi="楷体" w:eastAsia="楷体" w:cs="宋体"/>
                <w:color w:val="auto"/>
                <w:spacing w:val="-2"/>
                <w:sz w:val="18"/>
                <w:szCs w:val="18"/>
                <w:highlight w:val="none"/>
                <w:lang w:val="en-US" w:eastAsia="zh-CN" w:bidi="ar-SA"/>
              </w:rPr>
            </w:pPr>
            <w:r>
              <w:rPr>
                <w:rFonts w:hint="eastAsia" w:ascii="楷体" w:hAnsi="楷体" w:eastAsia="楷体" w:cs="宋体"/>
                <w:color w:val="auto"/>
                <w:spacing w:val="-2"/>
                <w:sz w:val="18"/>
                <w:szCs w:val="18"/>
                <w:highlight w:val="none"/>
                <w:lang w:val="en-US" w:eastAsia="zh-CN" w:bidi="ar-SA"/>
              </w:rPr>
              <w:t>本产品最低发行规模为3000万元。若产品认购规模未达到最低发行规模，或新的法律、法规或监管政策导致本产品无法合法合规运行，或出现其他导致影响产品成立不可抗力因素，产品管理人将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5" w:hRule="atLeast"/>
          <w:jc w:val="center"/>
        </w:trPr>
        <w:tc>
          <w:tcPr>
            <w:tcW w:w="1701" w:type="dxa"/>
            <w:noWrap w:val="0"/>
            <w:vAlign w:val="center"/>
          </w:tcPr>
          <w:p>
            <w:pPr>
              <w:pStyle w:val="198"/>
              <w:keepNext w:val="0"/>
              <w:keepLines w:val="0"/>
              <w:pageBreakBefore w:val="0"/>
              <w:widowControl w:val="0"/>
              <w:bidi w:val="0"/>
              <w:spacing w:before="0" w:line="0" w:lineRule="atLeast"/>
              <w:jc w:val="both"/>
              <w:rPr>
                <w:rFonts w:ascii="楷体" w:hAnsi="楷体" w:eastAsia="楷体" w:cs="宋体"/>
                <w:b/>
                <w:color w:val="auto"/>
                <w:spacing w:val="-2"/>
                <w:sz w:val="18"/>
                <w:szCs w:val="18"/>
              </w:rPr>
            </w:pPr>
            <w:r>
              <w:rPr>
                <w:rFonts w:hint="eastAsia" w:ascii="楷体" w:hAnsi="楷体" w:eastAsia="楷体" w:cs="宋体"/>
                <w:b/>
                <w:spacing w:val="-2"/>
                <w:sz w:val="18"/>
                <w:szCs w:val="18"/>
              </w:rPr>
              <w:t>购买起点</w:t>
            </w:r>
            <w:r>
              <w:rPr>
                <w:rFonts w:ascii="楷体" w:hAnsi="楷体" w:eastAsia="楷体" w:cs="宋体"/>
                <w:b/>
                <w:spacing w:val="-2"/>
                <w:sz w:val="18"/>
                <w:szCs w:val="18"/>
              </w:rPr>
              <w:t>/</w:t>
            </w:r>
            <w:r>
              <w:rPr>
                <w:rFonts w:hint="eastAsia" w:ascii="楷体" w:hAnsi="楷体" w:eastAsia="楷体" w:cs="宋体"/>
                <w:b/>
                <w:spacing w:val="-2"/>
                <w:sz w:val="18"/>
                <w:szCs w:val="18"/>
              </w:rPr>
              <w:t>追加金额</w:t>
            </w:r>
          </w:p>
        </w:tc>
        <w:tc>
          <w:tcPr>
            <w:tcW w:w="7937" w:type="dxa"/>
            <w:noWrap w:val="0"/>
            <w:vAlign w:val="center"/>
          </w:tcPr>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A份额：1元/1元的整数倍；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B份额：1元/1元的整数倍；</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C份额：面向个人和机构投资者销售</w:t>
            </w:r>
            <w:r>
              <w:rPr>
                <w:rFonts w:hint="eastAsia" w:ascii="楷体" w:hAnsi="楷体" w:eastAsia="楷体" w:cs="楷体"/>
                <w:color w:val="auto"/>
                <w:spacing w:val="-2"/>
                <w:kern w:val="0"/>
                <w:sz w:val="18"/>
                <w:szCs w:val="18"/>
                <w:highlight w:val="none"/>
                <w:lang w:val="en-US" w:eastAsia="zh-CN" w:bidi="ar-SA"/>
              </w:rPr>
              <w:t>，销售机构江苏银行仅限新资金客户、新客户及代发工资客户，具体以销售机构系统设置为准。新资金的达标条件为“客户前一日资产时点余额”较“前一月末资产月日均余额”的新增额大于5万元；新客户是指首次购买理财产品的客户</w:t>
            </w:r>
            <w:r>
              <w:rPr>
                <w:rFonts w:hint="eastAsia" w:ascii="楷体" w:hAnsi="楷体" w:eastAsia="楷体" w:cs="宋体"/>
                <w:spacing w:val="-2"/>
                <w:sz w:val="18"/>
                <w:szCs w:val="18"/>
                <w:highlight w:val="none"/>
                <w:lang w:val="en-US" w:eastAsia="zh-CN"/>
              </w:rPr>
              <w:t>；</w:t>
            </w:r>
          </w:p>
          <w:p>
            <w:pPr>
              <w:pStyle w:val="198"/>
              <w:keepNext w:val="0"/>
              <w:keepLines w:val="0"/>
              <w:pageBreakBefore w:val="0"/>
              <w:widowControl w:val="0"/>
              <w:bidi w:val="0"/>
              <w:spacing w:before="0" w:line="0" w:lineRule="atLeast"/>
              <w:ind w:left="0" w:right="0"/>
              <w:jc w:val="both"/>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D份额：面向个人和机构投资者销售；</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cs="宋体"/>
                <w:spacing w:val="-2"/>
                <w:sz w:val="18"/>
                <w:szCs w:val="18"/>
                <w:highlight w:val="none"/>
                <w:lang w:val="en-US" w:eastAsia="zh-CN"/>
              </w:rPr>
              <w:t>E份额：面向个人和机构投资者销售</w:t>
            </w:r>
            <w:r>
              <w:rPr>
                <w:rFonts w:hint="eastAsia" w:ascii="楷体" w:hAnsi="楷体" w:eastAsia="楷体" w:cs="楷体"/>
                <w:color w:val="auto"/>
                <w:spacing w:val="-2"/>
                <w:kern w:val="0"/>
                <w:sz w:val="18"/>
                <w:szCs w:val="18"/>
                <w:highlight w:val="none"/>
                <w:lang w:val="en-US" w:eastAsia="zh-CN" w:bidi="ar-SA"/>
              </w:rPr>
              <w:t>，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r>
              <w:rPr>
                <w:rFonts w:hint="eastAsia" w:ascii="楷体" w:hAnsi="楷体" w:eastAsia="楷体"/>
                <w:sz w:val="18"/>
                <w:szCs w:val="18"/>
                <w:highlight w:val="none"/>
                <w:lang w:val="en-US" w:eastAsia="zh-CN"/>
              </w:rPr>
              <w:t>；</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F份额：1元/1元的整数倍；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G份额：1元/1元的整数倍；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H份额：1元/1元的整数倍；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I份额：1元/1元的整数倍；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J份额：1元/1元的整数倍；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K份额：1元/1元的整数倍；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L份额：1元/1元的整数倍；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N份额：1元/1元的整数倍；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O份额：1元/1元的整数倍；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P份额：300,000元/10,000元的整数倍；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Q份额：1元/1元的整数倍；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R份额：1元/1元的整数倍；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S份额：1元/1元的整数倍；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T份额：1元/1元的整数倍；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Z份额：1元/1元的整数倍；</w:t>
            </w:r>
          </w:p>
          <w:p>
            <w:pPr>
              <w:keepNext w:val="0"/>
              <w:keepLines w:val="0"/>
              <w:pageBreakBefore w:val="0"/>
              <w:bidi w:val="0"/>
              <w:spacing w:line="0" w:lineRule="atLeast"/>
              <w:ind w:left="0" w:right="0"/>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JS份额：1元/1元的整数倍；</w:t>
            </w:r>
          </w:p>
          <w:p>
            <w:pPr>
              <w:keepNext w:val="0"/>
              <w:keepLines w:val="0"/>
              <w:pageBreakBefore w:val="0"/>
              <w:bidi w:val="0"/>
              <w:spacing w:line="0" w:lineRule="atLeast"/>
              <w:ind w:left="0" w:right="0"/>
              <w:rPr>
                <w:rFonts w:hint="default" w:ascii="楷体" w:hAnsi="楷体" w:eastAsia="楷体" w:cs="宋体"/>
                <w:color w:val="auto"/>
                <w:spacing w:val="-2"/>
                <w:sz w:val="18"/>
                <w:szCs w:val="18"/>
                <w:lang w:val="en-US" w:eastAsia="zh-CN"/>
              </w:rPr>
            </w:pPr>
            <w:r>
              <w:rPr>
                <w:rFonts w:hint="eastAsia" w:ascii="楷体" w:hAnsi="楷体" w:eastAsia="楷体"/>
                <w:sz w:val="18"/>
                <w:szCs w:val="18"/>
                <w:highlight w:val="none"/>
                <w:lang w:val="en-US" w:eastAsia="zh-CN"/>
              </w:rPr>
              <w:t>芙蓉锦程·优选份额：1元/1元的整数倍。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198"/>
              <w:keepNext w:val="0"/>
              <w:keepLines w:val="0"/>
              <w:pageBreakBefore w:val="0"/>
              <w:widowControl w:val="0"/>
              <w:bidi w:val="0"/>
              <w:spacing w:before="0" w:line="0" w:lineRule="atLeast"/>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lang w:val="en-US" w:eastAsia="zh-CN"/>
              </w:rPr>
              <w:t>募集期</w:t>
            </w:r>
          </w:p>
        </w:tc>
        <w:tc>
          <w:tcPr>
            <w:tcW w:w="7937" w:type="dxa"/>
            <w:noWrap w:val="0"/>
            <w:vAlign w:val="center"/>
          </w:tcPr>
          <w:p>
            <w:pPr>
              <w:pStyle w:val="198"/>
              <w:keepNext w:val="0"/>
              <w:keepLines w:val="0"/>
              <w:pageBreakBefore w:val="0"/>
              <w:widowControl w:val="0"/>
              <w:bidi w:val="0"/>
              <w:spacing w:line="0" w:lineRule="atLeast"/>
              <w:ind w:left="0" w:right="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2026年6月17日</w:t>
            </w:r>
            <w:r>
              <w:rPr>
                <w:rFonts w:hint="eastAsia" w:ascii="楷体" w:hAnsi="楷体" w:eastAsia="楷体" w:cs="宋体"/>
                <w:spacing w:val="-2"/>
                <w:sz w:val="18"/>
                <w:szCs w:val="18"/>
                <w:highlight w:val="none"/>
              </w:rPr>
              <w:t>至</w:t>
            </w:r>
            <w:r>
              <w:rPr>
                <w:rFonts w:hint="eastAsia" w:ascii="楷体" w:hAnsi="楷体" w:eastAsia="楷体" w:cs="宋体"/>
                <w:spacing w:val="-2"/>
                <w:sz w:val="18"/>
                <w:szCs w:val="18"/>
                <w:highlight w:val="none"/>
                <w:lang w:val="en-US" w:eastAsia="zh-CN"/>
              </w:rPr>
              <w:t>2026年6月23日</w:t>
            </w:r>
            <w:r>
              <w:rPr>
                <w:rFonts w:hint="eastAsia" w:ascii="楷体" w:hAnsi="楷体" w:eastAsia="楷体" w:cs="宋体"/>
                <w:spacing w:val="-2"/>
                <w:sz w:val="18"/>
                <w:szCs w:val="18"/>
                <w:highlight w:val="none"/>
              </w:rPr>
              <w:t>。</w:t>
            </w:r>
          </w:p>
          <w:p>
            <w:pPr>
              <w:pStyle w:val="198"/>
              <w:keepNext w:val="0"/>
              <w:keepLines w:val="0"/>
              <w:pageBreakBefore w:val="0"/>
              <w:bidi w:val="0"/>
              <w:spacing w:line="0" w:lineRule="atLeast"/>
              <w:ind w:left="0" w:right="0"/>
              <w:jc w:val="both"/>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投资者可于募集期结束日交易闭市前撤销认购申请，该时点后不得撤销。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75" w:hRule="atLeast"/>
          <w:jc w:val="center"/>
        </w:trPr>
        <w:tc>
          <w:tcPr>
            <w:tcW w:w="1701" w:type="dxa"/>
            <w:noWrap w:val="0"/>
            <w:vAlign w:val="center"/>
          </w:tcPr>
          <w:p>
            <w:pPr>
              <w:pStyle w:val="198"/>
              <w:keepNext w:val="0"/>
              <w:keepLines w:val="0"/>
              <w:pageBreakBefore w:val="0"/>
              <w:widowControl w:val="0"/>
              <w:bidi w:val="0"/>
              <w:spacing w:line="0" w:lineRule="atLeast"/>
              <w:jc w:val="both"/>
              <w:rPr>
                <w:rFonts w:hint="eastAsia" w:ascii="楷体" w:hAnsi="楷体" w:eastAsia="楷体" w:cs="宋体"/>
                <w:b/>
                <w:color w:val="auto"/>
                <w:spacing w:val="-2"/>
                <w:sz w:val="18"/>
                <w:szCs w:val="18"/>
              </w:rPr>
            </w:pPr>
            <w:r>
              <w:rPr>
                <w:rFonts w:hint="eastAsia" w:ascii="楷体" w:hAnsi="楷体" w:eastAsia="楷体" w:cs="宋体"/>
                <w:b/>
                <w:spacing w:val="-2"/>
                <w:sz w:val="18"/>
                <w:szCs w:val="18"/>
              </w:rPr>
              <w:t>产品成立日</w:t>
            </w:r>
          </w:p>
        </w:tc>
        <w:tc>
          <w:tcPr>
            <w:tcW w:w="7937" w:type="dxa"/>
            <w:noWrap w:val="0"/>
            <w:vAlign w:val="center"/>
          </w:tcPr>
          <w:p>
            <w:pPr>
              <w:pStyle w:val="198"/>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lang w:val="en-US" w:eastAsia="zh-CN"/>
              </w:rPr>
              <w:t>2026年6月24日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3" w:hRule="atLeast"/>
          <w:jc w:val="center"/>
        </w:trPr>
        <w:tc>
          <w:tcPr>
            <w:tcW w:w="1701" w:type="dxa"/>
            <w:noWrap w:val="0"/>
            <w:vAlign w:val="center"/>
          </w:tcPr>
          <w:p>
            <w:pPr>
              <w:pStyle w:val="198"/>
              <w:keepNext w:val="0"/>
              <w:keepLines w:val="0"/>
              <w:pageBreakBefore w:val="0"/>
              <w:widowControl w:val="0"/>
              <w:bidi w:val="0"/>
              <w:spacing w:line="0" w:lineRule="atLeast"/>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r>
              <w:rPr>
                <w:rFonts w:hint="eastAsia" w:ascii="楷体" w:hAnsi="楷体" w:eastAsia="楷体" w:cs="宋体"/>
                <w:b/>
                <w:color w:val="auto"/>
                <w:spacing w:val="-2"/>
                <w:sz w:val="18"/>
                <w:szCs w:val="18"/>
              </w:rPr>
              <w:t>到期日</w:t>
            </w:r>
          </w:p>
        </w:tc>
        <w:tc>
          <w:tcPr>
            <w:tcW w:w="7937" w:type="dxa"/>
            <w:noWrap w:val="0"/>
          </w:tcPr>
          <w:p>
            <w:pPr>
              <w:pStyle w:val="198"/>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lang w:val="en-US" w:eastAsia="zh-CN"/>
              </w:rPr>
              <w:t>2027年7月20日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如遇节假日，顺延至下一工作日。产品到期日受制于提前终止、延期终止条款。详见下文“产品终止”。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99" w:hRule="atLeast"/>
          <w:jc w:val="center"/>
        </w:trPr>
        <w:tc>
          <w:tcPr>
            <w:tcW w:w="1701"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产品存续期限</w:t>
            </w:r>
          </w:p>
        </w:tc>
        <w:tc>
          <w:tcPr>
            <w:tcW w:w="7937" w:type="dxa"/>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lang w:val="en-US" w:eastAsia="zh-CN"/>
              </w:rPr>
              <w:t>391天</w:t>
            </w:r>
            <w:r>
              <w:rPr>
                <w:rFonts w:hint="eastAsia" w:ascii="楷体" w:hAnsi="楷体" w:eastAsia="楷体" w:cs="宋体"/>
                <w:color w:val="auto"/>
                <w:spacing w:val="-2"/>
                <w:sz w:val="18"/>
                <w:szCs w:val="18"/>
                <w:highlight w:val="none"/>
              </w:rPr>
              <w:t>（以理财产品实际存续天数为准）</w:t>
            </w:r>
            <w:r>
              <w:rPr>
                <w:rFonts w:hint="eastAsia" w:ascii="楷体" w:hAnsi="楷体" w:eastAsia="楷体" w:cs="宋体"/>
                <w:color w:val="auto"/>
                <w:spacing w:val="-2"/>
                <w:sz w:val="18"/>
                <w:szCs w:val="18"/>
                <w:highlight w:val="none"/>
                <w:lang w:eastAsia="zh-CN"/>
              </w:rPr>
              <w:t>。</w:t>
            </w:r>
            <w:r>
              <w:rPr>
                <w:rFonts w:hint="eastAsia" w:ascii="楷体" w:hAnsi="楷体" w:eastAsia="楷体" w:cs="宋体"/>
                <w:b/>
                <w:bCs/>
                <w:color w:val="auto"/>
                <w:spacing w:val="-2"/>
                <w:sz w:val="18"/>
                <w:szCs w:val="18"/>
                <w:highlight w:val="none"/>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2"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w:t>
            </w:r>
            <w:r>
              <w:rPr>
                <w:rFonts w:hint="eastAsia" w:ascii="楷体" w:hAnsi="楷体" w:eastAsia="楷体" w:cs="宋体"/>
                <w:b/>
                <w:spacing w:val="-2"/>
                <w:sz w:val="18"/>
                <w:szCs w:val="18"/>
                <w:highlight w:val="none"/>
                <w:lang w:val="en-US" w:eastAsia="zh-CN"/>
              </w:rPr>
              <w:t>比例</w:t>
            </w:r>
            <w:r>
              <w:rPr>
                <w:rFonts w:hint="eastAsia" w:ascii="楷体" w:hAnsi="楷体" w:eastAsia="楷体" w:cs="宋体"/>
                <w:b/>
                <w:spacing w:val="-2"/>
                <w:sz w:val="18"/>
                <w:szCs w:val="18"/>
                <w:highlight w:val="none"/>
              </w:rPr>
              <w:t>上限</w:t>
            </w:r>
          </w:p>
        </w:tc>
        <w:tc>
          <w:tcPr>
            <w:tcW w:w="7937" w:type="dxa"/>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lang w:val="en-US" w:eastAsia="zh-CN"/>
              </w:rPr>
            </w:pPr>
            <w:r>
              <w:rPr>
                <w:rFonts w:hint="eastAsia" w:ascii="楷体" w:hAnsi="楷体" w:eastAsia="楷体" w:cs="宋体"/>
                <w:spacing w:val="-2"/>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单一投资者持有份额不得超过总份额50%；非因主观因素导致突破前款规定比例限制的，在单一投资者持有份额占理财产品总份额比例降至50%以下之前，不再接受该单一投资者对理财产品的购买申请。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47" w:hRule="atLeast"/>
          <w:jc w:val="center"/>
        </w:trPr>
        <w:tc>
          <w:tcPr>
            <w:tcW w:w="1701" w:type="dxa"/>
            <w:noWrap w:val="0"/>
            <w:vAlign w:val="center"/>
          </w:tcPr>
          <w:p>
            <w:pPr>
              <w:pStyle w:val="198"/>
              <w:keepNext w:val="0"/>
              <w:keepLines w:val="0"/>
              <w:pageBreakBefore w:val="0"/>
              <w:widowControl w:val="0"/>
              <w:bidi w:val="0"/>
              <w:spacing w:before="0" w:line="0" w:lineRule="atLeast"/>
              <w:ind w:left="0" w:right="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业绩比较基准</w:t>
            </w:r>
          </w:p>
          <w:p>
            <w:pPr>
              <w:pStyle w:val="198"/>
              <w:keepNext w:val="0"/>
              <w:keepLines w:val="0"/>
              <w:pageBreakBefore w:val="0"/>
              <w:widowControl w:val="0"/>
              <w:bidi w:val="0"/>
              <w:spacing w:before="0" w:line="0" w:lineRule="atLeast"/>
              <w:ind w:left="0" w:right="0"/>
              <w:jc w:val="both"/>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（年化）</w:t>
            </w:r>
          </w:p>
        </w:tc>
        <w:tc>
          <w:tcPr>
            <w:tcW w:w="7937" w:type="dxa"/>
            <w:noWrap w:val="0"/>
            <w:vAlign w:val="center"/>
          </w:tcPr>
          <w:p>
            <w:pPr>
              <w:keepNext w:val="0"/>
              <w:keepLines w:val="0"/>
              <w:pageBreakBefore w:val="0"/>
              <w:widowControl/>
              <w:numPr>
                <w:ilvl w:val="0"/>
                <w:numId w:val="0"/>
              </w:numPr>
              <w:bidi w:val="0"/>
              <w:spacing w:line="0" w:lineRule="atLeast"/>
              <w:ind w:right="0"/>
              <w:jc w:val="left"/>
              <w:rPr>
                <w:rFonts w:hint="eastAsia" w:ascii="楷体" w:hAnsi="楷体" w:eastAsia="楷体" w:cs="宋体"/>
                <w:b/>
                <w:bCs/>
                <w:spacing w:val="-2"/>
                <w:sz w:val="18"/>
                <w:szCs w:val="18"/>
                <w:u w:val="single"/>
                <w:lang w:val="en-US" w:eastAsia="zh-CN"/>
              </w:rPr>
            </w:pPr>
            <w:r>
              <w:rPr>
                <w:rFonts w:hint="eastAsia" w:ascii="楷体" w:hAnsi="楷体" w:eastAsia="楷体" w:cs="宋体"/>
                <w:b/>
                <w:bCs/>
                <w:spacing w:val="-2"/>
                <w:sz w:val="18"/>
                <w:szCs w:val="18"/>
                <w:u w:val="single"/>
                <w:lang w:val="en-US" w:eastAsia="zh-CN"/>
              </w:rPr>
              <w:t>1.管理人参考过往投资经验，依据近期货币市场工具、债券、非标准化债权资产投资收益水平，在产品说明书约定的投资范围和投资比例内，综合考虑收取的销售服务费和投资管理费等费用情况，模拟测算得出业绩比较基准。</w:t>
            </w:r>
          </w:p>
          <w:p>
            <w:pPr>
              <w:keepNext w:val="0"/>
              <w:keepLines w:val="0"/>
              <w:pageBreakBefore w:val="0"/>
              <w:widowControl/>
              <w:numPr>
                <w:ilvl w:val="0"/>
                <w:numId w:val="0"/>
              </w:numPr>
              <w:bidi w:val="0"/>
              <w:spacing w:line="0" w:lineRule="atLeast"/>
              <w:ind w:right="0"/>
              <w:jc w:val="left"/>
              <w:rPr>
                <w:rFonts w:hint="eastAsia" w:ascii="楷体" w:hAnsi="楷体" w:eastAsia="楷体" w:cs="宋体"/>
                <w:b/>
                <w:bCs/>
                <w:spacing w:val="-2"/>
                <w:sz w:val="18"/>
                <w:szCs w:val="18"/>
                <w:u w:val="single"/>
                <w:lang w:val="en-US" w:eastAsia="zh-CN"/>
              </w:rPr>
            </w:pPr>
            <w:r>
              <w:rPr>
                <w:rFonts w:hint="eastAsia" w:ascii="楷体" w:hAnsi="楷体" w:eastAsia="楷体" w:cs="宋体"/>
                <w:b/>
                <w:bCs/>
                <w:spacing w:val="-2"/>
                <w:sz w:val="18"/>
                <w:szCs w:val="18"/>
                <w:u w:val="single"/>
                <w:lang w:val="en-US" w:eastAsia="zh-CN"/>
              </w:rPr>
              <w:t>2.本产品业绩比较基准如下：</w:t>
            </w:r>
          </w:p>
          <w:p>
            <w:pPr>
              <w:keepNext w:val="0"/>
              <w:keepLines w:val="0"/>
              <w:pageBreakBefore w:val="0"/>
              <w:widowControl w:val="0"/>
              <w:bidi w:val="0"/>
              <w:spacing w:line="0" w:lineRule="atLeast"/>
              <w:ind w:left="0" w:right="0"/>
              <w:jc w:val="left"/>
              <w:rPr>
                <w:rFonts w:hint="default" w:ascii="楷体" w:hAnsi="楷体" w:eastAsia="楷体" w:cs="宋体"/>
                <w:b w:val="0"/>
                <w:bCs/>
                <w:spacing w:val="-2"/>
                <w:sz w:val="18"/>
                <w:szCs w:val="18"/>
                <w:highlight w:val="none"/>
                <w:u w:val="none"/>
                <w:lang w:val="en-US" w:eastAsia="zh-CN"/>
              </w:rPr>
            </w:pPr>
            <w:r>
              <w:rPr>
                <w:rFonts w:hint="eastAsia" w:ascii="楷体" w:hAnsi="楷体" w:eastAsia="楷体" w:cs="宋体"/>
                <w:b w:val="0"/>
                <w:bCs/>
                <w:spacing w:val="-2"/>
                <w:sz w:val="18"/>
                <w:szCs w:val="18"/>
                <w:highlight w:val="none"/>
                <w:u w:val="none"/>
                <w:lang w:val="en-US" w:eastAsia="zh-CN"/>
              </w:rPr>
              <w:t>A份额：2.40%-2.80%；B份额：2.40%-2.80%；C份额：2.45%-2.85%；D份额：2.50%-2.90%；E份额：2.45%-2.85%；F份额：2.45%-2.85%；G份额：2.35%-2.75%；H份额：2.40%-2.80%；I份额：2.40%-2.80%；J份额：2.35%-2.75%；JS份额：2.40%-2.80%；K份额：2.65%-3.05%；L份额：2.65%-3.05%；N份额：2.40%-2.80%；O份额：2.42%-2.82%；P份额：2.50%-2.90%；Q份额：2.60%-3.00%；R份额：2.65%-3.05%；S份额：2.45%-2.85%；T份额：2.50%-2.90%；Z份额：2.55%-2.95%；芙蓉锦程·优选份额：2.60%-3.00%。</w:t>
            </w:r>
          </w:p>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rPr>
            </w:pPr>
            <w:r>
              <w:rPr>
                <w:rFonts w:hint="eastAsia" w:ascii="楷体" w:hAnsi="楷体" w:eastAsia="楷体" w:cs="宋体"/>
                <w:b/>
                <w:spacing w:val="-2"/>
                <w:sz w:val="18"/>
                <w:szCs w:val="18"/>
                <w:u w:val="single"/>
                <w:lang w:val="en-US" w:eastAsia="zh-CN"/>
              </w:rPr>
              <w:t>3.</w:t>
            </w:r>
            <w:r>
              <w:rPr>
                <w:rFonts w:hint="eastAsia" w:ascii="楷体" w:hAnsi="楷体" w:eastAsia="楷体" w:cs="宋体"/>
                <w:b/>
                <w:spacing w:val="-2"/>
                <w:sz w:val="18"/>
                <w:szCs w:val="18"/>
                <w:u w:val="single"/>
              </w:rPr>
              <w:t>本产品为净值型产品，业绩表现将随市场波动，具有不确定性。业绩比较</w:t>
            </w:r>
            <w:r>
              <w:rPr>
                <w:rFonts w:hint="eastAsia" w:ascii="楷体" w:hAnsi="楷体" w:eastAsia="楷体" w:cs="宋体"/>
                <w:b/>
                <w:spacing w:val="-2"/>
                <w:sz w:val="18"/>
                <w:szCs w:val="18"/>
                <w:u w:val="single"/>
                <w:lang w:val="en-US" w:eastAsia="zh-CN"/>
              </w:rPr>
              <w:t>基准是</w:t>
            </w:r>
            <w:r>
              <w:rPr>
                <w:rFonts w:hint="eastAsia" w:ascii="楷体" w:hAnsi="楷体" w:eastAsia="楷体" w:cs="宋体"/>
                <w:b/>
                <w:spacing w:val="-2"/>
                <w:sz w:val="18"/>
                <w:szCs w:val="18"/>
                <w:u w:val="single"/>
              </w:rPr>
              <w:t>管理人基于产品性质、投资策略、过往经验等因素对产品设定的投资目标。业绩比较基准不是预期收益率，不代表产品的未来表现和实际收益，不构成对产品收益的承诺。投资者的实际收益由产品净值表现决定。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color w:val="auto"/>
                <w:spacing w:val="-2"/>
                <w:sz w:val="18"/>
                <w:szCs w:val="18"/>
              </w:rPr>
            </w:pPr>
            <w:r>
              <w:rPr>
                <w:rFonts w:hint="eastAsia" w:ascii="楷体" w:hAnsi="楷体" w:eastAsia="楷体" w:cs="宋体"/>
                <w:b/>
                <w:color w:val="auto"/>
                <w:spacing w:val="-2"/>
                <w:sz w:val="18"/>
                <w:szCs w:val="18"/>
              </w:rPr>
              <w:t>产品费用</w:t>
            </w:r>
          </w:p>
        </w:tc>
        <w:tc>
          <w:tcPr>
            <w:tcW w:w="7937" w:type="dxa"/>
            <w:noWrap w:val="0"/>
            <w:vAlign w:val="center"/>
          </w:tcPr>
          <w:p>
            <w:pPr>
              <w:keepNext w:val="0"/>
              <w:keepLines w:val="0"/>
              <w:pageBreakBefore w:val="0"/>
              <w:bidi w:val="0"/>
              <w:spacing w:line="0" w:lineRule="atLeast"/>
              <w:ind w:right="0"/>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本产品费用包括托管费、销售服务费、投资管理费、超额业绩报酬（如有）以及产品运作和清算中产生的其他费用等。</w:t>
            </w:r>
          </w:p>
          <w:p>
            <w:pPr>
              <w:pStyle w:val="198"/>
              <w:keepNext w:val="0"/>
              <w:keepLines w:val="0"/>
              <w:pageBreakBefore w:val="0"/>
              <w:widowControl w:val="0"/>
              <w:bidi w:val="0"/>
              <w:spacing w:line="0" w:lineRule="atLeast"/>
              <w:ind w:right="0"/>
              <w:rPr>
                <w:rFonts w:hint="eastAsia" w:ascii="楷体" w:hAnsi="楷体" w:eastAsia="楷体" w:cs="宋体"/>
                <w:spacing w:val="-2"/>
                <w:sz w:val="18"/>
                <w:szCs w:val="18"/>
                <w:highlight w:val="none"/>
              </w:rPr>
            </w:pPr>
            <w:r>
              <w:rPr>
                <w:rFonts w:hint="eastAsia" w:ascii="楷体" w:hAnsi="楷体" w:eastAsia="楷体" w:cs="宋体"/>
                <w:spacing w:val="-2"/>
                <w:sz w:val="18"/>
                <w:szCs w:val="18"/>
              </w:rPr>
              <w:t>1.托管费率（年化）：</w:t>
            </w:r>
            <w:r>
              <w:rPr>
                <w:rFonts w:hint="eastAsia" w:ascii="楷体" w:hAnsi="楷体" w:eastAsia="楷体" w:cs="宋体"/>
                <w:spacing w:val="-2"/>
                <w:sz w:val="18"/>
                <w:szCs w:val="18"/>
                <w:highlight w:val="none"/>
                <w:lang w:val="en-US" w:eastAsia="zh-CN"/>
              </w:rPr>
              <w:t>0.02%</w:t>
            </w:r>
          </w:p>
          <w:p>
            <w:pPr>
              <w:pStyle w:val="198"/>
              <w:keepNext w:val="0"/>
              <w:keepLines w:val="0"/>
              <w:pageBreakBefore w:val="0"/>
              <w:widowControl w:val="0"/>
              <w:bidi w:val="0"/>
              <w:spacing w:line="0" w:lineRule="atLeast"/>
              <w:ind w:right="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销售服务费率（年化）：A份额：0.20%；B份额：0.30%；C份额：0.20%；D份额：0.20%；E份额：0.20%；F份额：0.20%；G份额：0.30%；H份额：0.20%；I份额：0.15%；J份额：0.20%；K份额：0.10%；L份额：0.05%；N份额：0.25%；O份额：0.30%；P份额：0.15%；Q份额：0.10%；R份额：0.05%；S份额：0.15%；T份额：0.20%；Z份额：0.10%；JS份额：0.20%；芙蓉锦程·优选份额：0.15%。其中D/H/K份额采用一次性提取模式，其他份额采用每日计提模式</w:t>
            </w:r>
          </w:p>
          <w:p>
            <w:pPr>
              <w:pStyle w:val="198"/>
              <w:keepNext w:val="0"/>
              <w:keepLines w:val="0"/>
              <w:pageBreakBefore w:val="0"/>
              <w:widowControl w:val="0"/>
              <w:bidi w:val="0"/>
              <w:spacing w:line="0" w:lineRule="atLeast"/>
              <w:ind w:right="0"/>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3.投资管理费率（年化）：A份额：0.20%；B份额：0.10%；C份额：0.15%；D份额：0.10%；E份额：0.15%；F份额：0.15%；G份额：0.15%；H份额：0.20%；I份额：0.25%；J份额：0.25%；K份额：0.05%；L份额：0.10%；N份额：0.15%；O份额：0.08%；P份额：0.15%；Q份额：0.10%；R份额：0.10%；S份额：0.20%；T份额：0.10%；Z份额：0.15%；JS份额：0.20%；芙蓉锦程·优选份额：0.05%。</w:t>
            </w:r>
          </w:p>
          <w:p>
            <w:pPr>
              <w:keepNext w:val="0"/>
              <w:keepLines w:val="0"/>
              <w:pageBreakBefore w:val="0"/>
              <w:bidi w:val="0"/>
              <w:spacing w:line="0" w:lineRule="atLeast"/>
              <w:ind w:right="0"/>
              <w:rPr>
                <w:rFonts w:hint="eastAsia" w:ascii="楷体" w:hAnsi="楷体" w:eastAsia="楷体" w:cs="宋体"/>
                <w:color w:val="auto"/>
                <w:spacing w:val="-2"/>
                <w:sz w:val="18"/>
                <w:szCs w:val="18"/>
                <w:highlight w:val="none"/>
              </w:rPr>
            </w:pPr>
            <w:r>
              <w:rPr>
                <w:rFonts w:hint="eastAsia" w:ascii="楷体" w:hAnsi="楷体" w:eastAsia="楷体" w:cs="宋体"/>
                <w:color w:val="auto"/>
                <w:spacing w:val="-2"/>
                <w:sz w:val="18"/>
                <w:szCs w:val="18"/>
                <w:highlight w:val="none"/>
              </w:rPr>
              <w:t>4.超额业绩报酬</w:t>
            </w:r>
            <w:r>
              <w:rPr>
                <w:rFonts w:hint="eastAsia" w:ascii="楷体" w:hAnsi="楷体" w:eastAsia="楷体" w:cs="宋体"/>
                <w:color w:val="auto"/>
                <w:spacing w:val="-2"/>
                <w:sz w:val="18"/>
                <w:szCs w:val="18"/>
                <w:highlight w:val="none"/>
                <w:lang w:eastAsia="zh-CN"/>
              </w:rPr>
              <w:t>（</w:t>
            </w:r>
            <w:r>
              <w:rPr>
                <w:rFonts w:hint="eastAsia" w:ascii="楷体" w:hAnsi="楷体" w:eastAsia="楷体" w:cs="宋体"/>
                <w:color w:val="auto"/>
                <w:spacing w:val="-2"/>
                <w:sz w:val="18"/>
                <w:szCs w:val="18"/>
                <w:highlight w:val="none"/>
                <w:lang w:val="en-US" w:eastAsia="zh-CN"/>
              </w:rPr>
              <w:t>如有）</w:t>
            </w:r>
            <w:r>
              <w:rPr>
                <w:rFonts w:hint="eastAsia" w:ascii="楷体" w:hAnsi="楷体" w:eastAsia="楷体" w:cs="宋体"/>
                <w:color w:val="auto"/>
                <w:spacing w:val="-2"/>
                <w:sz w:val="18"/>
                <w:szCs w:val="18"/>
                <w:highlight w:val="none"/>
              </w:rPr>
              <w:t>：</w:t>
            </w:r>
            <w:r>
              <w:rPr>
                <w:rFonts w:hint="eastAsia" w:ascii="楷体" w:hAnsi="楷体" w:eastAsia="楷体" w:cs="宋体"/>
                <w:color w:val="auto"/>
                <w:spacing w:val="-2"/>
                <w:sz w:val="18"/>
                <w:szCs w:val="18"/>
              </w:rPr>
              <w:t>若产品各份额实际投资收益在扣除托管费、销售服务费、投资管理费等费用后超过各份额业绩比较基准下限，产品管理人将按照超出部分的50%收取超额业绩报酬。</w:t>
            </w:r>
          </w:p>
          <w:p>
            <w:pPr>
              <w:keepNext w:val="0"/>
              <w:keepLines w:val="0"/>
              <w:pageBreakBefore w:val="0"/>
              <w:bidi w:val="0"/>
              <w:spacing w:line="0" w:lineRule="atLeast"/>
              <w:ind w:right="0"/>
              <w:rPr>
                <w:rFonts w:ascii="楷体" w:hAnsi="楷体" w:eastAsia="楷体"/>
                <w:color w:val="auto"/>
                <w:sz w:val="18"/>
                <w:szCs w:val="18"/>
              </w:rPr>
            </w:pPr>
            <w:r>
              <w:rPr>
                <w:rFonts w:hint="eastAsia" w:ascii="楷体" w:hAnsi="楷体" w:eastAsia="楷体" w:cs="宋体"/>
                <w:color w:val="auto"/>
                <w:spacing w:val="-2"/>
                <w:sz w:val="18"/>
                <w:szCs w:val="18"/>
              </w:rPr>
              <w:t>产品存续期内理财产品将每日暂估超额业绩报酬，仅用于理财产品会计核算，并将扣除“暂估超额业绩报酬”后的理财产品份额净值按照说明书约定向投资者进行披露。理财产品实际</w:t>
            </w:r>
            <w:r>
              <w:rPr>
                <w:rFonts w:hint="eastAsia" w:ascii="楷体" w:hAnsi="楷体" w:eastAsia="楷体" w:cs="宋体"/>
                <w:color w:val="auto"/>
                <w:spacing w:val="-2"/>
                <w:sz w:val="18"/>
                <w:szCs w:val="18"/>
                <w:lang w:val="en-US" w:eastAsia="zh-CN"/>
              </w:rPr>
              <w:t>收取</w:t>
            </w:r>
            <w:r>
              <w:rPr>
                <w:rFonts w:hint="eastAsia" w:ascii="楷体" w:hAnsi="楷体" w:eastAsia="楷体" w:cs="宋体"/>
                <w:color w:val="auto"/>
                <w:spacing w:val="-2"/>
                <w:sz w:val="18"/>
                <w:szCs w:val="18"/>
              </w:rPr>
              <w:t>的超额业绩报酬以到期日计提核算的数值为准。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bottom w:val="single" w:color="auto" w:sz="4" w:space="0"/>
            </w:tcBorders>
            <w:noWrap w:val="0"/>
            <w:vAlign w:val="center"/>
          </w:tcPr>
          <w:p>
            <w:pPr>
              <w:pStyle w:val="198"/>
              <w:keepNext w:val="0"/>
              <w:keepLines w:val="0"/>
              <w:pageBreakBefore w:val="0"/>
              <w:widowControl w:val="0"/>
              <w:bidi w:val="0"/>
              <w:spacing w:before="0" w:line="0" w:lineRule="atLeast"/>
              <w:ind w:left="0"/>
              <w:jc w:val="both"/>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收益分配</w:t>
            </w:r>
          </w:p>
        </w:tc>
        <w:tc>
          <w:tcPr>
            <w:tcW w:w="7937" w:type="dxa"/>
            <w:tcBorders>
              <w:bottom w:val="single" w:color="auto" w:sz="4" w:space="0"/>
            </w:tcBorders>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本产品无分红机制，投资运作情况体现为产品净值变化。产品投资运作到期，投资收益扣除相关费用后</w:t>
            </w:r>
            <w:r>
              <w:rPr>
                <w:rFonts w:hint="eastAsia" w:ascii="楷体" w:hAnsi="楷体" w:eastAsia="楷体" w:cs="宋体"/>
                <w:spacing w:val="-2"/>
                <w:sz w:val="18"/>
                <w:szCs w:val="18"/>
                <w:highlight w:val="none"/>
                <w:lang w:val="en-US" w:eastAsia="zh-CN"/>
              </w:rPr>
              <w:t>全部</w:t>
            </w:r>
            <w:r>
              <w:rPr>
                <w:rFonts w:hint="eastAsia" w:ascii="楷体" w:hAnsi="楷体" w:eastAsia="楷体" w:cs="宋体"/>
                <w:spacing w:val="-2"/>
                <w:sz w:val="18"/>
                <w:szCs w:val="18"/>
                <w:highlight w:val="none"/>
              </w:rPr>
              <w:t>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tcBorders>
              <w:bottom w:val="single" w:color="auto" w:sz="4" w:space="0"/>
            </w:tcBorders>
            <w:noWrap w:val="0"/>
            <w:vAlign w:val="center"/>
          </w:tcPr>
          <w:p>
            <w:pPr>
              <w:pStyle w:val="198"/>
              <w:keepNext w:val="0"/>
              <w:keepLines w:val="0"/>
              <w:pageBreakBefore w:val="0"/>
              <w:widowControl w:val="0"/>
              <w:bidi w:val="0"/>
              <w:spacing w:before="0" w:line="0" w:lineRule="atLeast"/>
              <w:ind w:left="0"/>
              <w:jc w:val="both"/>
              <w:rPr>
                <w:rFonts w:hint="default" w:ascii="楷体" w:hAnsi="楷体" w:eastAsia="楷体" w:cs="宋体"/>
                <w:b/>
                <w:color w:val="auto"/>
                <w:spacing w:val="-2"/>
                <w:sz w:val="18"/>
                <w:szCs w:val="18"/>
                <w:lang w:val="en-US"/>
              </w:rPr>
            </w:pPr>
            <w:r>
              <w:rPr>
                <w:rFonts w:hint="eastAsia" w:ascii="楷体" w:hAnsi="楷体" w:eastAsia="楷体" w:cs="宋体"/>
                <w:b/>
                <w:color w:val="auto"/>
                <w:spacing w:val="-2"/>
                <w:sz w:val="18"/>
                <w:szCs w:val="18"/>
                <w:lang w:val="en-US" w:eastAsia="zh-CN"/>
              </w:rPr>
              <w:t>税款</w:t>
            </w:r>
          </w:p>
        </w:tc>
        <w:tc>
          <w:tcPr>
            <w:tcW w:w="7937" w:type="dxa"/>
            <w:tcBorders>
              <w:bottom w:val="single" w:color="auto" w:sz="4" w:space="0"/>
            </w:tcBorders>
            <w:noWrap w:val="0"/>
            <w:vAlign w:val="center"/>
          </w:tcPr>
          <w:p>
            <w:pPr>
              <w:keepNext w:val="0"/>
              <w:keepLines w:val="0"/>
              <w:pageBreakBefore w:val="0"/>
              <w:widowControl w:val="0"/>
              <w:bidi w:val="0"/>
              <w:spacing w:line="0" w:lineRule="atLeast"/>
              <w:ind w:left="0" w:right="0"/>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根据中国增值税等税收相关法律法规、税收政策等要求，</w:t>
            </w:r>
            <w:r>
              <w:rPr>
                <w:rFonts w:hint="eastAsia" w:ascii="楷体" w:hAnsi="楷体" w:eastAsia="楷体" w:cs="宋体"/>
                <w:color w:val="auto"/>
                <w:spacing w:val="-2"/>
                <w:sz w:val="18"/>
                <w:szCs w:val="18"/>
                <w:shd w:val="clear" w:color="auto" w:fill="auto"/>
                <w:lang w:val="en-US" w:eastAsia="zh-CN"/>
              </w:rPr>
              <w:t>产品</w:t>
            </w:r>
            <w:r>
              <w:rPr>
                <w:rFonts w:hint="eastAsia" w:ascii="楷体" w:hAnsi="楷体" w:eastAsia="楷体" w:cs="宋体"/>
                <w:color w:val="auto"/>
                <w:spacing w:val="-2"/>
                <w:sz w:val="18"/>
                <w:szCs w:val="18"/>
              </w:rPr>
              <w:t>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二、</w:t>
      </w:r>
      <w:r>
        <w:rPr>
          <w:rFonts w:hint="eastAsia" w:ascii="楷体" w:hAnsi="楷体" w:eastAsia="楷体"/>
          <w:b/>
          <w:color w:val="auto"/>
          <w:sz w:val="21"/>
          <w:szCs w:val="21"/>
        </w:rPr>
        <w:t>产品管理人</w:t>
      </w:r>
    </w:p>
    <w:p>
      <w:pPr>
        <w:numPr>
          <w:ilvl w:val="0"/>
          <w:numId w:val="0"/>
        </w:numPr>
        <w:ind w:left="0"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0"/>
          <w:numId w:val="0"/>
        </w:numPr>
        <w:ind w:left="0" w:firstLine="420"/>
        <w:rPr>
          <w:rFonts w:hint="eastAsia" w:ascii="楷体" w:hAnsi="楷体" w:eastAsia="楷体" w:cs="Times New Roman"/>
          <w:color w:val="auto"/>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0"/>
        </w:numPr>
        <w:tabs>
          <w:tab w:val="left" w:pos="1134"/>
        </w:tabs>
        <w:ind w:left="420"/>
        <w:outlineLvl w:val="0"/>
        <w:rPr>
          <w:rFonts w:hint="eastAsia" w:ascii="楷体" w:hAnsi="楷体" w:eastAsia="楷体" w:cs="Times New Roman"/>
          <w:b/>
          <w:color w:val="auto"/>
          <w:sz w:val="21"/>
          <w:szCs w:val="21"/>
          <w:highlight w:val="none"/>
        </w:rPr>
      </w:pPr>
      <w:r>
        <w:rPr>
          <w:rFonts w:hint="eastAsia" w:ascii="楷体" w:hAnsi="楷体" w:eastAsia="楷体"/>
          <w:b/>
          <w:color w:val="auto"/>
          <w:szCs w:val="21"/>
          <w:highlight w:val="none"/>
          <w:lang w:val="en-US" w:eastAsia="zh-CN"/>
        </w:rPr>
        <w:t>三、</w:t>
      </w:r>
      <w:r>
        <w:rPr>
          <w:rFonts w:hint="eastAsia" w:ascii="楷体" w:hAnsi="楷体" w:eastAsia="楷体"/>
          <w:b/>
          <w:color w:val="auto"/>
          <w:szCs w:val="21"/>
          <w:highlight w:val="none"/>
        </w:rPr>
        <w:t>产品托管人</w:t>
      </w:r>
    </w:p>
    <w:p>
      <w:pPr>
        <w:numPr>
          <w:ilvl w:val="0"/>
          <w:numId w:val="0"/>
        </w:numPr>
        <w:ind w:firstLine="420"/>
        <w:rPr>
          <w:rFonts w:hint="default" w:ascii="楷体" w:hAnsi="楷体" w:eastAsia="楷体"/>
          <w:color w:val="auto"/>
          <w:sz w:val="21"/>
          <w:szCs w:val="21"/>
          <w:lang w:val="en-US" w:eastAsia="zh-CN"/>
        </w:rPr>
      </w:pPr>
      <w:r>
        <w:rPr>
          <w:rFonts w:hint="eastAsia" w:ascii="楷体" w:hAnsi="楷体" w:eastAsia="楷体"/>
          <w:color w:val="auto"/>
          <w:sz w:val="21"/>
          <w:szCs w:val="21"/>
          <w:highlight w:val="none"/>
        </w:rPr>
        <w:t>本产品托管人为</w:t>
      </w:r>
      <w:r>
        <w:rPr>
          <w:rFonts w:hint="eastAsia" w:ascii="楷体" w:hAnsi="楷体" w:eastAsia="楷体"/>
          <w:b/>
          <w:bCs/>
          <w:color w:val="auto"/>
          <w:sz w:val="21"/>
          <w:szCs w:val="21"/>
          <w:highlight w:val="none"/>
          <w:u w:val="single"/>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0"/>
        </w:numPr>
        <w:tabs>
          <w:tab w:val="left" w:pos="1134"/>
        </w:tabs>
        <w:ind w:left="420"/>
        <w:outlineLvl w:val="0"/>
        <w:rPr>
          <w:rFonts w:hint="eastAsia" w:ascii="楷体" w:hAnsi="楷体" w:eastAsia="楷体" w:cs="Times New Roman"/>
          <w:b/>
          <w:color w:val="auto"/>
          <w:sz w:val="21"/>
          <w:szCs w:val="21"/>
          <w:highlight w:val="none"/>
        </w:rPr>
      </w:pPr>
      <w:r>
        <w:rPr>
          <w:rFonts w:hint="eastAsia" w:ascii="楷体" w:hAnsi="楷体" w:eastAsia="楷体" w:cs="Times New Roman"/>
          <w:b/>
          <w:color w:val="auto"/>
          <w:sz w:val="21"/>
          <w:szCs w:val="21"/>
          <w:highlight w:val="none"/>
          <w:lang w:val="en-US" w:eastAsia="zh-CN"/>
        </w:rPr>
        <w:t>四、</w:t>
      </w:r>
      <w:r>
        <w:rPr>
          <w:rFonts w:hint="eastAsia" w:ascii="楷体" w:hAnsi="楷体" w:eastAsia="楷体" w:cs="Times New Roman"/>
          <w:b/>
          <w:color w:val="auto"/>
          <w:sz w:val="21"/>
          <w:szCs w:val="21"/>
          <w:highlight w:val="none"/>
        </w:rPr>
        <w:t>销售机构</w:t>
      </w:r>
    </w:p>
    <w:p>
      <w:pPr>
        <w:numPr>
          <w:ilvl w:val="0"/>
          <w:numId w:val="0"/>
        </w:numPr>
        <w:tabs>
          <w:tab w:val="left" w:pos="1134"/>
        </w:tabs>
        <w:ind w:left="0" w:firstLine="42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兑付责任，产品的投资</w:t>
      </w:r>
      <w:r>
        <w:rPr>
          <w:rFonts w:hint="eastAsia" w:ascii="楷体" w:hAnsi="楷体" w:eastAsia="楷体"/>
          <w:b w:val="0"/>
          <w:bCs w:val="0"/>
          <w:sz w:val="21"/>
          <w:szCs w:val="21"/>
          <w:highlight w:val="none"/>
          <w:u w:val="none"/>
          <w:lang w:val="en-US" w:eastAsia="zh-CN"/>
        </w:rPr>
        <w:t>和</w:t>
      </w:r>
      <w:r>
        <w:rPr>
          <w:rFonts w:hint="eastAsia" w:ascii="楷体" w:hAnsi="楷体" w:eastAsia="楷体"/>
          <w:b w:val="0"/>
          <w:bCs w:val="0"/>
          <w:sz w:val="21"/>
          <w:szCs w:val="21"/>
          <w:highlight w:val="none"/>
          <w:u w:val="none"/>
        </w:rPr>
        <w:t>兑付责任由管理人承担。</w:t>
      </w:r>
    </w:p>
    <w:p>
      <w:pPr>
        <w:numPr>
          <w:ilvl w:val="0"/>
          <w:numId w:val="0"/>
        </w:numPr>
        <w:tabs>
          <w:tab w:val="left" w:pos="993"/>
        </w:tabs>
        <w:ind w:left="0" w:firstLine="42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A份额：江苏高淳农村商业银行股份有限公司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江苏姜堰农村商业银行股份有限公司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江苏常熟农村商业银行股份有限公司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江苏银行股份有限公司</w:t>
      </w:r>
    </w:p>
    <w:p>
      <w:pPr>
        <w:numPr>
          <w:ilvl w:val="0"/>
          <w:numId w:val="0"/>
        </w:numPr>
        <w:tabs>
          <w:tab w:val="left" w:pos="993"/>
        </w:tabs>
        <w:ind w:left="0" w:firstLine="420"/>
        <w:rPr>
          <w:rFonts w:hint="eastAsia"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B份额：晋商银行股份有限公司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东莞农村商业银行股份有限公司</w:t>
      </w:r>
      <w:r>
        <w:rPr>
          <w:rFonts w:hint="eastAsia" w:ascii="楷体" w:hAnsi="楷体" w:eastAsia="楷体"/>
          <w:b w:val="0"/>
          <w:bCs w:val="0"/>
          <w:sz w:val="21"/>
          <w:szCs w:val="21"/>
          <w:highlight w:val="none"/>
          <w:u w:val="none"/>
          <w:lang w:val="en-US" w:eastAsia="zh-CN"/>
        </w:rPr>
        <w:t>/徽商银行股份有限公司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C份额：江苏银行股份有限公司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D份额：武汉农村商业银行股份有限公司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浙江桐乡农村商业银行股份有限公司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宁波东海银行股份有限公司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E份额：江苏银行股份有限公司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江苏常熟农村商业银行股份有限公司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江苏宜兴农村商业银行股份有限公司</w:t>
      </w:r>
    </w:p>
    <w:p>
      <w:pPr>
        <w:numPr>
          <w:ilvl w:val="0"/>
          <w:numId w:val="0"/>
        </w:numPr>
        <w:tabs>
          <w:tab w:val="left" w:pos="993"/>
        </w:tabs>
        <w:ind w:left="0" w:firstLine="420"/>
        <w:rPr>
          <w:rFonts w:hint="eastAsia"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F份额：莱商银行股份有限公司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威海银行股份有限公司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齐鲁银行股份有限公司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青岛银行股份有限公司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宁夏银行股份有限公司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广州银行股份有限公司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江苏苏州农村商业银行股份有限公司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东营银行股份有限公司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秦皇岛银行股份有限公司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嘉兴银行股份有限公司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上海银行股份有限公司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山西银行股份有限公司</w:t>
      </w:r>
      <w:r>
        <w:rPr>
          <w:rFonts w:hint="eastAsia" w:ascii="楷体" w:hAnsi="楷体" w:eastAsia="楷体"/>
          <w:b w:val="0"/>
          <w:bCs w:val="0"/>
          <w:sz w:val="21"/>
          <w:szCs w:val="21"/>
          <w:highlight w:val="none"/>
          <w:u w:val="none"/>
          <w:lang w:val="en-US" w:eastAsia="zh-CN"/>
        </w:rPr>
        <w:t>/徽商银行股份有限公司</w:t>
      </w:r>
    </w:p>
    <w:p>
      <w:pPr>
        <w:numPr>
          <w:ilvl w:val="0"/>
          <w:numId w:val="0"/>
        </w:numPr>
        <w:tabs>
          <w:tab w:val="left" w:pos="993"/>
        </w:tabs>
        <w:ind w:left="0" w:firstLine="420"/>
        <w:rPr>
          <w:rFonts w:hint="eastAsia"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G份额：江苏苏州农村商业银行股份有限公司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江苏常熟农村商业银行股份有限公司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北京农村商业银行股份有限公司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山西银行股份有限公司</w:t>
      </w:r>
      <w:r>
        <w:rPr>
          <w:rFonts w:hint="eastAsia" w:ascii="楷体" w:hAnsi="楷体" w:eastAsia="楷体"/>
          <w:b w:val="0"/>
          <w:bCs w:val="0"/>
          <w:sz w:val="21"/>
          <w:szCs w:val="21"/>
          <w:highlight w:val="none"/>
          <w:u w:val="none"/>
          <w:lang w:val="en-US" w:eastAsia="zh-CN"/>
        </w:rPr>
        <w:t>/上海农村商业银行股份有限公司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H份额：宁波东海银行股份有限公司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宁波通商银行股份有限公司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浙江温州鹿城农村商业银行股份有限公司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浙江义乌农村商业银行股份有限公司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浙江乐清农村商业银行股份有限公司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浙江瑞安农村商业银行股份有限公司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浙江上虞农村商业银行股份有限公司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浙江温州瓯海农村商业银行股份有限公司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浙江海宁农村商业银行股份有限公司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浙江温州龙湾农村商业银行股份有限公司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浙江德清农村商业银行股份有限公司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浙江南浔农村商业银行股份有限公司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浙江禾城农村商业银行股份有限公司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浙江东阳农村商业银行股份有限公司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浙江诸暨农村商业银行股份有限公司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浙江桐乡农村商业银行股份有限公司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浙江温岭农村商业银行股份有限公司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浙江临海农村商业银行股份有限公司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浙江永康农村商业银行股份有限公司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浙江嘉善农村商业银行股份有限公司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浙江安吉农村商业银行股份有限公司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浙江长兴农村商业银行股份有限公司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浙江台州路桥农村商业银行股份有限公司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湖州吴兴农村商业银行股份有限公司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浙江嵊州农村商业银行股份有限公司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浙江平湖农村商业银行股份有限公司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浙江永嘉农村商业银行股份有限公司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浙江苍南农村商业银行股份有限公司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浙江金华成泰农村商业银行股份有限公司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浙江绍兴恒信农村商业银行股份有限公司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浙江台州黄岩农村商业银行股份有限公司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浙江江山农村商业银行股份有限公司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浙江海盐农村商业银行股份有限公司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浙江青田农村商业银行股份有限公司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浙江兰溪农村商业银行股份有限公司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浙江衢州柯城农村商业银行股份有限公司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浙江武义农村商业银行股份有限公司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浙江新昌农村商业银行股份有限公司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浙江舟山定海海洋农村商业银行股份有限公司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浙江舟山普陀农村商业银行股份有限公司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浙江天台农村商业银行股份有限公司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浙江仙居农村商业银行股份有限公司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浙江文成农村商业银行股份有限公司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浙江衢州衢江农村商业银行股份有限公司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浙江龙游农村商业银行股份有限公司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浙江泰顺农村商业银行股份有限公司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浙江浦江农村商业银行股份有限公司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浙江开化农村商业银行股份有限公司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浙江缙云农村商业银行股份有限公司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浙江岱山农村商业银行股份有限公司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浙江龙泉农村商业银行股份有限公司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浙江遂昌农村商业银行股份有限公司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I份额：杭州联合农村商业银行股份有限公司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浙江萧山农村商业银行股份有限公司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浙江杭州余杭农村商业银行股份有限公司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浙江临安农村商业银行股份有限公司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浙江桐庐农村商业银行股份有限公司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浙江富阳农村商业银行股份有限公司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浙江淳安农村商业银行股份有限公司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浙江建德农村商业银行股份有限公司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宁波慈溪农村商业银行股份有限公司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宁波余姚农村商业银行股份有限公司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宁波镇海农村商业银行股份有限公司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宁波鄞州农村商业银行股份有限公司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宁波甬城农村商业银行股份有限公司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宁波宁海农村商业银行股份有限公司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J份额：杭州联合农村商业银行股份有限公司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浙江萧山农村商业银行股份有限公司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浙江杭州余杭农村商业银行股份有限公司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浙江临安农村商业银行股份有限公司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浙江桐庐农村商业银行股份有限公司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浙江富阳农村商业银行股份有限公司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浙江淳安农村商业银行股份有限公司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浙江建德农村商业银行股份有限公司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宁波慈溪农村商业银行股份有限公司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宁波余姚农村商业银行股份有限公司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宁波镇海农村商业银行股份有限公司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宁波鄞州农村商业银行股份有限公司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宁波甬城农村商业银行股份有限公司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宁波宁海农村商业银行股份有限公司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K份额：武汉农村商业银行股份有限公司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L份额：浙江海宁农村商业银行股份有限公司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浙江永康农村商业银行股份有限公司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N份额：青岛银行股份有限公司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山西银行股份有限公司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上海银行股份有限公司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O份额：东莞农村商业银行股份有限公司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湖北银行股份有限公司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P份额：东营银行股份有限公司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山西银行股份有限公司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齐鲁银行股份有限公司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Q份额：</w:t>
      </w:r>
      <w:r>
        <w:rPr>
          <w:rFonts w:hint="eastAsia" w:ascii="楷体" w:hAnsi="楷体" w:eastAsia="楷体"/>
          <w:b w:val="0"/>
          <w:bCs w:val="0"/>
          <w:sz w:val="21"/>
          <w:szCs w:val="21"/>
          <w:highlight w:val="none"/>
          <w:u w:val="none"/>
          <w:lang w:val="en-US" w:eastAsia="zh-CN"/>
        </w:rPr>
        <w:t>苏银理财有限责任公司/</w:t>
      </w:r>
      <w:r>
        <w:rPr>
          <w:rFonts w:hint="default" w:ascii="楷体" w:hAnsi="楷体" w:eastAsia="楷体"/>
          <w:b w:val="0"/>
          <w:bCs w:val="0"/>
          <w:sz w:val="21"/>
          <w:szCs w:val="21"/>
          <w:highlight w:val="none"/>
          <w:u w:val="none"/>
          <w:lang w:val="en-US" w:eastAsia="zh-CN"/>
        </w:rPr>
        <w:t>日照银行股份有限公司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青岛银行股份有限公司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莱商银行股份有限公司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广西北部湾银行股份有限公司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泰安银行股份有限公司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浙江海宁农村商业银行股份有限公司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浙江平湖农村商业银行股份有限公司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浙江海盐农村商业银行股份有限公司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浙江桐乡农村商业银行股份有限公司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浙江嘉善农村商业银行股份有限公司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浙江瑞安农村商业银行股份有限公司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浙江绍兴瑞丰农村商业银行股份有限公司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浙江温州瓯海农村商业银行股份有限公司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浙江禾城农村商业银行股份有限公司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浙江上虞农村商业银行股份有限公司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浙江苍南农村商业银行股份有限公司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浙江温州龙湾农村商业银行股份有限公司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浙江永康农村商业银行股份有限公司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浙江温州鹿城农村商业银行股份有限公司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浙江永嘉农村商业银行股份有限公司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浙江德清农村商业银行股份有限公司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浙江乐清农村商业银行股份有限公司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浙江新昌农村商业银行股份有限公司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浙江武义农村商业银行股份有限公司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浙江嵊州农村商业银行股份有限公司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浙江东阳农村商业银行股份有限公司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浙江安吉农村商业银行股份有限公司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浙江岱山农村商业银行股份有限公司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浙江温岭农村商业银行股份有限公司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浙江青田农村商业银行股份有限公司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浙江临海农村商业银行股份有限公司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湖州吴兴农村商业银行股份有限公司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浙江舟山定海海洋农村商业银行股份有限公司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浙江义乌农村商业银行股份有限公司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浙江江山农村商业银行股份有限公司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浙江南浔农村商业银行股份有限公司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浙江兰溪农村商业银行股份有限公司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浙江舟山普陀农村商业银行股份有限公司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浙江衢州柯城农村商业银行股份有限公司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浙江天台农村商业银行股份有限公司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浙江台州路桥农村商业银行股份有限公司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浙江衢州衢江农村商业银行股份有限公司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浙江文成农村商业银行股份有限公司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浙江龙泉农村商业银行股份有限公司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浙江绍兴恒信农村商业银行股份有限公司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浙江金华成泰农村商业银行股份有限公司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浙江缙云农村商业银行股份有限公司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浙江浦江农村商业银行股份有限公司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浙江长兴农村商业银行股份有限公司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浙江开化农村商业银行股份有限公司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浙江仙居农村商业银行股份有限公司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浙江龙游农村商业银行股份有限公司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浙江台州黄岩农村商业银行股份有限公司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浙江泰顺农村商业银行股份有限公司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浙江遂昌农村商业银行股份有限公司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浙江诸暨农村商业银行股份有限公司</w:t>
      </w:r>
    </w:p>
    <w:p>
      <w:pPr>
        <w:numPr>
          <w:ilvl w:val="0"/>
          <w:numId w:val="0"/>
        </w:numPr>
        <w:tabs>
          <w:tab w:val="left" w:pos="993"/>
        </w:tabs>
        <w:ind w:left="0" w:firstLine="420"/>
        <w:rPr>
          <w:rFonts w:hint="eastAsia"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R份额：潍坊银行股份有限公司</w:t>
      </w:r>
      <w:r>
        <w:rPr>
          <w:rFonts w:hint="eastAsia" w:ascii="楷体" w:hAnsi="楷体" w:eastAsia="楷体"/>
          <w:b w:val="0"/>
          <w:bCs w:val="0"/>
          <w:sz w:val="21"/>
          <w:szCs w:val="21"/>
          <w:highlight w:val="none"/>
          <w:u w:val="none"/>
          <w:lang w:val="en-US" w:eastAsia="zh-CN"/>
        </w:rPr>
        <w:t>/浙江嘉善农村商业银行股份有限公司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S份额：浙江温州鹿城农村商业银行股份有限公司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浙江义乌农村商业银行股份有限公司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浙江乐清农村商业银行股份有限公司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浙江瑞安农村商业银行股份有限公司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浙江上虞农村商业银行股份有限公司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浙江温州瓯海农村商业银行股份有限公司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浙江海宁农村商业银行股份有限公司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浙江温州龙湾农村商业银行股份有限公司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浙江德清农村商业银行股份有限公司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浙江南浔农村商业银行股份有限公司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浙江禾城农村商业银行股份有限公司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浙江东阳农村商业银行股份有限公司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浙江诸暨农村商业银行股份有限公司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浙江桐乡农村商业银行股份有限公司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浙江温岭农村商业银行股份有限公司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浙江临海农村商业银行股份有限公司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浙江永康农村商业银行股份有限公司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浙江嘉善农村商业银行股份有限公司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浙江安吉农村商业银行股份有限公司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浙江长兴农村商业银行股份有限公司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浙江台州路桥农村商业银行股份有限公司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湖州吴兴农村商业银行股份有限公司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浙江嵊州农村商业银行股份有限公司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浙江平湖农村商业银行股份有限公司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浙江永嘉农村商业银行股份有限公司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浙江苍南农村商业银行股份有限公司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浙江金华成泰农村商业银行股份有限公司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浙江绍兴恒信农村商业银行股份有限公司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浙江台州黄岩农村商业银行股份有限公司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浙江江山农村商业银行股份有限公司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浙江海盐农村商业银行股份有限公司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浙江青田农村商业银行股份有限公司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浙江兰溪农村商业银行股份有限公司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浙江衢州柯城农村商业银行股份有限公司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浙江武义农村商业银行股份有限公司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浙江新昌农村商业银行股份有限公司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浙江舟山定海海洋农村商业银行股份有限公司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浙江舟山普陀农村商业银行股份有限公司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浙江天台农村商业银行股份有限公司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浙江仙居农村商业银行股份有限公司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浙江文成农村商业银行股份有限公司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浙江衢州衢江农村商业银行股份有限公司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浙江龙游农村商业银行股份有限公司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浙江泰顺农村商业银行股份有限公司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浙江浦江农村商业银行股份有限公司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浙江开化农村商业银行股份有限公司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浙江缙云农村商业银行股份有限公司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浙江岱山农村商业银行股份有限公司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浙江龙泉农村商业银行股份有限公司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浙江遂昌农村商业银行股份有限公司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T份额：重庆农村商业银行股份有限公司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Z份额：莱商银行股份有限公司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郑州银行股份有限公司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甘肃银行股份有限公司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泰安银行股份有限公司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山西银行股份有限公司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JS份额：江苏东海农村商业银行股份有限公司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江苏赣榆农村商业银行股份有限公司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江苏射阳农村商业银行股份有限公司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江苏阜宁农村商业银行股份有限公司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江苏东台农村商业银行股份有限公司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江苏盐城农村商业银行股份有限公司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江苏高淳农村商业银行股份有限公司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江苏紫金农村商业银行股份有限公司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江苏溧水农村商业银行股份有限公司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江苏大丰农村商业银行股份有限公司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江苏扬州农村商业银行股份有限公司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江苏张家港农村商业银行股份有限公司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江苏如东农村商业银行股份有限公司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江苏江南农村商业银行股份有限公司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江苏泗阳农村商业银行股份有限公司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江苏沛县农村商业银行股份有限公司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江苏灌云农村商业银行股份有限公司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江苏灌南农村商业银行股份有限公司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江苏泰兴农村商业银行股份有限公司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江苏仪征农村商业银行股份有限公司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江苏靖江农村商业银行股份有限公司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江苏海门农村商业银行股份有限公司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江苏江都农村商业银行股份有限公司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江苏常熟农村商业银行股份有限公司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江苏新沂农村商业银行股份有限公司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江苏如皋农村商业银行股份有限公司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江苏启东农村商业银行股份有限公司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徐州农村商业银行股份有限公司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江苏高邮农村商业银行股份有限公司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江苏沭阳农村商业银行股份有限公司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江苏民丰农村商业银行股份有限公司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江苏镇江农村商业银行股份有限公司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江苏海安农村商业银行股份有限公司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江苏苏州农村商业银行股份有限公司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江苏建湖农村商业银行股份有限公司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江苏淮安农村商业银行股份有限公司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江苏姜堰农村商业银行股份有限公司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江苏句容农村商业银行股份有限公司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江苏睢宁农村商业银行股份有限公司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江苏扬中农村商业银行股份有限公司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江苏丰县农村商业银行股份有限公司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江苏邳州农村商业银行股份有限公司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江苏宜兴农村商业银行股份有限公司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连云港东方农村商业银行股份有限公司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江苏金湖农村商业银行股份有限公司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江苏响水农村商业银行股份有限公司</w:t>
      </w:r>
      <w:r>
        <w:rPr>
          <w:rFonts w:hint="eastAsia" w:ascii="楷体" w:hAnsi="楷体" w:eastAsia="楷体"/>
          <w:b w:val="0"/>
          <w:bCs w:val="0"/>
          <w:sz w:val="21"/>
          <w:szCs w:val="21"/>
          <w:highlight w:val="none"/>
          <w:u w:val="none"/>
          <w:lang w:val="en-US" w:eastAsia="zh-CN"/>
        </w:rPr>
        <w:t>/</w:t>
      </w:r>
      <w:r>
        <w:rPr>
          <w:rFonts w:hint="default" w:ascii="楷体" w:hAnsi="楷体" w:eastAsia="楷体"/>
          <w:b w:val="0"/>
          <w:bCs w:val="0"/>
          <w:sz w:val="21"/>
          <w:szCs w:val="21"/>
          <w:highlight w:val="none"/>
          <w:u w:val="none"/>
          <w:lang w:val="en-US" w:eastAsia="zh-CN"/>
        </w:rPr>
        <w:t>江苏太仓农村商业银行股份有限公司</w:t>
      </w:r>
    </w:p>
    <w:p>
      <w:pPr>
        <w:numPr>
          <w:ilvl w:val="0"/>
          <w:numId w:val="0"/>
        </w:numPr>
        <w:tabs>
          <w:tab w:val="left" w:pos="993"/>
        </w:tabs>
        <w:ind w:left="0" w:firstLine="420"/>
        <w:rPr>
          <w:rFonts w:hint="default" w:ascii="楷体" w:hAnsi="楷体" w:eastAsia="楷体"/>
          <w:b w:val="0"/>
          <w:bCs w:val="0"/>
          <w:sz w:val="21"/>
          <w:szCs w:val="21"/>
          <w:highlight w:val="none"/>
          <w:u w:val="none"/>
          <w:lang w:val="en-US" w:eastAsia="zh-CN"/>
        </w:rPr>
      </w:pPr>
      <w:r>
        <w:rPr>
          <w:rFonts w:hint="default" w:ascii="楷体" w:hAnsi="楷体" w:eastAsia="楷体"/>
          <w:b w:val="0"/>
          <w:bCs w:val="0"/>
          <w:sz w:val="21"/>
          <w:szCs w:val="21"/>
          <w:highlight w:val="none"/>
          <w:u w:val="none"/>
          <w:lang w:val="en-US" w:eastAsia="zh-CN"/>
        </w:rPr>
        <w:t>芙蓉锦程·优选份额：</w:t>
      </w:r>
      <w:r>
        <w:rPr>
          <w:rFonts w:hint="eastAsia" w:ascii="楷体" w:hAnsi="楷体" w:eastAsia="楷体"/>
          <w:b w:val="0"/>
          <w:bCs w:val="0"/>
          <w:sz w:val="21"/>
          <w:szCs w:val="21"/>
          <w:highlight w:val="none"/>
          <w:u w:val="none"/>
          <w:lang w:val="en-US" w:eastAsia="zh-CN"/>
        </w:rPr>
        <w:t>成都银行股份有限公司</w:t>
      </w:r>
    </w:p>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五、名词释义</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numPr>
          <w:ilvl w:val="0"/>
          <w:numId w:val="3"/>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理财产品用语</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销售代码：指本理财产品可能</w:t>
      </w:r>
      <w:r>
        <w:rPr>
          <w:rFonts w:hint="eastAsia" w:ascii="楷体" w:hAnsi="楷体" w:eastAsia="楷体" w:cs="Calibri"/>
          <w:color w:val="auto"/>
          <w:sz w:val="21"/>
          <w:szCs w:val="21"/>
          <w:lang w:val="en-US" w:eastAsia="zh-CN"/>
        </w:rPr>
        <w:t>设置一类或多类</w:t>
      </w:r>
      <w:r>
        <w:rPr>
          <w:rFonts w:hint="eastAsia" w:ascii="楷体" w:hAnsi="楷体" w:eastAsia="楷体" w:cs="Calibri"/>
          <w:color w:val="auto"/>
          <w:sz w:val="21"/>
          <w:szCs w:val="21"/>
        </w:rPr>
        <w:t>产品份额，管理人在理财产品销售管理过程中</w:t>
      </w:r>
      <w:r>
        <w:rPr>
          <w:rFonts w:hint="eastAsia" w:ascii="楷体" w:hAnsi="楷体" w:eastAsia="楷体" w:cs="Calibri"/>
          <w:color w:val="auto"/>
          <w:sz w:val="21"/>
          <w:szCs w:val="21"/>
          <w:lang w:val="en-US" w:eastAsia="zh-CN"/>
        </w:rPr>
        <w:t>对各类份额</w:t>
      </w:r>
      <w:r>
        <w:rPr>
          <w:rFonts w:hint="eastAsia" w:ascii="楷体" w:hAnsi="楷体" w:eastAsia="楷体" w:cs="Calibri"/>
          <w:color w:val="auto"/>
          <w:sz w:val="21"/>
          <w:szCs w:val="21"/>
        </w:rPr>
        <w:t>设置的</w:t>
      </w:r>
      <w:r>
        <w:rPr>
          <w:rFonts w:hint="eastAsia" w:ascii="楷体" w:hAnsi="楷体" w:eastAsia="楷体" w:cs="Calibri"/>
          <w:color w:val="auto"/>
          <w:sz w:val="21"/>
          <w:szCs w:val="21"/>
          <w:lang w:val="en-US" w:eastAsia="zh-CN"/>
        </w:rPr>
        <w:t>内部代</w:t>
      </w:r>
      <w:r>
        <w:rPr>
          <w:rFonts w:hint="eastAsia" w:ascii="楷体" w:hAnsi="楷体" w:eastAsia="楷体" w:cs="Calibri"/>
          <w:color w:val="auto"/>
          <w:sz w:val="21"/>
          <w:szCs w:val="21"/>
        </w:rPr>
        <w:t>码。</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理财产品份额：指投资者持有本理财产品的单位数额。</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bidi w:val="0"/>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理财产品资产净值/</w:t>
      </w:r>
      <w:r>
        <w:rPr>
          <w:rFonts w:hint="eastAsia" w:ascii="楷体" w:hAnsi="楷体" w:eastAsia="楷体" w:cs="Calibri"/>
          <w:color w:val="auto"/>
          <w:sz w:val="21"/>
          <w:szCs w:val="21"/>
          <w:highlight w:val="none"/>
          <w:lang w:val="en-US" w:eastAsia="zh-CN"/>
        </w:rPr>
        <w:t>净资产</w:t>
      </w:r>
      <w:r>
        <w:rPr>
          <w:rFonts w:hint="eastAsia" w:ascii="楷体" w:hAnsi="楷体" w:eastAsia="楷体" w:cs="Calibri"/>
          <w:color w:val="auto"/>
          <w:sz w:val="21"/>
          <w:szCs w:val="21"/>
          <w:highlight w:val="none"/>
        </w:rPr>
        <w:t>：</w:t>
      </w:r>
      <w:r>
        <w:rPr>
          <w:rFonts w:hint="eastAsia" w:ascii="楷体" w:hAnsi="楷体" w:eastAsia="楷体" w:cs="Calibri"/>
          <w:color w:val="auto"/>
          <w:sz w:val="21"/>
          <w:szCs w:val="21"/>
          <w:highlight w:val="none"/>
          <w:lang w:val="en-US" w:eastAsia="zh-CN"/>
        </w:rPr>
        <w:t>指产品</w:t>
      </w:r>
      <w:r>
        <w:rPr>
          <w:rFonts w:hint="eastAsia" w:ascii="楷体" w:hAnsi="楷体" w:eastAsia="楷体" w:cs="Calibri"/>
          <w:color w:val="auto"/>
          <w:sz w:val="21"/>
          <w:szCs w:val="21"/>
          <w:highlight w:val="none"/>
        </w:rPr>
        <w:t>资产总值</w:t>
      </w:r>
      <w:r>
        <w:rPr>
          <w:rFonts w:hint="eastAsia" w:ascii="楷体" w:hAnsi="楷体" w:eastAsia="楷体" w:cs="Calibri"/>
          <w:color w:val="auto"/>
          <w:sz w:val="21"/>
          <w:szCs w:val="21"/>
          <w:highlight w:val="none"/>
          <w:lang w:val="en-US" w:eastAsia="zh-CN"/>
        </w:rPr>
        <w:t>减去</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val="en-US" w:eastAsia="zh-CN"/>
        </w:rPr>
        <w:t>后的价值</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sz w:val="21"/>
          <w:szCs w:val="21"/>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sz w:val="21"/>
          <w:szCs w:val="21"/>
        </w:rPr>
      </w:pPr>
      <w:r>
        <w:rPr>
          <w:rFonts w:hint="eastAsia" w:ascii="楷体" w:hAnsi="楷体" w:eastAsia="楷体" w:cs="Calibri"/>
          <w:color w:val="auto"/>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sz w:val="21"/>
          <w:szCs w:val="21"/>
          <w:lang w:val="en-US" w:eastAsia="zh-CN"/>
        </w:rPr>
        <w:t>流动性受限资产：</w:t>
      </w:r>
      <w:r>
        <w:rPr>
          <w:rFonts w:hint="eastAsia" w:ascii="楷体" w:hAnsi="楷体" w:eastAsia="楷体" w:cs="Calibri"/>
          <w:sz w:val="21"/>
          <w:szCs w:val="21"/>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sz w:val="21"/>
          <w:szCs w:val="21"/>
        </w:rPr>
        <w:t>7个工作日可变现资产</w:t>
      </w:r>
      <w:r>
        <w:rPr>
          <w:rFonts w:hint="eastAsia" w:ascii="楷体" w:hAnsi="楷体" w:eastAsia="楷体" w:cs="Calibri"/>
          <w:sz w:val="21"/>
          <w:szCs w:val="21"/>
          <w:lang w:eastAsia="zh-CN"/>
        </w:rPr>
        <w:t>：</w:t>
      </w:r>
      <w:r>
        <w:rPr>
          <w:rFonts w:hint="eastAsia" w:ascii="楷体" w:hAnsi="楷体" w:eastAsia="楷体" w:cs="Calibri"/>
          <w:sz w:val="21"/>
          <w:szCs w:val="21"/>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numPr>
          <w:ilvl w:val="0"/>
          <w:numId w:val="3"/>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期间与日期</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工作日：指国家法定工作日。</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交易日：</w:t>
      </w:r>
      <w:r>
        <w:rPr>
          <w:rFonts w:ascii="楷体" w:hAnsi="楷体" w:eastAsia="楷体" w:cs="Calibri"/>
          <w:color w:val="auto"/>
          <w:sz w:val="21"/>
          <w:szCs w:val="21"/>
        </w:rPr>
        <w:t>指上海证券交易所和深圳证券交易所的正常开盘交易日</w:t>
      </w:r>
      <w:r>
        <w:rPr>
          <w:rFonts w:hint="eastAsia" w:ascii="楷体" w:hAnsi="楷体" w:eastAsia="楷体" w:cs="Calibri"/>
          <w:color w:val="auto"/>
          <w:sz w:val="21"/>
          <w:szCs w:val="21"/>
        </w:rPr>
        <w:t>。</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份额登记日/份额确认日：指管理人对投资者提交的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p>
    <w:p>
      <w:pPr>
        <w:keepNext w:val="0"/>
        <w:keepLines w:val="0"/>
        <w:pageBreakBefore w:val="0"/>
        <w:widowControl w:val="0"/>
        <w:numPr>
          <w:ilvl w:val="0"/>
          <w:numId w:val="5"/>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产品存续期：指自理财产品成立日起，至理财产品终止日的期间。</w:t>
      </w:r>
    </w:p>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六、投资管理</w:t>
      </w:r>
    </w:p>
    <w:p>
      <w:pPr>
        <w:numPr>
          <w:ilvl w:val="0"/>
          <w:numId w:val="6"/>
        </w:numPr>
        <w:tabs>
          <w:tab w:val="left" w:pos="993"/>
        </w:tabs>
        <w:ind w:left="0" w:firstLine="42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投资范围和比例</w:t>
      </w:r>
    </w:p>
    <w:p>
      <w:pPr>
        <w:ind w:firstLine="420"/>
        <w:rPr>
          <w:rFonts w:hint="default" w:ascii="楷体" w:hAnsi="楷体" w:eastAsia="楷体"/>
          <w:sz w:val="21"/>
          <w:szCs w:val="21"/>
          <w:highlight w:val="none"/>
          <w:lang w:val="en-US" w:eastAsia="zh-CN"/>
        </w:rPr>
      </w:pPr>
      <w:r>
        <w:rPr>
          <w:rFonts w:hint="default" w:ascii="楷体" w:hAnsi="楷体" w:eastAsia="楷体"/>
          <w:sz w:val="21"/>
          <w:szCs w:val="21"/>
          <w:highlight w:val="none"/>
          <w:lang w:val="en-US" w:eastAsia="zh-CN"/>
        </w:rPr>
        <w:t>本理财产品直接或间接投资于货币市场工具、债券、非标准化债权类资产和监管机构允许投资的其他资产（如纳入权益类资产核算的永续债等）。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拟投资</w:t>
      </w:r>
      <w:r>
        <w:rPr>
          <w:rFonts w:hint="eastAsia" w:ascii="楷体" w:hAnsi="楷体" w:eastAsia="楷体" w:cs="Calibri"/>
          <w:b w:val="0"/>
          <w:bCs w:val="0"/>
          <w:color w:val="auto"/>
          <w:sz w:val="21"/>
          <w:szCs w:val="21"/>
          <w:highlight w:val="none"/>
          <w:u w:val="none"/>
        </w:rPr>
        <w:t>非标准化债权类资产</w:t>
      </w:r>
    </w:p>
    <w:p>
      <w:pPr>
        <w:ind w:firstLine="42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left="0" w:firstLine="420"/>
        <w:rPr>
          <w:rFonts w:hint="default" w:ascii="楷体" w:hAnsi="楷体" w:eastAsia="楷体" w:cs="Times New Roman"/>
          <w:bCs/>
          <w:color w:val="auto"/>
          <w:sz w:val="21"/>
          <w:szCs w:val="21"/>
          <w:highlight w:val="none"/>
          <w:u w:val="none"/>
          <w:lang w:val="en-US" w:eastAsia="zh-CN"/>
        </w:rPr>
      </w:pPr>
      <w:r>
        <w:rPr>
          <w:rFonts w:ascii="楷体" w:hAnsi="楷体" w:eastAsia="楷体" w:cs="楷体"/>
          <w:sz w:val="21"/>
          <w:szCs w:val="21"/>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3</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同业借款：融资人为中国中信金融资产管理股份有限公司。融资人经营正常，是依法成立的国有公司，主要股东为中国中信集团有限公司、财政局、中国融信私募基金有限公司，实际控制人为财政部。</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4</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东方资产管理股份有限公司。融资人经营正常，是依法成立的国有公司，主要股东为中央汇金投资有限责任公司、全国社会保障基金理事会、中国电信集团有限公司，实际控制人为国务院。</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5</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同业借款：融资人为中国信达资产管理股份有限公司。融资人经营正常，是依法成立的国有公司，主要股东为中央汇金投资有限责任公司，实际控制人为国务院。</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6</w:t>
      </w:r>
      <w:r>
        <w:rPr>
          <w:rFonts w:hint="eastAsia" w:ascii="楷体" w:hAnsi="楷体" w:eastAsia="楷体" w:cs="楷体"/>
          <w:sz w:val="21"/>
          <w:szCs w:val="21"/>
          <w:lang w:eastAsia="zh-CN"/>
        </w:rPr>
        <w:t>）</w:t>
      </w:r>
      <w:r>
        <w:rPr>
          <w:rFonts w:hint="eastAsia" w:ascii="楷体" w:hAnsi="楷体" w:eastAsia="楷体" w:cs="楷体"/>
          <w:sz w:val="21"/>
          <w:szCs w:val="21"/>
        </w:rPr>
        <w:t>同业借款：融资人为中国长城资产管理股份有限公司。融资人经营正常，是依法成立的国有公司，主要股东为中央汇金投资有限责任公司、全国社会保障基金理事会、中国财产再保险有限责任公司、中国大地财产保险股份有限公司、中国人寿保险（集团）公司，实际控制人为国务院。</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7</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信证券股份有限公司。融资人经营正常，是依法设立的持牌金融机构，主要股东为中国中信金融控股有限公司、香港中央结算（代理人）有限公司、广州越秀资本控股集团有限公司，实际控制人为中国中信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8</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国国际金融股份有限公司。融资人经营正常，是依法设立的持牌金融机构，主要股东为中央汇金投资有限责任公司、香港中央结算（代理人）有限公司、香港中央结算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9</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信建投证券股份有限公司。融资人经营正常，是依法设立的持牌金融机构，主要股东为北京金融控股集团有限公司、中央汇金投资有限责任公司、香港中央结算（代理人）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10</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国银河证券股份有限公司。融资人经营正常，是依法设立的持牌金融机构，主要股东为中国银河金融控股有限责任公司、香港中央结算（代理人）有限公司、香港中央结算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11</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收益凭证：融资人为华泰证券股份有限公司。融资人经营正常，是依法设立的持牌金融机构，主要股东为江苏省国信集团有限公司、香港中央结算（代理人）有限公司、江苏交通控股有限公司，无实际控制人。</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12</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国泰海通证券股份有限公司。融资人经营正常，是依法设立的持牌金融机构，主要股东为香港中央结算（代理人）有限公司、上海国有资产经营有限公司、上海国际集团有限公司，实际控制人为上海市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13</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收益凭证：融资人为申万宏源证券有限公司。融资人经营正常，是依法设立的持牌金融机构，主要股东为申万宏源集团股份有限公司，实际控制人为中央汇金投资有限责任公司。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14</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东方证券股份有限公司。融资人经营正常，是依法设立的持牌金融机构，主要股东为申能（集团）有限公司、香港中央结算（代理人）有限公司、上海海烟投资管理有限公司，实际控制人为上海市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15</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收益凭证：融资人为浙商证券股份有限公司。融资人经营正常，是依法设立的持牌金融机构，主要股东为浙江上三高速公路有限公司、台州市金融投资集团有限公司，实际控制人为浙江省交通投资集团有限公司。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16</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收益凭证：融资人为国投证券股份有限公司。融资人经营正常，是依法设立的持牌金融机构，主要股东为国投资本股份有限公司、上海毅胜投资有限公司，实际控制人为国家开发投资集团有限公司。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17</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平安证券股份有限公司。融资人经营正常，是依法设立的持牌金融机构，主要股东为平安信托有限责任公司、中国平安保险（集团）股份有限公司、深圳市英华柏涛投资有限公司，实际控制人为中国平安保险（集团）股份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18</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中泰证券股份有限公司。融资人经营正常，是依法设立的持牌金融机构，主要股东为枣庄矿业（集团）有限责任公司、莱芜钢铁集团有限公司、山东高速投资控股有限公司，实际控制人为山东省人民政府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19</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兴业证券股份有限公司。融资人经营正常，是依法设立的持牌金融机构，主要股东为福建省财政厅、福建省投资开发集团有限责任公司、上海申新（集团）有限公司，实际控制人为福建省财政厅。</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20</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财通证券股份有限公司。融资人经营正常，是依法设立的持牌金融机构，主要股东为浙江省创新投资集团有限公司、浙江省财开集团有限公司、台州市金融投资集团有限公司，实际控制人为浙江省财政厅。</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21</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金融街证券股份有限公司。融资人经营正常，是依法设立的持牌金融机构，主要股东为北京华融综合投资有限公司、天风证券股份有限公司、包头华资实业股份有限公司，实际控制人为北京金融街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22</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收益凭证：融资人为东海证券股份有限公司。融资人经营正常，是依法设立的持牌金融机构，主要股东为常州投资集团有限公司、山东金控资本管理有限公司，实际控制人为常州投资集团有限公司。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23</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国联民生证券股份有限公司。融资人经营正常，是依法设立的持牌金融机构，主要股东为无锡市国联发展（集团）有限公司、香港中央结算（代理人）有限公司、国联信托股份有限公司，实际控制人为无锡市人民政府国有资产监督管理委员会。</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24</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光大证券股份有限公司。融资人经营正常，是依法设立的持牌金融机构，主要股东为中国光大集团股份有限公司、中国光大控股有限公司、香港中央结算（代理人）有限公司，实际控制人为中央汇金投资有限责任公司。</w:t>
      </w:r>
      <w:r>
        <w:rPr>
          <w:rFonts w:hint="eastAsia" w:ascii="楷体" w:hAnsi="楷体" w:eastAsia="楷体" w:cs="楷体"/>
          <w:sz w:val="21"/>
          <w:szCs w:val="21"/>
          <w:lang w:eastAsia="zh-CN"/>
        </w:rPr>
        <w:t>（</w:t>
      </w:r>
      <w:r>
        <w:rPr>
          <w:rFonts w:hint="eastAsia" w:ascii="楷体" w:hAnsi="楷体" w:eastAsia="楷体" w:cs="楷体"/>
          <w:sz w:val="21"/>
          <w:szCs w:val="21"/>
          <w:lang w:val="en-US" w:eastAsia="zh-CN"/>
        </w:rPr>
        <w:t>25</w:t>
      </w:r>
      <w:r>
        <w:rPr>
          <w:rFonts w:hint="eastAsia" w:ascii="楷体" w:hAnsi="楷体" w:eastAsia="楷体" w:cs="楷体"/>
          <w:sz w:val="21"/>
          <w:szCs w:val="21"/>
          <w:lang w:eastAsia="zh-CN"/>
        </w:rPr>
        <w:t>）</w:t>
      </w:r>
      <w:r>
        <w:rPr>
          <w:rFonts w:hint="eastAsia" w:ascii="楷体" w:hAnsi="楷体" w:eastAsia="楷体" w:cs="楷体"/>
          <w:sz w:val="21"/>
          <w:szCs w:val="21"/>
        </w:rPr>
        <w:t>收益凭证：融资人为长城证券股份有限公司。融资人经营正常，是依法设立的持牌金融机构，主要股东为华能资本服务有限公司、深圳新江南投资有限公司、深圳能源集团股份有限公司，实际控制人为中央汇金投资有限责任公司。</w:t>
      </w:r>
      <w:r>
        <w:rPr>
          <w:rFonts w:hint="eastAsia" w:ascii="楷体" w:hAnsi="楷体" w:eastAsia="楷体" w:cs="楷体"/>
          <w:sz w:val="21"/>
          <w:szCs w:val="21"/>
          <w:lang w:eastAsia="zh-CN"/>
        </w:rPr>
        <w:t>收益凭证：融资人为中国中金财富证券有限公司。融资人经营正常，是依法设立的持牌金融机构，主要股东为中国国际金融股份有限公司，实际控制人为中央汇金投资有限责任公司。（</w:t>
      </w:r>
      <w:r>
        <w:rPr>
          <w:rFonts w:hint="eastAsia" w:ascii="楷体" w:hAnsi="楷体" w:eastAsia="楷体" w:cs="楷体"/>
          <w:sz w:val="21"/>
          <w:szCs w:val="21"/>
          <w:lang w:val="en-US" w:eastAsia="zh-CN"/>
        </w:rPr>
        <w:t>26</w:t>
      </w:r>
      <w:r>
        <w:rPr>
          <w:rFonts w:hint="eastAsia" w:ascii="楷体" w:hAnsi="楷体" w:eastAsia="楷体" w:cs="楷体"/>
          <w:sz w:val="21"/>
          <w:szCs w:val="21"/>
          <w:lang w:eastAsia="zh-CN"/>
        </w:rPr>
        <w:t>）收益凭证：融资人为山西证券股份有限公司。融资人经营正常，是依法设立的持牌金融机构，主要股东为山西金融投资控股集团有限公司、太原钢铁（集团）有限公司、山西国际电力集团有限公司，实际控制人为山西省财政厅。（</w:t>
      </w:r>
      <w:r>
        <w:rPr>
          <w:rFonts w:hint="eastAsia" w:ascii="楷体" w:hAnsi="楷体" w:eastAsia="楷体" w:cs="楷体"/>
          <w:sz w:val="21"/>
          <w:szCs w:val="21"/>
          <w:lang w:val="en-US" w:eastAsia="zh-CN"/>
        </w:rPr>
        <w:t>27</w:t>
      </w:r>
      <w:r>
        <w:rPr>
          <w:rFonts w:hint="eastAsia" w:ascii="楷体" w:hAnsi="楷体" w:eastAsia="楷体" w:cs="楷体"/>
          <w:sz w:val="21"/>
          <w:szCs w:val="21"/>
          <w:lang w:eastAsia="zh-CN"/>
        </w:rPr>
        <w:t>）收益凭证：融资人为国都证券股份有限公司。融资人经营正常，是依法设立的持牌金融机构，主要股东为浙商证券股份有限公司、中诚信托有限责任公司、北京国际信托有限公司，实际控制人为浙江省交通投资集团有限公司。（</w:t>
      </w:r>
      <w:r>
        <w:rPr>
          <w:rFonts w:hint="eastAsia" w:ascii="楷体" w:hAnsi="楷体" w:eastAsia="楷体" w:cs="楷体"/>
          <w:sz w:val="21"/>
          <w:szCs w:val="21"/>
          <w:lang w:val="en-US" w:eastAsia="zh-CN"/>
        </w:rPr>
        <w:t>28</w:t>
      </w:r>
      <w:r>
        <w:rPr>
          <w:rFonts w:hint="eastAsia" w:ascii="楷体" w:hAnsi="楷体" w:eastAsia="楷体" w:cs="楷体"/>
          <w:sz w:val="21"/>
          <w:szCs w:val="21"/>
          <w:lang w:eastAsia="zh-CN"/>
        </w:rPr>
        <w:t>）收益凭证：融资人为东莞证券股份有限公司。融资人经营正常，是依法设立的持牌金融机构，主要股东为东莞市投资控股集团有限公司、东莞发展控股股份有限公司、广东锦龙发展股份有限公司，实际控制人为东莞市人民政府国有资产监督管理委员会。（</w:t>
      </w:r>
      <w:r>
        <w:rPr>
          <w:rFonts w:hint="eastAsia" w:ascii="楷体" w:hAnsi="楷体" w:eastAsia="楷体" w:cs="楷体"/>
          <w:sz w:val="21"/>
          <w:szCs w:val="21"/>
          <w:lang w:val="en-US" w:eastAsia="zh-CN"/>
        </w:rPr>
        <w:t>29</w:t>
      </w:r>
      <w:r>
        <w:rPr>
          <w:rFonts w:hint="eastAsia" w:ascii="楷体" w:hAnsi="楷体" w:eastAsia="楷体" w:cs="楷体"/>
          <w:sz w:val="21"/>
          <w:szCs w:val="21"/>
          <w:lang w:eastAsia="zh-CN"/>
        </w:rPr>
        <w:t>）收益凭证：融资人为华鑫证券有限责任公司。融资人经营正常，是依法设立的持牌金融机构，主要股东为上海华鑫股份有限公司，实际控制人为上海市国有资产监督管理委员会。（</w:t>
      </w:r>
      <w:r>
        <w:rPr>
          <w:rFonts w:hint="eastAsia" w:ascii="楷体" w:hAnsi="楷体" w:eastAsia="楷体" w:cs="楷体"/>
          <w:sz w:val="21"/>
          <w:szCs w:val="21"/>
          <w:lang w:val="en-US" w:eastAsia="zh-CN"/>
        </w:rPr>
        <w:t>30</w:t>
      </w:r>
      <w:r>
        <w:rPr>
          <w:rFonts w:hint="eastAsia" w:ascii="楷体" w:hAnsi="楷体" w:eastAsia="楷体" w:cs="楷体"/>
          <w:sz w:val="21"/>
          <w:szCs w:val="21"/>
          <w:lang w:eastAsia="zh-CN"/>
        </w:rPr>
        <w:t>）收益凭证：融资人为第一创业证券股份有限公司。融资人经营正常，是依法设立的持牌金融机构，主要股东为北京国有资本运营管理有限公司、北京首农食品集团有限公司，实际控制人为北京市人民政府国有资产监督管理委员会。（</w:t>
      </w:r>
      <w:r>
        <w:rPr>
          <w:rFonts w:hint="eastAsia" w:ascii="楷体" w:hAnsi="楷体" w:eastAsia="楷体" w:cs="楷体"/>
          <w:sz w:val="21"/>
          <w:szCs w:val="21"/>
          <w:lang w:val="en-US" w:eastAsia="zh-CN"/>
        </w:rPr>
        <w:t>31</w:t>
      </w:r>
      <w:r>
        <w:rPr>
          <w:rFonts w:hint="eastAsia" w:ascii="楷体" w:hAnsi="楷体" w:eastAsia="楷体" w:cs="楷体"/>
          <w:sz w:val="21"/>
          <w:szCs w:val="21"/>
          <w:lang w:eastAsia="zh-CN"/>
        </w:rPr>
        <w:t>）收益凭证：融资人为西南证券股份有限公司。融资人经营正常，是依法设立的持牌金融机构，主要股东为重庆渝富资本运营集团有限公司、重庆市城市建设投资（集团）有限公司和重庆市江北嘴中央商务区投资集团有限公司，实际控制人为重庆市国有资产监督管理委员会。（</w:t>
      </w:r>
      <w:r>
        <w:rPr>
          <w:rFonts w:hint="eastAsia" w:ascii="楷体" w:hAnsi="楷体" w:eastAsia="楷体" w:cs="楷体"/>
          <w:sz w:val="21"/>
          <w:szCs w:val="21"/>
          <w:lang w:val="en-US" w:eastAsia="zh-CN"/>
        </w:rPr>
        <w:t>32</w:t>
      </w:r>
      <w:r>
        <w:rPr>
          <w:rFonts w:hint="eastAsia" w:ascii="楷体" w:hAnsi="楷体" w:eastAsia="楷体" w:cs="楷体"/>
          <w:sz w:val="21"/>
          <w:szCs w:val="21"/>
          <w:lang w:eastAsia="zh-CN"/>
        </w:rPr>
        <w:t>）收益凭证：融资人为广发证券股份有限公司。融资人经营正常，是依法设立的持牌金融机构，主要股东为香港中央结算（代理人）有限公司、吉林敖东药业集团股份有限公司、辽宁成大股份有限公司，无实际控制人。（</w:t>
      </w:r>
      <w:r>
        <w:rPr>
          <w:rFonts w:hint="eastAsia" w:ascii="楷体" w:hAnsi="楷体" w:eastAsia="楷体" w:cs="楷体"/>
          <w:sz w:val="21"/>
          <w:szCs w:val="21"/>
          <w:lang w:val="en-US" w:eastAsia="zh-CN"/>
        </w:rPr>
        <w:t>33</w:t>
      </w:r>
      <w:r>
        <w:rPr>
          <w:rFonts w:hint="eastAsia" w:ascii="楷体" w:hAnsi="楷体" w:eastAsia="楷体" w:cs="楷体"/>
          <w:sz w:val="21"/>
          <w:szCs w:val="21"/>
          <w:lang w:eastAsia="zh-CN"/>
        </w:rPr>
        <w:t>）收益凭证：融资人为方正证券股份有限公司。融资人经营正常，是依法设立的持牌金融机构，主要股东为新方正控股发展有限责任公司、全国社会保障基金理事会、中国信达资产管理股份有限公司，实际控制人为中国平安保险（集团）股份有限公司。（</w:t>
      </w:r>
      <w:r>
        <w:rPr>
          <w:rFonts w:hint="eastAsia" w:ascii="楷体" w:hAnsi="楷体" w:eastAsia="楷体" w:cs="楷体"/>
          <w:sz w:val="21"/>
          <w:szCs w:val="21"/>
          <w:lang w:val="en-US" w:eastAsia="zh-CN"/>
        </w:rPr>
        <w:t>34</w:t>
      </w:r>
      <w:r>
        <w:rPr>
          <w:rFonts w:hint="eastAsia" w:ascii="楷体" w:hAnsi="楷体" w:eastAsia="楷体" w:cs="楷体"/>
          <w:sz w:val="21"/>
          <w:szCs w:val="21"/>
          <w:lang w:eastAsia="zh-CN"/>
        </w:rPr>
        <w:t>）收益凭证：融资人为招商证券股份有限公司。融资人经营正常，是依法设立的持牌金融机构，主要股东为招商局金融控股有限公司、深圳市集盛投资发展有限公司、香港中央结算（代理人）有限公司，实际控制人为招商局集团有限公司。</w:t>
      </w:r>
    </w:p>
    <w:p>
      <w:pPr>
        <w:numPr>
          <w:ilvl w:val="0"/>
          <w:numId w:val="0"/>
        </w:numPr>
        <w:ind w:left="0" w:firstLine="420"/>
        <w:rPr>
          <w:rFonts w:hint="default" w:ascii="楷体" w:hAnsi="楷体" w:eastAsia="楷体" w:cs="楷体"/>
          <w:b/>
          <w:bCs/>
          <w:sz w:val="21"/>
          <w:szCs w:val="21"/>
          <w:highlight w:val="yellow"/>
          <w:u w:val="single"/>
          <w:lang w:val="en-US" w:eastAsia="zh-CN" w:bidi="ar-SA"/>
        </w:rPr>
      </w:pPr>
      <w:r>
        <w:rPr>
          <w:rFonts w:hint="eastAsia" w:ascii="楷体" w:hAnsi="楷体" w:eastAsia="楷体" w:cs="Times New Roman"/>
          <w:bCs/>
          <w:color w:val="auto"/>
          <w:sz w:val="21"/>
          <w:szCs w:val="21"/>
          <w:highlight w:val="none"/>
          <w:u w:val="none"/>
          <w:lang w:eastAsia="zh-CN"/>
        </w:rPr>
        <w:t>资产到期日不超过理财产品</w:t>
      </w:r>
      <w:r>
        <w:rPr>
          <w:rFonts w:hint="eastAsia" w:ascii="楷体" w:hAnsi="楷体" w:eastAsia="楷体" w:cs="Times New Roman"/>
          <w:bCs/>
          <w:color w:val="auto"/>
          <w:sz w:val="21"/>
          <w:szCs w:val="21"/>
          <w:highlight w:val="none"/>
          <w:u w:val="none"/>
          <w:lang w:val="en-US" w:eastAsia="zh-CN"/>
        </w:rPr>
        <w:t>到期</w:t>
      </w:r>
      <w:r>
        <w:rPr>
          <w:rFonts w:hint="eastAsia" w:ascii="楷体" w:hAnsi="楷体" w:eastAsia="楷体" w:cs="Times New Roman"/>
          <w:bCs/>
          <w:color w:val="auto"/>
          <w:sz w:val="21"/>
          <w:szCs w:val="21"/>
          <w:highlight w:val="none"/>
          <w:u w:val="none"/>
          <w:lang w:eastAsia="zh-CN"/>
        </w:rPr>
        <w:t>日，循环期不还本、摊还期过手摊还本息</w:t>
      </w:r>
      <w:r>
        <w:rPr>
          <w:rFonts w:hint="eastAsia" w:ascii="楷体" w:hAnsi="楷体" w:eastAsia="楷体" w:cs="Times New Roman"/>
          <w:bCs/>
          <w:color w:val="auto"/>
          <w:sz w:val="21"/>
          <w:szCs w:val="21"/>
          <w:highlight w:val="none"/>
          <w:u w:val="none"/>
          <w:lang w:val="en-US" w:eastAsia="zh-CN"/>
        </w:rPr>
        <w:t>。</w:t>
      </w:r>
    </w:p>
    <w:p>
      <w:pPr>
        <w:numPr>
          <w:ilvl w:val="0"/>
          <w:numId w:val="6"/>
        </w:numPr>
        <w:tabs>
          <w:tab w:val="left" w:pos="993"/>
        </w:tabs>
        <w:ind w:firstLine="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highlight w:val="none"/>
          <w:lang w:val="en-US" w:eastAsia="zh-CN"/>
        </w:rPr>
        <w:t>投资合作机构</w:t>
      </w:r>
    </w:p>
    <w:p>
      <w:pPr>
        <w:numPr>
          <w:ilvl w:val="0"/>
          <w:numId w:val="0"/>
        </w:numPr>
        <w:ind w:firstLine="420"/>
        <w:rPr>
          <w:rFonts w:hint="eastAsia" w:ascii="楷体" w:hAnsi="楷体" w:eastAsia="楷体"/>
          <w:color w:val="auto"/>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①江苏省国际信托有限责任公司</w:t>
      </w:r>
      <w:r>
        <w:rPr>
          <w:rFonts w:hint="eastAsia" w:ascii="楷体" w:hAnsi="楷体" w:eastAsia="楷体" w:cs="楷体"/>
          <w:sz w:val="21"/>
          <w:szCs w:val="21"/>
          <w:lang w:eastAsia="zh-CN"/>
        </w:rPr>
        <w:t>：</w:t>
      </w:r>
      <w:r>
        <w:rPr>
          <w:rFonts w:hint="eastAsia" w:ascii="楷体" w:hAnsi="楷体" w:eastAsia="楷体" w:cs="楷体"/>
          <w:sz w:val="21"/>
          <w:szCs w:val="21"/>
        </w:rPr>
        <w:t>江苏省国际信托有限责任公司是经江苏省人民政府和中国银行业监督管理委员会批准设立的非银行金融机构，是江苏省国信集团的主要成员企业之一，专业从事金融信托业务。</w:t>
      </w:r>
    </w:p>
    <w:p>
      <w:pPr>
        <w:ind w:firstLine="420" w:firstLineChars="200"/>
        <w:rPr>
          <w:rFonts w:hint="eastAsia" w:ascii="楷体" w:hAnsi="楷体" w:eastAsia="楷体" w:cs="楷体"/>
          <w:sz w:val="21"/>
          <w:szCs w:val="21"/>
        </w:rPr>
      </w:pPr>
      <w:r>
        <w:rPr>
          <w:rFonts w:hint="eastAsia" w:ascii="楷体" w:hAnsi="楷体" w:eastAsia="楷体" w:cs="楷体"/>
          <w:sz w:val="21"/>
          <w:szCs w:val="21"/>
          <w:lang w:eastAsia="zh-CN"/>
        </w:rPr>
        <w:t>②</w:t>
      </w:r>
      <w:r>
        <w:rPr>
          <w:rFonts w:hint="eastAsia" w:ascii="楷体" w:hAnsi="楷体" w:eastAsia="楷体" w:cs="楷体"/>
          <w:sz w:val="21"/>
          <w:szCs w:val="21"/>
        </w:rPr>
        <w:t>创金合信基金管理有限公司</w:t>
      </w:r>
      <w:r>
        <w:rPr>
          <w:rFonts w:hint="eastAsia" w:ascii="楷体" w:hAnsi="楷体" w:eastAsia="楷体" w:cs="楷体"/>
          <w:sz w:val="21"/>
          <w:szCs w:val="21"/>
          <w:lang w:eastAsia="zh-CN"/>
        </w:rPr>
        <w:t>：</w:t>
      </w:r>
      <w:r>
        <w:rPr>
          <w:rFonts w:hint="eastAsia" w:ascii="楷体" w:hAnsi="楷体" w:eastAsia="楷体" w:cs="楷体"/>
          <w:sz w:val="21"/>
          <w:szCs w:val="21"/>
        </w:rPr>
        <w:t>创金合信基金管理有限公司成立于2014年7月9日，由第一创业证券股份有限公司、深圳市金合信投资合伙企业（有限合伙）共同发起设立，注册地为深圳。</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③华鑫国际信托有限公司</w:t>
      </w:r>
      <w:r>
        <w:rPr>
          <w:rFonts w:hint="eastAsia" w:ascii="楷体" w:hAnsi="楷体" w:eastAsia="楷体" w:cs="楷体"/>
          <w:sz w:val="21"/>
          <w:szCs w:val="21"/>
          <w:lang w:eastAsia="zh-CN"/>
        </w:rPr>
        <w:t>：</w:t>
      </w:r>
      <w:r>
        <w:rPr>
          <w:rFonts w:hint="eastAsia" w:ascii="楷体" w:hAnsi="楷体" w:eastAsia="楷体" w:cs="楷体"/>
          <w:sz w:val="21"/>
          <w:szCs w:val="21"/>
        </w:rPr>
        <w:t>华鑫国际信托有限公司于2010年2月获得中国银行业监督管理委员会批准重新登记，并于同年3月正式挂牌开业，实际控制人为中国华电集团有限公司，注册资本73.95亿元。</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④中国国际金融股份有限公司</w:t>
      </w:r>
      <w:r>
        <w:rPr>
          <w:rFonts w:hint="eastAsia" w:ascii="楷体" w:hAnsi="楷体" w:eastAsia="楷体" w:cs="楷体"/>
          <w:sz w:val="21"/>
          <w:szCs w:val="21"/>
          <w:lang w:eastAsia="zh-CN"/>
        </w:rPr>
        <w:t>：</w:t>
      </w:r>
      <w:r>
        <w:rPr>
          <w:rFonts w:hint="eastAsia" w:ascii="楷体" w:hAnsi="楷体" w:eastAsia="楷体" w:cs="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⑤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⑥中国对外经济贸易信托有限公司：中国对外经济贸易信托有限公司成立于1987年9月30日，是中国银行保险监督管理委员会核准的国有控股金融机构，注册资本80亿元，股东为中化资本有限公司和中化集团财务有限责任公司。</w:t>
      </w:r>
    </w:p>
    <w:p>
      <w:pPr>
        <w:ind w:firstLine="420" w:firstLineChars="200"/>
        <w:rPr>
          <w:rFonts w:hint="eastAsia" w:ascii="楷体" w:hAnsi="楷体" w:eastAsia="楷体" w:cs="楷体"/>
          <w:sz w:val="21"/>
          <w:szCs w:val="21"/>
        </w:rPr>
      </w:pPr>
      <w:r>
        <w:rPr>
          <w:rFonts w:hint="eastAsia" w:ascii="楷体" w:hAnsi="楷体" w:eastAsia="楷体" w:cs="楷体"/>
          <w:sz w:val="21"/>
          <w:szCs w:val="21"/>
        </w:rPr>
        <w:t>⑦南方资本管理有限公司：南方资本管理有限公司成立于2013年11月14日，注册资本5.42亿元人民币，注册地为深圳前海。经中国证监会核准，南方资本业务范围为特定客户资产管理业务以及中国证监会许可的其他业务。公司股东为南方基金管理股份有限公司（100%）。</w:t>
      </w:r>
    </w:p>
    <w:p>
      <w:pPr>
        <w:ind w:firstLine="420"/>
        <w:rPr>
          <w:rFonts w:hint="eastAsia"/>
          <w:lang w:eastAsia="zh-CN"/>
        </w:rPr>
      </w:pPr>
      <w:r>
        <w:rPr>
          <w:rFonts w:hint="eastAsia" w:ascii="楷体" w:hAnsi="楷体" w:eastAsia="楷体" w:cs="楷体"/>
          <w:sz w:val="21"/>
          <w:szCs w:val="21"/>
        </w:rPr>
        <w:t>⑧建信保险资产管理有限公司：建信保险资产管理有限公司成立于2016年4月7日，是中国银行保险监督管理委员会核准的国有控股金融机构，注册资本3亿元，股东为建信人寿保险股份有限公司和建银国际（中国）有限公司。</w:t>
      </w:r>
    </w:p>
    <w:p>
      <w:pPr>
        <w:numPr>
          <w:ilvl w:val="0"/>
          <w:numId w:val="6"/>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highlight w:val="none"/>
          <w:lang w:val="en-US" w:eastAsia="zh-CN"/>
        </w:rPr>
        <w:t>投资限制</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1.本理财产品投资于单只证券或单只公募证券投资基金的市值不超过本产品净资产的10%。</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2.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bidi w:val="0"/>
        <w:ind w:left="0" w:firstLine="420"/>
        <w:rPr>
          <w:rFonts w:hint="eastAsia"/>
        </w:rPr>
      </w:pPr>
      <w:r>
        <w:rPr>
          <w:rFonts w:hint="eastAsia" w:ascii="楷体" w:hAnsi="楷体" w:eastAsia="楷体" w:cs="Calibri"/>
          <w:color w:val="auto"/>
          <w:sz w:val="21"/>
          <w:szCs w:val="21"/>
        </w:rPr>
        <w:t>3.管理人全部产品持有单一上市公司发行的股票，不得超过该上市公司可流通股票的30%。</w:t>
      </w:r>
    </w:p>
    <w:p>
      <w:pPr>
        <w:keepNext w:val="0"/>
        <w:keepLines w:val="0"/>
        <w:pageBreakBefore w:val="0"/>
        <w:widowControl w:val="0"/>
        <w:numPr>
          <w:ilvl w:val="0"/>
          <w:numId w:val="0"/>
        </w:numPr>
        <w:tabs>
          <w:tab w:val="left" w:pos="728"/>
        </w:tabs>
        <w:bidi w:val="0"/>
        <w:ind w:left="420"/>
        <w:rPr>
          <w:rFonts w:hint="eastAsia" w:ascii="楷体" w:hAnsi="楷体" w:eastAsia="楷体" w:cs="Calibri"/>
          <w:color w:val="auto"/>
          <w:sz w:val="21"/>
          <w:szCs w:val="21"/>
        </w:rPr>
      </w:pPr>
      <w:r>
        <w:rPr>
          <w:rFonts w:hint="eastAsia" w:ascii="楷体" w:hAnsi="楷体" w:eastAsia="楷体" w:cs="Calibri"/>
          <w:color w:val="auto"/>
          <w:sz w:val="21"/>
          <w:szCs w:val="21"/>
        </w:rPr>
        <w:t>本理财产品</w:t>
      </w:r>
      <w:r>
        <w:rPr>
          <w:rFonts w:hint="eastAsia" w:ascii="楷体" w:hAnsi="楷体" w:eastAsia="楷体" w:cs="Calibri"/>
          <w:color w:val="auto"/>
          <w:sz w:val="21"/>
          <w:szCs w:val="21"/>
          <w:lang w:val="en-US" w:eastAsia="zh-CN"/>
        </w:rPr>
        <w:t>杠杆率</w:t>
      </w:r>
      <w:r>
        <w:rPr>
          <w:rFonts w:hint="eastAsia" w:ascii="楷体" w:hAnsi="楷体" w:eastAsia="楷体" w:cs="Calibri"/>
          <w:color w:val="auto"/>
          <w:sz w:val="21"/>
          <w:szCs w:val="21"/>
        </w:rPr>
        <w:t>不超过</w:t>
      </w:r>
      <w:r>
        <w:rPr>
          <w:rFonts w:hint="eastAsia" w:ascii="楷体" w:hAnsi="楷体" w:eastAsia="楷体" w:cs="Calibri"/>
          <w:color w:val="auto"/>
          <w:sz w:val="21"/>
          <w:szCs w:val="21"/>
          <w:highlight w:val="none"/>
          <w:lang w:val="en-US" w:eastAsia="zh-CN"/>
        </w:rPr>
        <w:t>200%</w:t>
      </w:r>
      <w:r>
        <w:rPr>
          <w:rFonts w:hint="eastAsia" w:ascii="楷体" w:hAnsi="楷体" w:eastAsia="楷体" w:cs="Calibri"/>
          <w:color w:val="auto"/>
          <w:sz w:val="21"/>
          <w:szCs w:val="21"/>
        </w:rPr>
        <w:t>。</w:t>
      </w:r>
    </w:p>
    <w:p>
      <w:pPr>
        <w:keepNext w:val="0"/>
        <w:keepLines w:val="0"/>
        <w:pageBreakBefore w:val="0"/>
        <w:widowControl w:val="0"/>
        <w:numPr>
          <w:ilvl w:val="0"/>
          <w:numId w:val="0"/>
        </w:numPr>
        <w:tabs>
          <w:tab w:val="left" w:pos="993"/>
        </w:tabs>
        <w:bidi w:val="0"/>
        <w:ind w:firstLine="210"/>
        <w:outlineLvl w:val="9"/>
        <w:rPr>
          <w:rFonts w:hint="eastAsia" w:ascii="楷体" w:hAnsi="楷体" w:eastAsia="楷体" w:cs="Calibri"/>
          <w:b w:val="0"/>
          <w:bCs/>
          <w:sz w:val="21"/>
          <w:szCs w:val="21"/>
          <w:lang w:val="en-US" w:eastAsia="zh-CN"/>
        </w:rPr>
      </w:pPr>
      <w:r>
        <w:rPr>
          <w:rFonts w:hint="eastAsia" w:ascii="楷体" w:hAnsi="楷体" w:eastAsia="楷体" w:cs="Calibri"/>
          <w:b w:val="0"/>
          <w:bCs/>
          <w:sz w:val="21"/>
          <w:szCs w:val="21"/>
          <w:lang w:val="en-US" w:eastAsia="zh-CN"/>
        </w:rPr>
        <w:t>（五）投资管理调整</w:t>
      </w:r>
    </w:p>
    <w:p>
      <w:pPr>
        <w:keepNext w:val="0"/>
        <w:keepLines w:val="0"/>
        <w:pageBreakBefore w:val="0"/>
        <w:widowControl w:val="0"/>
        <w:bidi w:val="0"/>
        <w:spacing w:before="0"/>
        <w:ind w:left="0" w:firstLine="420"/>
        <w:jc w:val="both"/>
        <w:rPr>
          <w:rFonts w:hint="eastAsia" w:ascii="楷体" w:hAnsi="楷体" w:eastAsia="楷体" w:cs="Times New Roman"/>
          <w:color w:val="auto"/>
          <w:sz w:val="21"/>
          <w:szCs w:val="21"/>
          <w:lang w:val="en-US" w:eastAsia="zh-CN" w:bidi="ar-SA"/>
        </w:rPr>
      </w:pPr>
      <w:r>
        <w:rPr>
          <w:rFonts w:hint="eastAsia" w:ascii="楷体" w:hAnsi="楷体" w:eastAsia="楷体" w:cs="Times New Roman"/>
          <w:color w:val="auto"/>
          <w:sz w:val="21"/>
          <w:szCs w:val="21"/>
          <w:lang w:val="en-US" w:eastAsia="zh-CN" w:bidi="ar-SA"/>
        </w:rPr>
        <w:t>若法律法规、国家监管政策或市场情况发生重大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将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bidi w:val="0"/>
        <w:spacing w:before="0"/>
        <w:ind w:left="0" w:firstLine="420"/>
        <w:rPr>
          <w:rFonts w:hint="eastAsia" w:ascii="楷体" w:hAnsi="楷体" w:eastAsia="楷体" w:cs="Times New Roman"/>
          <w:color w:val="auto"/>
          <w:sz w:val="21"/>
          <w:szCs w:val="21"/>
          <w:lang w:val="en-US" w:eastAsia="zh-CN" w:bidi="ar-SA"/>
        </w:rPr>
      </w:pPr>
      <w:r>
        <w:rPr>
          <w:rFonts w:hint="eastAsia" w:ascii="楷体" w:hAnsi="楷体" w:eastAsia="楷体" w:cs="Times New Roman"/>
          <w:color w:val="auto"/>
          <w:sz w:val="21"/>
          <w:szCs w:val="21"/>
          <w:lang w:val="en-US" w:eastAsia="zh-CN" w:bidi="ar-SA"/>
        </w:rPr>
        <w:t>如监管有最新规定的，可参照监管规定执行。</w:t>
      </w:r>
    </w:p>
    <w:p>
      <w:pPr>
        <w:numPr>
          <w:ilvl w:val="0"/>
          <w:numId w:val="0"/>
        </w:numPr>
        <w:tabs>
          <w:tab w:val="left" w:pos="1134"/>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七、</w:t>
      </w:r>
      <w:r>
        <w:rPr>
          <w:rFonts w:hint="eastAsia" w:ascii="楷体" w:hAnsi="楷体" w:eastAsia="楷体"/>
          <w:b/>
          <w:color w:val="auto"/>
          <w:sz w:val="21"/>
          <w:szCs w:val="21"/>
        </w:rPr>
        <w:t>产品认购</w:t>
      </w:r>
    </w:p>
    <w:p>
      <w:pPr>
        <w:numPr>
          <w:ilvl w:val="0"/>
          <w:numId w:val="7"/>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0"/>
          <w:numId w:val="0"/>
        </w:numPr>
        <w:ind w:left="0" w:firstLine="42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7"/>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ind w:firstLine="420"/>
        <w:rPr>
          <w:rFonts w:hint="eastAsia" w:ascii="楷体" w:hAnsi="楷体" w:eastAsia="楷体"/>
          <w:color w:val="auto"/>
          <w:sz w:val="21"/>
          <w:szCs w:val="21"/>
        </w:rPr>
      </w:pPr>
      <w:r>
        <w:rPr>
          <w:rFonts w:ascii="楷体" w:hAnsi="楷体" w:eastAsia="楷体"/>
          <w:color w:val="auto"/>
          <w:sz w:val="21"/>
          <w:szCs w:val="21"/>
        </w:rPr>
        <w:t>认购份额=</w:t>
      </w:r>
      <w:r>
        <w:rPr>
          <w:rFonts w:hint="eastAsia" w:ascii="楷体" w:hAnsi="楷体" w:eastAsia="楷体"/>
          <w:color w:val="auto"/>
          <w:sz w:val="21"/>
          <w:szCs w:val="21"/>
        </w:rPr>
        <w:t>认购金额</w:t>
      </w:r>
      <w:r>
        <w:rPr>
          <w:rFonts w:ascii="楷体" w:hAnsi="楷体" w:eastAsia="楷体"/>
          <w:color w:val="auto"/>
          <w:sz w:val="21"/>
          <w:szCs w:val="21"/>
        </w:rPr>
        <w:t>/</w:t>
      </w:r>
      <w:r>
        <w:rPr>
          <w:rFonts w:hint="eastAsia" w:ascii="楷体" w:hAnsi="楷体" w:eastAsia="楷体"/>
          <w:color w:val="auto"/>
          <w:sz w:val="21"/>
          <w:szCs w:val="21"/>
        </w:rPr>
        <w:t>产品</w:t>
      </w:r>
      <w:r>
        <w:rPr>
          <w:rFonts w:hint="eastAsia" w:ascii="楷体" w:hAnsi="楷体" w:eastAsia="楷体"/>
          <w:color w:val="auto"/>
          <w:sz w:val="21"/>
          <w:szCs w:val="21"/>
          <w:lang w:val="en-US" w:eastAsia="zh-CN"/>
        </w:rPr>
        <w:t>份额面值，</w:t>
      </w:r>
      <w:r>
        <w:rPr>
          <w:rFonts w:ascii="楷体" w:hAnsi="楷体" w:eastAsia="楷体"/>
          <w:color w:val="auto"/>
          <w:sz w:val="21"/>
          <w:szCs w:val="21"/>
        </w:rPr>
        <w:t>认购份额</w:t>
      </w:r>
      <w:r>
        <w:rPr>
          <w:rFonts w:hint="eastAsia" w:ascii="楷体" w:hAnsi="楷体" w:eastAsia="楷体"/>
          <w:color w:val="auto"/>
          <w:sz w:val="21"/>
          <w:szCs w:val="21"/>
        </w:rPr>
        <w:t>以四舍五入的方法保留到小数点后两位。</w:t>
      </w:r>
    </w:p>
    <w:p>
      <w:pPr>
        <w:numPr>
          <w:ilvl w:val="0"/>
          <w:numId w:val="0"/>
        </w:numPr>
        <w:tabs>
          <w:tab w:val="left" w:pos="1134"/>
        </w:tabs>
        <w:ind w:left="420"/>
        <w:outlineLvl w:val="0"/>
        <w:rPr>
          <w:rFonts w:hint="eastAsia" w:ascii="楷体" w:hAnsi="楷体" w:eastAsia="楷体"/>
          <w:b/>
          <w:color w:val="auto"/>
          <w:sz w:val="21"/>
          <w:szCs w:val="21"/>
        </w:rPr>
      </w:pPr>
      <w:r>
        <w:rPr>
          <w:rFonts w:hint="eastAsia" w:ascii="楷体" w:hAnsi="楷体" w:eastAsia="楷体"/>
          <w:b/>
          <w:color w:val="auto"/>
          <w:sz w:val="21"/>
          <w:szCs w:val="21"/>
          <w:lang w:val="en-US" w:eastAsia="zh-CN"/>
        </w:rPr>
        <w:t>八、</w:t>
      </w:r>
      <w:r>
        <w:rPr>
          <w:rFonts w:hint="eastAsia" w:ascii="楷体" w:hAnsi="楷体" w:eastAsia="楷体"/>
          <w:b/>
          <w:color w:val="auto"/>
          <w:sz w:val="21"/>
          <w:szCs w:val="21"/>
        </w:rPr>
        <w:t>产品终止</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提前终止</w:t>
      </w:r>
    </w:p>
    <w:p>
      <w:pPr>
        <w:numPr>
          <w:ilvl w:val="0"/>
          <w:numId w:val="0"/>
        </w:numPr>
        <w:ind w:left="0" w:firstLine="420"/>
        <w:rPr>
          <w:rFonts w:hint="eastAsia" w:ascii="楷体" w:hAnsi="楷体" w:eastAsia="楷体"/>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color w:val="auto"/>
          <w:sz w:val="21"/>
          <w:szCs w:val="21"/>
        </w:rPr>
        <w:t>。</w:t>
      </w:r>
    </w:p>
    <w:p>
      <w:pPr>
        <w:numPr>
          <w:ilvl w:val="0"/>
          <w:numId w:val="8"/>
        </w:numPr>
        <w:tabs>
          <w:tab w:val="left" w:pos="993"/>
        </w:tabs>
        <w:ind w:left="0" w:firstLine="420"/>
        <w:rPr>
          <w:rFonts w:hint="eastAsia" w:ascii="楷体" w:hAnsi="楷体" w:eastAsia="楷体" w:cs="Calibri"/>
          <w:b w:val="0"/>
          <w:color w:val="auto"/>
          <w:sz w:val="21"/>
          <w:szCs w:val="21"/>
        </w:rPr>
      </w:pPr>
      <w:r>
        <w:rPr>
          <w:rFonts w:hint="eastAsia" w:ascii="楷体" w:hAnsi="楷体" w:eastAsia="楷体" w:cs="Calibri"/>
          <w:b w:val="0"/>
          <w:color w:val="auto"/>
          <w:sz w:val="21"/>
          <w:szCs w:val="21"/>
          <w:lang w:val="en-US" w:eastAsia="zh-CN"/>
        </w:rPr>
        <w:t>正常终止</w:t>
      </w:r>
    </w:p>
    <w:p>
      <w:pPr>
        <w:ind w:firstLine="420"/>
        <w:rPr>
          <w:rFonts w:hint="eastAsia" w:ascii="楷体" w:hAnsi="楷体" w:eastAsia="楷体" w:cs="Calibri"/>
          <w:color w:val="auto"/>
          <w:sz w:val="21"/>
          <w:szCs w:val="21"/>
        </w:rPr>
      </w:pPr>
      <w:r>
        <w:rPr>
          <w:rFonts w:hint="eastAsia" w:ascii="楷体" w:hAnsi="楷体" w:eastAsia="楷体" w:cs="Calibri"/>
          <w:color w:val="auto"/>
          <w:sz w:val="21"/>
          <w:szCs w:val="21"/>
        </w:rPr>
        <w:t>投资者持有本理财产品至产品到期日，投资者的投资本金和收益（如有）将在产品到期后一次性支付。</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延期</w:t>
      </w:r>
      <w:r>
        <w:rPr>
          <w:rFonts w:hint="eastAsia" w:ascii="楷体" w:hAnsi="楷体" w:eastAsia="楷体" w:cs="Calibri"/>
          <w:color w:val="auto"/>
          <w:sz w:val="21"/>
          <w:szCs w:val="21"/>
          <w:lang w:val="en-US" w:eastAsia="zh-CN"/>
        </w:rPr>
        <w:t>终止</w:t>
      </w:r>
    </w:p>
    <w:p>
      <w:pPr>
        <w:ind w:firstLine="420"/>
        <w:rPr>
          <w:rFonts w:hint="eastAsia" w:ascii="楷体" w:hAnsi="楷体" w:eastAsia="楷体" w:cs="Calibri"/>
          <w:color w:val="auto"/>
          <w:sz w:val="21"/>
          <w:szCs w:val="21"/>
        </w:rPr>
      </w:pPr>
      <w:r>
        <w:rPr>
          <w:rFonts w:hint="eastAsia" w:ascii="楷体" w:hAnsi="楷体" w:eastAsia="楷体" w:cs="Calibri"/>
          <w:color w:val="auto"/>
          <w:sz w:val="21"/>
          <w:szCs w:val="21"/>
        </w:rPr>
        <w:t>因不可抗力、法律法规规定或监管部门认定的其他情形</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rPr>
        <w:t>产品管理人有权延长本理财产品的终止日。产品管理人决定延期兑付的，将至少提前2个工作日（含）按说明书约定的信息披露方式予以披露。</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投资者可得资金计算</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投资者可得资金=投资者持有份额×产品到期</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终止）</w:t>
      </w:r>
      <w:r>
        <w:rPr>
          <w:rFonts w:hint="eastAsia" w:ascii="楷体" w:hAnsi="楷体" w:eastAsia="楷体"/>
          <w:color w:val="auto"/>
          <w:sz w:val="21"/>
          <w:szCs w:val="21"/>
        </w:rPr>
        <w:t>时单位净值</w:t>
      </w:r>
      <w:r>
        <w:rPr>
          <w:rFonts w:hint="eastAsia" w:ascii="楷体" w:hAnsi="楷体" w:eastAsia="楷体"/>
          <w:color w:val="auto"/>
          <w:sz w:val="21"/>
          <w:szCs w:val="21"/>
          <w:lang w:eastAsia="zh-CN"/>
        </w:rPr>
        <w:t>，</w:t>
      </w:r>
      <w:r>
        <w:rPr>
          <w:rFonts w:hint="eastAsia" w:ascii="楷体" w:hAnsi="楷体" w:eastAsia="楷体"/>
          <w:color w:val="auto"/>
          <w:sz w:val="21"/>
          <w:szCs w:val="21"/>
        </w:rPr>
        <w:t>投资者可得资金以四舍五入的方法保留到小数点后两位。</w:t>
      </w:r>
    </w:p>
    <w:p>
      <w:pPr>
        <w:numPr>
          <w:ilvl w:val="0"/>
          <w:numId w:val="8"/>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终止</w:t>
      </w:r>
      <w:r>
        <w:rPr>
          <w:rFonts w:hint="eastAsia" w:ascii="楷体" w:hAnsi="楷体" w:eastAsia="楷体" w:cs="Calibri"/>
          <w:color w:val="auto"/>
          <w:sz w:val="21"/>
          <w:szCs w:val="21"/>
        </w:rPr>
        <w:t>清算</w:t>
      </w:r>
    </w:p>
    <w:p>
      <w:pPr>
        <w:ind w:firstLine="420"/>
        <w:rPr>
          <w:rFonts w:hint="eastAsia"/>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numPr>
          <w:ilvl w:val="0"/>
          <w:numId w:val="0"/>
        </w:numPr>
        <w:tabs>
          <w:tab w:val="left" w:pos="1134"/>
        </w:tabs>
        <w:ind w:left="420"/>
        <w:outlineLvl w:val="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九、情景示例</w:t>
      </w:r>
    </w:p>
    <w:p>
      <w:pPr>
        <w:ind w:firstLine="422"/>
        <w:rPr>
          <w:rFonts w:hint="eastAsia" w:ascii="楷体" w:hAnsi="楷体" w:eastAsia="楷体"/>
          <w:b/>
          <w:color w:val="auto"/>
          <w:sz w:val="24"/>
          <w:szCs w:val="24"/>
          <w:u w:val="single"/>
        </w:rPr>
      </w:pPr>
      <w:r>
        <w:rPr>
          <w:rFonts w:hint="eastAsia" w:ascii="楷体" w:hAnsi="楷体" w:eastAsia="楷体"/>
          <w:b/>
          <w:color w:val="auto"/>
          <w:sz w:val="21"/>
          <w:szCs w:val="21"/>
          <w:u w:val="single"/>
        </w:rPr>
        <w:t>以下示例均为假设情况，不代表本产品实际投资业绩。</w:t>
      </w:r>
    </w:p>
    <w:p>
      <w:pPr>
        <w:ind w:firstLine="42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rPr>
          <w:rFonts w:hint="eastAsia" w:ascii="楷体" w:hAnsi="楷体" w:eastAsia="楷体"/>
          <w:color w:val="auto"/>
          <w:sz w:val="21"/>
          <w:szCs w:val="21"/>
        </w:rPr>
      </w:pPr>
      <w:r>
        <w:rPr>
          <w:rFonts w:hint="eastAsia" w:ascii="楷体" w:hAnsi="楷体" w:eastAsia="楷体"/>
          <w:color w:val="auto"/>
          <w:sz w:val="21"/>
          <w:szCs w:val="21"/>
        </w:rPr>
        <w:t>假定投资者于募集期认购本产品，投资金额为10,000.00元，购买产品时单位净值为1.0000元，折算份额为10,000.00份。产品到期时，产品单位净值为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投资者投资收益=10,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00.00-10,000.00=</w:t>
      </w:r>
      <w:r>
        <w:rPr>
          <w:rFonts w:hint="eastAsia" w:ascii="楷体" w:hAnsi="楷体" w:eastAsia="楷体"/>
          <w:color w:val="auto"/>
          <w:sz w:val="21"/>
          <w:szCs w:val="21"/>
          <w:lang w:val="en-US" w:eastAsia="zh-CN"/>
        </w:rPr>
        <w:t>3</w:t>
      </w:r>
      <w:r>
        <w:rPr>
          <w:rFonts w:hint="eastAsia" w:ascii="楷体" w:hAnsi="楷体" w:eastAsia="楷体"/>
          <w:color w:val="auto"/>
          <w:sz w:val="21"/>
          <w:szCs w:val="21"/>
        </w:rPr>
        <w:t>00.00（元）</w:t>
      </w:r>
    </w:p>
    <w:p>
      <w:pPr>
        <w:ind w:firstLine="42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rPr>
          <w:rFonts w:hint="eastAsia" w:ascii="楷体" w:hAnsi="楷体" w:eastAsia="楷体"/>
          <w:color w:val="auto"/>
          <w:sz w:val="21"/>
          <w:szCs w:val="21"/>
        </w:rPr>
      </w:pPr>
      <w:r>
        <w:rPr>
          <w:rFonts w:hint="eastAsia" w:ascii="楷体" w:hAnsi="楷体" w:eastAsia="楷体"/>
          <w:color w:val="auto"/>
          <w:sz w:val="21"/>
          <w:szCs w:val="21"/>
        </w:rPr>
        <w:t>假定投资者于募集期认购本产品，投资金额为10,000.00元，购买产品时单位净值为1.0000元，折算份额为10,000.00份。产品到期时，产品单位净值为</w:t>
      </w:r>
      <w:r>
        <w:rPr>
          <w:rFonts w:ascii="楷体" w:hAnsi="楷体" w:eastAsia="楷体"/>
          <w:color w:val="auto"/>
          <w:sz w:val="21"/>
          <w:szCs w:val="21"/>
        </w:rPr>
        <w:t>0.9975</w:t>
      </w:r>
      <w:r>
        <w:rPr>
          <w:rFonts w:hint="eastAsia" w:ascii="楷体" w:hAnsi="楷体" w:eastAsia="楷体"/>
          <w:color w:val="auto"/>
          <w:sz w:val="21"/>
          <w:szCs w:val="21"/>
        </w:rPr>
        <w:t>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投资者可得资金=10,000.00×0.9975=9,975.00（元）</w:t>
      </w:r>
    </w:p>
    <w:p>
      <w:pPr>
        <w:ind w:firstLine="420"/>
        <w:rPr>
          <w:rFonts w:hint="eastAsia" w:ascii="楷体" w:hAnsi="楷体" w:eastAsia="楷体"/>
          <w:color w:val="auto"/>
          <w:sz w:val="21"/>
          <w:szCs w:val="21"/>
        </w:rPr>
      </w:pPr>
      <w:r>
        <w:rPr>
          <w:rFonts w:hint="eastAsia" w:ascii="楷体" w:hAnsi="楷体" w:eastAsia="楷体"/>
          <w:color w:val="auto"/>
          <w:sz w:val="21"/>
          <w:szCs w:val="21"/>
        </w:rPr>
        <w:t>投资者投资收益=9,975.00-10,000.00=-</w:t>
      </w:r>
      <w:r>
        <w:rPr>
          <w:rFonts w:ascii="楷体" w:hAnsi="楷体" w:eastAsia="楷体"/>
          <w:color w:val="auto"/>
          <w:sz w:val="21"/>
          <w:szCs w:val="21"/>
        </w:rPr>
        <w:t>25</w:t>
      </w:r>
      <w:r>
        <w:rPr>
          <w:rFonts w:hint="eastAsia" w:ascii="楷体" w:hAnsi="楷体" w:eastAsia="楷体"/>
          <w:color w:val="auto"/>
          <w:sz w:val="21"/>
          <w:szCs w:val="21"/>
        </w:rPr>
        <w:t>.</w:t>
      </w:r>
      <w:r>
        <w:rPr>
          <w:rFonts w:ascii="楷体" w:hAnsi="楷体" w:eastAsia="楷体"/>
          <w:color w:val="auto"/>
          <w:sz w:val="21"/>
          <w:szCs w:val="21"/>
        </w:rPr>
        <w:t>00</w:t>
      </w:r>
      <w:r>
        <w:rPr>
          <w:rFonts w:hint="eastAsia" w:ascii="楷体" w:hAnsi="楷体" w:eastAsia="楷体"/>
          <w:color w:val="auto"/>
          <w:sz w:val="21"/>
          <w:szCs w:val="21"/>
        </w:rPr>
        <w:t>（元）</w:t>
      </w:r>
    </w:p>
    <w:p>
      <w:pPr>
        <w:ind w:firstLine="422"/>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ind w:firstLine="422"/>
        <w:rPr>
          <w:rFonts w:hint="eastAsia" w:ascii="楷体" w:hAnsi="楷体" w:eastAsia="楷体"/>
          <w:color w:val="auto"/>
          <w:sz w:val="21"/>
          <w:szCs w:val="21"/>
        </w:rPr>
      </w:pPr>
      <w:r>
        <w:rPr>
          <w:rFonts w:hint="eastAsia" w:ascii="楷体" w:hAnsi="楷体" w:eastAsia="楷体"/>
          <w:b/>
          <w:color w:val="auto"/>
          <w:sz w:val="21"/>
          <w:szCs w:val="21"/>
          <w:u w:val="single"/>
        </w:rPr>
        <w:t>上述情况假设仅用于向投资者示例收益计算方法之用，并不代表管理人对实际投资情况的预期判断，</w:t>
      </w:r>
      <w:r>
        <w:rPr>
          <w:rFonts w:hint="eastAsia" w:ascii="楷体" w:hAnsi="楷体" w:eastAsia="楷体"/>
          <w:b/>
          <w:color w:val="auto"/>
          <w:sz w:val="21"/>
          <w:szCs w:val="21"/>
          <w:u w:val="single"/>
          <w:lang w:eastAsia="zh-CN"/>
        </w:rPr>
        <w:t>也不代表</w:t>
      </w:r>
      <w:r>
        <w:rPr>
          <w:rFonts w:hint="eastAsia" w:ascii="楷体" w:hAnsi="楷体" w:eastAsia="楷体"/>
          <w:b/>
          <w:color w:val="auto"/>
          <w:sz w:val="21"/>
          <w:szCs w:val="21"/>
          <w:u w:val="single"/>
        </w:rPr>
        <w:t>以上所有情形或某一情形一定会发生，或管理人认为发生的可能性很大。投资者获得的最终收益以产品实际运作表现及管理人实际支付为准。</w:t>
      </w:r>
    </w:p>
    <w:p>
      <w:pPr>
        <w:numPr>
          <w:ilvl w:val="0"/>
          <w:numId w:val="0"/>
        </w:numPr>
        <w:tabs>
          <w:tab w:val="left" w:pos="1134"/>
        </w:tabs>
        <w:ind w:left="420"/>
        <w:outlineLvl w:val="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十、产品费用</w:t>
      </w:r>
    </w:p>
    <w:p>
      <w:pPr>
        <w:numPr>
          <w:ilvl w:val="0"/>
          <w:numId w:val="0"/>
        </w:numPr>
        <w:ind w:left="0" w:firstLine="420"/>
        <w:rPr>
          <w:rFonts w:hint="default" w:ascii="楷体" w:hAnsi="楷体" w:eastAsia="楷体" w:cs="Calibri"/>
          <w:color w:val="auto"/>
          <w:sz w:val="21"/>
          <w:szCs w:val="21"/>
        </w:rPr>
      </w:pPr>
      <w:r>
        <w:rPr>
          <w:rFonts w:hint="eastAsia" w:ascii="楷体" w:hAnsi="楷体" w:eastAsia="楷体"/>
          <w:color w:val="auto"/>
          <w:sz w:val="21"/>
          <w:szCs w:val="21"/>
        </w:rPr>
        <w:t>本产品费用包括托管费、销售服务费、投资管理费、超额业绩报酬（如有）以及产品运作和清算中产生的其他费用等。</w:t>
      </w:r>
      <w:r>
        <w:rPr>
          <w:rFonts w:hint="eastAsia" w:ascii="楷体" w:hAnsi="楷体" w:eastAsia="楷体" w:cs="Calibri"/>
          <w:color w:val="auto"/>
          <w:sz w:val="21"/>
          <w:szCs w:val="21"/>
        </w:rPr>
        <w:t>计提方法</w:t>
      </w:r>
      <w:r>
        <w:rPr>
          <w:rFonts w:hint="eastAsia" w:ascii="楷体" w:hAnsi="楷体" w:eastAsia="楷体" w:cs="Calibri"/>
          <w:color w:val="auto"/>
          <w:sz w:val="21"/>
          <w:szCs w:val="21"/>
          <w:lang w:val="en-US" w:eastAsia="zh-CN"/>
        </w:rPr>
        <w:t>如下:</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托管费：每日计提，每日应计提的托管费＝前一日的产品资产净值×托管费率÷365</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销售服务费：</w:t>
      </w:r>
    </w:p>
    <w:p>
      <w:pPr>
        <w:numPr>
          <w:ilvl w:val="0"/>
          <w:numId w:val="0"/>
        </w:numPr>
        <w:ind w:left="0" w:firstLine="420"/>
        <w:rPr>
          <w:rFonts w:hint="eastAsia" w:ascii="楷体" w:hAnsi="楷体" w:eastAsia="楷体"/>
          <w:color w:val="auto"/>
          <w:sz w:val="21"/>
          <w:szCs w:val="21"/>
          <w:lang w:eastAsia="zh-CN"/>
        </w:rPr>
      </w:pPr>
      <w:r>
        <w:rPr>
          <w:rFonts w:hint="eastAsia" w:ascii="楷体" w:hAnsi="楷体" w:eastAsia="楷体"/>
          <w:color w:val="auto"/>
          <w:sz w:val="21"/>
          <w:szCs w:val="21"/>
        </w:rPr>
        <w:t>①</w:t>
      </w:r>
      <w:r>
        <w:rPr>
          <w:rFonts w:hint="eastAsia" w:ascii="楷体" w:hAnsi="楷体" w:eastAsia="楷体"/>
          <w:color w:val="auto"/>
          <w:sz w:val="21"/>
          <w:szCs w:val="21"/>
          <w:lang w:val="en-US" w:eastAsia="zh-CN"/>
        </w:rPr>
        <w:t>每日计提模式：</w:t>
      </w:r>
      <w:r>
        <w:rPr>
          <w:rFonts w:hint="eastAsia" w:ascii="楷体" w:hAnsi="楷体" w:eastAsia="楷体"/>
          <w:color w:val="auto"/>
          <w:sz w:val="21"/>
          <w:szCs w:val="21"/>
        </w:rPr>
        <w:t>每日计提</w:t>
      </w:r>
      <w:r>
        <w:rPr>
          <w:rFonts w:hint="eastAsia" w:ascii="楷体" w:hAnsi="楷体" w:eastAsia="楷体"/>
          <w:color w:val="auto"/>
          <w:sz w:val="21"/>
          <w:szCs w:val="21"/>
          <w:lang w:eastAsia="zh-CN"/>
        </w:rPr>
        <w:t>，</w:t>
      </w:r>
      <w:r>
        <w:rPr>
          <w:rFonts w:hint="eastAsia" w:ascii="楷体" w:hAnsi="楷体" w:eastAsia="楷体"/>
          <w:color w:val="auto"/>
          <w:sz w:val="21"/>
          <w:szCs w:val="21"/>
        </w:rPr>
        <w:t>每日应计提的销售服务费＝前一日的产品资产净值×销售服务费率÷365</w:t>
      </w:r>
      <w:r>
        <w:rPr>
          <w:rFonts w:hint="eastAsia" w:ascii="楷体" w:hAnsi="楷体" w:eastAsia="楷体"/>
          <w:color w:val="auto"/>
          <w:sz w:val="21"/>
          <w:szCs w:val="21"/>
          <w:lang w:eastAsia="zh-CN"/>
        </w:rPr>
        <w:t>。</w:t>
      </w:r>
    </w:p>
    <w:p>
      <w:pPr>
        <w:numPr>
          <w:ilvl w:val="0"/>
          <w:numId w:val="0"/>
        </w:numPr>
        <w:ind w:left="0" w:firstLine="420"/>
        <w:rPr>
          <w:rFonts w:hint="eastAsia" w:ascii="楷体" w:hAnsi="楷体" w:eastAsia="楷体"/>
          <w:color w:val="auto"/>
          <w:sz w:val="21"/>
          <w:szCs w:val="21"/>
        </w:rPr>
      </w:pPr>
      <w:r>
        <w:rPr>
          <w:rFonts w:hint="eastAsia" w:ascii="楷体" w:hAnsi="楷体" w:eastAsia="楷体"/>
          <w:color w:val="auto"/>
          <w:sz w:val="21"/>
          <w:szCs w:val="21"/>
        </w:rPr>
        <w:t>②</w:t>
      </w:r>
      <w:r>
        <w:rPr>
          <w:rFonts w:hint="eastAsia" w:ascii="楷体" w:hAnsi="楷体" w:eastAsia="楷体"/>
          <w:color w:val="auto"/>
          <w:sz w:val="21"/>
          <w:szCs w:val="21"/>
          <w:lang w:val="en-US" w:eastAsia="zh-CN"/>
        </w:rPr>
        <w:t>一次性提取模式：</w:t>
      </w:r>
      <w:r>
        <w:rPr>
          <w:rFonts w:hint="eastAsia" w:ascii="楷体" w:hAnsi="楷体" w:eastAsia="楷体"/>
          <w:color w:val="auto"/>
          <w:sz w:val="21"/>
          <w:szCs w:val="21"/>
        </w:rPr>
        <w:t>成立日一次性提取，每日摊销</w:t>
      </w:r>
      <w:r>
        <w:rPr>
          <w:rFonts w:hint="eastAsia" w:ascii="楷体" w:hAnsi="楷体" w:eastAsia="楷体"/>
          <w:color w:val="auto"/>
          <w:sz w:val="21"/>
          <w:szCs w:val="21"/>
          <w:lang w:eastAsia="zh-CN"/>
        </w:rPr>
        <w:t>，</w:t>
      </w:r>
      <w:r>
        <w:rPr>
          <w:rFonts w:hint="eastAsia" w:ascii="楷体" w:hAnsi="楷体" w:eastAsia="楷体"/>
          <w:color w:val="auto"/>
          <w:sz w:val="21"/>
          <w:szCs w:val="21"/>
        </w:rPr>
        <w:t>销售服务费＝产品成立日的产品份额</w:t>
      </w:r>
      <w:r>
        <w:rPr>
          <w:rFonts w:hint="eastAsia" w:ascii="楷体" w:hAnsi="楷体" w:eastAsia="楷体"/>
          <w:color w:val="auto"/>
          <w:sz w:val="21"/>
          <w:szCs w:val="21"/>
          <w:lang w:val="en-US" w:eastAsia="zh-CN"/>
        </w:rPr>
        <w:t>数</w:t>
      </w:r>
      <w:r>
        <w:rPr>
          <w:rFonts w:hint="eastAsia" w:ascii="楷体" w:hAnsi="楷体" w:eastAsia="楷体"/>
          <w:color w:val="auto"/>
          <w:sz w:val="21"/>
          <w:szCs w:val="21"/>
        </w:rPr>
        <w:t>×销售服务费率×产品投资期限天数÷365</w:t>
      </w:r>
      <w:r>
        <w:rPr>
          <w:rFonts w:hint="eastAsia" w:ascii="楷体" w:hAnsi="楷体" w:eastAsia="楷体"/>
          <w:color w:val="auto"/>
          <w:sz w:val="21"/>
          <w:szCs w:val="21"/>
          <w:lang w:eastAsia="zh-CN"/>
        </w:rPr>
        <w:t>。</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sz w:val="21"/>
          <w:szCs w:val="21"/>
        </w:rPr>
      </w:pPr>
      <w:r>
        <w:rPr>
          <w:rFonts w:hint="eastAsia" w:ascii="楷体" w:hAnsi="楷体" w:eastAsia="楷体" w:cs="Calibri"/>
          <w:color w:val="auto"/>
          <w:sz w:val="21"/>
          <w:szCs w:val="21"/>
        </w:rPr>
        <w:t>投资管理费：每日计提，</w:t>
      </w:r>
      <w:r>
        <w:rPr>
          <w:rFonts w:hint="eastAsia" w:ascii="楷体" w:hAnsi="楷体" w:eastAsia="楷体"/>
          <w:sz w:val="21"/>
          <w:szCs w:val="21"/>
        </w:rPr>
        <w:t>每日应计提的投资管理费＝前一日的产品资产净值×投资管理费率÷</w:t>
      </w:r>
      <w:r>
        <w:rPr>
          <w:rFonts w:ascii="楷体" w:hAnsi="楷体" w:eastAsia="楷体"/>
          <w:sz w:val="21"/>
          <w:szCs w:val="21"/>
        </w:rPr>
        <w:t>365</w:t>
      </w:r>
    </w:p>
    <w:p>
      <w:pPr>
        <w:keepNext w:val="0"/>
        <w:keepLines w:val="0"/>
        <w:pageBreakBefore w:val="0"/>
        <w:widowControl w:val="0"/>
        <w:numPr>
          <w:ilvl w:val="0"/>
          <w:numId w:val="9"/>
        </w:numPr>
        <w:tabs>
          <w:tab w:val="left" w:pos="728"/>
          <w:tab w:val="clear" w:pos="420"/>
        </w:tabs>
        <w:bidi w:val="0"/>
        <w:ind w:left="0" w:firstLine="420"/>
        <w:rPr>
          <w:rFonts w:ascii="楷体" w:hAnsi="楷体" w:eastAsia="楷体"/>
          <w:color w:val="auto"/>
          <w:sz w:val="21"/>
          <w:szCs w:val="21"/>
        </w:rPr>
      </w:pPr>
      <w:r>
        <w:rPr>
          <w:rFonts w:hint="eastAsia" w:ascii="楷体" w:hAnsi="楷体" w:eastAsia="楷体" w:cs="Calibri"/>
          <w:color w:val="auto"/>
          <w:sz w:val="21"/>
          <w:szCs w:val="21"/>
        </w:rPr>
        <w:t>超额业绩报酬</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如有）</w:t>
      </w:r>
      <w:r>
        <w:rPr>
          <w:rFonts w:hint="eastAsia" w:ascii="楷体" w:hAnsi="楷体" w:eastAsia="楷体"/>
          <w:color w:val="auto"/>
          <w:sz w:val="21"/>
          <w:szCs w:val="21"/>
        </w:rPr>
        <w:t>：</w:t>
      </w:r>
      <w:r>
        <w:rPr>
          <w:rFonts w:hint="eastAsia" w:ascii="楷体" w:hAnsi="楷体" w:eastAsia="楷体" w:cs="Calibri"/>
          <w:sz w:val="21"/>
          <w:szCs w:val="21"/>
          <w:highlight w:val="none"/>
        </w:rPr>
        <w:t>管理人按</w:t>
      </w:r>
      <w:r>
        <w:rPr>
          <w:rFonts w:hint="eastAsia" w:ascii="楷体" w:hAnsi="楷体" w:eastAsia="楷体" w:cs="Calibri"/>
          <w:sz w:val="21"/>
          <w:szCs w:val="21"/>
          <w:highlight w:val="none"/>
          <w:lang w:val="en-US" w:eastAsia="zh-CN"/>
        </w:rPr>
        <w:t>产品存续期</w:t>
      </w:r>
      <w:r>
        <w:rPr>
          <w:rFonts w:hint="eastAsia" w:ascii="楷体" w:hAnsi="楷体" w:eastAsia="楷体" w:cs="Calibri"/>
          <w:sz w:val="21"/>
          <w:szCs w:val="21"/>
          <w:highlight w:val="none"/>
        </w:rPr>
        <w:t>收取超额业绩报酬</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lang w:val="en-US" w:eastAsia="zh-CN"/>
        </w:rPr>
        <w:t>超额业绩报酬计算详见“产品要素”。</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产品运作和清算中产生的交易手续费、注册登记费、账户服务费、审计费、及其他应由本产品承担的费用从产品中列支。</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本产品不收取认购费用、申购费用、赎回费用。</w:t>
      </w:r>
    </w:p>
    <w:p>
      <w:pPr>
        <w:keepNext w:val="0"/>
        <w:keepLines w:val="0"/>
        <w:pageBreakBefore w:val="0"/>
        <w:widowControl w:val="0"/>
        <w:numPr>
          <w:ilvl w:val="0"/>
          <w:numId w:val="9"/>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费用计算</w:t>
      </w:r>
      <w:r>
        <w:rPr>
          <w:rFonts w:hint="eastAsia" w:ascii="楷体" w:hAnsi="楷体" w:eastAsia="楷体" w:cs="Calibri"/>
          <w:color w:val="auto"/>
          <w:sz w:val="21"/>
          <w:szCs w:val="21"/>
        </w:rPr>
        <w:t>四舍五入保留至小数点后两位</w:t>
      </w:r>
      <w:r>
        <w:rPr>
          <w:rFonts w:hint="eastAsia" w:ascii="楷体" w:hAnsi="楷体" w:eastAsia="楷体" w:cs="Calibri"/>
          <w:color w:val="auto"/>
          <w:sz w:val="21"/>
          <w:szCs w:val="21"/>
          <w:lang w:eastAsia="zh-CN"/>
        </w:rPr>
        <w:t>。</w:t>
      </w:r>
    </w:p>
    <w:p>
      <w:pPr>
        <w:numPr>
          <w:ilvl w:val="0"/>
          <w:numId w:val="0"/>
        </w:numPr>
        <w:tabs>
          <w:tab w:val="left" w:pos="1134"/>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十一、</w:t>
      </w:r>
      <w:r>
        <w:rPr>
          <w:rFonts w:hint="eastAsia" w:ascii="楷体" w:hAnsi="楷体" w:eastAsia="楷体"/>
          <w:b/>
          <w:color w:val="auto"/>
          <w:sz w:val="21"/>
          <w:szCs w:val="21"/>
        </w:rPr>
        <w:t>产品估值</w:t>
      </w:r>
    </w:p>
    <w:p>
      <w:pPr>
        <w:numPr>
          <w:ilvl w:val="0"/>
          <w:numId w:val="10"/>
        </w:numPr>
        <w:tabs>
          <w:tab w:val="left" w:pos="993"/>
        </w:tabs>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估值对象</w:t>
      </w:r>
    </w:p>
    <w:p>
      <w:pPr>
        <w:ind w:firstLine="420"/>
        <w:rPr>
          <w:rFonts w:ascii="楷体" w:hAnsi="楷体" w:eastAsia="楷体"/>
          <w:color w:val="auto"/>
          <w:sz w:val="21"/>
          <w:szCs w:val="21"/>
        </w:rPr>
      </w:pPr>
      <w:r>
        <w:rPr>
          <w:rFonts w:hint="eastAsia" w:ascii="楷体" w:hAnsi="楷体" w:eastAsia="楷体"/>
          <w:color w:val="auto"/>
          <w:sz w:val="21"/>
          <w:szCs w:val="21"/>
        </w:rPr>
        <w:t>本产品所拥有的各类证券、银行存款、应收款项及其它资产及负债。</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估值要求</w:t>
      </w:r>
    </w:p>
    <w:p>
      <w:pPr>
        <w:keepNext w:val="0"/>
        <w:keepLines w:val="0"/>
        <w:pageBreakBefore w:val="0"/>
        <w:widowControl w:val="0"/>
        <w:numPr>
          <w:ilvl w:val="0"/>
          <w:numId w:val="11"/>
        </w:numPr>
        <w:tabs>
          <w:tab w:val="left" w:pos="728"/>
        </w:tabs>
        <w:bidi w:val="0"/>
        <w:ind w:left="0" w:firstLine="420"/>
        <w:rPr>
          <w:rFonts w:ascii="楷体" w:hAnsi="楷体" w:eastAsia="楷体" w:cs="Calibri"/>
          <w:color w:val="auto"/>
          <w:sz w:val="21"/>
          <w:szCs w:val="21"/>
        </w:rPr>
      </w:pPr>
      <w:r>
        <w:rPr>
          <w:rFonts w:hint="eastAsia" w:ascii="楷体" w:hAnsi="楷体" w:eastAsia="楷体" w:cs="Calibri"/>
          <w:color w:val="auto"/>
          <w:sz w:val="21"/>
          <w:szCs w:val="21"/>
        </w:rPr>
        <w:t>本产品资产估值的目的是客观、准确</w:t>
      </w:r>
      <w:r>
        <w:rPr>
          <w:rFonts w:hint="eastAsia" w:ascii="楷体" w:hAnsi="楷体" w:eastAsia="楷体" w:cs="Calibri"/>
          <w:color w:val="auto"/>
          <w:sz w:val="21"/>
          <w:szCs w:val="21"/>
          <w:lang w:val="en-US" w:eastAsia="zh-CN"/>
        </w:rPr>
        <w:t>地</w:t>
      </w:r>
      <w:r>
        <w:rPr>
          <w:rFonts w:hint="eastAsia" w:ascii="楷体" w:hAnsi="楷体" w:eastAsia="楷体" w:cs="Calibri"/>
          <w:color w:val="auto"/>
          <w:sz w:val="21"/>
          <w:szCs w:val="21"/>
        </w:rPr>
        <w:t>反映资产净值，确定理财产品资产净值，并为理财产品的兑付提供计价依据。</w:t>
      </w:r>
    </w:p>
    <w:p>
      <w:pPr>
        <w:pStyle w:val="2"/>
        <w:keepNext w:val="0"/>
        <w:keepLines w:val="0"/>
        <w:pageBreakBefore w:val="0"/>
        <w:widowControl w:val="0"/>
        <w:bidi w:val="0"/>
        <w:spacing w:before="0"/>
        <w:ind w:left="0" w:firstLine="420"/>
        <w:rPr>
          <w:rFonts w:hint="eastAsia"/>
          <w:lang w:eastAsia="zh-CN"/>
        </w:rPr>
      </w:pPr>
      <w:r>
        <w:rPr>
          <w:rFonts w:hint="eastAsia" w:ascii="楷体" w:hAnsi="楷体" w:eastAsia="楷体" w:cs="Calibri"/>
          <w:color w:val="auto"/>
          <w:sz w:val="21"/>
          <w:szCs w:val="21"/>
          <w:lang w:val="en-US" w:eastAsia="zh-CN"/>
        </w:rPr>
        <w:t>2.</w:t>
      </w:r>
      <w:r>
        <w:rPr>
          <w:rFonts w:hint="eastAsia" w:ascii="楷体" w:hAnsi="楷体" w:eastAsia="楷体" w:cs="Calibri"/>
          <w:color w:val="auto"/>
          <w:sz w:val="21"/>
          <w:szCs w:val="21"/>
        </w:rPr>
        <w:t>本产品单位净值精确到小</w:t>
      </w:r>
      <w:r>
        <w:rPr>
          <w:rFonts w:hint="eastAsia" w:ascii="楷体" w:hAnsi="楷体" w:eastAsia="楷体" w:cs="Calibri"/>
          <w:color w:val="auto"/>
          <w:sz w:val="21"/>
          <w:szCs w:val="21"/>
          <w:highlight w:val="none"/>
        </w:rPr>
        <w:t>数点后</w:t>
      </w:r>
      <w:r>
        <w:rPr>
          <w:rFonts w:hint="eastAsia" w:ascii="楷体" w:hAnsi="楷体" w:eastAsia="楷体" w:cs="Calibri"/>
          <w:color w:val="auto"/>
          <w:sz w:val="21"/>
          <w:szCs w:val="21"/>
          <w:highlight w:val="none"/>
          <w:lang w:val="en-US" w:eastAsia="zh-CN"/>
        </w:rPr>
        <w:t>6</w:t>
      </w:r>
      <w:r>
        <w:rPr>
          <w:rFonts w:hint="eastAsia" w:ascii="楷体" w:hAnsi="楷体" w:eastAsia="楷体" w:cs="Calibri"/>
          <w:color w:val="auto"/>
          <w:sz w:val="21"/>
          <w:szCs w:val="21"/>
          <w:highlight w:val="none"/>
        </w:rPr>
        <w:t>位，小数点</w:t>
      </w:r>
      <w:r>
        <w:rPr>
          <w:rFonts w:hint="eastAsia" w:ascii="楷体" w:hAnsi="楷体" w:eastAsia="楷体" w:cs="Calibri"/>
          <w:color w:val="auto"/>
          <w:sz w:val="21"/>
          <w:szCs w:val="21"/>
          <w:highlight w:val="none"/>
          <w:lang w:val="en-US" w:eastAsia="zh-CN"/>
        </w:rPr>
        <w:t>6</w:t>
      </w:r>
      <w:r>
        <w:rPr>
          <w:rFonts w:hint="eastAsia" w:ascii="楷体" w:hAnsi="楷体" w:eastAsia="楷体" w:cs="Calibri"/>
          <w:color w:val="auto"/>
          <w:sz w:val="21"/>
          <w:szCs w:val="21"/>
        </w:rPr>
        <w:t>位后截位。</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估值方法</w:t>
      </w:r>
    </w:p>
    <w:p>
      <w:pPr>
        <w:ind w:firstLine="420"/>
        <w:rPr>
          <w:rFonts w:hint="eastAsia" w:ascii="楷体" w:hAnsi="楷体" w:eastAsia="楷体"/>
          <w:color w:val="auto"/>
          <w:sz w:val="21"/>
          <w:szCs w:val="21"/>
        </w:rPr>
      </w:pPr>
      <w:r>
        <w:rPr>
          <w:rFonts w:hint="eastAsia" w:ascii="楷体" w:hAnsi="楷体" w:eastAsia="楷体"/>
          <w:color w:val="auto"/>
          <w:sz w:val="21"/>
          <w:szCs w:val="21"/>
        </w:rPr>
        <w:t>1.存款类资产、货币市场工具：以本金列示，逐日计提利息。</w:t>
      </w:r>
    </w:p>
    <w:p>
      <w:pPr>
        <w:ind w:firstLine="420"/>
        <w:rPr>
          <w:rFonts w:hint="eastAsia" w:ascii="楷体" w:hAnsi="楷体" w:eastAsia="楷体"/>
          <w:color w:val="auto"/>
          <w:sz w:val="21"/>
          <w:szCs w:val="21"/>
        </w:rPr>
      </w:pPr>
      <w:r>
        <w:rPr>
          <w:rFonts w:hint="eastAsia" w:ascii="楷体" w:hAnsi="楷体" w:eastAsia="楷体"/>
          <w:color w:val="auto"/>
          <w:sz w:val="21"/>
          <w:szCs w:val="21"/>
        </w:rPr>
        <w:t>2.货币市场基金：按公允价值进行估值，以估值截止时间点能够取得的最新每万份收益进行估值。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rPr>
          <w:rFonts w:hint="eastAsia" w:ascii="楷体" w:hAnsi="楷体" w:eastAsia="楷体"/>
          <w:color w:val="auto"/>
          <w:sz w:val="21"/>
          <w:szCs w:val="21"/>
        </w:rPr>
      </w:pPr>
      <w:r>
        <w:rPr>
          <w:rFonts w:hint="eastAsia" w:ascii="楷体" w:hAnsi="楷体" w:eastAsia="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rPr>
          <w:rFonts w:hint="eastAsia" w:ascii="楷体" w:hAnsi="楷体" w:eastAsia="楷体"/>
          <w:color w:val="auto"/>
          <w:sz w:val="21"/>
          <w:szCs w:val="21"/>
        </w:rPr>
      </w:pPr>
      <w:r>
        <w:rPr>
          <w:rFonts w:hint="eastAsia" w:ascii="楷体" w:hAnsi="楷体" w:eastAsia="楷体"/>
          <w:color w:val="auto"/>
          <w:sz w:val="21"/>
          <w:szCs w:val="21"/>
        </w:rPr>
        <w:t>5.权益类资产：按公允价值进行估值，采用市价、监管认可的第三方估值机构提供的估值价格进行估值。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rPr>
          <w:rFonts w:hint="eastAsia" w:ascii="楷体" w:hAnsi="楷体" w:eastAsia="楷体"/>
          <w:color w:val="auto"/>
          <w:sz w:val="21"/>
          <w:szCs w:val="21"/>
        </w:rPr>
      </w:pPr>
      <w:r>
        <w:rPr>
          <w:rFonts w:hint="eastAsia" w:ascii="楷体" w:hAnsi="楷体" w:eastAsia="楷体"/>
          <w:color w:val="auto"/>
          <w:sz w:val="21"/>
          <w:szCs w:val="21"/>
        </w:rPr>
        <w:t>7.其他资产：按公允价值进行估值。</w:t>
      </w:r>
    </w:p>
    <w:p>
      <w:pPr>
        <w:ind w:firstLine="420"/>
        <w:rPr>
          <w:rFonts w:hint="eastAsia" w:ascii="楷体" w:hAnsi="楷体" w:eastAsia="楷体"/>
          <w:color w:val="auto"/>
          <w:sz w:val="21"/>
          <w:szCs w:val="21"/>
        </w:rPr>
      </w:pPr>
      <w:r>
        <w:rPr>
          <w:rFonts w:hint="eastAsia" w:ascii="楷体" w:hAnsi="楷体" w:eastAsia="楷体"/>
          <w:color w:val="auto"/>
          <w:sz w:val="21"/>
          <w:szCs w:val="21"/>
        </w:rPr>
        <w:t>如有新增事项或变更事项，按国家法律法规及监管最新规定执行。</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估值错误的处理</w:t>
      </w:r>
    </w:p>
    <w:p>
      <w:pPr>
        <w:ind w:firstLine="420"/>
        <w:rPr>
          <w:rFonts w:ascii="楷体" w:hAnsi="楷体" w:eastAsia="楷体"/>
          <w:color w:val="auto"/>
          <w:sz w:val="21"/>
          <w:szCs w:val="21"/>
        </w:rPr>
      </w:pPr>
      <w:r>
        <w:rPr>
          <w:rFonts w:hint="eastAsia" w:ascii="楷体" w:hAnsi="楷体" w:eastAsia="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0"/>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暂停估值</w:t>
      </w:r>
    </w:p>
    <w:p>
      <w:pPr>
        <w:ind w:firstLine="420"/>
        <w:rPr>
          <w:rFonts w:ascii="楷体" w:hAnsi="楷体" w:eastAsia="楷体"/>
          <w:color w:val="auto"/>
          <w:sz w:val="21"/>
          <w:szCs w:val="21"/>
        </w:rPr>
      </w:pPr>
      <w:r>
        <w:rPr>
          <w:rFonts w:hint="eastAsia" w:ascii="楷体" w:hAnsi="楷体" w:eastAsia="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0"/>
        </w:numPr>
        <w:tabs>
          <w:tab w:val="left" w:pos="1428"/>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十二、</w:t>
      </w:r>
      <w:r>
        <w:rPr>
          <w:rFonts w:hint="eastAsia" w:ascii="楷体" w:hAnsi="楷体" w:eastAsia="楷体"/>
          <w:b/>
          <w:color w:val="auto"/>
          <w:sz w:val="21"/>
          <w:szCs w:val="21"/>
        </w:rPr>
        <w:t>信息披露</w:t>
      </w:r>
    </w:p>
    <w:p>
      <w:pPr>
        <w:numPr>
          <w:ilvl w:val="0"/>
          <w:numId w:val="12"/>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keepNext w:val="0"/>
        <w:keepLines w:val="0"/>
        <w:pageBreakBefore w:val="0"/>
        <w:widowControl w:val="0"/>
        <w:numPr>
          <w:ilvl w:val="0"/>
          <w:numId w:val="13"/>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keepNext w:val="0"/>
        <w:keepLines w:val="0"/>
        <w:pageBreakBefore w:val="0"/>
        <w:widowControl w:val="0"/>
        <w:numPr>
          <w:ilvl w:val="0"/>
          <w:numId w:val="13"/>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0"/>
          <w:numId w:val="0"/>
        </w:numPr>
        <w:ind w:left="0" w:firstLine="42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2"/>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keepNext w:val="0"/>
        <w:keepLines w:val="0"/>
        <w:pageBreakBefore w:val="0"/>
        <w:widowControl w:val="0"/>
        <w:numPr>
          <w:ilvl w:val="0"/>
          <w:numId w:val="14"/>
        </w:numPr>
        <w:tabs>
          <w:tab w:val="left" w:pos="728"/>
          <w:tab w:val="clear" w:pos="420"/>
        </w:tabs>
        <w:bidi w:val="0"/>
        <w:ind w:left="0" w:firstLine="420"/>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keepNext w:val="0"/>
        <w:keepLines w:val="0"/>
        <w:pageBreakBefore w:val="0"/>
        <w:widowControl w:val="0"/>
        <w:numPr>
          <w:ilvl w:val="0"/>
          <w:numId w:val="14"/>
        </w:numPr>
        <w:tabs>
          <w:tab w:val="left" w:pos="728"/>
          <w:tab w:val="clear" w:pos="420"/>
        </w:tabs>
        <w:bidi w:val="0"/>
        <w:ind w:left="0" w:firstLine="420"/>
        <w:rPr>
          <w:rFonts w:ascii="楷体" w:hAnsi="楷体" w:eastAsia="楷体" w:cs="Calibri"/>
          <w:sz w:val="21"/>
          <w:szCs w:val="21"/>
          <w:highlight w:val="none"/>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numPr>
          <w:ilvl w:val="0"/>
          <w:numId w:val="0"/>
        </w:numPr>
        <w:tabs>
          <w:tab w:val="left" w:pos="1428"/>
        </w:tabs>
        <w:ind w:left="420"/>
        <w:outlineLvl w:val="0"/>
        <w:rPr>
          <w:rFonts w:ascii="楷体" w:hAnsi="楷体" w:eastAsia="楷体"/>
          <w:b/>
          <w:color w:val="auto"/>
          <w:sz w:val="21"/>
          <w:szCs w:val="21"/>
        </w:rPr>
      </w:pPr>
      <w:r>
        <w:rPr>
          <w:rFonts w:hint="eastAsia" w:ascii="楷体" w:hAnsi="楷体" w:eastAsia="楷体"/>
          <w:b/>
          <w:color w:val="auto"/>
          <w:sz w:val="21"/>
          <w:szCs w:val="21"/>
          <w:lang w:val="en-US" w:eastAsia="zh-CN"/>
        </w:rPr>
        <w:t>十三、</w:t>
      </w:r>
      <w:r>
        <w:rPr>
          <w:rFonts w:hint="eastAsia" w:ascii="楷体" w:hAnsi="楷体" w:eastAsia="楷体"/>
          <w:b/>
          <w:color w:val="auto"/>
          <w:sz w:val="21"/>
          <w:szCs w:val="21"/>
        </w:rPr>
        <w:t>其他</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5"/>
        </w:numPr>
        <w:tabs>
          <w:tab w:val="left" w:pos="993"/>
        </w:tabs>
        <w:ind w:left="0" w:firstLine="420"/>
        <w:rPr>
          <w:rFonts w:ascii="楷体" w:hAnsi="楷体" w:eastAsia="楷体" w:cs="Calibri"/>
          <w:color w:val="auto"/>
          <w:sz w:val="21"/>
          <w:szCs w:val="21"/>
        </w:rPr>
      </w:pPr>
      <w:r>
        <w:rPr>
          <w:rFonts w:hint="eastAsia" w:ascii="楷体" w:hAnsi="楷体" w:eastAsia="楷体" w:cs="Calibri"/>
          <w:color w:val="auto"/>
          <w:sz w:val="21"/>
          <w:szCs w:val="21"/>
        </w:rPr>
        <w:t>争议解决</w:t>
      </w:r>
    </w:p>
    <w:p>
      <w:pPr>
        <w:ind w:firstLine="420" w:firstLineChars="200"/>
      </w:pP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的订立、生效、履行、解释、修改和终止等事项均适用中华人民共和国（</w:t>
      </w:r>
      <w:r>
        <w:rPr>
          <w:rFonts w:hint="eastAsia" w:ascii="楷体" w:hAnsi="楷体" w:eastAsia="楷体"/>
          <w:color w:val="auto"/>
          <w:sz w:val="21"/>
          <w:szCs w:val="21"/>
          <w:lang w:val="en-US" w:eastAsia="zh-CN"/>
        </w:rPr>
        <w:t>为本合同目的，</w:t>
      </w:r>
      <w:r>
        <w:rPr>
          <w:rFonts w:hint="eastAsia" w:ascii="楷体" w:hAnsi="楷体" w:eastAsia="楷体"/>
          <w:color w:val="auto"/>
          <w:sz w:val="21"/>
          <w:szCs w:val="21"/>
        </w:rPr>
        <w:t>不包括香港特别行政区、澳门特别行政区和台湾地区）法律。</w:t>
      </w:r>
      <w:r>
        <w:rPr>
          <w:rFonts w:hint="eastAsia" w:ascii="楷体" w:hAnsi="楷体" w:eastAsia="楷体"/>
          <w:color w:val="auto"/>
          <w:sz w:val="21"/>
          <w:szCs w:val="21"/>
          <w:lang w:val="en-US" w:eastAsia="zh-CN"/>
        </w:rPr>
        <w:t>因本产品说明书</w:t>
      </w:r>
      <w:r>
        <w:rPr>
          <w:rFonts w:hint="eastAsia" w:ascii="楷体" w:hAnsi="楷体" w:eastAsia="楷体"/>
          <w:color w:val="auto"/>
          <w:sz w:val="21"/>
          <w:szCs w:val="21"/>
        </w:rPr>
        <w:t>引起的或与</w:t>
      </w:r>
      <w:r>
        <w:rPr>
          <w:rFonts w:hint="eastAsia" w:ascii="楷体" w:hAnsi="楷体" w:eastAsia="楷体"/>
          <w:color w:val="auto"/>
          <w:sz w:val="21"/>
          <w:szCs w:val="21"/>
          <w:lang w:val="en-US" w:eastAsia="zh-CN"/>
        </w:rPr>
        <w:t>本产品说明书</w:t>
      </w:r>
      <w:r>
        <w:rPr>
          <w:rFonts w:hint="eastAsia" w:ascii="楷体" w:hAnsi="楷体" w:eastAsia="楷体"/>
          <w:color w:val="auto"/>
          <w:sz w:val="21"/>
          <w:szCs w:val="21"/>
        </w:rPr>
        <w:t>有关的任何争议，应当首先通过双方之间的友好协商解决；协商不成的，双方均有权提交产品管理人</w:t>
      </w:r>
      <w:r>
        <w:rPr>
          <w:rFonts w:hint="eastAsia" w:ascii="楷体" w:hAnsi="楷体" w:eastAsia="楷体"/>
          <w:color w:val="auto"/>
          <w:sz w:val="21"/>
          <w:szCs w:val="21"/>
          <w:lang w:val="en-US" w:eastAsia="zh-CN"/>
        </w:rPr>
        <w:t>住所地</w:t>
      </w:r>
      <w:r>
        <w:rPr>
          <w:rFonts w:hint="eastAsia" w:ascii="楷体" w:hAnsi="楷体" w:eastAsia="楷体"/>
          <w:color w:val="auto"/>
          <w:sz w:val="21"/>
          <w:szCs w:val="21"/>
        </w:rPr>
        <w:t>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
    <w:panose1 w:val="02010609060101010101"/>
    <w:charset w:val="86"/>
    <w:family w:val="auto"/>
    <w:pitch w:val="default"/>
    <w:sig w:usb0="800002BF" w:usb1="38CF7CFA" w:usb2="00000016" w:usb3="00000000" w:csb0="00040001" w:csb1="00000000"/>
  </w:font>
  <w:font w:name="浠垮畫">
    <w:altName w:val="Times New Roman"/>
    <w:panose1 w:val="020206030504050203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0" w:line="320" w:lineRule="exact"/>
      <w:ind w:left="20"/>
      <w:jc w:val="both"/>
      <w:rPr>
        <w:rFonts w:ascii="楷体" w:hAnsi="楷体" w:eastAsia="楷体" w:cs="黑体"/>
        <w:b/>
        <w:spacing w:val="-2"/>
        <w:sz w:val="24"/>
        <w:szCs w:val="24"/>
      </w:rPr>
    </w:pPr>
    <w:r>
      <w:rPr>
        <w:rFonts w:ascii="楷体" w:hAnsi="楷体" w:eastAsia="楷体"/>
        <w:b/>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0" b="0"/>
          <wp:wrapNone/>
          <wp:docPr id="130" name="WordPictureWatermark367128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WordPictureWatermark367128483"/>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131"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0" b="0"/>
          <wp:wrapNone/>
          <wp:docPr id="129" name="WordPictureWatermark367128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WordPictureWatermark367128482"/>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0" b="0"/>
          <wp:wrapNone/>
          <wp:docPr id="132" name="WordPictureWatermark367128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WordPictureWatermark367128481"/>
                  <pic:cNvPicPr>
                    <a:picLocks noChangeAspect="1"/>
                  </pic:cNvPicPr>
                </pic:nvPicPr>
                <pic:blipFill>
                  <a:blip r:embed="rId1"/>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B5E306ED"/>
    <w:multiLevelType w:val="multilevel"/>
    <w:tmpl w:val="B5E306ED"/>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BF205925"/>
    <w:multiLevelType w:val="multilevel"/>
    <w:tmpl w:val="BF205925"/>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C8879AEF"/>
    <w:multiLevelType w:val="multilevel"/>
    <w:tmpl w:val="C8879AEF"/>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CF092B84"/>
    <w:multiLevelType w:val="multilevel"/>
    <w:tmpl w:val="CF092B84"/>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F4B5D9F5"/>
    <w:multiLevelType w:val="multilevel"/>
    <w:tmpl w:val="F4B5D9F5"/>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0053208E"/>
    <w:multiLevelType w:val="multilevel"/>
    <w:tmpl w:val="0053208E"/>
    <w:lvl w:ilvl="0" w:tentative="0">
      <w:start w:val="1"/>
      <w:numFmt w:val="decimalEnclosedCircleChinese"/>
      <w:suff w:val="nothing"/>
      <w:lvlText w:val="%1　"/>
      <w:lvlJc w:val="left"/>
      <w:pPr>
        <w:ind w:left="0" w:firstLine="400"/>
      </w:pPr>
      <w:rPr>
        <w:rFonts w:hint="eastAsia"/>
      </w:rPr>
    </w:lvl>
    <w:lvl w:ilvl="1" w:tentative="0">
      <w:start w:val="0"/>
      <w:numFmt w:val="bullet"/>
      <w:lvlText w:val=""/>
      <w:lvlJc w:val="left"/>
    </w:lvl>
    <w:lvl w:ilvl="2" w:tentative="0">
      <w:start w:val="0"/>
      <w:numFmt w:val="bullet"/>
      <w:lvlText w:val=""/>
      <w:lvlJc w:val="left"/>
    </w:lvl>
    <w:lvl w:ilvl="3" w:tentative="0">
      <w:start w:val="0"/>
      <w:numFmt w:val="bullet"/>
      <w:lvlText w:val=""/>
      <w:lvlJc w:val="left"/>
    </w:lvl>
    <w:lvl w:ilvl="4" w:tentative="0">
      <w:start w:val="0"/>
      <w:numFmt w:val="bullet"/>
      <w:lvlText w:val=""/>
      <w:lvlJc w:val="left"/>
    </w:lvl>
    <w:lvl w:ilvl="5" w:tentative="0">
      <w:start w:val="0"/>
      <w:numFmt w:val="bullet"/>
      <w:lvlText w:val=""/>
      <w:lvlJc w:val="left"/>
    </w:lvl>
    <w:lvl w:ilvl="6" w:tentative="0">
      <w:start w:val="0"/>
      <w:numFmt w:val="bullet"/>
      <w:lvlText w:val=""/>
      <w:lvlJc w:val="left"/>
    </w:lvl>
    <w:lvl w:ilvl="7" w:tentative="0">
      <w:start w:val="0"/>
      <w:numFmt w:val="bullet"/>
      <w:lvlText w:val=""/>
      <w:lvlJc w:val="left"/>
    </w:lvl>
    <w:lvl w:ilvl="8" w:tentative="0">
      <w:start w:val="0"/>
      <w:numFmt w:val="bullet"/>
      <w:lvlText w:val=""/>
      <w:lvlJc w:val="left"/>
    </w:lvl>
  </w:abstractNum>
  <w:abstractNum w:abstractNumId="7">
    <w:nsid w:val="0248C179"/>
    <w:multiLevelType w:val="multilevel"/>
    <w:tmpl w:val="0248C179"/>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3D62ECE"/>
    <w:multiLevelType w:val="multilevel"/>
    <w:tmpl w:val="03D62EC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5B654F3"/>
    <w:multiLevelType w:val="multilevel"/>
    <w:tmpl w:val="25B654F3"/>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A8F537B"/>
    <w:multiLevelType w:val="multilevel"/>
    <w:tmpl w:val="2A8F537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4D4DC07F"/>
    <w:multiLevelType w:val="multilevel"/>
    <w:tmpl w:val="4D4DC07F"/>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9ADCABA"/>
    <w:multiLevelType w:val="multilevel"/>
    <w:tmpl w:val="59ADCAB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5A241D34"/>
    <w:multiLevelType w:val="multilevel"/>
    <w:tmpl w:val="5A241D34"/>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2183CF9"/>
    <w:multiLevelType w:val="multilevel"/>
    <w:tmpl w:val="72183CF9"/>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6"/>
  </w:num>
  <w:num w:numId="2">
    <w:abstractNumId w:val="4"/>
  </w:num>
  <w:num w:numId="3">
    <w:abstractNumId w:val="12"/>
  </w:num>
  <w:num w:numId="4">
    <w:abstractNumId w:val="2"/>
  </w:num>
  <w:num w:numId="5">
    <w:abstractNumId w:val="1"/>
  </w:num>
  <w:num w:numId="6">
    <w:abstractNumId w:val="8"/>
  </w:num>
  <w:num w:numId="7">
    <w:abstractNumId w:val="9"/>
  </w:num>
  <w:num w:numId="8">
    <w:abstractNumId w:val="14"/>
  </w:num>
  <w:num w:numId="9">
    <w:abstractNumId w:val="7"/>
  </w:num>
  <w:num w:numId="10">
    <w:abstractNumId w:val="0"/>
  </w:num>
  <w:num w:numId="11">
    <w:abstractNumId w:val="10"/>
  </w:num>
  <w:num w:numId="12">
    <w:abstractNumId w:val="13"/>
  </w:num>
  <w:num w:numId="13">
    <w:abstractNumId w:val="3"/>
  </w:num>
  <w:num w:numId="14">
    <w:abstractNumId w:val="11"/>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characterSpacingControl w:val="doNotCompress"/>
  <w:compat>
    <w:balanceSingleByteDoubleByteWidth/>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476B36"/>
    <w:rsid w:val="052037CF"/>
    <w:rsid w:val="4C4A03B0"/>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default" w:ascii="宋体" w:hAnsi="宋体" w:eastAsia="宋体" w:cs="宋体"/>
      <w:sz w:val="28"/>
      <w:szCs w:val="22"/>
      <w:lang w:val="en-US" w:eastAsia="zh-CN" w:bidi="ar-SA"/>
    </w:rPr>
  </w:style>
  <w:style w:type="paragraph" w:styleId="3">
    <w:name w:val="heading 1"/>
    <w:basedOn w:val="1"/>
    <w:next w:val="1"/>
    <w:link w:val="187"/>
    <w:qFormat/>
    <w:uiPriority w:val="1"/>
    <w:pPr>
      <w:spacing w:before="17"/>
      <w:ind w:left="1144"/>
      <w:jc w:val="left"/>
      <w:outlineLvl w:val="0"/>
    </w:pPr>
    <w:rPr>
      <w:rFonts w:ascii="黑体" w:hAnsi="Times New Roman" w:eastAsia="黑体"/>
      <w:b/>
      <w:bCs/>
      <w:sz w:val="36"/>
      <w:szCs w:val="36"/>
    </w:rPr>
  </w:style>
  <w:style w:type="paragraph" w:styleId="4">
    <w:name w:val="heading 2"/>
    <w:basedOn w:val="1"/>
    <w:next w:val="1"/>
    <w:link w:val="188"/>
    <w:qFormat/>
    <w:uiPriority w:val="9"/>
    <w:pPr>
      <w:keepNext/>
      <w:keepLines/>
      <w:spacing w:before="260" w:after="260" w:line="416" w:lineRule="auto"/>
      <w:outlineLvl w:val="1"/>
    </w:pPr>
    <w:rPr>
      <w:rFonts w:ascii="Cambria" w:hAnsi="Cambria"/>
      <w:b/>
      <w:bCs/>
      <w:sz w:val="32"/>
      <w:szCs w:val="32"/>
    </w:rPr>
  </w:style>
  <w:style w:type="paragraph" w:styleId="5">
    <w:name w:val="heading 3"/>
    <w:basedOn w:val="1"/>
    <w:next w:val="1"/>
    <w:link w:val="189"/>
    <w:qFormat/>
    <w:uiPriority w:val="1"/>
    <w:pPr>
      <w:spacing w:before="34"/>
      <w:ind w:left="120"/>
      <w:jc w:val="left"/>
      <w:outlineLvl w:val="2"/>
    </w:pPr>
    <w:rPr>
      <w:rFonts w:ascii="宋体" w:hAnsi="Times New Roman"/>
      <w:b/>
      <w:bCs/>
      <w:sz w:val="20"/>
      <w:szCs w:val="21"/>
    </w:rPr>
  </w:style>
  <w:style w:type="paragraph" w:styleId="6">
    <w:name w:val="heading 4"/>
    <w:basedOn w:val="1"/>
    <w:next w:val="1"/>
    <w:link w:val="164"/>
    <w:unhideWhenUsed/>
    <w:qFormat/>
    <w:uiPriority w:val="9"/>
    <w:pPr>
      <w:keepNext/>
      <w:keepLines/>
      <w:spacing w:before="80" w:after="40"/>
      <w:outlineLvl w:val="3"/>
    </w:pPr>
    <w:rPr>
      <w:rFonts w:ascii="Arial" w:hAnsi="Arial" w:eastAsia="Arial" w:cs="Arial"/>
      <w:i/>
      <w:iCs/>
      <w:color w:val="2E75B6" w:themeColor="accent1" w:themeShade="BF"/>
    </w:rPr>
  </w:style>
  <w:style w:type="paragraph" w:styleId="7">
    <w:name w:val="heading 5"/>
    <w:basedOn w:val="1"/>
    <w:next w:val="1"/>
    <w:link w:val="165"/>
    <w:unhideWhenUsed/>
    <w:qFormat/>
    <w:uiPriority w:val="9"/>
    <w:pPr>
      <w:keepNext/>
      <w:keepLines/>
      <w:spacing w:before="80" w:after="40"/>
      <w:outlineLvl w:val="4"/>
    </w:pPr>
    <w:rPr>
      <w:rFonts w:ascii="Arial" w:hAnsi="Arial" w:eastAsia="Arial" w:cs="Arial"/>
      <w:color w:val="2E75B6" w:themeColor="accent1" w:themeShade="BF"/>
    </w:rPr>
  </w:style>
  <w:style w:type="paragraph" w:styleId="8">
    <w:name w:val="heading 6"/>
    <w:basedOn w:val="1"/>
    <w:next w:val="1"/>
    <w:link w:val="166"/>
    <w:unhideWhenUsed/>
    <w:qFormat/>
    <w:uiPriority w:val="9"/>
    <w:pPr>
      <w:keepNext/>
      <w:keepLines/>
      <w:spacing w:before="40" w:after="0"/>
      <w:outlineLvl w:val="5"/>
    </w:pPr>
    <w:rPr>
      <w:rFonts w:ascii="Arial" w:hAnsi="Arial" w:eastAsia="Arial" w:cs="Arial"/>
      <w:i/>
      <w:iCs/>
      <w:color w:val="595959" w:themeColor="text1" w:themeTint="A6"/>
      <w14:textFill>
        <w14:solidFill>
          <w14:schemeClr w14:val="tx1">
            <w14:lumMod w14:val="65000"/>
            <w14:lumOff w14:val="35000"/>
          </w14:schemeClr>
        </w14:solidFill>
      </w14:textFill>
    </w:rPr>
  </w:style>
  <w:style w:type="paragraph" w:styleId="9">
    <w:name w:val="heading 7"/>
    <w:basedOn w:val="1"/>
    <w:next w:val="1"/>
    <w:link w:val="167"/>
    <w:unhideWhenUsed/>
    <w:qFormat/>
    <w:uiPriority w:val="9"/>
    <w:pPr>
      <w:keepNext/>
      <w:keepLines/>
      <w:spacing w:before="40" w:after="0"/>
      <w:outlineLvl w:val="6"/>
    </w:pPr>
    <w:rPr>
      <w:rFonts w:ascii="Arial" w:hAnsi="Arial" w:eastAsia="Arial" w:cs="Arial"/>
      <w:color w:val="595959" w:themeColor="text1" w:themeTint="A6"/>
      <w14:textFill>
        <w14:solidFill>
          <w14:schemeClr w14:val="tx1">
            <w14:lumMod w14:val="65000"/>
            <w14:lumOff w14:val="35000"/>
          </w14:schemeClr>
        </w14:solidFill>
      </w14:textFill>
    </w:rPr>
  </w:style>
  <w:style w:type="paragraph" w:styleId="10">
    <w:name w:val="heading 8"/>
    <w:basedOn w:val="1"/>
    <w:next w:val="1"/>
    <w:link w:val="168"/>
    <w:unhideWhenUsed/>
    <w:qFormat/>
    <w:uiPriority w:val="9"/>
    <w:pPr>
      <w:keepNext/>
      <w:keepLines/>
      <w:spacing w:after="0"/>
      <w:outlineLvl w:val="7"/>
    </w:pPr>
    <w:rPr>
      <w:rFonts w:ascii="Arial" w:hAnsi="Arial" w:eastAsia="Arial" w:cs="Arial"/>
      <w:i/>
      <w:iCs/>
      <w:color w:val="262626" w:themeColor="text1" w:themeTint="D9"/>
      <w14:textFill>
        <w14:solidFill>
          <w14:schemeClr w14:val="tx1">
            <w14:lumMod w14:val="85000"/>
            <w14:lumOff w14:val="15000"/>
          </w14:schemeClr>
        </w14:solidFill>
      </w14:textFill>
    </w:rPr>
  </w:style>
  <w:style w:type="paragraph" w:styleId="11">
    <w:name w:val="heading 9"/>
    <w:basedOn w:val="1"/>
    <w:next w:val="1"/>
    <w:link w:val="169"/>
    <w:unhideWhenUsed/>
    <w:qFormat/>
    <w:uiPriority w:val="9"/>
    <w:pPr>
      <w:keepNext/>
      <w:keepLines/>
      <w:spacing w:after="0"/>
      <w:outlineLvl w:val="8"/>
    </w:pPr>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default="1" w:styleId="28">
    <w:name w:val="Default Paragraph Font"/>
    <w:unhideWhenUsed/>
    <w:qFormat/>
    <w:uiPriority w:val="1"/>
  </w:style>
  <w:style w:type="table" w:default="1" w:styleId="26">
    <w:name w:val="Normal Table"/>
    <w:unhideWhenUsed/>
    <w:qFormat/>
    <w:uiPriority w:val="99"/>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styleId="2">
    <w:name w:val="Body Text"/>
    <w:basedOn w:val="1"/>
    <w:next w:val="1"/>
    <w:qFormat/>
    <w:uiPriority w:val="1"/>
    <w:pPr>
      <w:spacing w:before="162"/>
      <w:ind w:left="120"/>
      <w:jc w:val="left"/>
    </w:pPr>
    <w:rPr>
      <w:rFonts w:ascii="宋体" w:hAnsi="Times New Roman"/>
      <w:sz w:val="20"/>
      <w:szCs w:val="21"/>
    </w:rPr>
  </w:style>
  <w:style w:type="paragraph" w:styleId="12">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3">
    <w:name w:val="annotation text"/>
    <w:basedOn w:val="1"/>
    <w:unhideWhenUsed/>
    <w:qFormat/>
    <w:uiPriority w:val="99"/>
    <w:pPr>
      <w:jc w:val="left"/>
    </w:pPr>
  </w:style>
  <w:style w:type="paragraph" w:styleId="14">
    <w:name w:val="Date"/>
    <w:basedOn w:val="1"/>
    <w:next w:val="1"/>
    <w:unhideWhenUsed/>
    <w:qFormat/>
    <w:uiPriority w:val="99"/>
    <w:pPr>
      <w:ind w:left="100"/>
    </w:pPr>
  </w:style>
  <w:style w:type="paragraph" w:styleId="15">
    <w:name w:val="endnote text"/>
    <w:basedOn w:val="1"/>
    <w:semiHidden/>
    <w:unhideWhenUsed/>
    <w:qFormat/>
    <w:uiPriority w:val="99"/>
    <w:pPr>
      <w:spacing w:after="0" w:line="240" w:lineRule="auto"/>
    </w:pPr>
    <w:rPr>
      <w:sz w:val="20"/>
      <w:szCs w:val="20"/>
    </w:rPr>
  </w:style>
  <w:style w:type="paragraph" w:styleId="16">
    <w:name w:val="Balloon Text"/>
    <w:basedOn w:val="1"/>
    <w:unhideWhenUsed/>
    <w:qFormat/>
    <w:uiPriority w:val="99"/>
    <w:rPr>
      <w:sz w:val="18"/>
      <w:szCs w:val="18"/>
    </w:rPr>
  </w:style>
  <w:style w:type="paragraph" w:styleId="17">
    <w:name w:val="footer"/>
    <w:basedOn w:val="1"/>
    <w:unhideWhenUsed/>
    <w:qFormat/>
    <w:uiPriority w:val="99"/>
    <w:pPr>
      <w:tabs>
        <w:tab w:val="center" w:pos="4153"/>
        <w:tab w:val="right" w:pos="8306"/>
      </w:tabs>
      <w:jc w:val="left"/>
    </w:pPr>
    <w:rPr>
      <w:sz w:val="18"/>
      <w:szCs w:val="18"/>
    </w:rPr>
  </w:style>
  <w:style w:type="paragraph" w:styleId="18">
    <w:name w:val="header"/>
    <w:basedOn w:val="1"/>
    <w:unhideWhenUsed/>
    <w:qFormat/>
    <w:uiPriority w:val="99"/>
    <w:pPr>
      <w:pBdr>
        <w:bottom w:val="single" w:color="000000" w:sz="6" w:space="1"/>
      </w:pBdr>
      <w:tabs>
        <w:tab w:val="center" w:pos="4153"/>
        <w:tab w:val="right" w:pos="8306"/>
      </w:tabs>
      <w:jc w:val="center"/>
    </w:pPr>
    <w:rPr>
      <w:sz w:val="18"/>
      <w:szCs w:val="18"/>
    </w:rPr>
  </w:style>
  <w:style w:type="paragraph" w:styleId="19">
    <w:name w:val="Subtitle"/>
    <w:basedOn w:val="1"/>
    <w:next w:val="1"/>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20">
    <w:name w:val="footnote text"/>
    <w:basedOn w:val="1"/>
    <w:semiHidden/>
    <w:unhideWhenUsed/>
    <w:qFormat/>
    <w:uiPriority w:val="99"/>
    <w:pPr>
      <w:jc w:val="left"/>
    </w:pPr>
    <w:rPr>
      <w:sz w:val="18"/>
      <w:szCs w:val="18"/>
    </w:rPr>
  </w:style>
  <w:style w:type="paragraph" w:styleId="21">
    <w:name w:val="table of figures"/>
    <w:basedOn w:val="1"/>
    <w:next w:val="1"/>
    <w:unhideWhenUsed/>
    <w:qFormat/>
    <w:uiPriority w:val="99"/>
    <w:pPr>
      <w:spacing w:after="0" w:afterAutospacing="0"/>
    </w:pPr>
  </w:style>
  <w:style w:type="paragraph" w:styleId="2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sz w:val="24"/>
      <w:szCs w:val="24"/>
      <w:lang w:val="en-US" w:eastAsia="zh-CN"/>
    </w:rPr>
  </w:style>
  <w:style w:type="paragraph" w:styleId="23">
    <w:name w:val="Normal (Web)"/>
    <w:basedOn w:val="1"/>
    <w:unhideWhenUsed/>
    <w:qFormat/>
    <w:uiPriority w:val="99"/>
    <w:pPr>
      <w:widowControl/>
      <w:spacing w:before="100" w:beforeAutospacing="1" w:after="100" w:afterAutospacing="1"/>
      <w:jc w:val="left"/>
    </w:pPr>
    <w:rPr>
      <w:rFonts w:ascii="宋体" w:hAnsi="宋体" w:eastAsia="宋体" w:cs="宋体"/>
      <w:sz w:val="24"/>
      <w:szCs w:val="24"/>
    </w:rPr>
  </w:style>
  <w:style w:type="paragraph" w:styleId="24">
    <w:name w:val="Title"/>
    <w:basedOn w:val="1"/>
    <w:next w:val="1"/>
    <w:qFormat/>
    <w:uiPriority w:val="10"/>
    <w:pPr>
      <w:spacing w:after="80" w:line="240" w:lineRule="auto"/>
      <w:contextualSpacing/>
    </w:pPr>
    <w:rPr>
      <w:rFonts w:ascii="Arial" w:hAnsi="Arial" w:eastAsia="Arial" w:cs="Arial"/>
      <w:spacing w:val="-10"/>
      <w:sz w:val="56"/>
      <w:szCs w:val="56"/>
    </w:rPr>
  </w:style>
  <w:style w:type="paragraph" w:styleId="25">
    <w:name w:val="annotation subject"/>
    <w:basedOn w:val="13"/>
    <w:next w:val="13"/>
    <w:link w:val="196"/>
    <w:unhideWhenUsed/>
    <w:qFormat/>
    <w:uiPriority w:val="99"/>
    <w:rPr>
      <w:b/>
      <w:bCs/>
    </w:rPr>
  </w:style>
  <w:style w:type="table" w:styleId="27">
    <w:name w:val="Table Grid"/>
    <w:basedOn w:val="26"/>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character" w:styleId="29">
    <w:name w:val="Strong"/>
    <w:qFormat/>
    <w:uiPriority w:val="22"/>
    <w:rPr>
      <w:rFonts w:ascii="Times New Roman" w:hAnsi="Times New Roman" w:eastAsia="宋体" w:cs="Times New Roman"/>
      <w:b/>
      <w:bCs/>
    </w:rPr>
  </w:style>
  <w:style w:type="character" w:styleId="30">
    <w:name w:val="endnote reference"/>
    <w:basedOn w:val="28"/>
    <w:semiHidden/>
    <w:unhideWhenUsed/>
    <w:qFormat/>
    <w:uiPriority w:val="99"/>
    <w:rPr>
      <w:vertAlign w:val="superscript"/>
    </w:rPr>
  </w:style>
  <w:style w:type="character" w:styleId="31">
    <w:name w:val="FollowedHyperlink"/>
    <w:basedOn w:val="28"/>
    <w:semiHidden/>
    <w:unhideWhenUsed/>
    <w:qFormat/>
    <w:uiPriority w:val="99"/>
    <w:rPr>
      <w:color w:val="954F72" w:themeColor="followedHyperlink"/>
      <w:u w:val="single"/>
      <w14:textFill>
        <w14:solidFill>
          <w14:schemeClr w14:val="folHlink"/>
        </w14:solidFill>
      </w14:textFill>
    </w:rPr>
  </w:style>
  <w:style w:type="character" w:styleId="32">
    <w:name w:val="Emphasis"/>
    <w:basedOn w:val="28"/>
    <w:qFormat/>
    <w:uiPriority w:val="20"/>
    <w:rPr>
      <w:i/>
      <w:iCs/>
    </w:rPr>
  </w:style>
  <w:style w:type="character" w:styleId="33">
    <w:name w:val="Hyperlink"/>
    <w:unhideWhenUsed/>
    <w:qFormat/>
    <w:uiPriority w:val="99"/>
    <w:rPr>
      <w:rFonts w:ascii="Times New Roman" w:hAnsi="Times New Roman" w:eastAsia="宋体" w:cs="Times New Roman"/>
      <w:color w:val="0000FF"/>
      <w:u w:val="single"/>
    </w:rPr>
  </w:style>
  <w:style w:type="character" w:styleId="34">
    <w:name w:val="annotation reference"/>
    <w:unhideWhenUsed/>
    <w:qFormat/>
    <w:uiPriority w:val="99"/>
    <w:rPr>
      <w:rFonts w:ascii="Times New Roman" w:hAnsi="Times New Roman" w:eastAsia="宋体" w:cs="Times New Roman"/>
      <w:sz w:val="21"/>
      <w:szCs w:val="21"/>
    </w:rPr>
  </w:style>
  <w:style w:type="character" w:styleId="35">
    <w:name w:val="footnote reference"/>
    <w:semiHidden/>
    <w:unhideWhenUsed/>
    <w:qFormat/>
    <w:uiPriority w:val="99"/>
    <w:rPr>
      <w:rFonts w:ascii="Times New Roman" w:hAnsi="Times New Roman" w:eastAsia="宋体" w:cs="Times New Roman"/>
      <w:vertAlign w:val="superscript"/>
    </w:rPr>
  </w:style>
  <w:style w:type="table" w:customStyle="1" w:styleId="36">
    <w:name w:val="Table Grid Light"/>
    <w:basedOn w:val="26"/>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37">
    <w:name w:val="Plain Table 1"/>
    <w:basedOn w:val="26"/>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fill="F1F1F1"/>
      </w:tcPr>
    </w:tblStylePr>
    <w:tblStylePr w:type="band2Vert"/>
    <w:tblStylePr w:type="band1Horz">
      <w:tcPr>
        <w:shd w:val="clear" w:color="F1F1F1" w:fill="F1F1F1"/>
      </w:tcPr>
    </w:tblStylePr>
    <w:tblStylePr w:type="band2Horz"/>
    <w:tblStylePr w:type="neCell"/>
    <w:tblStylePr w:type="nwCell"/>
    <w:tblStylePr w:type="seCell"/>
    <w:tblStylePr w:type="swCell"/>
  </w:style>
  <w:style w:type="table" w:customStyle="1" w:styleId="38">
    <w:name w:val="Plain Table 2"/>
    <w:basedOn w:val="26"/>
    <w:qFormat/>
    <w:uiPriority w:val="59"/>
    <w:pPr>
      <w:spacing w:after="0" w:line="240" w:lineRule="auto"/>
    </w:pPr>
    <w:tblPr>
      <w:tblBorders>
        <w:top w:val="single" w:color="000000" w:themeColor="text1" w:sz="4" w:space="0"/>
        <w:left w:val="none" w:color="000000" w:themeColor="text1" w:sz="0" w:space="0"/>
        <w:bottom w:val="single" w:color="000000" w:themeColor="text1" w:sz="4" w:space="0"/>
        <w:right w:val="none" w:color="000000" w:themeColor="text1" w:sz="0"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39">
    <w:name w:val="Plain Table 3"/>
    <w:basedOn w:val="26"/>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0">
    <w:name w:val="Plain Table 4"/>
    <w:basedOn w:val="26"/>
    <w:qFormat/>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1">
    <w:name w:val="Plain Table 5"/>
    <w:basedOn w:val="26"/>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fill="F1F1F1"/>
      </w:tcPr>
    </w:tblStylePr>
    <w:tblStylePr w:type="band2Vert"/>
    <w:tblStylePr w:type="band1Horz">
      <w:rPr>
        <w:rFonts w:ascii="Arial" w:hAnsi="Arial"/>
        <w:color w:val="404040"/>
        <w:sz w:val="22"/>
      </w:rPr>
      <w:tcPr>
        <w:shd w:val="clear" w:color="F1F1F1" w:fill="F1F1F1"/>
      </w:tcPr>
    </w:tblStylePr>
    <w:tblStylePr w:type="band2Horz"/>
    <w:tblStylePr w:type="neCell"/>
    <w:tblStylePr w:type="nwCell"/>
    <w:tblStylePr w:type="seCell"/>
    <w:tblStylePr w:type="swCell"/>
  </w:style>
  <w:style w:type="table" w:customStyle="1" w:styleId="42">
    <w:name w:val="Grid Table 1 Light"/>
    <w:basedOn w:val="26"/>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w:type="table" w:customStyle="1" w:styleId="43">
    <w:name w:val="Grid Table 1 Light - Accent 1"/>
    <w:basedOn w:val="26"/>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b/>
        <w:color w:val="404040"/>
      </w:rPr>
      <w:tcPr>
        <w:tcBorders>
          <w:bottom w:val="single" w:color="9FC4E6"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44">
    <w:name w:val="Grid Table 1 Light - Accent 2"/>
    <w:basedOn w:val="26"/>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b/>
        <w:color w:val="404040"/>
      </w:rPr>
      <w:tcPr>
        <w:tcBorders>
          <w:bottom w:val="single" w:color="F4B38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45">
    <w:name w:val="Grid Table 1 Light - Accent 3"/>
    <w:basedOn w:val="26"/>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b/>
        <w:color w:val="404040"/>
      </w:rPr>
      <w:tcPr>
        <w:tcBorders>
          <w:bottom w:val="single" w:color="CACACA"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46">
    <w:name w:val="Grid Table 1 Light - Accent 4"/>
    <w:basedOn w:val="26"/>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b/>
        <w:color w:val="404040"/>
      </w:rPr>
      <w:tcPr>
        <w:tcBorders>
          <w:bottom w:val="single" w:color="FFDA69"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47">
    <w:name w:val="Grid Table 1 Light - Accent 5"/>
    <w:basedOn w:val="26"/>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b/>
        <w:color w:val="404040"/>
      </w:rPr>
      <w:tcPr>
        <w:tcBorders>
          <w:bottom w:val="single" w:color="91ACDC"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48">
    <w:name w:val="Grid Table 1 Light - Accent 6"/>
    <w:basedOn w:val="26"/>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b/>
        <w:color w:val="404040"/>
      </w:rPr>
      <w:tcPr>
        <w:tcBorders>
          <w:bottom w:val="single" w:color="AAD190"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table" w:customStyle="1" w:styleId="49">
    <w:name w:val="Grid Table 2"/>
    <w:basedOn w:val="26"/>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50">
    <w:name w:val="Grid Table 2 - Accent 1"/>
    <w:basedOn w:val="26"/>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single" w:color="68A3D8" w:themeColor="accent1" w:themeTint="EA" w:sz="12" w:space="0"/>
          <w:right w:val="nil"/>
        </w:tcBorders>
        <w:shd w:val="clear" w:color="FFFFFF" w:fill="auto"/>
      </w:tcPr>
    </w:tblStylePr>
    <w:tblStylePr w:type="lastRow">
      <w:rPr>
        <w:b/>
        <w:color w:val="404040"/>
      </w:rPr>
      <w:tcPr>
        <w:tcBorders>
          <w:top w:val="single" w:color="68A3D8"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DEAF6" w:fill="DDEAF6"/>
      </w:tcPr>
    </w:tblStylePr>
    <w:tblStylePr w:type="band2Vert"/>
    <w:tblStylePr w:type="band1Horz">
      <w:rPr>
        <w:rFonts w:ascii="Arial" w:hAnsi="Arial"/>
        <w:color w:val="404040"/>
        <w:sz w:val="22"/>
      </w:rPr>
      <w:tcPr>
        <w:shd w:val="clear" w:color="DDEAF6" w:fill="DDEAF6"/>
      </w:tcPr>
    </w:tblStylePr>
    <w:tblStylePr w:type="band2Horz"/>
    <w:tblStylePr w:type="neCell"/>
    <w:tblStylePr w:type="nwCell"/>
    <w:tblStylePr w:type="seCell"/>
    <w:tblStylePr w:type="swCell"/>
  </w:style>
  <w:style w:type="table" w:customStyle="1" w:styleId="51">
    <w:name w:val="Grid Table 2 - Accent 2"/>
    <w:basedOn w:val="26"/>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single" w:color="F4B285" w:themeColor="accent2" w:themeTint="97" w:sz="12" w:space="0"/>
          <w:right w:val="nil"/>
        </w:tcBorders>
        <w:shd w:val="clear" w:color="FFFFFF" w:fill="auto"/>
      </w:tcPr>
    </w:tblStylePr>
    <w:tblStylePr w:type="lastRow">
      <w:rPr>
        <w:b/>
        <w:color w:val="404040"/>
      </w:rPr>
      <w:tcPr>
        <w:tcBorders>
          <w:top w:val="single" w:color="F4B28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52">
    <w:name w:val="Grid Table 2 - Accent 3"/>
    <w:basedOn w:val="26"/>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single" w:color="A5A5A5" w:themeColor="accent3" w:themeTint="FE" w:sz="12" w:space="0"/>
          <w:right w:val="nil"/>
        </w:tcBorders>
        <w:shd w:val="clear" w:color="FFFFFF" w:fill="auto"/>
      </w:tcPr>
    </w:tblStylePr>
    <w:tblStylePr w:type="lastRow">
      <w:rPr>
        <w:b/>
        <w:color w:val="404040"/>
      </w:rPr>
      <w:tcPr>
        <w:tcBorders>
          <w:top w:val="single" w:color="A5A5A5"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53">
    <w:name w:val="Grid Table 2 - Accent 4"/>
    <w:basedOn w:val="26"/>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single" w:color="FFD864" w:themeColor="accent4" w:themeTint="9A" w:sz="12" w:space="0"/>
          <w:right w:val="nil"/>
        </w:tcBorders>
        <w:shd w:val="clear" w:color="FFFFFF" w:fill="auto"/>
      </w:tcPr>
    </w:tblStylePr>
    <w:tblStylePr w:type="lastRow">
      <w:rPr>
        <w:b/>
        <w:color w:val="404040"/>
      </w:rPr>
      <w:tcPr>
        <w:tcBorders>
          <w:top w:val="single" w:color="FFD864"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54">
    <w:name w:val="Grid Table 2 - Accent 5"/>
    <w:basedOn w:val="26"/>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single" w:color="4472C4" w:themeColor="accent5" w:sz="12" w:space="0"/>
          <w:right w:val="nil"/>
        </w:tcBorders>
        <w:shd w:val="clear" w:color="FFFFFF" w:fill="auto"/>
      </w:tcPr>
    </w:tblStylePr>
    <w:tblStylePr w:type="lastRow">
      <w:rPr>
        <w:b/>
        <w:color w:val="404040"/>
      </w:rPr>
      <w:tcPr>
        <w:tcBorders>
          <w:top w:val="single" w:color="4472C4"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55">
    <w:name w:val="Grid Table 2 - Accent 6"/>
    <w:basedOn w:val="26"/>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single" w:color="70AD47" w:themeColor="accent6" w:sz="12" w:space="0"/>
          <w:right w:val="nil"/>
        </w:tcBorders>
        <w:shd w:val="clear" w:color="FFFFFF" w:fill="auto"/>
      </w:tcPr>
    </w:tblStylePr>
    <w:tblStylePr w:type="lastRow">
      <w:rPr>
        <w:b/>
        <w:color w:val="404040"/>
      </w:rPr>
      <w:tcPr>
        <w:tcBorders>
          <w:top w:val="single" w:color="70AD47"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56">
    <w:name w:val="Grid Table 3"/>
    <w:basedOn w:val="26"/>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57">
    <w:name w:val="Grid Table 3 - Accent 1"/>
    <w:basedOn w:val="26"/>
    <w:qFormat/>
    <w:uiPriority w:val="99"/>
    <w:pPr>
      <w:spacing w:after="0" w:line="240" w:lineRule="auto"/>
    </w:pPr>
    <w:tblPr>
      <w:tblBorders>
        <w:bottom w:val="single" w:color="68A3D8" w:themeColor="accent1" w:themeTint="EA" w:sz="4" w:space="0"/>
        <w:insideH w:val="single" w:color="68A3D8" w:themeColor="accent1" w:themeTint="EA" w:sz="4" w:space="0"/>
        <w:insideV w:val="single" w:color="68A3D8"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DEAF6" w:fill="DDEAF6"/>
      </w:tcPr>
    </w:tblStylePr>
    <w:tblStylePr w:type="band2Vert"/>
    <w:tblStylePr w:type="band1Horz">
      <w:rPr>
        <w:rFonts w:ascii="Arial" w:hAnsi="Arial"/>
        <w:color w:val="404040"/>
        <w:sz w:val="22"/>
      </w:rPr>
      <w:tcPr>
        <w:shd w:val="clear" w:color="DDEAF6" w:fill="DDEAF6"/>
      </w:tcPr>
    </w:tblStylePr>
    <w:tblStylePr w:type="band2Horz"/>
    <w:tblStylePr w:type="neCell"/>
    <w:tblStylePr w:type="nwCell"/>
    <w:tblStylePr w:type="seCell"/>
    <w:tblStylePr w:type="swCell"/>
  </w:style>
  <w:style w:type="table" w:customStyle="1" w:styleId="58">
    <w:name w:val="Grid Table 3 - Accent 2"/>
    <w:basedOn w:val="26"/>
    <w:qFormat/>
    <w:uiPriority w:val="99"/>
    <w:pPr>
      <w:spacing w:after="0" w:line="240" w:lineRule="auto"/>
    </w:pPr>
    <w:tblPr>
      <w:tblBorders>
        <w:bottom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59">
    <w:name w:val="Grid Table 3 - Accent 3"/>
    <w:basedOn w:val="26"/>
    <w:qFormat/>
    <w:uiPriority w:val="99"/>
    <w:pPr>
      <w:spacing w:after="0" w:line="240" w:lineRule="auto"/>
    </w:pPr>
    <w:tblPr>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60">
    <w:name w:val="Grid Table 3 - Accent 4"/>
    <w:basedOn w:val="26"/>
    <w:qFormat/>
    <w:uiPriority w:val="99"/>
    <w:pPr>
      <w:spacing w:after="0" w:line="240" w:lineRule="auto"/>
    </w:pPr>
    <w:tblPr>
      <w:tblBorders>
        <w:bottom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61">
    <w:name w:val="Grid Table 3 - Accent 5"/>
    <w:basedOn w:val="26"/>
    <w:qFormat/>
    <w:uiPriority w:val="99"/>
    <w:pPr>
      <w:spacing w:after="0" w:line="240" w:lineRule="auto"/>
    </w:pPr>
    <w:tblPr>
      <w:tblBorders>
        <w:bottom w:val="single" w:color="4472C4" w:themeColor="accent5" w:sz="4" w:space="0"/>
        <w:insideH w:val="single" w:color="4472C4" w:themeColor="accent5" w:sz="4" w:space="0"/>
        <w:insideV w:val="single" w:color="4472C4"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62">
    <w:name w:val="Grid Table 3 - Accent 6"/>
    <w:basedOn w:val="26"/>
    <w:qFormat/>
    <w:uiPriority w:val="99"/>
    <w:pPr>
      <w:spacing w:after="0" w:line="240" w:lineRule="auto"/>
    </w:pPr>
    <w:tblPr>
      <w:tblBorders>
        <w:bottom w:val="single" w:color="70AD47" w:themeColor="accent6" w:sz="4" w:space="0"/>
        <w:insideH w:val="single" w:color="70AD47" w:themeColor="accent6" w:sz="4" w:space="0"/>
        <w:insideV w:val="single" w:color="70AD47"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63">
    <w:name w:val="Grid Table 4"/>
    <w:basedOn w:val="26"/>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fill="CACACA"/>
      </w:tcPr>
    </w:tblStylePr>
    <w:tblStylePr w:type="band2Vert"/>
    <w:tblStylePr w:type="band1Horz">
      <w:rPr>
        <w:rFonts w:ascii="Arial" w:hAnsi="Arial"/>
        <w:color w:val="404040"/>
        <w:sz w:val="22"/>
      </w:rPr>
      <w:tcPr>
        <w:shd w:val="clear" w:color="CACACA" w:fill="CACACA"/>
      </w:tcPr>
    </w:tblStylePr>
    <w:tblStylePr w:type="band2Horz"/>
    <w:tblStylePr w:type="neCell"/>
    <w:tblStylePr w:type="nwCell"/>
    <w:tblStylePr w:type="seCell"/>
    <w:tblStylePr w:type="swCell"/>
  </w:style>
  <w:style w:type="table" w:customStyle="1" w:styleId="64">
    <w:name w:val="Grid Table 4 - Accent 1"/>
    <w:basedOn w:val="26"/>
    <w:qFormat/>
    <w:uiPriority w:val="5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firstRow">
      <w:rPr>
        <w:rFonts w:ascii="Arial" w:hAnsi="Arial"/>
        <w:b/>
        <w:color w:val="FFFFFF"/>
        <w:sz w:val="22"/>
      </w:rPr>
      <w:tcPr>
        <w:tcBorders>
          <w:top w:val="single" w:color="68A3D8" w:themeColor="accent1" w:themeTint="EA" w:sz="4" w:space="0"/>
          <w:left w:val="single" w:color="68A3D8" w:themeColor="accent1" w:themeTint="EA" w:sz="4" w:space="0"/>
          <w:bottom w:val="single" w:color="68A3D8" w:themeColor="accent1" w:themeTint="EA" w:sz="4" w:space="0"/>
          <w:right w:val="single" w:color="68A3D8" w:themeColor="accent1" w:themeTint="EA" w:sz="4" w:space="0"/>
        </w:tcBorders>
        <w:shd w:val="clear" w:color="68A3D8" w:fill="68A3D8"/>
      </w:tcPr>
    </w:tblStylePr>
    <w:tblStylePr w:type="lastRow">
      <w:rPr>
        <w:b/>
        <w:color w:val="404040"/>
      </w:rPr>
      <w:tcPr>
        <w:tcBorders>
          <w:top w:val="single" w:color="68A3D8"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EEBF6" w:fill="DEEBF6"/>
      </w:tcPr>
    </w:tblStylePr>
    <w:tblStylePr w:type="band2Vert"/>
    <w:tblStylePr w:type="band1Horz">
      <w:rPr>
        <w:rFonts w:ascii="Arial" w:hAnsi="Arial"/>
        <w:color w:val="404040"/>
        <w:sz w:val="22"/>
      </w:rPr>
      <w:tcPr>
        <w:shd w:val="clear" w:color="DEEBF6" w:fill="DEEBF6"/>
      </w:tcPr>
    </w:tblStylePr>
    <w:tblStylePr w:type="band2Horz"/>
    <w:tblStylePr w:type="neCell"/>
    <w:tblStylePr w:type="nwCell"/>
    <w:tblStylePr w:type="seCell"/>
    <w:tblStylePr w:type="swCell"/>
  </w:style>
  <w:style w:type="table" w:customStyle="1" w:styleId="65">
    <w:name w:val="Grid Table 4 - Accent 2"/>
    <w:basedOn w:val="26"/>
    <w:qFormat/>
    <w:uiPriority w:val="5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firstRow">
      <w:rPr>
        <w:rFonts w:ascii="Arial" w:hAnsi="Arial"/>
        <w:b/>
        <w:color w:val="FFFFFF"/>
        <w:sz w:val="22"/>
      </w:rPr>
      <w:tcPr>
        <w:tc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cBorders>
        <w:shd w:val="clear" w:color="F4B285" w:fill="F4B285"/>
      </w:tcPr>
    </w:tblStylePr>
    <w:tblStylePr w:type="lastRow">
      <w:rPr>
        <w:b/>
        <w:color w:val="404040"/>
      </w:rPr>
      <w:tcPr>
        <w:tcBorders>
          <w:top w:val="single" w:color="F4B28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BE5D6" w:fill="FBE5D6"/>
      </w:tcPr>
    </w:tblStylePr>
    <w:tblStylePr w:type="band2Vert"/>
    <w:tblStylePr w:type="band1Horz">
      <w:rPr>
        <w:rFonts w:ascii="Arial" w:hAnsi="Arial"/>
        <w:color w:val="404040"/>
        <w:sz w:val="22"/>
      </w:rPr>
      <w:tcPr>
        <w:shd w:val="clear" w:color="FBE5D6" w:fill="FBE5D6"/>
      </w:tcPr>
    </w:tblStylePr>
    <w:tblStylePr w:type="band2Horz"/>
    <w:tblStylePr w:type="neCell"/>
    <w:tblStylePr w:type="nwCell"/>
    <w:tblStylePr w:type="seCell"/>
    <w:tblStylePr w:type="swCell"/>
  </w:style>
  <w:style w:type="table" w:customStyle="1" w:styleId="66">
    <w:name w:val="Grid Table 4 - Accent 3"/>
    <w:basedOn w:val="26"/>
    <w:qFormat/>
    <w:uiPriority w:val="5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firstRow">
      <w:rPr>
        <w:rFonts w:ascii="Arial" w:hAnsi="Arial"/>
        <w:b/>
        <w:color w:val="FFFFFF"/>
        <w:sz w:val="22"/>
      </w:rPr>
      <w:tcPr>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shd w:val="clear" w:color="A5A5A5" w:fill="A5A5A5"/>
      </w:tcPr>
    </w:tblStylePr>
    <w:tblStylePr w:type="lastRow">
      <w:rPr>
        <w:b/>
        <w:color w:val="404040"/>
      </w:rPr>
      <w:tcPr>
        <w:tcBorders>
          <w:top w:val="single" w:color="A5A5A5"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CECEC" w:fill="ECECEC"/>
      </w:tcPr>
    </w:tblStylePr>
    <w:tblStylePr w:type="band2Vert"/>
    <w:tblStylePr w:type="band1Horz">
      <w:rPr>
        <w:rFonts w:ascii="Arial" w:hAnsi="Arial"/>
        <w:color w:val="404040"/>
        <w:sz w:val="22"/>
      </w:rPr>
      <w:tcPr>
        <w:shd w:val="clear" w:color="ECECEC" w:fill="ECECEC"/>
      </w:tcPr>
    </w:tblStylePr>
    <w:tblStylePr w:type="band2Horz"/>
    <w:tblStylePr w:type="neCell"/>
    <w:tblStylePr w:type="nwCell"/>
    <w:tblStylePr w:type="seCell"/>
    <w:tblStylePr w:type="swCell"/>
  </w:style>
  <w:style w:type="table" w:customStyle="1" w:styleId="67">
    <w:name w:val="Grid Table 4 - Accent 4"/>
    <w:basedOn w:val="26"/>
    <w:qFormat/>
    <w:uiPriority w:val="5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insideV w:val="single" w:color="FFDB6E" w:themeColor="accent4" w:themeTint="90" w:sz="4" w:space="0"/>
      </w:tblBorders>
    </w:tblPr>
    <w:tblStylePr w:type="firstRow">
      <w:rPr>
        <w:rFonts w:ascii="Arial" w:hAnsi="Arial"/>
        <w:b/>
        <w:color w:val="FFFFFF"/>
        <w:sz w:val="22"/>
      </w:rPr>
      <w:tcPr>
        <w:tc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cBorders>
        <w:shd w:val="clear" w:color="FFD864" w:fill="FFD864"/>
      </w:tcPr>
    </w:tblStylePr>
    <w:tblStylePr w:type="lastRow">
      <w:rPr>
        <w:b/>
        <w:color w:val="404040"/>
      </w:rPr>
      <w:tcPr>
        <w:tcBorders>
          <w:top w:val="single" w:color="FFD864"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EF2CA" w:fill="FEF2CA"/>
      </w:tcPr>
    </w:tblStylePr>
    <w:tblStylePr w:type="band2Vert"/>
    <w:tblStylePr w:type="band1Horz">
      <w:rPr>
        <w:rFonts w:ascii="Arial" w:hAnsi="Arial"/>
        <w:color w:val="404040"/>
        <w:sz w:val="22"/>
      </w:rPr>
      <w:tcPr>
        <w:shd w:val="clear" w:color="FEF2CA" w:fill="FEF2CA"/>
      </w:tcPr>
    </w:tblStylePr>
    <w:tblStylePr w:type="band2Horz"/>
    <w:tblStylePr w:type="neCell"/>
    <w:tblStylePr w:type="nwCell"/>
    <w:tblStylePr w:type="seCell"/>
    <w:tblStylePr w:type="swCell"/>
  </w:style>
  <w:style w:type="table" w:customStyle="1" w:styleId="68">
    <w:name w:val="Grid Table 4 - Accent 5"/>
    <w:basedOn w:val="26"/>
    <w:qFormat/>
    <w:uiPriority w:val="5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FFFFFF"/>
        <w:sz w:val="22"/>
      </w:rPr>
      <w:tcPr>
        <w:tcBorders>
          <w:top w:val="single" w:color="4472C4" w:themeColor="accent5" w:sz="4" w:space="0"/>
          <w:left w:val="single" w:color="4472C4" w:themeColor="accent5" w:sz="4" w:space="0"/>
          <w:bottom w:val="single" w:color="4472C4" w:themeColor="accent5" w:sz="4" w:space="0"/>
          <w:right w:val="single" w:color="4472C4" w:themeColor="accent5" w:sz="4" w:space="0"/>
        </w:tcBorders>
        <w:shd w:val="clear" w:color="4472C4" w:fill="4472C4"/>
      </w:tcPr>
    </w:tblStylePr>
    <w:tblStylePr w:type="lastRow">
      <w:rPr>
        <w:b/>
        <w:color w:val="404040"/>
      </w:rPr>
      <w:tcPr>
        <w:tcBorders>
          <w:top w:val="single" w:color="4472C4"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8E2F2" w:fill="D8E2F2"/>
      </w:tcPr>
    </w:tblStylePr>
    <w:tblStylePr w:type="band2Vert"/>
    <w:tblStylePr w:type="band1Horz">
      <w:rPr>
        <w:rFonts w:ascii="Arial" w:hAnsi="Arial"/>
        <w:color w:val="404040"/>
        <w:sz w:val="22"/>
      </w:rPr>
      <w:tcPr>
        <w:shd w:val="clear" w:color="D8E2F2" w:fill="D8E2F2"/>
      </w:tcPr>
    </w:tblStylePr>
    <w:tblStylePr w:type="band2Horz"/>
    <w:tblStylePr w:type="neCell"/>
    <w:tblStylePr w:type="nwCell"/>
    <w:tblStylePr w:type="seCell"/>
    <w:tblStylePr w:type="swCell"/>
  </w:style>
  <w:style w:type="table" w:customStyle="1" w:styleId="69">
    <w:name w:val="Grid Table 4 - Accent 6"/>
    <w:basedOn w:val="26"/>
    <w:qFormat/>
    <w:uiPriority w:val="5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FFFFFF"/>
        <w:sz w:val="22"/>
      </w:rPr>
      <w:tcPr>
        <w:tcBorders>
          <w:top w:val="single" w:color="70AD47" w:themeColor="accent6" w:sz="4" w:space="0"/>
          <w:left w:val="single" w:color="70AD47" w:themeColor="accent6" w:sz="4" w:space="0"/>
          <w:bottom w:val="single" w:color="70AD47" w:themeColor="accent6" w:sz="4" w:space="0"/>
          <w:right w:val="single" w:color="70AD47" w:themeColor="accent6" w:sz="4" w:space="0"/>
        </w:tcBorders>
        <w:shd w:val="clear" w:color="70AD47" w:fill="70AD47"/>
      </w:tcPr>
    </w:tblStylePr>
    <w:tblStylePr w:type="lastRow">
      <w:rPr>
        <w:b/>
        <w:color w:val="404040"/>
      </w:rPr>
      <w:tcPr>
        <w:tcBorders>
          <w:top w:val="single" w:color="70AD47"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1EFD8" w:fill="E1EFD8"/>
      </w:tcPr>
    </w:tblStylePr>
    <w:tblStylePr w:type="band2Vert"/>
    <w:tblStylePr w:type="band1Horz">
      <w:rPr>
        <w:rFonts w:ascii="Arial" w:hAnsi="Arial"/>
        <w:color w:val="404040"/>
        <w:sz w:val="22"/>
      </w:rPr>
      <w:tcPr>
        <w:shd w:val="clear" w:color="E1EFD8" w:fill="E1EFD8"/>
      </w:tcPr>
    </w:tblStylePr>
    <w:tblStylePr w:type="band2Horz"/>
    <w:tblStylePr w:type="neCell"/>
    <w:tblStylePr w:type="nwCell"/>
    <w:tblStylePr w:type="seCell"/>
    <w:tblStylePr w:type="swCell"/>
  </w:style>
  <w:style w:type="table" w:customStyle="1" w:styleId="70">
    <w:name w:val="Grid Table 5 Dark"/>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fill="000000"/>
      </w:tcPr>
    </w:tblStylePr>
    <w:tblStylePr w:type="lastRow">
      <w:rPr>
        <w:rFonts w:ascii="Arial" w:hAnsi="Arial"/>
        <w:b/>
        <w:color w:val="FFFFFF"/>
        <w:sz w:val="22"/>
      </w:rPr>
      <w:tcPr>
        <w:tcBorders>
          <w:top w:val="single" w:color="FFFFFF" w:themeColor="light1" w:sz="4" w:space="0"/>
        </w:tcBorders>
        <w:shd w:val="clear" w:color="000000" w:fill="000000"/>
      </w:tcPr>
    </w:tblStylePr>
    <w:tblStylePr w:type="firstCol">
      <w:rPr>
        <w:rFonts w:ascii="Arial" w:hAnsi="Arial"/>
        <w:b/>
        <w:color w:val="FFFFFF"/>
        <w:sz w:val="22"/>
      </w:rPr>
      <w:tcPr>
        <w:shd w:val="clear" w:color="000000" w:fill="000000"/>
      </w:tcPr>
    </w:tblStylePr>
    <w:tblStylePr w:type="lastCol">
      <w:rPr>
        <w:rFonts w:ascii="Arial" w:hAnsi="Arial"/>
        <w:b/>
        <w:color w:val="FFFFFF"/>
        <w:sz w:val="22"/>
      </w:rPr>
      <w:tcPr>
        <w:shd w:val="clear" w:color="000000" w:fill="000000"/>
      </w:tcPr>
    </w:tblStylePr>
    <w:tblStylePr w:type="band1Vert">
      <w:tcPr>
        <w:shd w:val="clear" w:color="898989" w:fill="898989"/>
      </w:tcPr>
    </w:tblStylePr>
    <w:tblStylePr w:type="band2Vert"/>
    <w:tblStylePr w:type="band1Horz">
      <w:tcPr>
        <w:shd w:val="clear" w:color="898989" w:fill="898989"/>
      </w:tcPr>
    </w:tblStylePr>
    <w:tblStylePr w:type="band2Horz"/>
    <w:tblStylePr w:type="neCell"/>
    <w:tblStylePr w:type="nwCell"/>
    <w:tblStylePr w:type="seCell"/>
    <w:tblStylePr w:type="swCell"/>
  </w:style>
  <w:style w:type="table" w:customStyle="1" w:styleId="71">
    <w:name w:val="Grid Table 5 Dark- Accent 1"/>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5B9BD5" w:fill="5B9BD5"/>
      </w:tcPr>
    </w:tblStylePr>
    <w:tblStylePr w:type="lastRow">
      <w:rPr>
        <w:rFonts w:ascii="Arial" w:hAnsi="Arial"/>
        <w:b/>
        <w:color w:val="FFFFFF"/>
        <w:sz w:val="22"/>
      </w:rPr>
      <w:tcPr>
        <w:tcBorders>
          <w:top w:val="single" w:color="FFFFFF" w:themeColor="light1" w:sz="4" w:space="0"/>
        </w:tcBorders>
        <w:shd w:val="clear" w:color="5B9BD5" w:fill="5B9BD5"/>
      </w:tcPr>
    </w:tblStylePr>
    <w:tblStylePr w:type="firstCol">
      <w:rPr>
        <w:rFonts w:ascii="Arial" w:hAnsi="Arial"/>
        <w:b/>
        <w:color w:val="FFFFFF"/>
        <w:sz w:val="22"/>
      </w:rPr>
      <w:tcPr>
        <w:shd w:val="clear" w:color="5B9BD5" w:fill="5B9BD5"/>
      </w:tcPr>
    </w:tblStylePr>
    <w:tblStylePr w:type="lastCol">
      <w:rPr>
        <w:rFonts w:ascii="Arial" w:hAnsi="Arial"/>
        <w:b/>
        <w:color w:val="FFFFFF"/>
        <w:sz w:val="22"/>
      </w:rPr>
      <w:tcPr>
        <w:shd w:val="clear" w:color="5B9BD5" w:fill="5B9BD5"/>
      </w:tcPr>
    </w:tblStylePr>
    <w:tblStylePr w:type="band1Vert">
      <w:tcPr>
        <w:shd w:val="clear" w:color="B3D1EB" w:fill="B3D1EB"/>
      </w:tcPr>
    </w:tblStylePr>
    <w:tblStylePr w:type="band2Vert"/>
    <w:tblStylePr w:type="band1Horz">
      <w:tcPr>
        <w:shd w:val="clear" w:color="B3D1EB" w:fill="B3D1EB"/>
      </w:tcPr>
    </w:tblStylePr>
    <w:tblStylePr w:type="band2Horz"/>
    <w:tblStylePr w:type="neCell"/>
    <w:tblStylePr w:type="nwCell"/>
    <w:tblStylePr w:type="seCell"/>
    <w:tblStylePr w:type="swCell"/>
  </w:style>
  <w:style w:type="table" w:customStyle="1" w:styleId="72">
    <w:name w:val="Grid Table 5 Dark - Accent 2"/>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ED7D31" w:fill="ED7D31"/>
      </w:tcPr>
    </w:tblStylePr>
    <w:tblStylePr w:type="lastRow">
      <w:rPr>
        <w:rFonts w:ascii="Arial" w:hAnsi="Arial"/>
        <w:b/>
        <w:color w:val="FFFFFF"/>
        <w:sz w:val="22"/>
      </w:rPr>
      <w:tcPr>
        <w:tcBorders>
          <w:top w:val="single" w:color="FFFFFF" w:themeColor="light1" w:sz="4" w:space="0"/>
        </w:tcBorders>
        <w:shd w:val="clear" w:color="ED7D31" w:fill="ED7D31"/>
      </w:tcPr>
    </w:tblStylePr>
    <w:tblStylePr w:type="firstCol">
      <w:rPr>
        <w:rFonts w:ascii="Arial" w:hAnsi="Arial"/>
        <w:b/>
        <w:color w:val="FFFFFF"/>
        <w:sz w:val="22"/>
      </w:rPr>
      <w:tcPr>
        <w:shd w:val="clear" w:color="ED7D31" w:fill="ED7D31"/>
      </w:tcPr>
    </w:tblStylePr>
    <w:tblStylePr w:type="lastCol">
      <w:rPr>
        <w:rFonts w:ascii="Arial" w:hAnsi="Arial"/>
        <w:b/>
        <w:color w:val="FFFFFF"/>
        <w:sz w:val="22"/>
      </w:rPr>
      <w:tcPr>
        <w:shd w:val="clear" w:color="ED7D31" w:fill="ED7D31"/>
      </w:tcPr>
    </w:tblStylePr>
    <w:tblStylePr w:type="band1Vert">
      <w:tcPr>
        <w:shd w:val="clear" w:color="F6C3A0" w:fill="F6C3A0"/>
      </w:tcPr>
    </w:tblStylePr>
    <w:tblStylePr w:type="band2Vert"/>
    <w:tblStylePr w:type="band1Horz">
      <w:tcPr>
        <w:shd w:val="clear" w:color="F6C3A0" w:fill="F6C3A0"/>
      </w:tcPr>
    </w:tblStylePr>
    <w:tblStylePr w:type="band2Horz"/>
    <w:tblStylePr w:type="neCell"/>
    <w:tblStylePr w:type="nwCell"/>
    <w:tblStylePr w:type="seCell"/>
    <w:tblStylePr w:type="swCell"/>
  </w:style>
  <w:style w:type="table" w:customStyle="1" w:styleId="73">
    <w:name w:val="Grid Table 5 Dark - Accent 3"/>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A5A5A5" w:fill="A5A5A5"/>
      </w:tcPr>
    </w:tblStylePr>
    <w:tblStylePr w:type="lastRow">
      <w:rPr>
        <w:rFonts w:ascii="Arial" w:hAnsi="Arial"/>
        <w:b/>
        <w:color w:val="FFFFFF"/>
        <w:sz w:val="22"/>
      </w:rPr>
      <w:tcPr>
        <w:tcBorders>
          <w:top w:val="single" w:color="FFFFFF" w:themeColor="light1" w:sz="4" w:space="0"/>
        </w:tcBorders>
        <w:shd w:val="clear" w:color="A5A5A5" w:fill="A5A5A5"/>
      </w:tcPr>
    </w:tblStylePr>
    <w:tblStylePr w:type="firstCol">
      <w:rPr>
        <w:rFonts w:ascii="Arial" w:hAnsi="Arial"/>
        <w:b/>
        <w:color w:val="FFFFFF"/>
        <w:sz w:val="22"/>
      </w:rPr>
      <w:tcPr>
        <w:shd w:val="clear" w:color="A5A5A5" w:fill="A5A5A5"/>
      </w:tcPr>
    </w:tblStylePr>
    <w:tblStylePr w:type="lastCol">
      <w:rPr>
        <w:rFonts w:ascii="Arial" w:hAnsi="Arial"/>
        <w:b/>
        <w:color w:val="FFFFFF"/>
        <w:sz w:val="22"/>
      </w:rPr>
      <w:tcPr>
        <w:shd w:val="clear" w:color="A5A5A5" w:fill="A5A5A5"/>
      </w:tcPr>
    </w:tblStylePr>
    <w:tblStylePr w:type="band1Vert">
      <w:tcPr>
        <w:shd w:val="clear" w:color="D5D5D5" w:fill="D5D5D5"/>
      </w:tcPr>
    </w:tblStylePr>
    <w:tblStylePr w:type="band2Vert"/>
    <w:tblStylePr w:type="band1Horz">
      <w:tcPr>
        <w:shd w:val="clear" w:color="D5D5D5" w:fill="D5D5D5"/>
      </w:tcPr>
    </w:tblStylePr>
    <w:tblStylePr w:type="band2Horz"/>
    <w:tblStylePr w:type="neCell"/>
    <w:tblStylePr w:type="nwCell"/>
    <w:tblStylePr w:type="seCell"/>
    <w:tblStylePr w:type="swCell"/>
  </w:style>
  <w:style w:type="table" w:customStyle="1" w:styleId="74">
    <w:name w:val="Grid Table 5 Dark- Accent 4"/>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FC000" w:fill="FFC000"/>
      </w:tcPr>
    </w:tblStylePr>
    <w:tblStylePr w:type="lastRow">
      <w:rPr>
        <w:rFonts w:ascii="Arial" w:hAnsi="Arial"/>
        <w:b/>
        <w:color w:val="FFFFFF"/>
        <w:sz w:val="22"/>
      </w:rPr>
      <w:tcPr>
        <w:tcBorders>
          <w:top w:val="single" w:color="FFFFFF" w:themeColor="light1" w:sz="4" w:space="0"/>
        </w:tcBorders>
        <w:shd w:val="clear" w:color="FFC000" w:fill="FFC000"/>
      </w:tcPr>
    </w:tblStylePr>
    <w:tblStylePr w:type="firstCol">
      <w:rPr>
        <w:rFonts w:ascii="Arial" w:hAnsi="Arial"/>
        <w:b/>
        <w:color w:val="FFFFFF"/>
        <w:sz w:val="22"/>
      </w:rPr>
      <w:tcPr>
        <w:shd w:val="clear" w:color="FFC000" w:fill="FFC000"/>
      </w:tcPr>
    </w:tblStylePr>
    <w:tblStylePr w:type="lastCol">
      <w:rPr>
        <w:rFonts w:ascii="Arial" w:hAnsi="Arial"/>
        <w:b/>
        <w:color w:val="FFFFFF"/>
        <w:sz w:val="22"/>
      </w:rPr>
      <w:tcPr>
        <w:shd w:val="clear" w:color="FFC000" w:fill="FFC000"/>
      </w:tcPr>
    </w:tblStylePr>
    <w:tblStylePr w:type="band1Vert">
      <w:tcPr>
        <w:shd w:val="clear" w:color="FEE289" w:fill="FEE289"/>
      </w:tcPr>
    </w:tblStylePr>
    <w:tblStylePr w:type="band2Vert"/>
    <w:tblStylePr w:type="band1Horz">
      <w:tcPr>
        <w:shd w:val="clear" w:color="FEE289" w:fill="FEE289"/>
      </w:tcPr>
    </w:tblStylePr>
    <w:tblStylePr w:type="band2Horz"/>
    <w:tblStylePr w:type="neCell"/>
    <w:tblStylePr w:type="nwCell"/>
    <w:tblStylePr w:type="seCell"/>
    <w:tblStylePr w:type="swCell"/>
  </w:style>
  <w:style w:type="table" w:customStyle="1" w:styleId="75">
    <w:name w:val="Grid Table 5 Dark - Accent 5"/>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472C4" w:fill="4472C4"/>
      </w:tcPr>
    </w:tblStylePr>
    <w:tblStylePr w:type="lastRow">
      <w:rPr>
        <w:rFonts w:ascii="Arial" w:hAnsi="Arial"/>
        <w:b/>
        <w:color w:val="FFFFFF"/>
        <w:sz w:val="22"/>
      </w:rPr>
      <w:tcPr>
        <w:tcBorders>
          <w:top w:val="single" w:color="FFFFFF" w:themeColor="light1" w:sz="4" w:space="0"/>
        </w:tcBorders>
        <w:shd w:val="clear" w:color="4472C4" w:fill="4472C4"/>
      </w:tcPr>
    </w:tblStylePr>
    <w:tblStylePr w:type="firstCol">
      <w:rPr>
        <w:rFonts w:ascii="Arial" w:hAnsi="Arial"/>
        <w:b/>
        <w:color w:val="FFFFFF"/>
        <w:sz w:val="22"/>
      </w:rPr>
      <w:tcPr>
        <w:shd w:val="clear" w:color="4472C4" w:fill="4472C4"/>
      </w:tcPr>
    </w:tblStylePr>
    <w:tblStylePr w:type="lastCol">
      <w:rPr>
        <w:rFonts w:ascii="Arial" w:hAnsi="Arial"/>
        <w:b/>
        <w:color w:val="FFFFFF"/>
        <w:sz w:val="22"/>
      </w:rPr>
      <w:tcPr>
        <w:shd w:val="clear" w:color="4472C4" w:fill="4472C4"/>
      </w:tcPr>
    </w:tblStylePr>
    <w:tblStylePr w:type="band1Vert">
      <w:tcPr>
        <w:shd w:val="clear" w:color="A9BEE3" w:fill="A9BEE3"/>
      </w:tcPr>
    </w:tblStylePr>
    <w:tblStylePr w:type="band2Vert"/>
    <w:tblStylePr w:type="band1Horz">
      <w:tcPr>
        <w:shd w:val="clear" w:color="A9BEE3" w:fill="A9BEE3"/>
      </w:tcPr>
    </w:tblStylePr>
    <w:tblStylePr w:type="band2Horz"/>
    <w:tblStylePr w:type="neCell"/>
    <w:tblStylePr w:type="nwCell"/>
    <w:tblStylePr w:type="seCell"/>
    <w:tblStylePr w:type="swCell"/>
  </w:style>
  <w:style w:type="table" w:customStyle="1" w:styleId="76">
    <w:name w:val="Grid Table 5 Dark - Accent 6"/>
    <w:basedOn w:val="26"/>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70AD47" w:fill="70AD47"/>
      </w:tcPr>
    </w:tblStylePr>
    <w:tblStylePr w:type="lastRow">
      <w:rPr>
        <w:rFonts w:ascii="Arial" w:hAnsi="Arial"/>
        <w:b/>
        <w:color w:val="FFFFFF"/>
        <w:sz w:val="22"/>
      </w:rPr>
      <w:tcPr>
        <w:tcBorders>
          <w:top w:val="single" w:color="FFFFFF" w:themeColor="light1" w:sz="4" w:space="0"/>
        </w:tcBorders>
        <w:shd w:val="clear" w:color="70AD47" w:fill="70AD47"/>
      </w:tcPr>
    </w:tblStylePr>
    <w:tblStylePr w:type="firstCol">
      <w:rPr>
        <w:rFonts w:ascii="Arial" w:hAnsi="Arial"/>
        <w:b/>
        <w:color w:val="FFFFFF"/>
        <w:sz w:val="22"/>
      </w:rPr>
      <w:tcPr>
        <w:shd w:val="clear" w:color="70AD47" w:fill="70AD47"/>
      </w:tcPr>
    </w:tblStylePr>
    <w:tblStylePr w:type="lastCol">
      <w:rPr>
        <w:rFonts w:ascii="Arial" w:hAnsi="Arial"/>
        <w:b/>
        <w:color w:val="FFFFFF"/>
        <w:sz w:val="22"/>
      </w:rPr>
      <w:tcPr>
        <w:shd w:val="clear" w:color="70AD47" w:fill="70AD47"/>
      </w:tcPr>
    </w:tblStylePr>
    <w:tblStylePr w:type="band1Vert">
      <w:tcPr>
        <w:shd w:val="clear" w:color="BCDBA8" w:fill="BCDBA8"/>
      </w:tcPr>
    </w:tblStylePr>
    <w:tblStylePr w:type="band2Vert"/>
    <w:tblStylePr w:type="band1Horz">
      <w:tcPr>
        <w:shd w:val="clear" w:color="BCDBA8" w:fill="BCDBA8"/>
      </w:tcPr>
    </w:tblStylePr>
    <w:tblStylePr w:type="band2Horz"/>
    <w:tblStylePr w:type="neCell"/>
    <w:tblStylePr w:type="nwCell"/>
    <w:tblStylePr w:type="seCell"/>
    <w:tblStylePr w:type="swCell"/>
  </w:style>
  <w:style w:type="table" w:customStyle="1" w:styleId="77">
    <w:name w:val="Grid Table 6 Colorful"/>
    <w:basedOn w:val="26"/>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fill="CACACA"/>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fill="CACACA"/>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78">
    <w:name w:val="Grid Table 6 Colorful - Accent 1"/>
    <w:basedOn w:val="26"/>
    <w:qFormat/>
    <w:uiPriority w:val="99"/>
    <w:pPr>
      <w:spacing w:after="0" w:line="240" w:lineRule="auto"/>
    </w:pPr>
    <w:tblPr>
      <w:tblBorders>
        <w:top w:val="single" w:color="ACCCE9" w:themeColor="accent1" w:themeTint="80" w:sz="4" w:space="0"/>
        <w:left w:val="single" w:color="ACCCE9" w:themeColor="accent1" w:themeTint="80" w:sz="4" w:space="0"/>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b/>
        <w:color w:val="ADCDEA" w:themeColor="accent1" w:themeTint="80"/>
        <w14:textFill>
          <w14:solidFill>
            <w14:schemeClr w14:val="accent1">
              <w14:lumMod w14:val="50000"/>
              <w14:lumOff w14:val="50000"/>
            </w14:schemeClr>
          </w14:solidFill>
        </w14:textFill>
      </w:rPr>
      <w:tcPr>
        <w:tcBorders>
          <w:bottom w:val="single" w:color="ACCCE9" w:themeColor="accent1" w:themeTint="80" w:sz="12" w:space="0"/>
        </w:tcBorders>
      </w:tcPr>
    </w:tblStylePr>
    <w:tblStylePr w:type="lastRow">
      <w:rPr>
        <w:b/>
        <w:color w:val="ADCDEA" w:themeColor="accent1" w:themeTint="80"/>
        <w14:textFill>
          <w14:solidFill>
            <w14:schemeClr w14:val="accent1">
              <w14:lumMod w14:val="50000"/>
              <w14:lumOff w14:val="50000"/>
            </w14:schemeClr>
          </w14:solidFill>
        </w14:textFill>
      </w:rPr>
    </w:tblStylePr>
    <w:tblStylePr w:type="firstCol">
      <w:rPr>
        <w:b/>
        <w:color w:val="ADCDEA" w:themeColor="accent1" w:themeTint="80"/>
        <w14:textFill>
          <w14:solidFill>
            <w14:schemeClr w14:val="accent1">
              <w14:lumMod w14:val="50000"/>
              <w14:lumOff w14:val="50000"/>
            </w14:schemeClr>
          </w14:solidFill>
        </w14:textFill>
      </w:rPr>
    </w:tblStylePr>
    <w:tblStylePr w:type="lastCol">
      <w:rPr>
        <w:b/>
        <w:color w:val="ADCDEA" w:themeColor="accent1" w:themeTint="80"/>
        <w14:textFill>
          <w14:solidFill>
            <w14:schemeClr w14:val="accent1">
              <w14:lumMod w14:val="50000"/>
              <w14:lumOff w14:val="50000"/>
            </w14:schemeClr>
          </w14:solidFill>
        </w14:textFill>
      </w:rPr>
    </w:tblStylePr>
    <w:tblStylePr w:type="band1Vert">
      <w:tcPr>
        <w:shd w:val="clear" w:color="DDEAF6" w:fill="DDEAF6"/>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fill="DDEAF6"/>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79">
    <w:name w:val="Grid Table 6 Colorful - Accent 2"/>
    <w:basedOn w:val="26"/>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12" w:space="0"/>
        </w:tcBorders>
      </w:tcPr>
    </w:tblStylePr>
    <w:tblStylePr w:type="lastRow">
      <w:rPr>
        <w:b/>
        <w:color w:val="F4B285" w:themeColor="accent2" w:themeTint="96"/>
        <w14:textFill>
          <w14:solidFill>
            <w14:schemeClr w14:val="accent2">
              <w14:lumMod w14:val="59000"/>
              <w14:lumOff w14:val="41000"/>
            </w14:schemeClr>
          </w14:solidFill>
        </w14:textFill>
      </w:r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BE5D6" w:fill="FBE5D6"/>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fill="FBE5D6"/>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0">
    <w:name w:val="Grid Table 6 Colorful - Accent 3"/>
    <w:basedOn w:val="26"/>
    <w:qFormat/>
    <w:uiPriority w:val="99"/>
    <w:pPr>
      <w:spacing w:after="0" w:line="240" w:lineRule="auto"/>
    </w:pPr>
    <w:tblPr>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b/>
        <w:color w:val="A5A5A5" w:themeColor="accent3" w:themeTint="FF"/>
        <w14:textFill>
          <w14:solidFill>
            <w14:schemeClr w14:val="accent3">
              <w14:lumMod w14:val="100000"/>
              <w14:lumOff w14:val="0"/>
            </w14:schemeClr>
          </w14:solidFill>
        </w14:textFill>
      </w:rPr>
      <w:tcPr>
        <w:tcBorders>
          <w:bottom w:val="single" w:color="A5A5A5" w:themeColor="accent3" w:themeTint="FE" w:sz="12" w:space="0"/>
        </w:tcBorders>
      </w:tcPr>
    </w:tblStylePr>
    <w:tblStylePr w:type="lastRow">
      <w:rPr>
        <w:b/>
        <w:color w:val="A5A5A5" w:themeColor="accent3" w:themeTint="FF"/>
        <w14:textFill>
          <w14:solidFill>
            <w14:schemeClr w14:val="accent3">
              <w14:lumMod w14:val="100000"/>
              <w14:lumOff w14:val="0"/>
            </w14:schemeClr>
          </w14:solidFill>
        </w14:textFill>
      </w:rPr>
    </w:tblStylePr>
    <w:tblStylePr w:type="firstCol">
      <w:rPr>
        <w:b/>
        <w:color w:val="A5A5A5" w:themeColor="accent3" w:themeTint="FF"/>
        <w14:textFill>
          <w14:solidFill>
            <w14:schemeClr w14:val="accent3">
              <w14:lumMod w14:val="100000"/>
              <w14:lumOff w14:val="0"/>
            </w14:schemeClr>
          </w14:solidFill>
        </w14:textFill>
      </w:rPr>
    </w:tblStylePr>
    <w:tblStylePr w:type="lastCol">
      <w:rPr>
        <w:b/>
        <w:color w:val="A5A5A5" w:themeColor="accent3" w:themeTint="FF"/>
        <w14:textFill>
          <w14:solidFill>
            <w14:schemeClr w14:val="accent3">
              <w14:lumMod w14:val="100000"/>
              <w14:lumOff w14:val="0"/>
            </w14:schemeClr>
          </w14:solidFill>
        </w14:textFill>
      </w:rPr>
    </w:tblStylePr>
    <w:tblStylePr w:type="band1Vert">
      <w:tcPr>
        <w:shd w:val="clear" w:color="ECECEC" w:fill="ECECEC"/>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fill="ECECEC"/>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1">
    <w:name w:val="Grid Table 6 Colorful - Accent 4"/>
    <w:basedOn w:val="26"/>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12" w:space="0"/>
        </w:tcBorders>
      </w:tcPr>
    </w:tblStylePr>
    <w:tblStylePr w:type="lastRow">
      <w:rPr>
        <w:b/>
        <w:color w:val="FFD966" w:themeColor="accent4" w:themeTint="99"/>
        <w14:textFill>
          <w14:solidFill>
            <w14:schemeClr w14:val="accent4">
              <w14:lumMod w14:val="60000"/>
              <w14:lumOff w14:val="40000"/>
            </w14:schemeClr>
          </w14:solidFill>
        </w14:textFill>
      </w:r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EF2CA" w:fill="FEF2CA"/>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fill="FEF2CA"/>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2">
    <w:name w:val="Grid Table 6 Colorful - Accent 5"/>
    <w:basedOn w:val="26"/>
    <w:qFormat/>
    <w:uiPriority w:val="99"/>
    <w:pPr>
      <w:spacing w:after="0" w:line="240" w:lineRule="auto"/>
    </w:pPr>
    <w:tblPr>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firstRow">
      <w:rPr>
        <w:b/>
        <w:color w:val="254174" w:themeColor="accent5" w:themeShade="94"/>
      </w:rPr>
      <w:tcPr>
        <w:tcBorders>
          <w:bottom w:val="single" w:color="4472C4" w:themeColor="accent5"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D8E2F2" w:fill="D8E2F2"/>
      </w:tcPr>
    </w:tblStylePr>
    <w:tblStylePr w:type="band2Vert"/>
    <w:tblStylePr w:type="band1Horz">
      <w:rPr>
        <w:rFonts w:ascii="Arial" w:hAnsi="Arial"/>
        <w:color w:val="254174" w:themeColor="accent5" w:themeShade="94"/>
        <w:sz w:val="22"/>
      </w:rPr>
      <w:tcPr>
        <w:shd w:val="clear" w:color="D8E2F2" w:fill="D8E2F2"/>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3">
    <w:name w:val="Grid Table 6 Colorful - Accent 6"/>
    <w:basedOn w:val="26"/>
    <w:qFormat/>
    <w:uiPriority w:val="99"/>
    <w:pPr>
      <w:spacing w:after="0" w:line="240" w:lineRule="auto"/>
    </w:pPr>
    <w:tblPr>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firstRow">
      <w:rPr>
        <w:b/>
        <w:color w:val="254174" w:themeColor="accent5" w:themeShade="94"/>
      </w:rPr>
      <w:tcPr>
        <w:tcBorders>
          <w:bottom w:val="single" w:color="70AD47" w:themeColor="accent6" w:sz="12" w:space="0"/>
        </w:tcBorders>
      </w:tcPr>
    </w:tblStylePr>
    <w:tblStylePr w:type="lastRow">
      <w:rPr>
        <w:b/>
        <w:color w:val="254174" w:themeColor="accent5" w:themeShade="94"/>
      </w:rPr>
    </w:tblStylePr>
    <w:tblStylePr w:type="firstCol">
      <w:rPr>
        <w:b/>
        <w:color w:val="254174" w:themeColor="accent5" w:themeShade="94"/>
      </w:rPr>
    </w:tblStylePr>
    <w:tblStylePr w:type="lastCol">
      <w:rPr>
        <w:b/>
        <w:color w:val="254174" w:themeColor="accent5" w:themeShade="94"/>
      </w:rPr>
    </w:tblStylePr>
    <w:tblStylePr w:type="band1Vert">
      <w:tcPr>
        <w:shd w:val="clear" w:color="E1EFD8" w:fill="E1EFD8"/>
      </w:tcPr>
    </w:tblStylePr>
    <w:tblStylePr w:type="band2Vert"/>
    <w:tblStylePr w:type="band1Horz">
      <w:rPr>
        <w:rFonts w:ascii="Arial" w:hAnsi="Arial"/>
        <w:color w:val="254174" w:themeColor="accent5" w:themeShade="94"/>
        <w:sz w:val="22"/>
      </w:rPr>
      <w:tcPr>
        <w:shd w:val="clear" w:color="E1EFD8" w:fill="E1EFD8"/>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84">
    <w:name w:val="Grid Table 7 Colorful"/>
    <w:basedOn w:val="26"/>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fill="FFFFFF"/>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fill="FFFFFF"/>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fill="F1F1F1"/>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fill="F1F1F1"/>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85">
    <w:name w:val="Grid Table 7 Colorful - Accent 1"/>
    <w:basedOn w:val="26"/>
    <w:qFormat/>
    <w:uiPriority w:val="99"/>
    <w:pPr>
      <w:spacing w:after="0" w:line="240" w:lineRule="auto"/>
    </w:pPr>
    <w:tblPr>
      <w:tblBorders>
        <w:bottom w:val="single" w:color="ACCCE9" w:themeColor="accent1" w:themeTint="80" w:sz="4" w:space="0"/>
        <w:right w:val="single" w:color="ACCCE9" w:themeColor="accent1" w:themeTint="80" w:sz="4" w:space="0"/>
        <w:insideH w:val="single" w:color="ACCCE9" w:themeColor="accent1" w:themeTint="80" w:sz="4" w:space="0"/>
        <w:insideV w:val="single" w:color="ACCCE9" w:themeColor="accent1" w:themeTint="80" w:sz="4" w:space="0"/>
      </w:tblBorders>
    </w:tblPr>
    <w:tblStylePr w:type="firstRow">
      <w:rPr>
        <w:rFonts w:ascii="Arial" w:hAnsi="Arial"/>
        <w:b/>
        <w:color w:val="ADCDEA" w:themeColor="accent1" w:themeTint="80"/>
        <w:sz w:val="22"/>
        <w14:textFill>
          <w14:solidFill>
            <w14:schemeClr w14:val="accent1">
              <w14:lumMod w14:val="50000"/>
              <w14:lumOff w14:val="50000"/>
            </w14:schemeClr>
          </w14:solidFill>
        </w14:textFill>
      </w:rPr>
      <w:tcPr>
        <w:tcBorders>
          <w:top w:val="nil"/>
          <w:left w:val="nil"/>
          <w:bottom w:val="single" w:color="ACCCE9" w:themeColor="accent1" w:themeTint="80" w:sz="4" w:space="0"/>
          <w:right w:val="nil"/>
        </w:tcBorders>
        <w:shd w:val="clear" w:color="FFFFFF" w:fill="FFFFFF"/>
      </w:tcPr>
    </w:tblStylePr>
    <w:tblStylePr w:type="lastRow">
      <w:rPr>
        <w:rFonts w:ascii="Arial" w:hAnsi="Arial"/>
        <w:b/>
        <w:color w:val="ADCDEA" w:themeColor="accent1" w:themeTint="80"/>
        <w:sz w:val="22"/>
        <w14:textFill>
          <w14:solidFill>
            <w14:schemeClr w14:val="accent1">
              <w14:lumMod w14:val="50000"/>
              <w14:lumOff w14:val="50000"/>
            </w14:schemeClr>
          </w14:solidFill>
        </w14:textFill>
      </w:rPr>
      <w:tcPr>
        <w:tcBorders>
          <w:top w:val="single" w:color="ACCCE9" w:themeColor="accent1" w:themeTint="80" w:sz="4" w:space="0"/>
          <w:left w:val="nil"/>
          <w:bottom w:val="nil"/>
          <w:right w:val="nil"/>
        </w:tcBorders>
        <w:shd w:val="clear" w:color="FFFFFF" w:fill="FFFFFF"/>
      </w:tcPr>
    </w:tblStylePr>
    <w:tblStylePr w:type="firstCol">
      <w:pPr>
        <w:jc w:val="right"/>
      </w:pPr>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nil"/>
          <w:bottom w:val="nil"/>
          <w:right w:val="single" w:color="ACCCE9" w:themeColor="accent1" w:themeTint="80" w:sz="4" w:space="0"/>
        </w:tcBorders>
        <w:shd w:val="clear" w:color="FFFFFF" w:fill="auto"/>
      </w:tcPr>
    </w:tblStylePr>
    <w:tblStylePr w:type="lastCol">
      <w:rPr>
        <w:rFonts w:ascii="Arial" w:hAnsi="Arial"/>
        <w:i/>
        <w:color w:val="ADCDEA" w:themeColor="accent1" w:themeTint="80"/>
        <w:sz w:val="22"/>
        <w14:textFill>
          <w14:solidFill>
            <w14:schemeClr w14:val="accent1">
              <w14:lumMod w14:val="50000"/>
              <w14:lumOff w14:val="50000"/>
            </w14:schemeClr>
          </w14:solidFill>
        </w14:textFill>
      </w:rPr>
      <w:tcPr>
        <w:tcBorders>
          <w:top w:val="nil"/>
          <w:left w:val="single" w:color="ACCCE9" w:themeColor="accent1" w:themeTint="80" w:sz="4" w:space="0"/>
          <w:bottom w:val="nil"/>
          <w:right w:val="nil"/>
        </w:tcBorders>
        <w:shd w:val="clear" w:color="FFFFFF" w:fill="auto"/>
      </w:tcPr>
    </w:tblStylePr>
    <w:tblStylePr w:type="band1Vert">
      <w:tcPr>
        <w:shd w:val="clear" w:color="DDEAF6" w:fill="DDEAF6"/>
      </w:tcPr>
    </w:tblStylePr>
    <w:tblStylePr w:type="band2Vert"/>
    <w:tblStylePr w:type="band1Horz">
      <w:rPr>
        <w:rFonts w:ascii="Arial" w:hAnsi="Arial"/>
        <w:color w:val="ADCDEA" w:themeColor="accent1" w:themeTint="80"/>
        <w:sz w:val="22"/>
        <w14:textFill>
          <w14:solidFill>
            <w14:schemeClr w14:val="accent1">
              <w14:lumMod w14:val="50000"/>
              <w14:lumOff w14:val="50000"/>
            </w14:schemeClr>
          </w14:solidFill>
        </w14:textFill>
      </w:rPr>
      <w:tcPr>
        <w:shd w:val="clear" w:color="DDEAF6" w:fill="DDEAF6"/>
      </w:tcPr>
    </w:tblStylePr>
    <w:tblStylePr w:type="band2Horz">
      <w:rPr>
        <w:rFonts w:ascii="Arial" w:hAnsi="Arial"/>
        <w:color w:val="ADCDEA"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86">
    <w:name w:val="Grid Table 7 Colorful - Accent 2"/>
    <w:basedOn w:val="26"/>
    <w:qFormat/>
    <w:uiPriority w:val="99"/>
    <w:pPr>
      <w:spacing w:after="0" w:line="240" w:lineRule="auto"/>
    </w:pPr>
    <w:tblPr>
      <w:tblBorders>
        <w:bottom w:val="single" w:color="F4B285" w:themeColor="accent2" w:themeTint="97" w:sz="4" w:space="0"/>
        <w:right w:val="single" w:color="F4B285" w:themeColor="accent2" w:themeTint="97" w:sz="4" w:space="0"/>
        <w:insideH w:val="single" w:color="F4B285" w:themeColor="accent2" w:themeTint="97" w:sz="4" w:space="0"/>
        <w:insideV w:val="single" w:color="F4B285" w:themeColor="accent2" w:themeTint="97" w:sz="4" w:space="0"/>
      </w:tblBorders>
    </w:tblPr>
    <w:tblStylePr w:type="firstRow">
      <w:rPr>
        <w:rFonts w:ascii="Arial" w:hAnsi="Arial"/>
        <w:b/>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fill="FFFFFF"/>
      </w:tcPr>
    </w:tblStylePr>
    <w:tblStylePr w:type="lastRow">
      <w:rPr>
        <w:rFonts w:ascii="Arial" w:hAnsi="Arial"/>
        <w:b/>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fill="FFFFFF"/>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BE5D6" w:fill="FBE5D6"/>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BE5D6" w:fill="FBE5D6"/>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87">
    <w:name w:val="Grid Table 7 Colorful - Accent 3"/>
    <w:basedOn w:val="26"/>
    <w:qFormat/>
    <w:uiPriority w:val="99"/>
    <w:pPr>
      <w:spacing w:after="0" w:line="240" w:lineRule="auto"/>
    </w:pPr>
    <w:tblPr>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firstRow">
      <w:rPr>
        <w:rFonts w:ascii="Arial" w:hAnsi="Arial"/>
        <w:b/>
        <w:color w:val="A5A5A5" w:themeColor="accent3" w:themeTint="FF"/>
        <w:sz w:val="22"/>
        <w14:textFill>
          <w14:solidFill>
            <w14:schemeClr w14:val="accent3">
              <w14:lumMod w14:val="100000"/>
              <w14:lumOff w14:val="0"/>
            </w14:schemeClr>
          </w14:solidFill>
        </w14:textFill>
      </w:rPr>
      <w:tcPr>
        <w:tcBorders>
          <w:top w:val="nil"/>
          <w:left w:val="nil"/>
          <w:bottom w:val="single" w:color="A5A5A5" w:themeColor="accent3" w:themeTint="FE" w:sz="4" w:space="0"/>
          <w:right w:val="nil"/>
        </w:tcBorders>
        <w:shd w:val="clear" w:color="FFFFFF" w:fill="FFFFFF"/>
      </w:tcPr>
    </w:tblStylePr>
    <w:tblStylePr w:type="lastRow">
      <w:rPr>
        <w:rFonts w:ascii="Arial" w:hAnsi="Arial"/>
        <w:b/>
        <w:color w:val="A5A5A5" w:themeColor="accent3" w:themeTint="FF"/>
        <w:sz w:val="22"/>
        <w14:textFill>
          <w14:solidFill>
            <w14:schemeClr w14:val="accent3">
              <w14:lumMod w14:val="100000"/>
              <w14:lumOff w14:val="0"/>
            </w14:schemeClr>
          </w14:solidFill>
        </w14:textFill>
      </w:rPr>
      <w:tcPr>
        <w:tcBorders>
          <w:top w:val="single" w:color="A5A5A5" w:themeColor="accent3" w:themeTint="FE" w:sz="4" w:space="0"/>
          <w:left w:val="nil"/>
          <w:bottom w:val="nil"/>
          <w:right w:val="nil"/>
        </w:tcBorders>
        <w:shd w:val="clear" w:color="FFFFFF" w:fill="FFFFFF"/>
      </w:tcPr>
    </w:tblStylePr>
    <w:tblStylePr w:type="firstCol">
      <w:pPr>
        <w:jc w:val="right"/>
      </w:pPr>
      <w:rPr>
        <w:rFonts w:ascii="Arial" w:hAnsi="Arial"/>
        <w:i/>
        <w:color w:val="A5A5A5" w:themeColor="accent3" w:themeTint="FF"/>
        <w:sz w:val="22"/>
        <w14:textFill>
          <w14:solidFill>
            <w14:schemeClr w14:val="accent3">
              <w14:lumMod w14:val="100000"/>
              <w14:lumOff w14:val="0"/>
            </w14:schemeClr>
          </w14:solidFill>
        </w14:textFill>
      </w:rPr>
      <w:tcPr>
        <w:tcBorders>
          <w:top w:val="nil"/>
          <w:left w:val="nil"/>
          <w:bottom w:val="nil"/>
          <w:right w:val="single" w:color="A5A5A5" w:themeColor="accent3" w:themeTint="FE" w:sz="4" w:space="0"/>
        </w:tcBorders>
        <w:shd w:val="clear" w:color="FFFFFF" w:fill="auto"/>
      </w:tcPr>
    </w:tblStylePr>
    <w:tblStylePr w:type="lastCol">
      <w:rPr>
        <w:rFonts w:ascii="Arial" w:hAnsi="Arial"/>
        <w:i/>
        <w:color w:val="A5A5A5" w:themeColor="accent3" w:themeTint="FF"/>
        <w:sz w:val="22"/>
        <w14:textFill>
          <w14:solidFill>
            <w14:schemeClr w14:val="accent3">
              <w14:lumMod w14:val="100000"/>
              <w14:lumOff w14:val="0"/>
            </w14:schemeClr>
          </w14:solidFill>
        </w14:textFill>
      </w:rPr>
      <w:tcPr>
        <w:tcBorders>
          <w:top w:val="nil"/>
          <w:left w:val="single" w:color="A5A5A5" w:themeColor="accent3" w:themeTint="FE" w:sz="4" w:space="0"/>
          <w:bottom w:val="nil"/>
          <w:right w:val="nil"/>
        </w:tcBorders>
        <w:shd w:val="clear" w:color="FFFFFF" w:fill="auto"/>
      </w:tcPr>
    </w:tblStylePr>
    <w:tblStylePr w:type="band1Vert">
      <w:tcPr>
        <w:shd w:val="clear" w:color="ECECEC" w:fill="ECECEC"/>
      </w:tcPr>
    </w:tblStylePr>
    <w:tblStylePr w:type="band2Vert"/>
    <w:tblStylePr w:type="band1Horz">
      <w:rPr>
        <w:rFonts w:ascii="Arial" w:hAnsi="Arial"/>
        <w:color w:val="A5A5A5" w:themeColor="accent3" w:themeTint="FF"/>
        <w:sz w:val="22"/>
        <w14:textFill>
          <w14:solidFill>
            <w14:schemeClr w14:val="accent3">
              <w14:lumMod w14:val="100000"/>
              <w14:lumOff w14:val="0"/>
            </w14:schemeClr>
          </w14:solidFill>
        </w14:textFill>
      </w:rPr>
      <w:tcPr>
        <w:shd w:val="clear" w:color="ECECEC" w:fill="ECECEC"/>
      </w:tcPr>
    </w:tblStylePr>
    <w:tblStylePr w:type="band2Horz">
      <w:rPr>
        <w:rFonts w:ascii="Arial" w:hAnsi="Arial"/>
        <w:color w:val="A5A5A5"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88">
    <w:name w:val="Grid Table 7 Colorful - Accent 4"/>
    <w:basedOn w:val="26"/>
    <w:qFormat/>
    <w:uiPriority w:val="99"/>
    <w:pPr>
      <w:spacing w:after="0" w:line="240" w:lineRule="auto"/>
    </w:pPr>
    <w:tblPr>
      <w:tblBorders>
        <w:bottom w:val="single" w:color="FFD864" w:themeColor="accent4" w:themeTint="9A" w:sz="4" w:space="0"/>
        <w:right w:val="single" w:color="FFD864" w:themeColor="accent4" w:themeTint="9A" w:sz="4" w:space="0"/>
        <w:insideH w:val="single" w:color="FFD864" w:themeColor="accent4" w:themeTint="9A" w:sz="4" w:space="0"/>
        <w:insideV w:val="single" w:color="FFD864" w:themeColor="accent4" w:themeTint="9A" w:sz="4" w:space="0"/>
      </w:tblBorders>
    </w:tblPr>
    <w:tblStylePr w:type="firstRow">
      <w:rPr>
        <w:rFonts w:ascii="Arial" w:hAnsi="Arial"/>
        <w:b/>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fill="FFFFFF"/>
      </w:tcPr>
    </w:tblStylePr>
    <w:tblStylePr w:type="lastRow">
      <w:rPr>
        <w:rFonts w:ascii="Arial" w:hAnsi="Arial"/>
        <w:b/>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fill="FFFFFF"/>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EF2CA" w:fill="FEF2CA"/>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EF2CA" w:fill="FEF2CA"/>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89">
    <w:name w:val="Grid Table 7 Colorful - Accent 5"/>
    <w:basedOn w:val="26"/>
    <w:qFormat/>
    <w:uiPriority w:val="99"/>
    <w:pPr>
      <w:spacing w:after="0" w:line="240" w:lineRule="auto"/>
    </w:pPr>
    <w:tblPr>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firstRow">
      <w:rPr>
        <w:rFonts w:ascii="Arial" w:hAnsi="Arial"/>
        <w:b/>
        <w:color w:val="254174" w:themeColor="accent5" w:themeShade="94"/>
        <w:sz w:val="22"/>
      </w:rPr>
      <w:tcPr>
        <w:tcBorders>
          <w:top w:val="nil"/>
          <w:left w:val="nil"/>
          <w:bottom w:val="single" w:color="95AFDD" w:themeColor="accent5" w:themeTint="90" w:sz="4" w:space="0"/>
          <w:right w:val="nil"/>
        </w:tcBorders>
        <w:shd w:val="clear" w:color="FFFFFF" w:fill="FFFFFF"/>
      </w:tcPr>
    </w:tblStylePr>
    <w:tblStylePr w:type="lastRow">
      <w:rPr>
        <w:rFonts w:ascii="Arial" w:hAnsi="Arial"/>
        <w:b/>
        <w:color w:val="254174" w:themeColor="accent5" w:themeShade="94"/>
        <w:sz w:val="22"/>
      </w:rPr>
      <w:tcPr>
        <w:tcBorders>
          <w:top w:val="single" w:color="95AFDD" w:themeColor="accent5" w:themeTint="90" w:sz="4" w:space="0"/>
          <w:left w:val="nil"/>
          <w:bottom w:val="nil"/>
          <w:right w:val="nil"/>
        </w:tcBorders>
        <w:shd w:val="clear" w:color="FFFFFF" w:fill="FFFFFF"/>
      </w:tcPr>
    </w:tblStylePr>
    <w:tblStylePr w:type="firstCol">
      <w:pPr>
        <w:jc w:val="right"/>
      </w:pPr>
      <w:rPr>
        <w:rFonts w:ascii="Arial" w:hAnsi="Arial"/>
        <w:i/>
        <w:color w:val="254174" w:themeColor="accent5" w:themeShade="94"/>
        <w:sz w:val="22"/>
      </w:rPr>
      <w:tcPr>
        <w:tcBorders>
          <w:top w:val="nil"/>
          <w:left w:val="nil"/>
          <w:bottom w:val="nil"/>
          <w:right w:val="single" w:color="95AFDD" w:themeColor="accent5" w:themeTint="90" w:sz="4" w:space="0"/>
        </w:tcBorders>
        <w:shd w:val="clear" w:color="FFFFFF" w:fill="auto"/>
      </w:tcPr>
    </w:tblStylePr>
    <w:tblStylePr w:type="lastCol">
      <w:rPr>
        <w:rFonts w:ascii="Arial" w:hAnsi="Arial"/>
        <w:i/>
        <w:color w:val="254174" w:themeColor="accent5" w:themeShade="94"/>
        <w:sz w:val="22"/>
      </w:rPr>
      <w:tcPr>
        <w:tcBorders>
          <w:top w:val="nil"/>
          <w:left w:val="single" w:color="95AFDD" w:themeColor="accent5" w:themeTint="90" w:sz="4" w:space="0"/>
          <w:bottom w:val="nil"/>
          <w:right w:val="nil"/>
        </w:tcBorders>
        <w:shd w:val="clear" w:color="FFFFFF" w:fill="auto"/>
      </w:tcPr>
    </w:tblStylePr>
    <w:tblStylePr w:type="band1Vert">
      <w:tcPr>
        <w:shd w:val="clear" w:color="D8E2F2" w:fill="D8E2F2"/>
      </w:tcPr>
    </w:tblStylePr>
    <w:tblStylePr w:type="band2Vert"/>
    <w:tblStylePr w:type="band1Horz">
      <w:rPr>
        <w:rFonts w:ascii="Arial" w:hAnsi="Arial"/>
        <w:color w:val="254174" w:themeColor="accent5" w:themeShade="94"/>
        <w:sz w:val="22"/>
      </w:rPr>
      <w:tcPr>
        <w:shd w:val="clear" w:color="D8E2F2" w:fill="D8E2F2"/>
      </w:tcPr>
    </w:tblStylePr>
    <w:tblStylePr w:type="band2Horz">
      <w:rPr>
        <w:rFonts w:ascii="Arial" w:hAnsi="Arial"/>
        <w:color w:val="254174" w:themeColor="accent5" w:themeShade="94"/>
        <w:sz w:val="22"/>
      </w:rPr>
    </w:tblStylePr>
    <w:tblStylePr w:type="neCell"/>
    <w:tblStylePr w:type="nwCell"/>
    <w:tblStylePr w:type="seCell"/>
    <w:tblStylePr w:type="swCell"/>
  </w:style>
  <w:style w:type="table" w:customStyle="1" w:styleId="90">
    <w:name w:val="Grid Table 7 Colorful - Accent 6"/>
    <w:basedOn w:val="26"/>
    <w:qFormat/>
    <w:uiPriority w:val="99"/>
    <w:pPr>
      <w:spacing w:after="0" w:line="240" w:lineRule="auto"/>
    </w:pPr>
    <w:tblPr>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firstRow">
      <w:rPr>
        <w:rFonts w:ascii="Arial" w:hAnsi="Arial"/>
        <w:b/>
        <w:color w:val="416429" w:themeColor="accent6" w:themeShade="94"/>
        <w:sz w:val="22"/>
      </w:rPr>
      <w:tcPr>
        <w:tcBorders>
          <w:top w:val="nil"/>
          <w:left w:val="nil"/>
          <w:bottom w:val="single" w:color="ADD394" w:themeColor="accent6" w:themeTint="90" w:sz="4" w:space="0"/>
          <w:right w:val="nil"/>
        </w:tcBorders>
        <w:shd w:val="clear" w:color="FFFFFF" w:fill="FFFFFF"/>
      </w:tcPr>
    </w:tblStylePr>
    <w:tblStylePr w:type="lastRow">
      <w:rPr>
        <w:rFonts w:ascii="Arial" w:hAnsi="Arial"/>
        <w:b/>
        <w:color w:val="416429" w:themeColor="accent6" w:themeShade="94"/>
        <w:sz w:val="22"/>
      </w:rPr>
      <w:tcPr>
        <w:tcBorders>
          <w:top w:val="single" w:color="ADD394" w:themeColor="accent6" w:themeTint="90" w:sz="4" w:space="0"/>
          <w:left w:val="nil"/>
          <w:bottom w:val="nil"/>
          <w:right w:val="nil"/>
        </w:tcBorders>
        <w:shd w:val="clear" w:color="FFFFFF" w:fill="FFFFFF"/>
      </w:tcPr>
    </w:tblStylePr>
    <w:tblStylePr w:type="firstCol">
      <w:pPr>
        <w:jc w:val="right"/>
      </w:pPr>
      <w:rPr>
        <w:rFonts w:ascii="Arial" w:hAnsi="Arial"/>
        <w:i/>
        <w:color w:val="416429" w:themeColor="accent6" w:themeShade="94"/>
        <w:sz w:val="22"/>
      </w:rPr>
      <w:tcPr>
        <w:tcBorders>
          <w:top w:val="nil"/>
          <w:left w:val="nil"/>
          <w:bottom w:val="nil"/>
          <w:right w:val="single" w:color="ADD394" w:themeColor="accent6" w:themeTint="90" w:sz="4" w:space="0"/>
        </w:tcBorders>
        <w:shd w:val="clear" w:color="FFFFFF" w:fill="auto"/>
      </w:tcPr>
    </w:tblStylePr>
    <w:tblStylePr w:type="lastCol">
      <w:rPr>
        <w:rFonts w:ascii="Arial" w:hAnsi="Arial"/>
        <w:i/>
        <w:color w:val="416429" w:themeColor="accent6" w:themeShade="94"/>
        <w:sz w:val="22"/>
      </w:rPr>
      <w:tcPr>
        <w:tcBorders>
          <w:top w:val="nil"/>
          <w:left w:val="single" w:color="ADD394" w:themeColor="accent6" w:themeTint="90" w:sz="4" w:space="0"/>
          <w:bottom w:val="nil"/>
          <w:right w:val="nil"/>
        </w:tcBorders>
        <w:shd w:val="clear" w:color="FFFFFF" w:fill="auto"/>
      </w:tcPr>
    </w:tblStylePr>
    <w:tblStylePr w:type="band1Vert">
      <w:tcPr>
        <w:shd w:val="clear" w:color="E1EFD8" w:fill="E1EFD8"/>
      </w:tcPr>
    </w:tblStylePr>
    <w:tblStylePr w:type="band2Vert"/>
    <w:tblStylePr w:type="band1Horz">
      <w:rPr>
        <w:rFonts w:ascii="Arial" w:hAnsi="Arial"/>
        <w:color w:val="416429" w:themeColor="accent6" w:themeShade="94"/>
        <w:sz w:val="22"/>
      </w:rPr>
      <w:tcPr>
        <w:shd w:val="clear" w:color="E1EFD8" w:fill="E1EFD8"/>
      </w:tcPr>
    </w:tblStylePr>
    <w:tblStylePr w:type="band2Horz">
      <w:rPr>
        <w:rFonts w:ascii="Arial" w:hAnsi="Arial"/>
        <w:color w:val="416429" w:themeColor="accent6" w:themeShade="94"/>
        <w:sz w:val="22"/>
      </w:rPr>
    </w:tblStylePr>
    <w:tblStylePr w:type="neCell"/>
    <w:tblStylePr w:type="nwCell"/>
    <w:tblStylePr w:type="seCell"/>
    <w:tblStylePr w:type="swCell"/>
  </w:style>
  <w:style w:type="table" w:customStyle="1" w:styleId="91">
    <w:name w:val="List Table 1 Light"/>
    <w:basedOn w:val="26"/>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fill="BEBEBE"/>
      </w:tcPr>
    </w:tblStylePr>
    <w:tblStylePr w:type="band2Vert"/>
    <w:tblStylePr w:type="band1Horz">
      <w:tcPr>
        <w:shd w:val="clear" w:color="BEBEBE" w:fill="BEBEBE"/>
      </w:tcPr>
    </w:tblStylePr>
    <w:tblStylePr w:type="band2Horz"/>
    <w:tblStylePr w:type="neCell"/>
    <w:tblStylePr w:type="nwCell"/>
    <w:tblStylePr w:type="seCell"/>
    <w:tblStylePr w:type="swCell"/>
  </w:style>
  <w:style w:type="table" w:customStyle="1" w:styleId="92">
    <w:name w:val="List Table 1 Light - Accent 1"/>
    <w:basedOn w:val="26"/>
    <w:qFormat/>
    <w:uiPriority w:val="99"/>
    <w:pPr>
      <w:spacing w:after="0" w:line="240" w:lineRule="auto"/>
    </w:pPr>
    <w:tblStylePr w:type="firstRow">
      <w:rPr>
        <w:b/>
        <w:color w:val="404040"/>
      </w:rPr>
      <w:tcPr>
        <w:tcBorders>
          <w:top w:val="nil"/>
          <w:left w:val="nil"/>
          <w:bottom w:val="single" w:color="5B9BD5" w:themeColor="accent1" w:sz="4" w:space="0"/>
          <w:right w:val="nil"/>
        </w:tcBorders>
      </w:tcPr>
    </w:tblStylePr>
    <w:tblStylePr w:type="lastRow">
      <w:rPr>
        <w:b/>
        <w:color w:val="404040"/>
      </w:rPr>
      <w:tcPr>
        <w:tcBorders>
          <w:top w:val="single" w:color="5B9BD5"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5E5F4" w:fill="D5E5F4"/>
      </w:tcPr>
    </w:tblStylePr>
    <w:tblStylePr w:type="band2Vert"/>
    <w:tblStylePr w:type="band1Horz">
      <w:tcPr>
        <w:shd w:val="clear" w:color="D5E5F4" w:fill="D5E5F4"/>
      </w:tcPr>
    </w:tblStylePr>
    <w:tblStylePr w:type="band2Horz"/>
    <w:tblStylePr w:type="neCell"/>
    <w:tblStylePr w:type="nwCell"/>
    <w:tblStylePr w:type="seCell"/>
    <w:tblStylePr w:type="swCell"/>
  </w:style>
  <w:style w:type="table" w:customStyle="1" w:styleId="93">
    <w:name w:val="List Table 1 Light - Accent 2"/>
    <w:basedOn w:val="26"/>
    <w:qFormat/>
    <w:uiPriority w:val="99"/>
    <w:pPr>
      <w:spacing w:after="0" w:line="240" w:lineRule="auto"/>
    </w:pPr>
    <w:tblStylePr w:type="firstRow">
      <w:rPr>
        <w:b/>
        <w:color w:val="404040"/>
      </w:rPr>
      <w:tcPr>
        <w:tcBorders>
          <w:top w:val="nil"/>
          <w:left w:val="nil"/>
          <w:bottom w:val="single" w:color="ED7D31" w:themeColor="accent2" w:sz="4" w:space="0"/>
          <w:right w:val="nil"/>
        </w:tcBorders>
      </w:tcPr>
    </w:tblStylePr>
    <w:tblStylePr w:type="lastRow">
      <w:rPr>
        <w:b/>
        <w:color w:val="404040"/>
      </w:rPr>
      <w:tcPr>
        <w:tcBorders>
          <w:top w:val="single" w:color="ED7D31"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ADECB" w:fill="FADECB"/>
      </w:tcPr>
    </w:tblStylePr>
    <w:tblStylePr w:type="band2Vert"/>
    <w:tblStylePr w:type="band1Horz">
      <w:tcPr>
        <w:shd w:val="clear" w:color="FADECB" w:fill="FADECB"/>
      </w:tcPr>
    </w:tblStylePr>
    <w:tblStylePr w:type="band2Horz"/>
    <w:tblStylePr w:type="neCell"/>
    <w:tblStylePr w:type="nwCell"/>
    <w:tblStylePr w:type="seCell"/>
    <w:tblStylePr w:type="swCell"/>
  </w:style>
  <w:style w:type="table" w:customStyle="1" w:styleId="94">
    <w:name w:val="List Table 1 Light - Accent 3"/>
    <w:basedOn w:val="26"/>
    <w:qFormat/>
    <w:uiPriority w:val="99"/>
    <w:pPr>
      <w:spacing w:after="0" w:line="240" w:lineRule="auto"/>
    </w:pPr>
    <w:tblStylePr w:type="firstRow">
      <w:rPr>
        <w:b/>
        <w:color w:val="404040"/>
      </w:rPr>
      <w:tcPr>
        <w:tcBorders>
          <w:top w:val="nil"/>
          <w:left w:val="nil"/>
          <w:bottom w:val="single" w:color="A5A5A5" w:themeColor="accent3" w:sz="4" w:space="0"/>
          <w:right w:val="nil"/>
        </w:tcBorders>
      </w:tcPr>
    </w:tblStylePr>
    <w:tblStylePr w:type="lastRow">
      <w:rPr>
        <w:b/>
        <w:color w:val="404040"/>
      </w:rPr>
      <w:tcPr>
        <w:tcBorders>
          <w:top w:val="single" w:color="A5A5A5"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8E8E8" w:fill="E8E8E8"/>
      </w:tcPr>
    </w:tblStylePr>
    <w:tblStylePr w:type="band2Vert"/>
    <w:tblStylePr w:type="band1Horz">
      <w:tcPr>
        <w:shd w:val="clear" w:color="E8E8E8" w:fill="E8E8E8"/>
      </w:tcPr>
    </w:tblStylePr>
    <w:tblStylePr w:type="band2Horz"/>
    <w:tblStylePr w:type="neCell"/>
    <w:tblStylePr w:type="nwCell"/>
    <w:tblStylePr w:type="seCell"/>
    <w:tblStylePr w:type="swCell"/>
  </w:style>
  <w:style w:type="table" w:customStyle="1" w:styleId="95">
    <w:name w:val="List Table 1 Light - Accent 4"/>
    <w:basedOn w:val="26"/>
    <w:qFormat/>
    <w:uiPriority w:val="99"/>
    <w:pPr>
      <w:spacing w:after="0" w:line="240" w:lineRule="auto"/>
    </w:pPr>
    <w:tblStylePr w:type="firstRow">
      <w:rPr>
        <w:b/>
        <w:color w:val="404040"/>
      </w:rPr>
      <w:tcPr>
        <w:tcBorders>
          <w:top w:val="nil"/>
          <w:left w:val="nil"/>
          <w:bottom w:val="single" w:color="FFC000" w:themeColor="accent4" w:sz="4" w:space="0"/>
          <w:right w:val="nil"/>
        </w:tcBorders>
      </w:tcPr>
    </w:tblStylePr>
    <w:tblStylePr w:type="lastRow">
      <w:rPr>
        <w:b/>
        <w:color w:val="404040"/>
      </w:rPr>
      <w:tcPr>
        <w:tcBorders>
          <w:top w:val="single" w:color="FFC000"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FEFBE" w:fill="FFEFBE"/>
      </w:tcPr>
    </w:tblStylePr>
    <w:tblStylePr w:type="band2Vert"/>
    <w:tblStylePr w:type="band1Horz">
      <w:tcPr>
        <w:shd w:val="clear" w:color="FFEFBE" w:fill="FFEFBE"/>
      </w:tcPr>
    </w:tblStylePr>
    <w:tblStylePr w:type="band2Horz"/>
    <w:tblStylePr w:type="neCell"/>
    <w:tblStylePr w:type="nwCell"/>
    <w:tblStylePr w:type="seCell"/>
    <w:tblStylePr w:type="swCell"/>
  </w:style>
  <w:style w:type="table" w:customStyle="1" w:styleId="96">
    <w:name w:val="List Table 1 Light - Accent 5"/>
    <w:basedOn w:val="26"/>
    <w:qFormat/>
    <w:uiPriority w:val="99"/>
    <w:pPr>
      <w:spacing w:after="0" w:line="240" w:lineRule="auto"/>
    </w:pPr>
    <w:tblStylePr w:type="firstRow">
      <w:rPr>
        <w:b/>
        <w:color w:val="404040"/>
      </w:rPr>
      <w:tcPr>
        <w:tcBorders>
          <w:top w:val="nil"/>
          <w:left w:val="nil"/>
          <w:bottom w:val="single" w:color="4472C4" w:themeColor="accent5" w:sz="4" w:space="0"/>
          <w:right w:val="nil"/>
        </w:tcBorders>
      </w:tcPr>
    </w:tblStylePr>
    <w:tblStylePr w:type="lastRow">
      <w:rPr>
        <w:b/>
        <w:color w:val="404040"/>
      </w:rPr>
      <w:tcPr>
        <w:tcBorders>
          <w:top w:val="single" w:color="4472C4"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0DBF0" w:fill="D0DBF0"/>
      </w:tcPr>
    </w:tblStylePr>
    <w:tblStylePr w:type="band2Vert"/>
    <w:tblStylePr w:type="band1Horz">
      <w:tcPr>
        <w:shd w:val="clear" w:color="D0DBF0" w:fill="D0DBF0"/>
      </w:tcPr>
    </w:tblStylePr>
    <w:tblStylePr w:type="band2Horz"/>
    <w:tblStylePr w:type="neCell"/>
    <w:tblStylePr w:type="nwCell"/>
    <w:tblStylePr w:type="seCell"/>
    <w:tblStylePr w:type="swCell"/>
  </w:style>
  <w:style w:type="table" w:customStyle="1" w:styleId="97">
    <w:name w:val="List Table 1 Light - Accent 6"/>
    <w:basedOn w:val="26"/>
    <w:qFormat/>
    <w:uiPriority w:val="99"/>
    <w:pPr>
      <w:spacing w:after="0" w:line="240" w:lineRule="auto"/>
    </w:pPr>
    <w:tblStylePr w:type="firstRow">
      <w:rPr>
        <w:b/>
        <w:color w:val="404040"/>
      </w:rPr>
      <w:tcPr>
        <w:tcBorders>
          <w:top w:val="nil"/>
          <w:left w:val="nil"/>
          <w:bottom w:val="single" w:color="70AD47" w:themeColor="accent6" w:sz="4" w:space="0"/>
          <w:right w:val="nil"/>
        </w:tcBorders>
      </w:tcPr>
    </w:tblStylePr>
    <w:tblStylePr w:type="lastRow">
      <w:rPr>
        <w:b/>
        <w:color w:val="404040"/>
      </w:rPr>
      <w:tcPr>
        <w:tcBorders>
          <w:top w:val="single" w:color="70AD47"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AEBCF" w:fill="DAEBCF"/>
      </w:tcPr>
    </w:tblStylePr>
    <w:tblStylePr w:type="band2Vert"/>
    <w:tblStylePr w:type="band1Horz">
      <w:tcPr>
        <w:shd w:val="clear" w:color="DAEBCF" w:fill="DAEBCF"/>
      </w:tcPr>
    </w:tblStylePr>
    <w:tblStylePr w:type="band2Horz"/>
    <w:tblStylePr w:type="neCell"/>
    <w:tblStylePr w:type="nwCell"/>
    <w:tblStylePr w:type="seCell"/>
    <w:tblStylePr w:type="swCell"/>
  </w:style>
  <w:style w:type="table" w:customStyle="1" w:styleId="98">
    <w:name w:val="List Table 2"/>
    <w:basedOn w:val="26"/>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fill="BEBEBE"/>
      </w:tcPr>
    </w:tblStylePr>
    <w:tblStylePr w:type="band2Vert"/>
    <w:tblStylePr w:type="band1Horz">
      <w:rPr>
        <w:rFonts w:ascii="Arial" w:hAnsi="Arial"/>
        <w:color w:val="404040"/>
        <w:sz w:val="22"/>
      </w:rPr>
      <w:tcPr>
        <w:shd w:val="clear" w:color="BEBEBE" w:fill="BEBEBE"/>
      </w:tcPr>
    </w:tblStylePr>
    <w:tblStylePr w:type="band2Horz"/>
    <w:tblStylePr w:type="neCell"/>
    <w:tblStylePr w:type="nwCell"/>
    <w:tblStylePr w:type="seCell"/>
    <w:tblStylePr w:type="swCell"/>
  </w:style>
  <w:style w:type="table" w:customStyle="1" w:styleId="99">
    <w:name w:val="List Table 2 - Accent 1"/>
    <w:basedOn w:val="26"/>
    <w:qFormat/>
    <w:uiPriority w:val="99"/>
    <w:pPr>
      <w:spacing w:after="0" w:line="240" w:lineRule="auto"/>
    </w:pPr>
    <w:tblPr>
      <w:tblBorders>
        <w:top w:val="single" w:color="A2C6E7" w:themeColor="accent1" w:themeTint="90" w:sz="4" w:space="0"/>
        <w:bottom w:val="single" w:color="A2C6E7" w:themeColor="accent1" w:themeTint="90" w:sz="4" w:space="0"/>
        <w:insideH w:val="single" w:color="A2C6E7" w:themeColor="accent1" w:themeTint="90" w:sz="4" w:space="0"/>
      </w:tblBorders>
    </w:tblPr>
    <w:tblStylePr w:type="fir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lastRow">
      <w:rPr>
        <w:rFonts w:ascii="Arial" w:hAnsi="Arial"/>
        <w:b/>
        <w:color w:val="404040"/>
        <w:sz w:val="22"/>
      </w:rPr>
      <w:tcPr>
        <w:tcBorders>
          <w:top w:val="single" w:color="A2C6E7" w:themeColor="accent1" w:themeTint="90" w:sz="4" w:space="0"/>
          <w:left w:val="nil"/>
          <w:bottom w:val="single" w:color="A2C6E7"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5E5F4" w:fill="D5E5F4"/>
      </w:tcPr>
    </w:tblStylePr>
    <w:tblStylePr w:type="band2Vert"/>
    <w:tblStylePr w:type="band1Horz">
      <w:rPr>
        <w:rFonts w:ascii="Arial" w:hAnsi="Arial"/>
        <w:color w:val="404040"/>
        <w:sz w:val="22"/>
      </w:rPr>
      <w:tcPr>
        <w:shd w:val="clear" w:color="D5E5F4" w:fill="D5E5F4"/>
      </w:tcPr>
    </w:tblStylePr>
    <w:tblStylePr w:type="band2Horz"/>
    <w:tblStylePr w:type="neCell"/>
    <w:tblStylePr w:type="nwCell"/>
    <w:tblStylePr w:type="seCell"/>
    <w:tblStylePr w:type="swCell"/>
  </w:style>
  <w:style w:type="table" w:customStyle="1" w:styleId="100">
    <w:name w:val="List Table 2 - Accent 2"/>
    <w:basedOn w:val="26"/>
    <w:qFormat/>
    <w:uiPriority w:val="99"/>
    <w:pPr>
      <w:spacing w:after="0" w:line="240" w:lineRule="auto"/>
    </w:pPr>
    <w:tblPr>
      <w:tblBorders>
        <w:top w:val="single" w:color="F4B58A" w:themeColor="accent2" w:themeTint="90" w:sz="4" w:space="0"/>
        <w:bottom w:val="single" w:color="F4B58A" w:themeColor="accent2" w:themeTint="90" w:sz="4" w:space="0"/>
        <w:insideH w:val="single" w:color="F4B58A" w:themeColor="accent2" w:themeTint="90" w:sz="4" w:space="0"/>
      </w:tblBorders>
    </w:tblPr>
    <w:tblStylePr w:type="fir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lastRow">
      <w:rPr>
        <w:rFonts w:ascii="Arial" w:hAnsi="Arial"/>
        <w:b/>
        <w:color w:val="404040"/>
        <w:sz w:val="22"/>
      </w:rPr>
      <w:tcPr>
        <w:tcBorders>
          <w:top w:val="single" w:color="F4B58A" w:themeColor="accent2" w:themeTint="90" w:sz="4" w:space="0"/>
          <w:left w:val="nil"/>
          <w:bottom w:val="single" w:color="F4B58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ADECB" w:fill="FADECB"/>
      </w:tcPr>
    </w:tblStylePr>
    <w:tblStylePr w:type="band2Vert"/>
    <w:tblStylePr w:type="band1Horz">
      <w:rPr>
        <w:rFonts w:ascii="Arial" w:hAnsi="Arial"/>
        <w:color w:val="404040"/>
        <w:sz w:val="22"/>
      </w:rPr>
      <w:tcPr>
        <w:shd w:val="clear" w:color="FADECB" w:fill="FADECB"/>
      </w:tcPr>
    </w:tblStylePr>
    <w:tblStylePr w:type="band2Horz"/>
    <w:tblStylePr w:type="neCell"/>
    <w:tblStylePr w:type="nwCell"/>
    <w:tblStylePr w:type="seCell"/>
    <w:tblStylePr w:type="swCell"/>
  </w:style>
  <w:style w:type="table" w:customStyle="1" w:styleId="101">
    <w:name w:val="List Table 2 - Accent 3"/>
    <w:basedOn w:val="26"/>
    <w:qFormat/>
    <w:uiPriority w:val="99"/>
    <w:pPr>
      <w:spacing w:after="0" w:line="240" w:lineRule="auto"/>
    </w:pPr>
    <w:tblPr>
      <w:tblBorders>
        <w:top w:val="single" w:color="CCCCCC" w:themeColor="accent3" w:themeTint="90" w:sz="4" w:space="0"/>
        <w:bottom w:val="single" w:color="CCCCCC" w:themeColor="accent3" w:themeTint="90" w:sz="4" w:space="0"/>
        <w:insideH w:val="single" w:color="CCCCCC" w:themeColor="accent3" w:themeTint="90" w:sz="4" w:space="0"/>
      </w:tblBorders>
    </w:tblPr>
    <w:tblStylePr w:type="fir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lastRow">
      <w:rPr>
        <w:rFonts w:ascii="Arial" w:hAnsi="Arial"/>
        <w:b/>
        <w:color w:val="404040"/>
        <w:sz w:val="22"/>
      </w:rPr>
      <w:tcPr>
        <w:tcBorders>
          <w:top w:val="single" w:color="CCCCCC" w:themeColor="accent3" w:themeTint="90" w:sz="4" w:space="0"/>
          <w:left w:val="nil"/>
          <w:bottom w:val="single" w:color="CCCCCC"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8E8E8" w:fill="E8E8E8"/>
      </w:tcPr>
    </w:tblStylePr>
    <w:tblStylePr w:type="band2Vert"/>
    <w:tblStylePr w:type="band1Horz">
      <w:rPr>
        <w:rFonts w:ascii="Arial" w:hAnsi="Arial"/>
        <w:color w:val="404040"/>
        <w:sz w:val="22"/>
      </w:rPr>
      <w:tcPr>
        <w:shd w:val="clear" w:color="E8E8E8" w:fill="E8E8E8"/>
      </w:tcPr>
    </w:tblStylePr>
    <w:tblStylePr w:type="band2Horz"/>
    <w:tblStylePr w:type="neCell"/>
    <w:tblStylePr w:type="nwCell"/>
    <w:tblStylePr w:type="seCell"/>
    <w:tblStylePr w:type="swCell"/>
  </w:style>
  <w:style w:type="table" w:customStyle="1" w:styleId="102">
    <w:name w:val="List Table 2 - Accent 4"/>
    <w:basedOn w:val="26"/>
    <w:qFormat/>
    <w:uiPriority w:val="99"/>
    <w:pPr>
      <w:spacing w:after="0" w:line="240" w:lineRule="auto"/>
    </w:pPr>
    <w:tblPr>
      <w:tblBorders>
        <w:top w:val="single" w:color="FFDB6E" w:themeColor="accent4" w:themeTint="90" w:sz="4" w:space="0"/>
        <w:bottom w:val="single" w:color="FFDB6E" w:themeColor="accent4" w:themeTint="90" w:sz="4" w:space="0"/>
        <w:insideH w:val="single" w:color="FFDB6E" w:themeColor="accent4" w:themeTint="90" w:sz="4" w:space="0"/>
      </w:tblBorders>
    </w:tblPr>
    <w:tblStylePr w:type="fir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lastRow">
      <w:rPr>
        <w:rFonts w:ascii="Arial" w:hAnsi="Arial"/>
        <w:b/>
        <w:color w:val="404040"/>
        <w:sz w:val="22"/>
      </w:rPr>
      <w:tcPr>
        <w:tcBorders>
          <w:top w:val="single" w:color="FFDB6E" w:themeColor="accent4" w:themeTint="90" w:sz="4" w:space="0"/>
          <w:left w:val="nil"/>
          <w:bottom w:val="single" w:color="FFDB6E"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FEFBE" w:fill="FFEFBE"/>
      </w:tcPr>
    </w:tblStylePr>
    <w:tblStylePr w:type="band2Vert"/>
    <w:tblStylePr w:type="band1Horz">
      <w:rPr>
        <w:rFonts w:ascii="Arial" w:hAnsi="Arial"/>
        <w:color w:val="404040"/>
        <w:sz w:val="22"/>
      </w:rPr>
      <w:tcPr>
        <w:shd w:val="clear" w:color="FFEFBE" w:fill="FFEFBE"/>
      </w:tcPr>
    </w:tblStylePr>
    <w:tblStylePr w:type="band2Horz"/>
    <w:tblStylePr w:type="neCell"/>
    <w:tblStylePr w:type="nwCell"/>
    <w:tblStylePr w:type="seCell"/>
    <w:tblStylePr w:type="swCell"/>
  </w:style>
  <w:style w:type="table" w:customStyle="1" w:styleId="103">
    <w:name w:val="List Table 2 - Accent 5"/>
    <w:basedOn w:val="26"/>
    <w:qFormat/>
    <w:uiPriority w:val="99"/>
    <w:pPr>
      <w:spacing w:after="0" w:line="240" w:lineRule="auto"/>
    </w:pPr>
    <w:tblPr>
      <w:tblBorders>
        <w:top w:val="single" w:color="95AFDD" w:themeColor="accent5" w:themeTint="90" w:sz="4" w:space="0"/>
        <w:bottom w:val="single" w:color="95AFDD" w:themeColor="accent5" w:themeTint="90" w:sz="4" w:space="0"/>
        <w:insideH w:val="single" w:color="95AFDD" w:themeColor="accent5" w:themeTint="90" w:sz="4" w:space="0"/>
      </w:tblBorders>
    </w:tblPr>
    <w:tblStylePr w:type="fir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lastRow">
      <w:rPr>
        <w:rFonts w:ascii="Arial" w:hAnsi="Arial"/>
        <w:b/>
        <w:color w:val="404040"/>
        <w:sz w:val="22"/>
      </w:rPr>
      <w:tcPr>
        <w:tcBorders>
          <w:top w:val="single" w:color="95AFDD" w:themeColor="accent5" w:themeTint="90" w:sz="4" w:space="0"/>
          <w:left w:val="nil"/>
          <w:bottom w:val="single" w:color="95AFDD"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0DBF0" w:fill="D0DBF0"/>
      </w:tcPr>
    </w:tblStylePr>
    <w:tblStylePr w:type="band2Vert"/>
    <w:tblStylePr w:type="band1Horz">
      <w:rPr>
        <w:rFonts w:ascii="Arial" w:hAnsi="Arial"/>
        <w:color w:val="404040"/>
        <w:sz w:val="22"/>
      </w:rPr>
      <w:tcPr>
        <w:shd w:val="clear" w:color="D0DBF0" w:fill="D0DBF0"/>
      </w:tcPr>
    </w:tblStylePr>
    <w:tblStylePr w:type="band2Horz"/>
    <w:tblStylePr w:type="neCell"/>
    <w:tblStylePr w:type="nwCell"/>
    <w:tblStylePr w:type="seCell"/>
    <w:tblStylePr w:type="swCell"/>
  </w:style>
  <w:style w:type="table" w:customStyle="1" w:styleId="104">
    <w:name w:val="List Table 2 - Accent 6"/>
    <w:basedOn w:val="26"/>
    <w:qFormat/>
    <w:uiPriority w:val="99"/>
    <w:pPr>
      <w:spacing w:after="0" w:line="240" w:lineRule="auto"/>
    </w:pPr>
    <w:tblPr>
      <w:tblBorders>
        <w:top w:val="single" w:color="ADD394" w:themeColor="accent6" w:themeTint="90" w:sz="4" w:space="0"/>
        <w:bottom w:val="single" w:color="ADD394" w:themeColor="accent6" w:themeTint="90" w:sz="4" w:space="0"/>
        <w:insideH w:val="single" w:color="ADD394" w:themeColor="accent6" w:themeTint="90" w:sz="4" w:space="0"/>
      </w:tblBorders>
    </w:tblPr>
    <w:tblStylePr w:type="fir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lastRow">
      <w:rPr>
        <w:rFonts w:ascii="Arial" w:hAnsi="Arial"/>
        <w:b/>
        <w:color w:val="404040"/>
        <w:sz w:val="22"/>
      </w:rPr>
      <w:tcPr>
        <w:tcBorders>
          <w:top w:val="single" w:color="ADD394" w:themeColor="accent6" w:themeTint="90" w:sz="4" w:space="0"/>
          <w:left w:val="nil"/>
          <w:bottom w:val="single" w:color="ADD394"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AEBCF" w:fill="DAEBCF"/>
      </w:tcPr>
    </w:tblStylePr>
    <w:tblStylePr w:type="band2Vert"/>
    <w:tblStylePr w:type="band1Horz">
      <w:rPr>
        <w:rFonts w:ascii="Arial" w:hAnsi="Arial"/>
        <w:color w:val="404040"/>
        <w:sz w:val="22"/>
      </w:rPr>
      <w:tcPr>
        <w:shd w:val="clear" w:color="DAEBCF" w:fill="DAEBCF"/>
      </w:tcPr>
    </w:tblStylePr>
    <w:tblStylePr w:type="band2Horz"/>
    <w:tblStylePr w:type="neCell"/>
    <w:tblStylePr w:type="nwCell"/>
    <w:tblStylePr w:type="seCell"/>
    <w:tblStylePr w:type="swCell"/>
  </w:style>
  <w:style w:type="table" w:customStyle="1" w:styleId="105">
    <w:name w:val="List Table 3"/>
    <w:basedOn w:val="26"/>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106">
    <w:name w:val="List Table 3 - Accent 1"/>
    <w:basedOn w:val="26"/>
    <w:qFormat/>
    <w:uiPriority w:val="99"/>
    <w:pPr>
      <w:spacing w:after="0" w:line="240" w:lineRule="auto"/>
    </w:pPr>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rFonts w:ascii="Arial" w:hAnsi="Arial"/>
        <w:b/>
        <w:color w:val="FFFFFF"/>
        <w:sz w:val="22"/>
      </w:r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band2Vert"/>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2Horz"/>
    <w:tblStylePr w:type="neCell"/>
    <w:tblStylePr w:type="nwCell"/>
    <w:tblStylePr w:type="seCell"/>
    <w:tblStylePr w:type="swCell"/>
  </w:style>
  <w:style w:type="table" w:customStyle="1" w:styleId="107">
    <w:name w:val="List Table 3 - Accent 2"/>
    <w:basedOn w:val="26"/>
    <w:qFormat/>
    <w:uiPriority w:val="99"/>
    <w:pPr>
      <w:spacing w:after="0" w:line="240" w:lineRule="auto"/>
    </w:pPr>
    <w:tblPr>
      <w:tblBorders>
        <w:top w:val="single" w:color="F4B285" w:themeColor="accent2" w:themeTint="97" w:sz="4" w:space="0"/>
        <w:left w:val="single" w:color="F4B285" w:themeColor="accent2" w:themeTint="97" w:sz="4" w:space="0"/>
        <w:bottom w:val="single" w:color="F4B285" w:themeColor="accent2" w:themeTint="97" w:sz="4" w:space="0"/>
        <w:right w:val="single" w:color="F4B285" w:themeColor="accent2" w:themeTint="97" w:sz="4" w:space="0"/>
      </w:tblBorders>
    </w:tblPr>
    <w:tblStylePr w:type="firstRow">
      <w:rPr>
        <w:rFonts w:ascii="Arial" w:hAnsi="Arial"/>
        <w:b/>
        <w:color w:val="FFFFFF"/>
        <w:sz w:val="22"/>
      </w:rPr>
      <w:tcPr>
        <w:shd w:val="clear" w:color="F4B285" w:fill="F4B28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4B285" w:themeColor="accent2" w:themeTint="97" w:sz="4" w:space="0"/>
          <w:right w:val="single" w:color="F4B285" w:themeColor="accent2" w:themeTint="97" w:sz="4" w:space="0"/>
        </w:tcBorders>
      </w:tcPr>
    </w:tblStylePr>
    <w:tblStylePr w:type="band2Vert"/>
    <w:tblStylePr w:type="band1Horz">
      <w:rPr>
        <w:rFonts w:ascii="Arial" w:hAnsi="Arial"/>
        <w:color w:val="404040"/>
        <w:sz w:val="22"/>
      </w:rPr>
      <w:tcPr>
        <w:tcBorders>
          <w:top w:val="single" w:color="F4B285" w:themeColor="accent2" w:themeTint="97" w:sz="4" w:space="0"/>
          <w:bottom w:val="single" w:color="F4B285" w:themeColor="accent2" w:themeTint="97" w:sz="4" w:space="0"/>
        </w:tcBorders>
      </w:tcPr>
    </w:tblStylePr>
    <w:tblStylePr w:type="band2Horz"/>
    <w:tblStylePr w:type="neCell"/>
    <w:tblStylePr w:type="nwCell"/>
    <w:tblStylePr w:type="seCell"/>
    <w:tblStylePr w:type="swCell"/>
  </w:style>
  <w:style w:type="table" w:customStyle="1" w:styleId="108">
    <w:name w:val="List Table 3 - Accent 3"/>
    <w:basedOn w:val="26"/>
    <w:qFormat/>
    <w:uiPriority w:val="99"/>
    <w:pPr>
      <w:spacing w:after="0" w:line="240" w:lineRule="auto"/>
    </w:pPr>
    <w:tblPr>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firstRow">
      <w:rPr>
        <w:rFonts w:ascii="Arial" w:hAnsi="Arial"/>
        <w:b/>
        <w:color w:val="FFFFFF"/>
        <w:sz w:val="22"/>
      </w:r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band2Vert"/>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2Horz"/>
    <w:tblStylePr w:type="neCell"/>
    <w:tblStylePr w:type="nwCell"/>
    <w:tblStylePr w:type="seCell"/>
    <w:tblStylePr w:type="swCell"/>
  </w:style>
  <w:style w:type="table" w:customStyle="1" w:styleId="109">
    <w:name w:val="List Table 3 - Accent 4"/>
    <w:basedOn w:val="26"/>
    <w:qFormat/>
    <w:uiPriority w:val="99"/>
    <w:pPr>
      <w:spacing w:after="0" w:line="240" w:lineRule="auto"/>
    </w:pPr>
    <w:tblPr>
      <w:tblBorders>
        <w:top w:val="single" w:color="FFD864" w:themeColor="accent4" w:themeTint="9A" w:sz="4" w:space="0"/>
        <w:left w:val="single" w:color="FFD864" w:themeColor="accent4" w:themeTint="9A" w:sz="4" w:space="0"/>
        <w:bottom w:val="single" w:color="FFD864" w:themeColor="accent4" w:themeTint="9A" w:sz="4" w:space="0"/>
        <w:right w:val="single" w:color="FFD864" w:themeColor="accent4" w:themeTint="9A" w:sz="4" w:space="0"/>
      </w:tblBorders>
    </w:tblPr>
    <w:tblStylePr w:type="firstRow">
      <w:rPr>
        <w:rFonts w:ascii="Arial" w:hAnsi="Arial"/>
        <w:b/>
        <w:color w:val="FFFFFF"/>
        <w:sz w:val="22"/>
      </w:rPr>
      <w:tcPr>
        <w:shd w:val="clear" w:color="FFD864" w:fill="FFD86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FD864" w:themeColor="accent4" w:themeTint="9A" w:sz="4" w:space="0"/>
          <w:right w:val="single" w:color="FFD864" w:themeColor="accent4" w:themeTint="9A" w:sz="4" w:space="0"/>
        </w:tcBorders>
      </w:tcPr>
    </w:tblStylePr>
    <w:tblStylePr w:type="band2Vert"/>
    <w:tblStylePr w:type="band1Horz">
      <w:rPr>
        <w:rFonts w:ascii="Arial" w:hAnsi="Arial"/>
        <w:color w:val="404040"/>
        <w:sz w:val="22"/>
      </w:rPr>
      <w:tcPr>
        <w:tcBorders>
          <w:top w:val="single" w:color="FFD864" w:themeColor="accent4" w:themeTint="9A" w:sz="4" w:space="0"/>
          <w:bottom w:val="single" w:color="FFD864" w:themeColor="accent4" w:themeTint="9A" w:sz="4" w:space="0"/>
        </w:tcBorders>
      </w:tcPr>
    </w:tblStylePr>
    <w:tblStylePr w:type="band2Horz"/>
    <w:tblStylePr w:type="neCell"/>
    <w:tblStylePr w:type="nwCell"/>
    <w:tblStylePr w:type="seCell"/>
    <w:tblStylePr w:type="swCell"/>
  </w:style>
  <w:style w:type="table" w:customStyle="1" w:styleId="110">
    <w:name w:val="List Table 3 - Accent 5"/>
    <w:basedOn w:val="26"/>
    <w:qFormat/>
    <w:uiPriority w:val="99"/>
    <w:pPr>
      <w:spacing w:after="0" w:line="240" w:lineRule="auto"/>
    </w:pPr>
    <w:tblPr>
      <w:tblBorders>
        <w:top w:val="single" w:color="8EA9DB" w:themeColor="accent5" w:themeTint="9A" w:sz="4" w:space="0"/>
        <w:left w:val="single" w:color="8EA9DB" w:themeColor="accent5" w:themeTint="9A" w:sz="4" w:space="0"/>
        <w:bottom w:val="single" w:color="8EA9DB" w:themeColor="accent5" w:themeTint="9A" w:sz="4" w:space="0"/>
        <w:right w:val="single" w:color="8EA9DB" w:themeColor="accent5" w:themeTint="9A" w:sz="4" w:space="0"/>
      </w:tblBorders>
    </w:tblPr>
    <w:tblStylePr w:type="firstRow">
      <w:rPr>
        <w:rFonts w:ascii="Arial" w:hAnsi="Arial"/>
        <w:b/>
        <w:color w:val="FFFFFF"/>
        <w:sz w:val="22"/>
      </w:rPr>
      <w:tcPr>
        <w:shd w:val="clear" w:color="8EA9DB" w:fill="8EA9D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8EA9DB" w:themeColor="accent5" w:themeTint="9A" w:sz="4" w:space="0"/>
          <w:right w:val="single" w:color="8EA9DB" w:themeColor="accent5" w:themeTint="9A" w:sz="4" w:space="0"/>
        </w:tcBorders>
      </w:tcPr>
    </w:tblStylePr>
    <w:tblStylePr w:type="band2Vert"/>
    <w:tblStylePr w:type="band1Horz">
      <w:rPr>
        <w:rFonts w:ascii="Arial" w:hAnsi="Arial"/>
        <w:color w:val="404040"/>
        <w:sz w:val="22"/>
      </w:rPr>
      <w:tcPr>
        <w:tcBorders>
          <w:top w:val="single" w:color="8EA9DB" w:themeColor="accent5" w:themeTint="9A" w:sz="4" w:space="0"/>
          <w:bottom w:val="single" w:color="8EA9DB" w:themeColor="accent5" w:themeTint="9A" w:sz="4" w:space="0"/>
        </w:tcBorders>
      </w:tcPr>
    </w:tblStylePr>
    <w:tblStylePr w:type="band2Horz"/>
    <w:tblStylePr w:type="neCell"/>
    <w:tblStylePr w:type="nwCell"/>
    <w:tblStylePr w:type="seCell"/>
    <w:tblStylePr w:type="swCell"/>
  </w:style>
  <w:style w:type="table" w:customStyle="1" w:styleId="111">
    <w:name w:val="List Table 3 - Accent 6"/>
    <w:basedOn w:val="26"/>
    <w:qFormat/>
    <w:uiPriority w:val="99"/>
    <w:pPr>
      <w:spacing w:after="0" w:line="240" w:lineRule="auto"/>
    </w:pPr>
    <w:tblPr>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firstRow">
      <w:rPr>
        <w:rFonts w:ascii="Arial" w:hAnsi="Arial"/>
        <w:b/>
        <w:color w:val="FFFFFF"/>
        <w:sz w:val="22"/>
      </w:r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band2Vert"/>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2Horz"/>
    <w:tblStylePr w:type="neCell"/>
    <w:tblStylePr w:type="nwCell"/>
    <w:tblStylePr w:type="seCell"/>
    <w:tblStylePr w:type="swCell"/>
  </w:style>
  <w:style w:type="table" w:customStyle="1" w:styleId="112">
    <w:name w:val="List Table 4"/>
    <w:basedOn w:val="26"/>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fill="BEBEBE"/>
      </w:tcPr>
    </w:tblStylePr>
    <w:tblStylePr w:type="band2Vert"/>
    <w:tblStylePr w:type="band1Horz">
      <w:rPr>
        <w:rFonts w:ascii="Arial" w:hAnsi="Arial"/>
        <w:color w:val="404040"/>
        <w:sz w:val="22"/>
      </w:rPr>
      <w:tcPr>
        <w:shd w:val="clear" w:color="BEBEBE" w:fill="BEBEBE"/>
      </w:tcPr>
    </w:tblStylePr>
    <w:tblStylePr w:type="band2Horz"/>
    <w:tblStylePr w:type="neCell"/>
    <w:tblStylePr w:type="nwCell"/>
    <w:tblStylePr w:type="seCell"/>
    <w:tblStylePr w:type="swCell"/>
  </w:style>
  <w:style w:type="table" w:customStyle="1" w:styleId="113">
    <w:name w:val="List Table 4 - Accent 1"/>
    <w:basedOn w:val="26"/>
    <w:qFormat/>
    <w:uiPriority w:val="99"/>
    <w:pPr>
      <w:spacing w:after="0" w:line="240" w:lineRule="auto"/>
    </w:pPr>
    <w:tblPr>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firstRow">
      <w:rPr>
        <w:rFonts w:ascii="Arial" w:hAnsi="Arial"/>
        <w:b/>
        <w:color w:val="FFFFFF"/>
        <w:sz w:val="22"/>
      </w:r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5E5F4" w:fill="D5E5F4"/>
      </w:tcPr>
    </w:tblStylePr>
    <w:tblStylePr w:type="band2Vert"/>
    <w:tblStylePr w:type="band1Horz">
      <w:rPr>
        <w:rFonts w:ascii="Arial" w:hAnsi="Arial"/>
        <w:color w:val="404040"/>
        <w:sz w:val="22"/>
      </w:rPr>
      <w:tcPr>
        <w:shd w:val="clear" w:color="D5E5F4" w:fill="D5E5F4"/>
      </w:tcPr>
    </w:tblStylePr>
    <w:tblStylePr w:type="band2Horz"/>
    <w:tblStylePr w:type="neCell"/>
    <w:tblStylePr w:type="nwCell"/>
    <w:tblStylePr w:type="seCell"/>
    <w:tblStylePr w:type="swCell"/>
  </w:style>
  <w:style w:type="table" w:customStyle="1" w:styleId="114">
    <w:name w:val="List Table 4 - Accent 2"/>
    <w:basedOn w:val="26"/>
    <w:qFormat/>
    <w:uiPriority w:val="99"/>
    <w:pPr>
      <w:spacing w:after="0" w:line="240" w:lineRule="auto"/>
    </w:pPr>
    <w:tblPr>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firstRow">
      <w:rPr>
        <w:rFonts w:ascii="Arial" w:hAnsi="Arial"/>
        <w:b/>
        <w:color w:val="FFFFFF"/>
        <w:sz w:val="22"/>
      </w:r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ADECB" w:fill="FADECB"/>
      </w:tcPr>
    </w:tblStylePr>
    <w:tblStylePr w:type="band2Vert"/>
    <w:tblStylePr w:type="band1Horz">
      <w:rPr>
        <w:rFonts w:ascii="Arial" w:hAnsi="Arial"/>
        <w:color w:val="404040"/>
        <w:sz w:val="22"/>
      </w:rPr>
      <w:tcPr>
        <w:shd w:val="clear" w:color="FADECB" w:fill="FADECB"/>
      </w:tcPr>
    </w:tblStylePr>
    <w:tblStylePr w:type="band2Horz"/>
    <w:tblStylePr w:type="neCell"/>
    <w:tblStylePr w:type="nwCell"/>
    <w:tblStylePr w:type="seCell"/>
    <w:tblStylePr w:type="swCell"/>
  </w:style>
  <w:style w:type="table" w:customStyle="1" w:styleId="115">
    <w:name w:val="List Table 4 - Accent 3"/>
    <w:basedOn w:val="26"/>
    <w:qFormat/>
    <w:uiPriority w:val="99"/>
    <w:pPr>
      <w:spacing w:after="0" w:line="240" w:lineRule="auto"/>
    </w:pPr>
    <w:tblPr>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firstRow">
      <w:rPr>
        <w:rFonts w:ascii="Arial" w:hAnsi="Arial"/>
        <w:b/>
        <w:color w:val="FFFFFF"/>
        <w:sz w:val="22"/>
      </w:r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8E8E8" w:fill="E8E8E8"/>
      </w:tcPr>
    </w:tblStylePr>
    <w:tblStylePr w:type="band2Vert"/>
    <w:tblStylePr w:type="band1Horz">
      <w:rPr>
        <w:rFonts w:ascii="Arial" w:hAnsi="Arial"/>
        <w:color w:val="404040"/>
        <w:sz w:val="22"/>
      </w:rPr>
      <w:tcPr>
        <w:shd w:val="clear" w:color="E8E8E8" w:fill="E8E8E8"/>
      </w:tcPr>
    </w:tblStylePr>
    <w:tblStylePr w:type="band2Horz"/>
    <w:tblStylePr w:type="neCell"/>
    <w:tblStylePr w:type="nwCell"/>
    <w:tblStylePr w:type="seCell"/>
    <w:tblStylePr w:type="swCell"/>
  </w:style>
  <w:style w:type="table" w:customStyle="1" w:styleId="116">
    <w:name w:val="List Table 4 - Accent 4"/>
    <w:basedOn w:val="26"/>
    <w:qFormat/>
    <w:uiPriority w:val="99"/>
    <w:pPr>
      <w:spacing w:after="0" w:line="240" w:lineRule="auto"/>
    </w:pPr>
    <w:tblPr>
      <w:tblBorders>
        <w:top w:val="single" w:color="FFDB6E" w:themeColor="accent4" w:themeTint="90" w:sz="4" w:space="0"/>
        <w:left w:val="single" w:color="FFDB6E" w:themeColor="accent4" w:themeTint="90" w:sz="4" w:space="0"/>
        <w:bottom w:val="single" w:color="FFDB6E" w:themeColor="accent4" w:themeTint="90" w:sz="4" w:space="0"/>
        <w:right w:val="single" w:color="FFDB6E" w:themeColor="accent4" w:themeTint="90" w:sz="4" w:space="0"/>
        <w:insideH w:val="single" w:color="FFDB6E" w:themeColor="accent4" w:themeTint="90" w:sz="4" w:space="0"/>
      </w:tblBorders>
    </w:tblPr>
    <w:tblStylePr w:type="firstRow">
      <w:rPr>
        <w:rFonts w:ascii="Arial" w:hAnsi="Arial"/>
        <w:b/>
        <w:color w:val="FFFFFF"/>
        <w:sz w:val="22"/>
      </w:r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FEFBE" w:fill="FFEFBE"/>
      </w:tcPr>
    </w:tblStylePr>
    <w:tblStylePr w:type="band2Vert"/>
    <w:tblStylePr w:type="band1Horz">
      <w:rPr>
        <w:rFonts w:ascii="Arial" w:hAnsi="Arial"/>
        <w:color w:val="404040"/>
        <w:sz w:val="22"/>
      </w:rPr>
      <w:tcPr>
        <w:shd w:val="clear" w:color="FFEFBE" w:fill="FFEFBE"/>
      </w:tcPr>
    </w:tblStylePr>
    <w:tblStylePr w:type="band2Horz"/>
    <w:tblStylePr w:type="neCell"/>
    <w:tblStylePr w:type="nwCell"/>
    <w:tblStylePr w:type="seCell"/>
    <w:tblStylePr w:type="swCell"/>
  </w:style>
  <w:style w:type="table" w:customStyle="1" w:styleId="117">
    <w:name w:val="List Table 4 - Accent 5"/>
    <w:basedOn w:val="26"/>
    <w:qFormat/>
    <w:uiPriority w:val="99"/>
    <w:pPr>
      <w:spacing w:after="0" w:line="240" w:lineRule="auto"/>
    </w:pPr>
    <w:tblPr>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firstRow">
      <w:rPr>
        <w:rFonts w:ascii="Arial" w:hAnsi="Arial"/>
        <w:b/>
        <w:color w:val="FFFFFF"/>
        <w:sz w:val="22"/>
      </w:r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0DBF0" w:fill="D0DBF0"/>
      </w:tcPr>
    </w:tblStylePr>
    <w:tblStylePr w:type="band2Vert"/>
    <w:tblStylePr w:type="band1Horz">
      <w:rPr>
        <w:rFonts w:ascii="Arial" w:hAnsi="Arial"/>
        <w:color w:val="404040"/>
        <w:sz w:val="22"/>
      </w:rPr>
      <w:tcPr>
        <w:shd w:val="clear" w:color="D0DBF0" w:fill="D0DBF0"/>
      </w:tcPr>
    </w:tblStylePr>
    <w:tblStylePr w:type="band2Horz"/>
    <w:tblStylePr w:type="neCell"/>
    <w:tblStylePr w:type="nwCell"/>
    <w:tblStylePr w:type="seCell"/>
    <w:tblStylePr w:type="swCell"/>
  </w:style>
  <w:style w:type="table" w:customStyle="1" w:styleId="118">
    <w:name w:val="List Table 4 - Accent 6"/>
    <w:basedOn w:val="26"/>
    <w:qFormat/>
    <w:uiPriority w:val="99"/>
    <w:pPr>
      <w:spacing w:after="0" w:line="240" w:lineRule="auto"/>
    </w:pPr>
    <w:tblPr>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firstRow">
      <w:rPr>
        <w:rFonts w:ascii="Arial" w:hAnsi="Arial"/>
        <w:b/>
        <w:color w:val="FFFFFF"/>
        <w:sz w:val="22"/>
      </w:r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BCF" w:fill="DAEBCF"/>
      </w:tcPr>
    </w:tblStylePr>
    <w:tblStylePr w:type="band2Vert"/>
    <w:tblStylePr w:type="band1Horz">
      <w:rPr>
        <w:rFonts w:ascii="Arial" w:hAnsi="Arial"/>
        <w:color w:val="404040"/>
        <w:sz w:val="22"/>
      </w:rPr>
      <w:tcPr>
        <w:shd w:val="clear" w:color="DAEBCF" w:fill="DAEBCF"/>
      </w:tcPr>
    </w:tblStylePr>
    <w:tblStylePr w:type="band2Horz"/>
    <w:tblStylePr w:type="neCell"/>
    <w:tblStylePr w:type="nwCell"/>
    <w:tblStylePr w:type="seCell"/>
    <w:tblStylePr w:type="swCell"/>
  </w:style>
  <w:style w:type="table" w:customStyle="1" w:styleId="119">
    <w:name w:val="List Table 5 Dark"/>
    <w:basedOn w:val="26"/>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fill="7E7E7E"/>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fill="7E7E7E"/>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fill="7E7E7E"/>
      </w:tcPr>
    </w:tblStylePr>
    <w:tblStylePr w:type="band2Horz">
      <w:tcPr>
        <w:tcBorders>
          <w:top w:val="single" w:color="FFFFFF" w:themeColor="light1" w:sz="4" w:space="0"/>
          <w:bottom w:val="single" w:color="FFFFFF" w:themeColor="light1" w:sz="4" w:space="0"/>
        </w:tcBorders>
        <w:shd w:val="clear" w:color="7E7E7E" w:fill="7E7E7E"/>
      </w:tcPr>
    </w:tblStylePr>
    <w:tblStylePr w:type="neCell"/>
    <w:tblStylePr w:type="nwCell"/>
    <w:tblStylePr w:type="seCell"/>
    <w:tblStylePr w:type="swCell"/>
  </w:style>
  <w:style w:type="table" w:customStyle="1" w:styleId="120">
    <w:name w:val="List Table 5 Dark - Accent 1"/>
    <w:basedOn w:val="26"/>
    <w:qFormat/>
    <w:uiPriority w:val="99"/>
    <w:pPr>
      <w:spacing w:after="0" w:line="240" w:lineRule="auto"/>
    </w:pPr>
    <w:tblPr>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5B9BD5" w:themeColor="accent1" w:sz="32" w:space="0"/>
          <w:bottom w:val="single" w:color="FFFFFF" w:themeColor="light1" w:sz="12" w:space="0"/>
        </w:tcBorders>
        <w:shd w:val="clear" w:color="5B9BD5" w:fill="5B9BD5"/>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5B9BD5" w:themeColor="accent1" w:sz="32" w:space="0"/>
          <w:right w:val="single" w:color="FFFFFF" w:themeColor="light1" w:sz="4" w:space="0"/>
        </w:tcBorders>
      </w:tcPr>
    </w:tblStylePr>
    <w:tblStylePr w:type="lastCol">
      <w:tcPr>
        <w:tcBorders>
          <w:left w:val="single" w:color="FFFFFF" w:themeColor="light1" w:sz="4" w:space="0"/>
          <w:right w:val="single" w:color="5B9BD5" w:themeColor="accent1" w:sz="32" w:space="0"/>
        </w:tcBorders>
      </w:tcPr>
    </w:tblStylePr>
    <w:tblStylePr w:type="band1Vert">
      <w:tcPr>
        <w:tcBorders>
          <w:left w:val="single" w:color="FFFFFF" w:themeColor="light1" w:sz="4" w:space="0"/>
          <w:right w:val="single" w:color="FFFFFF" w:themeColor="light1" w:sz="4" w:space="0"/>
        </w:tcBorders>
        <w:shd w:val="clear" w:color="5B9BD5" w:fill="5B9BD5"/>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5B9BD5" w:fill="5B9BD5"/>
      </w:tcPr>
    </w:tblStylePr>
    <w:tblStylePr w:type="band2Horz">
      <w:tcPr>
        <w:tcBorders>
          <w:top w:val="single" w:color="FFFFFF" w:themeColor="light1" w:sz="4" w:space="0"/>
          <w:bottom w:val="single" w:color="FFFFFF" w:themeColor="light1" w:sz="4" w:space="0"/>
        </w:tcBorders>
        <w:shd w:val="clear" w:color="5B9BD5" w:fill="5B9BD5"/>
      </w:tcPr>
    </w:tblStylePr>
    <w:tblStylePr w:type="neCell"/>
    <w:tblStylePr w:type="nwCell"/>
    <w:tblStylePr w:type="seCell"/>
    <w:tblStylePr w:type="swCell"/>
  </w:style>
  <w:style w:type="table" w:customStyle="1" w:styleId="121">
    <w:name w:val="List Table 5 Dark - Accent 2"/>
    <w:basedOn w:val="26"/>
    <w:qFormat/>
    <w:uiPriority w:val="99"/>
    <w:pPr>
      <w:spacing w:after="0" w:line="240" w:lineRule="auto"/>
    </w:pPr>
    <w:tblPr>
      <w:tblBorders>
        <w:top w:val="single" w:color="F4B285" w:themeColor="accent2" w:themeTint="97" w:sz="32" w:space="0"/>
        <w:left w:val="single" w:color="F4B285" w:themeColor="accent2" w:themeTint="97" w:sz="32" w:space="0"/>
        <w:bottom w:val="single" w:color="F4B285" w:themeColor="accent2" w:themeTint="97" w:sz="32" w:space="0"/>
        <w:right w:val="single" w:color="F4B28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F4B285" w:themeColor="accent2" w:themeTint="97" w:sz="32" w:space="0"/>
          <w:bottom w:val="single" w:color="FFFFFF" w:themeColor="light1" w:sz="12" w:space="0"/>
        </w:tcBorders>
        <w:shd w:val="clear" w:color="F4B285" w:fill="F4B285"/>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4B285" w:themeColor="accent2" w:themeTint="97" w:sz="32" w:space="0"/>
          <w:right w:val="single" w:color="FFFFFF" w:themeColor="light1" w:sz="4" w:space="0"/>
        </w:tcBorders>
      </w:tcPr>
    </w:tblStylePr>
    <w:tblStylePr w:type="lastCol">
      <w:tcPr>
        <w:tcBorders>
          <w:left w:val="single" w:color="FFFFFF" w:themeColor="light1" w:sz="4" w:space="0"/>
          <w:right w:val="single" w:color="F4B285" w:themeColor="accent2" w:themeTint="97" w:sz="32" w:space="0"/>
        </w:tcBorders>
      </w:tcPr>
    </w:tblStylePr>
    <w:tblStylePr w:type="band1Vert">
      <w:tcPr>
        <w:tcBorders>
          <w:left w:val="single" w:color="FFFFFF" w:themeColor="light1" w:sz="4" w:space="0"/>
          <w:right w:val="single" w:color="FFFFFF" w:themeColor="light1" w:sz="4" w:space="0"/>
        </w:tcBorders>
        <w:shd w:val="clear" w:color="F4B285" w:fill="F4B285"/>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4B285" w:fill="F4B285"/>
      </w:tcPr>
    </w:tblStylePr>
    <w:tblStylePr w:type="band2Horz">
      <w:tcPr>
        <w:tcBorders>
          <w:top w:val="single" w:color="FFFFFF" w:themeColor="light1" w:sz="4" w:space="0"/>
          <w:bottom w:val="single" w:color="FFFFFF" w:themeColor="light1" w:sz="4" w:space="0"/>
        </w:tcBorders>
        <w:shd w:val="clear" w:color="F4B285" w:fill="F4B285"/>
      </w:tcPr>
    </w:tblStylePr>
    <w:tblStylePr w:type="neCell"/>
    <w:tblStylePr w:type="nwCell"/>
    <w:tblStylePr w:type="seCell"/>
    <w:tblStylePr w:type="swCell"/>
  </w:style>
  <w:style w:type="table" w:customStyle="1" w:styleId="122">
    <w:name w:val="List Table 5 Dark - Accent 3"/>
    <w:basedOn w:val="26"/>
    <w:qFormat/>
    <w:uiPriority w:val="99"/>
    <w:pPr>
      <w:spacing w:after="0" w:line="240" w:lineRule="auto"/>
    </w:pPr>
    <w:tblPr>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9C9C9" w:themeColor="accent3" w:themeTint="98" w:sz="32" w:space="0"/>
          <w:bottom w:val="single" w:color="FFFFFF" w:themeColor="light1" w:sz="12" w:space="0"/>
        </w:tcBorders>
        <w:shd w:val="clear" w:color="C9C9C9" w:fill="C9C9C9"/>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9C9C9" w:themeColor="accent3" w:themeTint="98" w:sz="32" w:space="0"/>
          <w:right w:val="single" w:color="FFFFFF" w:themeColor="light1" w:sz="4" w:space="0"/>
        </w:tcBorders>
      </w:tcPr>
    </w:tblStylePr>
    <w:tblStylePr w:type="lastCol">
      <w:tcPr>
        <w:tcBorders>
          <w:left w:val="single" w:color="FFFFFF" w:themeColor="light1" w:sz="4" w:space="0"/>
          <w:right w:val="single" w:color="C9C9C9" w:themeColor="accent3" w:themeTint="98" w:sz="32" w:space="0"/>
        </w:tcBorders>
      </w:tcPr>
    </w:tblStylePr>
    <w:tblStylePr w:type="band1Vert">
      <w:tcPr>
        <w:tcBorders>
          <w:left w:val="single" w:color="FFFFFF" w:themeColor="light1" w:sz="4" w:space="0"/>
          <w:right w:val="single" w:color="FFFFFF" w:themeColor="light1" w:sz="4" w:space="0"/>
        </w:tcBorders>
        <w:shd w:val="clear" w:color="C9C9C9" w:fill="C9C9C9"/>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9C9C9" w:fill="C9C9C9"/>
      </w:tcPr>
    </w:tblStylePr>
    <w:tblStylePr w:type="band2Horz">
      <w:tcPr>
        <w:tcBorders>
          <w:top w:val="single" w:color="FFFFFF" w:themeColor="light1" w:sz="4" w:space="0"/>
          <w:bottom w:val="single" w:color="FFFFFF" w:themeColor="light1" w:sz="4" w:space="0"/>
        </w:tcBorders>
        <w:shd w:val="clear" w:color="C9C9C9" w:fill="C9C9C9"/>
      </w:tcPr>
    </w:tblStylePr>
    <w:tblStylePr w:type="neCell"/>
    <w:tblStylePr w:type="nwCell"/>
    <w:tblStylePr w:type="seCell"/>
    <w:tblStylePr w:type="swCell"/>
  </w:style>
  <w:style w:type="table" w:customStyle="1" w:styleId="123">
    <w:name w:val="List Table 5 Dark - Accent 4"/>
    <w:basedOn w:val="26"/>
    <w:qFormat/>
    <w:uiPriority w:val="99"/>
    <w:pPr>
      <w:spacing w:after="0" w:line="240" w:lineRule="auto"/>
    </w:pPr>
    <w:tblPr>
      <w:tblBorders>
        <w:top w:val="single" w:color="FFD864" w:themeColor="accent4" w:themeTint="9A" w:sz="32" w:space="0"/>
        <w:left w:val="single" w:color="FFD864" w:themeColor="accent4" w:themeTint="9A" w:sz="32" w:space="0"/>
        <w:bottom w:val="single" w:color="FFD864" w:themeColor="accent4" w:themeTint="9A" w:sz="32" w:space="0"/>
        <w:right w:val="single" w:color="FFD864"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FFD864" w:themeColor="accent4" w:themeTint="9A" w:sz="32" w:space="0"/>
          <w:bottom w:val="single" w:color="FFFFFF" w:themeColor="light1" w:sz="12" w:space="0"/>
        </w:tcBorders>
        <w:shd w:val="clear" w:color="FFD864" w:fill="FFD864"/>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FD864" w:themeColor="accent4" w:themeTint="9A" w:sz="32" w:space="0"/>
          <w:right w:val="single" w:color="FFFFFF" w:themeColor="light1" w:sz="4" w:space="0"/>
        </w:tcBorders>
      </w:tcPr>
    </w:tblStylePr>
    <w:tblStylePr w:type="lastCol">
      <w:tcPr>
        <w:tcBorders>
          <w:left w:val="single" w:color="FFFFFF" w:themeColor="light1" w:sz="4" w:space="0"/>
          <w:right w:val="single" w:color="FFD864" w:themeColor="accent4" w:themeTint="9A" w:sz="32" w:space="0"/>
        </w:tcBorders>
      </w:tcPr>
    </w:tblStylePr>
    <w:tblStylePr w:type="band1Vert">
      <w:tcPr>
        <w:tcBorders>
          <w:left w:val="single" w:color="FFFFFF" w:themeColor="light1" w:sz="4" w:space="0"/>
          <w:right w:val="single" w:color="FFFFFF" w:themeColor="light1" w:sz="4" w:space="0"/>
        </w:tcBorders>
        <w:shd w:val="clear" w:color="FFD864" w:fill="FFD864"/>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FD864" w:fill="FFD864"/>
      </w:tcPr>
    </w:tblStylePr>
    <w:tblStylePr w:type="band2Horz">
      <w:tcPr>
        <w:tcBorders>
          <w:top w:val="single" w:color="FFFFFF" w:themeColor="light1" w:sz="4" w:space="0"/>
          <w:bottom w:val="single" w:color="FFFFFF" w:themeColor="light1" w:sz="4" w:space="0"/>
        </w:tcBorders>
        <w:shd w:val="clear" w:color="FFD864" w:fill="FFD864"/>
      </w:tcPr>
    </w:tblStylePr>
    <w:tblStylePr w:type="neCell"/>
    <w:tblStylePr w:type="nwCell"/>
    <w:tblStylePr w:type="seCell"/>
    <w:tblStylePr w:type="swCell"/>
  </w:style>
  <w:style w:type="table" w:customStyle="1" w:styleId="124">
    <w:name w:val="List Table 5 Dark - Accent 5"/>
    <w:basedOn w:val="26"/>
    <w:qFormat/>
    <w:uiPriority w:val="99"/>
    <w:pPr>
      <w:spacing w:after="0" w:line="240" w:lineRule="auto"/>
    </w:pPr>
    <w:tblPr>
      <w:tblBorders>
        <w:top w:val="single" w:color="8EA9DB" w:themeColor="accent5" w:themeTint="9A" w:sz="32" w:space="0"/>
        <w:left w:val="single" w:color="8EA9DB" w:themeColor="accent5" w:themeTint="9A" w:sz="32" w:space="0"/>
        <w:bottom w:val="single" w:color="8EA9DB" w:themeColor="accent5" w:themeTint="9A" w:sz="32" w:space="0"/>
        <w:right w:val="single" w:color="8EA9DB"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8EA9DB" w:themeColor="accent5" w:themeTint="9A" w:sz="32" w:space="0"/>
          <w:bottom w:val="single" w:color="FFFFFF" w:themeColor="light1" w:sz="12" w:space="0"/>
        </w:tcBorders>
        <w:shd w:val="clear" w:color="8EA9DB" w:fill="8EA9DB"/>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8EA9DB" w:themeColor="accent5" w:themeTint="9A" w:sz="32" w:space="0"/>
          <w:right w:val="single" w:color="FFFFFF" w:themeColor="light1" w:sz="4" w:space="0"/>
        </w:tcBorders>
      </w:tcPr>
    </w:tblStylePr>
    <w:tblStylePr w:type="lastCol">
      <w:tcPr>
        <w:tcBorders>
          <w:left w:val="single" w:color="FFFFFF" w:themeColor="light1" w:sz="4" w:space="0"/>
          <w:right w:val="single" w:color="8EA9DB" w:themeColor="accent5" w:themeTint="9A" w:sz="32" w:space="0"/>
        </w:tcBorders>
      </w:tcPr>
    </w:tblStylePr>
    <w:tblStylePr w:type="band1Vert">
      <w:tcPr>
        <w:tcBorders>
          <w:left w:val="single" w:color="FFFFFF" w:themeColor="light1" w:sz="4" w:space="0"/>
          <w:right w:val="single" w:color="FFFFFF" w:themeColor="light1" w:sz="4" w:space="0"/>
        </w:tcBorders>
        <w:shd w:val="clear" w:color="8EA9DB" w:fill="8EA9DB"/>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8EA9DB" w:fill="8EA9DB"/>
      </w:tcPr>
    </w:tblStylePr>
    <w:tblStylePr w:type="band2Horz">
      <w:tcPr>
        <w:tcBorders>
          <w:top w:val="single" w:color="FFFFFF" w:themeColor="light1" w:sz="4" w:space="0"/>
          <w:bottom w:val="single" w:color="FFFFFF" w:themeColor="light1" w:sz="4" w:space="0"/>
        </w:tcBorders>
        <w:shd w:val="clear" w:color="8EA9DB" w:fill="8EA9DB"/>
      </w:tcPr>
    </w:tblStylePr>
    <w:tblStylePr w:type="neCell"/>
    <w:tblStylePr w:type="nwCell"/>
    <w:tblStylePr w:type="seCell"/>
    <w:tblStylePr w:type="swCell"/>
  </w:style>
  <w:style w:type="table" w:customStyle="1" w:styleId="125">
    <w:name w:val="List Table 5 Dark - Accent 6"/>
    <w:basedOn w:val="26"/>
    <w:qFormat/>
    <w:uiPriority w:val="99"/>
    <w:pPr>
      <w:spacing w:after="0" w:line="240" w:lineRule="auto"/>
    </w:pPr>
    <w:tblPr>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A9D08E" w:themeColor="accent6" w:themeTint="98" w:sz="32" w:space="0"/>
          <w:bottom w:val="single" w:color="FFFFFF" w:themeColor="light1" w:sz="12" w:space="0"/>
        </w:tcBorders>
        <w:shd w:val="clear" w:color="A9D08E" w:fill="A9D08E"/>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A9D08E" w:themeColor="accent6" w:themeTint="98" w:sz="32" w:space="0"/>
          <w:right w:val="single" w:color="FFFFFF" w:themeColor="light1" w:sz="4" w:space="0"/>
        </w:tcBorders>
      </w:tcPr>
    </w:tblStylePr>
    <w:tblStylePr w:type="lastCol">
      <w:tcPr>
        <w:tcBorders>
          <w:left w:val="single" w:color="FFFFFF" w:themeColor="light1" w:sz="4" w:space="0"/>
          <w:right w:val="single" w:color="A9D08E" w:themeColor="accent6" w:themeTint="98" w:sz="32" w:space="0"/>
        </w:tcBorders>
      </w:tcPr>
    </w:tblStylePr>
    <w:tblStylePr w:type="band1Vert">
      <w:tcPr>
        <w:tcBorders>
          <w:left w:val="single" w:color="FFFFFF" w:themeColor="light1" w:sz="4" w:space="0"/>
          <w:right w:val="single" w:color="FFFFFF" w:themeColor="light1" w:sz="4" w:space="0"/>
        </w:tcBorders>
        <w:shd w:val="clear" w:color="A9D08E" w:fill="A9D08E"/>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A9D08E" w:fill="A9D08E"/>
      </w:tcPr>
    </w:tblStylePr>
    <w:tblStylePr w:type="band2Horz">
      <w:tcPr>
        <w:tcBorders>
          <w:top w:val="single" w:color="FFFFFF" w:themeColor="light1" w:sz="4" w:space="0"/>
          <w:bottom w:val="single" w:color="FFFFFF" w:themeColor="light1" w:sz="4" w:space="0"/>
        </w:tcBorders>
        <w:shd w:val="clear" w:color="A9D08E" w:fill="A9D08E"/>
      </w:tcPr>
    </w:tblStylePr>
    <w:tblStylePr w:type="neCell"/>
    <w:tblStylePr w:type="nwCell"/>
    <w:tblStylePr w:type="seCell"/>
    <w:tblStylePr w:type="swCell"/>
  </w:style>
  <w:style w:type="table" w:customStyle="1" w:styleId="126">
    <w:name w:val="List Table 6 Colorful"/>
    <w:basedOn w:val="26"/>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fill="BEBEBE"/>
      </w:tcPr>
    </w:tblStylePr>
    <w:tblStylePr w:type="band2Vert"/>
    <w:tblStylePr w:type="band1Horz">
      <w:rPr>
        <w:rFonts w:ascii="Arial" w:hAnsi="Arial"/>
        <w:color w:val="000000" w:themeColor="text1"/>
        <w:sz w:val="22"/>
        <w14:textFill>
          <w14:solidFill>
            <w14:schemeClr w14:val="tx1"/>
          </w14:solidFill>
        </w14:textFill>
      </w:rPr>
      <w:tcPr>
        <w:shd w:val="clear" w:color="BEBEBE" w:fill="BEBEBE"/>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w:type="table" w:customStyle="1" w:styleId="127">
    <w:name w:val="List Table 6 Colorful - Accent 1"/>
    <w:basedOn w:val="26"/>
    <w:qFormat/>
    <w:uiPriority w:val="99"/>
    <w:pPr>
      <w:spacing w:after="0" w:line="240" w:lineRule="auto"/>
    </w:pPr>
    <w:tblPr>
      <w:tblBorders>
        <w:top w:val="single" w:color="5B9BD5" w:themeColor="accent1" w:sz="4" w:space="0"/>
        <w:bottom w:val="single" w:color="5B9BD5" w:themeColor="accent1" w:sz="4" w:space="0"/>
      </w:tblBorders>
    </w:tblPr>
    <w:tblStylePr w:type="firstRow">
      <w:rPr>
        <w:b/>
        <w:color w:val="245B8C" w:themeColor="accent1" w:themeShade="94"/>
      </w:rPr>
      <w:tcPr>
        <w:tcBorders>
          <w:bottom w:val="single" w:color="5B9BD5" w:themeColor="accent1" w:sz="4" w:space="0"/>
        </w:tcBorders>
      </w:tcPr>
    </w:tblStylePr>
    <w:tblStylePr w:type="lastRow">
      <w:rPr>
        <w:b/>
        <w:color w:val="245B8C" w:themeColor="accent1" w:themeShade="94"/>
      </w:rPr>
      <w:tcPr>
        <w:tcBorders>
          <w:top w:val="single" w:color="5B9BD5" w:themeColor="accent1" w:sz="4" w:space="0"/>
        </w:tcBorders>
      </w:tcPr>
    </w:tblStylePr>
    <w:tblStylePr w:type="firstCol">
      <w:rPr>
        <w:b/>
        <w:color w:val="245B8C" w:themeColor="accent1" w:themeShade="94"/>
      </w:rPr>
    </w:tblStylePr>
    <w:tblStylePr w:type="lastCol">
      <w:rPr>
        <w:b/>
        <w:color w:val="245B8C" w:themeColor="accent1" w:themeShade="94"/>
      </w:rPr>
    </w:tblStylePr>
    <w:tblStylePr w:type="band1Vert">
      <w:tcPr>
        <w:shd w:val="clear" w:color="D5E5F4" w:fill="D5E5F4"/>
      </w:tcPr>
    </w:tblStylePr>
    <w:tblStylePr w:type="band2Vert"/>
    <w:tblStylePr w:type="band1Horz">
      <w:rPr>
        <w:rFonts w:ascii="Arial" w:hAnsi="Arial"/>
        <w:color w:val="245B8C" w:themeColor="accent1" w:themeShade="94"/>
        <w:sz w:val="22"/>
      </w:rPr>
      <w:tcPr>
        <w:shd w:val="clear" w:color="D5E5F4" w:fill="D5E5F4"/>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28">
    <w:name w:val="List Table 6 Colorful - Accent 2"/>
    <w:basedOn w:val="26"/>
    <w:qFormat/>
    <w:uiPriority w:val="99"/>
    <w:pPr>
      <w:spacing w:after="0" w:line="240" w:lineRule="auto"/>
    </w:pPr>
    <w:tblPr>
      <w:tblBorders>
        <w:top w:val="single" w:color="F4B285" w:themeColor="accent2" w:themeTint="97" w:sz="4" w:space="0"/>
        <w:bottom w:val="single" w:color="F4B285" w:themeColor="accent2" w:themeTint="97" w:sz="4" w:space="0"/>
      </w:tblBorders>
    </w:tblPr>
    <w:tblStylePr w:type="firstRow">
      <w:rPr>
        <w:b/>
        <w:color w:val="F4B285" w:themeColor="accent2" w:themeTint="96"/>
        <w14:textFill>
          <w14:solidFill>
            <w14:schemeClr w14:val="accent2">
              <w14:lumMod w14:val="59000"/>
              <w14:lumOff w14:val="41000"/>
            </w14:schemeClr>
          </w14:solidFill>
        </w14:textFill>
      </w:rPr>
      <w:tcPr>
        <w:tcBorders>
          <w:bottom w:val="single" w:color="F4B285" w:themeColor="accent2" w:themeTint="97" w:sz="4" w:space="0"/>
        </w:tcBorders>
      </w:tcPr>
    </w:tblStylePr>
    <w:tblStylePr w:type="lastRow">
      <w:rPr>
        <w:b/>
        <w:color w:val="F4B285" w:themeColor="accent2" w:themeTint="96"/>
        <w14:textFill>
          <w14:solidFill>
            <w14:schemeClr w14:val="accent2">
              <w14:lumMod w14:val="59000"/>
              <w14:lumOff w14:val="41000"/>
            </w14:schemeClr>
          </w14:solidFill>
        </w14:textFill>
      </w:rPr>
      <w:tcPr>
        <w:tcBorders>
          <w:top w:val="single" w:color="F4B285" w:themeColor="accent2" w:themeTint="97" w:sz="4" w:space="0"/>
        </w:tcBorders>
      </w:tcPr>
    </w:tblStylePr>
    <w:tblStylePr w:type="firstCol">
      <w:rPr>
        <w:b/>
        <w:color w:val="F4B285" w:themeColor="accent2" w:themeTint="96"/>
        <w14:textFill>
          <w14:solidFill>
            <w14:schemeClr w14:val="accent2">
              <w14:lumMod w14:val="59000"/>
              <w14:lumOff w14:val="41000"/>
            </w14:schemeClr>
          </w14:solidFill>
        </w14:textFill>
      </w:rPr>
    </w:tblStylePr>
    <w:tblStylePr w:type="lastCol">
      <w:rPr>
        <w:b/>
        <w:color w:val="F4B285" w:themeColor="accent2" w:themeTint="96"/>
        <w14:textFill>
          <w14:solidFill>
            <w14:schemeClr w14:val="accent2">
              <w14:lumMod w14:val="59000"/>
              <w14:lumOff w14:val="41000"/>
            </w14:schemeClr>
          </w14:solidFill>
        </w14:textFill>
      </w:rPr>
    </w:tblStylePr>
    <w:tblStylePr w:type="band1Vert">
      <w:tcPr>
        <w:shd w:val="clear" w:color="FADECB" w:fill="FADECB"/>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fill="FADECB"/>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29">
    <w:name w:val="List Table 6 Colorful - Accent 3"/>
    <w:basedOn w:val="26"/>
    <w:qFormat/>
    <w:uiPriority w:val="99"/>
    <w:pPr>
      <w:spacing w:after="0" w:line="240" w:lineRule="auto"/>
    </w:pPr>
    <w:tblPr>
      <w:tblBorders>
        <w:top w:val="single" w:color="C9C9C9" w:themeColor="accent3" w:themeTint="98" w:sz="4" w:space="0"/>
        <w:bottom w:val="single" w:color="C9C9C9" w:themeColor="accent3" w:themeTint="98" w:sz="4" w:space="0"/>
      </w:tblBorders>
    </w:tblPr>
    <w:tblStylePr w:type="firstRow">
      <w:rPr>
        <w:b/>
        <w:color w:val="C9C9C9" w:themeColor="accent3" w:themeTint="99"/>
        <w14:textFill>
          <w14:solidFill>
            <w14:schemeClr w14:val="accent3">
              <w14:lumMod w14:val="60000"/>
              <w14:lumOff w14:val="40000"/>
            </w14:schemeClr>
          </w14:solidFill>
        </w14:textFill>
      </w:rPr>
      <w:tcPr>
        <w:tcBorders>
          <w:bottom w:val="single" w:color="C9C9C9" w:themeColor="accent3" w:themeTint="98" w:sz="4" w:space="0"/>
        </w:tcBorders>
      </w:tcPr>
    </w:tblStylePr>
    <w:tblStylePr w:type="lastRow">
      <w:rPr>
        <w:b/>
        <w:color w:val="C9C9C9" w:themeColor="accent3" w:themeTint="99"/>
        <w14:textFill>
          <w14:solidFill>
            <w14:schemeClr w14:val="accent3">
              <w14:lumMod w14:val="60000"/>
              <w14:lumOff w14:val="40000"/>
            </w14:schemeClr>
          </w14:solidFill>
        </w14:textFill>
      </w:rPr>
      <w:tcPr>
        <w:tcBorders>
          <w:top w:val="single" w:color="C9C9C9" w:themeColor="accent3" w:themeTint="98" w:sz="4" w:space="0"/>
        </w:tcBorders>
      </w:tcPr>
    </w:tblStylePr>
    <w:tblStylePr w:type="firstCol">
      <w:rPr>
        <w:b/>
        <w:color w:val="C9C9C9" w:themeColor="accent3" w:themeTint="99"/>
        <w14:textFill>
          <w14:solidFill>
            <w14:schemeClr w14:val="accent3">
              <w14:lumMod w14:val="60000"/>
              <w14:lumOff w14:val="40000"/>
            </w14:schemeClr>
          </w14:solidFill>
        </w14:textFill>
      </w:rPr>
    </w:tblStylePr>
    <w:tblStylePr w:type="lastCol">
      <w:rPr>
        <w:b/>
        <w:color w:val="C9C9C9" w:themeColor="accent3" w:themeTint="99"/>
        <w14:textFill>
          <w14:solidFill>
            <w14:schemeClr w14:val="accent3">
              <w14:lumMod w14:val="60000"/>
              <w14:lumOff w14:val="40000"/>
            </w14:schemeClr>
          </w14:solidFill>
        </w14:textFill>
      </w:rPr>
    </w:tblStylePr>
    <w:tblStylePr w:type="band1Vert">
      <w:tcPr>
        <w:shd w:val="clear" w:color="E8E8E8" w:fill="E8E8E8"/>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fill="E8E8E8"/>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0">
    <w:name w:val="List Table 6 Colorful - Accent 4"/>
    <w:basedOn w:val="26"/>
    <w:qFormat/>
    <w:uiPriority w:val="99"/>
    <w:pPr>
      <w:spacing w:after="0" w:line="240" w:lineRule="auto"/>
    </w:pPr>
    <w:tblPr>
      <w:tblBorders>
        <w:top w:val="single" w:color="FFD864" w:themeColor="accent4" w:themeTint="9A" w:sz="4" w:space="0"/>
        <w:bottom w:val="single" w:color="FFD864" w:themeColor="accent4" w:themeTint="9A" w:sz="4" w:space="0"/>
      </w:tblBorders>
    </w:tblPr>
    <w:tblStylePr w:type="firstRow">
      <w:rPr>
        <w:b/>
        <w:color w:val="FFD966" w:themeColor="accent4" w:themeTint="99"/>
        <w14:textFill>
          <w14:solidFill>
            <w14:schemeClr w14:val="accent4">
              <w14:lumMod w14:val="60000"/>
              <w14:lumOff w14:val="40000"/>
            </w14:schemeClr>
          </w14:solidFill>
        </w14:textFill>
      </w:rPr>
      <w:tcPr>
        <w:tcBorders>
          <w:bottom w:val="single" w:color="FFD864" w:themeColor="accent4" w:themeTint="9A" w:sz="4" w:space="0"/>
        </w:tcBorders>
      </w:tcPr>
    </w:tblStylePr>
    <w:tblStylePr w:type="lastRow">
      <w:rPr>
        <w:b/>
        <w:color w:val="FFD966" w:themeColor="accent4" w:themeTint="99"/>
        <w14:textFill>
          <w14:solidFill>
            <w14:schemeClr w14:val="accent4">
              <w14:lumMod w14:val="60000"/>
              <w14:lumOff w14:val="40000"/>
            </w14:schemeClr>
          </w14:solidFill>
        </w14:textFill>
      </w:rPr>
      <w:tcPr>
        <w:tcBorders>
          <w:top w:val="single" w:color="FFD864" w:themeColor="accent4" w:themeTint="9A" w:sz="4" w:space="0"/>
        </w:tcBorders>
      </w:tcPr>
    </w:tblStylePr>
    <w:tblStylePr w:type="firstCol">
      <w:rPr>
        <w:b/>
        <w:color w:val="FFD966" w:themeColor="accent4" w:themeTint="99"/>
        <w14:textFill>
          <w14:solidFill>
            <w14:schemeClr w14:val="accent4">
              <w14:lumMod w14:val="60000"/>
              <w14:lumOff w14:val="40000"/>
            </w14:schemeClr>
          </w14:solidFill>
        </w14:textFill>
      </w:rPr>
    </w:tblStylePr>
    <w:tblStylePr w:type="lastCol">
      <w:rPr>
        <w:b/>
        <w:color w:val="FFD966" w:themeColor="accent4" w:themeTint="99"/>
        <w14:textFill>
          <w14:solidFill>
            <w14:schemeClr w14:val="accent4">
              <w14:lumMod w14:val="60000"/>
              <w14:lumOff w14:val="40000"/>
            </w14:schemeClr>
          </w14:solidFill>
        </w14:textFill>
      </w:rPr>
    </w:tblStylePr>
    <w:tblStylePr w:type="band1Vert">
      <w:tcPr>
        <w:shd w:val="clear" w:color="FFEFBE" w:fill="FFEFBE"/>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fill="FFEFBE"/>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1">
    <w:name w:val="List Table 6 Colorful - Accent 5"/>
    <w:basedOn w:val="26"/>
    <w:qFormat/>
    <w:uiPriority w:val="99"/>
    <w:pPr>
      <w:spacing w:after="0" w:line="240" w:lineRule="auto"/>
    </w:pPr>
    <w:tblPr>
      <w:tblBorders>
        <w:top w:val="single" w:color="8EA9DB" w:themeColor="accent5" w:themeTint="9A" w:sz="4" w:space="0"/>
        <w:bottom w:val="single" w:color="8EA9DB" w:themeColor="accent5" w:themeTint="9A" w:sz="4" w:space="0"/>
      </w:tblBorders>
    </w:tblPr>
    <w:tblStylePr w:type="firstRow">
      <w:rPr>
        <w:b/>
        <w:color w:val="8FAADC" w:themeColor="accent5" w:themeTint="99"/>
        <w14:textFill>
          <w14:solidFill>
            <w14:schemeClr w14:val="accent5">
              <w14:lumMod w14:val="60000"/>
              <w14:lumOff w14:val="40000"/>
            </w14:schemeClr>
          </w14:solidFill>
        </w14:textFill>
      </w:rPr>
      <w:tcPr>
        <w:tcBorders>
          <w:bottom w:val="single" w:color="8EA9DB" w:themeColor="accent5" w:themeTint="9A" w:sz="4" w:space="0"/>
        </w:tcBorders>
      </w:tcPr>
    </w:tblStylePr>
    <w:tblStylePr w:type="lastRow">
      <w:rPr>
        <w:b/>
        <w:color w:val="8FAADC" w:themeColor="accent5" w:themeTint="99"/>
        <w14:textFill>
          <w14:solidFill>
            <w14:schemeClr w14:val="accent5">
              <w14:lumMod w14:val="60000"/>
              <w14:lumOff w14:val="40000"/>
            </w14:schemeClr>
          </w14:solidFill>
        </w14:textFill>
      </w:rPr>
      <w:tcPr>
        <w:tcBorders>
          <w:top w:val="single" w:color="8EA9DB" w:themeColor="accent5" w:themeTint="9A" w:sz="4" w:space="0"/>
        </w:tcBorders>
      </w:tcPr>
    </w:tblStylePr>
    <w:tblStylePr w:type="firstCol">
      <w:rPr>
        <w:b/>
        <w:color w:val="8FAADC" w:themeColor="accent5" w:themeTint="99"/>
        <w14:textFill>
          <w14:solidFill>
            <w14:schemeClr w14:val="accent5">
              <w14:lumMod w14:val="60000"/>
              <w14:lumOff w14:val="40000"/>
            </w14:schemeClr>
          </w14:solidFill>
        </w14:textFill>
      </w:rPr>
    </w:tblStylePr>
    <w:tblStylePr w:type="lastCol">
      <w:rPr>
        <w:b/>
        <w:color w:val="8FAADC" w:themeColor="accent5" w:themeTint="99"/>
        <w14:textFill>
          <w14:solidFill>
            <w14:schemeClr w14:val="accent5">
              <w14:lumMod w14:val="60000"/>
              <w14:lumOff w14:val="40000"/>
            </w14:schemeClr>
          </w14:solidFill>
        </w14:textFill>
      </w:rPr>
    </w:tblStylePr>
    <w:tblStylePr w:type="band1Vert">
      <w:tcPr>
        <w:shd w:val="clear" w:color="D0DBF0" w:fill="D0DBF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fill="D0DBF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2">
    <w:name w:val="List Table 6 Colorful - Accent 6"/>
    <w:basedOn w:val="26"/>
    <w:qFormat/>
    <w:uiPriority w:val="99"/>
    <w:pPr>
      <w:spacing w:after="0" w:line="240" w:lineRule="auto"/>
    </w:pPr>
    <w:tblPr>
      <w:tblBorders>
        <w:top w:val="single" w:color="A9D08E" w:themeColor="accent6" w:themeTint="98" w:sz="4" w:space="0"/>
        <w:bottom w:val="single" w:color="A9D08E" w:themeColor="accent6" w:themeTint="98" w:sz="4" w:space="0"/>
      </w:tblBorders>
    </w:tblPr>
    <w:tblStylePr w:type="firstRow">
      <w:rPr>
        <w:b/>
        <w:color w:val="A9D18E" w:themeColor="accent6" w:themeTint="99"/>
        <w14:textFill>
          <w14:solidFill>
            <w14:schemeClr w14:val="accent6">
              <w14:lumMod w14:val="60000"/>
              <w14:lumOff w14:val="40000"/>
            </w14:schemeClr>
          </w14:solidFill>
        </w14:textFill>
      </w:rPr>
      <w:tcPr>
        <w:tcBorders>
          <w:bottom w:val="single" w:color="A9D08E" w:themeColor="accent6" w:themeTint="98" w:sz="4" w:space="0"/>
        </w:tcBorders>
      </w:tcPr>
    </w:tblStylePr>
    <w:tblStylePr w:type="lastRow">
      <w:rPr>
        <w:b/>
        <w:color w:val="A9D18E" w:themeColor="accent6" w:themeTint="99"/>
        <w14:textFill>
          <w14:solidFill>
            <w14:schemeClr w14:val="accent6">
              <w14:lumMod w14:val="60000"/>
              <w14:lumOff w14:val="40000"/>
            </w14:schemeClr>
          </w14:solidFill>
        </w14:textFill>
      </w:rPr>
      <w:tcPr>
        <w:tcBorders>
          <w:top w:val="single" w:color="A9D08E" w:themeColor="accent6" w:themeTint="98" w:sz="4" w:space="0"/>
        </w:tcBorders>
      </w:tcPr>
    </w:tblStylePr>
    <w:tblStylePr w:type="firstCol">
      <w:rPr>
        <w:b/>
        <w:color w:val="A9D18E" w:themeColor="accent6" w:themeTint="99"/>
        <w14:textFill>
          <w14:solidFill>
            <w14:schemeClr w14:val="accent6">
              <w14:lumMod w14:val="60000"/>
              <w14:lumOff w14:val="40000"/>
            </w14:schemeClr>
          </w14:solidFill>
        </w14:textFill>
      </w:rPr>
    </w:tblStylePr>
    <w:tblStylePr w:type="lastCol">
      <w:rPr>
        <w:b/>
        <w:color w:val="A9D18E" w:themeColor="accent6" w:themeTint="99"/>
        <w14:textFill>
          <w14:solidFill>
            <w14:schemeClr w14:val="accent6">
              <w14:lumMod w14:val="60000"/>
              <w14:lumOff w14:val="40000"/>
            </w14:schemeClr>
          </w14:solidFill>
        </w14:textFill>
      </w:rPr>
    </w:tblStylePr>
    <w:tblStylePr w:type="band1Vert">
      <w:tcPr>
        <w:shd w:val="clear" w:color="DAEBCF" w:fill="DAEBCF"/>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fill="DAEBCF"/>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33">
    <w:name w:val="List Table 7 Colorful"/>
    <w:basedOn w:val="26"/>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fill="FFFFFF"/>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fill="FFFFFF"/>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fill="BEBEBE"/>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fill="BEBEBE"/>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34">
    <w:name w:val="List Table 7 Colorful - Accent 1"/>
    <w:basedOn w:val="26"/>
    <w:qFormat/>
    <w:uiPriority w:val="99"/>
    <w:pPr>
      <w:spacing w:after="0" w:line="240" w:lineRule="auto"/>
    </w:pPr>
    <w:tblPr>
      <w:tblBorders>
        <w:right w:val="single" w:color="5B9BD5" w:themeColor="accent1" w:sz="4" w:space="0"/>
      </w:tblBorders>
    </w:tblPr>
    <w:tblStylePr w:type="firstRow">
      <w:rPr>
        <w:rFonts w:ascii="Arial" w:hAnsi="Arial"/>
        <w:i/>
        <w:color w:val="245B8C" w:themeColor="accent1" w:themeShade="94"/>
        <w:sz w:val="22"/>
      </w:rPr>
      <w:tcPr>
        <w:tcBorders>
          <w:top w:val="nil"/>
          <w:left w:val="nil"/>
          <w:bottom w:val="single" w:color="5B9BD5" w:themeColor="accent1" w:sz="4" w:space="0"/>
          <w:right w:val="nil"/>
        </w:tcBorders>
        <w:shd w:val="clear" w:color="FFFFFF" w:fill="FFFFFF"/>
      </w:tcPr>
    </w:tblStylePr>
    <w:tblStylePr w:type="lastRow">
      <w:rPr>
        <w:rFonts w:ascii="Arial" w:hAnsi="Arial"/>
        <w:i/>
        <w:color w:val="245B8C" w:themeColor="accent1" w:themeShade="94"/>
        <w:sz w:val="22"/>
      </w:rPr>
      <w:tcPr>
        <w:tcBorders>
          <w:top w:val="single" w:color="5B9BD5" w:themeColor="accent1" w:sz="4" w:space="0"/>
          <w:left w:val="nil"/>
          <w:bottom w:val="nil"/>
          <w:right w:val="nil"/>
        </w:tcBorders>
        <w:shd w:val="clear" w:color="FFFFFF" w:fill="FFFFFF"/>
      </w:tcPr>
    </w:tblStylePr>
    <w:tblStylePr w:type="firstCol">
      <w:pPr>
        <w:jc w:val="right"/>
      </w:pPr>
      <w:rPr>
        <w:rFonts w:ascii="Arial" w:hAnsi="Arial"/>
        <w:i/>
        <w:color w:val="245B8C" w:themeColor="accent1" w:themeShade="94"/>
        <w:sz w:val="22"/>
      </w:rPr>
      <w:tcPr>
        <w:tcBorders>
          <w:top w:val="nil"/>
          <w:left w:val="nil"/>
          <w:bottom w:val="nil"/>
          <w:right w:val="single" w:color="5B9BD5" w:themeColor="accent1" w:sz="4" w:space="0"/>
        </w:tcBorders>
        <w:shd w:val="clear" w:color="FFFFFF" w:fill="auto"/>
      </w:tcPr>
    </w:tblStylePr>
    <w:tblStylePr w:type="lastCol">
      <w:rPr>
        <w:rFonts w:ascii="Arial" w:hAnsi="Arial"/>
        <w:i/>
        <w:color w:val="245B8C" w:themeColor="accent1" w:themeShade="94"/>
        <w:sz w:val="22"/>
      </w:rPr>
      <w:tcPr>
        <w:tcBorders>
          <w:top w:val="nil"/>
          <w:left w:val="single" w:color="5B9BD5" w:themeColor="accent1" w:sz="4" w:space="0"/>
          <w:bottom w:val="nil"/>
          <w:right w:val="nil"/>
        </w:tcBorders>
        <w:shd w:val="clear" w:color="FFFFFF" w:fill="auto"/>
      </w:tcPr>
    </w:tblStylePr>
    <w:tblStylePr w:type="band1Vert">
      <w:tcPr>
        <w:shd w:val="clear" w:color="D5E5F4" w:fill="D5E5F4"/>
      </w:tcPr>
    </w:tblStylePr>
    <w:tblStylePr w:type="band2Vert"/>
    <w:tblStylePr w:type="band1Horz">
      <w:rPr>
        <w:rFonts w:ascii="Arial" w:hAnsi="Arial"/>
        <w:color w:val="245B8C" w:themeColor="accent1" w:themeShade="94"/>
        <w:sz w:val="22"/>
      </w:rPr>
      <w:tcPr>
        <w:shd w:val="clear" w:color="D5E5F4" w:fill="D5E5F4"/>
      </w:tcPr>
    </w:tblStylePr>
    <w:tblStylePr w:type="band2Horz">
      <w:rPr>
        <w:rFonts w:ascii="Arial" w:hAnsi="Arial"/>
        <w:color w:val="245B8C" w:themeColor="accent1" w:themeShade="94"/>
        <w:sz w:val="22"/>
      </w:rPr>
    </w:tblStylePr>
    <w:tblStylePr w:type="neCell"/>
    <w:tblStylePr w:type="nwCell"/>
    <w:tblStylePr w:type="seCell"/>
    <w:tblStylePr w:type="swCell"/>
  </w:style>
  <w:style w:type="table" w:customStyle="1" w:styleId="135">
    <w:name w:val="List Table 7 Colorful - Accent 2"/>
    <w:basedOn w:val="26"/>
    <w:qFormat/>
    <w:uiPriority w:val="99"/>
    <w:pPr>
      <w:spacing w:after="0" w:line="240" w:lineRule="auto"/>
    </w:pPr>
    <w:tblPr>
      <w:tblBorders>
        <w:right w:val="single" w:color="F4B285" w:themeColor="accent2" w:themeTint="97" w:sz="4" w:space="0"/>
      </w:tblBorders>
    </w:tblPr>
    <w:tblStylePr w:type="firstRow">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single" w:color="F4B285" w:themeColor="accent2" w:themeTint="97" w:sz="4" w:space="0"/>
          <w:right w:val="nil"/>
        </w:tcBorders>
        <w:shd w:val="clear" w:color="FFFFFF" w:fill="FFFFFF"/>
      </w:tcPr>
    </w:tblStylePr>
    <w:tblStylePr w:type="lastRow">
      <w:rPr>
        <w:rFonts w:ascii="Arial" w:hAnsi="Arial"/>
        <w:i/>
        <w:color w:val="F4B285" w:themeColor="accent2" w:themeTint="96"/>
        <w:sz w:val="22"/>
        <w14:textFill>
          <w14:solidFill>
            <w14:schemeClr w14:val="accent2">
              <w14:lumMod w14:val="59000"/>
              <w14:lumOff w14:val="41000"/>
            </w14:schemeClr>
          </w14:solidFill>
        </w14:textFill>
      </w:rPr>
      <w:tcPr>
        <w:tcBorders>
          <w:top w:val="single" w:color="F4B285" w:themeColor="accent2" w:themeTint="97" w:sz="4" w:space="0"/>
          <w:left w:val="nil"/>
          <w:bottom w:val="nil"/>
          <w:right w:val="nil"/>
        </w:tcBorders>
        <w:shd w:val="clear" w:color="FFFFFF" w:fill="FFFFFF"/>
      </w:tcPr>
    </w:tblStylePr>
    <w:tblStylePr w:type="firstCol">
      <w:pPr>
        <w:jc w:val="right"/>
      </w:pPr>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nil"/>
          <w:bottom w:val="nil"/>
          <w:right w:val="single" w:color="F4B285" w:themeColor="accent2" w:themeTint="97" w:sz="4" w:space="0"/>
        </w:tcBorders>
        <w:shd w:val="clear" w:color="FFFFFF" w:fill="auto"/>
      </w:tcPr>
    </w:tblStylePr>
    <w:tblStylePr w:type="lastCol">
      <w:rPr>
        <w:rFonts w:ascii="Arial" w:hAnsi="Arial"/>
        <w:i/>
        <w:color w:val="F4B285" w:themeColor="accent2" w:themeTint="96"/>
        <w:sz w:val="22"/>
        <w14:textFill>
          <w14:solidFill>
            <w14:schemeClr w14:val="accent2">
              <w14:lumMod w14:val="59000"/>
              <w14:lumOff w14:val="41000"/>
            </w14:schemeClr>
          </w14:solidFill>
        </w14:textFill>
      </w:rPr>
      <w:tcPr>
        <w:tcBorders>
          <w:top w:val="nil"/>
          <w:left w:val="single" w:color="F4B285" w:themeColor="accent2" w:themeTint="97" w:sz="4" w:space="0"/>
          <w:bottom w:val="nil"/>
          <w:right w:val="nil"/>
        </w:tcBorders>
        <w:shd w:val="clear" w:color="FFFFFF" w:fill="auto"/>
      </w:tcPr>
    </w:tblStylePr>
    <w:tblStylePr w:type="band1Vert">
      <w:tcPr>
        <w:shd w:val="clear" w:color="FADECB" w:fill="FADECB"/>
      </w:tcPr>
    </w:tblStylePr>
    <w:tblStylePr w:type="band2Vert"/>
    <w:tblStylePr w:type="band1Horz">
      <w:rPr>
        <w:rFonts w:ascii="Arial" w:hAnsi="Arial"/>
        <w:color w:val="F4B285" w:themeColor="accent2" w:themeTint="96"/>
        <w:sz w:val="22"/>
        <w14:textFill>
          <w14:solidFill>
            <w14:schemeClr w14:val="accent2">
              <w14:lumMod w14:val="59000"/>
              <w14:lumOff w14:val="41000"/>
            </w14:schemeClr>
          </w14:solidFill>
        </w14:textFill>
      </w:rPr>
      <w:tcPr>
        <w:shd w:val="clear" w:color="FADECB" w:fill="FADECB"/>
      </w:tcPr>
    </w:tblStylePr>
    <w:tblStylePr w:type="band2Horz">
      <w:rPr>
        <w:rFonts w:ascii="Arial" w:hAnsi="Arial"/>
        <w:color w:val="F4B285"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36">
    <w:name w:val="List Table 7 Colorful - Accent 3"/>
    <w:basedOn w:val="26"/>
    <w:qFormat/>
    <w:uiPriority w:val="99"/>
    <w:pPr>
      <w:spacing w:after="0" w:line="240" w:lineRule="auto"/>
    </w:pPr>
    <w:tblPr>
      <w:tblBorders>
        <w:right w:val="single" w:color="C9C9C9" w:themeColor="accent3" w:themeTint="98" w:sz="4" w:space="0"/>
      </w:tblBorders>
    </w:tblPr>
    <w:tblStylePr w:type="firstRow">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single" w:color="C9C9C9" w:themeColor="accent3" w:themeTint="98" w:sz="4" w:space="0"/>
          <w:right w:val="nil"/>
        </w:tcBorders>
        <w:shd w:val="clear" w:color="FFFFFF" w:fill="FFFFFF"/>
      </w:tcPr>
    </w:tblStylePr>
    <w:tblStylePr w:type="lastRow">
      <w:rPr>
        <w:rFonts w:ascii="Arial" w:hAnsi="Arial"/>
        <w:i/>
        <w:color w:val="C9C9C9" w:themeColor="accent3" w:themeTint="99"/>
        <w:sz w:val="22"/>
        <w14:textFill>
          <w14:solidFill>
            <w14:schemeClr w14:val="accent3">
              <w14:lumMod w14:val="60000"/>
              <w14:lumOff w14:val="40000"/>
            </w14:schemeClr>
          </w14:solidFill>
        </w14:textFill>
      </w:rPr>
      <w:tcPr>
        <w:tcBorders>
          <w:top w:val="single" w:color="C9C9C9" w:themeColor="accent3" w:themeTint="98" w:sz="4" w:space="0"/>
          <w:left w:val="nil"/>
          <w:bottom w:val="nil"/>
          <w:right w:val="nil"/>
        </w:tcBorders>
        <w:shd w:val="clear" w:color="FFFFFF" w:fill="FFFFFF"/>
      </w:tcPr>
    </w:tblStylePr>
    <w:tblStylePr w:type="firstCol">
      <w:pPr>
        <w:jc w:val="right"/>
      </w:pPr>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nil"/>
          <w:bottom w:val="nil"/>
          <w:right w:val="single" w:color="C9C9C9" w:themeColor="accent3" w:themeTint="98" w:sz="4" w:space="0"/>
        </w:tcBorders>
        <w:shd w:val="clear" w:color="FFFFFF" w:fill="auto"/>
      </w:tcPr>
    </w:tblStylePr>
    <w:tblStylePr w:type="lastCol">
      <w:rPr>
        <w:rFonts w:ascii="Arial" w:hAnsi="Arial"/>
        <w:i/>
        <w:color w:val="C9C9C9" w:themeColor="accent3" w:themeTint="99"/>
        <w:sz w:val="22"/>
        <w14:textFill>
          <w14:solidFill>
            <w14:schemeClr w14:val="accent3">
              <w14:lumMod w14:val="60000"/>
              <w14:lumOff w14:val="40000"/>
            </w14:schemeClr>
          </w14:solidFill>
        </w14:textFill>
      </w:rPr>
      <w:tcPr>
        <w:tcBorders>
          <w:top w:val="nil"/>
          <w:left w:val="single" w:color="C9C9C9" w:themeColor="accent3" w:themeTint="98" w:sz="4" w:space="0"/>
          <w:bottom w:val="nil"/>
          <w:right w:val="nil"/>
        </w:tcBorders>
        <w:shd w:val="clear" w:color="FFFFFF" w:fill="auto"/>
      </w:tcPr>
    </w:tblStylePr>
    <w:tblStylePr w:type="band1Vert">
      <w:tcPr>
        <w:shd w:val="clear" w:color="E8E8E8" w:fill="E8E8E8"/>
      </w:tcPr>
    </w:tblStylePr>
    <w:tblStylePr w:type="band2Vert"/>
    <w:tblStylePr w:type="band1Horz">
      <w:rPr>
        <w:rFonts w:ascii="Arial" w:hAnsi="Arial"/>
        <w:color w:val="C9C9C9" w:themeColor="accent3" w:themeTint="99"/>
        <w:sz w:val="22"/>
        <w14:textFill>
          <w14:solidFill>
            <w14:schemeClr w14:val="accent3">
              <w14:lumMod w14:val="60000"/>
              <w14:lumOff w14:val="40000"/>
            </w14:schemeClr>
          </w14:solidFill>
        </w14:textFill>
      </w:rPr>
      <w:tcPr>
        <w:shd w:val="clear" w:color="E8E8E8" w:fill="E8E8E8"/>
      </w:tcPr>
    </w:tblStylePr>
    <w:tblStylePr w:type="band2Horz">
      <w:rPr>
        <w:rFonts w:ascii="Arial" w:hAnsi="Arial"/>
        <w:color w:val="C9C9C9"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37">
    <w:name w:val="List Table 7 Colorful - Accent 4"/>
    <w:basedOn w:val="26"/>
    <w:qFormat/>
    <w:uiPriority w:val="99"/>
    <w:pPr>
      <w:spacing w:after="0" w:line="240" w:lineRule="auto"/>
    </w:pPr>
    <w:tblPr>
      <w:tblBorders>
        <w:right w:val="single" w:color="FFD864" w:themeColor="accent4" w:themeTint="9A" w:sz="4" w:space="0"/>
      </w:tblBorders>
    </w:tblPr>
    <w:tblStylePr w:type="firstRow">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single" w:color="FFD864" w:themeColor="accent4" w:themeTint="9A" w:sz="4" w:space="0"/>
          <w:right w:val="nil"/>
        </w:tcBorders>
        <w:shd w:val="clear" w:color="FFFFFF" w:fill="FFFFFF"/>
      </w:tcPr>
    </w:tblStylePr>
    <w:tblStylePr w:type="lastRow">
      <w:rPr>
        <w:rFonts w:ascii="Arial" w:hAnsi="Arial"/>
        <w:i/>
        <w:color w:val="FFD966" w:themeColor="accent4" w:themeTint="99"/>
        <w:sz w:val="22"/>
        <w14:textFill>
          <w14:solidFill>
            <w14:schemeClr w14:val="accent4">
              <w14:lumMod w14:val="60000"/>
              <w14:lumOff w14:val="40000"/>
            </w14:schemeClr>
          </w14:solidFill>
        </w14:textFill>
      </w:rPr>
      <w:tcPr>
        <w:tcBorders>
          <w:top w:val="single" w:color="FFD864" w:themeColor="accent4" w:themeTint="9A" w:sz="4" w:space="0"/>
          <w:left w:val="nil"/>
          <w:bottom w:val="nil"/>
          <w:right w:val="nil"/>
        </w:tcBorders>
        <w:shd w:val="clear" w:color="FFFFFF" w:fill="FFFFFF"/>
      </w:tcPr>
    </w:tblStylePr>
    <w:tblStylePr w:type="firstCol">
      <w:pPr>
        <w:jc w:val="right"/>
      </w:pPr>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nil"/>
          <w:bottom w:val="nil"/>
          <w:right w:val="single" w:color="FFD864" w:themeColor="accent4" w:themeTint="9A" w:sz="4" w:space="0"/>
        </w:tcBorders>
        <w:shd w:val="clear" w:color="FFFFFF" w:fill="auto"/>
      </w:tcPr>
    </w:tblStylePr>
    <w:tblStylePr w:type="lastCol">
      <w:rPr>
        <w:rFonts w:ascii="Arial" w:hAnsi="Arial"/>
        <w:i/>
        <w:color w:val="FFD966" w:themeColor="accent4" w:themeTint="99"/>
        <w:sz w:val="22"/>
        <w14:textFill>
          <w14:solidFill>
            <w14:schemeClr w14:val="accent4">
              <w14:lumMod w14:val="60000"/>
              <w14:lumOff w14:val="40000"/>
            </w14:schemeClr>
          </w14:solidFill>
        </w14:textFill>
      </w:rPr>
      <w:tcPr>
        <w:tcBorders>
          <w:top w:val="nil"/>
          <w:left w:val="single" w:color="FFD864" w:themeColor="accent4" w:themeTint="9A" w:sz="4" w:space="0"/>
          <w:bottom w:val="nil"/>
          <w:right w:val="nil"/>
        </w:tcBorders>
        <w:shd w:val="clear" w:color="FFFFFF" w:fill="auto"/>
      </w:tcPr>
    </w:tblStylePr>
    <w:tblStylePr w:type="band1Vert">
      <w:tcPr>
        <w:shd w:val="clear" w:color="FFEFBE" w:fill="FFEFBE"/>
      </w:tcPr>
    </w:tblStylePr>
    <w:tblStylePr w:type="band2Vert"/>
    <w:tblStylePr w:type="band1Horz">
      <w:rPr>
        <w:rFonts w:ascii="Arial" w:hAnsi="Arial"/>
        <w:color w:val="FFD966" w:themeColor="accent4" w:themeTint="99"/>
        <w:sz w:val="22"/>
        <w14:textFill>
          <w14:solidFill>
            <w14:schemeClr w14:val="accent4">
              <w14:lumMod w14:val="60000"/>
              <w14:lumOff w14:val="40000"/>
            </w14:schemeClr>
          </w14:solidFill>
        </w14:textFill>
      </w:rPr>
      <w:tcPr>
        <w:shd w:val="clear" w:color="FFEFBE" w:fill="FFEFBE"/>
      </w:tcPr>
    </w:tblStylePr>
    <w:tblStylePr w:type="band2Horz">
      <w:rPr>
        <w:rFonts w:ascii="Arial" w:hAnsi="Arial"/>
        <w:color w:val="FFD966"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38">
    <w:name w:val="List Table 7 Colorful - Accent 5"/>
    <w:basedOn w:val="26"/>
    <w:qFormat/>
    <w:uiPriority w:val="99"/>
    <w:pPr>
      <w:spacing w:after="0" w:line="240" w:lineRule="auto"/>
    </w:pPr>
    <w:tblPr>
      <w:tblBorders>
        <w:right w:val="single" w:color="8EA9DB" w:themeColor="accent5" w:themeTint="9A" w:sz="4" w:space="0"/>
      </w:tblBorders>
    </w:tblPr>
    <w:tblStylePr w:type="firstRow">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single" w:color="8EA9DB" w:themeColor="accent5" w:themeTint="9A" w:sz="4" w:space="0"/>
          <w:right w:val="nil"/>
        </w:tcBorders>
        <w:shd w:val="clear" w:color="FFFFFF" w:fill="FFFFFF"/>
      </w:tcPr>
    </w:tblStylePr>
    <w:tblStylePr w:type="lastRow">
      <w:rPr>
        <w:rFonts w:ascii="Arial" w:hAnsi="Arial"/>
        <w:i/>
        <w:color w:val="8FAADC" w:themeColor="accent5" w:themeTint="99"/>
        <w:sz w:val="22"/>
        <w14:textFill>
          <w14:solidFill>
            <w14:schemeClr w14:val="accent5">
              <w14:lumMod w14:val="60000"/>
              <w14:lumOff w14:val="40000"/>
            </w14:schemeClr>
          </w14:solidFill>
        </w14:textFill>
      </w:rPr>
      <w:tcPr>
        <w:tcBorders>
          <w:top w:val="single" w:color="8EA9DB" w:themeColor="accent5" w:themeTint="9A" w:sz="4" w:space="0"/>
          <w:left w:val="nil"/>
          <w:bottom w:val="nil"/>
          <w:right w:val="nil"/>
        </w:tcBorders>
        <w:shd w:val="clear" w:color="FFFFFF" w:fill="FFFFFF"/>
      </w:tcPr>
    </w:tblStylePr>
    <w:tblStylePr w:type="firstCol">
      <w:pPr>
        <w:jc w:val="right"/>
      </w:pPr>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nil"/>
          <w:bottom w:val="nil"/>
          <w:right w:val="single" w:color="8EA9DB" w:themeColor="accent5" w:themeTint="9A" w:sz="4" w:space="0"/>
        </w:tcBorders>
        <w:shd w:val="clear" w:color="FFFFFF" w:fill="auto"/>
      </w:tcPr>
    </w:tblStylePr>
    <w:tblStylePr w:type="lastCol">
      <w:rPr>
        <w:rFonts w:ascii="Arial" w:hAnsi="Arial"/>
        <w:i/>
        <w:color w:val="8FAADC" w:themeColor="accent5" w:themeTint="99"/>
        <w:sz w:val="22"/>
        <w14:textFill>
          <w14:solidFill>
            <w14:schemeClr w14:val="accent5">
              <w14:lumMod w14:val="60000"/>
              <w14:lumOff w14:val="40000"/>
            </w14:schemeClr>
          </w14:solidFill>
        </w14:textFill>
      </w:rPr>
      <w:tcPr>
        <w:tcBorders>
          <w:top w:val="nil"/>
          <w:left w:val="single" w:color="8EA9DB" w:themeColor="accent5" w:themeTint="9A" w:sz="4" w:space="0"/>
          <w:bottom w:val="nil"/>
          <w:right w:val="nil"/>
        </w:tcBorders>
        <w:shd w:val="clear" w:color="FFFFFF" w:fill="auto"/>
      </w:tcPr>
    </w:tblStylePr>
    <w:tblStylePr w:type="band1Vert">
      <w:tcPr>
        <w:shd w:val="clear" w:color="D0DBF0" w:fill="D0DBF0"/>
      </w:tcPr>
    </w:tblStylePr>
    <w:tblStylePr w:type="band2Vert"/>
    <w:tblStylePr w:type="band1Horz">
      <w:rPr>
        <w:rFonts w:ascii="Arial" w:hAnsi="Arial"/>
        <w:color w:val="8FAADC" w:themeColor="accent5" w:themeTint="99"/>
        <w:sz w:val="22"/>
        <w14:textFill>
          <w14:solidFill>
            <w14:schemeClr w14:val="accent5">
              <w14:lumMod w14:val="60000"/>
              <w14:lumOff w14:val="40000"/>
            </w14:schemeClr>
          </w14:solidFill>
        </w14:textFill>
      </w:rPr>
      <w:tcPr>
        <w:shd w:val="clear" w:color="D0DBF0" w:fill="D0DBF0"/>
      </w:tcPr>
    </w:tblStylePr>
    <w:tblStylePr w:type="band2Horz">
      <w:rPr>
        <w:rFonts w:ascii="Arial" w:hAnsi="Arial"/>
        <w:color w:val="8FAADC"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39">
    <w:name w:val="List Table 7 Colorful - Accent 6"/>
    <w:basedOn w:val="26"/>
    <w:qFormat/>
    <w:uiPriority w:val="99"/>
    <w:pPr>
      <w:spacing w:after="0" w:line="240" w:lineRule="auto"/>
    </w:pPr>
    <w:tblPr>
      <w:tblBorders>
        <w:right w:val="single" w:color="A9D08E" w:themeColor="accent6" w:themeTint="98" w:sz="4" w:space="0"/>
      </w:tblBorders>
    </w:tblPr>
    <w:tblStylePr w:type="firstRow">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single" w:color="A9D08E" w:themeColor="accent6" w:themeTint="98" w:sz="4" w:space="0"/>
          <w:right w:val="nil"/>
        </w:tcBorders>
        <w:shd w:val="clear" w:color="FFFFFF" w:fill="FFFFFF"/>
      </w:tcPr>
    </w:tblStylePr>
    <w:tblStylePr w:type="lastRow">
      <w:rPr>
        <w:rFonts w:ascii="Arial" w:hAnsi="Arial"/>
        <w:i/>
        <w:color w:val="A9D18E" w:themeColor="accent6" w:themeTint="99"/>
        <w:sz w:val="22"/>
        <w14:textFill>
          <w14:solidFill>
            <w14:schemeClr w14:val="accent6">
              <w14:lumMod w14:val="60000"/>
              <w14:lumOff w14:val="40000"/>
            </w14:schemeClr>
          </w14:solidFill>
        </w14:textFill>
      </w:rPr>
      <w:tcPr>
        <w:tcBorders>
          <w:top w:val="single" w:color="A9D08E" w:themeColor="accent6" w:themeTint="98" w:sz="4" w:space="0"/>
          <w:left w:val="nil"/>
          <w:bottom w:val="nil"/>
          <w:right w:val="nil"/>
        </w:tcBorders>
        <w:shd w:val="clear" w:color="FFFFFF" w:fill="FFFFFF"/>
      </w:tcPr>
    </w:tblStylePr>
    <w:tblStylePr w:type="firstCol">
      <w:pPr>
        <w:jc w:val="right"/>
      </w:pPr>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nil"/>
          <w:bottom w:val="nil"/>
          <w:right w:val="single" w:color="A9D08E" w:themeColor="accent6" w:themeTint="98" w:sz="4" w:space="0"/>
        </w:tcBorders>
        <w:shd w:val="clear" w:color="FFFFFF" w:fill="auto"/>
      </w:tcPr>
    </w:tblStylePr>
    <w:tblStylePr w:type="lastCol">
      <w:rPr>
        <w:rFonts w:ascii="Arial" w:hAnsi="Arial"/>
        <w:i/>
        <w:color w:val="A9D18E" w:themeColor="accent6" w:themeTint="99"/>
        <w:sz w:val="22"/>
        <w14:textFill>
          <w14:solidFill>
            <w14:schemeClr w14:val="accent6">
              <w14:lumMod w14:val="60000"/>
              <w14:lumOff w14:val="40000"/>
            </w14:schemeClr>
          </w14:solidFill>
        </w14:textFill>
      </w:rPr>
      <w:tcPr>
        <w:tcBorders>
          <w:top w:val="nil"/>
          <w:left w:val="single" w:color="A9D08E" w:themeColor="accent6" w:themeTint="98" w:sz="4" w:space="0"/>
          <w:bottom w:val="nil"/>
          <w:right w:val="nil"/>
        </w:tcBorders>
        <w:shd w:val="clear" w:color="FFFFFF" w:fill="auto"/>
      </w:tcPr>
    </w:tblStylePr>
    <w:tblStylePr w:type="band1Vert">
      <w:tcPr>
        <w:shd w:val="clear" w:color="DAEBCF" w:fill="DAEBCF"/>
      </w:tcPr>
    </w:tblStylePr>
    <w:tblStylePr w:type="band2Vert"/>
    <w:tblStylePr w:type="band1Horz">
      <w:rPr>
        <w:rFonts w:ascii="Arial" w:hAnsi="Arial"/>
        <w:color w:val="A9D18E" w:themeColor="accent6" w:themeTint="99"/>
        <w:sz w:val="22"/>
        <w14:textFill>
          <w14:solidFill>
            <w14:schemeClr w14:val="accent6">
              <w14:lumMod w14:val="60000"/>
              <w14:lumOff w14:val="40000"/>
            </w14:schemeClr>
          </w14:solidFill>
        </w14:textFill>
      </w:rPr>
      <w:tcPr>
        <w:shd w:val="clear" w:color="DAEBCF" w:fill="DAEBCF"/>
      </w:tcPr>
    </w:tblStylePr>
    <w:tblStylePr w:type="band2Horz">
      <w:rPr>
        <w:rFonts w:ascii="Arial" w:hAnsi="Arial"/>
        <w:color w:val="A9D18E"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40">
    <w:name w:val="Lined - Accent"/>
    <w:basedOn w:val="26"/>
    <w:qFormat/>
    <w:uiPriority w:val="99"/>
    <w:pPr>
      <w:spacing w:after="0" w:line="240" w:lineRule="auto"/>
    </w:pPr>
    <w:rPr>
      <w:color w:val="404040"/>
    </w:rPr>
    <w:tblStylePr w:type="firstRow">
      <w:rPr>
        <w:rFonts w:ascii="Arial" w:hAnsi="Arial"/>
        <w:color w:val="F2F2F2"/>
        <w:sz w:val="22"/>
      </w:rPr>
      <w:tcPr>
        <w:shd w:val="clear" w:color="7E7E7E" w:fill="7E7E7E"/>
      </w:tcPr>
    </w:tblStylePr>
    <w:tblStylePr w:type="lastRow">
      <w:rPr>
        <w:rFonts w:ascii="Arial" w:hAnsi="Arial"/>
        <w:color w:val="F2F2F2"/>
        <w:sz w:val="22"/>
      </w:rPr>
      <w:tcPr>
        <w:shd w:val="clear" w:color="7E7E7E" w:fill="7E7E7E"/>
      </w:tcPr>
    </w:tblStylePr>
    <w:tblStylePr w:type="firstCol">
      <w:rPr>
        <w:rFonts w:ascii="Arial" w:hAnsi="Arial"/>
        <w:color w:val="F2F2F2"/>
        <w:sz w:val="22"/>
      </w:rPr>
      <w:tcPr>
        <w:shd w:val="clear" w:color="7E7E7E" w:fill="7E7E7E"/>
      </w:tcPr>
    </w:tblStylePr>
    <w:tblStylePr w:type="lastCol">
      <w:rPr>
        <w:rFonts w:ascii="Arial" w:hAnsi="Arial"/>
        <w:color w:val="F2F2F2"/>
        <w:sz w:val="22"/>
      </w:rPr>
      <w:tcPr>
        <w:shd w:val="clear" w:color="7E7E7E" w:fill="7E7E7E"/>
      </w:tcPr>
    </w:tblStylePr>
    <w:tblStylePr w:type="band1Vert">
      <w:rPr>
        <w:rFonts w:ascii="Arial" w:hAnsi="Arial"/>
        <w:color w:val="404040"/>
        <w:sz w:val="22"/>
      </w:rPr>
    </w:tblStylePr>
    <w:tblStylePr w:type="band2Vert">
      <w:rPr>
        <w:rFonts w:ascii="Arial" w:hAnsi="Arial"/>
        <w:color w:val="404040"/>
        <w:sz w:val="22"/>
      </w:rPr>
      <w:tcPr>
        <w:shd w:val="clear" w:color="F1F1F1" w:fill="F1F1F1"/>
      </w:tcPr>
    </w:tblStylePr>
    <w:tblStylePr w:type="band1Horz">
      <w:rPr>
        <w:rFonts w:ascii="Arial" w:hAnsi="Arial"/>
        <w:color w:val="404040"/>
        <w:sz w:val="22"/>
      </w:rPr>
    </w:tblStylePr>
    <w:tblStylePr w:type="band2Horz">
      <w:rPr>
        <w:rFonts w:ascii="Arial" w:hAnsi="Arial"/>
        <w:color w:val="404040"/>
        <w:sz w:val="22"/>
      </w:rPr>
      <w:tcPr>
        <w:shd w:val="clear" w:color="F1F1F1" w:fill="F1F1F1"/>
      </w:tcPr>
    </w:tblStylePr>
    <w:tblStylePr w:type="neCell"/>
    <w:tblStylePr w:type="nwCell"/>
    <w:tblStylePr w:type="seCell"/>
    <w:tblStylePr w:type="swCell"/>
  </w:style>
  <w:style w:type="table" w:customStyle="1" w:styleId="141">
    <w:name w:val="Lined - Accent 1"/>
    <w:basedOn w:val="26"/>
    <w:qFormat/>
    <w:uiPriority w:val="99"/>
    <w:pPr>
      <w:spacing w:after="0" w:line="240" w:lineRule="auto"/>
    </w:pPr>
    <w:rPr>
      <w:color w:val="404040"/>
    </w:rPr>
    <w:tblStylePr w:type="firstRow">
      <w:rPr>
        <w:rFonts w:ascii="Arial" w:hAnsi="Arial"/>
        <w:color w:val="F2F2F2"/>
        <w:sz w:val="22"/>
      </w:rPr>
      <w:tcPr>
        <w:shd w:val="clear" w:color="68A3D8" w:fill="68A3D8"/>
      </w:tcPr>
    </w:tblStylePr>
    <w:tblStylePr w:type="lastRow">
      <w:rPr>
        <w:rFonts w:ascii="Arial" w:hAnsi="Arial"/>
        <w:color w:val="F2F2F2"/>
        <w:sz w:val="22"/>
      </w:rPr>
      <w:tcPr>
        <w:shd w:val="clear" w:color="68A3D8" w:fill="68A3D8"/>
      </w:tcPr>
    </w:tblStylePr>
    <w:tblStylePr w:type="firstCol">
      <w:rPr>
        <w:rFonts w:ascii="Arial" w:hAnsi="Arial"/>
        <w:color w:val="F2F2F2"/>
        <w:sz w:val="22"/>
      </w:rPr>
      <w:tcPr>
        <w:shd w:val="clear" w:color="68A3D8" w:fill="68A3D8"/>
      </w:tcPr>
    </w:tblStylePr>
    <w:tblStylePr w:type="lastCol">
      <w:rPr>
        <w:rFonts w:ascii="Arial" w:hAnsi="Arial"/>
        <w:color w:val="F2F2F2"/>
        <w:sz w:val="22"/>
      </w:rPr>
      <w:tcPr>
        <w:shd w:val="clear" w:color="68A3D8" w:fill="68A3D8"/>
      </w:tcPr>
    </w:tblStylePr>
    <w:tblStylePr w:type="band1Vert">
      <w:rPr>
        <w:rFonts w:ascii="Arial" w:hAnsi="Arial"/>
        <w:color w:val="404040"/>
        <w:sz w:val="22"/>
      </w:rPr>
    </w:tblStylePr>
    <w:tblStylePr w:type="band2Vert">
      <w:rPr>
        <w:rFonts w:ascii="Arial" w:hAnsi="Arial"/>
        <w:color w:val="404040"/>
        <w:sz w:val="22"/>
      </w:rPr>
      <w:tcPr>
        <w:shd w:val="clear" w:color="CBDFF1" w:fill="CBDFF1"/>
      </w:tcPr>
    </w:tblStylePr>
    <w:tblStylePr w:type="band1Horz">
      <w:rPr>
        <w:rFonts w:ascii="Arial" w:hAnsi="Arial"/>
        <w:color w:val="404040"/>
        <w:sz w:val="22"/>
      </w:rPr>
    </w:tblStylePr>
    <w:tblStylePr w:type="band2Horz">
      <w:rPr>
        <w:rFonts w:ascii="Arial" w:hAnsi="Arial"/>
        <w:color w:val="404040"/>
        <w:sz w:val="22"/>
      </w:rPr>
      <w:tcPr>
        <w:shd w:val="clear" w:color="CBDFF1" w:fill="CBDFF1"/>
      </w:tcPr>
    </w:tblStylePr>
    <w:tblStylePr w:type="neCell"/>
    <w:tblStylePr w:type="nwCell"/>
    <w:tblStylePr w:type="seCell"/>
    <w:tblStylePr w:type="swCell"/>
  </w:style>
  <w:style w:type="table" w:customStyle="1" w:styleId="142">
    <w:name w:val="Lined - Accent 2"/>
    <w:basedOn w:val="26"/>
    <w:qFormat/>
    <w:uiPriority w:val="99"/>
    <w:pPr>
      <w:spacing w:after="0" w:line="240" w:lineRule="auto"/>
    </w:pPr>
    <w:rPr>
      <w:color w:val="404040"/>
    </w:rPr>
    <w:tblStylePr w:type="firstRow">
      <w:rPr>
        <w:rFonts w:ascii="Arial" w:hAnsi="Arial"/>
        <w:color w:val="F2F2F2"/>
        <w:sz w:val="22"/>
      </w:rPr>
      <w:tcPr>
        <w:shd w:val="clear" w:color="F4B285" w:fill="F4B285"/>
      </w:tcPr>
    </w:tblStylePr>
    <w:tblStylePr w:type="lastRow">
      <w:rPr>
        <w:rFonts w:ascii="Arial" w:hAnsi="Arial"/>
        <w:color w:val="F2F2F2"/>
        <w:sz w:val="22"/>
      </w:rPr>
      <w:tcPr>
        <w:shd w:val="clear" w:color="F4B285" w:fill="F4B285"/>
      </w:tcPr>
    </w:tblStylePr>
    <w:tblStylePr w:type="firstCol">
      <w:rPr>
        <w:rFonts w:ascii="Arial" w:hAnsi="Arial"/>
        <w:color w:val="F2F2F2"/>
        <w:sz w:val="22"/>
      </w:rPr>
      <w:tcPr>
        <w:shd w:val="clear" w:color="F4B285" w:fill="F4B285"/>
      </w:tcPr>
    </w:tblStylePr>
    <w:tblStylePr w:type="lastCol">
      <w:rPr>
        <w:rFonts w:ascii="Arial" w:hAnsi="Arial"/>
        <w:color w:val="F2F2F2"/>
        <w:sz w:val="22"/>
      </w:rPr>
      <w:tcPr>
        <w:shd w:val="clear" w:color="F4B285" w:fill="F4B285"/>
      </w:tcPr>
    </w:tblStylePr>
    <w:tblStylePr w:type="band1Vert">
      <w:rPr>
        <w:rFonts w:ascii="Arial" w:hAnsi="Arial"/>
        <w:color w:val="404040"/>
        <w:sz w:val="22"/>
      </w:rPr>
    </w:tblStylePr>
    <w:tblStylePr w:type="band2Vert">
      <w:rPr>
        <w:rFonts w:ascii="Arial" w:hAnsi="Arial"/>
        <w:color w:val="404040"/>
        <w:sz w:val="22"/>
      </w:rPr>
      <w:tcPr>
        <w:shd w:val="clear" w:color="FBE5D6" w:fill="FBE5D6"/>
      </w:tcPr>
    </w:tblStylePr>
    <w:tblStylePr w:type="band1Horz">
      <w:rPr>
        <w:rFonts w:ascii="Arial" w:hAnsi="Arial"/>
        <w:color w:val="404040"/>
        <w:sz w:val="22"/>
      </w:rPr>
    </w:tblStylePr>
    <w:tblStylePr w:type="band2Horz">
      <w:rPr>
        <w:rFonts w:ascii="Arial" w:hAnsi="Arial"/>
        <w:color w:val="404040"/>
        <w:sz w:val="22"/>
      </w:rPr>
      <w:tcPr>
        <w:shd w:val="clear" w:color="FBE5D6" w:fill="FBE5D6"/>
      </w:tcPr>
    </w:tblStylePr>
    <w:tblStylePr w:type="neCell"/>
    <w:tblStylePr w:type="nwCell"/>
    <w:tblStylePr w:type="seCell"/>
    <w:tblStylePr w:type="swCell"/>
  </w:style>
  <w:style w:type="table" w:customStyle="1" w:styleId="143">
    <w:name w:val="Lined - Accent 3"/>
    <w:basedOn w:val="26"/>
    <w:qFormat/>
    <w:uiPriority w:val="99"/>
    <w:pPr>
      <w:spacing w:after="0" w:line="240" w:lineRule="auto"/>
    </w:pPr>
    <w:rPr>
      <w:color w:val="404040"/>
    </w:rPr>
    <w:tblStylePr w:type="firstRow">
      <w:rPr>
        <w:rFonts w:ascii="Arial" w:hAnsi="Arial"/>
        <w:color w:val="F2F2F2"/>
        <w:sz w:val="22"/>
      </w:rPr>
      <w:tcPr>
        <w:shd w:val="clear" w:color="A5A5A5" w:fill="A5A5A5"/>
      </w:tcPr>
    </w:tblStylePr>
    <w:tblStylePr w:type="lastRow">
      <w:rPr>
        <w:rFonts w:ascii="Arial" w:hAnsi="Arial"/>
        <w:color w:val="F2F2F2"/>
        <w:sz w:val="22"/>
      </w:rPr>
      <w:tcPr>
        <w:shd w:val="clear" w:color="A5A5A5" w:fill="A5A5A5"/>
      </w:tcPr>
    </w:tblStylePr>
    <w:tblStylePr w:type="firstCol">
      <w:rPr>
        <w:rFonts w:ascii="Arial" w:hAnsi="Arial"/>
        <w:color w:val="F2F2F2"/>
        <w:sz w:val="22"/>
      </w:rPr>
      <w:tcPr>
        <w:shd w:val="clear" w:color="A5A5A5" w:fill="A5A5A5"/>
      </w:tcPr>
    </w:tblStylePr>
    <w:tblStylePr w:type="lastCol">
      <w:rPr>
        <w:rFonts w:ascii="Arial" w:hAnsi="Arial"/>
        <w:color w:val="F2F2F2"/>
        <w:sz w:val="22"/>
      </w:rPr>
      <w:tcPr>
        <w:shd w:val="clear" w:color="A5A5A5" w:fill="A5A5A5"/>
      </w:tcPr>
    </w:tblStylePr>
    <w:tblStylePr w:type="band1Vert">
      <w:rPr>
        <w:rFonts w:ascii="Arial" w:hAnsi="Arial"/>
        <w:color w:val="404040"/>
        <w:sz w:val="22"/>
      </w:rPr>
    </w:tblStylePr>
    <w:tblStylePr w:type="band2Vert">
      <w:rPr>
        <w:rFonts w:ascii="Arial" w:hAnsi="Arial"/>
        <w:color w:val="404040"/>
        <w:sz w:val="22"/>
      </w:rPr>
      <w:tcPr>
        <w:shd w:val="clear" w:color="ECECEC" w:fill="ECECEC"/>
      </w:tcPr>
    </w:tblStylePr>
    <w:tblStylePr w:type="band1Horz">
      <w:rPr>
        <w:rFonts w:ascii="Arial" w:hAnsi="Arial"/>
        <w:color w:val="404040"/>
        <w:sz w:val="22"/>
      </w:rPr>
    </w:tblStylePr>
    <w:tblStylePr w:type="band2Horz">
      <w:rPr>
        <w:rFonts w:ascii="Arial" w:hAnsi="Arial"/>
        <w:color w:val="404040"/>
        <w:sz w:val="22"/>
      </w:rPr>
      <w:tcPr>
        <w:shd w:val="clear" w:color="ECECEC" w:fill="ECECEC"/>
      </w:tcPr>
    </w:tblStylePr>
    <w:tblStylePr w:type="neCell"/>
    <w:tblStylePr w:type="nwCell"/>
    <w:tblStylePr w:type="seCell"/>
    <w:tblStylePr w:type="swCell"/>
  </w:style>
  <w:style w:type="table" w:customStyle="1" w:styleId="144">
    <w:name w:val="Lined - Accent 4"/>
    <w:basedOn w:val="26"/>
    <w:qFormat/>
    <w:uiPriority w:val="99"/>
    <w:pPr>
      <w:spacing w:after="0" w:line="240" w:lineRule="auto"/>
    </w:pPr>
    <w:rPr>
      <w:color w:val="404040"/>
    </w:rPr>
    <w:tblStylePr w:type="firstRow">
      <w:rPr>
        <w:rFonts w:ascii="Arial" w:hAnsi="Arial"/>
        <w:color w:val="F2F2F2"/>
        <w:sz w:val="22"/>
      </w:rPr>
      <w:tcPr>
        <w:shd w:val="clear" w:color="FFD864" w:fill="FFD864"/>
      </w:tcPr>
    </w:tblStylePr>
    <w:tblStylePr w:type="lastRow">
      <w:rPr>
        <w:rFonts w:ascii="Arial" w:hAnsi="Arial"/>
        <w:color w:val="F2F2F2"/>
        <w:sz w:val="22"/>
      </w:rPr>
      <w:tcPr>
        <w:shd w:val="clear" w:color="FFD864" w:fill="FFD864"/>
      </w:tcPr>
    </w:tblStylePr>
    <w:tblStylePr w:type="firstCol">
      <w:rPr>
        <w:rFonts w:ascii="Arial" w:hAnsi="Arial"/>
        <w:color w:val="F2F2F2"/>
        <w:sz w:val="22"/>
      </w:rPr>
      <w:tcPr>
        <w:shd w:val="clear" w:color="FFD864" w:fill="FFD864"/>
      </w:tcPr>
    </w:tblStylePr>
    <w:tblStylePr w:type="lastCol">
      <w:rPr>
        <w:rFonts w:ascii="Arial" w:hAnsi="Arial"/>
        <w:color w:val="F2F2F2"/>
        <w:sz w:val="22"/>
      </w:rPr>
      <w:tcPr>
        <w:shd w:val="clear" w:color="FFD864" w:fill="FFD864"/>
      </w:tcPr>
    </w:tblStylePr>
    <w:tblStylePr w:type="band1Vert">
      <w:rPr>
        <w:rFonts w:ascii="Arial" w:hAnsi="Arial"/>
        <w:color w:val="404040"/>
        <w:sz w:val="22"/>
      </w:rPr>
    </w:tblStylePr>
    <w:tblStylePr w:type="band2Vert">
      <w:rPr>
        <w:rFonts w:ascii="Arial" w:hAnsi="Arial"/>
        <w:color w:val="404040"/>
        <w:sz w:val="22"/>
      </w:rPr>
      <w:tcPr>
        <w:shd w:val="clear" w:color="FEF2CA" w:fill="FEF2CA"/>
      </w:tcPr>
    </w:tblStylePr>
    <w:tblStylePr w:type="band1Horz">
      <w:rPr>
        <w:rFonts w:ascii="Arial" w:hAnsi="Arial"/>
        <w:color w:val="404040"/>
        <w:sz w:val="22"/>
      </w:rPr>
    </w:tblStylePr>
    <w:tblStylePr w:type="band2Horz">
      <w:rPr>
        <w:rFonts w:ascii="Arial" w:hAnsi="Arial"/>
        <w:color w:val="404040"/>
        <w:sz w:val="22"/>
      </w:rPr>
      <w:tcPr>
        <w:shd w:val="clear" w:color="FEF2CA" w:fill="FEF2CA"/>
      </w:tcPr>
    </w:tblStylePr>
    <w:tblStylePr w:type="neCell"/>
    <w:tblStylePr w:type="nwCell"/>
    <w:tblStylePr w:type="seCell"/>
    <w:tblStylePr w:type="swCell"/>
  </w:style>
  <w:style w:type="table" w:customStyle="1" w:styleId="145">
    <w:name w:val="Lined - Accent 5"/>
    <w:basedOn w:val="26"/>
    <w:qFormat/>
    <w:uiPriority w:val="99"/>
    <w:pPr>
      <w:spacing w:after="0" w:line="240" w:lineRule="auto"/>
    </w:pPr>
    <w:rPr>
      <w:color w:val="404040"/>
    </w:rPr>
    <w:tblStylePr w:type="firstRow">
      <w:rPr>
        <w:rFonts w:ascii="Arial" w:hAnsi="Arial"/>
        <w:color w:val="F2F2F2"/>
        <w:sz w:val="22"/>
      </w:rPr>
      <w:tcPr>
        <w:shd w:val="clear" w:color="4472C4" w:fill="4472C4"/>
      </w:tcPr>
    </w:tblStylePr>
    <w:tblStylePr w:type="lastRow">
      <w:rPr>
        <w:rFonts w:ascii="Arial" w:hAnsi="Arial"/>
        <w:color w:val="F2F2F2"/>
        <w:sz w:val="22"/>
      </w:rPr>
      <w:tcPr>
        <w:shd w:val="clear" w:color="4472C4" w:fill="4472C4"/>
      </w:tcPr>
    </w:tblStylePr>
    <w:tblStylePr w:type="firstCol">
      <w:rPr>
        <w:rFonts w:ascii="Arial" w:hAnsi="Arial"/>
        <w:color w:val="F2F2F2"/>
        <w:sz w:val="22"/>
      </w:rPr>
      <w:tcPr>
        <w:shd w:val="clear" w:color="4472C4" w:fill="4472C4"/>
      </w:tcPr>
    </w:tblStylePr>
    <w:tblStylePr w:type="lastCol">
      <w:rPr>
        <w:rFonts w:ascii="Arial" w:hAnsi="Arial"/>
        <w:color w:val="F2F2F2"/>
        <w:sz w:val="22"/>
      </w:rPr>
      <w:tcPr>
        <w:shd w:val="clear" w:color="4472C4" w:fill="4472C4"/>
      </w:tcPr>
    </w:tblStylePr>
    <w:tblStylePr w:type="band1Vert">
      <w:rPr>
        <w:rFonts w:ascii="Arial" w:hAnsi="Arial"/>
        <w:color w:val="404040"/>
        <w:sz w:val="22"/>
      </w:rPr>
    </w:tblStylePr>
    <w:tblStylePr w:type="band2Vert">
      <w:rPr>
        <w:rFonts w:ascii="Arial" w:hAnsi="Arial"/>
        <w:color w:val="404040"/>
        <w:sz w:val="22"/>
      </w:rPr>
      <w:tcPr>
        <w:shd w:val="clear" w:color="D8E2F2" w:fill="D8E2F2"/>
      </w:tcPr>
    </w:tblStylePr>
    <w:tblStylePr w:type="band1Horz">
      <w:rPr>
        <w:rFonts w:ascii="Arial" w:hAnsi="Arial"/>
        <w:color w:val="404040"/>
        <w:sz w:val="22"/>
      </w:rPr>
    </w:tblStylePr>
    <w:tblStylePr w:type="band2Horz">
      <w:rPr>
        <w:rFonts w:ascii="Arial" w:hAnsi="Arial"/>
        <w:color w:val="404040"/>
        <w:sz w:val="22"/>
      </w:rPr>
      <w:tcPr>
        <w:shd w:val="clear" w:color="D8E2F2" w:fill="D8E2F2"/>
      </w:tcPr>
    </w:tblStylePr>
    <w:tblStylePr w:type="neCell"/>
    <w:tblStylePr w:type="nwCell"/>
    <w:tblStylePr w:type="seCell"/>
    <w:tblStylePr w:type="swCell"/>
  </w:style>
  <w:style w:type="table" w:customStyle="1" w:styleId="146">
    <w:name w:val="Lined - Accent 6"/>
    <w:basedOn w:val="26"/>
    <w:qFormat/>
    <w:uiPriority w:val="99"/>
    <w:pPr>
      <w:spacing w:after="0" w:line="240" w:lineRule="auto"/>
    </w:pPr>
    <w:rPr>
      <w:color w:val="404040"/>
    </w:rPr>
    <w:tblStylePr w:type="firstRow">
      <w:rPr>
        <w:rFonts w:ascii="Arial" w:hAnsi="Arial"/>
        <w:color w:val="F2F2F2"/>
        <w:sz w:val="22"/>
      </w:rPr>
      <w:tcPr>
        <w:shd w:val="clear" w:color="70AD47" w:fill="70AD47"/>
      </w:tcPr>
    </w:tblStylePr>
    <w:tblStylePr w:type="lastRow">
      <w:rPr>
        <w:rFonts w:ascii="Arial" w:hAnsi="Arial"/>
        <w:color w:val="F2F2F2"/>
        <w:sz w:val="22"/>
      </w:rPr>
      <w:tcPr>
        <w:shd w:val="clear" w:color="70AD47" w:fill="70AD47"/>
      </w:tcPr>
    </w:tblStylePr>
    <w:tblStylePr w:type="firstCol">
      <w:rPr>
        <w:rFonts w:ascii="Arial" w:hAnsi="Arial"/>
        <w:color w:val="F2F2F2"/>
        <w:sz w:val="22"/>
      </w:rPr>
      <w:tcPr>
        <w:shd w:val="clear" w:color="70AD47" w:fill="70AD47"/>
      </w:tcPr>
    </w:tblStylePr>
    <w:tblStylePr w:type="lastCol">
      <w:rPr>
        <w:rFonts w:ascii="Arial" w:hAnsi="Arial"/>
        <w:color w:val="F2F2F2"/>
        <w:sz w:val="22"/>
      </w:rPr>
      <w:tcPr>
        <w:shd w:val="clear" w:color="70AD47" w:fill="70AD47"/>
      </w:tcPr>
    </w:tblStylePr>
    <w:tblStylePr w:type="band1Vert">
      <w:rPr>
        <w:rFonts w:ascii="Arial" w:hAnsi="Arial"/>
        <w:color w:val="404040"/>
        <w:sz w:val="22"/>
      </w:rPr>
    </w:tblStylePr>
    <w:tblStylePr w:type="band2Vert">
      <w:rPr>
        <w:rFonts w:ascii="Arial" w:hAnsi="Arial"/>
        <w:color w:val="404040"/>
        <w:sz w:val="22"/>
      </w:rPr>
      <w:tcPr>
        <w:shd w:val="clear" w:color="E1EFD8" w:fill="E1EFD8"/>
      </w:tcPr>
    </w:tblStylePr>
    <w:tblStylePr w:type="band1Horz">
      <w:rPr>
        <w:rFonts w:ascii="Arial" w:hAnsi="Arial"/>
        <w:color w:val="404040"/>
        <w:sz w:val="22"/>
      </w:rPr>
    </w:tblStylePr>
    <w:tblStylePr w:type="band2Horz">
      <w:rPr>
        <w:rFonts w:ascii="Arial" w:hAnsi="Arial"/>
        <w:color w:val="404040"/>
        <w:sz w:val="22"/>
      </w:rPr>
      <w:tcPr>
        <w:shd w:val="clear" w:color="E1EFD8" w:fill="E1EFD8"/>
      </w:tcPr>
    </w:tblStylePr>
    <w:tblStylePr w:type="neCell"/>
    <w:tblStylePr w:type="nwCell"/>
    <w:tblStylePr w:type="seCell"/>
    <w:tblStylePr w:type="swCell"/>
  </w:style>
  <w:style w:type="table" w:customStyle="1" w:styleId="147">
    <w:name w:val="Bordered &amp; Lined - Accent"/>
    <w:basedOn w:val="26"/>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fill="7E7E7E"/>
      </w:tcPr>
    </w:tblStylePr>
    <w:tblStylePr w:type="lastRow">
      <w:rPr>
        <w:rFonts w:ascii="Arial" w:hAnsi="Arial"/>
        <w:color w:val="F2F2F2"/>
        <w:sz w:val="22"/>
      </w:rPr>
      <w:tcPr>
        <w:shd w:val="clear" w:color="7E7E7E" w:fill="7E7E7E"/>
      </w:tcPr>
    </w:tblStylePr>
    <w:tblStylePr w:type="firstCol">
      <w:rPr>
        <w:rFonts w:ascii="Arial" w:hAnsi="Arial"/>
        <w:color w:val="F2F2F2"/>
        <w:sz w:val="22"/>
      </w:rPr>
      <w:tcPr>
        <w:shd w:val="clear" w:color="7E7E7E" w:fill="7E7E7E"/>
      </w:tcPr>
    </w:tblStylePr>
    <w:tblStylePr w:type="lastCol">
      <w:rPr>
        <w:rFonts w:ascii="Arial" w:hAnsi="Arial"/>
        <w:color w:val="F2F2F2"/>
        <w:sz w:val="22"/>
      </w:rPr>
      <w:tcPr>
        <w:shd w:val="clear" w:color="7E7E7E" w:fill="7E7E7E"/>
      </w:tcPr>
    </w:tblStylePr>
    <w:tblStylePr w:type="band1Vert">
      <w:rPr>
        <w:rFonts w:ascii="Arial" w:hAnsi="Arial"/>
        <w:color w:val="404040"/>
        <w:sz w:val="22"/>
      </w:rPr>
    </w:tblStylePr>
    <w:tblStylePr w:type="band2Vert">
      <w:rPr>
        <w:rFonts w:ascii="Arial" w:hAnsi="Arial"/>
        <w:color w:val="404040"/>
        <w:sz w:val="22"/>
      </w:rPr>
      <w:tcPr>
        <w:shd w:val="clear" w:color="F1F1F1" w:fill="F1F1F1"/>
      </w:tcPr>
    </w:tblStylePr>
    <w:tblStylePr w:type="band1Horz">
      <w:rPr>
        <w:rFonts w:ascii="Arial" w:hAnsi="Arial"/>
        <w:color w:val="404040"/>
        <w:sz w:val="22"/>
      </w:rPr>
    </w:tblStylePr>
    <w:tblStylePr w:type="band2Horz">
      <w:rPr>
        <w:rFonts w:ascii="Arial" w:hAnsi="Arial"/>
        <w:color w:val="404040"/>
        <w:sz w:val="22"/>
      </w:rPr>
      <w:tcPr>
        <w:shd w:val="clear" w:color="F1F1F1" w:fill="F1F1F1"/>
      </w:tcPr>
    </w:tblStylePr>
    <w:tblStylePr w:type="neCell"/>
    <w:tblStylePr w:type="nwCell"/>
    <w:tblStylePr w:type="seCell"/>
    <w:tblStylePr w:type="swCell"/>
  </w:style>
  <w:style w:type="table" w:customStyle="1" w:styleId="148">
    <w:name w:val="Bordered &amp; Lined - Accent 1"/>
    <w:basedOn w:val="26"/>
    <w:qFormat/>
    <w:uiPriority w:val="99"/>
    <w:pPr>
      <w:spacing w:after="0" w:line="240" w:lineRule="auto"/>
    </w:pPr>
    <w:rPr>
      <w:color w:val="404040"/>
    </w:rPr>
    <w:tblPr>
      <w:tblBorders>
        <w:top w:val="single" w:color="245B8D" w:themeColor="accent1" w:themeShade="95" w:sz="4" w:space="0"/>
        <w:left w:val="single" w:color="245B8D" w:themeColor="accent1" w:themeShade="95" w:sz="4" w:space="0"/>
        <w:bottom w:val="single" w:color="245B8D" w:themeColor="accent1" w:themeShade="95" w:sz="4" w:space="0"/>
        <w:right w:val="single" w:color="245B8D" w:themeColor="accent1" w:themeShade="95" w:sz="4" w:space="0"/>
        <w:insideH w:val="single" w:color="245B8D" w:themeColor="accent1" w:themeShade="95" w:sz="4" w:space="0"/>
        <w:insideV w:val="single" w:color="245B8D" w:themeColor="accent1" w:themeShade="95" w:sz="4" w:space="0"/>
      </w:tblBorders>
    </w:tblPr>
    <w:tblStylePr w:type="firstRow">
      <w:rPr>
        <w:rFonts w:ascii="Arial" w:hAnsi="Arial"/>
        <w:color w:val="F2F2F2"/>
        <w:sz w:val="22"/>
      </w:rPr>
      <w:tcPr>
        <w:shd w:val="clear" w:color="68A3D8" w:fill="68A3D8"/>
      </w:tcPr>
    </w:tblStylePr>
    <w:tblStylePr w:type="lastRow">
      <w:rPr>
        <w:rFonts w:ascii="Arial" w:hAnsi="Arial"/>
        <w:color w:val="F2F2F2"/>
        <w:sz w:val="22"/>
      </w:rPr>
      <w:tcPr>
        <w:shd w:val="clear" w:color="68A3D8" w:fill="68A3D8"/>
      </w:tcPr>
    </w:tblStylePr>
    <w:tblStylePr w:type="firstCol">
      <w:rPr>
        <w:rFonts w:ascii="Arial" w:hAnsi="Arial"/>
        <w:color w:val="F2F2F2"/>
        <w:sz w:val="22"/>
      </w:rPr>
      <w:tcPr>
        <w:shd w:val="clear" w:color="68A3D8" w:fill="68A3D8"/>
      </w:tcPr>
    </w:tblStylePr>
    <w:tblStylePr w:type="lastCol">
      <w:rPr>
        <w:rFonts w:ascii="Arial" w:hAnsi="Arial"/>
        <w:color w:val="F2F2F2"/>
        <w:sz w:val="22"/>
      </w:rPr>
      <w:tcPr>
        <w:shd w:val="clear" w:color="68A3D8" w:fill="68A3D8"/>
      </w:tcPr>
    </w:tblStylePr>
    <w:tblStylePr w:type="band1Vert">
      <w:rPr>
        <w:rFonts w:ascii="Arial" w:hAnsi="Arial"/>
        <w:color w:val="404040"/>
        <w:sz w:val="22"/>
      </w:rPr>
    </w:tblStylePr>
    <w:tblStylePr w:type="band2Vert">
      <w:rPr>
        <w:rFonts w:ascii="Arial" w:hAnsi="Arial"/>
        <w:color w:val="404040"/>
        <w:sz w:val="22"/>
      </w:rPr>
      <w:tcPr>
        <w:shd w:val="clear" w:color="CBDFF1" w:fill="CBDFF1"/>
      </w:tcPr>
    </w:tblStylePr>
    <w:tblStylePr w:type="band1Horz">
      <w:rPr>
        <w:rFonts w:ascii="Arial" w:hAnsi="Arial"/>
        <w:color w:val="404040"/>
        <w:sz w:val="22"/>
      </w:rPr>
    </w:tblStylePr>
    <w:tblStylePr w:type="band2Horz">
      <w:rPr>
        <w:rFonts w:ascii="Arial" w:hAnsi="Arial"/>
        <w:color w:val="404040"/>
        <w:sz w:val="22"/>
      </w:rPr>
      <w:tcPr>
        <w:shd w:val="clear" w:color="CBDFF1" w:fill="CBDFF1"/>
      </w:tcPr>
    </w:tblStylePr>
    <w:tblStylePr w:type="neCell"/>
    <w:tblStylePr w:type="nwCell"/>
    <w:tblStylePr w:type="seCell"/>
    <w:tblStylePr w:type="swCell"/>
  </w:style>
  <w:style w:type="table" w:customStyle="1" w:styleId="149">
    <w:name w:val="Bordered &amp; Lined - Accent 2"/>
    <w:basedOn w:val="26"/>
    <w:qFormat/>
    <w:uiPriority w:val="99"/>
    <w:pPr>
      <w:spacing w:after="0" w:line="240" w:lineRule="auto"/>
    </w:pPr>
    <w:rPr>
      <w:color w:val="404040"/>
    </w:rPr>
    <w:tblPr>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firstRow">
      <w:rPr>
        <w:rFonts w:ascii="Arial" w:hAnsi="Arial"/>
        <w:color w:val="F2F2F2"/>
        <w:sz w:val="22"/>
      </w:rPr>
      <w:tcPr>
        <w:shd w:val="clear" w:color="F4B285" w:fill="F4B285"/>
      </w:tcPr>
    </w:tblStylePr>
    <w:tblStylePr w:type="lastRow">
      <w:rPr>
        <w:rFonts w:ascii="Arial" w:hAnsi="Arial"/>
        <w:color w:val="F2F2F2"/>
        <w:sz w:val="22"/>
      </w:rPr>
      <w:tcPr>
        <w:shd w:val="clear" w:color="F4B285" w:fill="F4B285"/>
      </w:tcPr>
    </w:tblStylePr>
    <w:tblStylePr w:type="firstCol">
      <w:rPr>
        <w:rFonts w:ascii="Arial" w:hAnsi="Arial"/>
        <w:color w:val="F2F2F2"/>
        <w:sz w:val="22"/>
      </w:rPr>
      <w:tcPr>
        <w:shd w:val="clear" w:color="F4B285" w:fill="F4B285"/>
      </w:tcPr>
    </w:tblStylePr>
    <w:tblStylePr w:type="lastCol">
      <w:rPr>
        <w:rFonts w:ascii="Arial" w:hAnsi="Arial"/>
        <w:color w:val="F2F2F2"/>
        <w:sz w:val="22"/>
      </w:rPr>
      <w:tcPr>
        <w:shd w:val="clear" w:color="F4B285" w:fill="F4B285"/>
      </w:tcPr>
    </w:tblStylePr>
    <w:tblStylePr w:type="band1Vert">
      <w:rPr>
        <w:rFonts w:ascii="Arial" w:hAnsi="Arial"/>
        <w:color w:val="404040"/>
        <w:sz w:val="22"/>
      </w:rPr>
    </w:tblStylePr>
    <w:tblStylePr w:type="band2Vert">
      <w:rPr>
        <w:rFonts w:ascii="Arial" w:hAnsi="Arial"/>
        <w:color w:val="404040"/>
        <w:sz w:val="22"/>
      </w:rPr>
      <w:tcPr>
        <w:shd w:val="clear" w:color="FBE5D6" w:fill="FBE5D6"/>
      </w:tcPr>
    </w:tblStylePr>
    <w:tblStylePr w:type="band1Horz">
      <w:rPr>
        <w:rFonts w:ascii="Arial" w:hAnsi="Arial"/>
        <w:color w:val="404040"/>
        <w:sz w:val="22"/>
      </w:rPr>
    </w:tblStylePr>
    <w:tblStylePr w:type="band2Horz">
      <w:rPr>
        <w:rFonts w:ascii="Arial" w:hAnsi="Arial"/>
        <w:color w:val="404040"/>
        <w:sz w:val="22"/>
      </w:rPr>
      <w:tcPr>
        <w:shd w:val="clear" w:color="FBE5D6" w:fill="FBE5D6"/>
      </w:tcPr>
    </w:tblStylePr>
    <w:tblStylePr w:type="neCell"/>
    <w:tblStylePr w:type="nwCell"/>
    <w:tblStylePr w:type="seCell"/>
    <w:tblStylePr w:type="swCell"/>
  </w:style>
  <w:style w:type="table" w:customStyle="1" w:styleId="150">
    <w:name w:val="Bordered &amp; Lined - Accent 3"/>
    <w:basedOn w:val="26"/>
    <w:qFormat/>
    <w:uiPriority w:val="99"/>
    <w:pPr>
      <w:spacing w:after="0" w:line="240" w:lineRule="auto"/>
    </w:pPr>
    <w:rPr>
      <w:color w:val="404040"/>
    </w:rPr>
    <w:tblPr>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firstRow">
      <w:rPr>
        <w:rFonts w:ascii="Arial" w:hAnsi="Arial"/>
        <w:color w:val="F2F2F2"/>
        <w:sz w:val="22"/>
      </w:rPr>
      <w:tcPr>
        <w:shd w:val="clear" w:color="A5A5A5" w:fill="A5A5A5"/>
      </w:tcPr>
    </w:tblStylePr>
    <w:tblStylePr w:type="lastRow">
      <w:rPr>
        <w:rFonts w:ascii="Arial" w:hAnsi="Arial"/>
        <w:color w:val="F2F2F2"/>
        <w:sz w:val="22"/>
      </w:rPr>
      <w:tcPr>
        <w:shd w:val="clear" w:color="A5A5A5" w:fill="A5A5A5"/>
      </w:tcPr>
    </w:tblStylePr>
    <w:tblStylePr w:type="firstCol">
      <w:rPr>
        <w:rFonts w:ascii="Arial" w:hAnsi="Arial"/>
        <w:color w:val="F2F2F2"/>
        <w:sz w:val="22"/>
      </w:rPr>
      <w:tcPr>
        <w:shd w:val="clear" w:color="A5A5A5" w:fill="A5A5A5"/>
      </w:tcPr>
    </w:tblStylePr>
    <w:tblStylePr w:type="lastCol">
      <w:rPr>
        <w:rFonts w:ascii="Arial" w:hAnsi="Arial"/>
        <w:color w:val="F2F2F2"/>
        <w:sz w:val="22"/>
      </w:rPr>
      <w:tcPr>
        <w:shd w:val="clear" w:color="A5A5A5" w:fill="A5A5A5"/>
      </w:tcPr>
    </w:tblStylePr>
    <w:tblStylePr w:type="band1Vert">
      <w:rPr>
        <w:rFonts w:ascii="Arial" w:hAnsi="Arial"/>
        <w:color w:val="404040"/>
        <w:sz w:val="22"/>
      </w:rPr>
    </w:tblStylePr>
    <w:tblStylePr w:type="band2Vert">
      <w:rPr>
        <w:rFonts w:ascii="Arial" w:hAnsi="Arial"/>
        <w:color w:val="404040"/>
        <w:sz w:val="22"/>
      </w:rPr>
      <w:tcPr>
        <w:shd w:val="clear" w:color="ECECEC" w:fill="ECECEC"/>
      </w:tcPr>
    </w:tblStylePr>
    <w:tblStylePr w:type="band1Horz">
      <w:rPr>
        <w:rFonts w:ascii="Arial" w:hAnsi="Arial"/>
        <w:color w:val="404040"/>
        <w:sz w:val="22"/>
      </w:rPr>
    </w:tblStylePr>
    <w:tblStylePr w:type="band2Horz">
      <w:rPr>
        <w:rFonts w:ascii="Arial" w:hAnsi="Arial"/>
        <w:color w:val="404040"/>
        <w:sz w:val="22"/>
      </w:rPr>
      <w:tcPr>
        <w:shd w:val="clear" w:color="ECECEC" w:fill="ECECEC"/>
      </w:tcPr>
    </w:tblStylePr>
    <w:tblStylePr w:type="neCell"/>
    <w:tblStylePr w:type="nwCell"/>
    <w:tblStylePr w:type="seCell"/>
    <w:tblStylePr w:type="swCell"/>
  </w:style>
  <w:style w:type="table" w:customStyle="1" w:styleId="151">
    <w:name w:val="Bordered &amp; Lined - Accent 4"/>
    <w:basedOn w:val="26"/>
    <w:qFormat/>
    <w:uiPriority w:val="99"/>
    <w:pPr>
      <w:spacing w:after="0" w:line="240" w:lineRule="auto"/>
    </w:pPr>
    <w:rPr>
      <w:color w:val="404040"/>
    </w:rPr>
    <w:tblPr>
      <w:tblBorders>
        <w:top w:val="single" w:color="947000" w:themeColor="accent4" w:themeShade="95" w:sz="4" w:space="0"/>
        <w:left w:val="single" w:color="947000" w:themeColor="accent4" w:themeShade="95" w:sz="4" w:space="0"/>
        <w:bottom w:val="single" w:color="947000" w:themeColor="accent4" w:themeShade="95" w:sz="4" w:space="0"/>
        <w:right w:val="single" w:color="947000" w:themeColor="accent4" w:themeShade="95" w:sz="4" w:space="0"/>
        <w:insideH w:val="single" w:color="947000" w:themeColor="accent4" w:themeShade="95" w:sz="4" w:space="0"/>
        <w:insideV w:val="single" w:color="947000" w:themeColor="accent4" w:themeShade="95" w:sz="4" w:space="0"/>
      </w:tblBorders>
    </w:tblPr>
    <w:tblStylePr w:type="firstRow">
      <w:rPr>
        <w:rFonts w:ascii="Arial" w:hAnsi="Arial"/>
        <w:color w:val="F2F2F2"/>
        <w:sz w:val="22"/>
      </w:rPr>
      <w:tcPr>
        <w:shd w:val="clear" w:color="FFD864" w:fill="FFD864"/>
      </w:tcPr>
    </w:tblStylePr>
    <w:tblStylePr w:type="lastRow">
      <w:rPr>
        <w:rFonts w:ascii="Arial" w:hAnsi="Arial"/>
        <w:color w:val="F2F2F2"/>
        <w:sz w:val="22"/>
      </w:rPr>
      <w:tcPr>
        <w:shd w:val="clear" w:color="FFD864" w:fill="FFD864"/>
      </w:tcPr>
    </w:tblStylePr>
    <w:tblStylePr w:type="firstCol">
      <w:rPr>
        <w:rFonts w:ascii="Arial" w:hAnsi="Arial"/>
        <w:color w:val="F2F2F2"/>
        <w:sz w:val="22"/>
      </w:rPr>
      <w:tcPr>
        <w:shd w:val="clear" w:color="FFD864" w:fill="FFD864"/>
      </w:tcPr>
    </w:tblStylePr>
    <w:tblStylePr w:type="lastCol">
      <w:rPr>
        <w:rFonts w:ascii="Arial" w:hAnsi="Arial"/>
        <w:color w:val="F2F2F2"/>
        <w:sz w:val="22"/>
      </w:rPr>
      <w:tcPr>
        <w:shd w:val="clear" w:color="FFD864" w:fill="FFD864"/>
      </w:tcPr>
    </w:tblStylePr>
    <w:tblStylePr w:type="band1Vert">
      <w:rPr>
        <w:rFonts w:ascii="Arial" w:hAnsi="Arial"/>
        <w:color w:val="404040"/>
        <w:sz w:val="22"/>
      </w:rPr>
    </w:tblStylePr>
    <w:tblStylePr w:type="band2Vert">
      <w:rPr>
        <w:rFonts w:ascii="Arial" w:hAnsi="Arial"/>
        <w:color w:val="404040"/>
        <w:sz w:val="22"/>
      </w:rPr>
      <w:tcPr>
        <w:shd w:val="clear" w:color="FEF2CA" w:fill="FEF2CA"/>
      </w:tcPr>
    </w:tblStylePr>
    <w:tblStylePr w:type="band1Horz">
      <w:rPr>
        <w:rFonts w:ascii="Arial" w:hAnsi="Arial"/>
        <w:color w:val="404040"/>
        <w:sz w:val="22"/>
      </w:rPr>
    </w:tblStylePr>
    <w:tblStylePr w:type="band2Horz">
      <w:rPr>
        <w:rFonts w:ascii="Arial" w:hAnsi="Arial"/>
        <w:color w:val="404040"/>
        <w:sz w:val="22"/>
      </w:rPr>
      <w:tcPr>
        <w:shd w:val="clear" w:color="FEF2CA" w:fill="FEF2CA"/>
      </w:tcPr>
    </w:tblStylePr>
    <w:tblStylePr w:type="neCell"/>
    <w:tblStylePr w:type="nwCell"/>
    <w:tblStylePr w:type="seCell"/>
    <w:tblStylePr w:type="swCell"/>
  </w:style>
  <w:style w:type="table" w:customStyle="1" w:styleId="152">
    <w:name w:val="Bordered &amp; Lined - Accent 5"/>
    <w:basedOn w:val="26"/>
    <w:qFormat/>
    <w:uiPriority w:val="99"/>
    <w:pPr>
      <w:spacing w:after="0" w:line="240" w:lineRule="auto"/>
    </w:pPr>
    <w:rPr>
      <w:color w:val="404040"/>
    </w:rPr>
    <w:tblPr>
      <w:tblBorders>
        <w:top w:val="single" w:color="244175" w:themeColor="accent5" w:themeShade="95" w:sz="4" w:space="0"/>
        <w:left w:val="single" w:color="244175" w:themeColor="accent5" w:themeShade="95" w:sz="4" w:space="0"/>
        <w:bottom w:val="single" w:color="244175" w:themeColor="accent5" w:themeShade="95" w:sz="4" w:space="0"/>
        <w:right w:val="single" w:color="244175" w:themeColor="accent5" w:themeShade="95" w:sz="4" w:space="0"/>
        <w:insideH w:val="single" w:color="244175" w:themeColor="accent5" w:themeShade="95" w:sz="4" w:space="0"/>
        <w:insideV w:val="single" w:color="244175" w:themeColor="accent5" w:themeShade="95" w:sz="4" w:space="0"/>
      </w:tblBorders>
    </w:tblPr>
    <w:tblStylePr w:type="firstRow">
      <w:rPr>
        <w:rFonts w:ascii="Arial" w:hAnsi="Arial"/>
        <w:color w:val="F2F2F2"/>
        <w:sz w:val="22"/>
      </w:rPr>
      <w:tcPr>
        <w:shd w:val="clear" w:color="4472C4" w:fill="4472C4"/>
      </w:tcPr>
    </w:tblStylePr>
    <w:tblStylePr w:type="lastRow">
      <w:rPr>
        <w:rFonts w:ascii="Arial" w:hAnsi="Arial"/>
        <w:color w:val="F2F2F2"/>
        <w:sz w:val="22"/>
      </w:rPr>
      <w:tcPr>
        <w:shd w:val="clear" w:color="4472C4" w:fill="4472C4"/>
      </w:tcPr>
    </w:tblStylePr>
    <w:tblStylePr w:type="firstCol">
      <w:rPr>
        <w:rFonts w:ascii="Arial" w:hAnsi="Arial"/>
        <w:color w:val="F2F2F2"/>
        <w:sz w:val="22"/>
      </w:rPr>
      <w:tcPr>
        <w:shd w:val="clear" w:color="4472C4" w:fill="4472C4"/>
      </w:tcPr>
    </w:tblStylePr>
    <w:tblStylePr w:type="lastCol">
      <w:rPr>
        <w:rFonts w:ascii="Arial" w:hAnsi="Arial"/>
        <w:color w:val="F2F2F2"/>
        <w:sz w:val="22"/>
      </w:rPr>
      <w:tcPr>
        <w:shd w:val="clear" w:color="4472C4" w:fill="4472C4"/>
      </w:tcPr>
    </w:tblStylePr>
    <w:tblStylePr w:type="band1Vert">
      <w:rPr>
        <w:rFonts w:ascii="Arial" w:hAnsi="Arial"/>
        <w:color w:val="404040"/>
        <w:sz w:val="22"/>
      </w:rPr>
    </w:tblStylePr>
    <w:tblStylePr w:type="band2Vert">
      <w:rPr>
        <w:rFonts w:ascii="Arial" w:hAnsi="Arial"/>
        <w:color w:val="404040"/>
        <w:sz w:val="22"/>
      </w:rPr>
      <w:tcPr>
        <w:shd w:val="clear" w:color="D8E2F2" w:fill="D8E2F2"/>
      </w:tcPr>
    </w:tblStylePr>
    <w:tblStylePr w:type="band1Horz">
      <w:rPr>
        <w:rFonts w:ascii="Arial" w:hAnsi="Arial"/>
        <w:color w:val="404040"/>
        <w:sz w:val="22"/>
      </w:rPr>
    </w:tblStylePr>
    <w:tblStylePr w:type="band2Horz">
      <w:rPr>
        <w:rFonts w:ascii="Arial" w:hAnsi="Arial"/>
        <w:color w:val="404040"/>
        <w:sz w:val="22"/>
      </w:rPr>
      <w:tcPr>
        <w:shd w:val="clear" w:color="D8E2F2" w:fill="D8E2F2"/>
      </w:tcPr>
    </w:tblStylePr>
    <w:tblStylePr w:type="neCell"/>
    <w:tblStylePr w:type="nwCell"/>
    <w:tblStylePr w:type="seCell"/>
    <w:tblStylePr w:type="swCell"/>
  </w:style>
  <w:style w:type="table" w:customStyle="1" w:styleId="153">
    <w:name w:val="Bordered &amp; Lined - Accent 6"/>
    <w:basedOn w:val="26"/>
    <w:qFormat/>
    <w:uiPriority w:val="99"/>
    <w:pPr>
      <w:spacing w:after="0" w:line="240" w:lineRule="auto"/>
    </w:pPr>
    <w:rPr>
      <w:color w:val="404040"/>
    </w:rPr>
    <w:tblPr>
      <w:tblBorders>
        <w:top w:val="single" w:color="416529" w:themeColor="accent6" w:themeShade="95" w:sz="4" w:space="0"/>
        <w:left w:val="single" w:color="416529" w:themeColor="accent6" w:themeShade="95" w:sz="4" w:space="0"/>
        <w:bottom w:val="single" w:color="416529" w:themeColor="accent6" w:themeShade="95" w:sz="4" w:space="0"/>
        <w:right w:val="single" w:color="416529" w:themeColor="accent6" w:themeShade="95" w:sz="4" w:space="0"/>
        <w:insideH w:val="single" w:color="416529" w:themeColor="accent6" w:themeShade="95" w:sz="4" w:space="0"/>
        <w:insideV w:val="single" w:color="416529" w:themeColor="accent6" w:themeShade="95" w:sz="4" w:space="0"/>
      </w:tblBorders>
    </w:tblPr>
    <w:tblStylePr w:type="firstRow">
      <w:rPr>
        <w:rFonts w:ascii="Arial" w:hAnsi="Arial"/>
        <w:color w:val="F2F2F2"/>
        <w:sz w:val="22"/>
      </w:rPr>
      <w:tcPr>
        <w:shd w:val="clear" w:color="70AD47" w:fill="70AD47"/>
      </w:tcPr>
    </w:tblStylePr>
    <w:tblStylePr w:type="lastRow">
      <w:rPr>
        <w:rFonts w:ascii="Arial" w:hAnsi="Arial"/>
        <w:color w:val="F2F2F2"/>
        <w:sz w:val="22"/>
      </w:rPr>
      <w:tcPr>
        <w:shd w:val="clear" w:color="70AD47" w:fill="70AD47"/>
      </w:tcPr>
    </w:tblStylePr>
    <w:tblStylePr w:type="firstCol">
      <w:rPr>
        <w:rFonts w:ascii="Arial" w:hAnsi="Arial"/>
        <w:color w:val="F2F2F2"/>
        <w:sz w:val="22"/>
      </w:rPr>
      <w:tcPr>
        <w:shd w:val="clear" w:color="70AD47" w:fill="70AD47"/>
      </w:tcPr>
    </w:tblStylePr>
    <w:tblStylePr w:type="lastCol">
      <w:rPr>
        <w:rFonts w:ascii="Arial" w:hAnsi="Arial"/>
        <w:color w:val="F2F2F2"/>
        <w:sz w:val="22"/>
      </w:rPr>
      <w:tcPr>
        <w:shd w:val="clear" w:color="70AD47" w:fill="70AD47"/>
      </w:tcPr>
    </w:tblStylePr>
    <w:tblStylePr w:type="band1Vert">
      <w:rPr>
        <w:rFonts w:ascii="Arial" w:hAnsi="Arial"/>
        <w:color w:val="404040"/>
        <w:sz w:val="22"/>
      </w:rPr>
    </w:tblStylePr>
    <w:tblStylePr w:type="band2Vert">
      <w:rPr>
        <w:rFonts w:ascii="Arial" w:hAnsi="Arial"/>
        <w:color w:val="404040"/>
        <w:sz w:val="22"/>
      </w:rPr>
      <w:tcPr>
        <w:shd w:val="clear" w:color="E1EFD8" w:fill="E1EFD8"/>
      </w:tcPr>
    </w:tblStylePr>
    <w:tblStylePr w:type="band1Horz">
      <w:rPr>
        <w:rFonts w:ascii="Arial" w:hAnsi="Arial"/>
        <w:color w:val="404040"/>
        <w:sz w:val="22"/>
      </w:rPr>
    </w:tblStylePr>
    <w:tblStylePr w:type="band2Horz">
      <w:rPr>
        <w:rFonts w:ascii="Arial" w:hAnsi="Arial"/>
        <w:color w:val="404040"/>
        <w:sz w:val="22"/>
      </w:rPr>
      <w:tcPr>
        <w:shd w:val="clear" w:color="E1EFD8" w:fill="E1EFD8"/>
      </w:tcPr>
    </w:tblStylePr>
    <w:tblStylePr w:type="neCell"/>
    <w:tblStylePr w:type="nwCell"/>
    <w:tblStylePr w:type="seCell"/>
    <w:tblStylePr w:type="swCell"/>
  </w:style>
  <w:style w:type="table" w:customStyle="1" w:styleId="154">
    <w:name w:val="Bordered"/>
    <w:basedOn w:val="26"/>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w:type="table" w:customStyle="1" w:styleId="155">
    <w:name w:val="Bordered - Accent 1"/>
    <w:basedOn w:val="26"/>
    <w:qFormat/>
    <w:uiPriority w:val="99"/>
    <w:pPr>
      <w:spacing w:after="0" w:line="240" w:lineRule="auto"/>
    </w:pPr>
    <w:tblPr>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firstRow">
      <w:rPr>
        <w:rFonts w:ascii="Arial" w:hAnsi="Arial"/>
        <w:color w:val="404040"/>
        <w:sz w:val="22"/>
      </w:rPr>
      <w:tcPr>
        <w:tcBorders>
          <w:bottom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5B9BD5" w:themeColor="accent1" w:sz="12" w:space="0"/>
        </w:tcBorders>
      </w:tcPr>
    </w:tblStylePr>
    <w:tblStylePr w:type="band1Vert"/>
    <w:tblStylePr w:type="band2Vert"/>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2Horz"/>
    <w:tblStylePr w:type="neCell"/>
    <w:tblStylePr w:type="nwCell"/>
    <w:tblStylePr w:type="seCell"/>
    <w:tblStylePr w:type="swCell"/>
  </w:style>
  <w:style w:type="table" w:customStyle="1" w:styleId="156">
    <w:name w:val="Bordered - Accent 2"/>
    <w:basedOn w:val="26"/>
    <w:qFormat/>
    <w:uiPriority w:val="99"/>
    <w:pPr>
      <w:spacing w:after="0" w:line="240" w:lineRule="auto"/>
    </w:pPr>
    <w:tblPr>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firstRow">
      <w:rPr>
        <w:rFonts w:ascii="Arial" w:hAnsi="Arial"/>
        <w:color w:val="404040"/>
        <w:sz w:val="22"/>
      </w:rPr>
      <w:tcPr>
        <w:tcBorders>
          <w:bottom w:val="single" w:color="F4B285" w:themeColor="accent2" w:themeTint="97" w:sz="12" w:space="0"/>
        </w:tcBorders>
      </w:tcPr>
    </w:tblStylePr>
    <w:tblStylePr w:type="lastRow">
      <w:rPr>
        <w:rFonts w:ascii="Arial" w:hAnsi="Arial"/>
        <w:color w:val="404040"/>
        <w:sz w:val="22"/>
      </w:rPr>
      <w:tcPr>
        <w:tcBorders>
          <w:top w:val="single" w:color="F4B28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4B285" w:themeColor="accent2" w:themeTint="97" w:sz="12" w:space="0"/>
        </w:tcBorders>
      </w:tcPr>
    </w:tblStylePr>
    <w:tblStylePr w:type="band1Vert"/>
    <w:tblStylePr w:type="band2Vert"/>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2Horz"/>
    <w:tblStylePr w:type="neCell"/>
    <w:tblStylePr w:type="nwCell"/>
    <w:tblStylePr w:type="seCell"/>
    <w:tblStylePr w:type="swCell"/>
  </w:style>
  <w:style w:type="table" w:customStyle="1" w:styleId="157">
    <w:name w:val="Bordered - Accent 3"/>
    <w:basedOn w:val="26"/>
    <w:qFormat/>
    <w:uiPriority w:val="99"/>
    <w:pPr>
      <w:spacing w:after="0" w:line="240" w:lineRule="auto"/>
    </w:pPr>
    <w:tblPr>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firstRow">
      <w:rPr>
        <w:rFonts w:ascii="Arial" w:hAnsi="Arial"/>
        <w:color w:val="404040"/>
        <w:sz w:val="22"/>
      </w:rPr>
      <w:tcPr>
        <w:tcBorders>
          <w:bottom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9C9C9" w:themeColor="accent3" w:themeTint="98" w:sz="12" w:space="0"/>
        </w:tcBorders>
      </w:tcPr>
    </w:tblStylePr>
    <w:tblStylePr w:type="band1Vert"/>
    <w:tblStylePr w:type="band2Vert"/>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2Horz"/>
    <w:tblStylePr w:type="neCell"/>
    <w:tblStylePr w:type="nwCell"/>
    <w:tblStylePr w:type="seCell"/>
    <w:tblStylePr w:type="swCell"/>
  </w:style>
  <w:style w:type="table" w:customStyle="1" w:styleId="158">
    <w:name w:val="Bordered - Accent 4"/>
    <w:basedOn w:val="26"/>
    <w:qFormat/>
    <w:uiPriority w:val="99"/>
    <w:pPr>
      <w:spacing w:after="0" w:line="240" w:lineRule="auto"/>
    </w:pPr>
    <w:tblPr>
      <w:tbl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insideH w:val="single" w:color="FFE597" w:themeColor="accent4" w:themeTint="67" w:sz="4" w:space="0"/>
        <w:insideV w:val="single" w:color="FFE597" w:themeColor="accent4" w:themeTint="67" w:sz="4" w:space="0"/>
      </w:tblBorders>
    </w:tblPr>
    <w:tblStylePr w:type="firstRow">
      <w:rPr>
        <w:rFonts w:ascii="Arial" w:hAnsi="Arial"/>
        <w:color w:val="404040"/>
        <w:sz w:val="22"/>
      </w:rPr>
      <w:tcPr>
        <w:tcBorders>
          <w:bottom w:val="single" w:color="FFD864" w:themeColor="accent4" w:themeTint="9A" w:sz="12" w:space="0"/>
        </w:tcBorders>
      </w:tcPr>
    </w:tblStylePr>
    <w:tblStylePr w:type="lastRow">
      <w:rPr>
        <w:rFonts w:ascii="Arial" w:hAnsi="Arial"/>
        <w:color w:val="404040"/>
        <w:sz w:val="22"/>
      </w:rPr>
      <w:tcPr>
        <w:tcBorders>
          <w:top w:val="single" w:color="FFD864"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FD864" w:themeColor="accent4" w:themeTint="9A" w:sz="12" w:space="0"/>
        </w:tcBorders>
      </w:tcPr>
    </w:tblStylePr>
    <w:tblStylePr w:type="band1Vert"/>
    <w:tblStylePr w:type="band2Vert"/>
    <w:tblStylePr w:type="band1Horz">
      <w:rPr>
        <w:rFonts w:ascii="Arial" w:hAnsi="Arial"/>
        <w:color w:val="404040"/>
        <w:sz w:val="22"/>
      </w:rPr>
      <w:tcPr>
        <w:tcBorders>
          <w:top w:val="single" w:color="FFE597" w:themeColor="accent4" w:themeTint="67" w:sz="4" w:space="0"/>
          <w:left w:val="single" w:color="FFE597" w:themeColor="accent4" w:themeTint="67" w:sz="4" w:space="0"/>
          <w:bottom w:val="single" w:color="FFE597" w:themeColor="accent4" w:themeTint="67" w:sz="4" w:space="0"/>
          <w:right w:val="single" w:color="FFE597" w:themeColor="accent4" w:themeTint="67" w:sz="4" w:space="0"/>
        </w:tcBorders>
      </w:tcPr>
    </w:tblStylePr>
    <w:tblStylePr w:type="band2Horz"/>
    <w:tblStylePr w:type="neCell"/>
    <w:tblStylePr w:type="nwCell"/>
    <w:tblStylePr w:type="seCell"/>
    <w:tblStylePr w:type="swCell"/>
  </w:style>
  <w:style w:type="table" w:customStyle="1" w:styleId="159">
    <w:name w:val="Bordered - Accent 5"/>
    <w:basedOn w:val="26"/>
    <w:qFormat/>
    <w:uiPriority w:val="99"/>
    <w:pPr>
      <w:spacing w:after="0" w:line="240" w:lineRule="auto"/>
    </w:pPr>
    <w:tblPr>
      <w:tbl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insideH w:val="single" w:color="B3C6E7" w:themeColor="accent5" w:themeTint="67" w:sz="4" w:space="0"/>
        <w:insideV w:val="single" w:color="B3C6E7" w:themeColor="accent5" w:themeTint="67" w:sz="4" w:space="0"/>
      </w:tblBorders>
    </w:tblPr>
    <w:tblStylePr w:type="firstRow">
      <w:rPr>
        <w:rFonts w:ascii="Arial" w:hAnsi="Arial"/>
        <w:color w:val="404040"/>
        <w:sz w:val="22"/>
      </w:rPr>
      <w:tcPr>
        <w:tcBorders>
          <w:bottom w:val="single" w:color="8EA9DB" w:themeColor="accent5" w:themeTint="9A" w:sz="12" w:space="0"/>
        </w:tcBorders>
      </w:tcPr>
    </w:tblStylePr>
    <w:tblStylePr w:type="lastRow">
      <w:rPr>
        <w:rFonts w:ascii="Arial" w:hAnsi="Arial"/>
        <w:color w:val="404040"/>
        <w:sz w:val="22"/>
      </w:rPr>
      <w:tcPr>
        <w:tcBorders>
          <w:top w:val="single" w:color="8EA9DB"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8EA9DB" w:themeColor="accent5" w:themeTint="9A" w:sz="12" w:space="0"/>
        </w:tcBorders>
      </w:tcPr>
    </w:tblStylePr>
    <w:tblStylePr w:type="band1Vert"/>
    <w:tblStylePr w:type="band2Vert"/>
    <w:tblStylePr w:type="band1Horz">
      <w:rPr>
        <w:rFonts w:ascii="Arial" w:hAnsi="Arial"/>
        <w:color w:val="404040"/>
        <w:sz w:val="22"/>
      </w:rPr>
      <w:tcPr>
        <w:tcBorders>
          <w:top w:val="single" w:color="B3C6E7" w:themeColor="accent5" w:themeTint="67" w:sz="4" w:space="0"/>
          <w:left w:val="single" w:color="B3C6E7" w:themeColor="accent5" w:themeTint="67" w:sz="4" w:space="0"/>
          <w:bottom w:val="single" w:color="B3C6E7" w:themeColor="accent5" w:themeTint="67" w:sz="4" w:space="0"/>
          <w:right w:val="single" w:color="B3C6E7" w:themeColor="accent5" w:themeTint="67" w:sz="4" w:space="0"/>
        </w:tcBorders>
      </w:tcPr>
    </w:tblStylePr>
    <w:tblStylePr w:type="band2Horz"/>
    <w:tblStylePr w:type="neCell"/>
    <w:tblStylePr w:type="nwCell"/>
    <w:tblStylePr w:type="seCell"/>
    <w:tblStylePr w:type="swCell"/>
  </w:style>
  <w:style w:type="table" w:customStyle="1" w:styleId="160">
    <w:name w:val="Bordered - Accent 6"/>
    <w:basedOn w:val="26"/>
    <w:qFormat/>
    <w:uiPriority w:val="99"/>
    <w:pPr>
      <w:spacing w:after="0" w:line="240" w:lineRule="auto"/>
    </w:pPr>
    <w:tblPr>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firstRow">
      <w:rPr>
        <w:rFonts w:ascii="Arial" w:hAnsi="Arial"/>
        <w:color w:val="404040"/>
        <w:sz w:val="22"/>
      </w:rPr>
      <w:tcPr>
        <w:tcBorders>
          <w:bottom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A9D08E" w:themeColor="accent6" w:themeTint="98" w:sz="12" w:space="0"/>
        </w:tcBorders>
      </w:tcPr>
    </w:tblStylePr>
    <w:tblStylePr w:type="band1Vert"/>
    <w:tblStylePr w:type="band2Vert"/>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2Horz"/>
    <w:tblStylePr w:type="neCell"/>
    <w:tblStylePr w:type="nwCell"/>
    <w:tblStylePr w:type="seCell"/>
    <w:tblStylePr w:type="swCell"/>
  </w:style>
  <w:style w:type="character" w:customStyle="1" w:styleId="161">
    <w:name w:val="Heading 1 Char"/>
    <w:basedOn w:val="28"/>
    <w:qFormat/>
    <w:uiPriority w:val="9"/>
    <w:rPr>
      <w:rFonts w:ascii="Arial" w:hAnsi="Arial" w:eastAsia="Arial" w:cs="Arial"/>
      <w:color w:val="2E75B6" w:themeColor="accent1" w:themeShade="BF"/>
      <w:sz w:val="40"/>
      <w:szCs w:val="40"/>
    </w:rPr>
  </w:style>
  <w:style w:type="character" w:customStyle="1" w:styleId="162">
    <w:name w:val="Heading 2 Char"/>
    <w:basedOn w:val="28"/>
    <w:qFormat/>
    <w:uiPriority w:val="9"/>
    <w:rPr>
      <w:rFonts w:ascii="Arial" w:hAnsi="Arial" w:eastAsia="Arial" w:cs="Arial"/>
      <w:color w:val="2E75B6" w:themeColor="accent1" w:themeShade="BF"/>
      <w:sz w:val="32"/>
      <w:szCs w:val="32"/>
    </w:rPr>
  </w:style>
  <w:style w:type="character" w:customStyle="1" w:styleId="163">
    <w:name w:val="Heading 3 Char"/>
    <w:basedOn w:val="28"/>
    <w:qFormat/>
    <w:uiPriority w:val="9"/>
    <w:rPr>
      <w:rFonts w:ascii="Arial" w:hAnsi="Arial" w:eastAsia="Arial" w:cs="Arial"/>
      <w:color w:val="2E75B6" w:themeColor="accent1" w:themeShade="BF"/>
      <w:sz w:val="28"/>
      <w:szCs w:val="28"/>
    </w:rPr>
  </w:style>
  <w:style w:type="character" w:customStyle="1" w:styleId="164">
    <w:name w:val="Heading 4 Char"/>
    <w:basedOn w:val="28"/>
    <w:link w:val="6"/>
    <w:qFormat/>
    <w:uiPriority w:val="9"/>
    <w:rPr>
      <w:rFonts w:ascii="Arial" w:hAnsi="Arial" w:eastAsia="Arial" w:cs="Arial"/>
      <w:i/>
      <w:iCs/>
      <w:color w:val="2E75B6" w:themeColor="accent1" w:themeShade="BF"/>
    </w:rPr>
  </w:style>
  <w:style w:type="character" w:customStyle="1" w:styleId="165">
    <w:name w:val="Heading 5 Char"/>
    <w:basedOn w:val="28"/>
    <w:link w:val="7"/>
    <w:qFormat/>
    <w:uiPriority w:val="9"/>
    <w:rPr>
      <w:rFonts w:ascii="Arial" w:hAnsi="Arial" w:eastAsia="Arial" w:cs="Arial"/>
      <w:color w:val="2E75B6" w:themeColor="accent1" w:themeShade="BF"/>
    </w:rPr>
  </w:style>
  <w:style w:type="character" w:customStyle="1" w:styleId="166">
    <w:name w:val="Heading 6 Char"/>
    <w:basedOn w:val="28"/>
    <w:link w:val="8"/>
    <w:qFormat/>
    <w:uiPriority w:val="9"/>
    <w:rPr>
      <w:rFonts w:ascii="Arial" w:hAnsi="Arial" w:eastAsia="Arial" w:cs="Arial"/>
      <w:i/>
      <w:iCs/>
      <w:color w:val="595959" w:themeColor="text1" w:themeTint="A6"/>
      <w14:textFill>
        <w14:solidFill>
          <w14:schemeClr w14:val="tx1">
            <w14:lumMod w14:val="65000"/>
            <w14:lumOff w14:val="35000"/>
          </w14:schemeClr>
        </w14:solidFill>
      </w14:textFill>
    </w:rPr>
  </w:style>
  <w:style w:type="character" w:customStyle="1" w:styleId="167">
    <w:name w:val="Heading 7 Char"/>
    <w:basedOn w:val="28"/>
    <w:link w:val="9"/>
    <w:qFormat/>
    <w:uiPriority w:val="9"/>
    <w:rPr>
      <w:rFonts w:ascii="Arial" w:hAnsi="Arial" w:eastAsia="Arial" w:cs="Arial"/>
      <w:color w:val="595959" w:themeColor="text1" w:themeTint="A6"/>
      <w14:textFill>
        <w14:solidFill>
          <w14:schemeClr w14:val="tx1">
            <w14:lumMod w14:val="65000"/>
            <w14:lumOff w14:val="35000"/>
          </w14:schemeClr>
        </w14:solidFill>
      </w14:textFill>
    </w:rPr>
  </w:style>
  <w:style w:type="character" w:customStyle="1" w:styleId="168">
    <w:name w:val="Heading 8 Char"/>
    <w:basedOn w:val="28"/>
    <w:link w:val="10"/>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69">
    <w:name w:val="Heading 9 Char"/>
    <w:basedOn w:val="28"/>
    <w:link w:val="11"/>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70">
    <w:name w:val="Title Char"/>
    <w:basedOn w:val="28"/>
    <w:qFormat/>
    <w:uiPriority w:val="10"/>
    <w:rPr>
      <w:rFonts w:ascii="Arial" w:hAnsi="Arial" w:eastAsia="Arial" w:cs="Arial"/>
      <w:spacing w:val="-10"/>
      <w:sz w:val="56"/>
      <w:szCs w:val="56"/>
    </w:rPr>
  </w:style>
  <w:style w:type="character" w:customStyle="1" w:styleId="171">
    <w:name w:val="Subtitle Char"/>
    <w:basedOn w:val="28"/>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172">
    <w:name w:val="Quote"/>
    <w:basedOn w:val="1"/>
    <w:next w:val="1"/>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173">
    <w:name w:val="Quote Char"/>
    <w:basedOn w:val="28"/>
    <w:qFormat/>
    <w:uiPriority w:val="29"/>
    <w:rPr>
      <w:i/>
      <w:iCs/>
      <w:color w:val="404040" w:themeColor="text1" w:themeTint="BF"/>
      <w14:textFill>
        <w14:solidFill>
          <w14:schemeClr w14:val="tx1">
            <w14:lumMod w14:val="75000"/>
            <w14:lumOff w14:val="25000"/>
          </w14:schemeClr>
        </w14:solidFill>
      </w14:textFill>
    </w:rPr>
  </w:style>
  <w:style w:type="character" w:customStyle="1" w:styleId="174">
    <w:name w:val="Intense Emphasis"/>
    <w:basedOn w:val="28"/>
    <w:qFormat/>
    <w:uiPriority w:val="21"/>
    <w:rPr>
      <w:i/>
      <w:iCs/>
      <w:color w:val="2E75B6" w:themeColor="accent1" w:themeShade="BF"/>
    </w:rPr>
  </w:style>
  <w:style w:type="paragraph" w:styleId="175">
    <w:name w:val="Intense Quote"/>
    <w:basedOn w:val="1"/>
    <w:next w:val="1"/>
    <w:qFormat/>
    <w:uiPriority w:val="30"/>
    <w:pPr>
      <w:pBdr>
        <w:top w:val="single" w:color="2E75B5" w:themeColor="accent1" w:themeShade="BF" w:sz="4" w:space="10"/>
        <w:bottom w:val="single" w:color="2E75B5" w:themeColor="accent1" w:themeShade="BF" w:sz="4" w:space="10"/>
      </w:pBdr>
      <w:spacing w:before="360" w:after="360"/>
      <w:ind w:left="864" w:right="864"/>
      <w:jc w:val="center"/>
    </w:pPr>
    <w:rPr>
      <w:i/>
      <w:iCs/>
      <w:color w:val="2E75B6" w:themeColor="accent1" w:themeShade="BF"/>
    </w:rPr>
  </w:style>
  <w:style w:type="character" w:customStyle="1" w:styleId="176">
    <w:name w:val="Intense Quote Char"/>
    <w:basedOn w:val="28"/>
    <w:qFormat/>
    <w:uiPriority w:val="30"/>
    <w:rPr>
      <w:i/>
      <w:iCs/>
      <w:color w:val="2E75B6" w:themeColor="accent1" w:themeShade="BF"/>
    </w:rPr>
  </w:style>
  <w:style w:type="character" w:customStyle="1" w:styleId="177">
    <w:name w:val="Intense Reference"/>
    <w:basedOn w:val="28"/>
    <w:qFormat/>
    <w:uiPriority w:val="32"/>
    <w:rPr>
      <w:b/>
      <w:bCs/>
      <w:smallCaps/>
      <w:color w:val="2E75B6" w:themeColor="accent1" w:themeShade="BF"/>
      <w:spacing w:val="5"/>
    </w:rPr>
  </w:style>
  <w:style w:type="paragraph" w:styleId="178">
    <w:name w:val="No Spacing"/>
    <w:basedOn w:val="1"/>
    <w:qFormat/>
    <w:uiPriority w:val="1"/>
    <w:pPr>
      <w:spacing w:after="0" w:line="240" w:lineRule="auto"/>
    </w:pPr>
  </w:style>
  <w:style w:type="character" w:customStyle="1" w:styleId="179">
    <w:name w:val="Subtle Emphasis"/>
    <w:basedOn w:val="28"/>
    <w:qFormat/>
    <w:uiPriority w:val="19"/>
    <w:rPr>
      <w:i/>
      <w:iCs/>
      <w:color w:val="404040" w:themeColor="text1" w:themeTint="BF"/>
      <w14:textFill>
        <w14:solidFill>
          <w14:schemeClr w14:val="tx1">
            <w14:lumMod w14:val="75000"/>
            <w14:lumOff w14:val="25000"/>
          </w14:schemeClr>
        </w14:solidFill>
      </w14:textFill>
    </w:rPr>
  </w:style>
  <w:style w:type="character" w:customStyle="1" w:styleId="180">
    <w:name w:val="Subtle Reference"/>
    <w:basedOn w:val="28"/>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81">
    <w:name w:val="Book Title"/>
    <w:basedOn w:val="28"/>
    <w:qFormat/>
    <w:uiPriority w:val="33"/>
    <w:rPr>
      <w:b/>
      <w:bCs/>
      <w:i/>
      <w:iCs/>
      <w:spacing w:val="5"/>
    </w:rPr>
  </w:style>
  <w:style w:type="character" w:customStyle="1" w:styleId="182">
    <w:name w:val="Header Char"/>
    <w:basedOn w:val="28"/>
    <w:qFormat/>
    <w:uiPriority w:val="99"/>
  </w:style>
  <w:style w:type="character" w:customStyle="1" w:styleId="183">
    <w:name w:val="Footer Char"/>
    <w:basedOn w:val="28"/>
    <w:qFormat/>
    <w:uiPriority w:val="99"/>
  </w:style>
  <w:style w:type="character" w:customStyle="1" w:styleId="184">
    <w:name w:val="Footnote Text Char"/>
    <w:basedOn w:val="28"/>
    <w:semiHidden/>
    <w:qFormat/>
    <w:uiPriority w:val="99"/>
    <w:rPr>
      <w:sz w:val="20"/>
      <w:szCs w:val="20"/>
    </w:rPr>
  </w:style>
  <w:style w:type="character" w:customStyle="1" w:styleId="185">
    <w:name w:val="Endnote Text Char"/>
    <w:basedOn w:val="28"/>
    <w:semiHidden/>
    <w:qFormat/>
    <w:uiPriority w:val="99"/>
    <w:rPr>
      <w:sz w:val="20"/>
      <w:szCs w:val="20"/>
    </w:rPr>
  </w:style>
  <w:style w:type="paragraph" w:customStyle="1" w:styleId="186">
    <w:name w:val="TOC Heading"/>
    <w:unhideWhenUsed/>
    <w:qFormat/>
    <w:uiPriority w:val="39"/>
    <w:rPr>
      <w:rFonts w:hint="default" w:ascii="Times New Roman" w:hAnsi="Times New Roman" w:eastAsia="宋体" w:cs="Times New Roman"/>
    </w:rPr>
  </w:style>
  <w:style w:type="character" w:customStyle="1" w:styleId="187">
    <w:name w:val="标题 1 Char"/>
    <w:link w:val="3"/>
    <w:qFormat/>
    <w:uiPriority w:val="1"/>
    <w:rPr>
      <w:rFonts w:ascii="黑体" w:hAnsi="Times New Roman" w:eastAsia="黑体" w:cs="Times New Roman"/>
      <w:b/>
      <w:bCs/>
      <w:sz w:val="36"/>
      <w:szCs w:val="36"/>
    </w:rPr>
  </w:style>
  <w:style w:type="character" w:customStyle="1" w:styleId="188">
    <w:name w:val="标题 2 Char"/>
    <w:link w:val="4"/>
    <w:qFormat/>
    <w:uiPriority w:val="9"/>
    <w:rPr>
      <w:rFonts w:ascii="Cambria" w:hAnsi="Cambria" w:eastAsia="宋体" w:cs="Times New Roman"/>
      <w:b/>
      <w:bCs/>
      <w:sz w:val="32"/>
      <w:szCs w:val="32"/>
    </w:rPr>
  </w:style>
  <w:style w:type="character" w:customStyle="1" w:styleId="189">
    <w:name w:val="标题 3 Char"/>
    <w:link w:val="5"/>
    <w:qFormat/>
    <w:uiPriority w:val="1"/>
    <w:rPr>
      <w:rFonts w:ascii="宋体" w:hAnsi="Times New Roman" w:eastAsia="宋体" w:cs="Times New Roman"/>
      <w:b/>
      <w:bCs/>
      <w:sz w:val="20"/>
      <w:szCs w:val="21"/>
    </w:rPr>
  </w:style>
  <w:style w:type="character" w:customStyle="1" w:styleId="190">
    <w:name w:val="批注文字 Char"/>
    <w:qFormat/>
    <w:uiPriority w:val="99"/>
    <w:rPr>
      <w:rFonts w:ascii="Times New Roman" w:hAnsi="Times New Roman" w:eastAsia="宋体" w:cs="Times New Roman"/>
    </w:rPr>
  </w:style>
  <w:style w:type="character" w:customStyle="1" w:styleId="191">
    <w:name w:val="正文文本 Char"/>
    <w:qFormat/>
    <w:uiPriority w:val="1"/>
    <w:rPr>
      <w:rFonts w:ascii="宋体" w:hAnsi="Times New Roman" w:eastAsia="宋体" w:cs="Times New Roman"/>
      <w:sz w:val="20"/>
      <w:szCs w:val="21"/>
    </w:rPr>
  </w:style>
  <w:style w:type="character" w:customStyle="1" w:styleId="192">
    <w:name w:val="日期 Char"/>
    <w:basedOn w:val="28"/>
    <w:semiHidden/>
    <w:qFormat/>
    <w:uiPriority w:val="99"/>
    <w:rPr>
      <w:rFonts w:ascii="Times New Roman" w:hAnsi="Times New Roman" w:eastAsia="宋体" w:cs="Times New Roman"/>
    </w:rPr>
  </w:style>
  <w:style w:type="character" w:customStyle="1" w:styleId="193">
    <w:name w:val="批注框文本 Char"/>
    <w:semiHidden/>
    <w:qFormat/>
    <w:uiPriority w:val="99"/>
    <w:rPr>
      <w:rFonts w:ascii="Times New Roman" w:hAnsi="Times New Roman" w:eastAsia="宋体" w:cs="Times New Roman"/>
      <w:sz w:val="18"/>
      <w:szCs w:val="18"/>
    </w:rPr>
  </w:style>
  <w:style w:type="character" w:customStyle="1" w:styleId="194">
    <w:name w:val="页脚 Char"/>
    <w:qFormat/>
    <w:uiPriority w:val="99"/>
    <w:rPr>
      <w:rFonts w:ascii="Times New Roman" w:hAnsi="Times New Roman" w:eastAsia="宋体" w:cs="Times New Roman"/>
      <w:sz w:val="18"/>
      <w:szCs w:val="18"/>
    </w:rPr>
  </w:style>
  <w:style w:type="character" w:customStyle="1" w:styleId="195">
    <w:name w:val="页眉 Char"/>
    <w:qFormat/>
    <w:uiPriority w:val="99"/>
    <w:rPr>
      <w:rFonts w:ascii="Times New Roman" w:hAnsi="Times New Roman" w:eastAsia="宋体" w:cs="Times New Roman"/>
      <w:sz w:val="18"/>
      <w:szCs w:val="18"/>
    </w:rPr>
  </w:style>
  <w:style w:type="character" w:customStyle="1" w:styleId="196">
    <w:name w:val="脚注文本 Char"/>
    <w:link w:val="25"/>
    <w:semiHidden/>
    <w:qFormat/>
    <w:uiPriority w:val="99"/>
    <w:rPr>
      <w:rFonts w:ascii="Times New Roman" w:hAnsi="Times New Roman" w:eastAsia="宋体" w:cs="Times New Roman"/>
      <w:sz w:val="18"/>
      <w:szCs w:val="18"/>
    </w:rPr>
  </w:style>
  <w:style w:type="character" w:customStyle="1" w:styleId="197">
    <w:name w:val="批注主题 Char"/>
    <w:semiHidden/>
    <w:qFormat/>
    <w:uiPriority w:val="99"/>
    <w:rPr>
      <w:rFonts w:ascii="Times New Roman" w:hAnsi="Times New Roman" w:eastAsia="宋体" w:cs="Times New Roman"/>
      <w:b/>
      <w:bCs/>
    </w:rPr>
  </w:style>
  <w:style w:type="paragraph" w:customStyle="1" w:styleId="198">
    <w:name w:val="Table Paragraph"/>
    <w:basedOn w:val="1"/>
    <w:qFormat/>
    <w:uiPriority w:val="1"/>
    <w:pPr>
      <w:jc w:val="left"/>
    </w:pPr>
    <w:rPr>
      <w:rFonts w:ascii="Times New Roman" w:hAnsi="Times New Roman" w:cs="Times New Roman"/>
      <w:sz w:val="24"/>
      <w:szCs w:val="24"/>
    </w:rPr>
  </w:style>
  <w:style w:type="paragraph" w:customStyle="1" w:styleId="199">
    <w:name w:val="Default"/>
    <w:qFormat/>
    <w:uiPriority w:val="0"/>
    <w:pPr>
      <w:widowControl w:val="0"/>
    </w:pPr>
    <w:rPr>
      <w:rFonts w:hint="default" w:ascii="宋体" w:hAnsi="宋体" w:eastAsia="宋体" w:cs="宋体"/>
      <w:color w:val="000000"/>
      <w:sz w:val="24"/>
      <w:szCs w:val="24"/>
      <w:lang w:val="en-US" w:eastAsia="zh-CN" w:bidi="ar-SA"/>
    </w:rPr>
  </w:style>
  <w:style w:type="paragraph" w:customStyle="1" w:styleId="200">
    <w:name w:val="_Style 34"/>
    <w:semiHidden/>
    <w:qFormat/>
    <w:uiPriority w:val="99"/>
    <w:rPr>
      <w:rFonts w:hint="default" w:ascii="Times New Roman" w:hAnsi="Times New Roman" w:eastAsia="宋体" w:cs="Times New Roman"/>
      <w:sz w:val="21"/>
      <w:szCs w:val="22"/>
      <w:lang w:val="en-US" w:eastAsia="zh-CN" w:bidi="ar-SA"/>
    </w:rPr>
  </w:style>
  <w:style w:type="paragraph" w:styleId="201">
    <w:name w:val="List Paragraph"/>
    <w:basedOn w:val="1"/>
    <w:qFormat/>
    <w:uiPriority w:val="72"/>
    <w:pPr>
      <w:ind w:firstLine="420"/>
    </w:pPr>
  </w:style>
  <w:style w:type="character" w:customStyle="1" w:styleId="202">
    <w:name w:val="脚注文本 字符"/>
    <w:semiHidden/>
    <w:qFormat/>
    <w:uiPriority w:val="99"/>
    <w:rPr>
      <w:rFonts w:ascii="Times New Roman" w:hAnsi="Times New Roman" w:eastAsia="宋体" w:cs="Times New Roman"/>
      <w:sz w:val="18"/>
      <w:szCs w:val="18"/>
    </w:rPr>
  </w:style>
  <w:style w:type="paragraph" w:customStyle="1" w:styleId="203">
    <w:name w:val="_Style 37"/>
    <w:semiHidden/>
    <w:qFormat/>
    <w:uiPriority w:val="99"/>
    <w:rPr>
      <w:rFonts w:hint="default" w:ascii="Times New Roman"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5C677E69E4DC455CAAF988C1F54A5156</vt:lpwstr>
  </property>
</Properties>
</file>

<file path=customXml/item2.xml><?xml version="1.0" encoding="utf-8"?>
<Properties xmlns="http://schemas.openxmlformats.org/officeDocument/2006/extended-properties" xmlns:vt="http://schemas.openxmlformats.org/officeDocument/2006/docPropsVTypes">
  <Application>onlyoffice/8.1.3.4</Application>
  <DocSecurity>0</DocSecurity>
  <LinksUpToDate>false</LinksUpToDate>
  <ScaleCrop>false</ScaleCrop>
  <Template>Normal.dotm</Template>
</Properties>
</file>

<file path=customXml/item3.xml><?xml version="1.0" encoding="utf-8"?>
<cp:coreProperties xmlns:cp="http://schemas.openxmlformats.org/package/2006/metadata/core-properties" xmlns:dc="http://purl.org/dc/elements/1.1/" xmlns:dcterms="http://purl.org/dc/terms/" xmlns:xsi="http://www.w3.org/2001/XMLSchema-instance">
  <dcterms:created xsi:type="dcterms:W3CDTF">2023-08-18T03:19:00Z</dcterms:created>
  <dc:creator>孙伯略</dc:creator>
  <cp:lastModifiedBy>匿名用户</cp:lastModifiedBy>
  <dcterms:modified xsi:type="dcterms:W3CDTF">2026-06-05T02:30:19Z</dcterms:modified>
  <cp:revision>7</cp:revision>
</cp:coreProperties>
</file>

<file path=customXml/itemProps1.xml><?xml version="1.0" encoding="utf-8"?>
<ds:datastoreItem xmlns:ds="http://schemas.openxmlformats.org/officeDocument/2006/customXml" ds:itemID="{0fffe776-9e8f-484e-9c17-bcc82f58ad84}">
  <ds:schemaRefs/>
</ds:datastoreItem>
</file>

<file path=customXml/itemProps2.xml><?xml version="1.0" encoding="utf-8"?>
<ds:datastoreItem xmlns:ds="http://schemas.openxmlformats.org/officeDocument/2006/customXml" ds:itemID="{6bcef6e4-bdd5-4a60-9821-8bb884b4ec27}">
  <ds:schemaRefs/>
</ds:datastoreItem>
</file>

<file path=customXml/itemProps3.xml><?xml version="1.0" encoding="utf-8"?>
<ds:datastoreItem xmlns:ds="http://schemas.openxmlformats.org/officeDocument/2006/customXml" ds:itemID="{3e95f6af-029b-4204-a920-347015b49a6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ScaleCrop>false</ScaleCrop>
  <LinksUpToDate>false</LinksUpToDate>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2023-08-18T03:19:00Z</dcterms:created>
  <dc:creator>孙伯略</dc:creator>
  <cp:lastModifiedBy>sylc</cp:lastModifiedBy>
  <dcterms:modified xsi:type="dcterms:W3CDTF">2026-06-11T06:35:37Z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D11434D1529645C8A2FB07628391B228</vt:lpwstr>
  </property>
</Properties>
</file>