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F7854E">
      <w:pPr>
        <w:tabs>
          <w:tab w:val="left" w:pos="915"/>
          <w:tab w:val="center" w:pos="5273"/>
        </w:tabs>
        <w:spacing w:before="50"/>
        <w:jc w:val="center"/>
        <w:outlineLvl w:val="0"/>
        <w:rPr>
          <w:rFonts w:hint="eastAsia" w:ascii="黑体" w:eastAsia="黑体"/>
          <w:b/>
          <w:bCs/>
          <w:color w:val="auto"/>
          <w:sz w:val="28"/>
          <w:szCs w:val="28"/>
          <w:lang w:eastAsia="zh-CN"/>
        </w:rPr>
      </w:pPr>
      <w:r>
        <w:rPr>
          <w:rFonts w:hint="eastAsia" w:ascii="黑体" w:eastAsia="黑体"/>
          <w:b/>
          <w:bCs/>
          <w:color w:val="auto"/>
          <w:sz w:val="28"/>
          <w:szCs w:val="28"/>
          <w:lang w:eastAsia="zh-CN"/>
        </w:rPr>
        <w:t>北银理财丰收系列京华远见春系列诚享60天持有期1号理财产品</w:t>
      </w:r>
    </w:p>
    <w:p w14:paraId="1AC8B753">
      <w:pPr>
        <w:tabs>
          <w:tab w:val="left" w:pos="915"/>
          <w:tab w:val="center" w:pos="5273"/>
        </w:tabs>
        <w:spacing w:before="50"/>
        <w:jc w:val="center"/>
        <w:outlineLvl w:val="0"/>
        <w:rPr>
          <w:rFonts w:hint="eastAsia" w:ascii="黑体" w:eastAsia="黑体"/>
          <w:b/>
          <w:bCs/>
          <w:color w:val="000000" w:themeColor="text1"/>
          <w:sz w:val="30"/>
          <w:szCs w:val="30"/>
          <w:lang w:eastAsia="zh-CN"/>
          <w14:textFill>
            <w14:solidFill>
              <w14:schemeClr w14:val="tx1"/>
            </w14:solidFill>
          </w14:textFill>
        </w:rPr>
      </w:pPr>
      <w:r>
        <w:rPr>
          <w:rFonts w:hint="eastAsia" w:ascii="黑体" w:eastAsia="黑体"/>
          <w:b/>
          <w:bCs/>
          <w:color w:val="000000" w:themeColor="text1"/>
          <w:sz w:val="30"/>
          <w:szCs w:val="30"/>
          <w:lang w:eastAsia="zh-CN"/>
          <w14:textFill>
            <w14:solidFill>
              <w14:schemeClr w14:val="tx1"/>
            </w14:solidFill>
          </w14:textFill>
        </w:rPr>
        <w:t>（产品登记编码：</w:t>
      </w:r>
      <w:r>
        <w:rPr>
          <w:rFonts w:hint="eastAsia" w:ascii="黑体" w:hAnsi="楷体" w:eastAsia="黑体"/>
          <w:b/>
          <w:color w:val="000000" w:themeColor="text1"/>
          <w:sz w:val="30"/>
          <w:szCs w:val="30"/>
          <w14:textFill>
            <w14:solidFill>
              <w14:schemeClr w14:val="tx1"/>
            </w14:solidFill>
          </w14:textFill>
        </w:rPr>
        <w:t>Z7008926000354</w:t>
      </w:r>
      <w:r>
        <w:rPr>
          <w:rFonts w:hint="eastAsia" w:ascii="黑体" w:eastAsia="黑体"/>
          <w:b/>
          <w:bCs/>
          <w:color w:val="000000" w:themeColor="text1"/>
          <w:sz w:val="30"/>
          <w:szCs w:val="30"/>
          <w:lang w:eastAsia="zh-CN"/>
          <w14:textFill>
            <w14:solidFill>
              <w14:schemeClr w14:val="tx1"/>
            </w14:solidFill>
          </w14:textFill>
        </w:rPr>
        <w:t>）</w:t>
      </w:r>
    </w:p>
    <w:p w14:paraId="3F729FF5">
      <w:pPr>
        <w:tabs>
          <w:tab w:val="left" w:pos="915"/>
          <w:tab w:val="center" w:pos="5273"/>
        </w:tabs>
        <w:spacing w:before="50"/>
        <w:jc w:val="center"/>
        <w:outlineLvl w:val="0"/>
        <w:rPr>
          <w:rFonts w:ascii="宋体" w:hAnsi="宋体" w:cs="宋体"/>
          <w:b/>
          <w:color w:val="000000" w:themeColor="text1"/>
          <w:sz w:val="30"/>
          <w:szCs w:val="30"/>
          <w14:textFill>
            <w14:solidFill>
              <w14:schemeClr w14:val="tx1"/>
            </w14:solidFill>
          </w14:textFill>
        </w:rPr>
      </w:pPr>
      <w:r>
        <w:rPr>
          <w:rFonts w:hint="eastAsia" w:ascii="黑体" w:hAnsi="楷体" w:eastAsia="黑体"/>
          <w:b/>
          <w:color w:val="000000" w:themeColor="text1"/>
          <w:sz w:val="30"/>
          <w:szCs w:val="30"/>
          <w14:textFill>
            <w14:solidFill>
              <w14:schemeClr w14:val="tx1"/>
            </w14:solidFill>
          </w14:textFill>
        </w:rPr>
        <w:t>投资者权益须知（代销版本）</w:t>
      </w:r>
      <w:bookmarkStart w:id="0" w:name="_GoBack"/>
      <w:bookmarkEnd w:id="0"/>
    </w:p>
    <w:p w14:paraId="4DB4FF9E">
      <w:pPr>
        <w:autoSpaceDE w:val="0"/>
        <w:autoSpaceDN w:val="0"/>
        <w:adjustRightInd w:val="0"/>
        <w:spacing w:line="360" w:lineRule="auto"/>
        <w:rPr>
          <w:rFonts w:ascii="宋体" w:hAnsi="宋体" w:cs="宋体"/>
          <w:b/>
          <w:color w:val="000000" w:themeColor="text1"/>
          <w:szCs w:val="21"/>
          <w14:textFill>
            <w14:solidFill>
              <w14:schemeClr w14:val="tx1"/>
            </w14:solidFill>
          </w14:textFill>
        </w:rPr>
      </w:pPr>
      <w:r>
        <w:rPr>
          <w:rFonts w:hint="eastAsia" w:ascii="宋体" w:hAnsi="宋体" w:cs="宋体"/>
          <w:b/>
          <w:color w:val="000000" w:themeColor="text1"/>
          <w:szCs w:val="21"/>
          <w14:textFill>
            <w14:solidFill>
              <w14:schemeClr w14:val="tx1"/>
            </w14:solidFill>
          </w14:textFill>
        </w:rPr>
        <w:t>尊敬的投资者：</w:t>
      </w:r>
    </w:p>
    <w:p w14:paraId="17B6B414">
      <w:pPr>
        <w:widowControl/>
        <w:autoSpaceDE w:val="0"/>
        <w:autoSpaceDN w:val="0"/>
        <w:adjustRightInd w:val="0"/>
        <w:spacing w:line="360" w:lineRule="auto"/>
        <w:ind w:firstLine="422" w:firstLineChars="200"/>
        <w:jc w:val="left"/>
        <w:rPr>
          <w:rFonts w:ascii="宋体" w:hAns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理财非存款，产品有风险，投资须谨慎。北银理财有限责任公司（以下简称“北银理财”、“管理人”或“产品管理人”）作为本理财产品的管理人郑重提示您：《风险揭示书》、《理财产品投资协议书》、《理财产品说明书》、《投资者权益须知》和《销售（代理销售）协议书》等共同构成本理财产品完整的不可分割的理财产品销售文件。在选择购买本理财产品前，请注意投资风险，仔细阅读本理财产品销售文件，特别是加黑及加“★”标识、以及有关责任或权利限制的条款，了解本理财产品具体情况。</w:t>
      </w:r>
    </w:p>
    <w:p w14:paraId="78390BFB">
      <w:pPr>
        <w:widowControl/>
        <w:autoSpaceDE w:val="0"/>
        <w:autoSpaceDN w:val="0"/>
        <w:adjustRightInd w:val="0"/>
        <w:spacing w:line="360" w:lineRule="auto"/>
        <w:ind w:firstLine="422" w:firstLineChars="200"/>
        <w:jc w:val="left"/>
        <w:rPr>
          <w:rFonts w:ascii="宋体" w:hAns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lang w:bidi="ar"/>
          <w14:textFill>
            <w14:solidFill>
              <w14:schemeClr w14:val="tx1"/>
            </w14:solidFill>
          </w14:textFill>
        </w:rPr>
        <w:t>为方便您办理理财业务，请仔细阅读以下内容。</w:t>
      </w:r>
      <w:r>
        <w:rPr>
          <w:rFonts w:hint="eastAsia" w:ascii="宋体" w:hAnsi="宋体" w:cs="宋体"/>
          <w:b/>
          <w:bCs/>
          <w:color w:val="000000" w:themeColor="text1"/>
          <w:szCs w:val="21"/>
          <w14:textFill>
            <w14:solidFill>
              <w14:schemeClr w14:val="tx1"/>
            </w14:solidFill>
          </w14:textFill>
        </w:rPr>
        <w:t>如对本理财产品销售文件或购买流程等有不明之处，请及时与代销机构相关人员进行咨询。在购买本理财产品后，请关注本理财产品的信息披露情况，及时获取相关信息。如对本理财产品有任何意见或建议，请关注产品管理人相关联络方式并予以反馈，或通过代销机构转达。</w:t>
      </w:r>
    </w:p>
    <w:p w14:paraId="5332B4BD">
      <w:pPr>
        <w:spacing w:line="360" w:lineRule="auto"/>
        <w:ind w:firstLine="422" w:firstLineChars="200"/>
        <w:rPr>
          <w:rFonts w:ascii="宋体" w:hAns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投资者可依据该产品登记编码在“</w:t>
      </w:r>
      <w:r>
        <w:rPr>
          <w:rFonts w:hint="eastAsia" w:ascii="宋体" w:hAnsi="宋体" w:cs="宋体"/>
          <w:b/>
          <w:bCs/>
          <w:color w:val="000000" w:themeColor="text1"/>
          <w:szCs w:val="21"/>
          <w:lang w:eastAsia="zh-CN"/>
          <w14:textFill>
            <w14:solidFill>
              <w14:schemeClr w14:val="tx1"/>
            </w14:solidFill>
          </w14:textFill>
        </w:rPr>
        <w:t>中国理财网</w:t>
      </w:r>
      <w:r>
        <w:rPr>
          <w:rFonts w:hint="eastAsia" w:ascii="宋体" w:hAnsi="宋体" w:cs="宋体"/>
          <w:b/>
          <w:bCs/>
          <w:color w:val="000000" w:themeColor="text1"/>
          <w:szCs w:val="21"/>
          <w14:textFill>
            <w14:solidFill>
              <w14:schemeClr w14:val="tx1"/>
            </w14:solidFill>
          </w14:textFill>
        </w:rPr>
        <w:t>”查询本理财产品信息，“</w:t>
      </w:r>
      <w:r>
        <w:rPr>
          <w:rFonts w:hint="eastAsia" w:ascii="宋体" w:hAnsi="宋体" w:cs="宋体"/>
          <w:b/>
          <w:bCs/>
          <w:color w:val="000000" w:themeColor="text1"/>
          <w:szCs w:val="21"/>
          <w:lang w:eastAsia="zh-CN"/>
          <w14:textFill>
            <w14:solidFill>
              <w14:schemeClr w14:val="tx1"/>
            </w14:solidFill>
          </w14:textFill>
        </w:rPr>
        <w:t>中国理财网</w:t>
      </w:r>
      <w:r>
        <w:rPr>
          <w:rFonts w:hint="eastAsia" w:ascii="宋体" w:hAnsi="宋体" w:cs="宋体"/>
          <w:b/>
          <w:bCs/>
          <w:color w:val="000000" w:themeColor="text1"/>
          <w:szCs w:val="21"/>
          <w14:textFill>
            <w14:solidFill>
              <w14:schemeClr w14:val="tx1"/>
            </w14:solidFill>
          </w14:textFill>
        </w:rPr>
        <w:t>”网址：</w:t>
      </w:r>
      <w:r>
        <w:rPr>
          <w:rFonts w:hint="eastAsia" w:ascii="宋体" w:hAnsi="宋体" w:cs="宋体"/>
          <w:b/>
          <w:bCs/>
          <w:color w:val="000000" w:themeColor="text1"/>
          <w:szCs w:val="21"/>
          <w14:textFill>
            <w14:solidFill>
              <w14:schemeClr w14:val="tx1"/>
            </w14:solidFill>
          </w14:textFill>
        </w:rPr>
        <w:fldChar w:fldCharType="begin"/>
      </w:r>
      <w:r>
        <w:rPr>
          <w:rFonts w:hint="eastAsia" w:ascii="宋体" w:hAnsi="宋体" w:cs="宋体"/>
          <w:b/>
          <w:bCs/>
          <w:color w:val="000000" w:themeColor="text1"/>
          <w:szCs w:val="21"/>
          <w14:textFill>
            <w14:solidFill>
              <w14:schemeClr w14:val="tx1"/>
            </w14:solidFill>
          </w14:textFill>
        </w:rPr>
        <w:instrText xml:space="preserve"> HYPERLINK "http://www.chinawealth.com.cn。" </w:instrText>
      </w:r>
      <w:r>
        <w:rPr>
          <w:rFonts w:hint="eastAsia" w:ascii="宋体" w:hAnsi="宋体" w:cs="宋体"/>
          <w:b/>
          <w:bCs/>
          <w:color w:val="000000" w:themeColor="text1"/>
          <w:szCs w:val="21"/>
          <w14:textFill>
            <w14:solidFill>
              <w14:schemeClr w14:val="tx1"/>
            </w14:solidFill>
          </w14:textFill>
        </w:rPr>
        <w:fldChar w:fldCharType="separate"/>
      </w:r>
      <w:r>
        <w:rPr>
          <w:rStyle w:val="10"/>
          <w:rFonts w:hint="eastAsia" w:ascii="宋体" w:hAnsi="宋体" w:cs="宋体"/>
          <w:b/>
          <w:bCs/>
          <w:color w:val="000000" w:themeColor="text1"/>
          <w:szCs w:val="21"/>
          <w14:textFill>
            <w14:solidFill>
              <w14:schemeClr w14:val="tx1"/>
            </w14:solidFill>
          </w14:textFill>
        </w:rPr>
        <w:t>www.chinawealth.com.cn</w:t>
      </w:r>
      <w:r>
        <w:rPr>
          <w:rFonts w:hint="eastAsia" w:ascii="宋体" w:hAnsi="宋体" w:cs="宋体"/>
          <w:b/>
          <w:bCs/>
          <w:color w:val="000000" w:themeColor="text1"/>
          <w:szCs w:val="21"/>
          <w14:textFill>
            <w14:solidFill>
              <w14:schemeClr w14:val="tx1"/>
            </w14:solidFill>
          </w14:textFill>
        </w:rPr>
        <w:fldChar w:fldCharType="end"/>
      </w:r>
      <w:r>
        <w:rPr>
          <w:rFonts w:hint="eastAsia" w:ascii="宋体" w:hAnsi="宋体" w:cs="宋体"/>
          <w:b/>
          <w:bCs/>
          <w:color w:val="000000" w:themeColor="text1"/>
          <w:szCs w:val="21"/>
          <w:lang w:eastAsia="zh-CN"/>
          <w14:textFill>
            <w14:solidFill>
              <w14:schemeClr w14:val="tx1"/>
            </w14:solidFill>
          </w14:textFill>
        </w:rPr>
        <w:t>。</w:t>
      </w:r>
    </w:p>
    <w:p w14:paraId="66017639">
      <w:pPr>
        <w:autoSpaceDE w:val="0"/>
        <w:autoSpaceDN w:val="0"/>
        <w:adjustRightInd w:val="0"/>
        <w:spacing w:line="360" w:lineRule="auto"/>
        <w:ind w:firstLine="422" w:firstLineChars="200"/>
        <w:outlineLvl w:val="0"/>
        <w:rPr>
          <w:rFonts w:ascii="宋体" w:hAns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一、投资者风险承受能力评估</w:t>
      </w:r>
    </w:p>
    <w:p w14:paraId="5220F21E">
      <w:pPr>
        <w:adjustRightInd w:val="0"/>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一）本理财产品全部销售工作及投资者适当性评估由代销机构负责。投资者首次通过代销机构购买北银理财理财产品的，需要与代销机构签署相关理财产品销售文件，并须按照该理财产品销售文件约定在代销机构销售渠道进行风险承受能力评估，并对评估结果签字确认。</w:t>
      </w:r>
    </w:p>
    <w:p w14:paraId="500D4028">
      <w:pPr>
        <w:autoSpaceDE w:val="0"/>
        <w:autoSpaceDN w:val="0"/>
        <w:adjustRightInd w:val="0"/>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二）投资者风险承受能力评估结果有效期为一年，如投资者超过一年未进行风险承受能力评估或发生可能影响自身风险承受能力情况的，再次购买理财产品时须在理财产品代销机构营业场所（含电子渠道）完成风险承受能力的重新评估。</w:t>
      </w:r>
    </w:p>
    <w:p w14:paraId="09A286D3">
      <w:pPr>
        <w:autoSpaceDE w:val="0"/>
        <w:autoSpaceDN w:val="0"/>
        <w:adjustRightInd w:val="0"/>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（三）投资者风险承受能力评估流程</w:t>
      </w:r>
    </w:p>
    <w:p w14:paraId="49AFD1B5">
      <w:pPr>
        <w:autoSpaceDE w:val="0"/>
        <w:autoSpaceDN w:val="0"/>
        <w:adjustRightInd w:val="0"/>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1.投资者在理财产品代销机构营业场所（含电子渠道）进行风险承受能力评估；</w:t>
      </w:r>
    </w:p>
    <w:p w14:paraId="677D570F">
      <w:pPr>
        <w:autoSpaceDE w:val="0"/>
        <w:autoSpaceDN w:val="0"/>
        <w:adjustRightInd w:val="0"/>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2.填写代销机构投资者风险承受能力测试问卷；</w:t>
      </w:r>
    </w:p>
    <w:p w14:paraId="46F58293">
      <w:pPr>
        <w:autoSpaceDE w:val="0"/>
        <w:autoSpaceDN w:val="0"/>
        <w:adjustRightInd w:val="0"/>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3.生成相应的投资者风险承受能力评估结果；</w:t>
      </w:r>
    </w:p>
    <w:p w14:paraId="3AEC436E">
      <w:pPr>
        <w:autoSpaceDE w:val="0"/>
        <w:autoSpaceDN w:val="0"/>
        <w:adjustRightInd w:val="0"/>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4.投资者对评估结果进行确认。</w:t>
      </w:r>
    </w:p>
    <w:p w14:paraId="3AB88F6A">
      <w:pPr>
        <w:numPr>
          <w:ilvl w:val="0"/>
          <w:numId w:val="1"/>
        </w:numPr>
        <w:autoSpaceDE w:val="0"/>
        <w:autoSpaceDN w:val="0"/>
        <w:adjustRightInd w:val="0"/>
        <w:spacing w:line="360" w:lineRule="auto"/>
        <w:ind w:firstLine="42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 xml:space="preserve">风险承受能力评估结果将作为评价投资者是否适合购买理财产品的重要因素，风险承受能力评级越高适合购买的理财产品风险评级越高，适合购买的理财产品类型越丰富。 </w:t>
      </w:r>
    </w:p>
    <w:p w14:paraId="74B974DA">
      <w:pPr>
        <w:autoSpaceDE w:val="0"/>
        <w:autoSpaceDN w:val="0"/>
        <w:adjustRightInd w:val="0"/>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五）代销机构应确保投资者的风险承受能力等级评估结果不低于本理财产品风险评级结果。代销过程中，代销机构可参考北银理财的产品风险评级结果，自行判断确定本理财产品的风险评级。当代销机构对本理财产品的风险评级结果与北银理财产品风险评级结果不一致的，代销机构应当采用较高风险等级的产品风险评级结果并予以披露。</w:t>
      </w:r>
    </w:p>
    <w:p w14:paraId="694A2944">
      <w:pPr>
        <w:autoSpaceDE w:val="0"/>
        <w:autoSpaceDN w:val="0"/>
        <w:adjustRightInd w:val="0"/>
        <w:spacing w:line="360" w:lineRule="auto"/>
        <w:ind w:firstLine="420"/>
        <w:outlineLvl w:val="0"/>
        <w:rPr>
          <w:rFonts w:ascii="宋体" w:hAns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二、北银理财产品风险评级说明</w:t>
      </w:r>
    </w:p>
    <w:p w14:paraId="43DDD727">
      <w:pPr>
        <w:pStyle w:val="7"/>
        <w:spacing w:line="360" w:lineRule="auto"/>
        <w:ind w:left="0" w:leftChars="0" w:firstLine="420" w:firstLineChars="20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北银理财所对应的产品风险评级说明详见下表。</w:t>
      </w:r>
    </w:p>
    <w:tbl>
      <w:tblPr>
        <w:tblStyle w:val="8"/>
        <w:tblW w:w="9409" w:type="dxa"/>
        <w:tblInd w:w="-37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2"/>
        <w:gridCol w:w="4395"/>
        <w:gridCol w:w="3402"/>
      </w:tblGrid>
      <w:tr w14:paraId="7FCEFA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1612" w:type="dxa"/>
            <w:vAlign w:val="center"/>
          </w:tcPr>
          <w:p w14:paraId="783C6D76">
            <w:pPr>
              <w:autoSpaceDE w:val="0"/>
              <w:autoSpaceDN w:val="0"/>
              <w:adjustRightInd w:val="0"/>
              <w:spacing w:line="360" w:lineRule="auto"/>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产品风险评级</w:t>
            </w:r>
          </w:p>
        </w:tc>
        <w:tc>
          <w:tcPr>
            <w:tcW w:w="4395" w:type="dxa"/>
            <w:vAlign w:val="center"/>
          </w:tcPr>
          <w:p w14:paraId="518D73EF">
            <w:pPr>
              <w:autoSpaceDE w:val="0"/>
              <w:autoSpaceDN w:val="0"/>
              <w:adjustRightInd w:val="0"/>
              <w:spacing w:line="360" w:lineRule="auto"/>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产品风险评级说明</w:t>
            </w:r>
          </w:p>
        </w:tc>
        <w:tc>
          <w:tcPr>
            <w:tcW w:w="3402" w:type="dxa"/>
            <w:vAlign w:val="center"/>
          </w:tcPr>
          <w:p w14:paraId="0513A439">
            <w:pPr>
              <w:autoSpaceDE w:val="0"/>
              <w:autoSpaceDN w:val="0"/>
              <w:adjustRightInd w:val="0"/>
              <w:spacing w:line="360" w:lineRule="auto"/>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目标客户类型</w:t>
            </w:r>
          </w:p>
        </w:tc>
      </w:tr>
      <w:tr w14:paraId="1B8BF4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612" w:type="dxa"/>
            <w:vAlign w:val="center"/>
          </w:tcPr>
          <w:p w14:paraId="64543FE1">
            <w:pPr>
              <w:autoSpaceDE w:val="0"/>
              <w:autoSpaceDN w:val="0"/>
              <w:adjustRightInd w:val="0"/>
              <w:spacing w:line="360" w:lineRule="auto"/>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低风险产品（PR1）</w:t>
            </w:r>
          </w:p>
        </w:tc>
        <w:tc>
          <w:tcPr>
            <w:tcW w:w="4395" w:type="dxa"/>
            <w:vAlign w:val="top"/>
          </w:tcPr>
          <w:p w14:paraId="4A865D36">
            <w:pPr>
              <w:pStyle w:val="12"/>
              <w:spacing w:line="360" w:lineRule="auto"/>
              <w:jc w:val="both"/>
              <w:rPr>
                <w:rFonts w:ascii="宋体" w:hAnsi="宋体" w:eastAsia="宋体" w:cs="宋体"/>
                <w:color w:val="000000" w:themeColor="text1"/>
                <w:kern w:val="2"/>
                <w:sz w:val="21"/>
                <w:szCs w:val="21"/>
                <w14:textFill>
                  <w14:solidFill>
                    <w14:schemeClr w14:val="tx1"/>
                  </w14:solidFill>
                </w14:textFill>
              </w:rPr>
            </w:pPr>
            <w:r>
              <w:rPr>
                <w:rFonts w:hint="eastAsia" w:ascii="宋体" w:hAnsi="宋体" w:eastAsia="宋体" w:cs="宋体"/>
                <w:color w:val="000000" w:themeColor="text1"/>
                <w:kern w:val="2"/>
                <w:sz w:val="21"/>
                <w:szCs w:val="21"/>
                <w14:textFill>
                  <w14:solidFill>
                    <w14:schemeClr w14:val="tx1"/>
                  </w14:solidFill>
                </w14:textFill>
              </w:rPr>
              <w:t>理财产品的总体风险低，净值波动小</w:t>
            </w:r>
            <w:r>
              <w:rPr>
                <w:rFonts w:hint="eastAsia" w:ascii="宋体" w:hAnsi="宋体" w:eastAsia="宋体" w:cs="宋体"/>
                <w:color w:val="000000" w:themeColor="text1"/>
                <w:kern w:val="2"/>
                <w:sz w:val="21"/>
                <w:szCs w:val="21"/>
                <w:lang w:eastAsia="zh-CN"/>
                <w14:textFill>
                  <w14:solidFill>
                    <w14:schemeClr w14:val="tx1"/>
                  </w14:solidFill>
                </w14:textFill>
              </w:rPr>
              <w:t>，</w:t>
            </w:r>
            <w:r>
              <w:rPr>
                <w:rFonts w:hint="eastAsia" w:ascii="宋体" w:hAnsi="宋体" w:eastAsia="宋体" w:cs="宋体"/>
                <w:color w:val="000000" w:themeColor="text1"/>
                <w:kern w:val="2"/>
                <w:sz w:val="21"/>
                <w:szCs w:val="21"/>
                <w:lang w:val="en-US" w:eastAsia="zh-CN"/>
                <w14:textFill>
                  <w14:solidFill>
                    <w14:schemeClr w14:val="tx1"/>
                  </w14:solidFill>
                </w14:textFill>
              </w:rPr>
              <w:t>理财投资</w:t>
            </w:r>
            <w:r>
              <w:rPr>
                <w:rFonts w:hint="eastAsia" w:ascii="宋体" w:hAnsi="宋体" w:eastAsia="宋体" w:cs="宋体"/>
                <w:color w:val="000000" w:themeColor="text1"/>
                <w:kern w:val="2"/>
                <w:sz w:val="21"/>
                <w:szCs w:val="21"/>
                <w14:textFill>
                  <w14:solidFill>
                    <w14:schemeClr w14:val="tx1"/>
                  </w14:solidFill>
                </w14:textFill>
              </w:rPr>
              <w:t>本金</w:t>
            </w:r>
            <w:r>
              <w:rPr>
                <w:rFonts w:hint="eastAsia" w:ascii="宋体" w:hAnsi="宋体" w:eastAsia="宋体" w:cs="宋体"/>
                <w:color w:val="000000" w:themeColor="text1"/>
                <w:kern w:val="2"/>
                <w:sz w:val="21"/>
                <w:szCs w:val="21"/>
                <w:lang w:val="en-US" w:eastAsia="zh-CN"/>
                <w14:textFill>
                  <w14:solidFill>
                    <w14:schemeClr w14:val="tx1"/>
                  </w14:solidFill>
                </w14:textFill>
              </w:rPr>
              <w:t>遭受</w:t>
            </w:r>
            <w:r>
              <w:rPr>
                <w:rFonts w:hint="eastAsia" w:ascii="宋体" w:hAnsi="宋体" w:eastAsia="宋体" w:cs="宋体"/>
                <w:color w:val="000000" w:themeColor="text1"/>
                <w:kern w:val="2"/>
                <w:sz w:val="21"/>
                <w:szCs w:val="21"/>
                <w14:textFill>
                  <w14:solidFill>
                    <w14:schemeClr w14:val="tx1"/>
                  </w14:solidFill>
                </w14:textFill>
              </w:rPr>
              <w:t>损失的可能性低。</w:t>
            </w:r>
          </w:p>
        </w:tc>
        <w:tc>
          <w:tcPr>
            <w:tcW w:w="3402" w:type="dxa"/>
            <w:vAlign w:val="top"/>
          </w:tcPr>
          <w:p w14:paraId="5525E4DD">
            <w:pPr>
              <w:pStyle w:val="12"/>
              <w:spacing w:line="360" w:lineRule="auto"/>
              <w:jc w:val="both"/>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kern w:val="2"/>
                <w:sz w:val="21"/>
                <w:szCs w:val="21"/>
                <w14:textFill>
                  <w14:solidFill>
                    <w14:schemeClr w14:val="tx1"/>
                  </w14:solidFill>
                </w14:textFill>
              </w:rPr>
              <w:t>投资者风险承受能力评估为：</w:t>
            </w:r>
            <w:r>
              <w:rPr>
                <w:rFonts w:hint="eastAsia" w:ascii="宋体" w:hAnsi="宋体" w:eastAsia="宋体" w:cs="宋体"/>
                <w:color w:val="000000" w:themeColor="text1"/>
                <w:sz w:val="21"/>
                <w:szCs w:val="21"/>
                <w14:textFill>
                  <w14:solidFill>
                    <w14:schemeClr w14:val="tx1"/>
                  </w14:solidFill>
                </w14:textFill>
              </w:rPr>
              <w:t>谨慎型、稳健型、平衡型、进取型、激进型的投资者</w:t>
            </w:r>
          </w:p>
        </w:tc>
      </w:tr>
      <w:tr w14:paraId="587844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612" w:type="dxa"/>
            <w:vAlign w:val="center"/>
          </w:tcPr>
          <w:p w14:paraId="726857D2">
            <w:pPr>
              <w:autoSpaceDE w:val="0"/>
              <w:autoSpaceDN w:val="0"/>
              <w:adjustRightInd w:val="0"/>
              <w:spacing w:line="360" w:lineRule="auto"/>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较低风险产品（PR2）</w:t>
            </w:r>
          </w:p>
        </w:tc>
        <w:tc>
          <w:tcPr>
            <w:tcW w:w="4395" w:type="dxa"/>
            <w:vAlign w:val="top"/>
          </w:tcPr>
          <w:p w14:paraId="1D5D716C">
            <w:pPr>
              <w:autoSpaceDE w:val="0"/>
              <w:autoSpaceDN w:val="0"/>
              <w:adjustRightInd w:val="0"/>
              <w:spacing w:line="360" w:lineRule="auto"/>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理财产品的总体风险较低，净值波动较小</w:t>
            </w:r>
            <w:r>
              <w:rPr>
                <w:rFonts w:hint="eastAsia" w:ascii="宋体" w:hAnsi="宋体" w:cs="宋体"/>
                <w:color w:val="000000" w:themeColor="text1"/>
                <w:szCs w:val="21"/>
                <w:lang w:eastAsia="zh-CN"/>
                <w14:textFill>
                  <w14:solidFill>
                    <w14:schemeClr w14:val="tx1"/>
                  </w14:solidFill>
                </w14:textFill>
              </w:rPr>
              <w:t>，</w:t>
            </w:r>
            <w:r>
              <w:rPr>
                <w:rFonts w:hint="eastAsia" w:ascii="宋体" w:hAnsi="宋体" w:cs="宋体"/>
                <w:color w:val="000000" w:themeColor="text1"/>
                <w:szCs w:val="21"/>
                <w:lang w:val="en-US" w:eastAsia="zh-CN"/>
                <w14:textFill>
                  <w14:solidFill>
                    <w14:schemeClr w14:val="tx1"/>
                  </w14:solidFill>
                </w14:textFill>
              </w:rPr>
              <w:t>理财投资</w:t>
            </w:r>
            <w:r>
              <w:rPr>
                <w:rFonts w:hint="eastAsia" w:ascii="宋体" w:hAnsi="宋体" w:cs="宋体"/>
                <w:color w:val="000000" w:themeColor="text1"/>
                <w:szCs w:val="21"/>
                <w14:textFill>
                  <w14:solidFill>
                    <w14:schemeClr w14:val="tx1"/>
                  </w14:solidFill>
                </w14:textFill>
              </w:rPr>
              <w:t>本金</w:t>
            </w:r>
            <w:r>
              <w:rPr>
                <w:rFonts w:hint="eastAsia" w:ascii="宋体" w:hAnsi="宋体" w:cs="宋体"/>
                <w:color w:val="000000" w:themeColor="text1"/>
                <w:szCs w:val="21"/>
                <w:lang w:val="en-US" w:eastAsia="zh-CN"/>
                <w14:textFill>
                  <w14:solidFill>
                    <w14:schemeClr w14:val="tx1"/>
                  </w14:solidFill>
                </w14:textFill>
              </w:rPr>
              <w:t>遭受</w:t>
            </w:r>
            <w:r>
              <w:rPr>
                <w:rFonts w:hint="eastAsia" w:ascii="宋体" w:hAnsi="宋体" w:cs="宋体"/>
                <w:color w:val="000000" w:themeColor="text1"/>
                <w:szCs w:val="21"/>
                <w14:textFill>
                  <w14:solidFill>
                    <w14:schemeClr w14:val="tx1"/>
                  </w14:solidFill>
                </w14:textFill>
              </w:rPr>
              <w:t>损失的可能性较低。</w:t>
            </w:r>
          </w:p>
        </w:tc>
        <w:tc>
          <w:tcPr>
            <w:tcW w:w="3402" w:type="dxa"/>
            <w:vAlign w:val="top"/>
          </w:tcPr>
          <w:p w14:paraId="10CEE92D">
            <w:pPr>
              <w:pStyle w:val="12"/>
              <w:spacing w:line="360" w:lineRule="auto"/>
              <w:jc w:val="both"/>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kern w:val="2"/>
                <w:sz w:val="21"/>
                <w:szCs w:val="21"/>
                <w14:textFill>
                  <w14:solidFill>
                    <w14:schemeClr w14:val="tx1"/>
                  </w14:solidFill>
                </w14:textFill>
              </w:rPr>
              <w:t>投资者风险承受能力评估为：</w:t>
            </w:r>
            <w:r>
              <w:rPr>
                <w:rFonts w:hint="eastAsia" w:ascii="宋体" w:hAnsi="宋体" w:eastAsia="宋体" w:cs="宋体"/>
                <w:color w:val="000000" w:themeColor="text1"/>
                <w:sz w:val="21"/>
                <w:szCs w:val="21"/>
                <w14:textFill>
                  <w14:solidFill>
                    <w14:schemeClr w14:val="tx1"/>
                  </w14:solidFill>
                </w14:textFill>
              </w:rPr>
              <w:t>稳健型、平衡型、进取型、激进型的投资者</w:t>
            </w:r>
          </w:p>
        </w:tc>
      </w:tr>
      <w:tr w14:paraId="528822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612" w:type="dxa"/>
            <w:vAlign w:val="center"/>
          </w:tcPr>
          <w:p w14:paraId="7C652CA9">
            <w:pPr>
              <w:autoSpaceDE w:val="0"/>
              <w:autoSpaceDN w:val="0"/>
              <w:adjustRightInd w:val="0"/>
              <w:spacing w:line="360" w:lineRule="auto"/>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中等风险产品（PR3）</w:t>
            </w:r>
          </w:p>
        </w:tc>
        <w:tc>
          <w:tcPr>
            <w:tcW w:w="4395" w:type="dxa"/>
            <w:vAlign w:val="top"/>
          </w:tcPr>
          <w:p w14:paraId="5B61518C">
            <w:pPr>
              <w:autoSpaceDE w:val="0"/>
              <w:autoSpaceDN w:val="0"/>
              <w:adjustRightInd w:val="0"/>
              <w:spacing w:line="360" w:lineRule="auto"/>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理财产品的总体风险中</w:t>
            </w:r>
            <w:r>
              <w:rPr>
                <w:rFonts w:hint="eastAsia" w:ascii="宋体" w:hAnsi="宋体" w:cs="宋体"/>
                <w:color w:val="000000" w:themeColor="text1"/>
                <w:szCs w:val="21"/>
                <w:lang w:val="en-US" w:eastAsia="zh-CN"/>
                <w14:textFill>
                  <w14:solidFill>
                    <w14:schemeClr w14:val="tx1"/>
                  </w14:solidFill>
                </w14:textFill>
              </w:rPr>
              <w:t>等</w:t>
            </w:r>
            <w:r>
              <w:rPr>
                <w:rFonts w:hint="eastAsia" w:ascii="宋体" w:hAnsi="宋体" w:cs="宋体"/>
                <w:color w:val="000000" w:themeColor="text1"/>
                <w:szCs w:val="21"/>
                <w14:textFill>
                  <w14:solidFill>
                    <w14:schemeClr w14:val="tx1"/>
                  </w14:solidFill>
                </w14:textFill>
              </w:rPr>
              <w:t>，净值</w:t>
            </w:r>
            <w:r>
              <w:rPr>
                <w:rFonts w:hint="eastAsia" w:ascii="宋体" w:hAnsi="宋体" w:eastAsia="宋体" w:cs="宋体"/>
                <w:color w:val="000000" w:themeColor="text1"/>
                <w:sz w:val="21"/>
                <w:szCs w:val="21"/>
                <w:highlight w:val="none"/>
                <w:lang w:eastAsia="zh-CN"/>
                <w14:textFill>
                  <w14:solidFill>
                    <w14:schemeClr w14:val="tx1"/>
                  </w14:solidFill>
                </w14:textFill>
              </w:rPr>
              <w:t>波动较大</w:t>
            </w:r>
            <w:r>
              <w:rPr>
                <w:rFonts w:hint="eastAsia" w:ascii="宋体" w:hAnsi="宋体" w:cs="宋体"/>
                <w:color w:val="000000" w:themeColor="text1"/>
                <w:sz w:val="21"/>
                <w:szCs w:val="21"/>
                <w:lang w:eastAsia="zh-CN"/>
                <w14:textFill>
                  <w14:solidFill>
                    <w14:schemeClr w14:val="tx1"/>
                  </w14:solidFill>
                </w14:textFill>
              </w:rPr>
              <w:t>，</w:t>
            </w:r>
            <w:r>
              <w:rPr>
                <w:rFonts w:hint="eastAsia" w:ascii="宋体" w:hAnsi="宋体" w:cs="宋体"/>
                <w:color w:val="000000" w:themeColor="text1"/>
                <w:sz w:val="21"/>
                <w:szCs w:val="21"/>
                <w:lang w:val="en-US" w:eastAsia="zh-CN"/>
                <w14:textFill>
                  <w14:solidFill>
                    <w14:schemeClr w14:val="tx1"/>
                  </w14:solidFill>
                </w14:textFill>
              </w:rPr>
              <w:t>理财投资</w:t>
            </w:r>
            <w:r>
              <w:rPr>
                <w:rFonts w:hint="eastAsia" w:ascii="宋体" w:hAnsi="宋体" w:cs="宋体"/>
                <w:color w:val="000000" w:themeColor="text1"/>
                <w:szCs w:val="21"/>
                <w14:textFill>
                  <w14:solidFill>
                    <w14:schemeClr w14:val="tx1"/>
                  </w14:solidFill>
                </w14:textFill>
              </w:rPr>
              <w:t>本金</w:t>
            </w:r>
            <w:r>
              <w:rPr>
                <w:rFonts w:hint="eastAsia" w:ascii="宋体" w:hAnsi="宋体" w:cs="宋体"/>
                <w:color w:val="000000" w:themeColor="text1"/>
                <w:szCs w:val="21"/>
                <w:lang w:val="en-US" w:eastAsia="zh-CN"/>
                <w14:textFill>
                  <w14:solidFill>
                    <w14:schemeClr w14:val="tx1"/>
                  </w14:solidFill>
                </w14:textFill>
              </w:rPr>
              <w:t>遭受</w:t>
            </w:r>
            <w:r>
              <w:rPr>
                <w:rFonts w:hint="eastAsia" w:ascii="宋体" w:hAnsi="宋体" w:cs="宋体"/>
                <w:color w:val="000000" w:themeColor="text1"/>
                <w:szCs w:val="21"/>
                <w14:textFill>
                  <w14:solidFill>
                    <w14:schemeClr w14:val="tx1"/>
                  </w14:solidFill>
                </w14:textFill>
              </w:rPr>
              <w:t>损失的可能性</w:t>
            </w:r>
            <w:r>
              <w:rPr>
                <w:rFonts w:hint="eastAsia" w:ascii="宋体" w:hAnsi="宋体" w:cs="宋体"/>
                <w:color w:val="000000" w:themeColor="text1"/>
                <w:szCs w:val="21"/>
                <w:lang w:val="en-US" w:eastAsia="zh-CN"/>
                <w14:textFill>
                  <w14:solidFill>
                    <w14:schemeClr w14:val="tx1"/>
                  </w14:solidFill>
                </w14:textFill>
              </w:rPr>
              <w:t>较高</w:t>
            </w:r>
            <w:r>
              <w:rPr>
                <w:rFonts w:hint="eastAsia" w:ascii="宋体" w:hAnsi="宋体" w:cs="宋体"/>
                <w:color w:val="000000" w:themeColor="text1"/>
                <w:szCs w:val="21"/>
                <w14:textFill>
                  <w14:solidFill>
                    <w14:schemeClr w14:val="tx1"/>
                  </w14:solidFill>
                </w14:textFill>
              </w:rPr>
              <w:t>。</w:t>
            </w:r>
          </w:p>
        </w:tc>
        <w:tc>
          <w:tcPr>
            <w:tcW w:w="3402" w:type="dxa"/>
            <w:vAlign w:val="top"/>
          </w:tcPr>
          <w:p w14:paraId="0102C8AA">
            <w:pPr>
              <w:pStyle w:val="12"/>
              <w:spacing w:line="360" w:lineRule="auto"/>
              <w:jc w:val="both"/>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kern w:val="2"/>
                <w:sz w:val="21"/>
                <w:szCs w:val="21"/>
                <w14:textFill>
                  <w14:solidFill>
                    <w14:schemeClr w14:val="tx1"/>
                  </w14:solidFill>
                </w14:textFill>
              </w:rPr>
              <w:t>投资者风险承受能力评估为：</w:t>
            </w:r>
            <w:r>
              <w:rPr>
                <w:rFonts w:hint="eastAsia" w:ascii="宋体" w:hAnsi="宋体" w:eastAsia="宋体" w:cs="宋体"/>
                <w:color w:val="000000" w:themeColor="text1"/>
                <w:sz w:val="21"/>
                <w:szCs w:val="21"/>
                <w14:textFill>
                  <w14:solidFill>
                    <w14:schemeClr w14:val="tx1"/>
                  </w14:solidFill>
                </w14:textFill>
              </w:rPr>
              <w:t>平衡型、进取型、激进型的投资者</w:t>
            </w:r>
          </w:p>
        </w:tc>
      </w:tr>
      <w:tr w14:paraId="3210EC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612" w:type="dxa"/>
            <w:vAlign w:val="center"/>
          </w:tcPr>
          <w:p w14:paraId="1148742C">
            <w:pPr>
              <w:autoSpaceDE w:val="0"/>
              <w:autoSpaceDN w:val="0"/>
              <w:adjustRightInd w:val="0"/>
              <w:spacing w:line="360" w:lineRule="auto"/>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较高风险产品（PR4）</w:t>
            </w:r>
          </w:p>
        </w:tc>
        <w:tc>
          <w:tcPr>
            <w:tcW w:w="4395" w:type="dxa"/>
            <w:vAlign w:val="top"/>
          </w:tcPr>
          <w:p w14:paraId="15D6AA4B">
            <w:pPr>
              <w:autoSpaceDE w:val="0"/>
              <w:autoSpaceDN w:val="0"/>
              <w:adjustRightInd w:val="0"/>
              <w:spacing w:line="360" w:lineRule="auto"/>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理财产品的总体风险较高，净值</w:t>
            </w:r>
            <w:r>
              <w:rPr>
                <w:rFonts w:hint="eastAsia" w:ascii="宋体" w:hAnsi="宋体" w:eastAsia="宋体" w:cs="宋体"/>
                <w:color w:val="000000" w:themeColor="text1"/>
                <w:sz w:val="21"/>
                <w:szCs w:val="21"/>
                <w:lang w:eastAsia="zh-CN"/>
                <w14:textFill>
                  <w14:solidFill>
                    <w14:schemeClr w14:val="tx1"/>
                  </w14:solidFill>
                </w14:textFill>
              </w:rPr>
              <w:t>波动较大</w:t>
            </w:r>
            <w:r>
              <w:rPr>
                <w:rFonts w:hint="eastAsia" w:ascii="宋体" w:hAnsi="宋体" w:cs="宋体"/>
                <w:color w:val="000000" w:themeColor="text1"/>
                <w:sz w:val="21"/>
                <w:szCs w:val="21"/>
                <w:lang w:eastAsia="zh-CN"/>
                <w14:textFill>
                  <w14:solidFill>
                    <w14:schemeClr w14:val="tx1"/>
                  </w14:solidFill>
                </w14:textFill>
              </w:rPr>
              <w:t>，</w:t>
            </w:r>
            <w:r>
              <w:rPr>
                <w:rFonts w:hint="eastAsia" w:ascii="宋体" w:hAnsi="宋体" w:cs="宋体"/>
                <w:color w:val="000000" w:themeColor="text1"/>
                <w:sz w:val="21"/>
                <w:szCs w:val="21"/>
                <w:lang w:val="en-US" w:eastAsia="zh-CN"/>
                <w14:textFill>
                  <w14:solidFill>
                    <w14:schemeClr w14:val="tx1"/>
                  </w14:solidFill>
                </w14:textFill>
              </w:rPr>
              <w:t>理财投资</w:t>
            </w:r>
            <w:r>
              <w:rPr>
                <w:rFonts w:hint="eastAsia" w:ascii="宋体" w:hAnsi="宋体" w:cs="宋体"/>
                <w:color w:val="000000" w:themeColor="text1"/>
                <w:szCs w:val="21"/>
                <w14:textFill>
                  <w14:solidFill>
                    <w14:schemeClr w14:val="tx1"/>
                  </w14:solidFill>
                </w14:textFill>
              </w:rPr>
              <w:t>本金</w:t>
            </w:r>
            <w:r>
              <w:rPr>
                <w:rFonts w:hint="eastAsia" w:ascii="宋体" w:hAnsi="宋体" w:cs="宋体"/>
                <w:color w:val="000000" w:themeColor="text1"/>
                <w:szCs w:val="21"/>
                <w:lang w:val="en-US" w:eastAsia="zh-CN"/>
                <w14:textFill>
                  <w14:solidFill>
                    <w14:schemeClr w14:val="tx1"/>
                  </w14:solidFill>
                </w14:textFill>
              </w:rPr>
              <w:t>遭受</w:t>
            </w:r>
            <w:r>
              <w:rPr>
                <w:rFonts w:hint="eastAsia" w:ascii="宋体" w:hAnsi="宋体" w:cs="宋体"/>
                <w:color w:val="000000" w:themeColor="text1"/>
                <w:szCs w:val="21"/>
                <w14:textFill>
                  <w14:solidFill>
                    <w14:schemeClr w14:val="tx1"/>
                  </w14:solidFill>
                </w14:textFill>
              </w:rPr>
              <w:t>损失的可能性高。</w:t>
            </w:r>
          </w:p>
        </w:tc>
        <w:tc>
          <w:tcPr>
            <w:tcW w:w="3402" w:type="dxa"/>
            <w:vAlign w:val="top"/>
          </w:tcPr>
          <w:p w14:paraId="77D743E1">
            <w:pPr>
              <w:pStyle w:val="12"/>
              <w:spacing w:line="360" w:lineRule="auto"/>
              <w:jc w:val="both"/>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kern w:val="2"/>
                <w:sz w:val="21"/>
                <w:szCs w:val="21"/>
                <w14:textFill>
                  <w14:solidFill>
                    <w14:schemeClr w14:val="tx1"/>
                  </w14:solidFill>
                </w14:textFill>
              </w:rPr>
              <w:t>投资者风险承受能力评估为：</w:t>
            </w:r>
            <w:r>
              <w:rPr>
                <w:rFonts w:hint="eastAsia" w:ascii="宋体" w:hAnsi="宋体" w:eastAsia="宋体" w:cs="宋体"/>
                <w:color w:val="000000" w:themeColor="text1"/>
                <w:sz w:val="21"/>
                <w:szCs w:val="21"/>
                <w14:textFill>
                  <w14:solidFill>
                    <w14:schemeClr w14:val="tx1"/>
                  </w14:solidFill>
                </w14:textFill>
              </w:rPr>
              <w:t>进取型、激进型的投资者</w:t>
            </w:r>
          </w:p>
        </w:tc>
      </w:tr>
      <w:tr w14:paraId="2CD73B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612" w:type="dxa"/>
            <w:vAlign w:val="center"/>
          </w:tcPr>
          <w:p w14:paraId="1BCF28B1">
            <w:pPr>
              <w:autoSpaceDE w:val="0"/>
              <w:autoSpaceDN w:val="0"/>
              <w:adjustRightInd w:val="0"/>
              <w:spacing w:line="360" w:lineRule="auto"/>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高风险产品（PR5）</w:t>
            </w:r>
          </w:p>
        </w:tc>
        <w:tc>
          <w:tcPr>
            <w:tcW w:w="4395" w:type="dxa"/>
            <w:vAlign w:val="top"/>
          </w:tcPr>
          <w:p w14:paraId="66C2128C">
            <w:pPr>
              <w:autoSpaceDE w:val="0"/>
              <w:autoSpaceDN w:val="0"/>
              <w:adjustRightInd w:val="0"/>
              <w:spacing w:line="360" w:lineRule="auto"/>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理财产品的总体风险高，净值</w:t>
            </w:r>
            <w:r>
              <w:rPr>
                <w:rFonts w:hint="eastAsia" w:ascii="宋体" w:hAnsi="宋体" w:eastAsia="宋体" w:cs="宋体"/>
                <w:color w:val="000000" w:themeColor="text1"/>
                <w:sz w:val="21"/>
                <w:szCs w:val="21"/>
                <w:lang w:eastAsia="zh-CN"/>
                <w14:textFill>
                  <w14:solidFill>
                    <w14:schemeClr w14:val="tx1"/>
                  </w14:solidFill>
                </w14:textFill>
              </w:rPr>
              <w:t>波动</w:t>
            </w:r>
            <w:r>
              <w:rPr>
                <w:rFonts w:hint="eastAsia" w:ascii="宋体" w:hAnsi="宋体" w:cs="宋体"/>
                <w:color w:val="000000" w:themeColor="text1"/>
                <w:sz w:val="21"/>
                <w:szCs w:val="21"/>
                <w:lang w:val="en-US" w:eastAsia="zh-CN"/>
                <w14:textFill>
                  <w14:solidFill>
                    <w14:schemeClr w14:val="tx1"/>
                  </w14:solidFill>
                </w14:textFill>
              </w:rPr>
              <w:t>极</w:t>
            </w:r>
            <w:r>
              <w:rPr>
                <w:rFonts w:hint="eastAsia" w:ascii="宋体" w:hAnsi="宋体" w:eastAsia="宋体" w:cs="宋体"/>
                <w:color w:val="000000" w:themeColor="text1"/>
                <w:sz w:val="21"/>
                <w:szCs w:val="21"/>
                <w:lang w:eastAsia="zh-CN"/>
                <w14:textFill>
                  <w14:solidFill>
                    <w14:schemeClr w14:val="tx1"/>
                  </w14:solidFill>
                </w14:textFill>
              </w:rPr>
              <w:t>大</w:t>
            </w:r>
            <w:r>
              <w:rPr>
                <w:rFonts w:hint="eastAsia" w:ascii="宋体" w:hAnsi="宋体" w:cs="宋体"/>
                <w:color w:val="000000" w:themeColor="text1"/>
                <w:sz w:val="21"/>
                <w:szCs w:val="21"/>
                <w:lang w:eastAsia="zh-CN"/>
                <w14:textFill>
                  <w14:solidFill>
                    <w14:schemeClr w14:val="tx1"/>
                  </w14:solidFill>
                </w14:textFill>
              </w:rPr>
              <w:t>，</w:t>
            </w:r>
            <w:r>
              <w:rPr>
                <w:rFonts w:hint="eastAsia" w:ascii="宋体" w:hAnsi="宋体" w:cs="宋体"/>
                <w:color w:val="000000" w:themeColor="text1"/>
                <w:sz w:val="21"/>
                <w:szCs w:val="21"/>
                <w:lang w:val="en-US" w:eastAsia="zh-CN"/>
                <w14:textFill>
                  <w14:solidFill>
                    <w14:schemeClr w14:val="tx1"/>
                  </w14:solidFill>
                </w14:textFill>
              </w:rPr>
              <w:t>理财投资</w:t>
            </w:r>
            <w:r>
              <w:rPr>
                <w:rFonts w:hint="eastAsia" w:ascii="宋体" w:hAnsi="宋体" w:cs="宋体"/>
                <w:color w:val="000000" w:themeColor="text1"/>
                <w:szCs w:val="21"/>
                <w14:textFill>
                  <w14:solidFill>
                    <w14:schemeClr w14:val="tx1"/>
                  </w14:solidFill>
                </w14:textFill>
              </w:rPr>
              <w:t>本金</w:t>
            </w:r>
            <w:r>
              <w:rPr>
                <w:rFonts w:hint="eastAsia" w:ascii="宋体" w:hAnsi="宋体" w:cs="宋体"/>
                <w:color w:val="000000" w:themeColor="text1"/>
                <w:szCs w:val="21"/>
                <w:lang w:val="en-US" w:eastAsia="zh-CN"/>
                <w14:textFill>
                  <w14:solidFill>
                    <w14:schemeClr w14:val="tx1"/>
                  </w14:solidFill>
                </w14:textFill>
              </w:rPr>
              <w:t>遭受</w:t>
            </w:r>
            <w:r>
              <w:rPr>
                <w:rFonts w:hint="eastAsia" w:ascii="宋体" w:hAnsi="宋体" w:cs="宋体"/>
                <w:color w:val="000000" w:themeColor="text1"/>
                <w:szCs w:val="21"/>
                <w14:textFill>
                  <w14:solidFill>
                    <w14:schemeClr w14:val="tx1"/>
                  </w14:solidFill>
                </w14:textFill>
              </w:rPr>
              <w:t>损失的可能性极高。</w:t>
            </w:r>
          </w:p>
        </w:tc>
        <w:tc>
          <w:tcPr>
            <w:tcW w:w="3402" w:type="dxa"/>
            <w:vAlign w:val="top"/>
          </w:tcPr>
          <w:p w14:paraId="16E47C9B">
            <w:pPr>
              <w:pStyle w:val="12"/>
              <w:spacing w:line="360" w:lineRule="auto"/>
              <w:jc w:val="both"/>
              <w:rPr>
                <w:rFonts w:ascii="宋体" w:hAnsi="宋体" w:eastAsia="宋体" w:cs="宋体"/>
                <w:color w:val="000000" w:themeColor="text1"/>
                <w:kern w:val="2"/>
                <w:sz w:val="21"/>
                <w:szCs w:val="21"/>
                <w14:textFill>
                  <w14:solidFill>
                    <w14:schemeClr w14:val="tx1"/>
                  </w14:solidFill>
                </w14:textFill>
              </w:rPr>
            </w:pPr>
            <w:r>
              <w:rPr>
                <w:rFonts w:hint="eastAsia" w:ascii="宋体" w:hAnsi="宋体" w:eastAsia="宋体" w:cs="宋体"/>
                <w:color w:val="000000" w:themeColor="text1"/>
                <w:kern w:val="2"/>
                <w:sz w:val="21"/>
                <w:szCs w:val="21"/>
                <w14:textFill>
                  <w14:solidFill>
                    <w14:schemeClr w14:val="tx1"/>
                  </w14:solidFill>
                </w14:textFill>
              </w:rPr>
              <w:t>投资者风险承受能力评估为：</w:t>
            </w:r>
            <w:r>
              <w:rPr>
                <w:rFonts w:hint="eastAsia" w:ascii="宋体" w:hAnsi="宋体" w:eastAsia="宋体" w:cs="宋体"/>
                <w:color w:val="000000" w:themeColor="text1"/>
                <w:sz w:val="21"/>
                <w:szCs w:val="21"/>
                <w14:textFill>
                  <w14:solidFill>
                    <w14:schemeClr w14:val="tx1"/>
                  </w14:solidFill>
                </w14:textFill>
              </w:rPr>
              <w:t>激进型的投资者</w:t>
            </w:r>
          </w:p>
        </w:tc>
      </w:tr>
    </w:tbl>
    <w:p w14:paraId="55B67903">
      <w:pPr>
        <w:spacing w:line="360" w:lineRule="auto"/>
        <w:outlineLvl w:val="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 xml:space="preserve">   </w:t>
      </w:r>
      <w:r>
        <w:rPr>
          <w:rFonts w:hint="eastAsia" w:ascii="宋体" w:hAnsi="宋体" w:cs="宋体"/>
          <w:color w:val="000000" w:themeColor="text1"/>
          <w:szCs w:val="21"/>
          <w:lang w:val="en-US" w:eastAsia="zh-CN"/>
          <w14:textFill>
            <w14:solidFill>
              <w14:schemeClr w14:val="tx1"/>
            </w14:solidFill>
          </w14:textFill>
        </w:rPr>
        <w:t>专业投资者具体管理要求</w:t>
      </w:r>
      <w:r>
        <w:rPr>
          <w:rFonts w:hint="eastAsia" w:ascii="宋体" w:hAnsi="宋体" w:cs="宋体"/>
          <w:color w:val="000000" w:themeColor="text1"/>
          <w:szCs w:val="21"/>
          <w14:textFill>
            <w14:solidFill>
              <w14:schemeClr w14:val="tx1"/>
            </w14:solidFill>
          </w14:textFill>
        </w:rPr>
        <w:t>以销售机构为准</w:t>
      </w:r>
      <w:r>
        <w:rPr>
          <w:rFonts w:hint="eastAsia" w:ascii="宋体" w:hAnsi="宋体" w:cs="宋体"/>
          <w:color w:val="000000" w:themeColor="text1"/>
          <w:szCs w:val="21"/>
          <w:lang w:eastAsia="zh-CN"/>
          <w14:textFill>
            <w14:solidFill>
              <w14:schemeClr w14:val="tx1"/>
            </w14:solidFill>
          </w14:textFill>
        </w:rPr>
        <w:t>。</w:t>
      </w:r>
    </w:p>
    <w:p w14:paraId="26A957D9">
      <w:pPr>
        <w:spacing w:line="360" w:lineRule="auto"/>
        <w:ind w:firstLine="422" w:firstLineChars="200"/>
        <w:outlineLvl w:val="0"/>
        <w:rPr>
          <w:rFonts w:ascii="宋体" w:hAnsi="宋体" w:cs="宋体"/>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三、代销机构代理销售理财产品的流程</w:t>
      </w:r>
    </w:p>
    <w:p w14:paraId="30E60868">
      <w:pPr>
        <w:numPr>
          <w:ilvl w:val="255"/>
          <w:numId w:val="0"/>
        </w:num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 xml:space="preserve">（一）首次在代销机构购买理财产品的投资者需开立相应资金账户，提供并确认正确的联系方式。 </w:t>
      </w:r>
    </w:p>
    <w:p w14:paraId="39E8192C">
      <w:pPr>
        <w:numPr>
          <w:ilvl w:val="255"/>
          <w:numId w:val="0"/>
        </w:num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（二）首次在代销机构购买北银理财理财产品的投资者需进行投资者风险承受能力评估，并确认风险承受能力等级评估结果不低于本理财产品风险评级。</w:t>
      </w:r>
    </w:p>
    <w:p w14:paraId="4BE597DB">
      <w:pPr>
        <w:numPr>
          <w:ilvl w:val="255"/>
          <w:numId w:val="0"/>
        </w:num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 xml:space="preserve">（三）仔细阅读本理财产品完整销售文件，理解并确认本理财产品完整销售文件全部条款及产品风险。 </w:t>
      </w:r>
    </w:p>
    <w:p w14:paraId="3DC5240A">
      <w:pPr>
        <w:numPr>
          <w:ilvl w:val="255"/>
          <w:numId w:val="0"/>
        </w:num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（四）确定购买金额，完成交易申请，并在北银理财系统确认投资者购买份额后及时进行查询。</w:t>
      </w:r>
    </w:p>
    <w:p w14:paraId="4630B4B2">
      <w:pPr>
        <w:spacing w:line="360" w:lineRule="auto"/>
        <w:ind w:firstLine="422" w:firstLineChars="200"/>
        <w:outlineLvl w:val="0"/>
        <w:rPr>
          <w:rFonts w:ascii="宋体" w:hAns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四、理财产品信息披露的方式、渠道和频率</w:t>
      </w:r>
    </w:p>
    <w:p w14:paraId="7F21DBE8">
      <w:pPr>
        <w:spacing w:line="360" w:lineRule="auto"/>
        <w:ind w:firstLine="420" w:firstLineChars="200"/>
        <w:outlineLvl w:val="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信息披露的方式、渠道和频率，投资者可以根据《理财产品说明书》“十一、产品的信息披露”</w:t>
      </w:r>
      <w:r>
        <w:rPr>
          <w:rFonts w:hint="eastAsia" w:ascii="宋体" w:hAnsi="宋体" w:cs="宋体"/>
          <w:color w:val="000000" w:themeColor="text1"/>
          <w:szCs w:val="21"/>
          <w:lang w:val="en-US" w:eastAsia="zh-CN"/>
          <w14:textFill>
            <w14:solidFill>
              <w14:schemeClr w14:val="tx1"/>
            </w14:solidFill>
          </w14:textFill>
        </w:rPr>
        <w:t>及“</w:t>
      </w:r>
      <w:r>
        <w:rPr>
          <w:rFonts w:hint="eastAsia" w:ascii="宋体" w:hAnsi="宋体" w:cs="宋体"/>
          <w:color w:val="000000" w:themeColor="text1"/>
          <w:szCs w:val="21"/>
          <w14:textFill>
            <w14:solidFill>
              <w14:schemeClr w14:val="tx1"/>
            </w14:solidFill>
          </w14:textFill>
        </w:rPr>
        <w:t>十二、相关机构的概况</w:t>
      </w:r>
      <w:r>
        <w:rPr>
          <w:rFonts w:hint="eastAsia" w:ascii="宋体" w:hAnsi="宋体" w:cs="宋体"/>
          <w:color w:val="000000" w:themeColor="text1"/>
          <w:szCs w:val="21"/>
          <w:lang w:val="en-US" w:eastAsia="zh-CN"/>
          <w14:textFill>
            <w14:solidFill>
              <w14:schemeClr w14:val="tx1"/>
            </w14:solidFill>
          </w14:textFill>
        </w:rPr>
        <w:t>”</w:t>
      </w:r>
      <w:r>
        <w:rPr>
          <w:rFonts w:hint="eastAsia" w:ascii="宋体" w:hAnsi="宋体" w:cs="宋体"/>
          <w:color w:val="000000" w:themeColor="text1"/>
          <w:szCs w:val="21"/>
          <w14:textFill>
            <w14:solidFill>
              <w14:schemeClr w14:val="tx1"/>
            </w14:solidFill>
          </w14:textFill>
        </w:rPr>
        <w:t>部分的约定，或通过拨打代销机构客户服务热线以及通过代销机构营业网点进行查询。</w:t>
      </w:r>
    </w:p>
    <w:p w14:paraId="3576E65E">
      <w:pPr>
        <w:spacing w:line="360" w:lineRule="auto"/>
        <w:ind w:firstLine="413" w:firstLineChars="196"/>
        <w:outlineLvl w:val="0"/>
        <w:rPr>
          <w:rFonts w:ascii="宋体" w:hAns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五、投资者投诉</w:t>
      </w:r>
      <w:r>
        <w:rPr>
          <w:rFonts w:hint="eastAsia" w:ascii="宋体" w:hAnsi="宋体" w:cs="宋体"/>
          <w:b/>
          <w:bCs/>
          <w:color w:val="000000" w:themeColor="text1"/>
          <w:szCs w:val="21"/>
          <w:lang w:val="en-US" w:eastAsia="zh-CN"/>
          <w14:textFill>
            <w14:solidFill>
              <w14:schemeClr w14:val="tx1"/>
            </w14:solidFill>
          </w14:textFill>
        </w:rPr>
        <w:t>途径、</w:t>
      </w:r>
      <w:r>
        <w:rPr>
          <w:rFonts w:hint="eastAsia" w:ascii="宋体" w:hAnsi="宋体" w:cs="宋体"/>
          <w:b/>
          <w:bCs/>
          <w:color w:val="000000" w:themeColor="text1"/>
          <w:szCs w:val="21"/>
          <w14:textFill>
            <w14:solidFill>
              <w14:schemeClr w14:val="tx1"/>
            </w14:solidFill>
          </w14:textFill>
        </w:rPr>
        <w:t>方式和程序</w:t>
      </w:r>
    </w:p>
    <w:p w14:paraId="18DCDF89">
      <w:pPr>
        <w:spacing w:line="360" w:lineRule="auto"/>
        <w:ind w:firstLine="411" w:firstLineChars="196"/>
        <w:outlineLvl w:val="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投资者如认为代销机构推介、销售产品时有不实或未尽风险告知职责或其他疑义事项，或对本理财产品、代销机构及产品管理人服务有任何意见或建议，投资者可通过拨打代销机构客户服务热线或至代销机构营业网点等方式进行反馈，代销机构将由专人接听、记录您的意见或建议，并由双方协商共同解决。</w:t>
      </w:r>
    </w:p>
    <w:p w14:paraId="2E277189">
      <w:pPr>
        <w:spacing w:line="360" w:lineRule="auto"/>
        <w:ind w:firstLine="413" w:firstLineChars="196"/>
        <w:outlineLvl w:val="0"/>
        <w:rPr>
          <w:rFonts w:ascii="宋体" w:hAns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六、联络方式</w:t>
      </w:r>
    </w:p>
    <w:p w14:paraId="38586D67">
      <w:pPr>
        <w:spacing w:line="360" w:lineRule="auto"/>
        <w:ind w:firstLine="411" w:firstLineChars="196"/>
        <w:outlineLvl w:val="0"/>
        <w:rPr>
          <w:rFonts w:ascii="宋体" w:hAnsi="宋体" w:cs="宋体"/>
          <w:b/>
          <w:bCs/>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（一）代销机构的联络方式</w:t>
      </w:r>
    </w:p>
    <w:p w14:paraId="6C849CF5">
      <w:pPr>
        <w:spacing w:line="360" w:lineRule="auto"/>
        <w:ind w:firstLine="411" w:firstLineChars="196"/>
        <w:outlineLvl w:val="0"/>
        <w:rPr>
          <w:rFonts w:hint="eastAsia" w:ascii="宋体" w:hAnsi="宋体" w:cs="宋体"/>
          <w:color w:val="000000" w:themeColor="text1"/>
          <w:szCs w:val="21"/>
          <w:lang w:val="en-US" w:eastAsia="zh-CN"/>
          <w14:textFill>
            <w14:solidFill>
              <w14:schemeClr w14:val="tx1"/>
            </w14:solidFill>
          </w14:textFill>
        </w:rPr>
      </w:pPr>
      <w:r>
        <w:rPr>
          <w:rFonts w:hint="eastAsia" w:ascii="宋体" w:hAnsi="宋体" w:cs="宋体"/>
          <w:bCs/>
          <w:color w:val="000000" w:themeColor="text1"/>
          <w:szCs w:val="21"/>
          <w:lang w:val="en-US" w:eastAsia="zh-CN"/>
          <w14:textFill>
            <w14:solidFill>
              <w14:schemeClr w14:val="tx1"/>
            </w14:solidFill>
          </w14:textFill>
        </w:rPr>
        <w:t>A</w:t>
      </w:r>
      <w:r>
        <w:rPr>
          <w:rFonts w:hint="eastAsia" w:ascii="宋体" w:hAnsi="宋体" w:cs="宋体"/>
          <w:bCs/>
          <w:color w:val="000000" w:themeColor="text1"/>
          <w:szCs w:val="21"/>
          <w:lang w:eastAsia="zh-CN"/>
          <w14:textFill>
            <w14:solidFill>
              <w14:schemeClr w14:val="tx1"/>
            </w14:solidFill>
          </w14:textFill>
        </w:rPr>
        <w:t>类份额</w:t>
      </w:r>
      <w:r>
        <w:rPr>
          <w:rFonts w:hint="default" w:ascii="宋体" w:hAnsi="宋体" w:eastAsia="宋体" w:cs="宋体"/>
          <w:bCs/>
          <w:color w:val="000000" w:themeColor="text1"/>
          <w:sz w:val="21"/>
          <w:szCs w:val="21"/>
          <w:lang w:eastAsia="zh-CN"/>
          <w14:textFill>
            <w14:solidFill>
              <w14:schemeClr w14:val="tx1"/>
            </w14:solidFill>
          </w14:textFill>
        </w:rPr>
        <w:t>、</w:t>
      </w:r>
      <w:r>
        <w:rPr>
          <w:rFonts w:hint="eastAsia" w:ascii="宋体" w:hAnsi="宋体" w:cs="宋体"/>
          <w:bCs/>
          <w:color w:val="000000" w:themeColor="text1"/>
          <w:sz w:val="21"/>
          <w:szCs w:val="21"/>
          <w:lang w:val="en-US" w:eastAsia="zh-CN"/>
          <w14:textFill>
            <w14:solidFill>
              <w14:schemeClr w14:val="tx1"/>
            </w14:solidFill>
          </w14:textFill>
        </w:rPr>
        <w:t>B</w:t>
      </w:r>
      <w:r>
        <w:rPr>
          <w:rFonts w:hint="default" w:ascii="宋体" w:hAnsi="宋体" w:eastAsia="宋体" w:cs="宋体"/>
          <w:bCs/>
          <w:color w:val="000000" w:themeColor="text1"/>
          <w:sz w:val="21"/>
          <w:szCs w:val="21"/>
          <w:lang w:val="en-US" w:eastAsia="zh-CN"/>
          <w14:textFill>
            <w14:solidFill>
              <w14:schemeClr w14:val="tx1"/>
            </w14:solidFill>
          </w14:textFill>
        </w:rPr>
        <w:t>类份额</w:t>
      </w:r>
      <w:r>
        <w:rPr>
          <w:rFonts w:hint="eastAsia" w:ascii="宋体" w:hAnsi="宋体" w:eastAsia="宋体" w:cs="宋体"/>
          <w:bCs/>
          <w:color w:val="000000" w:themeColor="text1"/>
          <w:sz w:val="21"/>
          <w:szCs w:val="21"/>
          <w:lang w:val="en-US" w:eastAsia="zh-CN"/>
          <w14:textFill>
            <w14:solidFill>
              <w14:schemeClr w14:val="tx1"/>
            </w14:solidFill>
          </w14:textFill>
        </w:rPr>
        <w:t>：</w:t>
      </w:r>
    </w:p>
    <w:p w14:paraId="6A25854E">
      <w:pPr>
        <w:spacing w:line="360" w:lineRule="auto"/>
        <w:ind w:firstLine="420" w:firstLineChars="200"/>
        <w:outlineLvl w:val="0"/>
        <w:rPr>
          <w:rFonts w:hint="default"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浙江龙游农村商业银行股份有限公司、浙江青田农村商业银行股份有限公司、浙江德清农村商业银行股份有限公司、浙江台州路桥农村商业银行股份有限公司、浙江龙泉农村商业银行股份有限公司、浙江绍兴瑞丰农村商业银行股份有限公司、浙江舟山普陀农村商业银行股份有限公司、浙江建德农村商业银行股份有限公司、浙江嵊州农村商业银行股份有限公司、宁波慈溪农村商业银行股份有限公司、浙江浦江农村商业银行股份有限公司、浙江平湖农村商业银行股份有限公司、杭州联合农村商业银行股份有限公司、浙江诸暨农村商业银行股份有限公司、宁波余姚农村商业银行股份有限公司、浙江上虞农村商业银行股份有限公司、浙江富阳农村商业银行股份有限公司、浙江衢州柯城农村商业银行股份有限公司、浙江松阳农村商业银行股份有限公司、浙江江山农村商业银行股份有限公司、浙江义乌农村商业银行股份有限公司、浙江桐庐农村商业银行股份有限公司、浙江新昌农村商业银行股份有限公司、浙江衢州衢江农村商业银行股份有限公司、浙江临安农村商业银行股份有限公司、</w:t>
      </w:r>
      <w:r>
        <w:rPr>
          <w:rFonts w:hint="eastAsia" w:ascii="宋体" w:hAnsi="宋体" w:eastAsia="宋体" w:cs="宋体"/>
          <w:color w:val="000000" w:themeColor="text1"/>
          <w:sz w:val="21"/>
          <w:szCs w:val="21"/>
          <w14:textFill>
            <w14:solidFill>
              <w14:schemeClr w14:val="tx1"/>
            </w14:solidFill>
          </w14:textFill>
        </w:rPr>
        <w:t>浙江萧山农村商业银行股份有限公司</w:t>
      </w:r>
      <w:r>
        <w:rPr>
          <w:rFonts w:hint="eastAsia" w:ascii="宋体" w:hAnsi="宋体" w:eastAsia="宋体" w:cs="宋体"/>
          <w:color w:val="000000" w:themeColor="text1"/>
          <w:sz w:val="21"/>
          <w:szCs w:val="21"/>
          <w:lang w:eastAsia="zh-CN"/>
          <w14:textFill>
            <w14:solidFill>
              <w14:schemeClr w14:val="tx1"/>
            </w14:solidFill>
          </w14:textFill>
        </w:rPr>
        <w:t>、浙江温岭农村商业银行股份有限公司、浙江长兴农村商业银行股份有限公司、浙江兰溪农村商业银行股份有限公司、浙江杭州余杭农村商业银行股份有限公司、浙江缙云农村商业银行股份有限公司、浙江海宁农村商业银行股份有限公司、</w:t>
      </w:r>
      <w:r>
        <w:rPr>
          <w:rFonts w:hint="eastAsia" w:ascii="宋体" w:hAnsi="宋体" w:eastAsia="宋体" w:cs="宋体"/>
          <w:color w:val="000000" w:themeColor="text1"/>
          <w:sz w:val="21"/>
          <w:szCs w:val="21"/>
          <w14:textFill>
            <w14:solidFill>
              <w14:schemeClr w14:val="tx1"/>
            </w14:solidFill>
          </w14:textFill>
        </w:rPr>
        <w:t>浙江桐乡农村商业银行股份有限公司</w:t>
      </w:r>
      <w:r>
        <w:rPr>
          <w:rFonts w:hint="eastAsia" w:ascii="宋体" w:hAnsi="宋体" w:eastAsia="宋体" w:cs="宋体"/>
          <w:color w:val="000000" w:themeColor="text1"/>
          <w:sz w:val="21"/>
          <w:szCs w:val="21"/>
          <w:lang w:eastAsia="zh-CN"/>
          <w14:textFill>
            <w14:solidFill>
              <w14:schemeClr w14:val="tx1"/>
            </w14:solidFill>
          </w14:textFill>
        </w:rPr>
        <w:t>、浙江仙居农村商业银行股份有限公司、</w:t>
      </w:r>
      <w:r>
        <w:rPr>
          <w:rFonts w:hint="eastAsia" w:ascii="宋体" w:hAnsi="宋体" w:eastAsia="宋体" w:cs="宋体"/>
          <w:color w:val="000000" w:themeColor="text1"/>
          <w:sz w:val="21"/>
          <w:szCs w:val="21"/>
          <w14:textFill>
            <w14:solidFill>
              <w14:schemeClr w14:val="tx1"/>
            </w14:solidFill>
          </w14:textFill>
        </w:rPr>
        <w:t>浙江遂昌农村商业银行股份有限公司</w:t>
      </w:r>
      <w:r>
        <w:rPr>
          <w:rFonts w:hint="eastAsia" w:ascii="宋体" w:hAnsi="宋体" w:eastAsia="宋体" w:cs="宋体"/>
          <w:color w:val="000000" w:themeColor="text1"/>
          <w:sz w:val="21"/>
          <w:szCs w:val="21"/>
          <w:lang w:eastAsia="zh-CN"/>
          <w14:textFill>
            <w14:solidFill>
              <w14:schemeClr w14:val="tx1"/>
            </w14:solidFill>
          </w14:textFill>
        </w:rPr>
        <w:t>、浙江丽水莲都农村商业银行股份有限公司、浙江开化农村商业银行股份有限公司、浙江武义农村商业银行股份有限公司、浙江临海农村商业银行股份有限公司、</w:t>
      </w:r>
      <w:r>
        <w:rPr>
          <w:rFonts w:hint="eastAsia" w:ascii="宋体" w:hAnsi="宋体" w:eastAsia="宋体" w:cs="宋体"/>
          <w:color w:val="000000" w:themeColor="text1"/>
          <w:sz w:val="21"/>
          <w:szCs w:val="21"/>
          <w14:textFill>
            <w14:solidFill>
              <w14:schemeClr w14:val="tx1"/>
            </w14:solidFill>
          </w14:textFill>
        </w:rPr>
        <w:t>浙江台州黄岩农村商业银行股份有限公司</w:t>
      </w:r>
      <w:r>
        <w:rPr>
          <w:rFonts w:hint="eastAsia" w:ascii="宋体" w:hAnsi="宋体" w:eastAsia="宋体" w:cs="宋体"/>
          <w:color w:val="000000" w:themeColor="text1"/>
          <w:sz w:val="21"/>
          <w:szCs w:val="21"/>
          <w:lang w:eastAsia="zh-CN"/>
          <w14:textFill>
            <w14:solidFill>
              <w14:schemeClr w14:val="tx1"/>
            </w14:solidFill>
          </w14:textFill>
        </w:rPr>
        <w:t>、浙江天台农村商业银行股份有限公司、浙江庆元农村商业银行股份有限公司、</w:t>
      </w:r>
      <w:r>
        <w:rPr>
          <w:rFonts w:hint="eastAsia" w:ascii="宋体" w:hAnsi="宋体" w:eastAsia="宋体" w:cs="宋体"/>
          <w:i w:val="0"/>
          <w:iCs w:val="0"/>
          <w:caps w:val="0"/>
          <w:color w:val="000000" w:themeColor="text1"/>
          <w:spacing w:val="0"/>
          <w:sz w:val="21"/>
          <w:szCs w:val="21"/>
          <w14:textFill>
            <w14:solidFill>
              <w14:schemeClr w14:val="tx1"/>
            </w14:solidFill>
          </w14:textFill>
        </w:rPr>
        <w:t>浙江金华成泰农村商业银行股份有限公司</w:t>
      </w:r>
      <w:r>
        <w:rPr>
          <w:rFonts w:hint="eastAsia" w:ascii="宋体" w:hAnsi="宋体" w:eastAsia="宋体" w:cs="宋体"/>
          <w:i w:val="0"/>
          <w:iCs w:val="0"/>
          <w:caps w:val="0"/>
          <w:color w:val="000000" w:themeColor="text1"/>
          <w:spacing w:val="0"/>
          <w:sz w:val="21"/>
          <w:szCs w:val="21"/>
          <w:lang w:eastAsia="zh-CN"/>
          <w14:textFill>
            <w14:solidFill>
              <w14:schemeClr w14:val="tx1"/>
            </w14:solidFill>
          </w14:textFill>
        </w:rPr>
        <w:t>、浙江安吉农村商业银行股份有限公司</w:t>
      </w:r>
      <w:r>
        <w:rPr>
          <w:rFonts w:hint="eastAsia" w:ascii="宋体" w:hAnsi="宋体" w:cs="宋体"/>
          <w:i w:val="0"/>
          <w:iCs w:val="0"/>
          <w:caps w:val="0"/>
          <w:color w:val="000000" w:themeColor="text1"/>
          <w:spacing w:val="0"/>
          <w:sz w:val="21"/>
          <w:szCs w:val="21"/>
          <w:lang w:eastAsia="zh-CN"/>
          <w14:textFill>
            <w14:solidFill>
              <w14:schemeClr w14:val="tx1"/>
            </w14:solidFill>
          </w14:textFill>
        </w:rPr>
        <w:t>、浙江绍兴恒信农村商业银行股份有限公司、</w:t>
      </w:r>
      <w:r>
        <w:rPr>
          <w:rFonts w:hint="eastAsia" w:ascii="宋体" w:hAnsi="宋体" w:eastAsia="宋体" w:cs="宋体"/>
          <w:bCs/>
          <w:color w:val="000000" w:themeColor="text1"/>
          <w:sz w:val="21"/>
          <w:szCs w:val="21"/>
          <w:highlight w:val="none"/>
          <w:lang w:eastAsia="zh-CN"/>
          <w14:textFill>
            <w14:solidFill>
              <w14:schemeClr w14:val="tx1"/>
            </w14:solidFill>
          </w14:textFill>
        </w:rPr>
        <w:t>浙江嘉善农村商业银行股份有限公司、浙江禾城农村商业银行股份有限公司</w:t>
      </w:r>
      <w:r>
        <w:rPr>
          <w:rFonts w:hint="eastAsia" w:ascii="宋体" w:hAnsi="宋体" w:cs="宋体"/>
          <w:bCs w:val="0"/>
          <w:color w:val="000000" w:themeColor="text1"/>
          <w:sz w:val="21"/>
          <w:highlight w:val="none"/>
          <w:lang w:eastAsia="zh-CN"/>
          <w14:textFill>
            <w14:solidFill>
              <w14:schemeClr w14:val="tx1"/>
            </w14:solidFill>
          </w14:textFill>
        </w:rPr>
        <w:t>、宁波鄞州农村商业银行股份有限公司、宁波北仑农村商业银行股份有限公司</w:t>
      </w:r>
    </w:p>
    <w:p w14:paraId="250BDC15">
      <w:pPr>
        <w:spacing w:line="360" w:lineRule="auto"/>
        <w:ind w:firstLine="420" w:firstLineChars="200"/>
        <w:outlineLvl w:val="0"/>
        <w:rPr>
          <w:rFonts w:hint="eastAsia" w:ascii="宋体" w:hAnsi="宋体" w:eastAsia="宋体" w:cs="宋体"/>
          <w:color w:val="000000" w:themeColor="text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浙农信客户服务热线：</w:t>
      </w:r>
      <w:r>
        <w:rPr>
          <w:rFonts w:hint="eastAsia" w:ascii="宋体" w:hAnsi="宋体" w:eastAsia="宋体" w:cs="宋体"/>
          <w:color w:val="000000" w:themeColor="text1"/>
          <w:sz w:val="21"/>
          <w:szCs w:val="21"/>
          <w14:textFill>
            <w14:solidFill>
              <w14:schemeClr w14:val="tx1"/>
            </w14:solidFill>
          </w14:textFill>
        </w:rPr>
        <w:t>96596</w:t>
      </w:r>
    </w:p>
    <w:p w14:paraId="07864AEB">
      <w:pPr>
        <w:spacing w:line="360" w:lineRule="auto"/>
        <w:ind w:firstLine="420" w:firstLineChars="200"/>
        <w:outlineLvl w:val="0"/>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浙农信官方</w:t>
      </w:r>
      <w:r>
        <w:rPr>
          <w:rFonts w:hint="eastAsia" w:ascii="宋体" w:hAnsi="宋体" w:eastAsia="宋体" w:cs="宋体"/>
          <w:color w:val="000000" w:themeColor="text1"/>
          <w:sz w:val="21"/>
          <w:szCs w:val="21"/>
          <w14:textFill>
            <w14:solidFill>
              <w14:schemeClr w14:val="tx1"/>
            </w14:solidFill>
          </w14:textFill>
        </w:rPr>
        <w:t>网站：</w:t>
      </w:r>
      <w:r>
        <w:rPr>
          <w:rFonts w:hint="eastAsia" w:ascii="宋体" w:hAnsi="宋体" w:eastAsia="宋体" w:cs="宋体"/>
          <w:color w:val="000000" w:themeColor="text1"/>
          <w:sz w:val="21"/>
          <w:szCs w:val="21"/>
          <w14:textFill>
            <w14:solidFill>
              <w14:schemeClr w14:val="tx1"/>
            </w14:solidFill>
          </w14:textFill>
        </w:rPr>
        <w:fldChar w:fldCharType="begin"/>
      </w:r>
      <w:r>
        <w:rPr>
          <w:rFonts w:hint="eastAsia" w:ascii="宋体" w:hAnsi="宋体" w:eastAsia="宋体" w:cs="宋体"/>
          <w:color w:val="000000" w:themeColor="text1"/>
          <w:sz w:val="21"/>
          <w:szCs w:val="21"/>
          <w14:textFill>
            <w14:solidFill>
              <w14:schemeClr w14:val="tx1"/>
            </w14:solidFill>
          </w14:textFill>
        </w:rPr>
        <w:instrText xml:space="preserve"> HYPERLINK "http://www.zj96596.com" </w:instrText>
      </w:r>
      <w:r>
        <w:rPr>
          <w:rFonts w:hint="eastAsia" w:ascii="宋体" w:hAnsi="宋体" w:eastAsia="宋体" w:cs="宋体"/>
          <w:color w:val="000000" w:themeColor="text1"/>
          <w:sz w:val="21"/>
          <w:szCs w:val="21"/>
          <w14:textFill>
            <w14:solidFill>
              <w14:schemeClr w14:val="tx1"/>
            </w14:solidFill>
          </w14:textFill>
        </w:rPr>
        <w:fldChar w:fldCharType="separate"/>
      </w:r>
      <w:r>
        <w:rPr>
          <w:rFonts w:hint="eastAsia" w:ascii="宋体" w:hAnsi="宋体" w:eastAsia="宋体" w:cs="宋体"/>
          <w:color w:val="000000" w:themeColor="text1"/>
          <w:sz w:val="21"/>
          <w:szCs w:val="21"/>
          <w14:textFill>
            <w14:solidFill>
              <w14:schemeClr w14:val="tx1"/>
            </w14:solidFill>
          </w14:textFill>
        </w:rPr>
        <w:t>www.zj96596.com</w:t>
      </w:r>
      <w:r>
        <w:rPr>
          <w:rFonts w:hint="eastAsia" w:ascii="宋体" w:hAnsi="宋体" w:eastAsia="宋体" w:cs="宋体"/>
          <w:color w:val="000000" w:themeColor="text1"/>
          <w:sz w:val="21"/>
          <w:szCs w:val="21"/>
          <w14:textFill>
            <w14:solidFill>
              <w14:schemeClr w14:val="tx1"/>
            </w14:solidFill>
          </w14:textFill>
        </w:rPr>
        <w:fldChar w:fldCharType="end"/>
      </w:r>
    </w:p>
    <w:p w14:paraId="1671CF05">
      <w:pPr>
        <w:numPr>
          <w:ilvl w:val="0"/>
          <w:numId w:val="2"/>
        </w:numPr>
        <w:spacing w:line="360" w:lineRule="auto"/>
        <w:ind w:firstLine="411" w:firstLineChars="196"/>
        <w:outlineLvl w:val="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产品管理人的联络方式</w:t>
      </w:r>
    </w:p>
    <w:p w14:paraId="2471D498">
      <w:pPr>
        <w:spacing w:line="360" w:lineRule="auto"/>
        <w:ind w:firstLine="420" w:firstLineChars="200"/>
        <w:outlineLvl w:val="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北银理财通讯地址：北京市西城区金融大街甲9号金融街中心大厦A座11层，邮编：100035</w:t>
      </w:r>
    </w:p>
    <w:p w14:paraId="595AB249">
      <w:pPr>
        <w:spacing w:line="360" w:lineRule="auto"/>
        <w:ind w:firstLine="420" w:firstLineChars="200"/>
        <w:rPr>
          <w:rFonts w:hint="eastAsia" w:ascii="宋体" w:hAnsi="宋体" w:cs="宋体"/>
          <w:b/>
          <w:bCs/>
          <w:color w:val="000000" w:themeColor="text1"/>
          <w:szCs w:val="21"/>
          <w14:textFill>
            <w14:solidFill>
              <w14:schemeClr w14:val="tx1"/>
            </w14:solidFill>
          </w14:textFill>
        </w:rPr>
      </w:pPr>
      <w:r>
        <w:rPr>
          <w:rFonts w:hint="eastAsia" w:ascii="宋体" w:hAnsi="宋体" w:cs="宋体"/>
          <w:b w:val="0"/>
          <w:bCs w:val="0"/>
          <w:color w:val="000000" w:themeColor="text1"/>
          <w:szCs w:val="21"/>
          <w:lang w:val="en-US" w:eastAsia="zh-CN"/>
          <w14:textFill>
            <w14:solidFill>
              <w14:schemeClr w14:val="tx1"/>
            </w14:solidFill>
          </w14:textFill>
        </w:rPr>
        <w:t>北银理财官方网站：</w:t>
      </w:r>
      <w:r>
        <w:rPr>
          <w:rFonts w:hint="eastAsia" w:ascii="宋体" w:hAnsi="宋体" w:cs="宋体"/>
          <w:color w:val="000000" w:themeColor="text1"/>
          <w:szCs w:val="21"/>
          <w14:textFill>
            <w14:solidFill>
              <w14:schemeClr w14:val="tx1"/>
            </w14:solidFill>
          </w14:textFill>
        </w:rPr>
        <w:t>www.beijingbobwealth.com.cn</w:t>
      </w:r>
    </w:p>
    <w:p w14:paraId="467B420E">
      <w:pPr>
        <w:spacing w:line="360" w:lineRule="auto"/>
        <w:ind w:firstLine="422" w:firstLineChars="200"/>
        <w:rPr>
          <w:rFonts w:ascii="宋体" w:hAns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声明：本人/本公司知悉《风险揭示书》、《理财产品投资协议书》、《理财产品说明书》、《投资者权益须知》和《销售（代理销售）协议书》等共同构成本理财产品完整的不可分割的理财产品销售文件，本人/本公司确认已经收到本理财产品完整销售文件，且已经认真阅读、理解并接受所有条款及相关法律规定，确认已经获得满意的信息披露，理解并认可本理财产品的性质、风险及可能的损失，并愿意承担且有能力承担该等风险。</w:t>
      </w:r>
    </w:p>
    <w:p w14:paraId="0D208CBE">
      <w:pPr>
        <w:pStyle w:val="3"/>
        <w:jc w:val="left"/>
        <w:rPr>
          <w:rFonts w:hint="eastAsia" w:ascii="宋体" w:hAnsi="宋体" w:eastAsia="宋体" w:cs="宋体"/>
          <w:color w:val="000000" w:themeColor="text1"/>
          <w:sz w:val="21"/>
          <w:szCs w:val="21"/>
          <w14:textFill>
            <w14:solidFill>
              <w14:schemeClr w14:val="tx1"/>
            </w14:solidFill>
          </w14:textFill>
        </w:rPr>
      </w:pPr>
    </w:p>
    <w:p w14:paraId="64C172EF">
      <w:pPr>
        <w:pStyle w:val="3"/>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（以下无正文，为《</w:t>
      </w:r>
      <w:r>
        <w:rPr>
          <w:rFonts w:hint="eastAsia" w:ascii="宋体" w:hAnsi="宋体" w:eastAsia="宋体" w:cs="宋体"/>
          <w:color w:val="000000" w:themeColor="text1"/>
          <w:szCs w:val="21"/>
          <w14:textFill>
            <w14:solidFill>
              <w14:schemeClr w14:val="tx1"/>
            </w14:solidFill>
          </w14:textFill>
        </w:rPr>
        <w:t>投资者权益须知</w:t>
      </w:r>
      <w:r>
        <w:rPr>
          <w:rFonts w:hint="eastAsia" w:ascii="宋体" w:hAnsi="宋体" w:eastAsia="宋体" w:cs="宋体"/>
          <w:color w:val="000000" w:themeColor="text1"/>
          <w:sz w:val="21"/>
          <w:szCs w:val="21"/>
          <w14:textFill>
            <w14:solidFill>
              <w14:schemeClr w14:val="tx1"/>
            </w14:solidFill>
          </w14:textFill>
        </w:rPr>
        <w:t>》签署</w:t>
      </w:r>
      <w:r>
        <w:rPr>
          <w:rFonts w:hint="eastAsia" w:ascii="宋体" w:hAnsi="宋体" w:eastAsia="宋体" w:cs="宋体"/>
          <w:color w:val="000000" w:themeColor="text1"/>
          <w:sz w:val="21"/>
          <w:szCs w:val="21"/>
          <w:lang w:val="en-US" w:eastAsia="zh-CN"/>
          <w14:textFill>
            <w14:solidFill>
              <w14:schemeClr w14:val="tx1"/>
            </w14:solidFill>
          </w14:textFill>
        </w:rPr>
        <w:t>栏</w:t>
      </w:r>
      <w:r>
        <w:rPr>
          <w:rFonts w:hint="eastAsia" w:ascii="宋体" w:hAnsi="宋体" w:eastAsia="宋体" w:cs="宋体"/>
          <w:color w:val="000000" w:themeColor="text1"/>
          <w:sz w:val="21"/>
          <w:szCs w:val="21"/>
          <w14:textFill>
            <w14:solidFill>
              <w14:schemeClr w14:val="tx1"/>
            </w14:solidFill>
          </w14:textFill>
        </w:rPr>
        <w:t>）</w:t>
      </w:r>
    </w:p>
    <w:p w14:paraId="151304DA">
      <w:pPr>
        <w:spacing w:line="360" w:lineRule="auto"/>
        <w:ind w:firstLine="422" w:firstLineChars="200"/>
        <w:rPr>
          <w:rFonts w:ascii="宋体" w:hAnsi="宋体" w:cs="宋体"/>
          <w:b/>
          <w:bCs/>
          <w:color w:val="000000" w:themeColor="text1"/>
          <w:szCs w:val="21"/>
          <w14:textFill>
            <w14:solidFill>
              <w14:schemeClr w14:val="tx1"/>
            </w14:solidFill>
          </w14:textFill>
        </w:rPr>
      </w:pPr>
    </w:p>
    <w:p w14:paraId="44B76511">
      <w:pPr>
        <w:spacing w:line="360" w:lineRule="auto"/>
        <w:ind w:firstLine="3990" w:firstLineChars="19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个人投资者（签名）：</w:t>
      </w:r>
    </w:p>
    <w:p w14:paraId="70826185">
      <w:pPr>
        <w:spacing w:line="360" w:lineRule="auto"/>
        <w:ind w:firstLine="5460" w:firstLineChars="26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日期：</w:t>
      </w:r>
    </w:p>
    <w:p w14:paraId="230B56F2">
      <w:pPr>
        <w:pStyle w:val="7"/>
        <w:ind w:left="420"/>
        <w:rPr>
          <w:rFonts w:ascii="宋体" w:hAnsi="宋体" w:cs="宋体"/>
          <w:color w:val="000000" w:themeColor="text1"/>
          <w14:textFill>
            <w14:solidFill>
              <w14:schemeClr w14:val="tx1"/>
            </w14:solidFill>
          </w14:textFill>
        </w:rPr>
      </w:pPr>
    </w:p>
    <w:p w14:paraId="5491292F">
      <w:pPr>
        <w:rPr>
          <w:rFonts w:ascii="宋体" w:hAnsi="宋体" w:cs="宋体"/>
          <w:color w:val="000000" w:themeColor="text1"/>
          <w:szCs w:val="21"/>
          <w14:textFill>
            <w14:solidFill>
              <w14:schemeClr w14:val="tx1"/>
            </w14:solidFill>
          </w14:textFill>
        </w:rPr>
      </w:pPr>
    </w:p>
    <w:p w14:paraId="17D4CFB4">
      <w:pPr>
        <w:pStyle w:val="7"/>
        <w:ind w:left="420"/>
        <w:rPr>
          <w:color w:val="000000" w:themeColor="text1"/>
          <w14:textFill>
            <w14:solidFill>
              <w14:schemeClr w14:val="tx1"/>
            </w14:solidFill>
          </w14:textFill>
        </w:rPr>
      </w:pPr>
    </w:p>
    <w:p w14:paraId="3A409AC3">
      <w:pPr>
        <w:spacing w:line="360" w:lineRule="auto"/>
        <w:ind w:firstLine="3990" w:firstLineChars="19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机构投资者（盖章）：</w:t>
      </w:r>
    </w:p>
    <w:p w14:paraId="5604E67C">
      <w:pPr>
        <w:spacing w:line="360" w:lineRule="auto"/>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机构投资者法定代表人（或负责人）或授权代表（签名或盖章）：</w:t>
      </w:r>
    </w:p>
    <w:p w14:paraId="3F10CA8B">
      <w:pPr>
        <w:autoSpaceDE w:val="0"/>
        <w:autoSpaceDN w:val="0"/>
        <w:adjustRightInd w:val="0"/>
        <w:spacing w:line="360" w:lineRule="auto"/>
        <w:ind w:firstLine="5460" w:firstLineChars="26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日期：</w:t>
      </w:r>
    </w:p>
    <w:p w14:paraId="0AE3C19D"/>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swiss"/>
    <w:pitch w:val="default"/>
    <w:sig w:usb0="00000000" w:usb1="00000000" w:usb2="00000000" w:usb3="00000000" w:csb0="00040000" w:csb1="00000000"/>
  </w:font>
  <w:font w:name="楷体">
    <w:panose1 w:val="02010609060101010101"/>
    <w:charset w:val="86"/>
    <w:family w:val="swiss"/>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0ED08E">
    <w:r>
      <w:rPr>
        <w:rFonts w:hint="eastAsia" w:ascii="黑体" w:hAnsi="黑体" w:eastAsia="黑体"/>
        <w:b/>
        <w:sz w:val="24"/>
        <w:szCs w:val="32"/>
      </w:rPr>
      <w:t>北银理财·</w:t>
    </w:r>
    <w:r>
      <w:rPr>
        <w:rFonts w:hint="eastAsia" w:ascii="黑体" w:hAnsi="黑体" w:eastAsia="黑体"/>
        <w:b/>
        <w:sz w:val="24"/>
        <w:szCs w:val="32"/>
        <w:lang w:val="en-US" w:eastAsia="zh-CN"/>
      </w:rPr>
      <w:t>春系列诚享持有期</w:t>
    </w:r>
    <w:r>
      <w:rPr>
        <w:rFonts w:hint="eastAsia" w:ascii="黑体" w:hAnsi="黑体" w:eastAsia="黑体"/>
        <w:b/>
        <w:color w:val="auto"/>
      </w:rPr>
      <w:t xml:space="preserve">  </w:t>
    </w:r>
    <w:r>
      <w:rPr>
        <w:rFonts w:hint="eastAsia" w:ascii="黑体" w:hAnsi="黑体" w:eastAsia="黑体"/>
        <w:b/>
      </w:rPr>
      <w:t xml:space="preserve">    </w:t>
    </w:r>
    <w:r>
      <w:rPr>
        <w:rFonts w:hint="eastAsia" w:ascii="黑体" w:hAnsi="黑体" w:eastAsia="黑体"/>
        <w:b/>
        <w:sz w:val="24"/>
        <w:szCs w:val="32"/>
      </w:rPr>
      <w:t>理财非存款，产品有风险，投资须谨慎！</w:t>
    </w:r>
    <w:r>
      <w:rPr>
        <w:b/>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76C491D"/>
    <w:multiLevelType w:val="singleLevel"/>
    <w:tmpl w:val="376C491D"/>
    <w:lvl w:ilvl="0" w:tentative="0">
      <w:start w:val="2"/>
      <w:numFmt w:val="chineseCounting"/>
      <w:suff w:val="nothing"/>
      <w:lvlText w:val="（%1）"/>
      <w:lvlJc w:val="left"/>
      <w:rPr>
        <w:rFonts w:hint="eastAsia"/>
      </w:rPr>
    </w:lvl>
  </w:abstractNum>
  <w:abstractNum w:abstractNumId="1">
    <w:nsid w:val="64CA4909"/>
    <w:multiLevelType w:val="singleLevel"/>
    <w:tmpl w:val="64CA4909"/>
    <w:lvl w:ilvl="0" w:tentative="0">
      <w:start w:val="4"/>
      <w:numFmt w:val="chineseCounting"/>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A1NmZiMWE0YWZjYjYyMGEyNTM2NWY1ODVjOWFiMTQifQ=="/>
  </w:docVars>
  <w:rsids>
    <w:rsidRoot w:val="00172A27"/>
    <w:rsid w:val="05B70467"/>
    <w:rsid w:val="05E73096"/>
    <w:rsid w:val="07BC5662"/>
    <w:rsid w:val="097827C7"/>
    <w:rsid w:val="0F58490A"/>
    <w:rsid w:val="10EC5A22"/>
    <w:rsid w:val="167F0831"/>
    <w:rsid w:val="23C958D7"/>
    <w:rsid w:val="271320F4"/>
    <w:rsid w:val="27A83033"/>
    <w:rsid w:val="28E876B3"/>
    <w:rsid w:val="2A005365"/>
    <w:rsid w:val="2A2A62A4"/>
    <w:rsid w:val="41976BD1"/>
    <w:rsid w:val="4BDC181B"/>
    <w:rsid w:val="4C0D18AC"/>
    <w:rsid w:val="52C25CE1"/>
    <w:rsid w:val="53ED7DE3"/>
    <w:rsid w:val="5E1C3AB6"/>
    <w:rsid w:val="5FE10196"/>
    <w:rsid w:val="64FC7375"/>
    <w:rsid w:val="73EC68EF"/>
    <w:rsid w:val="FCFF1CD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Normal Indent"/>
    <w:basedOn w:val="1"/>
    <w:unhideWhenUsed/>
    <w:qFormat/>
    <w:uiPriority w:val="99"/>
    <w:pPr>
      <w:ind w:firstLine="420" w:firstLineChars="200"/>
    </w:pPr>
  </w:style>
  <w:style w:type="paragraph" w:styleId="3">
    <w:name w:val="Body Text"/>
    <w:basedOn w:val="1"/>
    <w:next w:val="1"/>
    <w:qFormat/>
    <w:uiPriority w:val="0"/>
    <w:pPr>
      <w:spacing w:before="120" w:after="120"/>
    </w:pPr>
  </w:style>
  <w:style w:type="paragraph" w:styleId="4">
    <w:name w:val="Body Text Indent"/>
    <w:basedOn w:val="1"/>
    <w:next w:val="2"/>
    <w:qFormat/>
    <w:uiPriority w:val="0"/>
    <w:pPr>
      <w:spacing w:after="120"/>
      <w:ind w:left="420" w:leftChars="200"/>
    </w:pPr>
    <w:rPr>
      <w:szCs w:val="21"/>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Body Text First Indent 2"/>
    <w:basedOn w:val="4"/>
    <w:next w:val="3"/>
    <w:qFormat/>
    <w:uiPriority w:val="0"/>
    <w:pPr>
      <w:spacing w:after="0"/>
      <w:ind w:left="360" w:firstLine="360"/>
    </w:pPr>
  </w:style>
  <w:style w:type="character" w:styleId="10">
    <w:name w:val="Hyperlink"/>
    <w:qFormat/>
    <w:uiPriority w:val="0"/>
    <w:rPr>
      <w:color w:val="0000FF"/>
      <w:u w:val="single"/>
    </w:rPr>
  </w:style>
  <w:style w:type="character" w:styleId="11">
    <w:name w:val="annotation reference"/>
    <w:qFormat/>
    <w:uiPriority w:val="0"/>
    <w:rPr>
      <w:sz w:val="21"/>
      <w:szCs w:val="21"/>
    </w:rPr>
  </w:style>
  <w:style w:type="paragraph" w:customStyle="1" w:styleId="12">
    <w:name w:val="Default"/>
    <w:qFormat/>
    <w:uiPriority w:val="0"/>
    <w:pPr>
      <w:widowControl w:val="0"/>
      <w:autoSpaceDE w:val="0"/>
      <w:autoSpaceDN w:val="0"/>
      <w:adjustRightInd w:val="0"/>
    </w:pPr>
    <w:rPr>
      <w:rFonts w:ascii="仿宋_GB2312" w:eastAsia="仿宋_GB2312" w:cs="仿宋_GB2312" w:hAnsiTheme="minorHAnsi"/>
      <w:color w:val="000000"/>
      <w:sz w:val="24"/>
      <w:szCs w:val="24"/>
      <w:lang w:val="en-US" w:eastAsia="zh-CN" w:bidi="ar-SA"/>
    </w:rPr>
  </w:style>
  <w:style w:type="paragraph" w:customStyle="1" w:styleId="13">
    <w:name w:val="列出段落3"/>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3174</Words>
  <Characters>3273</Characters>
  <Lines>0</Lines>
  <Paragraphs>0</Paragraphs>
  <TotalTime>0</TotalTime>
  <ScaleCrop>false</ScaleCrop>
  <LinksUpToDate>false</LinksUpToDate>
  <CharactersWithSpaces>3279</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2026-02-13T14:37:00Z</dcterms:created>
  <dc:creator>00031</dc:creator>
  <cp:lastModifiedBy>00031</cp:lastModifiedBy>
  <dcterms:modified xsi:type="dcterms:W3CDTF">2026-06-17T00:54:58Z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36EFCB9CEC0347179959BBC43E51E99B_11</vt:lpwstr>
  </property>
</Properties>
</file>