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permStart w:id="0" w:edGrp="everyone"/>
      <w:r>
        <w:rPr>
          <w:rStyle w:val="27"/>
          <w:rFonts w:hint="eastAsia" w:ascii="黑体" w:hAnsi="黑体" w:eastAsia="黑体"/>
          <w:sz w:val="44"/>
          <w:szCs w:val="44"/>
          <w:lang w:eastAsia="zh-CN"/>
        </w:rPr>
        <w:t>【兴银理财稳利安盈封闭式2026年173期固收类理财产品】</w:t>
      </w:r>
      <w:permEnd w:id="0"/>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【2026】年【6】月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permStart w:id="2" w:edGrp="everyone"/>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中国工商银行股份有限公司（以下简称“工商银行”）。工商银行成立于1984年，于1998年开展资产托管业务，具备理财产品托管资格。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国家金融监督管理总局认定的其他业务活动</w:t>
      </w:r>
      <w:r>
        <w:rPr>
          <w:rFonts w:asciiTheme="majorEastAsia" w:hAnsiTheme="majorEastAsia" w:eastAsiaTheme="majorEastAsia"/>
          <w:bCs/>
          <w:color w:val="auto"/>
          <w:sz w:val="18"/>
          <w:szCs w:val="18"/>
        </w:rPr>
        <w:t>。各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（6）专业投资者：根据监管规定，指符合下列条件之一的投资者：</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1）银行业金融机构、保险业金融机构、金融控股公司、证券基金期货经营机构、私募基金管理人；</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2）上述机构面向投资者发行的金融产品，信托公司管理的资产服务信托、公益慈善信托；</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3）社会保障基金、企业年金、职业年金等养老基金，慈善基金等社会公益基金，合格境外机构投资者（QFII）、人民币合格境外机构投资者（RQFII）。</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（7）普通投资者：专业投资者之外的投资者为普通投资者。</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8</w:t>
      </w:r>
      <w:r>
        <w:rPr>
          <w:rFonts w:hint="eastAsia" w:asciiTheme="majorEastAsia" w:hAnsiTheme="majorEastAsia" w:eastAsiaTheme="majorEastAsia"/>
          <w:bCs/>
          <w:color w:val="auto"/>
          <w:sz w:val="18"/>
          <w:szCs w:val="18"/>
        </w:rPr>
        <w:t>）全国银行业理财信息登记系统：指供商业银行及商业银行理财公司进行理财产品电子化报告和信息登记的电子信息系统。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w:t>
      </w:r>
      <w:permStart w:id="4" w:edGrp="everyone"/>
      <w:r>
        <w:rPr>
          <w:rFonts w:hint="eastAsia" w:asciiTheme="majorEastAsia" w:hAnsiTheme="majorEastAsia" w:eastAsiaTheme="majorEastAsia"/>
          <w:bCs/>
          <w:sz w:val="18"/>
          <w:szCs w:val="18"/>
          <w:lang w:eastAsia="zh-CN"/>
        </w:rPr>
        <w:t>【兴银理财稳利安盈封闭式2026年173期固收类理财产品】</w:t>
      </w:r>
      <w:permEnd w:id="4"/>
      <w:r>
        <w:rPr>
          <w:rFonts w:hint="eastAsia" w:asciiTheme="majorEastAsia" w:hAnsiTheme="majorEastAsia" w:eastAsiaTheme="majorEastAsia"/>
          <w:bCs/>
          <w:sz w:val="18"/>
          <w:szCs w:val="18"/>
        </w:rPr>
        <w:t>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w:t>
      </w:r>
      <w:permStart w:id="5" w:edGrp="everyone"/>
      <w:r>
        <w:rPr>
          <w:rFonts w:hint="eastAsia" w:asciiTheme="majorEastAsia" w:hAnsiTheme="majorEastAsia" w:eastAsiaTheme="majorEastAsia"/>
          <w:bCs/>
          <w:sz w:val="18"/>
          <w:szCs w:val="18"/>
          <w:lang w:eastAsia="zh-CN"/>
        </w:rPr>
        <w:t>【兴银理财稳利安盈封闭式2026年173期固收类理财产品】</w:t>
      </w:r>
      <w:permEnd w:id="5"/>
      <w:r>
        <w:rPr>
          <w:rFonts w:hint="eastAsia" w:asciiTheme="majorEastAsia" w:hAnsiTheme="majorEastAsia" w:eastAsiaTheme="majorEastAsia"/>
          <w:bCs/>
          <w:sz w:val="18"/>
          <w:szCs w:val="18"/>
        </w:rPr>
        <w:t>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w:t>
      </w:r>
      <w:permStart w:id="6" w:edGrp="everyone"/>
      <w:r>
        <w:rPr>
          <w:rFonts w:hint="eastAsia" w:asciiTheme="majorEastAsia" w:hAnsiTheme="majorEastAsia" w:eastAsiaTheme="majorEastAsia"/>
          <w:bCs/>
          <w:sz w:val="18"/>
          <w:szCs w:val="18"/>
          <w:lang w:eastAsia="zh-CN"/>
        </w:rPr>
        <w:t>【兴银理财稳利安盈封闭式2026年173期固收类理财产品】</w:t>
      </w:r>
      <w:permEnd w:id="6"/>
      <w:r>
        <w:rPr>
          <w:rFonts w:hint="eastAsia" w:asciiTheme="majorEastAsia" w:hAnsiTheme="majorEastAsia" w:eastAsiaTheme="majorEastAsia"/>
          <w:bCs/>
          <w:sz w:val="18"/>
          <w:szCs w:val="18"/>
        </w:rPr>
        <w:t>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w:t>
      </w:r>
      <w:permStart w:id="7" w:edGrp="everyone"/>
      <w:r>
        <w:rPr>
          <w:rFonts w:hint="eastAsia" w:asciiTheme="majorEastAsia" w:hAnsiTheme="majorEastAsia" w:eastAsiaTheme="majorEastAsia"/>
          <w:bCs/>
          <w:sz w:val="18"/>
          <w:szCs w:val="18"/>
          <w:lang w:eastAsia="zh-CN"/>
        </w:rPr>
        <w:t>【兴银理财稳利安盈封闭式2026年173期固收类理财产品】</w:t>
      </w:r>
      <w:permEnd w:id="7"/>
      <w:r>
        <w:rPr>
          <w:rFonts w:hint="eastAsia" w:asciiTheme="majorEastAsia" w:hAnsiTheme="majorEastAsia" w:eastAsiaTheme="majorEastAsia"/>
          <w:bCs/>
          <w:sz w:val="18"/>
          <w:szCs w:val="18"/>
        </w:rPr>
        <w:t>（代理）销售协议书》或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8" w:edGrp="everyone"/>
      <w:r>
        <w:rPr>
          <w:rFonts w:hint="eastAsia" w:asciiTheme="majorEastAsia" w:hAnsiTheme="majorEastAsia" w:eastAsiaTheme="majorEastAsia"/>
          <w:bCs/>
          <w:sz w:val="18"/>
          <w:szCs w:val="18"/>
          <w:lang w:eastAsia="zh-CN"/>
        </w:rPr>
        <w:t>【兴银理财稳利安盈封闭式2026年173期固收类理财产品】</w:t>
      </w:r>
      <w:permEnd w:id="8"/>
      <w:r>
        <w:rPr>
          <w:rFonts w:hint="eastAsia" w:asciiTheme="majorEastAsia" w:hAnsiTheme="majorEastAsia" w:eastAsiaTheme="majorEastAsia"/>
          <w:bCs/>
          <w:sz w:val="18"/>
          <w:szCs w:val="18"/>
        </w:rPr>
        <w:t>（代理）销售协议书》（文件名称以代理销售机构实际编制为准），以及对该文件的有效修改或补充。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w:t>
      </w:r>
      <w:permStart w:id="9" w:edGrp="everyone"/>
      <w:r>
        <w:rPr>
          <w:rFonts w:hint="eastAsia" w:asciiTheme="majorEastAsia" w:hAnsiTheme="majorEastAsia" w:eastAsiaTheme="majorEastAsia"/>
          <w:bCs/>
          <w:sz w:val="18"/>
          <w:szCs w:val="18"/>
          <w:lang w:eastAsia="zh-CN"/>
        </w:rPr>
        <w:t>【兴银理财稳利安盈封闭式2026年173期固收类理财产品】</w:t>
      </w:r>
      <w:permEnd w:id="9"/>
      <w:r>
        <w:rPr>
          <w:rFonts w:hint="eastAsia" w:asciiTheme="majorEastAsia" w:hAnsiTheme="majorEastAsia" w:eastAsiaTheme="majorEastAsia"/>
          <w:bCs/>
          <w:sz w:val="18"/>
          <w:szCs w:val="18"/>
        </w:rPr>
        <w:t>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10" w:edGrp="everyone"/>
      <w:r>
        <w:rPr>
          <w:rFonts w:hint="eastAsia" w:asciiTheme="majorEastAsia" w:hAnsiTheme="majorEastAsia" w:eastAsiaTheme="majorEastAsia"/>
          <w:bCs/>
          <w:sz w:val="18"/>
          <w:szCs w:val="18"/>
          <w:lang w:eastAsia="zh-CN"/>
        </w:rPr>
        <w:t>【兴银理财稳利安盈封闭式2026年173期固收类理财产品】</w:t>
      </w:r>
      <w:permEnd w:id="10"/>
      <w:r>
        <w:rPr>
          <w:rFonts w:hint="eastAsia" w:asciiTheme="majorEastAsia" w:hAnsiTheme="majorEastAsia" w:eastAsiaTheme="majorEastAsia"/>
          <w:bCs/>
          <w:sz w:val="18"/>
          <w:szCs w:val="18"/>
        </w:rPr>
        <w:t>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w:t>
      </w:r>
      <w:permStart w:id="11" w:edGrp="everyone"/>
      <w:r>
        <w:rPr>
          <w:rFonts w:hint="eastAsia" w:asciiTheme="majorEastAsia" w:hAnsiTheme="majorEastAsia" w:eastAsiaTheme="majorEastAsia"/>
          <w:bCs/>
          <w:sz w:val="18"/>
          <w:szCs w:val="18"/>
          <w:lang w:eastAsia="zh-CN"/>
        </w:rPr>
        <w:t>【兴银理财稳利安盈封闭式2026年173期固收类理财产品】</w:t>
      </w:r>
      <w:permEnd w:id="11"/>
      <w:r>
        <w:rPr>
          <w:rFonts w:hint="eastAsia" w:asciiTheme="majorEastAsia" w:hAnsiTheme="majorEastAsia" w:eastAsiaTheme="majorEastAsia"/>
          <w:bCs/>
          <w:sz w:val="18"/>
          <w:szCs w:val="18"/>
        </w:rPr>
        <w:t>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w:t>
      </w:r>
      <w:permStart w:id="12" w:edGrp="everyone"/>
      <w:r>
        <w:rPr>
          <w:rFonts w:hint="eastAsia" w:asciiTheme="majorEastAsia" w:hAnsiTheme="majorEastAsia" w:eastAsiaTheme="majorEastAsia"/>
          <w:bCs/>
          <w:sz w:val="18"/>
          <w:szCs w:val="18"/>
          <w:lang w:eastAsia="zh-CN"/>
        </w:rPr>
        <w:t>【兴银理财稳利安盈封闭式2026年173期固收类理财产品】</w:t>
      </w:r>
      <w:permEnd w:id="12"/>
      <w:r>
        <w:rPr>
          <w:rFonts w:hint="eastAsia" w:asciiTheme="majorEastAsia" w:hAnsiTheme="majorEastAsia" w:eastAsiaTheme="majorEastAsia"/>
          <w:bCs/>
          <w:sz w:val="18"/>
          <w:szCs w:val="18"/>
        </w:rPr>
        <w:t>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工作日：指除中国法定节假日和公休日外的其他日。</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79154665"/>
      <w:bookmarkStart w:id="3" w:name="_Toc176189754"/>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jc w:val="left"/>
              <w:rPr>
                <w:rFonts w:ascii="宋体" w:hAnsi="宋体"/>
                <w:bCs/>
                <w:sz w:val="18"/>
                <w:szCs w:val="18"/>
              </w:rPr>
            </w:pPr>
            <w:r>
              <w:rPr>
                <w:rFonts w:hint="eastAsia" w:asciiTheme="majorEastAsia" w:hAnsiTheme="majorEastAsia" w:eastAsiaTheme="majorEastAsia"/>
                <w:bCs/>
                <w:kern w:val="0"/>
                <w:sz w:val="18"/>
                <w:szCs w:val="18"/>
              </w:rPr>
              <w:t>【</w:t>
            </w:r>
            <w:r>
              <w:rPr>
                <w:rFonts w:hint="eastAsia" w:asciiTheme="majorEastAsia" w:hAnsiTheme="majorEastAsia" w:eastAsiaTheme="majorEastAsia"/>
                <w:bCs/>
                <w:sz w:val="18"/>
                <w:szCs w:val="18"/>
              </w:rPr>
              <w:t>兴银理财稳利安盈封闭式2026年173期固收类理财产品</w:t>
            </w:r>
            <w:r>
              <w:rPr>
                <w:rFonts w:hint="eastAsia" w:asciiTheme="majorEastAsia" w:hAnsiTheme="majorEastAsia" w:eastAsiaTheme="majorEastAsia"/>
                <w:bCs/>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widowControl/>
              <w:spacing w:line="360" w:lineRule="auto"/>
              <w:jc w:val="left"/>
              <w:rPr>
                <w:rFonts w:ascii="宋体" w:hAnsi="宋体"/>
                <w:kern w:val="0"/>
                <w:sz w:val="22"/>
              </w:rPr>
            </w:pPr>
            <w:r>
              <w:rPr>
                <w:rFonts w:ascii="宋体" w:hAnsi="宋体" w:eastAsia="宋体" w:cs="宋体"/>
                <w:sz w:val="18"/>
              </w:rPr>
              <w:t>【兴银稳利安盈26年173期B】 (适用【B】类份额)</w:t>
            </w:r>
            <w:r>
              <w:rPr>
                <w:rFonts w:ascii="宋体" w:hAnsi="宋体" w:eastAsia="宋体" w:cs="宋体"/>
                <w:sz w:val="18"/>
              </w:rPr>
              <w:br w:type="textWrapping"/>
            </w:r>
            <w:r>
              <w:rPr>
                <w:rFonts w:ascii="宋体" w:hAnsi="宋体" w:eastAsia="宋体" w:cs="宋体"/>
                <w:sz w:val="18"/>
              </w:rPr>
              <w:t>【兴银稳利安盈26年173期C】 (适用【C】类份额)</w:t>
            </w:r>
            <w:r>
              <w:rPr>
                <w:rFonts w:ascii="宋体" w:hAnsi="宋体" w:eastAsia="宋体" w:cs="宋体"/>
                <w:sz w:val="18"/>
              </w:rPr>
              <w:br w:type="textWrapping"/>
            </w:r>
            <w:r>
              <w:rPr>
                <w:rFonts w:ascii="宋体" w:hAnsi="宋体" w:eastAsia="宋体" w:cs="宋体"/>
                <w:sz w:val="18"/>
              </w:rPr>
              <w:t>【兴银稳利安盈26年173期D】 (适用【D】类份额)</w:t>
            </w:r>
            <w:r>
              <w:rPr>
                <w:rFonts w:ascii="宋体" w:hAnsi="宋体" w:eastAsia="宋体" w:cs="宋体"/>
                <w:sz w:val="18"/>
              </w:rPr>
              <w:br w:type="textWrapping"/>
            </w:r>
            <w:r>
              <w:rPr>
                <w:rFonts w:ascii="宋体" w:hAnsi="宋体" w:eastAsia="宋体" w:cs="宋体"/>
                <w:sz w:val="18"/>
              </w:rPr>
              <w:t>【兴银稳利安盈26年173期E】 (适用【E】类份额)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【Z7002026000693】</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jc w:val="left"/>
              <w:rPr>
                <w:rFonts w:ascii="宋体" w:hAnsi="宋体"/>
                <w:bCs/>
                <w:sz w:val="18"/>
                <w:szCs w:val="18"/>
              </w:rPr>
            </w:pPr>
            <w:r>
              <w:rPr>
                <w:rFonts w:ascii="宋体" w:hAnsi="宋体"/>
                <w:bCs/>
                <w:sz w:val="18"/>
                <w:szCs w:val="18"/>
              </w:rPr>
              <w:t>【</w:t>
            </w:r>
            <w:r>
              <w:rPr>
                <w:rFonts w:hint="eastAsia" w:ascii="宋体" w:hAnsi="宋体"/>
                <w:bCs/>
                <w:sz w:val="18"/>
                <w:szCs w:val="18"/>
              </w:rPr>
              <w:t>9A261730】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jc w:val="left"/>
              <w:rPr>
                <w:rFonts w:hAnsi="宋体"/>
                <w:sz w:val="18"/>
                <w:szCs w:val="18"/>
              </w:rPr>
            </w:pPr>
            <w:r>
              <w:rPr>
                <w:rFonts w:ascii="宋体" w:hAnsi="宋体" w:eastAsia="宋体" w:cs="宋体"/>
                <w:sz w:val="18"/>
              </w:rPr>
              <w:t>【9A26173B】 (适用【B】类份额)</w:t>
            </w:r>
            <w:r>
              <w:rPr>
                <w:rFonts w:ascii="宋体" w:hAnsi="宋体" w:eastAsia="宋体" w:cs="宋体"/>
                <w:sz w:val="18"/>
              </w:rPr>
              <w:br w:type="textWrapping"/>
            </w:r>
            <w:r>
              <w:rPr>
                <w:rFonts w:ascii="宋体" w:hAnsi="宋体" w:eastAsia="宋体" w:cs="宋体"/>
                <w:sz w:val="18"/>
              </w:rPr>
              <w:t>【9A26173C】 (适用【C】类份额)</w:t>
            </w:r>
            <w:r>
              <w:rPr>
                <w:rFonts w:ascii="宋体" w:hAnsi="宋体" w:eastAsia="宋体" w:cs="宋体"/>
                <w:sz w:val="18"/>
              </w:rPr>
              <w:br w:type="textWrapping"/>
            </w:r>
            <w:r>
              <w:rPr>
                <w:rFonts w:ascii="宋体" w:hAnsi="宋体" w:eastAsia="宋体" w:cs="宋体"/>
                <w:sz w:val="18"/>
              </w:rPr>
              <w:t>【9A26173D】 (适用【D】类份额)</w:t>
            </w:r>
            <w:r>
              <w:rPr>
                <w:rFonts w:ascii="宋体" w:hAnsi="宋体" w:eastAsia="宋体" w:cs="宋体"/>
                <w:sz w:val="18"/>
              </w:rPr>
              <w:br w:type="textWrapping"/>
            </w:r>
            <w:r>
              <w:rPr>
                <w:rFonts w:ascii="宋体" w:hAnsi="宋体" w:eastAsia="宋体" w:cs="宋体"/>
                <w:sz w:val="18"/>
              </w:rPr>
              <w:t>【9A26173E】 (适用【E】类份额)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pPr>
              <w:adjustRightInd w:val="0"/>
              <w:snapToGrid w:val="0"/>
              <w:spacing w:line="360" w:lineRule="auto"/>
              <w:rPr>
                <w:rFonts w:ascii="黑体" w:hAnsi="黑体" w:eastAsia="黑体"/>
                <w:bCs/>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hint="eastAsia" w:ascii="黑体" w:hAnsi="黑体" w:eastAsia="黑体" w:cs="黑体"/>
                <w:bCs/>
                <w:sz w:val="18"/>
                <w:szCs w:val="18"/>
              </w:rPr>
            </w:pPr>
            <w:r>
              <w:rPr>
                <w:rFonts w:hint="eastAsia" w:ascii="黑体" w:hAnsi="黑体" w:eastAsia="黑体" w:cs="黑体"/>
                <w:bCs/>
                <w:sz w:val="18"/>
                <w:szCs w:val="18"/>
              </w:rPr>
              <w:t>本产品属于【■ R1、□ R2、□ R3、□ R4、□ R5】理财产品。</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r>
              <w:rPr>
                <w:rFonts w:hint="eastAsia" w:ascii="黑体" w:hAnsi="黑体" w:eastAsia="黑体"/>
                <w:bCs/>
                <w:sz w:val="18"/>
                <w:szCs w:val="18"/>
              </w:rPr>
              <w:t>本产品存续期内，产品风险评级可能会根据实际情况进行调整。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r>
              <w:rPr>
                <w:rFonts w:ascii="宋体" w:hAnsi="宋体" w:eastAsia="宋体" w:cs="宋体"/>
                <w:sz w:val="18"/>
              </w:rPr>
              <w:t>(适用【B</w:t>
            </w:r>
            <w:r>
              <w:rPr>
                <w:rFonts w:hint="eastAsia" w:ascii="宋体" w:hAnsi="宋体" w:cs="宋体"/>
                <w:sz w:val="18"/>
                <w:lang w:val="en-US" w:eastAsia="zh-CN"/>
              </w:rPr>
              <w:t>/C/D/E</w:t>
            </w:r>
            <w:r>
              <w:rPr>
                <w:rFonts w:ascii="宋体" w:hAnsi="宋体" w:eastAsia="宋体" w:cs="宋体"/>
                <w:sz w:val="18"/>
              </w:rPr>
              <w:t>】类份额)</w:t>
            </w:r>
          </w:p>
          <w:p>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宋体" w:hAnsi="宋体"/>
                <w:bCs/>
                <w:sz w:val="18"/>
                <w:szCs w:val="18"/>
                <w:lang w:bidi="ar"/>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黑体" w:hAnsi="黑体" w:eastAsia="黑体" w:cs="黑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中国工商银行股份有限公司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规模为【20】亿元，最小成立规模为【/】亿元。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hint="eastAsia" w:ascii="黑体" w:hAnsi="黑体" w:eastAsia="黑体"/>
                <w:bCs/>
                <w:sz w:val="18"/>
                <w:szCs w:val="18"/>
              </w:rPr>
              <w:t>■有固定期限:【133天】</w:t>
            </w:r>
          </w:p>
          <w:p>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hint="eastAsia" w:ascii="黑体" w:hAnsi="黑体" w:eastAsia="黑体"/>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ascii="宋体" w:hAnsi="宋体" w:eastAsia="宋体" w:cs="宋体"/>
                <w:kern w:val="2"/>
                <w:sz w:val="18"/>
                <w:szCs w:val="18"/>
                <w:lang w:val="en-US" w:eastAsia="zh-CN" w:bidi="ar"/>
              </w:rPr>
              <w:t>【2026年06月25日】【09:00】至【2026年07月08日】【17:00】</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【2026年07月09日】（遇节假日顺延）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【2026年11月19日】（遇节假日顺延）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ascii="宋体" w:hAnsi="宋体" w:eastAsia="宋体" w:cs="宋体"/>
                <w:sz w:val="18"/>
              </w:rPr>
              <w:t>每笔购买起点金额为【1】元; 超出起点金额的部分以【0.01】元的整数倍递增。（适用【B】类份额)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超出起点金额的部分以【0.01】元的整数倍递增。（适用【C】类份额)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超出起点金额的部分以【0.01】元的整数倍递增。（适用【D】类份额)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超出起点金额的部分以【0.01】元的整数倍递增。（适用【E】类份额)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eastAsia="宋体" w:cs="宋体"/>
                <w:sz w:val="18"/>
              </w:rPr>
            </w:pPr>
            <w:r>
              <w:rPr>
                <w:rFonts w:ascii="宋体" w:hAnsi="宋体" w:eastAsia="宋体" w:cs="宋体"/>
                <w:sz w:val="18"/>
              </w:rPr>
              <w:t>认购的数量限制</w:t>
            </w:r>
            <w:r>
              <w:rPr>
                <w:rFonts w:ascii="宋体" w:hAnsi="宋体" w:eastAsia="宋体" w:cs="宋体"/>
                <w:sz w:val="18"/>
              </w:rPr>
              <w:br w:type="textWrapping"/>
            </w:r>
            <w:r>
              <w:rPr>
                <w:rFonts w:ascii="宋体" w:hAnsi="宋体" w:eastAsia="宋体" w:cs="宋体"/>
                <w:sz w:val="18"/>
              </w:rPr>
              <w:t>（1）单一投资者认购上限为【/】元。（适用【B】类份额)</w:t>
            </w:r>
            <w:r>
              <w:rPr>
                <w:rFonts w:ascii="宋体" w:hAnsi="宋体" w:eastAsia="宋体" w:cs="宋体"/>
                <w:sz w:val="18"/>
              </w:rPr>
              <w:br w:type="textWrapping"/>
            </w:r>
            <w:r>
              <w:rPr>
                <w:rFonts w:ascii="宋体" w:hAnsi="宋体" w:eastAsia="宋体" w:cs="宋体"/>
                <w:sz w:val="18"/>
              </w:rPr>
              <w:t xml:space="preserve">     单一投资者认购上限为【/】元。（适用【C】类份额)</w:t>
            </w:r>
            <w:r>
              <w:rPr>
                <w:rFonts w:ascii="宋体" w:hAnsi="宋体" w:eastAsia="宋体" w:cs="宋体"/>
                <w:sz w:val="18"/>
              </w:rPr>
              <w:br w:type="textWrapping"/>
            </w:r>
            <w:r>
              <w:rPr>
                <w:rFonts w:ascii="宋体" w:hAnsi="宋体" w:eastAsia="宋体" w:cs="宋体"/>
                <w:sz w:val="18"/>
              </w:rPr>
              <w:t xml:space="preserve">     单一投资者认购上限为【/】元。（适用【D】类份额)</w:t>
            </w:r>
            <w:r>
              <w:rPr>
                <w:rFonts w:ascii="宋体" w:hAnsi="宋体" w:eastAsia="宋体" w:cs="宋体"/>
                <w:sz w:val="18"/>
              </w:rPr>
              <w:br w:type="textWrapping"/>
            </w:r>
            <w:r>
              <w:rPr>
                <w:rFonts w:ascii="宋体" w:hAnsi="宋体" w:eastAsia="宋体" w:cs="宋体"/>
                <w:sz w:val="18"/>
              </w:rPr>
              <w:t xml:space="preserve">     单一投资者认购上限为【/】元。（适用【E】类份额)</w:t>
            </w:r>
            <w:r>
              <w:rPr>
                <w:rFonts w:ascii="宋体" w:hAnsi="宋体" w:eastAsia="宋体" w:cs="宋体"/>
                <w:sz w:val="18"/>
              </w:rPr>
              <w:br w:type="textWrapping"/>
            </w:r>
            <w:r>
              <w:rPr>
                <w:rFonts w:ascii="宋体" w:hAnsi="宋体" w:eastAsia="宋体" w:cs="宋体"/>
                <w:sz w:val="18"/>
              </w:rPr>
              <w:t>（2）产品存续期间，单一投资者最高持有份额上限为【/】份，符合产品管理人流动性管理的稳定资金除外。（适用【B】类份额)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产品存续期间，单一投资者最高持有份额上限为【/】份，符合产品管理人流动性管理的稳定资金除外。（适用【C】类份额)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产品存续期间，单一投资者最高持有份额上限为【/】份，符合产品管理人流动性管理的稳定资金除外。（适用【D】类份额)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产品存续期间，单一投资者最高持有份额上限为【/】份，符合产品管理人流动性管理的稳定资金除外。（适用【E】类份额)</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Theme="minorEastAsia" w:hAnsiTheme="minorEastAsia" w:eastAsiaTheme="minorEastAsia"/>
                <w:color w:val="auto"/>
                <w:sz w:val="18"/>
                <w:szCs w:val="18"/>
              </w:rPr>
              <w:t xml:space="preserve">如需突破上限，请与产品管理人或销售机构客户经理联系。 </w:t>
            </w:r>
          </w:p>
          <w:p>
            <w:pPr>
              <w:spacing w:line="360" w:lineRule="auto"/>
              <w:rPr>
                <w:rFonts w:asciiTheme="minorEastAsia" w:hAnsiTheme="minorEastAsia" w:eastAsiaTheme="minorEastAsia"/>
                <w:sz w:val="18"/>
                <w:szCs w:val="18"/>
              </w:rPr>
            </w:pPr>
            <w:r>
              <w:rPr>
                <w:rFonts w:ascii="黑体" w:hAnsi="黑体" w:eastAsia="黑体" w:cs="黑体"/>
                <w:sz w:val="18"/>
              </w:rPr>
              <w:t>注：本产品单一投资者持有份额不得超过产品总份额50%。</w:t>
            </w:r>
            <w:r>
              <w:rPr>
                <w:rFonts w:ascii="黑体" w:hAnsi="黑体" w:eastAsia="黑体" w:cs="黑体"/>
                <w:sz w:val="18"/>
              </w:rPr>
              <w:br w:type="textWrapping"/>
            </w:r>
            <w:r>
              <w:rPr>
                <w:rFonts w:ascii="黑体" w:hAnsi="黑体" w:eastAsia="黑体" w:cs="黑体"/>
                <w:sz w:val="18"/>
              </w:rPr>
              <w:t>（1）投资者认购或申购确认后可能导致其持有份额超过产品总份额50%的，管理人有权拒绝或暂停认购、申购。</w:t>
            </w:r>
            <w:r>
              <w:rPr>
                <w:rFonts w:ascii="黑体" w:hAnsi="黑体" w:eastAsia="黑体" w:cs="黑体"/>
                <w:sz w:val="18"/>
              </w:rPr>
              <w:br w:type="textWrapping"/>
            </w:r>
            <w:r>
              <w:rPr>
                <w:rFonts w:ascii="黑体" w:hAnsi="黑体" w:eastAsia="黑体" w:cs="黑体"/>
                <w:sz w:val="18"/>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lang w:val="en-US" w:eastAsia="zh-CN"/>
              </w:rPr>
              <w:t>4.理财产品份额净值四舍五入保留5位小数。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keepNext w:val="0"/>
              <w:keepLines w:val="0"/>
              <w:suppressLineNumbers w:val="0"/>
              <w:autoSpaceDE w:val="0"/>
              <w:autoSpaceDN w:val="0"/>
              <w:adjustRightInd w:val="0"/>
              <w:spacing w:before="0" w:beforeAutospacing="0" w:after="0" w:afterAutospacing="0" w:line="360" w:lineRule="auto"/>
              <w:ind w:left="0" w:right="0"/>
              <w:jc w:val="left"/>
              <w:rPr>
                <w:rFonts w:hint="eastAsia" w:asciiTheme="majorEastAsia" w:hAnsiTheme="majorEastAsia" w:eastAsiaTheme="majorEastAsia"/>
                <w:bCs/>
                <w:kern w:val="0"/>
                <w:sz w:val="18"/>
                <w:szCs w:val="18"/>
              </w:rPr>
            </w:pPr>
            <w:r>
              <w:rPr>
                <w:rFonts w:ascii="宋体" w:hAnsi="宋体" w:eastAsia="宋体" w:cs="宋体"/>
                <w:sz w:val="18"/>
              </w:rPr>
              <w:t>1.业绩比较基准的设置</w:t>
            </w:r>
            <w:r>
              <w:rPr>
                <w:rFonts w:ascii="宋体" w:hAnsi="宋体" w:eastAsia="宋体" w:cs="宋体"/>
                <w:sz w:val="18"/>
              </w:rPr>
              <w:br w:type="textWrapping"/>
            </w:r>
            <w:r>
              <w:rPr>
                <w:rFonts w:ascii="宋体" w:hAnsi="宋体" w:eastAsia="宋体" w:cs="宋体"/>
                <w:sz w:val="18"/>
              </w:rPr>
              <w:t>■ 产品管理人设置业绩比较基准。</w:t>
            </w:r>
            <w:r>
              <w:rPr>
                <w:rFonts w:ascii="宋体" w:hAnsi="宋体" w:eastAsia="宋体" w:cs="宋体"/>
                <w:sz w:val="18"/>
              </w:rPr>
              <w:br w:type="textWrapping"/>
            </w:r>
            <w:r>
              <w:rPr>
                <w:rFonts w:ascii="宋体" w:hAnsi="宋体" w:eastAsia="宋体" w:cs="宋体"/>
                <w:sz w:val="18"/>
              </w:rPr>
              <w:t>（1）业绩比较基准的说明：【产品投资债权类资产不低于80%，根据当前市场环境下大类资产合理配置比例及大类资产收益情况，考虑杠杆和费率等因素，并结合产品投资策略，设定业绩比较基准】。</w:t>
            </w:r>
            <w:r>
              <w:rPr>
                <w:rFonts w:ascii="宋体" w:hAnsi="宋体" w:eastAsia="宋体" w:cs="宋体"/>
                <w:sz w:val="18"/>
              </w:rPr>
              <w:br w:type="textWrapping"/>
            </w:r>
            <w:r>
              <w:rPr>
                <w:rFonts w:ascii="宋体" w:hAnsi="宋体" w:eastAsia="宋体" w:cs="宋体"/>
                <w:sz w:val="18"/>
              </w:rPr>
              <w:t>（2）业绩比较基准的设定：管理人对本产品设定业绩比较基准：</w:t>
            </w:r>
            <w:r>
              <w:rPr>
                <w:rFonts w:ascii="宋体" w:hAnsi="宋体" w:eastAsia="宋体" w:cs="宋体"/>
                <w:sz w:val="18"/>
              </w:rPr>
              <w:br w:type="textWrapping"/>
            </w:r>
            <w:r>
              <w:rPr>
                <w:rFonts w:ascii="宋体" w:hAnsi="宋体" w:eastAsia="宋体" w:cs="宋体"/>
                <w:sz w:val="18"/>
              </w:rPr>
              <w:t>年化【1.8%-2.3%】。（适用【B】类份额)</w:t>
            </w:r>
            <w:r>
              <w:rPr>
                <w:rFonts w:ascii="宋体" w:hAnsi="宋体" w:eastAsia="宋体" w:cs="宋体"/>
                <w:sz w:val="18"/>
              </w:rPr>
              <w:br w:type="textWrapping"/>
            </w:r>
            <w:r>
              <w:rPr>
                <w:rFonts w:ascii="宋体" w:hAnsi="宋体" w:eastAsia="宋体" w:cs="宋体"/>
                <w:sz w:val="18"/>
              </w:rPr>
              <w:t>年化【1.75%-2.25%】。（适用【C】类份额)</w:t>
            </w:r>
            <w:r>
              <w:rPr>
                <w:rFonts w:ascii="宋体" w:hAnsi="宋体" w:eastAsia="宋体" w:cs="宋体"/>
                <w:sz w:val="18"/>
              </w:rPr>
              <w:br w:type="textWrapping"/>
            </w:r>
            <w:r>
              <w:rPr>
                <w:rFonts w:ascii="宋体" w:hAnsi="宋体" w:eastAsia="宋体" w:cs="宋体"/>
                <w:sz w:val="18"/>
              </w:rPr>
              <w:t>年化【1.65%-2.15%】。（适用【D】类份额)</w:t>
            </w:r>
            <w:r>
              <w:rPr>
                <w:rFonts w:ascii="宋体" w:hAnsi="宋体" w:eastAsia="宋体" w:cs="宋体"/>
                <w:sz w:val="18"/>
              </w:rPr>
              <w:br w:type="textWrapping"/>
            </w:r>
            <w:r>
              <w:rPr>
                <w:rFonts w:ascii="宋体" w:hAnsi="宋体" w:eastAsia="宋体" w:cs="宋体"/>
                <w:sz w:val="18"/>
              </w:rPr>
              <w:t>年化【1.55%-2.05%】。（适用【E】类份额)</w:t>
            </w:r>
            <w:r>
              <w:rPr>
                <w:rFonts w:ascii="宋体" w:hAnsi="宋体" w:eastAsia="宋体" w:cs="宋体"/>
                <w:sz w:val="18"/>
              </w:rPr>
              <w:br w:type="textWrapping"/>
            </w:r>
            <w:r>
              <w:rPr>
                <w:rFonts w:ascii="宋体" w:hAnsi="宋体" w:eastAsia="宋体" w:cs="宋体"/>
                <w:sz w:val="18"/>
              </w:rPr>
              <w:t>□ 产品管理人不设置业绩比较基准。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pPr>
              <w:spacing w:line="360" w:lineRule="auto"/>
              <w:jc w:val="left"/>
              <w:rPr>
                <w:rFonts w:asciiTheme="majorEastAsia" w:hAnsiTheme="majorEastAsia" w:eastAsiaTheme="majorEastAsia"/>
                <w:b/>
                <w:bCs/>
                <w:sz w:val="18"/>
                <w:szCs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18"/>
                <w:szCs w:val="18"/>
              </w:rPr>
            </w:pPr>
            <w:r>
              <w:rPr>
                <w:rFonts w:ascii="宋体" w:hAnsi="宋体" w:eastAsia="宋体" w:cs="宋体"/>
                <w:sz w:val="18"/>
              </w:rPr>
              <w:t>1.业绩报酬计提基准的设置</w:t>
            </w:r>
            <w:r>
              <w:rPr>
                <w:rFonts w:ascii="宋体" w:hAnsi="宋体" w:eastAsia="宋体" w:cs="宋体"/>
                <w:sz w:val="18"/>
              </w:rPr>
              <w:br w:type="textWrapping"/>
            </w:r>
            <w:r>
              <w:rPr>
                <w:rFonts w:ascii="宋体" w:hAnsi="宋体" w:eastAsia="宋体" w:cs="宋体"/>
                <w:sz w:val="18"/>
              </w:rPr>
              <w:t>■ 产品管理人设置业绩报酬计提基准。</w:t>
            </w:r>
            <w:r>
              <w:rPr>
                <w:rFonts w:ascii="宋体" w:hAnsi="宋体" w:eastAsia="宋体" w:cs="宋体"/>
                <w:sz w:val="18"/>
              </w:rPr>
              <w:br w:type="textWrapping"/>
            </w:r>
            <w:r>
              <w:rPr>
                <w:rFonts w:ascii="宋体" w:hAnsi="宋体" w:eastAsia="宋体" w:cs="宋体"/>
                <w:sz w:val="18"/>
              </w:rPr>
              <w:t>业绩报酬计提基准的设定：管理人对本产品设定业绩报酬计提基准：</w:t>
            </w:r>
            <w:r>
              <w:rPr>
                <w:rFonts w:ascii="宋体" w:hAnsi="宋体" w:eastAsia="宋体" w:cs="宋体"/>
                <w:sz w:val="18"/>
              </w:rPr>
              <w:br w:type="textWrapping"/>
            </w:r>
            <w:r>
              <w:rPr>
                <w:rFonts w:ascii="宋体" w:hAnsi="宋体" w:eastAsia="宋体" w:cs="宋体"/>
                <w:sz w:val="18"/>
              </w:rPr>
              <w:t>年化【2.05%】。（适用【B】类份额)</w:t>
            </w:r>
            <w:r>
              <w:rPr>
                <w:rFonts w:ascii="宋体" w:hAnsi="宋体" w:eastAsia="宋体" w:cs="宋体"/>
                <w:sz w:val="18"/>
              </w:rPr>
              <w:br w:type="textWrapping"/>
            </w:r>
            <w:r>
              <w:rPr>
                <w:rFonts w:ascii="宋体" w:hAnsi="宋体" w:eastAsia="宋体" w:cs="宋体"/>
                <w:sz w:val="18"/>
              </w:rPr>
              <w:t>年化【2%】。（适用【C】类份额)</w:t>
            </w:r>
            <w:r>
              <w:rPr>
                <w:rFonts w:ascii="宋体" w:hAnsi="宋体" w:eastAsia="宋体" w:cs="宋体"/>
                <w:sz w:val="18"/>
              </w:rPr>
              <w:br w:type="textWrapping"/>
            </w:r>
            <w:r>
              <w:rPr>
                <w:rFonts w:ascii="宋体" w:hAnsi="宋体" w:eastAsia="宋体" w:cs="宋体"/>
                <w:sz w:val="18"/>
              </w:rPr>
              <w:t>年化【1.9%】。（适用【D】类份额)</w:t>
            </w:r>
            <w:r>
              <w:rPr>
                <w:rFonts w:ascii="宋体" w:hAnsi="宋体" w:eastAsia="宋体" w:cs="宋体"/>
                <w:sz w:val="18"/>
              </w:rPr>
              <w:br w:type="textWrapping"/>
            </w:r>
            <w:r>
              <w:rPr>
                <w:rFonts w:ascii="宋体" w:hAnsi="宋体" w:eastAsia="宋体" w:cs="宋体"/>
                <w:sz w:val="18"/>
              </w:rPr>
              <w:t>年化【1.8%】。（适用【E】类份额)</w:t>
            </w:r>
            <w:r>
              <w:rPr>
                <w:rFonts w:ascii="宋体" w:hAnsi="宋体" w:eastAsia="宋体" w:cs="宋体"/>
                <w:sz w:val="18"/>
              </w:rPr>
              <w:br w:type="textWrapping"/>
            </w:r>
            <w:r>
              <w:rPr>
                <w:rFonts w:ascii="宋体" w:hAnsi="宋体" w:eastAsia="宋体" w:cs="宋体"/>
                <w:sz w:val="18"/>
              </w:rPr>
              <w:t>□ 产品管理人不设置业绩报酬计提基准。</w:t>
            </w:r>
          </w:p>
          <w:p>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pPr>
              <w:autoSpaceDE w:val="0"/>
              <w:autoSpaceDN w:val="0"/>
              <w:adjustRightInd w:val="0"/>
              <w:spacing w:line="360" w:lineRule="auto"/>
              <w:jc w:val="left"/>
              <w:rPr>
                <w:rFonts w:ascii="黑体" w:hAnsi="黑体" w:eastAsia="黑体"/>
                <w:sz w:val="18"/>
              </w:rPr>
            </w:pPr>
            <w:r>
              <w:rPr>
                <w:rFonts w:hint="eastAsia" w:ascii="黑体" w:hAnsi="黑体" w:eastAsia="黑体"/>
                <w:sz w:val="18"/>
              </w:rPr>
              <w:t>（</w:t>
            </w:r>
            <w:r>
              <w:rPr>
                <w:rFonts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ascii="黑体" w:hAnsi="黑体" w:eastAsia="黑体" w:cs="黑体"/>
                <w:sz w:val="18"/>
              </w:rPr>
              <w:t>1.理财产品的费率标准</w:t>
            </w:r>
            <w:r>
              <w:rPr>
                <w:rFonts w:ascii="黑体" w:hAnsi="黑体" w:eastAsia="黑体" w:cs="黑体"/>
                <w:sz w:val="18"/>
              </w:rPr>
              <w:br w:type="textWrapping"/>
            </w:r>
            <w:r>
              <w:rPr>
                <w:rFonts w:ascii="黑体" w:hAnsi="黑体" w:eastAsia="黑体" w:cs="黑体"/>
                <w:sz w:val="18"/>
              </w:rPr>
              <w:t>（1）认购费：</w:t>
            </w:r>
            <w:r>
              <w:rPr>
                <w:rFonts w:ascii="黑体" w:hAnsi="黑体" w:eastAsia="黑体" w:cs="黑体"/>
                <w:sz w:val="18"/>
              </w:rPr>
              <w:br w:type="textWrapping"/>
            </w:r>
            <w:r>
              <w:rPr>
                <w:rFonts w:ascii="黑体" w:hAnsi="黑体" w:eastAsia="黑体" w:cs="黑体"/>
                <w:sz w:val="18"/>
              </w:rPr>
              <w:t>【/】。（适用【B】类份额）</w:t>
            </w:r>
            <w:r>
              <w:rPr>
                <w:rFonts w:ascii="黑体" w:hAnsi="黑体" w:eastAsia="黑体" w:cs="黑体"/>
                <w:sz w:val="18"/>
              </w:rPr>
              <w:br w:type="textWrapping"/>
            </w:r>
            <w:r>
              <w:rPr>
                <w:rFonts w:ascii="黑体" w:hAnsi="黑体" w:eastAsia="黑体" w:cs="黑体"/>
                <w:sz w:val="18"/>
              </w:rPr>
              <w:t>【/】。（适用【C】类份额）</w:t>
            </w:r>
            <w:r>
              <w:rPr>
                <w:rFonts w:ascii="黑体" w:hAnsi="黑体" w:eastAsia="黑体" w:cs="黑体"/>
                <w:sz w:val="18"/>
              </w:rPr>
              <w:br w:type="textWrapping"/>
            </w:r>
            <w:r>
              <w:rPr>
                <w:rFonts w:ascii="黑体" w:hAnsi="黑体" w:eastAsia="黑体" w:cs="黑体"/>
                <w:sz w:val="18"/>
              </w:rPr>
              <w:t>【/】。（适用【D】类份额）</w:t>
            </w:r>
            <w:r>
              <w:rPr>
                <w:rFonts w:ascii="黑体" w:hAnsi="黑体" w:eastAsia="黑体" w:cs="黑体"/>
                <w:sz w:val="18"/>
              </w:rPr>
              <w:br w:type="textWrapping"/>
            </w:r>
            <w:r>
              <w:rPr>
                <w:rFonts w:ascii="黑体" w:hAnsi="黑体" w:eastAsia="黑体" w:cs="黑体"/>
                <w:sz w:val="18"/>
              </w:rPr>
              <w:t>【/】。（适用【E】类份额）</w:t>
            </w:r>
            <w:r>
              <w:rPr>
                <w:rFonts w:ascii="黑体" w:hAnsi="黑体" w:eastAsia="黑体" w:cs="黑体"/>
                <w:sz w:val="18"/>
              </w:rPr>
              <w:br w:type="textWrapping"/>
            </w:r>
            <w:r>
              <w:rPr>
                <w:rFonts w:ascii="黑体" w:hAnsi="黑体" w:eastAsia="黑体" w:cs="黑体"/>
                <w:sz w:val="18"/>
              </w:rPr>
              <w:t>（2）销售服务费：</w:t>
            </w:r>
            <w:r>
              <w:rPr>
                <w:rFonts w:ascii="黑体" w:hAnsi="黑体" w:eastAsia="黑体" w:cs="黑体"/>
                <w:sz w:val="18"/>
              </w:rPr>
              <w:br w:type="textWrapping"/>
            </w:r>
            <w:r>
              <w:rPr>
                <w:rFonts w:ascii="黑体" w:hAnsi="黑体" w:eastAsia="黑体" w:cs="黑体"/>
                <w:sz w:val="18"/>
              </w:rPr>
              <w:t>年化费率【0.05%】。（适用【B】类份额）</w:t>
            </w:r>
            <w:r>
              <w:rPr>
                <w:rFonts w:ascii="黑体" w:hAnsi="黑体" w:eastAsia="黑体" w:cs="黑体"/>
                <w:sz w:val="18"/>
              </w:rPr>
              <w:br w:type="textWrapping"/>
            </w:r>
            <w:r>
              <w:rPr>
                <w:rFonts w:ascii="黑体" w:hAnsi="黑体" w:eastAsia="黑体" w:cs="黑体"/>
                <w:sz w:val="18"/>
              </w:rPr>
              <w:t>年化费率【0.1%】。（适用【C】类份额）</w:t>
            </w:r>
            <w:r>
              <w:rPr>
                <w:rFonts w:ascii="黑体" w:hAnsi="黑体" w:eastAsia="黑体" w:cs="黑体"/>
                <w:sz w:val="18"/>
              </w:rPr>
              <w:br w:type="textWrapping"/>
            </w:r>
            <w:r>
              <w:rPr>
                <w:rFonts w:ascii="黑体" w:hAnsi="黑体" w:eastAsia="黑体" w:cs="黑体"/>
                <w:sz w:val="18"/>
              </w:rPr>
              <w:t>年化费率【0.2%】。（适用【D】类份额）</w:t>
            </w:r>
            <w:r>
              <w:rPr>
                <w:rFonts w:ascii="黑体" w:hAnsi="黑体" w:eastAsia="黑体" w:cs="黑体"/>
                <w:sz w:val="18"/>
              </w:rPr>
              <w:br w:type="textWrapping"/>
            </w:r>
            <w:r>
              <w:rPr>
                <w:rFonts w:ascii="黑体" w:hAnsi="黑体" w:eastAsia="黑体" w:cs="黑体"/>
                <w:sz w:val="18"/>
              </w:rPr>
              <w:t>年化费率【0.3%】。（适用【E】类份额）</w:t>
            </w:r>
            <w:r>
              <w:rPr>
                <w:rFonts w:ascii="黑体" w:hAnsi="黑体" w:eastAsia="黑体" w:cs="黑体"/>
                <w:sz w:val="18"/>
              </w:rPr>
              <w:br w:type="textWrapping"/>
            </w:r>
            <w:r>
              <w:rPr>
                <w:rFonts w:ascii="黑体" w:hAnsi="黑体" w:eastAsia="黑体" w:cs="黑体"/>
                <w:sz w:val="18"/>
              </w:rPr>
              <w:t>（3）投资管理费：年化费率【0.05%】</w:t>
            </w:r>
            <w:r>
              <w:rPr>
                <w:rFonts w:ascii="黑体" w:hAnsi="黑体" w:eastAsia="黑体" w:cs="黑体"/>
                <w:sz w:val="18"/>
              </w:rPr>
              <w:br w:type="textWrapping"/>
            </w:r>
            <w:r>
              <w:rPr>
                <w:rFonts w:ascii="黑体" w:hAnsi="黑体" w:eastAsia="黑体" w:cs="黑体"/>
                <w:sz w:val="18"/>
              </w:rPr>
              <w:t>（4）产品托管费：年化费率【0.02%】</w:t>
            </w:r>
            <w:r>
              <w:rPr>
                <w:rFonts w:ascii="黑体" w:hAnsi="黑体" w:eastAsia="黑体" w:cs="黑体"/>
                <w:sz w:val="18"/>
              </w:rPr>
              <w:br w:type="textWrapping"/>
            </w:r>
            <w:r>
              <w:rPr>
                <w:rFonts w:ascii="黑体" w:hAnsi="黑体" w:eastAsia="黑体" w:cs="黑体"/>
                <w:sz w:val="18"/>
              </w:rPr>
              <w:t>（5）超额业绩报酬：</w:t>
            </w:r>
            <w:r>
              <w:rPr>
                <w:rFonts w:ascii="黑体" w:hAnsi="黑体" w:eastAsia="黑体" w:cs="黑体"/>
                <w:sz w:val="18"/>
              </w:rPr>
              <w:br w:type="textWrapping"/>
            </w:r>
            <w:r>
              <w:rPr>
                <w:rFonts w:ascii="黑体" w:hAnsi="黑体" w:eastAsia="黑体" w:cs="黑体"/>
                <w:sz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50%】作为超额业绩报酬。</w:t>
            </w:r>
          </w:p>
          <w:p>
            <w:pPr>
              <w:spacing w:line="360" w:lineRule="auto"/>
              <w:rPr>
                <w:rFonts w:hint="eastAsia" w:ascii="黑体" w:hAnsi="黑体" w:eastAsia="黑体"/>
                <w:bCs/>
                <w:sz w:val="18"/>
                <w:szCs w:val="18"/>
              </w:rPr>
            </w:pPr>
            <w:r>
              <w:rPr>
                <w:rFonts w:hint="eastAsia" w:ascii="黑体" w:hAnsi="黑体" w:eastAsia="黑体"/>
                <w:bCs/>
                <w:sz w:val="18"/>
                <w:szCs w:val="18"/>
              </w:rPr>
              <w:t>2.以上费用金额均按照四舍五入方法，保留到小数点后2位。</w:t>
            </w:r>
          </w:p>
          <w:p>
            <w:pPr>
              <w:spacing w:line="360" w:lineRule="auto"/>
              <w:rPr>
                <w:rFonts w:ascii="黑体" w:hAnsi="黑体" w:eastAsia="黑体"/>
                <w:bCs/>
                <w:sz w:val="18"/>
                <w:szCs w:val="18"/>
              </w:rPr>
            </w:pPr>
            <w:r>
              <w:rPr>
                <w:rFonts w:hint="eastAsia" w:ascii="黑体" w:hAnsi="黑体" w:eastAsia="黑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176189755"/>
      <w:bookmarkStart w:id="5" w:name="_Toc79154666"/>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hint="eastAsia" w:asciiTheme="minorEastAsia" w:hAnsiTheme="minorEastAsia" w:eastAsiaTheme="minorEastAsia"/>
          <w:b w:val="0"/>
          <w:bCs/>
          <w:color w:val="auto"/>
          <w:sz w:val="18"/>
          <w:szCs w:val="18"/>
        </w:rPr>
      </w:pPr>
      <w:r>
        <w:rPr>
          <w:rFonts w:hint="eastAsia" w:asciiTheme="minorEastAsia" w:hAnsiTheme="minorEastAsia" w:eastAsiaTheme="minorEastAsia"/>
          <w:b w:val="0"/>
          <w:bCs/>
          <w:color w:val="auto"/>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4771"/>
      <w:bookmarkStart w:id="10" w:name="_Toc176189756"/>
      <w:bookmarkStart w:id="11" w:name="_Toc16265"/>
      <w:bookmarkStart w:id="12" w:name="_Toc15203"/>
      <w:bookmarkStart w:id="13" w:name="_Toc22074"/>
      <w:bookmarkStart w:id="14" w:name="_Toc79154668"/>
      <w:bookmarkStart w:id="15" w:name="_Toc27226"/>
      <w:bookmarkStart w:id="16" w:name="_Toc7151"/>
      <w:bookmarkStart w:id="17" w:name="_Toc90742321"/>
      <w:bookmarkStart w:id="18" w:name="_Toc74065741"/>
      <w:bookmarkStart w:id="19" w:name="_Toc27189"/>
      <w:bookmarkStart w:id="20" w:name="_Toc29948"/>
      <w:bookmarkStart w:id="21" w:name="_Toc29784"/>
      <w:bookmarkStart w:id="22" w:name="_Toc90742688"/>
      <w:bookmarkStart w:id="23" w:name="_Toc6714"/>
      <w:bookmarkStart w:id="24" w:name="_Toc3266"/>
      <w:bookmarkStart w:id="25" w:name="_Toc90742390"/>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pStyle w:val="34"/>
        <w:spacing w:line="360" w:lineRule="auto"/>
        <w:ind w:firstLine="360" w:firstLineChars="200"/>
        <w:rPr>
          <w:rFonts w:ascii="宋体" w:hAnsi="宋体" w:eastAsia="宋体" w:cs="宋体"/>
          <w:sz w:val="18"/>
        </w:rPr>
      </w:pPr>
      <w:permStart w:id="15" w:edGrp="everyone"/>
      <w:r>
        <w:rPr>
          <w:rFonts w:ascii="宋体" w:hAnsi="宋体" w:eastAsia="宋体" w:cs="宋体"/>
          <w:sz w:val="18"/>
        </w:rPr>
        <w:t>【（1）银行存款、债券逆回购、货币基金等货币市场工具及其它银行间和交易所资金融通工具；</w:t>
      </w:r>
    </w:p>
    <w:p>
      <w:pPr>
        <w:pStyle w:val="34"/>
        <w:spacing w:line="360" w:lineRule="auto"/>
        <w:ind w:firstLine="540" w:firstLineChars="300"/>
        <w:rPr>
          <w:rFonts w:ascii="宋体" w:hAnsi="宋体" w:eastAsia="宋体" w:cs="宋体"/>
          <w:sz w:val="18"/>
        </w:rPr>
      </w:pPr>
      <w:r>
        <w:rPr>
          <w:rFonts w:ascii="宋体" w:hAnsi="宋体" w:eastAsia="宋体" w:cs="宋体"/>
          <w:sz w:val="18"/>
        </w:rPr>
        <w:t>（2）国债、金融债、地方政府债、央行票据、同业存单、短期融资券、超短期融资券、中期票据、企业债、公司债、非公开定向债务融资工具、资产支持证券、次级债等银行间和交易所市场债券及债务融资工具以及其他固定收益类投资工具等；</w:t>
      </w:r>
    </w:p>
    <w:p>
      <w:pPr>
        <w:pStyle w:val="34"/>
        <w:spacing w:line="360" w:lineRule="auto"/>
        <w:ind w:firstLine="540" w:firstLineChars="300"/>
        <w:rPr>
          <w:rFonts w:ascii="宋体" w:hAnsi="宋体" w:eastAsia="宋体" w:cs="宋体"/>
          <w:sz w:val="18"/>
        </w:rPr>
      </w:pPr>
      <w:r>
        <w:rPr>
          <w:rFonts w:ascii="宋体" w:hAnsi="宋体" w:eastAsia="宋体" w:cs="宋体"/>
          <w:sz w:val="18"/>
        </w:rPr>
        <w:t>（3）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pPr>
        <w:pStyle w:val="34"/>
        <w:spacing w:line="360" w:lineRule="auto"/>
        <w:ind w:firstLine="540" w:firstLineChars="300"/>
        <w:rPr>
          <w:rFonts w:hint="eastAsia" w:asciiTheme="majorEastAsia" w:hAnsiTheme="majorEastAsia" w:eastAsiaTheme="majorEastAsia"/>
          <w:bCs/>
          <w:color w:val="auto"/>
          <w:sz w:val="18"/>
          <w:szCs w:val="18"/>
          <w:lang w:eastAsia="zh-CN"/>
        </w:rPr>
      </w:pPr>
      <w:r>
        <w:rPr>
          <w:rFonts w:ascii="宋体" w:hAnsi="宋体" w:eastAsia="宋体" w:cs="宋体"/>
          <w:sz w:val="18"/>
        </w:rPr>
        <w:t>（4）其他风险不高于前述资产的资产。】</w:t>
      </w:r>
    </w:p>
    <w:permEnd w:id="15"/>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pStyle w:val="34"/>
        <w:spacing w:line="360" w:lineRule="auto"/>
        <w:ind w:firstLine="360" w:firstLineChars="200"/>
        <w:jc w:val="both"/>
        <w:rPr>
          <w:rFonts w:ascii="宋体" w:hAnsi="宋体" w:eastAsia="宋体" w:cs="宋体"/>
          <w:sz w:val="18"/>
        </w:rPr>
      </w:pPr>
      <w:permStart w:id="16" w:edGrp="everyone"/>
      <w:r>
        <w:rPr>
          <w:rFonts w:ascii="宋体" w:hAnsi="宋体" w:eastAsia="宋体" w:cs="宋体"/>
          <w:sz w:val="18"/>
        </w:rPr>
        <w:t>【（1）本产品投资于债权类资产的比例不低于产品总资产的80%。</w:t>
      </w:r>
    </w:p>
    <w:p>
      <w:pPr>
        <w:pStyle w:val="34"/>
        <w:spacing w:line="360" w:lineRule="auto"/>
        <w:ind w:firstLine="540" w:firstLineChars="300"/>
        <w:jc w:val="both"/>
        <w:rPr>
          <w:rFonts w:hint="eastAsia" w:asciiTheme="majorEastAsia" w:hAnsiTheme="majorEastAsia" w:eastAsiaTheme="majorEastAsia"/>
          <w:bCs/>
          <w:sz w:val="18"/>
          <w:szCs w:val="18"/>
          <w:lang w:eastAsia="zh-CN"/>
        </w:rPr>
      </w:pPr>
      <w:r>
        <w:rPr>
          <w:rFonts w:ascii="宋体" w:hAnsi="宋体" w:eastAsia="宋体" w:cs="宋体"/>
          <w:sz w:val="18"/>
        </w:rPr>
        <w:t>（2）投资于同业存单及存款类资产的比例不低于产品净资产的50%。】</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非因管理人主观因素导致突破前款规定比例限制的，产品管理人在流动性受限资产可出售、可转让或者恢复交易的15个交易日内调整至符合要求，监管机构规定的特殊情形除外。</w:t>
      </w:r>
    </w:p>
    <w:p>
      <w:pPr>
        <w:autoSpaceDE w:val="0"/>
        <w:autoSpaceDN w:val="0"/>
        <w:adjustRightInd w:val="0"/>
        <w:spacing w:line="360" w:lineRule="auto"/>
        <w:ind w:firstLine="361"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w:t>
      </w:r>
      <w:r>
        <w:rPr>
          <w:rFonts w:asciiTheme="majorEastAsia" w:hAnsiTheme="majorEastAsia" w:eastAsiaTheme="majorEastAsia"/>
          <w:b/>
          <w:bCs/>
          <w:sz w:val="18"/>
          <w:szCs w:val="18"/>
        </w:rPr>
        <w:t>50%以上。</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宋体" w:hAnsi="宋体" w:eastAsia="宋体" w:cs="宋体"/>
          <w:sz w:val="18"/>
        </w:rPr>
      </w:pPr>
      <w:permStart w:id="18" w:edGrp="everyone"/>
      <w:r>
        <w:rPr>
          <w:rFonts w:ascii="宋体" w:hAnsi="宋体" w:eastAsia="宋体" w:cs="宋体"/>
          <w:sz w:val="18"/>
        </w:rPr>
        <w:t>（1）每只公募理财产品投资单只证券或者单只公募证券投资基金的市值不得超过该理财产品净资产的10%。</w:t>
      </w:r>
    </w:p>
    <w:p>
      <w:pPr>
        <w:spacing w:line="360" w:lineRule="auto"/>
        <w:ind w:firstLine="360" w:firstLineChars="200"/>
        <w:rPr>
          <w:rFonts w:ascii="宋体" w:hAnsi="宋体" w:eastAsia="宋体" w:cs="宋体"/>
          <w:sz w:val="18"/>
        </w:rPr>
      </w:pPr>
      <w:r>
        <w:rPr>
          <w:rFonts w:ascii="宋体" w:hAnsi="宋体" w:eastAsia="宋体" w:cs="宋体"/>
          <w:sz w:val="18"/>
        </w:rPr>
        <w:t>（2）全部公募理财产品持有单只证券或单只公募证券投资基金的市值，不得超过该证券市值或该公募证券投资基金市值的30%。</w:t>
      </w:r>
    </w:p>
    <w:p>
      <w:pPr>
        <w:spacing w:line="360" w:lineRule="auto"/>
        <w:ind w:firstLine="360" w:firstLineChars="200"/>
        <w:rPr>
          <w:rFonts w:ascii="宋体" w:hAnsi="宋体" w:eastAsia="宋体" w:cs="宋体"/>
          <w:sz w:val="18"/>
        </w:rPr>
      </w:pPr>
      <w:r>
        <w:rPr>
          <w:rFonts w:ascii="宋体" w:hAnsi="宋体" w:eastAsia="宋体" w:cs="宋体"/>
          <w:sz w:val="18"/>
        </w:rPr>
        <w:t>（3）全部理财产品持有单一上市公司发行的股票，不得超过该上市公司可流通股票的30%。</w:t>
      </w:r>
    </w:p>
    <w:p>
      <w:pPr>
        <w:spacing w:line="360" w:lineRule="auto"/>
        <w:ind w:firstLine="360" w:firstLineChars="200"/>
        <w:rPr>
          <w:rFonts w:ascii="宋体" w:hAnsi="宋体" w:eastAsia="宋体" w:cs="宋体"/>
          <w:sz w:val="18"/>
        </w:rPr>
      </w:pPr>
      <w:r>
        <w:rPr>
          <w:rFonts w:ascii="宋体" w:hAnsi="宋体" w:eastAsia="宋体" w:cs="宋体"/>
          <w:sz w:val="18"/>
        </w:rPr>
        <w:t xml:space="preserve">（4）全部开放式公募理财产品投资单一上市公司发行的股票不得超过该上市公司可流通股票的15%。 </w:t>
      </w:r>
    </w:p>
    <w:p>
      <w:pPr>
        <w:spacing w:line="360" w:lineRule="auto"/>
        <w:ind w:firstLine="360" w:firstLineChars="200"/>
        <w:rPr>
          <w:rFonts w:ascii="宋体" w:hAnsi="宋体" w:eastAsia="宋体" w:cs="宋体"/>
          <w:sz w:val="18"/>
        </w:rPr>
      </w:pPr>
      <w:r>
        <w:rPr>
          <w:rFonts w:ascii="宋体" w:hAnsi="宋体" w:eastAsia="宋体" w:cs="宋体"/>
          <w:sz w:val="18"/>
        </w:rPr>
        <w:t>（5）本产品因为流动性需要可开展存单质押、债券正回购等融资业务，本产品总资产不超过净资产的200%。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bookmarkStart w:id="156" w:name="_GoBack"/>
      <w:bookmarkEnd w:id="156"/>
      <w:r>
        <w:rPr>
          <w:rFonts w:ascii="宋体" w:hAnsi="宋体" w:eastAsia="宋体" w:cs="宋体"/>
          <w:sz w:val="18"/>
        </w:rPr>
        <w:t>（6）本产品投资于信用债券、银行存款的信用评级均不得低于AA+。</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w:t>
      </w:r>
      <w:r>
        <w:rPr>
          <w:rFonts w:hint="eastAsia" w:asciiTheme="majorEastAsia" w:hAnsiTheme="majorEastAsia" w:eastAsiaTheme="majorEastAsia"/>
          <w:bCs/>
          <w:sz w:val="18"/>
          <w:szCs w:val="18"/>
        </w:rPr>
        <w:t>产品采取绝对收益策略，追求资产长期稳定增值。</w:t>
      </w:r>
      <w:r>
        <w:rPr>
          <w:rFonts w:hint="eastAsia" w:asciiTheme="majorEastAsia" w:hAnsiTheme="majorEastAsia" w:eastAsiaTheme="majorEastAsia"/>
          <w:sz w:val="18"/>
          <w:szCs w:val="18"/>
        </w:rPr>
        <w:t>】</w:t>
      </w:r>
    </w:p>
    <w:permEnd w:id="19"/>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14893"/>
      <w:bookmarkStart w:id="28" w:name="_Toc26986"/>
      <w:bookmarkStart w:id="29" w:name="_Toc79154669"/>
      <w:bookmarkStart w:id="30" w:name="_Toc4741"/>
      <w:bookmarkStart w:id="31" w:name="_Toc139991735"/>
      <w:bookmarkStart w:id="32" w:name="_Toc18329"/>
      <w:bookmarkStart w:id="33" w:name="_Toc18797"/>
      <w:bookmarkStart w:id="34" w:name="_Toc18526"/>
      <w:bookmarkStart w:id="35" w:name="_Toc141703885"/>
      <w:bookmarkStart w:id="36" w:name="_Toc1823"/>
      <w:bookmarkStart w:id="37" w:name="_Toc74065742"/>
      <w:bookmarkStart w:id="38" w:name="_Toc7848"/>
      <w:bookmarkStart w:id="39" w:name="_Toc176189758"/>
      <w:bookmarkStart w:id="40" w:name="_Toc21988"/>
      <w:bookmarkStart w:id="41" w:name="_Toc17912"/>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20733"/>
      <w:bookmarkStart w:id="44" w:name="_Toc17244"/>
      <w:bookmarkStart w:id="45" w:name="_Toc74065743"/>
      <w:bookmarkStart w:id="46" w:name="_Toc4003"/>
      <w:bookmarkStart w:id="47" w:name="_Toc123102453"/>
      <w:bookmarkStart w:id="48" w:name="_Toc1427"/>
      <w:bookmarkStart w:id="49" w:name="_Toc610"/>
      <w:bookmarkStart w:id="50" w:name="_Toc79154670"/>
      <w:bookmarkStart w:id="51" w:name="_Toc23822"/>
      <w:bookmarkStart w:id="52" w:name="_Toc98560352"/>
      <w:bookmarkStart w:id="53" w:name="_Toc123051452"/>
      <w:bookmarkStart w:id="54" w:name="_Toc1270"/>
      <w:bookmarkStart w:id="55" w:name="_Toc10463"/>
      <w:bookmarkStart w:id="56" w:name="_Toc123112234"/>
      <w:bookmarkStart w:id="57" w:name="_Toc79392606"/>
      <w:bookmarkStart w:id="58" w:name="_Toc48649707"/>
      <w:bookmarkStart w:id="59" w:name="_Toc139991736"/>
      <w:bookmarkStart w:id="60" w:name="_Toc176189759"/>
      <w:bookmarkStart w:id="61" w:name="_Toc23261"/>
      <w:bookmarkStart w:id="62" w:name="_Toc7920"/>
      <w:bookmarkStart w:id="63" w:name="_Toc141703886"/>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20" w:edGrp="everyone"/>
      <w:r>
        <w:rPr>
          <w:rFonts w:hint="eastAsia" w:hAnsi="宋体"/>
          <w:sz w:val="18"/>
          <w:szCs w:val="18"/>
        </w:rPr>
        <w:t>本产品存续期间，每【</w:t>
      </w:r>
      <w:r>
        <w:rPr>
          <w:rFonts w:hint="eastAsia" w:hAnsi="宋体"/>
          <w:sz w:val="18"/>
          <w:szCs w:val="18"/>
          <w:lang w:val="en-US" w:eastAsia="zh-CN"/>
        </w:rPr>
        <w:t>周</w:t>
      </w:r>
      <w:r>
        <w:rPr>
          <w:rFonts w:hint="eastAsia" w:hAnsi="宋体"/>
          <w:sz w:val="18"/>
          <w:szCs w:val="18"/>
        </w:rPr>
        <w:t>】进行一次估值。如遇产品到期日、季度末、半年度末、年度末等时间节点管理人将增加估值日。</w:t>
      </w:r>
    </w:p>
    <w:permEnd w:id="20"/>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0" w:firstLineChars="200"/>
        <w:rPr>
          <w:rFonts w:hAnsi="宋体"/>
          <w:bCs/>
          <w:sz w:val="18"/>
          <w:szCs w:val="18"/>
        </w:rPr>
      </w:pPr>
      <w:r>
        <w:rPr>
          <w:rFonts w:hAnsi="宋体"/>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hAnsi="宋体"/>
          <w:sz w:val="18"/>
          <w:szCs w:val="18"/>
        </w:rPr>
      </w:pPr>
      <w:r>
        <w:rPr>
          <w:rFonts w:hAnsi="宋体"/>
          <w:bCs/>
          <w:sz w:val="18"/>
          <w:szCs w:val="18"/>
        </w:rPr>
        <w:t>3.非标准化债权类资产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pPr>
        <w:pStyle w:val="34"/>
        <w:spacing w:line="360" w:lineRule="auto"/>
        <w:ind w:firstLine="360" w:firstLineChars="200"/>
        <w:rPr>
          <w:rFonts w:hAnsi="宋体"/>
          <w:bCs/>
          <w:sz w:val="18"/>
          <w:szCs w:val="18"/>
        </w:rPr>
      </w:pPr>
      <w:r>
        <w:rPr>
          <w:rFonts w:hAnsi="宋体"/>
          <w:bCs/>
          <w:sz w:val="18"/>
          <w:szCs w:val="18"/>
        </w:rPr>
        <w:t>4.上市公司股票估值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hAnsi="宋体"/>
          <w:bCs/>
          <w:sz w:val="18"/>
          <w:szCs w:val="18"/>
        </w:rPr>
      </w:pPr>
      <w:r>
        <w:rPr>
          <w:rFonts w:hAnsi="宋体"/>
          <w:bCs/>
          <w:sz w:val="18"/>
          <w:szCs w:val="18"/>
        </w:rPr>
        <w:t>5.未上市公司股权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pPr>
        <w:pStyle w:val="34"/>
        <w:spacing w:line="360" w:lineRule="auto"/>
        <w:ind w:firstLine="360" w:firstLineChars="200"/>
        <w:rPr>
          <w:rFonts w:hAnsi="宋体"/>
          <w:bCs/>
          <w:sz w:val="18"/>
          <w:szCs w:val="18"/>
        </w:rPr>
      </w:pPr>
      <w:r>
        <w:rPr>
          <w:rFonts w:hAnsi="宋体"/>
          <w:bCs/>
          <w:sz w:val="18"/>
          <w:szCs w:val="18"/>
        </w:rPr>
        <w:t>6.优先股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hAnsi="宋体"/>
          <w:bCs/>
          <w:sz w:val="18"/>
          <w:szCs w:val="18"/>
        </w:rPr>
      </w:pPr>
      <w:r>
        <w:rPr>
          <w:rFonts w:hAnsi="宋体"/>
          <w:bCs/>
          <w:sz w:val="18"/>
          <w:szCs w:val="18"/>
        </w:rPr>
        <w:t>7.证券投资基金估值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pPr>
        <w:pStyle w:val="34"/>
        <w:spacing w:line="360" w:lineRule="auto"/>
        <w:ind w:firstLine="360" w:firstLineChars="200"/>
        <w:rPr>
          <w:rFonts w:hAnsi="宋体"/>
          <w:bCs/>
          <w:sz w:val="18"/>
          <w:szCs w:val="18"/>
        </w:rPr>
      </w:pPr>
      <w:r>
        <w:rPr>
          <w:rFonts w:hAnsi="宋体"/>
          <w:bCs/>
          <w:sz w:val="18"/>
          <w:szCs w:val="18"/>
        </w:rPr>
        <w:t>8.其他资产管理产品的估值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pStyle w:val="34"/>
        <w:spacing w:line="360" w:lineRule="auto"/>
        <w:ind w:firstLine="360" w:firstLineChars="200"/>
        <w:rPr>
          <w:rFonts w:hAnsi="宋体"/>
          <w:bCs/>
          <w:sz w:val="18"/>
          <w:szCs w:val="18"/>
        </w:rPr>
      </w:pPr>
      <w:r>
        <w:rPr>
          <w:rFonts w:hAnsi="宋体"/>
          <w:bCs/>
          <w:sz w:val="18"/>
          <w:szCs w:val="18"/>
        </w:rPr>
        <w:t>9.衍生金融工具估值</w:t>
      </w:r>
    </w:p>
    <w:p>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29251"/>
      <w:bookmarkStart w:id="66" w:name="_Toc74065744"/>
      <w:bookmarkStart w:id="67" w:name="_Toc26207"/>
      <w:bookmarkStart w:id="68" w:name="_Toc31653"/>
      <w:bookmarkStart w:id="69" w:name="_Toc14835"/>
      <w:bookmarkStart w:id="70" w:name="_Toc141703887"/>
      <w:bookmarkStart w:id="71" w:name="_Toc15143"/>
      <w:bookmarkStart w:id="72" w:name="_Toc3601"/>
      <w:bookmarkStart w:id="73" w:name="_Toc79154671"/>
      <w:bookmarkStart w:id="74" w:name="_Toc31644"/>
      <w:bookmarkStart w:id="75" w:name="_Toc6405"/>
      <w:bookmarkStart w:id="76" w:name="_Toc31235"/>
      <w:bookmarkStart w:id="77" w:name="_Toc123112235"/>
      <w:bookmarkStart w:id="78" w:name="_Toc123051453"/>
      <w:bookmarkStart w:id="79" w:name="_Toc139991737"/>
      <w:bookmarkStart w:id="80" w:name="_Toc123102454"/>
      <w:bookmarkStart w:id="81" w:name="_Toc12245"/>
      <w:bookmarkStart w:id="82" w:name="_Toc98560353"/>
      <w:bookmarkStart w:id="83" w:name="_Toc176189760"/>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523711668"/>
      <w:bookmarkStart w:id="86" w:name="_Toc57530239"/>
      <w:bookmarkStart w:id="87" w:name="_Toc79392580"/>
      <w:bookmarkStart w:id="88" w:name="_Toc15118234"/>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97298"/>
      <w:bookmarkEnd w:id="89"/>
      <w:bookmarkStart w:id="90" w:name="_Hlt88825574"/>
      <w:bookmarkEnd w:id="90"/>
      <w:bookmarkStart w:id="91" w:name="_Toc74065745"/>
      <w:bookmarkStart w:id="92" w:name="_Toc123051454"/>
      <w:bookmarkStart w:id="93" w:name="_Toc7058"/>
      <w:bookmarkStart w:id="94" w:name="_Toc9706"/>
      <w:bookmarkStart w:id="95" w:name="_Toc123112236"/>
      <w:bookmarkStart w:id="96" w:name="_Toc141703888"/>
      <w:bookmarkStart w:id="97" w:name="_Toc3771"/>
      <w:bookmarkStart w:id="98" w:name="_Toc6447"/>
      <w:bookmarkStart w:id="99" w:name="_Toc139991738"/>
      <w:bookmarkStart w:id="100" w:name="_Toc25783"/>
      <w:bookmarkStart w:id="101" w:name="_Toc123102455"/>
      <w:bookmarkStart w:id="102" w:name="_Toc98560354"/>
      <w:bookmarkStart w:id="103" w:name="_Toc11030"/>
      <w:bookmarkStart w:id="104" w:name="_Toc176189761"/>
      <w:bookmarkStart w:id="105" w:name="_Toc10650"/>
      <w:bookmarkStart w:id="106" w:name="_Toc4559"/>
      <w:bookmarkStart w:id="107" w:name="_Toc79154672"/>
      <w:bookmarkStart w:id="108" w:name="_Toc18567"/>
      <w:bookmarkStart w:id="109" w:name="_Toc3321"/>
      <w:bookmarkStart w:id="110" w:name="_Toc79392583"/>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hint="eastAsia" w:ascii="黑体" w:hAnsi="黑体" w:eastAsia="黑体" w:cs="黑体"/>
          <w:b/>
          <w:color w:val="auto"/>
          <w:sz w:val="18"/>
          <w:szCs w:val="18"/>
        </w:rPr>
      </w:pPr>
      <w:r>
        <w:rPr>
          <w:rFonts w:hint="eastAsia" w:ascii="黑体" w:hAnsi="黑体" w:eastAsia="黑体" w:cs="黑体"/>
          <w:b/>
          <w:color w:val="auto"/>
          <w:sz w:val="18"/>
          <w:szCs w:val="18"/>
        </w:rPr>
        <w:t>（一）理财产品的费用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sz w:val="18"/>
          <w:szCs w:val="18"/>
        </w:rPr>
      </w:pPr>
      <w:permStart w:id="23" w:edGrp="everyone"/>
      <w:r>
        <w:rPr>
          <w:rFonts w:hint="eastAsia" w:ascii="黑体" w:hAnsi="黑体" w:eastAsia="黑体" w:cs="黑体"/>
          <w:kern w:val="0"/>
          <w:sz w:val="18"/>
          <w:szCs w:val="18"/>
        </w:rPr>
        <w:t>（2）理财产品的销售服务费</w:t>
      </w:r>
    </w:p>
    <w:p>
      <w:pPr>
        <w:pStyle w:val="34"/>
        <w:spacing w:line="360" w:lineRule="auto"/>
        <w:ind w:firstLine="360" w:firstLineChars="200"/>
        <w:rPr>
          <w:rFonts w:hint="eastAsia" w:ascii="黑体" w:hAnsi="黑体" w:eastAsia="黑体" w:cs="黑体"/>
          <w:color w:val="auto"/>
          <w:kern w:val="2"/>
          <w:sz w:val="18"/>
          <w:szCs w:val="18"/>
        </w:rPr>
      </w:pPr>
      <w:r>
        <w:rPr>
          <w:rFonts w:ascii="宋体" w:hAnsi="宋体" w:eastAsia="宋体" w:cs="宋体"/>
          <w:sz w:val="18"/>
        </w:rPr>
        <w:t>本产品的销售服务费按前一日理财资产净值与销售服务费每日费率每日计提。销售服务费的计算方法如下：</w:t>
      </w:r>
      <w:r>
        <w:rPr>
          <w:rFonts w:ascii="宋体" w:hAnsi="宋体" w:eastAsia="宋体" w:cs="宋体"/>
          <w:sz w:val="18"/>
        </w:rPr>
        <w:br w:type="textWrapping"/>
      </w:r>
      <w:r>
        <w:rPr>
          <w:rFonts w:ascii="宋体" w:hAnsi="宋体" w:eastAsia="宋体" w:cs="宋体"/>
          <w:sz w:val="18"/>
        </w:rPr>
        <w:t xml:space="preserve">  H＝E×销售服务费年费率÷365</w:t>
      </w:r>
      <w:r>
        <w:rPr>
          <w:rFonts w:ascii="宋体" w:hAnsi="宋体" w:eastAsia="宋体" w:cs="宋体"/>
          <w:sz w:val="18"/>
        </w:rPr>
        <w:br w:type="textWrapping"/>
      </w:r>
      <w:r>
        <w:rPr>
          <w:rFonts w:ascii="宋体" w:hAnsi="宋体" w:eastAsia="宋体" w:cs="宋体"/>
          <w:sz w:val="18"/>
        </w:rPr>
        <w:t xml:space="preserve">  H为每日应计提的销售服务费</w:t>
      </w:r>
      <w:r>
        <w:rPr>
          <w:rFonts w:ascii="宋体" w:hAnsi="宋体" w:eastAsia="宋体" w:cs="宋体"/>
          <w:sz w:val="18"/>
        </w:rPr>
        <w:br w:type="textWrapping"/>
      </w:r>
      <w:r>
        <w:rPr>
          <w:rFonts w:ascii="宋体" w:hAnsi="宋体" w:eastAsia="宋体" w:cs="宋体"/>
          <w:sz w:val="18"/>
        </w:rPr>
        <w:t xml:space="preserve">  E为前一日的理财资产净值</w:t>
      </w:r>
      <w:r>
        <w:rPr>
          <w:rFonts w:ascii="宋体" w:hAnsi="宋体" w:eastAsia="宋体" w:cs="宋体"/>
          <w:sz w:val="18"/>
        </w:rPr>
        <w:br w:type="textWrapping"/>
      </w:r>
      <w:r>
        <w:rPr>
          <w:rFonts w:ascii="宋体" w:hAnsi="宋体" w:eastAsia="宋体" w:cs="宋体"/>
          <w:sz w:val="18"/>
        </w:rPr>
        <w:t xml:space="preserve">  销售服务费依照上述约定，从理财财产中支付。费率具体数值以《产品说明书》“第二条 理财产品基本情况”为准。</w:t>
      </w:r>
    </w:p>
    <w:permEnd w:id="23"/>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kern w:val="0"/>
          <w:sz w:val="18"/>
          <w:szCs w:val="18"/>
        </w:rPr>
      </w:pPr>
      <w:permStart w:id="24" w:edGrp="everyone"/>
      <w:r>
        <w:rPr>
          <w:rFonts w:hint="eastAsia" w:ascii="黑体" w:hAnsi="黑体" w:eastAsia="黑体" w:cs="黑体"/>
          <w:kern w:val="0"/>
          <w:sz w:val="18"/>
          <w:szCs w:val="18"/>
        </w:rPr>
        <w:t>（4）超额业绩报酬</w:t>
      </w:r>
    </w:p>
    <w:p>
      <w:pPr>
        <w:widowControl/>
        <w:spacing w:line="360" w:lineRule="auto"/>
        <w:ind w:left="0" w:leftChars="0" w:firstLine="360" w:firstLineChars="200"/>
        <w:jc w:val="left"/>
        <w:rPr>
          <w:rFonts w:hint="eastAsia" w:ascii="黑体" w:hAnsi="黑体" w:eastAsia="黑体" w:cs="黑体"/>
          <w:sz w:val="18"/>
          <w:szCs w:val="18"/>
        </w:rPr>
      </w:pPr>
      <w:r>
        <w:rPr>
          <w:rFonts w:ascii="宋体" w:hAnsi="宋体" w:eastAsia="宋体" w:cs="宋体"/>
          <w:sz w:val="18"/>
        </w:rPr>
        <w:t xml:space="preserve">    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由此造成超额业绩报酬计提日产品份额净值调整的，以调整后的数值为准进行利益分配。</w:t>
      </w:r>
      <w:r>
        <w:rPr>
          <w:rFonts w:ascii="宋体" w:hAnsi="宋体" w:eastAsia="宋体" w:cs="宋体"/>
          <w:sz w:val="18"/>
        </w:rPr>
        <w:br w:type="textWrapping"/>
      </w:r>
      <w:r>
        <w:rPr>
          <w:rFonts w:ascii="宋体" w:hAnsi="宋体" w:eastAsia="宋体" w:cs="宋体"/>
          <w:sz w:val="18"/>
        </w:rPr>
        <w:t xml:space="preserve">    业绩报酬计提基准的设置、超额业绩报酬的具体比例数值以《产品说明书》“第二条 理财产品基本情况”为准。</w:t>
      </w:r>
      <w:r>
        <w:rPr>
          <w:rFonts w:ascii="宋体" w:hAnsi="宋体" w:eastAsia="宋体" w:cs="宋体"/>
          <w:sz w:val="18"/>
        </w:rPr>
        <w:br w:type="textWrapping"/>
      </w:r>
      <w:r>
        <w:rPr>
          <w:rFonts w:ascii="宋体" w:hAnsi="宋体" w:eastAsia="宋体" w:cs="宋体"/>
          <w:sz w:val="18"/>
        </w:rPr>
        <w:t xml:space="preserve">    1）收取超额业绩报酬的原则：</w:t>
      </w:r>
      <w:r>
        <w:rPr>
          <w:rFonts w:ascii="宋体" w:hAnsi="宋体" w:eastAsia="宋体" w:cs="宋体"/>
          <w:sz w:val="18"/>
        </w:rPr>
        <w:br w:type="textWrapping"/>
      </w:r>
      <w:r>
        <w:rPr>
          <w:rFonts w:ascii="宋体" w:hAnsi="宋体" w:eastAsia="宋体" w:cs="宋体"/>
          <w:sz w:val="18"/>
        </w:rPr>
        <w:t xml:space="preserve">    ①按投资者每份产品份额分别计算年化收益率并计提超额业绩报酬；</w:t>
      </w:r>
      <w:r>
        <w:rPr>
          <w:rFonts w:ascii="宋体" w:hAnsi="宋体" w:eastAsia="宋体" w:cs="宋体"/>
          <w:sz w:val="18"/>
        </w:rPr>
        <w:br w:type="textWrapping"/>
      </w:r>
      <w:r>
        <w:rPr>
          <w:rFonts w:ascii="宋体" w:hAnsi="宋体" w:eastAsia="宋体" w:cs="宋体"/>
          <w:sz w:val="18"/>
        </w:rPr>
        <w:t xml:space="preserve">    ②在超额业绩报酬计提日，本产品对符合超额业绩报酬提取条件的产品份额计提超额业绩报酬；</w:t>
      </w:r>
      <w:r>
        <w:rPr>
          <w:rFonts w:ascii="宋体" w:hAnsi="宋体" w:eastAsia="宋体" w:cs="宋体"/>
          <w:sz w:val="18"/>
        </w:rPr>
        <w:br w:type="textWrapping"/>
      </w:r>
      <w:r>
        <w:rPr>
          <w:rFonts w:ascii="宋体" w:hAnsi="宋体" w:eastAsia="宋体" w:cs="宋体"/>
          <w:sz w:val="18"/>
        </w:rPr>
        <w:t xml:space="preserve">    ③在产品终止日提取超额业绩报酬的，超额业绩报酬从清算资金中扣除；</w:t>
      </w:r>
      <w:r>
        <w:rPr>
          <w:rFonts w:ascii="宋体" w:hAnsi="宋体" w:eastAsia="宋体" w:cs="宋体"/>
          <w:sz w:val="18"/>
        </w:rPr>
        <w:br w:type="textWrapping"/>
      </w:r>
      <w:r>
        <w:rPr>
          <w:rFonts w:ascii="宋体" w:hAnsi="宋体" w:eastAsia="宋体" w:cs="宋体"/>
          <w:sz w:val="18"/>
        </w:rPr>
        <w:t xml:space="preserve">    2）超额业绩报酬计提方法</w:t>
      </w:r>
      <w:r>
        <w:rPr>
          <w:rFonts w:ascii="宋体" w:hAnsi="宋体" w:eastAsia="宋体" w:cs="宋体"/>
          <w:sz w:val="18"/>
        </w:rPr>
        <w:br w:type="textWrapping"/>
      </w:r>
      <w:r>
        <w:rPr>
          <w:rFonts w:ascii="宋体" w:hAnsi="宋体" w:eastAsia="宋体" w:cs="宋体"/>
          <w:sz w:val="18"/>
        </w:rPr>
        <w:t xml:space="preserve">    ①超额业绩报酬计提起始日</w:t>
      </w:r>
      <w:r>
        <w:rPr>
          <w:rFonts w:ascii="宋体" w:hAnsi="宋体" w:eastAsia="宋体" w:cs="宋体"/>
          <w:sz w:val="18"/>
        </w:rPr>
        <w:br w:type="textWrapping"/>
      </w:r>
      <w:r>
        <w:rPr>
          <w:rFonts w:ascii="宋体" w:hAnsi="宋体" w:eastAsia="宋体" w:cs="宋体"/>
          <w:sz w:val="18"/>
        </w:rPr>
        <w:t xml:space="preserve">    每份产品份额超额业绩报酬计提起始日为：募集期内认购的产品份额，以产品成立日为该份产品份额超额业绩报酬计提起始日。</w:t>
      </w:r>
      <w:r>
        <w:rPr>
          <w:rFonts w:ascii="宋体" w:hAnsi="宋体" w:eastAsia="宋体" w:cs="宋体"/>
          <w:sz w:val="18"/>
        </w:rPr>
        <w:br w:type="textWrapping"/>
      </w:r>
      <w:r>
        <w:rPr>
          <w:rFonts w:ascii="宋体" w:hAnsi="宋体" w:eastAsia="宋体" w:cs="宋体"/>
          <w:sz w:val="18"/>
        </w:rPr>
        <w:t xml:space="preserve">    ②超额业绩报酬计提日</w:t>
      </w:r>
      <w:r>
        <w:rPr>
          <w:rFonts w:ascii="宋体" w:hAnsi="宋体" w:eastAsia="宋体" w:cs="宋体"/>
          <w:sz w:val="18"/>
        </w:rPr>
        <w:br w:type="textWrapping"/>
      </w:r>
      <w:r>
        <w:rPr>
          <w:rFonts w:ascii="宋体" w:hAnsi="宋体" w:eastAsia="宋体" w:cs="宋体"/>
          <w:sz w:val="18"/>
        </w:rPr>
        <w:t xml:space="preserve">    每份产品份额超额业绩报酬每日计提，产品终止日结算。</w:t>
      </w:r>
      <w:r>
        <w:rPr>
          <w:rFonts w:ascii="宋体" w:hAnsi="宋体" w:eastAsia="宋体" w:cs="宋体"/>
          <w:sz w:val="18"/>
        </w:rPr>
        <w:br w:type="textWrapping"/>
      </w:r>
      <w:r>
        <w:rPr>
          <w:rFonts w:ascii="宋体" w:hAnsi="宋体" w:eastAsia="宋体" w:cs="宋体"/>
          <w:sz w:val="18"/>
        </w:rPr>
        <w:t xml:space="preserve">    ③超额业绩报酬的计算</w:t>
      </w:r>
      <w:r>
        <w:rPr>
          <w:rFonts w:ascii="宋体" w:hAnsi="宋体" w:eastAsia="宋体" w:cs="宋体"/>
          <w:sz w:val="18"/>
        </w:rPr>
        <w:br w:type="textWrapping"/>
      </w:r>
      <w:r>
        <w:rPr>
          <w:rFonts w:ascii="宋体" w:hAnsi="宋体" w:eastAsia="宋体" w:cs="宋体"/>
          <w:sz w:val="18"/>
        </w:rPr>
        <w:t xml:space="preserve">    产品管理人对每份份额当前年化收益率（R）超过当前业绩报酬计提基准的部分，按比例（N）以及产品份额持有天数（D）提取超额业绩报酬，计算方法如下：</w:t>
      </w:r>
      <w:r>
        <w:rPr>
          <w:rFonts w:ascii="宋体" w:hAnsi="宋体" w:eastAsia="宋体" w:cs="宋体"/>
          <w:sz w:val="18"/>
        </w:rPr>
        <w:br w:type="textWrapping"/>
      </w:r>
      <w:r>
        <w:rPr>
          <w:rFonts w:ascii="宋体" w:hAnsi="宋体" w:eastAsia="宋体" w:cs="宋体"/>
          <w:sz w:val="18"/>
        </w:rPr>
        <w:t xml:space="preserve">    当R≤当前业绩报酬计提基准，超额业绩报酬=0；</w:t>
      </w:r>
      <w:r>
        <w:rPr>
          <w:rFonts w:ascii="宋体" w:hAnsi="宋体" w:eastAsia="宋体" w:cs="宋体"/>
          <w:sz w:val="18"/>
        </w:rPr>
        <w:br w:type="textWrapping"/>
      </w:r>
      <w:r>
        <w:rPr>
          <w:rFonts w:ascii="宋体" w:hAnsi="宋体" w:eastAsia="宋体" w:cs="宋体"/>
          <w:sz w:val="18"/>
        </w:rPr>
        <w:t xml:space="preserve">    当R＞当前业绩报酬计提基准，超额业绩报酬=产品终止时投资者持有的产品份额×产品成立日产品份额净值×（R-当前业绩报酬计提基准）×N×D/365。</w:t>
      </w:r>
    </w:p>
    <w:permEnd w:id="24"/>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pPr>
        <w:pStyle w:val="34"/>
        <w:spacing w:line="360" w:lineRule="auto"/>
        <w:ind w:firstLine="360" w:firstLineChars="200"/>
        <w:rPr>
          <w:rFonts w:hint="eastAsia" w:ascii="黑体" w:hAnsi="黑体" w:eastAsia="黑体" w:cs="黑体"/>
          <w:color w:val="auto"/>
          <w:sz w:val="18"/>
        </w:rPr>
      </w:pPr>
      <w:r>
        <w:rPr>
          <w:rFonts w:hint="eastAsia" w:ascii="黑体" w:hAnsi="黑体" w:eastAsia="黑体" w:cs="黑体"/>
          <w:color w:val="auto"/>
          <w:sz w:val="18"/>
        </w:rPr>
        <w:t>3.</w:t>
      </w:r>
      <w:r>
        <w:rPr>
          <w:rFonts w:hint="eastAsia" w:ascii="黑体" w:hAnsi="黑体" w:eastAsia="黑体" w:cs="黑体"/>
          <w:color w:val="auto"/>
          <w:sz w:val="18"/>
          <w:szCs w:val="18"/>
        </w:rPr>
        <w:t>★理财产品费用</w:t>
      </w:r>
      <w:r>
        <w:rPr>
          <w:rFonts w:hint="eastAsia" w:ascii="黑体" w:hAnsi="黑体" w:eastAsia="黑体" w:cs="黑体"/>
          <w:color w:val="auto"/>
          <w:sz w:val="18"/>
        </w:rPr>
        <w:t>的调整</w:t>
      </w:r>
    </w:p>
    <w:p>
      <w:pPr>
        <w:pStyle w:val="34"/>
        <w:spacing w:line="360" w:lineRule="auto"/>
        <w:ind w:firstLine="360" w:firstLineChars="200"/>
        <w:rPr>
          <w:rFonts w:hint="eastAsia" w:ascii="黑体" w:hAnsi="黑体" w:eastAsia="黑体" w:cs="黑体"/>
          <w:b/>
          <w:color w:val="auto"/>
          <w:sz w:val="18"/>
        </w:rPr>
      </w:pPr>
      <w:r>
        <w:rPr>
          <w:rFonts w:hint="eastAsia" w:ascii="黑体" w:hAnsi="黑体" w:eastAsia="黑体" w:cs="黑体"/>
          <w:color w:val="auto"/>
          <w:sz w:val="18"/>
        </w:rPr>
        <w:t>产品管理人有权</w:t>
      </w:r>
      <w:r>
        <w:rPr>
          <w:rFonts w:hint="eastAsia" w:ascii="黑体" w:hAnsi="黑体" w:eastAsia="黑体" w:cs="黑体"/>
          <w:color w:val="auto"/>
          <w:sz w:val="18"/>
          <w:szCs w:val="18"/>
        </w:rPr>
        <w:t>根据相关法律和国家政策规定，</w:t>
      </w:r>
      <w:r>
        <w:rPr>
          <w:rFonts w:hint="eastAsia" w:ascii="黑体" w:hAnsi="黑体" w:eastAsia="黑体" w:cs="黑体"/>
          <w:color w:val="auto"/>
          <w:sz w:val="18"/>
        </w:rPr>
        <w:t>对理财产品费用的收费项目、收费条件、收费标准和收费方式等进行调整。产品管理人对费用的调整</w:t>
      </w:r>
      <w:r>
        <w:rPr>
          <w:rFonts w:hint="eastAsia" w:ascii="黑体" w:hAnsi="黑体" w:eastAsia="黑体" w:cs="黑体"/>
          <w:bCs/>
          <w:color w:val="auto"/>
          <w:sz w:val="18"/>
        </w:rPr>
        <w:t>将依本产品说明书的“理财产品的信息披露”条款约定进行公告。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1745"/>
      <w:bookmarkStart w:id="112" w:name="_Toc3963"/>
      <w:r>
        <w:br w:type="page"/>
      </w:r>
      <w:bookmarkStart w:id="113" w:name="_Toc10398"/>
      <w:bookmarkStart w:id="114" w:name="_Toc3572"/>
      <w:bookmarkStart w:id="115" w:name="_Toc98560355"/>
      <w:bookmarkStart w:id="116" w:name="_Toc725"/>
      <w:bookmarkStart w:id="117" w:name="_Toc31821"/>
      <w:bookmarkStart w:id="118" w:name="_Toc123112237"/>
      <w:bookmarkStart w:id="119" w:name="_Toc21735"/>
      <w:bookmarkStart w:id="120" w:name="_Toc123051455"/>
      <w:bookmarkStart w:id="121" w:name="_Toc176189762"/>
      <w:bookmarkStart w:id="122" w:name="_Toc16164"/>
      <w:bookmarkStart w:id="123" w:name="_Toc74065746"/>
      <w:bookmarkStart w:id="124" w:name="_Toc141703889"/>
      <w:bookmarkStart w:id="125" w:name="_Toc139991739"/>
      <w:bookmarkStart w:id="126" w:name="_Toc3080"/>
      <w:bookmarkStart w:id="127" w:name="_Toc123102456"/>
      <w:bookmarkStart w:id="128" w:name="_Toc18206"/>
      <w:bookmarkStart w:id="129" w:name="_Toc79154673"/>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79392593"/>
      <w:bookmarkStart w:id="131" w:name="_Toc57530252"/>
      <w:bookmarkStart w:id="132" w:name="_Toc15118245"/>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实际到账日之间产生的利息（如有），归投资者所有。</w:t>
      </w:r>
    </w:p>
    <w:p>
      <w:pPr>
        <w:spacing w:line="360" w:lineRule="auto"/>
        <w:ind w:firstLine="360" w:firstLineChars="200"/>
        <w:rPr>
          <w:rFonts w:hint="eastAsia"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spacing w:line="360" w:lineRule="auto"/>
        <w:ind w:firstLine="360" w:firstLineChars="200"/>
        <w:rPr>
          <w:rFonts w:hint="eastAsia" w:asciiTheme="majorEastAsia" w:hAnsiTheme="majorEastAsia" w:eastAsiaTheme="majorEastAsia"/>
          <w:bCs/>
          <w:sz w:val="18"/>
          <w:szCs w:val="18"/>
        </w:rPr>
      </w:pPr>
      <w:r>
        <w:rPr>
          <w:rFonts w:hint="default" w:asciiTheme="majorEastAsia" w:hAnsiTheme="majorEastAsia" w:eastAsiaTheme="majorEastAsia"/>
          <w:bCs/>
          <w:sz w:val="18"/>
          <w:szCs w:val="18"/>
          <w:lang w:val="en-US" w:eastAsia="zh-CN"/>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w:t>
      </w:r>
      <w:r>
        <w:rPr>
          <w:rFonts w:hint="eastAsia" w:asciiTheme="majorEastAsia" w:hAnsiTheme="majorEastAsia" w:eastAsiaTheme="majorEastAsia"/>
          <w:bCs/>
          <w:sz w:val="18"/>
          <w:szCs w:val="18"/>
        </w:rPr>
        <w:t>【5】</w:t>
      </w:r>
      <w:r>
        <w:rPr>
          <w:rFonts w:hint="default" w:asciiTheme="majorEastAsia" w:hAnsiTheme="majorEastAsia" w:eastAsiaTheme="majorEastAsia"/>
          <w:bCs/>
          <w:sz w:val="18"/>
          <w:szCs w:val="18"/>
          <w:lang w:val="en-US" w:eastAsia="zh-CN"/>
        </w:rPr>
        <w:t>个工作日内按投资者持有的理财产品份额比例向投资者进行再次分配。</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176189763"/>
      <w:bookmarkStart w:id="134" w:name="_Toc8791"/>
      <w:bookmarkStart w:id="135" w:name="_Toc3329"/>
      <w:bookmarkStart w:id="136" w:name="_Toc79392622"/>
      <w:bookmarkStart w:id="137" w:name="_Toc123112238"/>
      <w:bookmarkStart w:id="138" w:name="_Toc141703890"/>
      <w:bookmarkStart w:id="139" w:name="_Toc98560356"/>
      <w:bookmarkStart w:id="140" w:name="_Toc139991740"/>
      <w:bookmarkStart w:id="141" w:name="_Toc5170"/>
      <w:bookmarkStart w:id="142" w:name="_Toc32092"/>
      <w:bookmarkStart w:id="143" w:name="_Toc48649708"/>
      <w:bookmarkStart w:id="144" w:name="_Toc29408"/>
      <w:bookmarkStart w:id="145" w:name="_Toc123051456"/>
      <w:bookmarkStart w:id="146" w:name="_Toc79154674"/>
      <w:bookmarkStart w:id="147" w:name="_Toc74065747"/>
      <w:bookmarkStart w:id="148" w:name="_Toc17920"/>
      <w:bookmarkStart w:id="149" w:name="_Toc21237"/>
      <w:bookmarkStart w:id="150" w:name="_Toc739"/>
      <w:bookmarkStart w:id="151" w:name="_Toc32584"/>
      <w:bookmarkStart w:id="152" w:name="_Toc123102457"/>
      <w:bookmarkStart w:id="153" w:name="_Toc17198"/>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ascii="宋体" w:hAnsi="宋体"/>
          <w:bCs/>
          <w:sz w:val="18"/>
          <w:szCs w:val="18"/>
          <w:lang w:val="en-US" w:eastAsia="zh-CN"/>
        </w:rPr>
        <w:t>周</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p>
    <w:permEnd w:id="25"/>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176189764"/>
      <w:bookmarkStart w:id="155" w:name="_Toc79154675"/>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permStart w:id="26" w:edGrp="everyone"/>
      <w:r>
        <w:rPr>
          <w:rFonts w:hint="eastAsia" w:ascii="宋体" w:hAnsi="宋体"/>
          <w:sz w:val="18"/>
          <w:szCs w:val="18"/>
        </w:rPr>
        <w:t>【1.拟投资市场和资产的风险：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ermEnd w:id="26"/>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17.★关联交易风险</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cs="Arial"/>
                <w:sz w:val="18"/>
                <w:szCs w:val="18"/>
              </w:rPr>
              <w:t>线上确认）：</w:t>
            </w:r>
          </w:p>
          <w:p>
            <w:pPr>
              <w:tabs>
                <w:tab w:val="left" w:pos="5609"/>
              </w:tabs>
              <w:spacing w:line="360" w:lineRule="auto"/>
              <w:ind w:firstLine="360"/>
              <w:jc w:val="left"/>
              <w:rPr>
                <w:rFonts w:cs="Arial"/>
                <w:sz w:val="18"/>
                <w:szCs w:val="18"/>
              </w:rPr>
            </w:pPr>
            <w:r>
              <w:rPr>
                <w:rFonts w:cs="Arial"/>
                <w:sz w:val="18"/>
                <w:szCs w:val="18"/>
              </w:rPr>
              <w:tab/>
            </w:r>
          </w:p>
          <w:p>
            <w:pPr>
              <w:spacing w:line="360" w:lineRule="auto"/>
              <w:ind w:firstLine="360"/>
              <w:jc w:val="left"/>
              <w:rPr>
                <w:rFonts w:cs="Arial"/>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cs="Arial"/>
                <w:sz w:val="18"/>
                <w:szCs w:val="18"/>
              </w:rPr>
              <w:t>线上确认）：</w:t>
            </w:r>
          </w:p>
          <w:p>
            <w:pPr>
              <w:spacing w:line="360" w:lineRule="auto"/>
              <w:ind w:firstLine="360"/>
              <w:jc w:val="left"/>
              <w:rPr>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dit="readOnly" w:enforcement="1" w:cryptProviderType="rsaFull" w:cryptAlgorithmClass="hash" w:cryptAlgorithmType="typeAny" w:cryptAlgorithmSid="4" w:cryptSpinCount="0" w:hash="4/3uEv81SdkxXYgxtsxLi6czMCY=" w:salt="Ds8Ih1h2WjHC/qN/eQt0cg=="/>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20A6A96"/>
    <w:rsid w:val="0356786B"/>
    <w:rsid w:val="03841BC8"/>
    <w:rsid w:val="046E31C1"/>
    <w:rsid w:val="056C4F65"/>
    <w:rsid w:val="05883C21"/>
    <w:rsid w:val="05B437EC"/>
    <w:rsid w:val="05B80C59"/>
    <w:rsid w:val="06F4696E"/>
    <w:rsid w:val="07245E56"/>
    <w:rsid w:val="072779FF"/>
    <w:rsid w:val="0BE22C8C"/>
    <w:rsid w:val="0C023D8C"/>
    <w:rsid w:val="0E94232E"/>
    <w:rsid w:val="0F1306D5"/>
    <w:rsid w:val="10134CDE"/>
    <w:rsid w:val="11295396"/>
    <w:rsid w:val="12432CFD"/>
    <w:rsid w:val="15DC4082"/>
    <w:rsid w:val="163E2FB7"/>
    <w:rsid w:val="18435CDA"/>
    <w:rsid w:val="1A48157B"/>
    <w:rsid w:val="1ABE2ED9"/>
    <w:rsid w:val="1B063B77"/>
    <w:rsid w:val="1BD70953"/>
    <w:rsid w:val="1BF87698"/>
    <w:rsid w:val="1C78144D"/>
    <w:rsid w:val="1E585AB7"/>
    <w:rsid w:val="1EB160C2"/>
    <w:rsid w:val="1FF145B9"/>
    <w:rsid w:val="2193546F"/>
    <w:rsid w:val="23083986"/>
    <w:rsid w:val="23AF29A3"/>
    <w:rsid w:val="24924C8F"/>
    <w:rsid w:val="25675458"/>
    <w:rsid w:val="25B4793C"/>
    <w:rsid w:val="26123FD6"/>
    <w:rsid w:val="26F50BA9"/>
    <w:rsid w:val="26F76007"/>
    <w:rsid w:val="29026D00"/>
    <w:rsid w:val="29E312BB"/>
    <w:rsid w:val="2A0E468C"/>
    <w:rsid w:val="2A642791"/>
    <w:rsid w:val="2AF97B0C"/>
    <w:rsid w:val="2B590E2A"/>
    <w:rsid w:val="2EA644DF"/>
    <w:rsid w:val="2FB532A0"/>
    <w:rsid w:val="2FE14D58"/>
    <w:rsid w:val="319C4BEA"/>
    <w:rsid w:val="3283538E"/>
    <w:rsid w:val="33DA2E89"/>
    <w:rsid w:val="34B41D11"/>
    <w:rsid w:val="34C829B2"/>
    <w:rsid w:val="35381804"/>
    <w:rsid w:val="35BB4194"/>
    <w:rsid w:val="386A3F56"/>
    <w:rsid w:val="3A810EF7"/>
    <w:rsid w:val="3C3802E9"/>
    <w:rsid w:val="3E0C1771"/>
    <w:rsid w:val="3E421485"/>
    <w:rsid w:val="3E586AB8"/>
    <w:rsid w:val="3E5C1B1D"/>
    <w:rsid w:val="3EAE14E9"/>
    <w:rsid w:val="3FA22D5A"/>
    <w:rsid w:val="3FD261A6"/>
    <w:rsid w:val="42626C92"/>
    <w:rsid w:val="42EB2F9C"/>
    <w:rsid w:val="44066C13"/>
    <w:rsid w:val="45226963"/>
    <w:rsid w:val="469F5C49"/>
    <w:rsid w:val="4A3241BC"/>
    <w:rsid w:val="4BD93615"/>
    <w:rsid w:val="4C163B54"/>
    <w:rsid w:val="4C210EF5"/>
    <w:rsid w:val="4C9978BA"/>
    <w:rsid w:val="4D39606F"/>
    <w:rsid w:val="4E2912CA"/>
    <w:rsid w:val="4F8E3D4D"/>
    <w:rsid w:val="4FA308F4"/>
    <w:rsid w:val="51BA7EA1"/>
    <w:rsid w:val="51E57594"/>
    <w:rsid w:val="526123AA"/>
    <w:rsid w:val="53B3493A"/>
    <w:rsid w:val="5537323C"/>
    <w:rsid w:val="55855837"/>
    <w:rsid w:val="55974979"/>
    <w:rsid w:val="56503211"/>
    <w:rsid w:val="57BD5DAE"/>
    <w:rsid w:val="598B567E"/>
    <w:rsid w:val="5ABF2AC0"/>
    <w:rsid w:val="5BA577EB"/>
    <w:rsid w:val="5C624734"/>
    <w:rsid w:val="5FE91ABC"/>
    <w:rsid w:val="60D42826"/>
    <w:rsid w:val="628E734C"/>
    <w:rsid w:val="656B1A72"/>
    <w:rsid w:val="6580603B"/>
    <w:rsid w:val="668D7D31"/>
    <w:rsid w:val="68B96EA7"/>
    <w:rsid w:val="68C7223A"/>
    <w:rsid w:val="68EF6886"/>
    <w:rsid w:val="691F5BB5"/>
    <w:rsid w:val="694A7300"/>
    <w:rsid w:val="699457CF"/>
    <w:rsid w:val="6D9767D9"/>
    <w:rsid w:val="6FDD1093"/>
    <w:rsid w:val="709C0126"/>
    <w:rsid w:val="70D35CA6"/>
    <w:rsid w:val="712F05BE"/>
    <w:rsid w:val="722B0AD3"/>
    <w:rsid w:val="72473609"/>
    <w:rsid w:val="73EB7F47"/>
    <w:rsid w:val="76022652"/>
    <w:rsid w:val="768501BE"/>
    <w:rsid w:val="76B466CC"/>
    <w:rsid w:val="76C8601E"/>
    <w:rsid w:val="7831779D"/>
    <w:rsid w:val="7AFB44D3"/>
    <w:rsid w:val="7D80556D"/>
    <w:rsid w:val="7ED86E63"/>
    <w:rsid w:val="7F7D23B8"/>
    <w:rsid w:val="7F8A69E7"/>
    <w:rsid w:val="7FC375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79B37214-9E52-4241-8DD2-9E9CD9442006}">
  <ds:schemaRefs/>
</ds:datastoreItem>
</file>

<file path=customXml/itemProps11.xml><?xml version="1.0" encoding="utf-8"?>
<ds:datastoreItem xmlns:ds="http://schemas.openxmlformats.org/officeDocument/2006/customXml" ds:itemID="{7E5C9D84-6DB6-48FB-8632-D5279FC233C8}">
  <ds:schemaRefs/>
</ds:datastoreItem>
</file>

<file path=customXml/itemProps12.xml><?xml version="1.0" encoding="utf-8"?>
<ds:datastoreItem xmlns:ds="http://schemas.openxmlformats.org/officeDocument/2006/customXml" ds:itemID="{2108FF18-8EC8-4170-A536-1AA8E39CC797}">
  <ds:schemaRefs/>
</ds:datastoreItem>
</file>

<file path=customXml/itemProps13.xml><?xml version="1.0" encoding="utf-8"?>
<ds:datastoreItem xmlns:ds="http://schemas.openxmlformats.org/officeDocument/2006/customXml" ds:itemID="{E6D3D55C-3DD8-4C31-8069-E5508DD844FB}">
  <ds:schemaRefs/>
</ds:datastoreItem>
</file>

<file path=customXml/itemProps14.xml><?xml version="1.0" encoding="utf-8"?>
<ds:datastoreItem xmlns:ds="http://schemas.openxmlformats.org/officeDocument/2006/customXml" ds:itemID="{EC45DDBE-A426-47CA-BC62-D025DE29F1BC}">
  <ds:schemaRefs/>
</ds:datastoreItem>
</file>

<file path=customXml/itemProps15.xml><?xml version="1.0" encoding="utf-8"?>
<ds:datastoreItem xmlns:ds="http://schemas.openxmlformats.org/officeDocument/2006/customXml" ds:itemID="{BEEE0313-55EB-45FA-BBBD-C0232D367255}">
  <ds:schemaRefs/>
</ds:datastoreItem>
</file>

<file path=customXml/itemProps16.xml><?xml version="1.0" encoding="utf-8"?>
<ds:datastoreItem xmlns:ds="http://schemas.openxmlformats.org/officeDocument/2006/customXml" ds:itemID="{1A3BDF38-4832-4575-A8AB-7A1679738229}">
  <ds:schemaRefs/>
</ds:datastoreItem>
</file>

<file path=customXml/itemProps17.xml><?xml version="1.0" encoding="utf-8"?>
<ds:datastoreItem xmlns:ds="http://schemas.openxmlformats.org/officeDocument/2006/customXml" ds:itemID="{CF487381-D648-48A1-B1E4-A4540B0D3650}">
  <ds:schemaRefs/>
</ds:datastoreItem>
</file>

<file path=customXml/itemProps18.xml><?xml version="1.0" encoding="utf-8"?>
<ds:datastoreItem xmlns:ds="http://schemas.openxmlformats.org/officeDocument/2006/customXml" ds:itemID="{509BA638-9D3A-4AA3-A169-FF78BC0E4BE9}">
  <ds:schemaRefs/>
</ds:datastoreItem>
</file>

<file path=customXml/itemProps2.xml><?xml version="1.0" encoding="utf-8"?>
<ds:datastoreItem xmlns:ds="http://schemas.openxmlformats.org/officeDocument/2006/customXml" ds:itemID="{AC86F3EB-DB57-4B60-8A7E-BBB67A22EE0B}">
  <ds:schemaRefs/>
</ds:datastoreItem>
</file>

<file path=customXml/itemProps3.xml><?xml version="1.0" encoding="utf-8"?>
<ds:datastoreItem xmlns:ds="http://schemas.openxmlformats.org/officeDocument/2006/customXml" ds:itemID="{D902962D-C8CC-43BF-804A-CD60AE6D7475}">
  <ds:schemaRefs/>
</ds:datastoreItem>
</file>

<file path=customXml/itemProps4.xml><?xml version="1.0" encoding="utf-8"?>
<ds:datastoreItem xmlns:ds="http://schemas.openxmlformats.org/officeDocument/2006/customXml" ds:itemID="{0A7AA9EF-3B8C-4BAA-9155-A6E3E5337D3C}">
  <ds:schemaRefs/>
</ds:datastoreItem>
</file>

<file path=customXml/itemProps5.xml><?xml version="1.0" encoding="utf-8"?>
<ds:datastoreItem xmlns:ds="http://schemas.openxmlformats.org/officeDocument/2006/customXml" ds:itemID="{3A3C3A8D-C5E4-45AF-8B48-C3BF528808AD}">
  <ds:schemaRefs/>
</ds:datastoreItem>
</file>

<file path=customXml/itemProps6.xml><?xml version="1.0" encoding="utf-8"?>
<ds:datastoreItem xmlns:ds="http://schemas.openxmlformats.org/officeDocument/2006/customXml" ds:itemID="{A06CD169-7F5C-4082-81B2-6ECAA9AF6149}">
  <ds:schemaRefs/>
</ds:datastoreItem>
</file>

<file path=customXml/itemProps7.xml><?xml version="1.0" encoding="utf-8"?>
<ds:datastoreItem xmlns:ds="http://schemas.openxmlformats.org/officeDocument/2006/customXml" ds:itemID="{1990A2D8-324F-45D5-B9CD-07245ED2860B}">
  <ds:schemaRefs/>
</ds:datastoreItem>
</file>

<file path=customXml/itemProps8.xml><?xml version="1.0" encoding="utf-8"?>
<ds:datastoreItem xmlns:ds="http://schemas.openxmlformats.org/officeDocument/2006/customXml" ds:itemID="{9114D43D-ED98-4C7B-A3AE-26D78B80CA82}">
  <ds:schemaRefs/>
</ds:datastoreItem>
</file>

<file path=customXml/itemProps9.xml><?xml version="1.0" encoding="utf-8"?>
<ds:datastoreItem xmlns:ds="http://schemas.openxmlformats.org/officeDocument/2006/customXml" ds:itemID="{1EEDD527-97BA-47F6-B37E-95B51416FA3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32</Pages>
  <Words>3557</Words>
  <Characters>20276</Characters>
  <Lines>168</Lines>
  <Paragraphs>47</Paragraphs>
  <TotalTime>2</TotalTime>
  <ScaleCrop>false</ScaleCrop>
  <LinksUpToDate>false</LinksUpToDate>
  <CharactersWithSpaces>23786</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2024-03-04T02:34:00Z</dcterms:created>
  <dc:creator>张淼雯</dc:creator>
  <cp:lastModifiedBy>cib</cp:lastModifiedBy>
  <cp:lastPrinted>2020-09-21T06:35:00Z</cp:lastPrinted>
  <dcterms:modified xsi:type="dcterms:W3CDTF">2026-06-17T09:35:21Z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E7753498575549C58E5916A0AC4FD49A_13</vt:lpwstr>
  </property>
</Properties>
</file>