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【上银理财“美好”系列稳健封闭式理财产品WPWF26M13039期】</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理财产品托管人：【上海银行股份有限公司】</w:t>
      </w:r>
    </w:p>
    <w:p>
      <w:pPr>
        <w:rPr>
          <w:rFonts w:hint="eastAsia" w:ascii="黑体" w:hAnsi="黑体" w:eastAsia="黑体" w:cs="Arial"/>
          <w:b/>
          <w:bCs/>
          <w:sz w:val="24"/>
          <w:szCs w:val="24"/>
        </w:rPr>
      </w:pPr>
      <w:r>
        <w:rPr>
          <w:rFonts w:hint="eastAsia" w:ascii="黑体" w:hAnsi="黑体" w:eastAsia="黑体" w:cs="Arial"/>
          <w:b/>
          <w:bCs/>
          <w:sz w:val="24"/>
          <w:szCs w:val="24"/>
        </w:rPr>
        <w:br w:type="page"/>
      </w:r>
    </w:p>
    <w:p>
      <w:pPr>
        <w:rPr>
          <w:rFonts w:ascii="黑体" w:hAnsi="黑体" w:eastAsia="黑体" w:cs="Arial"/>
          <w:b/>
          <w:bCs/>
          <w:sz w:val="20"/>
          <w:szCs w:val="20"/>
        </w:rPr>
      </w:pPr>
      <w:r>
        <w:rPr>
          <w:rFonts w:hint="eastAsia" w:ascii="黑体" w:hAnsi="黑体" w:eastAsia="黑体" w:cs="Arial"/>
          <w:b/>
          <w:bCs/>
          <w:sz w:val="20"/>
          <w:szCs w:val="20"/>
        </w:rPr>
        <w:t>产品登记编码：【Z7007126000148】</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snapToGrid w:val="0"/>
        <w:spacing w:line="360" w:lineRule="auto"/>
        <w:jc w:val="center"/>
        <w:rPr>
          <w:rFonts w:ascii="楷体_GB2312" w:hAnsi="宋体" w:eastAsia="楷体_GB2312"/>
          <w:b/>
          <w:bCs/>
          <w:sz w:val="30"/>
          <w:szCs w:val="30"/>
        </w:rPr>
      </w:pPr>
    </w:p>
    <w:p>
      <w:pPr>
        <w:snapToGrid w:val="0"/>
        <w:spacing w:line="360" w:lineRule="auto"/>
        <w:jc w:val="center"/>
        <w:rPr>
          <w:rFonts w:ascii="楷体_GB2312" w:hAnsi="宋体" w:eastAsia="楷体_GB2312"/>
          <w:b/>
          <w:bCs/>
          <w:sz w:val="30"/>
          <w:szCs w:val="30"/>
        </w:rPr>
      </w:pP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【上银理财“美好”系列稳健封闭式理财产品WPWF26M13039期】</w:t>
      </w: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【WPWF26M13039】）</w:t>
      </w:r>
    </w:p>
    <w:p>
      <w:pPr>
        <w:ind w:firstLine="720"/>
        <w:jc w:val="center"/>
        <w:rPr>
          <w:rFonts w:ascii="黑体" w:hAnsi="黑体" w:eastAsia="黑体"/>
          <w:b/>
          <w:bCs/>
          <w:sz w:val="28"/>
        </w:rPr>
      </w:pPr>
    </w:p>
    <w:p>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指【上海银行股份有限公司】。</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指《【上银理财“美好”系列稳健封闭式理财产品WPWF26M13039期】产品说明书》，以及对该文件的有效修改或补充。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指《【上银理财“美好”系列稳健封闭式理财产品WPWF26M13039期】风险揭示书》，以及对该文件的有效修改或补充。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指【上银理财“美好”系列稳健封闭式理财产品WPWF26M13039期】。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理财产品名称</w:t>
            </w:r>
          </w:p>
        </w:tc>
        <w:tc>
          <w:tcPr>
            <w:tcW w:w="6146" w:type="dxa"/>
          </w:tcPr>
          <w:p>
            <w:pPr>
              <w:rPr>
                <w:rFonts w:hint="eastAsia" w:ascii="楷体" w:hAnsi="楷体" w:eastAsia="楷体" w:cs="楷体"/>
              </w:rPr>
            </w:pPr>
            <w:r>
              <w:rPr>
                <w:rFonts w:hint="eastAsia" w:ascii="楷体" w:hAnsi="楷体" w:eastAsia="楷体" w:cs="楷体"/>
              </w:rPr>
              <w:t>【上银理财“美好”系列稳健封闭式理财产品WPWF26M13039期】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产品销售名称</w:t>
            </w:r>
          </w:p>
        </w:tc>
        <w:tc>
          <w:tcPr>
            <w:tcW w:w="6146" w:type="dxa"/>
          </w:tcPr>
          <w:p>
            <w:pPr>
              <w:rPr>
                <w:rFonts w:hint="eastAsia" w:ascii="楷体" w:hAnsi="楷体" w:eastAsia="楷体" w:cs="楷体"/>
              </w:rPr>
            </w:pPr>
            <w:r>
              <w:rPr>
                <w:rFonts w:hint="eastAsia" w:ascii="楷体" w:hAnsi="楷体" w:eastAsia="楷体" w:cs="楷体"/>
              </w:rPr>
              <w:t>【上银理财美好稳健封闭13个月95期（浙BA专享）】，适用于【E】类份额。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pPr>
              <w:rPr>
                <w:rFonts w:hint="eastAsia" w:ascii="楷体" w:hAnsi="楷体" w:eastAsia="楷体" w:cs="楷体"/>
              </w:rPr>
            </w:pPr>
            <w:r>
              <w:rPr>
                <w:rFonts w:hint="eastAsia" w:ascii="楷体" w:hAnsi="楷体" w:eastAsia="楷体" w:cs="楷体"/>
              </w:rPr>
              <w:t>【Z7007126000148】</w:t>
            </w:r>
          </w:p>
          <w:p>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产品代码</w:t>
            </w:r>
          </w:p>
        </w:tc>
        <w:tc>
          <w:tcPr>
            <w:tcW w:w="6146" w:type="dxa"/>
          </w:tcPr>
          <w:p>
            <w:pPr>
              <w:rPr>
                <w:rFonts w:hint="eastAsia" w:ascii="楷体" w:hAnsi="楷体" w:eastAsia="楷体" w:cs="楷体"/>
              </w:rPr>
            </w:pPr>
            <w:r>
              <w:rPr>
                <w:rFonts w:hint="eastAsia" w:ascii="楷体" w:hAnsi="楷体" w:eastAsia="楷体" w:cs="楷体"/>
              </w:rPr>
              <w:t>【WPWF26M13039】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销售代码</w:t>
            </w:r>
          </w:p>
        </w:tc>
        <w:tc>
          <w:tcPr>
            <w:tcW w:w="6146" w:type="dxa"/>
          </w:tcPr>
          <w:p>
            <w:pPr>
              <w:rPr>
                <w:rFonts w:hint="eastAsia" w:ascii="楷体" w:hAnsi="楷体" w:eastAsia="楷体" w:cs="楷体"/>
              </w:rPr>
            </w:pPr>
            <w:r>
              <w:rPr>
                <w:rFonts w:hint="eastAsia" w:ascii="楷体" w:hAnsi="楷体" w:eastAsia="楷体" w:cs="楷体"/>
              </w:rPr>
              <w:t>【E】类份额，【WPWF26M13039E】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产品份额类别</w:t>
            </w:r>
          </w:p>
        </w:tc>
        <w:tc>
          <w:tcPr>
            <w:tcW w:w="6146" w:type="dxa"/>
          </w:tcPr>
          <w:p>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pPr>
              <w:widowControl/>
              <w:jc w:val="left"/>
              <w:rPr>
                <w:rFonts w:hint="eastAsia" w:ascii="楷体" w:hAnsi="楷体" w:eastAsia="楷体" w:cs="楷体"/>
                <w:lang w:bidi="ar"/>
              </w:rPr>
            </w:pPr>
            <w:r>
              <w:rPr>
                <w:rFonts w:hint="eastAsia" w:ascii="楷体" w:hAnsi="楷体" w:eastAsia="楷体" w:cs="楷体"/>
                <w:lang w:bidi="ar"/>
              </w:rPr>
              <w:t>（2）销售代码</w:t>
            </w:r>
          </w:p>
          <w:p>
            <w:pPr>
              <w:widowControl/>
              <w:jc w:val="left"/>
              <w:rPr>
                <w:rFonts w:hint="eastAsia" w:ascii="楷体" w:hAnsi="楷体" w:eastAsia="楷体" w:cs="楷体"/>
                <w:lang w:bidi="ar"/>
              </w:rPr>
            </w:pPr>
            <w:r>
              <w:rPr>
                <w:rFonts w:hint="eastAsia" w:ascii="楷体" w:hAnsi="楷体" w:eastAsia="楷体" w:cs="楷体"/>
                <w:lang w:bidi="ar"/>
              </w:rPr>
              <w:t>（3）销售机构</w:t>
            </w:r>
          </w:p>
          <w:p>
            <w:pPr>
              <w:widowControl/>
              <w:jc w:val="left"/>
              <w:rPr>
                <w:rFonts w:hint="eastAsia" w:ascii="楷体" w:hAnsi="楷体" w:eastAsia="楷体" w:cs="楷体"/>
              </w:rPr>
            </w:pPr>
            <w:r>
              <w:rPr>
                <w:rFonts w:hint="eastAsia" w:ascii="楷体" w:hAnsi="楷体" w:eastAsia="楷体" w:cs="楷体"/>
                <w:lang w:bidi="ar"/>
              </w:rPr>
              <w:t>（4）发售对象</w:t>
            </w:r>
          </w:p>
          <w:p>
            <w:pPr>
              <w:widowControl/>
              <w:jc w:val="left"/>
              <w:rPr>
                <w:rFonts w:hint="eastAsia" w:ascii="楷体" w:hAnsi="楷体" w:eastAsia="楷体" w:cs="楷体"/>
              </w:rPr>
            </w:pPr>
            <w:r>
              <w:rPr>
                <w:rFonts w:hint="eastAsia" w:ascii="楷体" w:hAnsi="楷体" w:eastAsia="楷体" w:cs="楷体"/>
                <w:lang w:bidi="ar"/>
              </w:rPr>
              <w:t>（5）费率设置</w:t>
            </w:r>
          </w:p>
          <w:p>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pPr>
              <w:widowControl/>
              <w:jc w:val="left"/>
              <w:rPr>
                <w:rFonts w:hint="eastAsia" w:ascii="楷体" w:hAnsi="楷体" w:eastAsia="楷体" w:cs="楷体"/>
                <w:lang w:bidi="ar"/>
              </w:rPr>
            </w:pPr>
            <w:r>
              <w:rPr>
                <w:rFonts w:hint="eastAsia" w:ascii="楷体" w:hAnsi="楷体" w:eastAsia="楷体" w:cs="楷体"/>
                <w:lang w:bidi="ar"/>
              </w:rPr>
              <w:t>（7）业绩比较基准</w:t>
            </w:r>
          </w:p>
          <w:p>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pPr>
              <w:widowControl/>
              <w:jc w:val="left"/>
              <w:rPr>
                <w:rFonts w:hint="eastAsia" w:ascii="楷体" w:hAnsi="楷体" w:eastAsia="楷体" w:cs="楷体"/>
              </w:rPr>
            </w:pPr>
            <w:r>
              <w:rPr>
                <w:rFonts w:hint="eastAsia" w:ascii="楷体" w:hAnsi="楷体" w:eastAsia="楷体" w:cs="楷体"/>
                <w:lang w:bidi="ar"/>
              </w:rPr>
              <w:t xml:space="preserve">（11）产品规模上限 </w:t>
            </w:r>
          </w:p>
          <w:p>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募集方式</w:t>
            </w:r>
          </w:p>
        </w:tc>
        <w:tc>
          <w:tcPr>
            <w:tcW w:w="6146" w:type="dxa"/>
          </w:tcPr>
          <w:p>
            <w:pPr>
              <w:rPr>
                <w:rFonts w:hint="eastAsia" w:ascii="楷体" w:hAnsi="楷体" w:eastAsia="楷体" w:cs="楷体"/>
              </w:rPr>
            </w:pPr>
            <w:r>
              <w:rPr>
                <w:rFonts w:hint="eastAsia" w:ascii="楷体" w:hAnsi="楷体" w:eastAsia="楷体" w:cs="楷体"/>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pPr>
              <w:rPr>
                <w:rFonts w:hint="eastAsia" w:ascii="楷体" w:hAnsi="楷体" w:eastAsia="楷体" w:cs="楷体"/>
                <w:highlight w:val="none"/>
              </w:rPr>
            </w:pPr>
            <w:r>
              <w:rPr>
                <w:rFonts w:hint="eastAsia" w:ascii="楷体" w:hAnsi="楷体" w:eastAsia="楷体" w:cs="楷体"/>
                <w:highlight w:val="none"/>
              </w:rPr>
              <w:t>封闭式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产品类型</w:t>
            </w:r>
          </w:p>
        </w:tc>
        <w:tc>
          <w:tcPr>
            <w:tcW w:w="6146" w:type="dxa"/>
          </w:tcPr>
          <w:p>
            <w:pPr>
              <w:rPr>
                <w:rFonts w:hint="eastAsia" w:ascii="楷体" w:hAnsi="楷体" w:eastAsia="楷体" w:cs="楷体"/>
                <w:b/>
                <w:bCs/>
              </w:rPr>
            </w:pPr>
            <w:r>
              <w:rPr>
                <w:rFonts w:hint="eastAsia" w:ascii="楷体" w:hAnsi="楷体" w:eastAsia="楷体" w:cs="楷体"/>
                <w:b/>
                <w:bCs/>
              </w:rPr>
              <w:t>固定收益类</w:t>
            </w:r>
          </w:p>
          <w:p>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产品收益类型</w:t>
            </w:r>
          </w:p>
        </w:tc>
        <w:tc>
          <w:tcPr>
            <w:tcW w:w="6146" w:type="dxa"/>
          </w:tcPr>
          <w:p>
            <w:pPr>
              <w:rPr>
                <w:rFonts w:hint="eastAsia" w:ascii="楷体" w:hAnsi="楷体" w:eastAsia="楷体" w:cs="楷体"/>
                <w:b/>
                <w:bCs/>
              </w:rPr>
            </w:pPr>
            <w:r>
              <w:rPr>
                <w:rFonts w:hint="eastAsia" w:ascii="楷体" w:hAnsi="楷体" w:eastAsia="楷体" w:cs="楷体"/>
                <w:b/>
                <w:bCs/>
                <w:color w:val="C00000"/>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投资及收益币种</w:t>
            </w:r>
          </w:p>
        </w:tc>
        <w:tc>
          <w:tcPr>
            <w:tcW w:w="6146" w:type="dxa"/>
          </w:tcPr>
          <w:p>
            <w:pPr>
              <w:rPr>
                <w:rFonts w:hint="eastAsia" w:ascii="楷体" w:hAnsi="楷体" w:eastAsia="楷体" w:cs="楷体"/>
                <w:b/>
                <w:bCs/>
              </w:rPr>
            </w:pPr>
            <w:r>
              <w:rPr>
                <w:rFonts w:hint="eastAsia" w:ascii="楷体" w:hAnsi="楷体" w:eastAsia="楷体" w:cs="楷体"/>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产品风险评级</w:t>
            </w:r>
          </w:p>
        </w:tc>
        <w:tc>
          <w:tcPr>
            <w:tcW w:w="6146" w:type="dxa"/>
          </w:tcPr>
          <w:p>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销售对象</w:t>
            </w:r>
          </w:p>
        </w:tc>
        <w:tc>
          <w:tcPr>
            <w:tcW w:w="6146" w:type="dxa"/>
          </w:tcPr>
          <w:p>
            <w:pPr>
              <w:rPr>
                <w:rFonts w:hint="eastAsia" w:ascii="楷体" w:hAnsi="楷体" w:eastAsia="楷体" w:cs="楷体"/>
              </w:rPr>
            </w:pPr>
            <w:r>
              <w:rPr>
                <w:rFonts w:hint="eastAsia" w:ascii="楷体" w:hAnsi="楷体" w:eastAsia="楷体" w:cs="楷体"/>
              </w:rPr>
              <w:t>本产品适合以下类型投资者：</w:t>
            </w:r>
          </w:p>
          <w:p>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销售场景</w:t>
            </w:r>
          </w:p>
        </w:tc>
        <w:tc>
          <w:tcPr>
            <w:tcW w:w="6146" w:type="dxa"/>
          </w:tcPr>
          <w:p>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pPr>
              <w:rPr>
                <w:rFonts w:hint="eastAsia" w:ascii="楷体" w:hAnsi="楷体" w:eastAsia="楷体" w:cs="楷体"/>
              </w:rPr>
            </w:pPr>
            <w:r>
              <w:rPr>
                <w:rFonts w:hint="eastAsia" w:ascii="楷体" w:hAnsi="楷体" w:eastAsia="楷体" w:cs="楷体"/>
              </w:rPr>
              <w:t>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销售机构</w:t>
            </w:r>
          </w:p>
        </w:tc>
        <w:tc>
          <w:tcPr>
            <w:tcW w:w="6146" w:type="dxa"/>
          </w:tcPr>
          <w:p>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rPr>
            </w:pPr>
            <w:r>
              <w:rPr>
                <w:rFonts w:hint="eastAsia" w:ascii="楷体" w:hAnsi="楷体" w:eastAsia="楷体" w:cs="楷体"/>
              </w:rPr>
              <w:t xml:space="preserve">本产品由产品管理人销售。 </w:t>
            </w:r>
          </w:p>
          <w:p>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pPr>
              <w:rPr>
                <w:rFonts w:hint="eastAsia" w:ascii="楷体" w:hAnsi="楷体" w:eastAsia="楷体" w:cs="楷体"/>
              </w:rPr>
            </w:pPr>
            <w:r>
              <w:rPr>
                <w:rFonts w:hint="eastAsia" w:ascii="楷体" w:hAnsi="楷体" w:eastAsia="楷体" w:cs="楷体"/>
              </w:rPr>
              <w:t xml:space="preserve">本产品由代理销售机构销售。 </w:t>
            </w:r>
          </w:p>
          <w:p>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发售对象</w:t>
            </w:r>
          </w:p>
        </w:tc>
        <w:tc>
          <w:tcPr>
            <w:tcW w:w="6146" w:type="dxa"/>
          </w:tcPr>
          <w:p>
            <w:pPr>
              <w:numPr>
                <w:ilvl w:val="12"/>
                <w:numId w:val="0"/>
              </w:numPr>
              <w:rPr>
                <w:rFonts w:hint="eastAsia" w:ascii="楷体" w:hAnsi="楷体" w:eastAsia="楷体" w:cs="楷体"/>
              </w:rPr>
            </w:pPr>
            <w:r>
              <w:rPr>
                <w:rFonts w:hint="eastAsia" w:ascii="楷体" w:hAnsi="楷体" w:eastAsia="楷体" w:cs="楷体"/>
              </w:rPr>
              <w:t>【E】类份额：【个人客户、机构客户】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发行规模上限</w:t>
            </w:r>
          </w:p>
        </w:tc>
        <w:tc>
          <w:tcPr>
            <w:tcW w:w="6146" w:type="dxa"/>
          </w:tcPr>
          <w:p>
            <w:pPr>
              <w:numPr>
                <w:ilvl w:val="12"/>
                <w:numId w:val="0"/>
              </w:numPr>
              <w:rPr>
                <w:rFonts w:hint="eastAsia" w:ascii="楷体" w:hAnsi="楷体" w:eastAsia="楷体" w:cs="楷体"/>
              </w:rPr>
            </w:pPr>
            <w:r>
              <w:rPr>
                <w:rFonts w:hint="eastAsia" w:ascii="楷体" w:hAnsi="楷体" w:eastAsia="楷体" w:cs="楷体"/>
              </w:rPr>
              <w:t>发行规模上限【30.00亿元】。</w:t>
            </w:r>
          </w:p>
          <w:p>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最低发行规模</w:t>
            </w:r>
          </w:p>
        </w:tc>
        <w:tc>
          <w:tcPr>
            <w:tcW w:w="6146" w:type="dxa"/>
          </w:tcPr>
          <w:p>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产品期限</w:t>
            </w:r>
          </w:p>
        </w:tc>
        <w:tc>
          <w:tcPr>
            <w:tcW w:w="6146" w:type="dxa"/>
          </w:tcPr>
          <w:p>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【389天】</w:t>
            </w:r>
          </w:p>
          <w:p>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pPr>
              <w:rPr>
                <w:rFonts w:hint="eastAsia" w:ascii="楷体" w:hAnsi="楷体" w:eastAsia="楷体" w:cs="楷体"/>
                <w:highlight w:val="none"/>
              </w:rPr>
            </w:pPr>
            <w:r>
              <w:rPr>
                <w:rFonts w:hint="eastAsia" w:ascii="楷体" w:hAnsi="楷体" w:eastAsia="楷体" w:cs="楷体"/>
                <w:highlight w:val="none"/>
              </w:rPr>
              <w:t>【2026】年【07】月【01】日【08:00】至【2026】年【07】月【09】日【17:00】。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产品成立日</w:t>
            </w:r>
          </w:p>
        </w:tc>
        <w:tc>
          <w:tcPr>
            <w:tcW w:w="6146" w:type="dxa"/>
          </w:tcPr>
          <w:p>
            <w:pPr>
              <w:rPr>
                <w:rFonts w:hint="eastAsia" w:ascii="楷体" w:hAnsi="楷体" w:eastAsia="楷体" w:cs="楷体"/>
              </w:rPr>
            </w:pPr>
            <w:r>
              <w:rPr>
                <w:rFonts w:hint="eastAsia" w:ascii="楷体" w:hAnsi="楷体" w:eastAsia="楷体" w:cs="楷体"/>
              </w:rPr>
              <w:t>【2026】年【07】月【10】日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产品预计到期日</w:t>
            </w:r>
          </w:p>
        </w:tc>
        <w:tc>
          <w:tcPr>
            <w:tcW w:w="6146" w:type="dxa"/>
          </w:tcPr>
          <w:p>
            <w:pPr>
              <w:rPr>
                <w:rFonts w:hint="eastAsia" w:ascii="楷体" w:hAnsi="楷体" w:eastAsia="楷体" w:cs="楷体"/>
              </w:rPr>
            </w:pPr>
            <w:r>
              <w:rPr>
                <w:rFonts w:hint="eastAsia" w:ascii="楷体" w:hAnsi="楷体" w:eastAsia="楷体" w:cs="楷体"/>
              </w:rPr>
              <w:t>【2027】年【08】月【03】日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产品实际到期日</w:t>
            </w:r>
          </w:p>
        </w:tc>
        <w:tc>
          <w:tcPr>
            <w:tcW w:w="6146" w:type="dxa"/>
          </w:tcPr>
          <w:p>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pPr>
              <w:rPr>
                <w:rFonts w:hint="eastAsia" w:ascii="楷体" w:hAnsi="楷体" w:eastAsia="楷体" w:cs="楷体"/>
              </w:rPr>
            </w:pPr>
            <w:r>
              <w:rPr>
                <w:rFonts w:hint="eastAsia" w:ascii="楷体" w:hAnsi="楷体" w:eastAsia="楷体" w:cs="楷体"/>
                <w:szCs w:val="21"/>
              </w:rPr>
              <w:t>产品初始份额净值为1元/份。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购买规则</w:t>
            </w:r>
          </w:p>
        </w:tc>
        <w:tc>
          <w:tcPr>
            <w:tcW w:w="6146" w:type="dxa"/>
          </w:tcPr>
          <w:p>
            <w:pPr>
              <w:numPr>
                <w:ilvl w:val="12"/>
                <w:numId w:val="0"/>
              </w:numPr>
              <w:tabs>
                <w:tab w:val="left" w:pos="360"/>
              </w:tabs>
              <w:rPr>
                <w:rFonts w:hint="eastAsia" w:ascii="楷体" w:hAnsi="楷体" w:eastAsia="楷体" w:cs="楷体"/>
              </w:rPr>
            </w:pPr>
            <w:r>
              <w:rPr>
                <w:rFonts w:hint="eastAsia" w:ascii="楷体" w:hAnsi="楷体" w:eastAsia="楷体" w:cs="楷体"/>
                <w:szCs w:val="21"/>
              </w:rPr>
              <w:t>（适用【E】类份额）</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单户累计最大购买金额为【1.00亿元】。</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pPr>
              <w:rPr>
                <w:rFonts w:hint="eastAsia" w:ascii="楷体" w:hAnsi="楷体" w:eastAsia="楷体" w:cs="楷体"/>
                <w:color w:val="000000"/>
                <w:szCs w:val="21"/>
              </w:rPr>
            </w:pPr>
            <w:r>
              <w:rPr>
                <w:rFonts w:hint="eastAsia" w:ascii="楷体" w:hAnsi="楷体" w:eastAsia="楷体" w:cs="楷体"/>
                <w:szCs w:val="21"/>
              </w:rPr>
              <w:t>（适用【E】类份额）</w:t>
            </w:r>
          </w:p>
          <w:p>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pPr>
              <w:rPr>
                <w:rFonts w:hint="eastAsia" w:ascii="楷体" w:hAnsi="楷体" w:eastAsia="楷体" w:cs="楷体"/>
                <w:b/>
                <w:bCs/>
                <w:szCs w:val="21"/>
              </w:rPr>
            </w:pPr>
            <w:r>
              <w:rPr>
                <w:rFonts w:hint="eastAsia" w:ascii="楷体" w:hAnsi="楷体" w:eastAsia="楷体" w:cs="楷体"/>
                <w:b/>
                <w:bCs/>
                <w:szCs w:val="21"/>
              </w:rPr>
              <w:t>【E】类份额：【2.45%】</w:t>
            </w:r>
          </w:p>
          <w:p>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（适用【E】类份额）</w:t>
            </w:r>
          </w:p>
          <w:p>
            <w:pPr>
              <w:numPr>
                <w:ilvl w:val="12"/>
                <w:numId w:val="0"/>
              </w:numPr>
              <w:rPr>
                <w:rFonts w:hint="eastAsia" w:ascii="楷体" w:hAnsi="楷体" w:eastAsia="楷体" w:cs="楷体"/>
                <w:b/>
                <w:bCs/>
              </w:rPr>
            </w:pPr>
            <w:r>
              <w:rPr>
                <w:rFonts w:hint="eastAsia" w:ascii="楷体" w:hAnsi="楷体" w:eastAsia="楷体" w:cs="楷体"/>
                <w:b/>
                <w:bCs/>
              </w:rPr>
              <w:t>1、理财产品费用：</w:t>
            </w:r>
          </w:p>
          <w:p>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本金及理财收益</w:t>
            </w:r>
          </w:p>
        </w:tc>
        <w:tc>
          <w:tcPr>
            <w:tcW w:w="6146" w:type="dxa"/>
          </w:tcPr>
          <w:p>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rPr>
            </w:pPr>
            <w:r>
              <w:rPr>
                <w:rFonts w:hint="eastAsia" w:ascii="楷体" w:hAnsi="楷体" w:eastAsia="楷体" w:cs="楷体"/>
                <w:b/>
                <w:bCs/>
              </w:rPr>
              <w:t>收益计算基础</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其他税费</w:t>
            </w:r>
          </w:p>
        </w:tc>
        <w:tc>
          <w:tcPr>
            <w:tcW w:w="6146" w:type="dxa"/>
          </w:tcPr>
          <w:p>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理财产品管理人</w:t>
            </w:r>
          </w:p>
        </w:tc>
        <w:tc>
          <w:tcPr>
            <w:tcW w:w="6146" w:type="dxa"/>
          </w:tcPr>
          <w:p>
            <w:pPr>
              <w:rPr>
                <w:rFonts w:hint="eastAsia" w:ascii="楷体" w:hAnsi="楷体" w:eastAsia="楷体" w:cs="楷体"/>
                <w:szCs w:val="21"/>
              </w:rPr>
            </w:pPr>
            <w:r>
              <w:rPr>
                <w:rFonts w:hint="eastAsia" w:ascii="楷体" w:hAnsi="楷体" w:eastAsia="楷体" w:cs="楷体"/>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理财产品托管人</w:t>
            </w:r>
          </w:p>
        </w:tc>
        <w:tc>
          <w:tcPr>
            <w:tcW w:w="6146" w:type="dxa"/>
          </w:tcPr>
          <w:p>
            <w:pPr>
              <w:rPr>
                <w:rFonts w:hint="eastAsia" w:ascii="楷体" w:hAnsi="楷体" w:eastAsia="楷体" w:cs="楷体"/>
                <w:szCs w:val="21"/>
              </w:rPr>
            </w:pPr>
            <w:r>
              <w:rPr>
                <w:rFonts w:hint="eastAsia" w:ascii="楷体" w:hAnsi="楷体" w:eastAsia="楷体" w:cs="楷体"/>
              </w:rPr>
              <w:t>【上海银行股份有限公司】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销售机构</w:t>
            </w:r>
          </w:p>
        </w:tc>
        <w:tc>
          <w:tcPr>
            <w:tcW w:w="6146" w:type="dxa"/>
          </w:tcPr>
          <w:p>
            <w:pPr>
              <w:rPr>
                <w:rFonts w:hint="eastAsia" w:ascii="楷体" w:hAnsi="楷体" w:eastAsia="楷体" w:cs="楷体"/>
                <w:szCs w:val="21"/>
              </w:rPr>
            </w:pPr>
            <w:r>
              <w:rPr>
                <w:rFonts w:hint="eastAsia" w:ascii="楷体" w:hAnsi="楷体" w:eastAsia="楷体" w:cs="楷体"/>
                <w:szCs w:val="21"/>
              </w:rPr>
              <w:t>【浙江杭州余杭农村商业银行股份有限公司、浙江桐庐农村商业银行股份有限公司】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pPr>
        <w:rPr>
          <w:rFonts w:hint="eastAsia" w:ascii="楷体" w:hAnsi="楷体" w:eastAsia="楷体" w:cs="楷体"/>
        </w:rPr>
      </w:pPr>
    </w:p>
    <w:p>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本产品认购期为【2026】年【07】月【01】日【08:00】至【2026】年【07】月【09】日【17:00】。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1.00亿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本理财产品的托管人为【上海银行股份有限公司】。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pPr>
        <w:widowControl/>
        <w:jc w:val="left"/>
        <w:rPr>
          <w:rFonts w:ascii="楷体_GB2312" w:hAnsi="宋体" w:eastAsia="楷体_GB2312"/>
          <w:b/>
          <w:bCs/>
          <w:szCs w:val="21"/>
        </w:rPr>
      </w:pPr>
      <w:bookmarkStart w:id="22" w:name="_GoBack"/>
      <w:bookmarkEnd w:id="22"/>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6A3C86"/>
    <w:rsid w:val="03475214"/>
    <w:rsid w:val="03553728"/>
    <w:rsid w:val="03AF7745"/>
    <w:rsid w:val="03B8476D"/>
    <w:rsid w:val="03C13544"/>
    <w:rsid w:val="03E73EE3"/>
    <w:rsid w:val="043B3086"/>
    <w:rsid w:val="04BF1BC4"/>
    <w:rsid w:val="04D21776"/>
    <w:rsid w:val="04D70C4A"/>
    <w:rsid w:val="05041024"/>
    <w:rsid w:val="05154C7F"/>
    <w:rsid w:val="051B19D2"/>
    <w:rsid w:val="0552305B"/>
    <w:rsid w:val="0556773D"/>
    <w:rsid w:val="05930739"/>
    <w:rsid w:val="05D26007"/>
    <w:rsid w:val="05F310C5"/>
    <w:rsid w:val="06490456"/>
    <w:rsid w:val="06D126F1"/>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A24FDA"/>
    <w:rsid w:val="2FE9341E"/>
    <w:rsid w:val="305D0A75"/>
    <w:rsid w:val="30700030"/>
    <w:rsid w:val="30A077C0"/>
    <w:rsid w:val="30B9611F"/>
    <w:rsid w:val="30DB4AA3"/>
    <w:rsid w:val="31C669A9"/>
    <w:rsid w:val="322B53CB"/>
    <w:rsid w:val="32756DA4"/>
    <w:rsid w:val="331154C4"/>
    <w:rsid w:val="334852FE"/>
    <w:rsid w:val="33503AE8"/>
    <w:rsid w:val="337A6C9E"/>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A943F8"/>
    <w:rsid w:val="3ED2642D"/>
    <w:rsid w:val="3EFF1F78"/>
    <w:rsid w:val="3F0315E5"/>
    <w:rsid w:val="3F1C4C8A"/>
    <w:rsid w:val="3F37769A"/>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21D11"/>
    <w:rsid w:val="5C636A95"/>
    <w:rsid w:val="5C69569F"/>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4C0028"/>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32520</Words>
  <Characters>33006</Characters>
  <Lines>244</Lines>
  <Paragraphs>68</Paragraphs>
  <TotalTime>0</TotalTime>
  <ScaleCrop>false</ScaleCrop>
  <LinksUpToDate>false</LinksUpToDate>
  <CharactersWithSpaces>33359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周 翔</cp:lastModifiedBy>
  <cp:lastPrinted>2024-07-02T09:55:00Z</cp:lastPrinted>
  <dcterms:modified xsi:type="dcterms:W3CDTF">2026-06-24T08:54:19Z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2052-11.8.2.10321</vt:lpwstr>
  </property>
</Properties>
</file>