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苏银理财恒源1年定开11期</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w:t>
      </w:r>
      <w:r>
        <w:rPr>
          <w:rFonts w:hint="eastAsia" w:ascii="楷体" w:hAnsi="楷体" w:eastAsia="楷体" w:cs="Calibri"/>
          <w:b/>
          <w:color w:val="auto"/>
          <w:sz w:val="21"/>
          <w:szCs w:val="21"/>
          <w:highlight w:val="none"/>
          <w:u w:val="single"/>
          <w:lang w:val="en-US" w:eastAsia="zh-CN"/>
        </w:rPr>
        <w:t>无固定期限</w:t>
      </w:r>
      <w:r>
        <w:rPr>
          <w:rFonts w:hint="eastAsia" w:ascii="楷体" w:hAnsi="楷体" w:eastAsia="楷体"/>
          <w:color w:val="auto"/>
          <w:sz w:val="21"/>
          <w:szCs w:val="21"/>
          <w:highlight w:val="none"/>
          <w:lang w:val="en-US" w:eastAsia="zh-CN"/>
        </w:rPr>
        <w:t>，</w:t>
      </w:r>
      <w:bookmarkStart w:id="0" w:name="_GoBack"/>
      <w:bookmarkEnd w:id="0"/>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8726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358FA"/>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DA2D9E"/>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A72C0"/>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12DEF"/>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91E32"/>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D03AB2"/>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2026-05-20T07:46:12Z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