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苏银理财恒源1年定开11期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（2026年7月版）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等。请仔细阅读《“苏银理财恒源1年定开11期”理财产品风险揭示书》的“风险揭示”部分。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苏银理财恒源1年定开11期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Z7003121000048</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A份额:苏银理财恒源1年定开11期A/JSA000000243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B份额:苏银理财恒源1年定开11期B/JSA000000244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C份额:苏银理财恒源1年定开11期C/J24333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D份额:苏银理财恒源1年定开11期D/J02455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F份额:苏银理财恒源1年定开11期F/J02456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G份额:苏银理财恒源1年定开11期G/J02457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J份额:苏银理财恒源1年定开11期J/J02458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M份额:苏银理财恒源1年定开11期M/J03390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P份额:苏银理财恒源1年定开11期P/J04914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GRC份额:苏银理财恒源1年定开11期GRC（广州农商银行专属）/J24334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GS份额:苏银理财恒源1年定开11期GS/J24335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S份额:苏银理财恒源1年定开11期S（专享）/J24336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U份额:苏银理财恒源1年定开11期U/J24337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L份额:苏银理财恒源1年定开11期L/J24338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Z份额:苏银理财恒源1年定开11期Z/J24339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Z1份额:苏银理财恒源1年定开11期Z1/J24340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Z2份额:苏银理财恒源1年定开11期Z2/J24341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ZA份额:苏银理财恒源1年定开11期ZA鑫福款（自动赎回）/J02460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ZF份额:苏银理财恒源1年定开11期ZF（自动赎回）/J02461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ZF2份额:苏银理财恒源1年定开11期ZF2（自动赎回）/J24342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ZF3份额:苏银理财恒源1年定开11期ZF3（自动赎回）/J24343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ZF4份额:苏银理财恒源1年定开11期ZF4（自动赎回）/J24344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ZF5份额:苏银理财恒源1年定开11期ZF5（自动赎回）/J24345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ZJ份额:苏银理财恒源1年定开11期ZJ（自动赎回）/J24346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ZL份额:苏银理财恒源1年定开11期ZL（自动赎回）/J24347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天府·优选份额:苏银理财恒源1年定开11期（天府·优选）/J24348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ZN份额:苏银理财恒源1年定开11期ZN（自动赎回）/J04915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ZQ份额:苏银理财恒源1年定开11期ZQ（自动赎回）/J04916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ZC份额:苏银理财恒源1年定开11期ZC鑫福优享（自动赎回）/J24349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ZK份额:苏银理财恒源1年定开11期ZK鑫福尊享（自动赎回）/J24350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GRC份额:100元/100元的整数倍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ZF3份额:100元/100元的整数倍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ZF4份额:1000元/1000元的整数倍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ZF5份额:100元/100元的整数倍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天府·优选份额:100元/100元的整数倍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2021年5月13日至2021年5月18日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2021年5月19日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2031年5月20日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最新投资周期（2026年8月5日-2027年8月26日）开放申购与赎回时间为：2026年7月27日至2026年8月4日</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val="0"/>
                <w:bCs w:val="0"/>
                <w:spacing w:val="-2"/>
                <w:sz w:val="18"/>
                <w:szCs w:val="18"/>
                <w:highlight w:val="none"/>
              </w:rPr>
              <w:t>以各销售机构设置的时间为准</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(其中ZA份额/ZF份额/ZF2份额/ZF3份额/ZF4份额/ZF5份额/ZJ份额/ZL份额/ZN份额/ZQ份额/ZC份额/ZK份额/</w:t>
            </w:r>
            <w:r>
              <w:rPr>
                <w:rFonts w:hint="eastAsia" w:ascii="楷体" w:hAnsi="楷体" w:eastAsia="楷体" w:cs="宋体"/>
                <w:b/>
                <w:bCs/>
                <w:color w:val="auto"/>
                <w:spacing w:val="-2"/>
                <w:sz w:val="18"/>
                <w:szCs w:val="18"/>
                <w:highlight w:val="none"/>
                <w:lang w:val="en-US" w:eastAsia="zh-CN"/>
              </w:rPr>
              <w:t>天府·优选份额</w:t>
            </w:r>
            <w:r>
              <w:rPr>
                <w:rFonts w:hint="eastAsia" w:ascii="楷体" w:hAnsi="楷体" w:eastAsia="楷体" w:cs="宋体"/>
                <w:b/>
                <w:bCs/>
                <w:color w:val="auto"/>
                <w:spacing w:val="-2"/>
                <w:sz w:val="18"/>
                <w:szCs w:val="18"/>
                <w:highlight w:val="none"/>
                <w:lang w:val="en-US" w:eastAsia="zh-CN"/>
              </w:rPr>
              <w:t>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各类份额最新投资周期（2026年8月5日-2027年8月26日）业绩比较基准如下：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w:t>
                  </w:r>
                </w:p>
              </w:tc>
              <w:tc>
                <w:tcPr>
                  <w:tcW w:w="1871"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投资周期起始日</w:t>
                  </w:r>
                </w:p>
              </w:tc>
              <w:tc>
                <w:tcPr>
                  <w:tcW w:w="1803"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投资周期终止日</w:t>
                  </w:r>
                </w:p>
              </w:tc>
              <w:tc>
                <w:tcPr>
                  <w:tcW w:w="2701" w:type="dxa"/>
                  <w:vAlign w:val="center"/>
                </w:tcPr>
                <w:p>
                  <w:pPr>
                    <w:jc w:val="center"/>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业绩比较基准</w:t>
                  </w:r>
                </w:p>
                <w:p>
                  <w:pPr>
                    <w:jc w:val="center"/>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1</w:t>
                  </w:r>
                </w:p>
              </w:tc>
              <w:tc>
                <w:tcPr>
                  <w:tcW w:w="1871" w:type="dxa"/>
                  <w:vAlign w:val="center"/>
                </w:tcPr>
                <w:p>
                  <w:pPr>
                    <w:spacing w:before="0" w:after="0" w:line="0" w:lineRule="atLeast"/>
                    <w:jc w:val="center"/>
                  </w:pPr>
                  <w:r>
                    <w:rPr>
                      <w:rFonts w:ascii="楷体" w:hAnsi="楷体" w:eastAsia="楷体"/>
                      <w:sz w:val="18"/>
                    </w:rPr>
                    <w:t>2021年5月19日</w:t>
                  </w:r>
                </w:p>
              </w:tc>
              <w:tc>
                <w:tcPr>
                  <w:tcW w:w="1803" w:type="dxa"/>
                  <w:vAlign w:val="center"/>
                </w:tcPr>
                <w:p>
                  <w:pPr>
                    <w:spacing w:before="0" w:after="0" w:line="0" w:lineRule="atLeast"/>
                    <w:jc w:val="center"/>
                  </w:pPr>
                  <w:r>
                    <w:rPr>
                      <w:rFonts w:ascii="楷体" w:hAnsi="楷体" w:eastAsia="楷体"/>
                      <w:sz w:val="18"/>
                    </w:rPr>
                    <w:t>2022年6月14日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2</w:t>
                  </w:r>
                </w:p>
              </w:tc>
              <w:tc>
                <w:tcPr>
                  <w:tcW w:w="1871" w:type="dxa"/>
                  <w:vAlign w:val="center"/>
                </w:tcPr>
                <w:p>
                  <w:pPr>
                    <w:spacing w:before="0" w:after="0" w:line="0" w:lineRule="atLeast"/>
                    <w:jc w:val="center"/>
                  </w:pPr>
                  <w:r>
                    <w:rPr>
                      <w:rFonts w:ascii="楷体" w:hAnsi="楷体" w:eastAsia="楷体"/>
                      <w:sz w:val="18"/>
                    </w:rPr>
                    <w:t>2022年6月15日</w:t>
                  </w:r>
                </w:p>
              </w:tc>
              <w:tc>
                <w:tcPr>
                  <w:tcW w:w="1803" w:type="dxa"/>
                  <w:vAlign w:val="center"/>
                </w:tcPr>
                <w:p>
                  <w:pPr>
                    <w:spacing w:before="0" w:after="0" w:line="0" w:lineRule="atLeast"/>
                    <w:jc w:val="center"/>
                  </w:pPr>
                  <w:r>
                    <w:rPr>
                      <w:rFonts w:ascii="楷体" w:hAnsi="楷体" w:eastAsia="楷体"/>
                      <w:sz w:val="18"/>
                    </w:rPr>
                    <w:t>2023年6月19日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3</w:t>
                  </w:r>
                </w:p>
              </w:tc>
              <w:tc>
                <w:tcPr>
                  <w:tcW w:w="1871" w:type="dxa"/>
                  <w:vAlign w:val="center"/>
                </w:tcPr>
                <w:p>
                  <w:pPr>
                    <w:spacing w:before="0" w:after="0" w:line="0" w:lineRule="atLeast"/>
                    <w:jc w:val="center"/>
                  </w:pPr>
                  <w:r>
                    <w:rPr>
                      <w:rFonts w:ascii="楷体" w:hAnsi="楷体" w:eastAsia="楷体"/>
                      <w:sz w:val="18"/>
                    </w:rPr>
                    <w:t>2023年6月20日</w:t>
                  </w:r>
                </w:p>
              </w:tc>
              <w:tc>
                <w:tcPr>
                  <w:tcW w:w="1803" w:type="dxa"/>
                  <w:vAlign w:val="center"/>
                </w:tcPr>
                <w:p>
                  <w:pPr>
                    <w:spacing w:before="0" w:after="0" w:line="0" w:lineRule="atLeast"/>
                    <w:jc w:val="center"/>
                  </w:pPr>
                  <w:r>
                    <w:rPr>
                      <w:rFonts w:ascii="楷体" w:hAnsi="楷体" w:eastAsia="楷体"/>
                      <w:sz w:val="18"/>
                    </w:rPr>
                    <w:t>2024年6月25日</w:t>
                  </w:r>
                </w:p>
              </w:tc>
              <w:tc>
                <w:tcPr>
                  <w:tcW w:w="2701" w:type="dxa"/>
                  <w:vAlign w:val="center"/>
                </w:tcPr>
                <w:p>
                  <w:pPr>
                    <w:spacing w:before="0" w:after="0" w:line="0" w:lineRule="atLeast"/>
                    <w:jc w:val="center"/>
                  </w:pPr>
                  <w:r>
                    <w:rPr>
                      <w:rFonts w:ascii="楷体" w:hAnsi="楷体" w:eastAsia="楷体"/>
                      <w:sz w:val="18"/>
                    </w:rPr>
                    <w:t>A份额</w:t>
                  </w:r>
                  <w:r>
                    <w:rPr>
                      <w:rFonts w:ascii="楷体" w:hAnsi="楷体" w:eastAsia="楷体"/>
                      <w:sz w:val="18"/>
                    </w:rPr>
                    <w:tab/>
                  </w:r>
                  <w:r>
                    <w:rPr>
                      <w:rFonts w:ascii="楷体" w:hAnsi="楷体" w:eastAsia="楷体"/>
                      <w:sz w:val="18"/>
                    </w:rPr>
                    <w:t>4.00%</w:t>
                  </w:r>
                  <w:r>
                    <w:rPr>
                      <w:rFonts w:ascii="楷体" w:hAnsi="楷体" w:eastAsia="楷体"/>
                      <w:sz w:val="18"/>
                    </w:rPr>
                    <w:br w:type="textWrapping"/>
                  </w:r>
                  <w:r>
                    <w:rPr>
                      <w:rFonts w:ascii="楷体" w:hAnsi="楷体" w:eastAsia="楷体"/>
                      <w:sz w:val="18"/>
                    </w:rPr>
                    <w:t>B份额</w:t>
                  </w:r>
                  <w:r>
                    <w:rPr>
                      <w:rFonts w:ascii="楷体" w:hAnsi="楷体" w:eastAsia="楷体"/>
                      <w:sz w:val="18"/>
                    </w:rPr>
                    <w:tab/>
                  </w:r>
                  <w:r>
                    <w:rPr>
                      <w:rFonts w:ascii="楷体" w:hAnsi="楷体" w:eastAsia="楷体"/>
                      <w:sz w:val="18"/>
                    </w:rPr>
                    <w:t>4.03%</w:t>
                  </w:r>
                  <w:r>
                    <w:rPr>
                      <w:rFonts w:ascii="楷体" w:hAnsi="楷体" w:eastAsia="楷体"/>
                      <w:sz w:val="18"/>
                    </w:rPr>
                    <w:br w:type="textWrapping"/>
                  </w:r>
                  <w:r>
                    <w:rPr>
                      <w:rFonts w:ascii="楷体" w:hAnsi="楷体" w:eastAsia="楷体"/>
                      <w:sz w:val="18"/>
                    </w:rPr>
                    <w:t>D份额</w:t>
                  </w:r>
                  <w:r>
                    <w:rPr>
                      <w:rFonts w:ascii="楷体" w:hAnsi="楷体" w:eastAsia="楷体"/>
                      <w:sz w:val="18"/>
                    </w:rPr>
                    <w:tab/>
                  </w:r>
                  <w:r>
                    <w:rPr>
                      <w:rFonts w:ascii="楷体" w:hAnsi="楷体" w:eastAsia="楷体"/>
                      <w:sz w:val="18"/>
                    </w:rPr>
                    <w:t>4.15%</w:t>
                  </w:r>
                  <w:r>
                    <w:rPr>
                      <w:rFonts w:ascii="楷体" w:hAnsi="楷体" w:eastAsia="楷体"/>
                      <w:sz w:val="18"/>
                    </w:rPr>
                    <w:br w:type="textWrapping"/>
                  </w:r>
                  <w:r>
                    <w:rPr>
                      <w:rFonts w:ascii="楷体" w:hAnsi="楷体" w:eastAsia="楷体"/>
                      <w:sz w:val="18"/>
                    </w:rPr>
                    <w:t>F份额</w:t>
                  </w:r>
                  <w:r>
                    <w:rPr>
                      <w:rFonts w:ascii="楷体" w:hAnsi="楷体" w:eastAsia="楷体"/>
                      <w:sz w:val="18"/>
                    </w:rPr>
                    <w:tab/>
                  </w:r>
                  <w:r>
                    <w:rPr>
                      <w:rFonts w:ascii="楷体" w:hAnsi="楷体" w:eastAsia="楷体"/>
                      <w:sz w:val="18"/>
                    </w:rPr>
                    <w:t>4.00%</w:t>
                  </w:r>
                  <w:r>
                    <w:rPr>
                      <w:rFonts w:ascii="楷体" w:hAnsi="楷体" w:eastAsia="楷体"/>
                      <w:sz w:val="18"/>
                    </w:rPr>
                    <w:br w:type="textWrapping"/>
                  </w:r>
                  <w:r>
                    <w:rPr>
                      <w:rFonts w:ascii="楷体" w:hAnsi="楷体" w:eastAsia="楷体"/>
                      <w:sz w:val="18"/>
                    </w:rPr>
                    <w:t>G份额</w:t>
                  </w:r>
                  <w:r>
                    <w:rPr>
                      <w:rFonts w:ascii="楷体" w:hAnsi="楷体" w:eastAsia="楷体"/>
                      <w:sz w:val="18"/>
                    </w:rPr>
                    <w:tab/>
                  </w:r>
                  <w:r>
                    <w:rPr>
                      <w:rFonts w:ascii="楷体" w:hAnsi="楷体" w:eastAsia="楷体"/>
                      <w:sz w:val="18"/>
                    </w:rPr>
                    <w:t>4.10%</w:t>
                  </w:r>
                  <w:r>
                    <w:rPr>
                      <w:rFonts w:ascii="楷体" w:hAnsi="楷体" w:eastAsia="楷体"/>
                      <w:sz w:val="18"/>
                    </w:rPr>
                    <w:br w:type="textWrapping"/>
                  </w:r>
                  <w:r>
                    <w:rPr>
                      <w:rFonts w:ascii="楷体" w:hAnsi="楷体" w:eastAsia="楷体"/>
                      <w:sz w:val="18"/>
                    </w:rPr>
                    <w:t>J份额</w:t>
                  </w:r>
                  <w:r>
                    <w:rPr>
                      <w:rFonts w:ascii="楷体" w:hAnsi="楷体" w:eastAsia="楷体"/>
                      <w:sz w:val="18"/>
                    </w:rPr>
                    <w:tab/>
                  </w:r>
                  <w:r>
                    <w:rPr>
                      <w:rFonts w:ascii="楷体" w:hAnsi="楷体" w:eastAsia="楷体"/>
                      <w:sz w:val="18"/>
                    </w:rPr>
                    <w:t>4.10%</w:t>
                  </w:r>
                  <w:r>
                    <w:rPr>
                      <w:rFonts w:ascii="楷体" w:hAnsi="楷体" w:eastAsia="楷体"/>
                      <w:sz w:val="18"/>
                    </w:rPr>
                    <w:br w:type="textWrapping"/>
                  </w:r>
                  <w:r>
                    <w:rPr>
                      <w:rFonts w:ascii="楷体" w:hAnsi="楷体" w:eastAsia="楷体"/>
                      <w:sz w:val="18"/>
                    </w:rPr>
                    <w:t>X份额</w:t>
                  </w:r>
                  <w:r>
                    <w:rPr>
                      <w:rFonts w:ascii="楷体" w:hAnsi="楷体" w:eastAsia="楷体"/>
                      <w:sz w:val="18"/>
                    </w:rPr>
                    <w:tab/>
                  </w:r>
                  <w:r>
                    <w:rPr>
                      <w:rFonts w:ascii="楷体" w:hAnsi="楷体" w:eastAsia="楷体"/>
                      <w:sz w:val="18"/>
                    </w:rPr>
                    <w:t>4.10%</w:t>
                  </w:r>
                  <w:r>
                    <w:rPr>
                      <w:rFonts w:ascii="楷体" w:hAnsi="楷体" w:eastAsia="楷体"/>
                      <w:sz w:val="18"/>
                    </w:rPr>
                    <w:br w:type="textWrapping"/>
                  </w:r>
                  <w:r>
                    <w:rPr>
                      <w:rFonts w:ascii="楷体" w:hAnsi="楷体" w:eastAsia="楷体"/>
                      <w:sz w:val="18"/>
                    </w:rPr>
                    <w:t>ZA份额</w:t>
                  </w:r>
                  <w:r>
                    <w:rPr>
                      <w:rFonts w:ascii="楷体" w:hAnsi="楷体" w:eastAsia="楷体"/>
                      <w:sz w:val="18"/>
                    </w:rPr>
                    <w:tab/>
                  </w:r>
                  <w:r>
                    <w:rPr>
                      <w:rFonts w:ascii="楷体" w:hAnsi="楷体" w:eastAsia="楷体"/>
                      <w:sz w:val="18"/>
                    </w:rPr>
                    <w:t>4.00%</w:t>
                  </w:r>
                  <w:r>
                    <w:rPr>
                      <w:rFonts w:ascii="楷体" w:hAnsi="楷体" w:eastAsia="楷体"/>
                      <w:sz w:val="18"/>
                    </w:rPr>
                    <w:br w:type="textWrapping"/>
                  </w:r>
                  <w:r>
                    <w:rPr>
                      <w:rFonts w:ascii="楷体" w:hAnsi="楷体" w:eastAsia="楷体"/>
                      <w:sz w:val="18"/>
                    </w:rPr>
                    <w:t>ZF份额</w:t>
                  </w:r>
                  <w:r>
                    <w:rPr>
                      <w:rFonts w:ascii="楷体" w:hAnsi="楷体" w:eastAsia="楷体"/>
                      <w:sz w:val="18"/>
                    </w:rPr>
                    <w:tab/>
                  </w:r>
                  <w:r>
                    <w:rPr>
                      <w:rFonts w:ascii="楷体" w:hAnsi="楷体" w:eastAsia="楷体"/>
                      <w:sz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4</w:t>
                  </w:r>
                </w:p>
              </w:tc>
              <w:tc>
                <w:tcPr>
                  <w:tcW w:w="1871" w:type="dxa"/>
                  <w:vAlign w:val="center"/>
                </w:tcPr>
                <w:p>
                  <w:pPr>
                    <w:spacing w:before="0" w:after="0" w:line="0" w:lineRule="atLeast"/>
                    <w:jc w:val="center"/>
                  </w:pPr>
                  <w:r>
                    <w:rPr>
                      <w:rFonts w:ascii="楷体" w:hAnsi="楷体" w:eastAsia="楷体"/>
                      <w:sz w:val="18"/>
                    </w:rPr>
                    <w:t>2024年6月26日</w:t>
                  </w:r>
                </w:p>
              </w:tc>
              <w:tc>
                <w:tcPr>
                  <w:tcW w:w="1803" w:type="dxa"/>
                  <w:vAlign w:val="center"/>
                </w:tcPr>
                <w:p>
                  <w:pPr>
                    <w:spacing w:before="0" w:after="0" w:line="0" w:lineRule="atLeast"/>
                    <w:jc w:val="center"/>
                  </w:pPr>
                  <w:r>
                    <w:rPr>
                      <w:rFonts w:ascii="楷体" w:hAnsi="楷体" w:eastAsia="楷体"/>
                      <w:sz w:val="18"/>
                    </w:rPr>
                    <w:t>2025年7月3日</w:t>
                  </w:r>
                </w:p>
              </w:tc>
              <w:tc>
                <w:tcPr>
                  <w:tcW w:w="2701" w:type="dxa"/>
                  <w:vAlign w:val="center"/>
                </w:tcPr>
                <w:p>
                  <w:pPr>
                    <w:spacing w:before="0" w:after="0" w:line="0" w:lineRule="atLeast"/>
                    <w:jc w:val="center"/>
                  </w:pPr>
                  <w:r>
                    <w:rPr>
                      <w:rFonts w:ascii="楷体" w:hAnsi="楷体" w:eastAsia="楷体"/>
                      <w:sz w:val="18"/>
                    </w:rPr>
                    <w:t>A份额3.00%-3.60%</w:t>
                  </w:r>
                  <w:r>
                    <w:rPr>
                      <w:rFonts w:ascii="楷体" w:hAnsi="楷体" w:eastAsia="楷体"/>
                      <w:sz w:val="18"/>
                    </w:rPr>
                    <w:br w:type="textWrapping"/>
                  </w:r>
                  <w:r>
                    <w:rPr>
                      <w:rFonts w:ascii="楷体" w:hAnsi="楷体" w:eastAsia="楷体"/>
                      <w:sz w:val="18"/>
                    </w:rPr>
                    <w:t>B份额3.03%-3.63%</w:t>
                  </w:r>
                  <w:r>
                    <w:rPr>
                      <w:rFonts w:ascii="楷体" w:hAnsi="楷体" w:eastAsia="楷体"/>
                      <w:sz w:val="18"/>
                    </w:rPr>
                    <w:br w:type="textWrapping"/>
                  </w:r>
                  <w:r>
                    <w:rPr>
                      <w:rFonts w:ascii="楷体" w:hAnsi="楷体" w:eastAsia="楷体"/>
                      <w:sz w:val="18"/>
                    </w:rPr>
                    <w:t>D份额3.15%-3.75%</w:t>
                  </w:r>
                  <w:r>
                    <w:rPr>
                      <w:rFonts w:ascii="楷体" w:hAnsi="楷体" w:eastAsia="楷体"/>
                      <w:sz w:val="18"/>
                    </w:rPr>
                    <w:br w:type="textWrapping"/>
                  </w:r>
                  <w:r>
                    <w:rPr>
                      <w:rFonts w:ascii="楷体" w:hAnsi="楷体" w:eastAsia="楷体"/>
                      <w:sz w:val="18"/>
                    </w:rPr>
                    <w:t>F份额3.00%-3.60%</w:t>
                  </w:r>
                  <w:r>
                    <w:rPr>
                      <w:rFonts w:ascii="楷体" w:hAnsi="楷体" w:eastAsia="楷体"/>
                      <w:sz w:val="18"/>
                    </w:rPr>
                    <w:br w:type="textWrapping"/>
                  </w:r>
                  <w:r>
                    <w:rPr>
                      <w:rFonts w:ascii="楷体" w:hAnsi="楷体" w:eastAsia="楷体"/>
                      <w:sz w:val="18"/>
                    </w:rPr>
                    <w:t>G份额3.05%-3.65%</w:t>
                  </w:r>
                  <w:r>
                    <w:rPr>
                      <w:rFonts w:ascii="楷体" w:hAnsi="楷体" w:eastAsia="楷体"/>
                      <w:sz w:val="18"/>
                    </w:rPr>
                    <w:br w:type="textWrapping"/>
                  </w:r>
                  <w:r>
                    <w:rPr>
                      <w:rFonts w:ascii="楷体" w:hAnsi="楷体" w:eastAsia="楷体"/>
                      <w:sz w:val="18"/>
                    </w:rPr>
                    <w:t>J份额3.10%-3.70%</w:t>
                  </w:r>
                  <w:r>
                    <w:rPr>
                      <w:rFonts w:ascii="楷体" w:hAnsi="楷体" w:eastAsia="楷体"/>
                      <w:sz w:val="18"/>
                    </w:rPr>
                    <w:br w:type="textWrapping"/>
                  </w:r>
                  <w:r>
                    <w:rPr>
                      <w:rFonts w:ascii="楷体" w:hAnsi="楷体" w:eastAsia="楷体"/>
                      <w:sz w:val="18"/>
                    </w:rPr>
                    <w:t>M份额3.10%-3.70%</w:t>
                  </w:r>
                  <w:r>
                    <w:rPr>
                      <w:rFonts w:ascii="楷体" w:hAnsi="楷体" w:eastAsia="楷体"/>
                      <w:sz w:val="18"/>
                    </w:rPr>
                    <w:br w:type="textWrapping"/>
                  </w:r>
                  <w:r>
                    <w:rPr>
                      <w:rFonts w:ascii="楷体" w:hAnsi="楷体" w:eastAsia="楷体"/>
                      <w:sz w:val="18"/>
                    </w:rPr>
                    <w:t>ZA份额3.00%-3.60%</w:t>
                  </w:r>
                  <w:r>
                    <w:rPr>
                      <w:rFonts w:ascii="楷体" w:hAnsi="楷体" w:eastAsia="楷体"/>
                      <w:sz w:val="18"/>
                    </w:rPr>
                    <w:br w:type="textWrapping"/>
                  </w:r>
                  <w:r>
                    <w:rPr>
                      <w:rFonts w:ascii="楷体" w:hAnsi="楷体" w:eastAsia="楷体"/>
                      <w:sz w:val="18"/>
                    </w:rPr>
                    <w:t>ZF份额3.00%-3.60%</w:t>
                  </w:r>
                  <w:r>
                    <w:rPr>
                      <w:rFonts w:ascii="楷体" w:hAnsi="楷体" w:eastAsia="楷体"/>
                      <w:sz w:val="18"/>
                    </w:rPr>
                    <w:br w:type="textWrapping"/>
                  </w:r>
                  <w:r>
                    <w:rPr>
                      <w:rFonts w:ascii="楷体" w:hAnsi="楷体" w:eastAsia="楷体"/>
                      <w:sz w:val="18"/>
                    </w:rPr>
                    <w:t>ZS份额3.10%-3.70%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5</w:t>
                  </w:r>
                </w:p>
              </w:tc>
              <w:tc>
                <w:tcPr>
                  <w:tcW w:w="1871" w:type="dxa"/>
                  <w:vAlign w:val="center"/>
                </w:tcPr>
                <w:p>
                  <w:pPr>
                    <w:spacing w:before="0" w:after="0" w:line="0" w:lineRule="atLeast"/>
                    <w:jc w:val="center"/>
                  </w:pPr>
                  <w:r>
                    <w:rPr>
                      <w:rFonts w:ascii="楷体" w:hAnsi="楷体" w:eastAsia="楷体"/>
                      <w:sz w:val="18"/>
                    </w:rPr>
                    <w:t>2025年7月4日</w:t>
                  </w:r>
                </w:p>
              </w:tc>
              <w:tc>
                <w:tcPr>
                  <w:tcW w:w="1803" w:type="dxa"/>
                  <w:vAlign w:val="center"/>
                </w:tcPr>
                <w:p>
                  <w:pPr>
                    <w:spacing w:before="0" w:after="0" w:line="0" w:lineRule="atLeast"/>
                    <w:jc w:val="center"/>
                  </w:pPr>
                  <w:r>
                    <w:rPr>
                      <w:rFonts w:ascii="楷体" w:hAnsi="楷体" w:eastAsia="楷体"/>
                      <w:sz w:val="18"/>
                    </w:rPr>
                    <w:t>2026年8月4日</w:t>
                  </w:r>
                </w:p>
              </w:tc>
              <w:tc>
                <w:tcPr>
                  <w:tcW w:w="2701" w:type="dxa"/>
                  <w:vAlign w:val="center"/>
                </w:tcPr>
                <w:p>
                  <w:pPr>
                    <w:spacing w:before="0" w:after="0" w:line="0" w:lineRule="atLeast"/>
                    <w:jc w:val="center"/>
                  </w:pPr>
                  <w:r>
                    <w:rPr>
                      <w:rFonts w:ascii="楷体" w:hAnsi="楷体" w:eastAsia="楷体"/>
                      <w:sz w:val="18"/>
                    </w:rPr>
                    <w:t>A份额 2.60%-3.20%</w:t>
                  </w:r>
                  <w:r>
                    <w:rPr>
                      <w:rFonts w:ascii="楷体" w:hAnsi="楷体" w:eastAsia="楷体"/>
                      <w:sz w:val="18"/>
                    </w:rPr>
                    <w:br w:type="textWrapping"/>
                  </w:r>
                  <w:r>
                    <w:rPr>
                      <w:rFonts w:ascii="楷体" w:hAnsi="楷体" w:eastAsia="楷体"/>
                      <w:sz w:val="18"/>
                    </w:rPr>
                    <w:t>B份额 2.63%-3.23%</w:t>
                  </w:r>
                  <w:r>
                    <w:rPr>
                      <w:rFonts w:ascii="楷体" w:hAnsi="楷体" w:eastAsia="楷体"/>
                      <w:sz w:val="18"/>
                    </w:rPr>
                    <w:br w:type="textWrapping"/>
                  </w:r>
                  <w:r>
                    <w:rPr>
                      <w:rFonts w:ascii="楷体" w:hAnsi="楷体" w:eastAsia="楷体"/>
                      <w:sz w:val="18"/>
                    </w:rPr>
                    <w:t>D份额 2.75%-3.35%</w:t>
                  </w:r>
                  <w:r>
                    <w:rPr>
                      <w:rFonts w:ascii="楷体" w:hAnsi="楷体" w:eastAsia="楷体"/>
                      <w:sz w:val="18"/>
                    </w:rPr>
                    <w:br w:type="textWrapping"/>
                  </w:r>
                  <w:r>
                    <w:rPr>
                      <w:rFonts w:ascii="楷体" w:hAnsi="楷体" w:eastAsia="楷体"/>
                      <w:sz w:val="18"/>
                    </w:rPr>
                    <w:t>F份额 2.60%-3.20%</w:t>
                  </w:r>
                  <w:r>
                    <w:rPr>
                      <w:rFonts w:ascii="楷体" w:hAnsi="楷体" w:eastAsia="楷体"/>
                      <w:sz w:val="18"/>
                    </w:rPr>
                    <w:br w:type="textWrapping"/>
                  </w:r>
                  <w:r>
                    <w:rPr>
                      <w:rFonts w:ascii="楷体" w:hAnsi="楷体" w:eastAsia="楷体"/>
                      <w:sz w:val="18"/>
                    </w:rPr>
                    <w:t>G份额 2.65%-3.25%</w:t>
                  </w:r>
                  <w:r>
                    <w:rPr>
                      <w:rFonts w:ascii="楷体" w:hAnsi="楷体" w:eastAsia="楷体"/>
                      <w:sz w:val="18"/>
                    </w:rPr>
                    <w:br w:type="textWrapping"/>
                  </w:r>
                  <w:r>
                    <w:rPr>
                      <w:rFonts w:ascii="楷体" w:hAnsi="楷体" w:eastAsia="楷体"/>
                      <w:sz w:val="18"/>
                    </w:rPr>
                    <w:t>J份额 2.70%-3.30%</w:t>
                  </w:r>
                  <w:r>
                    <w:rPr>
                      <w:rFonts w:ascii="楷体" w:hAnsi="楷体" w:eastAsia="楷体"/>
                      <w:sz w:val="18"/>
                    </w:rPr>
                    <w:br w:type="textWrapping"/>
                  </w:r>
                  <w:r>
                    <w:rPr>
                      <w:rFonts w:ascii="楷体" w:hAnsi="楷体" w:eastAsia="楷体"/>
                      <w:sz w:val="18"/>
                    </w:rPr>
                    <w:t>M份额 2.70%-3.30%</w:t>
                  </w:r>
                  <w:r>
                    <w:rPr>
                      <w:rFonts w:ascii="楷体" w:hAnsi="楷体" w:eastAsia="楷体"/>
                      <w:sz w:val="18"/>
                    </w:rPr>
                    <w:br w:type="textWrapping"/>
                  </w:r>
                  <w:r>
                    <w:rPr>
                      <w:rFonts w:ascii="楷体" w:hAnsi="楷体" w:eastAsia="楷体"/>
                      <w:sz w:val="18"/>
                    </w:rPr>
                    <w:t>P份额 2.80%-3.40%</w:t>
                  </w:r>
                  <w:r>
                    <w:rPr>
                      <w:rFonts w:ascii="楷体" w:hAnsi="楷体" w:eastAsia="楷体"/>
                      <w:sz w:val="18"/>
                    </w:rPr>
                    <w:br w:type="textWrapping"/>
                  </w:r>
                  <w:r>
                    <w:rPr>
                      <w:rFonts w:ascii="楷体" w:hAnsi="楷体" w:eastAsia="楷体"/>
                      <w:sz w:val="18"/>
                    </w:rPr>
                    <w:t>ZA份额 2.60%-3.20%</w:t>
                  </w:r>
                  <w:r>
                    <w:rPr>
                      <w:rFonts w:ascii="楷体" w:hAnsi="楷体" w:eastAsia="楷体"/>
                      <w:sz w:val="18"/>
                    </w:rPr>
                    <w:br w:type="textWrapping"/>
                  </w:r>
                  <w:r>
                    <w:rPr>
                      <w:rFonts w:ascii="楷体" w:hAnsi="楷体" w:eastAsia="楷体"/>
                      <w:sz w:val="18"/>
                    </w:rPr>
                    <w:t>ZF份额 2.60%-3.20%</w:t>
                  </w:r>
                  <w:r>
                    <w:rPr>
                      <w:rFonts w:ascii="楷体" w:hAnsi="楷体" w:eastAsia="楷体"/>
                      <w:sz w:val="18"/>
                    </w:rPr>
                    <w:br w:type="textWrapping"/>
                  </w:r>
                  <w:r>
                    <w:rPr>
                      <w:rFonts w:ascii="楷体" w:hAnsi="楷体" w:eastAsia="楷体"/>
                      <w:sz w:val="18"/>
                    </w:rPr>
                    <w:t>ZN份额 2.79%-3.39%</w:t>
                  </w:r>
                  <w:r>
                    <w:rPr>
                      <w:rFonts w:ascii="楷体" w:hAnsi="楷体" w:eastAsia="楷体"/>
                      <w:sz w:val="18"/>
                    </w:rPr>
                    <w:br w:type="textWrapping"/>
                  </w:r>
                  <w:r>
                    <w:rPr>
                      <w:rFonts w:ascii="楷体" w:hAnsi="楷体" w:eastAsia="楷体"/>
                      <w:sz w:val="18"/>
                    </w:rPr>
                    <w:t>ZQ份额 2.55%-3.15%</w:t>
                  </w:r>
                  <w:r>
                    <w:rPr>
                      <w:rFonts w:ascii="楷体" w:hAnsi="楷体" w:eastAsia="楷体"/>
                      <w:sz w:val="18"/>
                    </w:rPr>
                    <w:br w:type="textWrapping"/>
                  </w:r>
                  <w:r>
                    <w:rPr>
                      <w:rFonts w:ascii="楷体" w:hAnsi="楷体" w:eastAsia="楷体"/>
                      <w:sz w:val="18"/>
                    </w:rPr>
                    <w:t>ZR份额 2.85%-3.45%</w:t>
                  </w:r>
                  <w:r>
                    <w:rPr>
                      <w:rFonts w:ascii="楷体" w:hAnsi="楷体" w:eastAsia="楷体"/>
                      <w:sz w:val="18"/>
                    </w:rPr>
                    <w:br w:type="textWrapping"/>
                  </w:r>
                  <w:r>
                    <w:rPr>
                      <w:rFonts w:ascii="楷体" w:hAnsi="楷体" w:eastAsia="楷体"/>
                      <w:sz w:val="18"/>
                    </w:rPr>
                    <w:t>ZS份额 2.70%-3.30%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hint="eastAsia" w:ascii="楷体" w:hAnsi="楷体" w:eastAsia="楷体"/>
                      <w:sz w:val="18"/>
                      <w:lang w:val="en-US" w:eastAsia="zh-CN"/>
                    </w:rPr>
                    <w:t>6</w:t>
                  </w:r>
                </w:p>
              </w:tc>
              <w:tc>
                <w:tcPr>
                  <w:tcW w:w="1871" w:type="dxa"/>
                  <w:vAlign w:val="center"/>
                </w:tcPr>
                <w:p>
                  <w:pPr>
                    <w:spacing w:before="0" w:after="0" w:line="0" w:lineRule="atLeast"/>
                    <w:jc w:val="center"/>
                  </w:pPr>
                  <w:r>
                    <w:rPr>
                      <w:rFonts w:ascii="楷体" w:hAnsi="楷体" w:eastAsia="楷体"/>
                      <w:sz w:val="18"/>
                    </w:rPr>
                    <w:t>2026年8月5日</w:t>
                  </w:r>
                </w:p>
              </w:tc>
              <w:tc>
                <w:tcPr>
                  <w:tcW w:w="1803" w:type="dxa"/>
                  <w:vAlign w:val="center"/>
                </w:tcPr>
                <w:p>
                  <w:pPr>
                    <w:spacing w:before="0" w:after="0" w:line="0" w:lineRule="atLeast"/>
                    <w:jc w:val="center"/>
                  </w:pPr>
                  <w:r>
                    <w:rPr>
                      <w:rFonts w:ascii="楷体" w:hAnsi="楷体" w:eastAsia="楷体"/>
                      <w:sz w:val="18"/>
                    </w:rPr>
                    <w:t>2027年8月26日</w:t>
                  </w:r>
                </w:p>
              </w:tc>
              <w:tc>
                <w:tcPr>
                  <w:tcW w:w="2701" w:type="dxa"/>
                  <w:vAlign w:val="center"/>
                </w:tcPr>
                <w:p>
                  <w:pPr>
                    <w:spacing w:before="0" w:after="0" w:line="0" w:lineRule="atLeast"/>
                    <w:jc w:val="center"/>
                  </w:pPr>
                  <w:r>
                    <w:rPr>
                      <w:rFonts w:ascii="楷体" w:hAnsi="楷体" w:eastAsia="楷体"/>
                      <w:sz w:val="18"/>
                    </w:rPr>
                    <w:t>A份额2.40%-3.00%</w:t>
                  </w:r>
                  <w:r>
                    <w:rPr>
                      <w:rFonts w:ascii="楷体" w:hAnsi="楷体" w:eastAsia="楷体"/>
                      <w:sz w:val="18"/>
                    </w:rPr>
                    <w:br w:type="textWrapping"/>
                  </w:r>
                  <w:r>
                    <w:rPr>
                      <w:rFonts w:ascii="楷体" w:hAnsi="楷体" w:eastAsia="楷体"/>
                      <w:sz w:val="18"/>
                    </w:rPr>
                    <w:t>B份额2.43%-3.03%</w:t>
                  </w:r>
                  <w:r>
                    <w:rPr>
                      <w:rFonts w:ascii="楷体" w:hAnsi="楷体" w:eastAsia="楷体"/>
                      <w:sz w:val="18"/>
                    </w:rPr>
                    <w:br w:type="textWrapping"/>
                  </w:r>
                  <w:r>
                    <w:rPr>
                      <w:rFonts w:ascii="楷体" w:hAnsi="楷体" w:eastAsia="楷体"/>
                      <w:sz w:val="18"/>
                    </w:rPr>
                    <w:t>C份额2.45%-3.05%</w:t>
                  </w:r>
                  <w:r>
                    <w:rPr>
                      <w:rFonts w:ascii="楷体" w:hAnsi="楷体" w:eastAsia="楷体"/>
                      <w:sz w:val="18"/>
                    </w:rPr>
                    <w:br w:type="textWrapping"/>
                  </w:r>
                  <w:r>
                    <w:rPr>
                      <w:rFonts w:ascii="楷体" w:hAnsi="楷体" w:eastAsia="楷体"/>
                      <w:sz w:val="18"/>
                    </w:rPr>
                    <w:t>D份额2.55%-3.15%</w:t>
                  </w:r>
                  <w:r>
                    <w:rPr>
                      <w:rFonts w:ascii="楷体" w:hAnsi="楷体" w:eastAsia="楷体"/>
                      <w:sz w:val="18"/>
                    </w:rPr>
                    <w:br w:type="textWrapping"/>
                  </w:r>
                  <w:r>
                    <w:rPr>
                      <w:rFonts w:ascii="楷体" w:hAnsi="楷体" w:eastAsia="楷体"/>
                      <w:sz w:val="18"/>
                    </w:rPr>
                    <w:t>F份额2.40%-3.00%</w:t>
                  </w:r>
                  <w:r>
                    <w:rPr>
                      <w:rFonts w:ascii="楷体" w:hAnsi="楷体" w:eastAsia="楷体"/>
                      <w:sz w:val="18"/>
                    </w:rPr>
                    <w:br w:type="textWrapping"/>
                  </w:r>
                  <w:r>
                    <w:rPr>
                      <w:rFonts w:ascii="楷体" w:hAnsi="楷体" w:eastAsia="楷体"/>
                      <w:sz w:val="18"/>
                    </w:rPr>
                    <w:t>G份额2.43%-3.03%</w:t>
                  </w:r>
                  <w:r>
                    <w:rPr>
                      <w:rFonts w:ascii="楷体" w:hAnsi="楷体" w:eastAsia="楷体"/>
                      <w:sz w:val="18"/>
                    </w:rPr>
                    <w:br w:type="textWrapping"/>
                  </w:r>
                  <w:r>
                    <w:rPr>
                      <w:rFonts w:ascii="楷体" w:hAnsi="楷体" w:eastAsia="楷体"/>
                      <w:sz w:val="18"/>
                    </w:rPr>
                    <w:t>J份额2.50%-3.10%</w:t>
                  </w:r>
                  <w:r>
                    <w:rPr>
                      <w:rFonts w:ascii="楷体" w:hAnsi="楷体" w:eastAsia="楷体"/>
                      <w:sz w:val="18"/>
                    </w:rPr>
                    <w:br w:type="textWrapping"/>
                  </w:r>
                  <w:r>
                    <w:rPr>
                      <w:rFonts w:ascii="楷体" w:hAnsi="楷体" w:eastAsia="楷体"/>
                      <w:sz w:val="18"/>
                    </w:rPr>
                    <w:t>M份额2.55%-3.15%</w:t>
                  </w:r>
                  <w:r>
                    <w:rPr>
                      <w:rFonts w:ascii="楷体" w:hAnsi="楷体" w:eastAsia="楷体"/>
                      <w:sz w:val="18"/>
                    </w:rPr>
                    <w:br w:type="textWrapping"/>
                  </w:r>
                  <w:r>
                    <w:rPr>
                      <w:rFonts w:ascii="楷体" w:hAnsi="楷体" w:eastAsia="楷体"/>
                      <w:sz w:val="18"/>
                    </w:rPr>
                    <w:t>P份额2.65%-3.25%</w:t>
                  </w:r>
                  <w:r>
                    <w:rPr>
                      <w:rFonts w:ascii="楷体" w:hAnsi="楷体" w:eastAsia="楷体"/>
                      <w:sz w:val="18"/>
                    </w:rPr>
                    <w:br w:type="textWrapping"/>
                  </w:r>
                  <w:r>
                    <w:rPr>
                      <w:rFonts w:ascii="楷体" w:hAnsi="楷体" w:eastAsia="楷体"/>
                      <w:sz w:val="18"/>
                    </w:rPr>
                    <w:t>GRC份额2.50%-3.10%</w:t>
                  </w:r>
                  <w:r>
                    <w:rPr>
                      <w:rFonts w:ascii="楷体" w:hAnsi="楷体" w:eastAsia="楷体"/>
                      <w:sz w:val="18"/>
                    </w:rPr>
                    <w:br w:type="textWrapping"/>
                  </w:r>
                  <w:r>
                    <w:rPr>
                      <w:rFonts w:ascii="楷体" w:hAnsi="楷体" w:eastAsia="楷体"/>
                      <w:sz w:val="18"/>
                    </w:rPr>
                    <w:t>GS份额2.55%-3.15%</w:t>
                  </w:r>
                  <w:r>
                    <w:rPr>
                      <w:rFonts w:ascii="楷体" w:hAnsi="楷体" w:eastAsia="楷体"/>
                      <w:sz w:val="18"/>
                    </w:rPr>
                    <w:br w:type="textWrapping"/>
                  </w:r>
                  <w:r>
                    <w:rPr>
                      <w:rFonts w:ascii="楷体" w:hAnsi="楷体" w:eastAsia="楷体"/>
                      <w:sz w:val="18"/>
                    </w:rPr>
                    <w:t>S份额2.50%-3.10%</w:t>
                  </w:r>
                  <w:r>
                    <w:rPr>
                      <w:rFonts w:ascii="楷体" w:hAnsi="楷体" w:eastAsia="楷体"/>
                      <w:sz w:val="18"/>
                    </w:rPr>
                    <w:br w:type="textWrapping"/>
                  </w:r>
                  <w:r>
                    <w:rPr>
                      <w:rFonts w:ascii="楷体" w:hAnsi="楷体" w:eastAsia="楷体"/>
                      <w:sz w:val="18"/>
                    </w:rPr>
                    <w:t>U份额2.40%-3.00%</w:t>
                  </w:r>
                  <w:r>
                    <w:rPr>
                      <w:rFonts w:ascii="楷体" w:hAnsi="楷体" w:eastAsia="楷体"/>
                      <w:sz w:val="18"/>
                    </w:rPr>
                    <w:br w:type="textWrapping"/>
                  </w:r>
                  <w:r>
                    <w:rPr>
                      <w:rFonts w:ascii="楷体" w:hAnsi="楷体" w:eastAsia="楷体"/>
                      <w:sz w:val="18"/>
                    </w:rPr>
                    <w:t>L份额2.50%-3.10%</w:t>
                  </w:r>
                  <w:r>
                    <w:rPr>
                      <w:rFonts w:ascii="楷体" w:hAnsi="楷体" w:eastAsia="楷体"/>
                      <w:sz w:val="18"/>
                    </w:rPr>
                    <w:br w:type="textWrapping"/>
                  </w:r>
                  <w:r>
                    <w:rPr>
                      <w:rFonts w:ascii="楷体" w:hAnsi="楷体" w:eastAsia="楷体"/>
                      <w:sz w:val="18"/>
                    </w:rPr>
                    <w:t>Z份额2.40%-3.00%</w:t>
                  </w:r>
                  <w:r>
                    <w:rPr>
                      <w:rFonts w:ascii="楷体" w:hAnsi="楷体" w:eastAsia="楷体"/>
                      <w:sz w:val="18"/>
                    </w:rPr>
                    <w:br w:type="textWrapping"/>
                  </w:r>
                  <w:r>
                    <w:rPr>
                      <w:rFonts w:ascii="楷体" w:hAnsi="楷体" w:eastAsia="楷体"/>
                      <w:sz w:val="18"/>
                    </w:rPr>
                    <w:t>Z1份额2.50%-3.10%</w:t>
                  </w:r>
                  <w:r>
                    <w:rPr>
                      <w:rFonts w:ascii="楷体" w:hAnsi="楷体" w:eastAsia="楷体"/>
                      <w:sz w:val="18"/>
                    </w:rPr>
                    <w:br w:type="textWrapping"/>
                  </w:r>
                  <w:r>
                    <w:rPr>
                      <w:rFonts w:ascii="楷体" w:hAnsi="楷体" w:eastAsia="楷体"/>
                      <w:sz w:val="18"/>
                    </w:rPr>
                    <w:t>Z2份额2.55%-3.15%</w:t>
                  </w:r>
                  <w:r>
                    <w:rPr>
                      <w:rFonts w:ascii="楷体" w:hAnsi="楷体" w:eastAsia="楷体"/>
                      <w:sz w:val="18"/>
                    </w:rPr>
                    <w:br w:type="textWrapping"/>
                  </w:r>
                  <w:r>
                    <w:rPr>
                      <w:rFonts w:ascii="楷体" w:hAnsi="楷体" w:eastAsia="楷体"/>
                      <w:sz w:val="18"/>
                    </w:rPr>
                    <w:t>ZA份额2.40%-3.00%</w:t>
                  </w:r>
                  <w:r>
                    <w:rPr>
                      <w:rFonts w:ascii="楷体" w:hAnsi="楷体" w:eastAsia="楷体"/>
                      <w:sz w:val="18"/>
                    </w:rPr>
                    <w:br w:type="textWrapping"/>
                  </w:r>
                  <w:r>
                    <w:rPr>
                      <w:rFonts w:ascii="楷体" w:hAnsi="楷体" w:eastAsia="楷体"/>
                      <w:sz w:val="18"/>
                    </w:rPr>
                    <w:t>ZF份额2.40%-3.00%</w:t>
                  </w:r>
                  <w:r>
                    <w:rPr>
                      <w:rFonts w:ascii="楷体" w:hAnsi="楷体" w:eastAsia="楷体"/>
                      <w:sz w:val="18"/>
                    </w:rPr>
                    <w:br w:type="textWrapping"/>
                  </w:r>
                  <w:r>
                    <w:rPr>
                      <w:rFonts w:ascii="楷体" w:hAnsi="楷体" w:eastAsia="楷体"/>
                      <w:sz w:val="18"/>
                    </w:rPr>
                    <w:t>ZF2份额2.55%-3.15%</w:t>
                  </w:r>
                  <w:r>
                    <w:rPr>
                      <w:rFonts w:ascii="楷体" w:hAnsi="楷体" w:eastAsia="楷体"/>
                      <w:sz w:val="18"/>
                    </w:rPr>
                    <w:br w:type="textWrapping"/>
                  </w:r>
                  <w:r>
                    <w:rPr>
                      <w:rFonts w:ascii="楷体" w:hAnsi="楷体" w:eastAsia="楷体"/>
                      <w:sz w:val="18"/>
                    </w:rPr>
                    <w:t>ZF3份额2.45%-3.05%</w:t>
                  </w:r>
                  <w:r>
                    <w:rPr>
                      <w:rFonts w:ascii="楷体" w:hAnsi="楷体" w:eastAsia="楷体"/>
                      <w:sz w:val="18"/>
                    </w:rPr>
                    <w:br w:type="textWrapping"/>
                  </w:r>
                  <w:r>
                    <w:rPr>
                      <w:rFonts w:ascii="楷体" w:hAnsi="楷体" w:eastAsia="楷体"/>
                      <w:sz w:val="18"/>
                    </w:rPr>
                    <w:t>ZF4份额2.60%-3.20%</w:t>
                  </w:r>
                  <w:r>
                    <w:rPr>
                      <w:rFonts w:ascii="楷体" w:hAnsi="楷体" w:eastAsia="楷体"/>
                      <w:sz w:val="18"/>
                    </w:rPr>
                    <w:br w:type="textWrapping"/>
                  </w:r>
                  <w:r>
                    <w:rPr>
                      <w:rFonts w:ascii="楷体" w:hAnsi="楷体" w:eastAsia="楷体"/>
                      <w:sz w:val="18"/>
                    </w:rPr>
                    <w:t>ZF5份额2.55%-3.15%</w:t>
                  </w:r>
                  <w:r>
                    <w:rPr>
                      <w:rFonts w:ascii="楷体" w:hAnsi="楷体" w:eastAsia="楷体"/>
                      <w:sz w:val="18"/>
                    </w:rPr>
                    <w:br w:type="textWrapping"/>
                  </w:r>
                  <w:r>
                    <w:rPr>
                      <w:rFonts w:ascii="楷体" w:hAnsi="楷体" w:eastAsia="楷体"/>
                      <w:sz w:val="18"/>
                    </w:rPr>
                    <w:t>ZJ份额2.70%-3.30%</w:t>
                  </w:r>
                  <w:r>
                    <w:rPr>
                      <w:rFonts w:ascii="楷体" w:hAnsi="楷体" w:eastAsia="楷体"/>
                      <w:sz w:val="18"/>
                    </w:rPr>
                    <w:br w:type="textWrapping"/>
                  </w:r>
                  <w:r>
                    <w:rPr>
                      <w:rFonts w:ascii="楷体" w:hAnsi="楷体" w:eastAsia="楷体"/>
                      <w:sz w:val="18"/>
                    </w:rPr>
                    <w:t>ZL份额2.55%-3.15%</w:t>
                  </w:r>
                  <w:r>
                    <w:rPr>
                      <w:rFonts w:ascii="楷体" w:hAnsi="楷体" w:eastAsia="楷体"/>
                      <w:sz w:val="18"/>
                    </w:rPr>
                    <w:br w:type="textWrapping"/>
                  </w:r>
                  <w:r>
                    <w:rPr>
                      <w:rFonts w:hint="eastAsia" w:ascii="楷体" w:hAnsi="楷体" w:eastAsia="楷体"/>
                      <w:sz w:val="18"/>
                    </w:rPr>
                    <w:t>天府·优选份额</w:t>
                  </w:r>
                  <w:r>
                    <w:rPr>
                      <w:rFonts w:ascii="楷体" w:hAnsi="楷体" w:eastAsia="楷体"/>
                      <w:sz w:val="18"/>
                    </w:rPr>
                    <w:t>2.55%-3.15%</w:t>
                  </w:r>
                  <w:r>
                    <w:rPr>
                      <w:rFonts w:ascii="楷体" w:hAnsi="楷体" w:eastAsia="楷体"/>
                      <w:sz w:val="18"/>
                    </w:rPr>
                    <w:br w:type="textWrapping"/>
                  </w:r>
                  <w:r>
                    <w:rPr>
                      <w:rFonts w:ascii="楷体" w:hAnsi="楷体" w:eastAsia="楷体"/>
                      <w:sz w:val="18"/>
                    </w:rPr>
                    <w:t>ZN份额2.55%-3.15%</w:t>
                  </w:r>
                  <w:r>
                    <w:rPr>
                      <w:rFonts w:ascii="楷体" w:hAnsi="楷体" w:eastAsia="楷体"/>
                      <w:sz w:val="18"/>
                    </w:rPr>
                    <w:br w:type="textWrapping"/>
                  </w:r>
                  <w:r>
                    <w:rPr>
                      <w:rFonts w:ascii="楷体" w:hAnsi="楷体" w:eastAsia="楷体"/>
                      <w:sz w:val="18"/>
                    </w:rPr>
                    <w:t>ZQ份额2.40%-3.00%</w:t>
                  </w:r>
                  <w:r>
                    <w:rPr>
                      <w:rFonts w:ascii="楷体" w:hAnsi="楷体" w:eastAsia="楷体"/>
                      <w:sz w:val="18"/>
                    </w:rPr>
                    <w:br w:type="textWrapping"/>
                  </w:r>
                  <w:r>
                    <w:rPr>
                      <w:rFonts w:ascii="楷体" w:hAnsi="楷体" w:eastAsia="楷体"/>
                      <w:sz w:val="18"/>
                    </w:rPr>
                    <w:t>ZC份额2.45%-3.05%</w:t>
                  </w:r>
                  <w:r>
                    <w:rPr>
                      <w:rFonts w:ascii="楷体" w:hAnsi="楷体" w:eastAsia="楷体"/>
                      <w:sz w:val="18"/>
                    </w:rPr>
                    <w:br w:type="textWrapping"/>
                  </w:r>
                  <w:r>
                    <w:rPr>
                      <w:rFonts w:ascii="楷体" w:hAnsi="楷体" w:eastAsia="楷体"/>
                      <w:sz w:val="18"/>
                    </w:rPr>
                    <w:t>ZK份额2.55%-3.15%</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0.55%，B份额 0.55%，C份额 0.55%，D份额 0.55%，F份额 0.65%，G份额 0.55%，J份额 0.55%，M份额 0.55%，P份额 0.45%，GRC份额 0.65%，GS份额 0.55%，S份额 0.65%，U份额 0.60%，L份额 0.52%，Z份额 0.70%，Z1份额 0.60%，Z2份额 0.55%，ZA份额 0.65%，ZF份额 0.65%，ZF2份额 0.60%，ZF3份额 0.65%，ZF4份额 0.55%，ZF5份额 0.65%，ZJ份额 0.45%，ZL份额 0.50%，</w:t>
            </w:r>
            <w:r>
              <w:rPr>
                <w:rFonts w:hint="eastAsia" w:ascii="楷体" w:hAnsi="楷体" w:eastAsia="楷体" w:cs="宋体"/>
                <w:b w:val="0"/>
                <w:bCs w:val="0"/>
                <w:color w:val="auto"/>
                <w:spacing w:val="-2"/>
                <w:sz w:val="18"/>
                <w:szCs w:val="18"/>
                <w:highlight w:val="none"/>
                <w:lang w:val="en-US" w:eastAsia="zh-CN"/>
              </w:rPr>
              <w:t>天府·优选份额</w:t>
            </w:r>
            <w:r>
              <w:rPr>
                <w:rFonts w:hint="eastAsia" w:ascii="楷体" w:hAnsi="楷体" w:eastAsia="楷体" w:cs="宋体"/>
                <w:color w:val="auto"/>
                <w:spacing w:val="-2"/>
                <w:sz w:val="18"/>
                <w:szCs w:val="18"/>
                <w:highlight w:val="none"/>
                <w:lang w:val="en-US" w:eastAsia="zh-CN"/>
              </w:rPr>
              <w:t xml:space="preserve"> 0.65%，ZN份额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0.70%，G份额 0.77%，J份额 0.70%，M份额 0.65%，P份额 0.65%，GRC份额 0.60%，GS份额 0.65%，S份额 0.60%，U份额 0.75%，L份额 0.73%，Z份额 0.65%，Z1份额 0.65%，Z2份额 0.65%，ZA份额 0.70%，ZF份额 0.70%，ZF2份额 0.60%，ZF3份额 0.65%，ZF4份额 0.60%，ZF5份额 0.55%，ZJ份额 0.60%，ZL份额 0.70%，</w:t>
            </w:r>
            <w:r>
              <w:rPr>
                <w:rFonts w:hint="eastAsia" w:ascii="楷体" w:hAnsi="楷体" w:eastAsia="楷体" w:cs="宋体"/>
                <w:b w:val="0"/>
                <w:bCs w:val="0"/>
                <w:color w:val="auto"/>
                <w:spacing w:val="-2"/>
                <w:sz w:val="18"/>
                <w:szCs w:val="18"/>
                <w:highlight w:val="none"/>
                <w:lang w:val="en-US" w:eastAsia="zh-CN"/>
              </w:rPr>
              <w:t>天府·优选份额</w:t>
            </w:r>
            <w:r>
              <w:rPr>
                <w:rFonts w:hint="eastAsia" w:ascii="楷体" w:hAnsi="楷体" w:eastAsia="楷体" w:cs="宋体"/>
                <w:color w:val="auto"/>
                <w:spacing w:val="-2"/>
                <w:sz w:val="18"/>
                <w:szCs w:val="18"/>
                <w:highlight w:val="none"/>
                <w:lang w:val="en-US" w:eastAsia="zh-CN"/>
              </w:rPr>
              <w:t xml:space="preserve"> 0.55%，ZN份额 0.65%，ZQ份额 0.70%，ZC份额 0.70%，ZK份额 0.70%。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新沂农村商业银行股份有限公司/江苏高邮农村商业银行股份有限公司/江苏扬中农村商业银行股份有限公司/江苏句容农村商业银行股份有限公司/江苏洪泽农村商业银行股份有限公司/江苏高淳农村商业银行股份有限公司/江苏丹阳农村商业银行股份有限公司/江苏如皋农村商业银行股份有限公司/江苏溧水农村商业银行股份有限公司/江苏宜兴农村商业银行股份有限公司/江苏如东农村商业银行股份有限公司/江苏阜宁农村商业银行股份有限公司/江苏南通农村商业银行股份有限公司/江苏盱眙农村商业银行股份有限公司/江苏扬州农村商业银行股份有限公司/江苏仪征农村商业银行股份有限公司/江苏紫金农村商业银行股份有限公司/九江银行股份有限公司/江苏淮安农村商业银行股份有限公司/江苏涟水农村商业银行股份有限公司/江苏邳州农村商业银行股份有限公司/江苏东台农村商业银行股份有限公司/江苏海安农村商业银行股份有限公司/江苏沭阳农村商业银行股份有限公司/江苏靖江农村商业银行股份有限公司/江苏江阴农村商业银行股份有限公司/江苏银行股份有限公司/江苏泰兴农村商业银行股份有限公司/宁波东海银行股份有限公司/齐鲁银行股份有限公司/上海银行股份有限公司/苏银理财有限责任公司/上海农村商业银行股份有限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新沂农村商业银行股份有限公司/江苏高邮农村商业银行股份有限公司/江苏扬中农村商业银行股份有限公司/江苏句容农村商业银行股份有限公司/江苏洪泽农村商业银行股份有限公司/江苏高淳农村商业银行股份有限公司/江苏丹阳农村商业银行股份有限公司/江苏如皋农村商业银行股份有限公司/江苏溧水农村商业银行股份有限公司/江苏宜兴农村商业银行股份有限公司/江苏如东农村商业银行股份有限公司/江苏阜宁农村商业银行股份有限公司/江苏南通农村商业银行股份有限公司/江苏盱眙农村商业银行股份有限公司/江苏扬州农村商业银行股份有限公司/江苏仪征农村商业银行股份有限公司/江苏紫金农村商业银行股份有限公司/江苏淮安农村商业银行股份有限公司/江苏常熟农村商业银行股份有限公司/江苏涟水农村商业银行股份有限公司/江苏邳州农村商业银行股份有限公司/江苏东台农村商业银行股份有限公司/江苏苏州农村商业银行股份有限公司/江苏海安农村商业银行股份有限公司/江苏沭阳农村商业银行股份有限公司/江苏靖江农村商业银行股份有限公司/江苏银行股份有限公司/江苏泰兴农村商业银行股份有限公司/宁波东海银行股份有限公司/齐鲁银行股份有限公司/苏银理财有限责任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广州银行股份有限公司/广州农村商业银行股份有限公司/甘肃银行股份有限公司/华侨银行有限公司/杭州联合农村商业银行股份有限公司/九江银行股份有限公司/交通银行股份有限公司/宁波通商银行股份有限公司/宁波镇海农村商业银行股份有限公司/宁波慈溪农村商业银行股份有限公司/宁波余姚农村商业银行股份有限公司/山西银行股份有限公司/深圳农村商业银行股份有限公司/苏州银行股份有限公司/台州银行股份有限公司/天津滨海农村商业银行股份有限公司/泰安银行股份有限公司/潍坊银行股份有限公司/兴业银行股份有限公司/浙江淳安农村商业银行股份有限公司/浙江长兴农村商业银行股份有限公司/浙江永嘉农村商业银行股份有限公司/浙江乐清农村商业银行股份有限公司/浙江温州龙湾农村商业银行股份有限公司/浙江温州瓯海农村商业银行股份有限公司/浙江武义农村商业银行股份有限公司/浙江岱山农村商业银行股份有限公司/浙江开化农村商业银行股份有限公司/浙江上虞农村商业银行股份有限公司/浙江杭州余杭农村商业银行股份有限公司/浙江桐庐农村商业银行股份有限公司/浙江舟山定海海洋农村商业银行股份有限公司/浙江江山农村商业银行股份有限公司/浙江萧山农村商业银行股份有限公司/中邮邮惠万家银行有限责任公司/浙江绍兴瑞丰农村商业银行股份有限公司/浙江义乌农村商业银行股份有限公司/浙商银行股份有限公司/浙江嘉善农村商业银行股份有限公司/浙江泰顺农村商业银行股份有限公司/浙江临海农村商业银行股份有限公司/浙江青田农村商业银行股份有限公司/浙江德清农村商业银行股份有限公司/浙江海宁农村商业银行股份有限公司/浙江永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农村商业银行股份有限公司/杭州联合农村商业银行股份有限公司/徽商银行股份有限公司/宁波通商银行股份有限公司/山西银行股份有限公司/深圳农村商业银行股份有限公司/兴业银行股份有限公司/浙江海宁农村商业银行股份有限公司/浙江嘉善农村商业银行股份有限公司/浙江温州瓯海农村商业银行股份有限公司/浙江德清农村商业银行股份有限公司/浙江绍兴瑞丰农村商业银行股份有限公司/浙商银行股份有限公司/浙江杭州余杭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J份额:江苏银行股份有限公司/江苏如皋农村商业银行股份有限公司/上海银行股份有限公司/威海银行股份有限公司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M份额:徽商银行股份有限公司/宁波通商银行股份有限公司/兴业银行股份有限公司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P份额:甘肃银行股份有限公司/徽商银行股份有限公司/泰安银行股份有限公司/郑州银行股份有限公司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GRC份额:广州农村商业银行股份有限公司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GS份额:甘肃银行股份有限公司/秦皇岛银行股份有限公司/日照银行股份有限公司/兰州银行股份有限公司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S份额:晋商银行股份有限公司/山西银行股份有限公司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L份额:深圳农村商业银行股份有限公司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Z份额:江苏东台农村商业银行股份有限公司/上海农村商业银行股份有限公司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Z1份额:上海农村商业银行股份有限公司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Z2份额:上海农村商业银行股份有限公司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A份额:江苏新沂农村商业银行股份有限公司/江苏高邮农村商业银行股份有限公司/江苏扬中农村商业银行股份有限公司/江苏睢宁农村商业银行股份有限公司/江苏泗洪农村商业银行股份有限公司/江苏句容农村商业银行股份有限公司/江苏洪泽农村商业银行股份有限公司/江苏大丰农村商业银行股份有限公司/江苏高淳农村商业银行股份有限公司/江苏丹阳农村商业银行股份有限公司/江苏泗阳农村商业银行股份有限公司/江苏如皋农村商业银行股份有限公司/江苏镇江农村商业银行股份有限公司/江苏姜堰农村商业银行股份有限公司/江苏灌云农村商业银行股份有限公司/江苏溧水农村商业银行股份有限公司/江苏建湖农村商业银行股份有限公司/江苏金湖农村商业银行股份有限公司/江苏盐城农村商业银行股份有限公司/江苏宜兴农村商业银行股份有限公司/江苏响水农村商业银行股份有限公司/江苏灌南农村商业银行股份有限公司/江苏如东农村商业银行股份有限公司/江苏阜宁农村商业银行股份有限公司/江苏南通农村商业银行股份有限公司/江苏盱眙农村商业银行股份有限公司/江苏江都农村商业银行股份有限公司/江苏扬州农村商业银行股份有限公司/江苏东海农村商业银行股份有限公司/江苏仪征农村商业银行股份有限公司/江苏海门农村商业银行股份有限公司/江苏紫金农村商业银行股份有限公司/江苏淮安农村商业银行股份有限公司/江苏常熟农村商业银行股份有限公司/江苏涟水农村商业银行股份有限公司/江苏民丰农村商业银行股份有限公司/江苏邳州农村商业银行股份有限公司/江苏东台农村商业银行股份有限公司/江苏苏州农村商业银行股份有限公司/江苏海安农村商业银行股份有限公司/江苏沭阳农村商业银行股份有限公司/江苏靖江农村商业银行股份有限公司/江苏丰县农村商业银行股份有限公司/江苏泰兴农村商业银行股份有限公司/江苏启东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汉口银行股份有限公司/河北银行股份有限公司/江苏张家港农村商业银行股份有限公司/江苏江南农村商业银行股份有限公司/嘉兴银行股份有限公司/莱商银行股份有限公司/宁波镇海农村商业银行股份有限公司/宁波慈溪农村商业银行股份有限公司/宁波余姚农村商业银行股份有限公司/宁波甬城农村商业银行股份有限公司/苏州银行股份有限公司/厦门银行股份有限公司/兴业银行股份有限公司/浙江衢州衢江农村商业银行股份有限公司/浙江新昌农村商业银行股份有限公司/浙江温州瓯海农村商业银行股份有限公司/浙江温州龙湾农村商业银行股份有限公司/浙江武义农村商业银行股份有限公司/浙江岱山农村商业银行股份有限公司/浙江开化农村商业银行股份有限公司/浙江杭州余杭农村商业银行股份有限公司/浙江上虞农村商业银行股份有限公司/浙江东阳农村商业银行股份有限公司/浙江兰溪农村商业银行股份有限公司/浙江江山农村商业银行股份有限公司/浙江萧山农村商业银行股份有限公司/浙江嵊州农村商业银行股份有限公司/浙江衢州柯城农村商业银行股份有限公司/浙江义乌农村商业银行股份有限公司/浙江嘉善农村商业银行股份有限公司/浙江南浔农村商业银行股份有限公司/浙江泰顺农村商业银行股份有限公司/浙江临海农村商业银行股份有限公司/浙江青田农村商业银行股份有限公司/浙江德清农村商业银行股份有限公司/浙江永康农村商业银行股份有限公司/浙江温岭农村商业银行股份有限公司/浙江临安农村商业银行股份有限公司/浙江龙泉农村商业银行股份有限公司/浙江浦江农村商业银行股份有限公司/浙江民泰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3份额:江门农村商业银行股份有限公司/浙江东阳农村商业银行股份有限公司/浙江兰溪农村商业银行股份有限公司/中山农村商业银行股份有限公司/浙江泰顺农村商业银行股份有限公司/浙江衢州衢江农村商业银行股份有限公司/浙江临海农村商业银行股份有限公司/浙江新昌农村商业银行股份有限公司/浙江青田农村商业银行股份有限公司/浙江龙泉农村商业银行股份有限公司/浙江德清农村商业银行股份有限公司/浙江松阳农村商业银行股份有限公司/浙江武义农村商业银行股份有限公司/浙江浦江农村商业银行股份有限公司/浙江嵊州农村商业银行股份有限公司/浙江衢州柯城农村商业银行股份有限公司/浙江开化农村商业银行股份有限公司/浙江南浔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ZF4份额:石嘴山银行股份有限公司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ZF5份额:嘉兴银行股份有限公司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宁波通商银行股份有限公司/苏银理财有限责任公司/泰安银行股份有限公司/浙江长兴农村商业银行股份有限公司/浙江海盐农村商业银行股份有限公司/浙江永嘉农村商业银行股份有限公司/浙江衢州衢江农村商业银行股份有限公司/浙江新昌农村商业银行股份有限公司/浙江桐乡农村商业银行股份有限公司/浙江乐清农村商业银行股份有限公司/浙江温州龙湾农村商业银行股份有限公司/浙江温州瓯海农村商业银行股份有限公司/浙江武义农村商业银行股份有限公司/浙江金华成泰农村商业银行股份有限公司/浙江岱山农村商业银行股份有限公司/浙江开化农村商业银行股份有限公司/浙江绍兴恒信农村商业银行股份有限公司/浙江上虞农村商业银行股份有限公司/浙江平湖农村商业银行股份有限公司/浙江东阳农村商业银行股份有限公司/浙江舟山定海海洋农村商业银行股份有限公司/浙江兰溪农村商业银行股份有限公司/浙江安吉农村商业银行股份有限公司/浙江江山农村商业银行股份有限公司/浙江文成农村商业银行股份有限公司/浙江诸暨农村商业银行股份有限公司/浙江天台农村商业银行股份有限公司/浙江嵊州农村商业银行股份有限公司/浙江衢州柯城农村商业银行股份有限公司/浙江绍兴瑞丰农村商业银行股份有限公司/浙江义乌农村商业银行股份有限公司/浙江嘉善农村商业银行股份有限公司/浙江南浔农村商业银行股份有限公司/浙江泰顺农村商业银行股份有限公司/浙江瑞安农村商业银行股份有限公司/浙江临海农村商业银行股份有限公司/浙江舟山普陀农村商业银行股份有限公司/浙江温州鹿城农村商业银行股份有限公司/浙江青田农村商业银行股份有限公司/浙江仙居农村商业银行股份有限公司/浙江禾城农村商业银行股份有限公司/浙江德清农村商业银行股份有限公司/浙江海宁农村商业银行股份有限公司/浙江永康农村商业银行股份有限公司/浙江台州黄岩农村商业银行股份有限公司/浙江龙游农村商业银行股份有限公司/浙江温岭农村商业银行股份有限公司/浙江遂昌农村商业银行股份有限公司/浙江龙泉农村商业银行股份有限公司/浙江台州路桥农村商业银行股份有限公司/浙江苍南农村商业银行股份有限公司/浙江浦江农村商业银行股份有限公司/浙江缙云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天府·优选份额:成都农村商业银行股份有限公司/苏银理财有限责任公司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新沂农村商业银行股份有限公司/江苏高邮农村商业银行股份有限公司/江苏大丰农村商业银行股份有限公司/江苏高淳农村商业银行股份有限公司/江苏丹阳农村商业银行股份有限公司/江苏泗阳农村商业银行股份有限公司/江苏沛县农村商业银行股份有限公司/江苏如皋农村商业银行股份有限公司/江苏姜堰农村商业银行股份有限公司/江苏滨海农村商业银行股份有限公司/江苏溧水农村商业银行股份有限公司/江苏建湖农村商业银行股份有限公司/江苏盐城农村商业银行股份有限公司/江苏宜兴农村商业银行股份有限公司/江苏响水农村商业银行股份有限公司/江苏灌南农村商业银行股份有限公司/江苏如东农村商业银行股份有限公司/江苏阜宁农村商业银行股份有限公司/江苏江都农村商业银行股份有限公司/江苏扬州农村商业银行股份有限公司/江苏东海农村商业银行股份有限公司/江苏仪征农村商业银行股份有限公司/江苏紫金农村商业银行股份有限公司/江苏兴化农村商业银行股份有限公司/江苏常熟农村商业银行股份有限公司/江苏民丰农村商业银行股份有限公司/江苏东台农村商业银行股份有限公司/江苏海安农村商业银行股份有限公司/江苏泰兴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新沂农村商业银行股份有限公司/江苏高邮农村商业银行股份有限公司/江苏大丰农村商业银行股份有限公司/江苏高淳农村商业银行股份有限公司/江苏丹阳农村商业银行股份有限公司/江苏泗阳农村商业银行股份有限公司/江苏沛县农村商业银行股份有限公司/江苏如皋农村商业银行股份有限公司/江苏姜堰农村商业银行股份有限公司/江苏滨海农村商业银行股份有限公司/江苏溧水农村商业银行股份有限公司/江苏建湖农村商业银行股份有限公司/江苏盐城农村商业银行股份有限公司/江苏宜兴农村商业银行股份有限公司/江苏响水农村商业银行股份有限公司/江苏灌南农村商业银行股份有限公司/江苏如东农村商业银行股份有限公司/江苏阜宁农村商业银行股份有限公司/江苏南通农村商业银行股份有限公司/江苏江都农村商业银行股份有限公司/江苏扬州农村商业银行股份有限公司/江苏仪征农村商业银行股份有限公司/江苏紫金农村商业银行股份有限公司/江苏兴化农村商业银行股份有限公司/江苏常熟农村商业银行股份有限公司/江苏民丰农村商业银行股份有限公司/江苏东台农村商业银行股份有限公司/江苏海安农村商业银行股份有限公司/江苏泰兴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非标准化债权类资产：融资人为台州市黄岩国有资本投资运营集团有限公司。融资人经营正常，是依法设立的国有公司，主要股东为台州市黄岩区财政局，实际控制人为台州市黄岩区财政局。（2）非标准化债权类资产：融资人为镇江文化广电产业集团有限公司。融资人经营正常，是依法设立的国有公司，主要股东为镇江市广播电视台，实际控制人为江苏省镇江市人民政府。（3）非标准化债权类资产：融资人为绍兴市镜湖开发集团有限公司。融资人经营正常，是依法设立的国有公司，主要股东为绍兴市人民政府国有资产监督管理委员会，实际控制人为绍兴市人民政府国有资产监督管理委员会。（4）非标准化债权类资产：融资人为泰兴市城市投资发展集团有限公司。融资人经营正常，是依法设立的国有公司，主要股东为江苏平仲科技发展集团有限公司，实际控制人为泰兴市人民政府国有资产监督管理办公室。（5）非标准化债权类资产：融资人为湖州经开投资发展集团有限公司。融资人经营正常，是依法设立的国有公司，主要股东为湖州南太湖国有控股集团有限公司，实际控制人为湖州市人民政府国有资产监督管理委员会。（6）非标准化债权类资产：融资人为湖州吴兴城市投资发展集团有限公司。融资人经营正常，是依法设立的国有公司，主要股东为湖州吴兴国控投资运营发展集团有限公司，实际控制人为湖州市吴兴区财政局。（7）非标准化债权类资产：融资人为江苏皋开投资发展集团有限公司。融资人经营正常，是依法设立的国有公司，主要股东为如皋市人民政府，实际控制人为如皋市人民政府。（8）非标准化债权类资产：融资人为燕舞集团有限公司。融资人经营正常，是依法设立的国有公司，主要股东为盐城市人民政府、盐城市城市资产投资集团有限公司、江苏悦达集团有限公司，实际控制人为盐城市人民政府。（9）非标准化债权类资产：融资人为兰溪市城市投资集团有限公司。融资人经营正常，是依法设立的国有公司，主要股东为兰溪市城市发展集团有限公司，实际控制人为兰溪市人民政府国有资产监督管理办公室。（10）非标准化债权类资产：融资人为绍兴市越城区城市发展建设集团有限公司。融资人经营正常，是依法设立的国有公司，主要股东为绍兴市越城区财政局，实际控制人为绍兴市越城区财政局。（11）非标准化债权类资产：融资人为桐庐县城市建设投资集团有限公司。融资人经营正常，是依法设立的国有公司，主要股东为桐庐投资建设发展集团有限公司，实际控制人为桐庐县人民政府国有资产监督管理委员会。（12）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13）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14）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15）非标准化债权类资产：融资人为海安市城建开发投资集团有限公司。融资人经营正常，是依法设立的国有公司，主要股东为海安市政府国有资产监督管理办公室，实际控制人为海安市政府国有资产监督管理办公室。（16）非标准化债权类资产：融资人为徐州金龙湖控股集团有限公司。融资人经营正常，是依法设立的国有公司，主要股东为徐州市产业发展控股集团有限公司，实际控制人为徐州市人民政府国有资产监督管理委员会。（17）非标准化债权类资产：融资人为杭州富阳城市建设投资集团有限公司。融资人经营正常，是依法设立的国有公司，主要股东为杭州市富阳区人民政府国有资产监督管理办公室，实际控制人为杭州市富阳区人民政府国有资产监督管理办公室。（18）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19）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20）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21）同业借款：融资人为中国中信金融资产管理股份有限公司。融资人经营正常，是依法成立的国有公司，主要股东为中国中信集团有限公司、财政局、中国融信私募基金有限公司，实际控制人为财政部。（22）同业借款：融资人为中国东方资产管理股份有限公司。融资人经营正常，是依法成立的国有公司，主要股东为中央汇金投资有限责任公司、全国社会保障基金理事会、中国电信集团有限公司，实际控制人为国务院。（23）同业借款：融资人为中国信达资产管理股份有限公司。融资人经营正常，是依法成立的国有公司，主要股东为中央汇金投资有限责任公司，实际控制人为国务院。（24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28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29）收益凭证：融资人为华泰证券股份有限公司。融资人经营正常，是依法设立的持牌金融机构，主要股东为江苏省国信集团有限公司、香港中央结算（代理人）有限公司、江苏交通控股有限公司，无实际控制人。（30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31）收益凭证：融资人为申万宏源证券有限公司。融资人经营正常，是依法设立的持牌金融机构，主要股东为申万宏源集团股份有限公司，实际控制人为中央汇金投资有限责任公司。（32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33）收益凭证：融资人为浙商证券股份有限公司。融资人经营正常，是依法设立的持牌金融机构，主要股东为浙江上三高速公路有限公司、台州市金融投资集团有限公司，实际控制人为浙江省交通投资集团有限公司。（34）收益凭证：融资人为国投证券股份有限公司。融资人经营正常，是依法设立的持牌金融机构，主要股东为国投资本股份有限公司、上海毅胜投资有限公司，实际控制人为国家开发投资集团有限公司。（35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37）收益凭证：融资人为兴业证券股份有限公司。融资人经营正常，是依法设立的持牌金融机构，主要股东为福建省财政厅、福建省投资开发集团有限责任公司、上海申新（集团）有限公司，实际控制人为福建省财政厅。（38）收益凭证：融资人为财通证券股份有限公司。融资人经营正常，是依法设立的持牌金融机构，主要股东为浙江省创新投资集团有限公司、浙江省财开集团有限公司、台州市金融投资集团有限公司，实际控制人为浙江省财政厅。（39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40）收益凭证：融资人为东海证券股份有限</w:t>
      </w:r>
      <w:r>
        <w:rPr>
          <w:rFonts w:hint="eastAsia" w:ascii="楷体" w:hAnsi="楷体" w:eastAsia="楷体" w:cs="楷体"/>
          <w:color w:val="auto"/>
          <w:kern w:val="2"/>
          <w:sz w:val="21"/>
          <w:szCs w:val="21"/>
          <w:highlight w:val="none"/>
          <w:lang w:val="en-US" w:eastAsia="zh-CN" w:bidi="ar-SA"/>
        </w:rPr>
        <w:t>公司。融资人经营正常，是依法设立的持牌金融机构，主要股东为常州投资集团有限公司、山东金控资本管理有限公司，实际控制人为常州投资集团有限公司。（41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44）收益凭证：融资人为中国中金财富证券有限公司。融资人经营正常，是依法设立的持牌金融机构，主要股东为中国国际金融股份有限公司，实际控制人为中央汇金投资有限责任公司。（45）收益凭证：融资人为山西证券股份有限公司。融资人经营正常，是依法设立的持牌金融机构，主要股东为山西金融投资控股集团有限公司、太原钢铁（集团）有限公司、山西国际电力集团有限公司，实际控制人为山西省财政厅。（46）收益凭证：融资人为国都证券股份有限公司。融资人经营正常，是依法设立的持牌金融机构，主要股东为浙商证券股份有限公司、中诚信托有限责任公司、北京国际信托有限公司，实际控制人为浙江省交通投资集团有限公司。（47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48）收益凭证：融资人为华鑫证券有限责任公司。融资人经营正常，是依法设立的持牌金融机构，主要股东为上海华鑫股份有限公司，实际控制人为上海市国有资产监督管理委员会。（49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51）收益凭证：融资人为广发证券股份有限公司。融资人经营正常，是依法设立的持牌金融机构，主要股东为香港中央结算（代理人）有限公司、吉林敖东药业集团股份有限公司、辽宁成大股份有限公司，无实际控制人。（52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ascii="楷体" w:hAnsi="楷体" w:eastAsia="楷体" w:cs="楷体"/>
          <w:color w:val="auto"/>
          <w:kern w:val="2"/>
          <w:sz w:val="21"/>
          <w:szCs w:val="21"/>
          <w:highlight w:val="none"/>
          <w:lang w:val="en-US" w:eastAsia="zh-CN" w:bidi="ar-SA"/>
        </w:rPr>
      </w:pPr>
      <w:bookmarkStart w:id="0" w:name="_GoBack"/>
      <w:bookmarkEnd w:id="0"/>
      <w:r>
        <w:rPr>
          <w:rFonts w:hint="eastAsia" w:ascii="楷体" w:hAnsi="楷体" w:eastAsia="楷体" w:cs="楷体"/>
          <w:color w:val="auto"/>
          <w:kern w:val="2"/>
          <w:sz w:val="21"/>
          <w:szCs w:val="21"/>
          <w:highlight w:val="none"/>
          <w:lang w:val="en-US" w:eastAsia="zh-CN" w:bidi="ar-SA"/>
        </w:rPr>
        <w:t>（1）-（24）各资产到期日不超过理财产品投资周期终止日，定期付息、到期一次性还本；（25）-（53）各资产到期日不超过理财产品投资周期终止日，到期一次性还本付息。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jc w:val="left"/>
        <w:rPr>
          <w:rFonts w:hint="eastAsia"/>
          <w:highlight w:val="none"/>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3CD89DC"/>
    <w:multiLevelType w:val="singleLevel"/>
    <w:tmpl w:val="43CD89DC"/>
    <w:lvl w:ilvl="0" w:tentative="0">
      <w:start w:val="1"/>
      <w:numFmt w:val="decimal"/>
      <w:suff w:val="nothing"/>
      <w:lvlText w:val="（%1）"/>
      <w:lvlJc w:val="left"/>
    </w:lvl>
  </w:abstractNum>
  <w:abstractNum w:abstractNumId="11">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3">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6"/>
  </w:num>
  <w:num w:numId="4">
    <w:abstractNumId w:val="17"/>
  </w:num>
  <w:num w:numId="5">
    <w:abstractNumId w:val="19"/>
  </w:num>
  <w:num w:numId="6">
    <w:abstractNumId w:val="18"/>
  </w:num>
  <w:num w:numId="7">
    <w:abstractNumId w:val="10"/>
  </w:num>
  <w:num w:numId="8">
    <w:abstractNumId w:val="12"/>
  </w:num>
  <w:num w:numId="9">
    <w:abstractNumId w:val="11"/>
  </w:num>
  <w:num w:numId="10">
    <w:abstractNumId w:val="6"/>
  </w:num>
  <w:num w:numId="11">
    <w:abstractNumId w:val="2"/>
  </w:num>
  <w:num w:numId="12">
    <w:abstractNumId w:val="4"/>
  </w:num>
  <w:num w:numId="13">
    <w:abstractNumId w:val="0"/>
  </w:num>
  <w:num w:numId="14">
    <w:abstractNumId w:val="15"/>
  </w:num>
  <w:num w:numId="15">
    <w:abstractNumId w:val="13"/>
  </w:num>
  <w:num w:numId="16">
    <w:abstractNumId w:val="5"/>
  </w:num>
  <w:num w:numId="17">
    <w:abstractNumId w:val="14"/>
  </w:num>
  <w:num w:numId="18">
    <w:abstractNumId w:val="1"/>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0407FC"/>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44424"/>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282A7E"/>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58259A"/>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24202E"/>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15</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2026-07-20T11:42:36Z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