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“苏银理财恒源封闭债权364期</w:t>
      </w:r>
      <w:r>
        <w:rPr>
          <w:rFonts w:hint="eastAsia" w:ascii="楷体" w:hAnsi="楷体" w:eastAsia="楷体"/>
          <w:b/>
          <w:color w:val="auto"/>
          <w:sz w:val="28"/>
          <w:szCs w:val="28"/>
          <w:highlight w:val="none"/>
        </w:rPr>
        <w:t>”理财产品说明书</w:t>
      </w:r>
    </w:p>
    <w:p>
      <w:pPr>
        <w:jc w:val="center"/>
        <w:rPr>
          <w:rFonts w:hint="eastAsia" w:ascii="楷体" w:hAnsi="楷体" w:eastAsia="楷体" w:cs="宋体"/>
          <w:b/>
          <w:bCs/>
          <w:color w:val="auto"/>
          <w:sz w:val="24"/>
          <w:szCs w:val="24"/>
        </w:rPr>
      </w:pPr>
      <w:r>
        <w:rPr>
          <w:rFonts w:hint="eastAsia" w:ascii="楷体" w:hAnsi="楷体" w:eastAsia="楷体" w:cs="宋体"/>
          <w:b/>
          <w:color w:val="auto"/>
          <w:sz w:val="24"/>
          <w:szCs w:val="24"/>
        </w:rPr>
        <w:t>2026年8月版</w:t>
      </w:r>
    </w:p>
    <w:p>
      <w:pPr>
        <w:jc w:val="center"/>
        <w:rPr>
          <w:rFonts w:hint="eastAsia" w:ascii="楷体" w:hAnsi="楷体" w:eastAsia="楷体"/>
          <w:b/>
          <w:bCs/>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bookmarkStart w:id="0" w:name="_GoBack"/>
      <w:bookmarkEnd w:id="0"/>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苏银理财恒源封闭债权364期</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苏银理财恒源封闭债权364期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Z7003126000314，投资者可依据该编码在中国理财网www.chinawealth.com.cn查询产品信息。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A份额：苏银理财恒源封闭债权364期13月A/J25196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B份额：苏银理财恒源封闭债权364期13月B/J25197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C份额：苏银理财恒源封闭债权364期13月C/J25198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D份额：苏银理财恒源封闭债权364期13月D/J25199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E份额：苏银理财恒源封闭债权364期13月E/J25200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F份额：苏银理财恒源封闭债权364期13月F/J25201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G份额：苏银理财恒源封闭债权364期13月G/J25202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H份额：苏银理财恒源封闭债权364期13月H/J25203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I份额：苏银理财恒源封闭债权364期13月I/J25204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J份额：苏银理财恒源封闭债权364期13月J/J25205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K份额：苏银理财恒源封闭债权364期13月K（新客专属）/J25206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M份额：苏银理财恒源封闭债权364期13月M/J25207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N份额：苏银理财恒源封闭债权364期13月N/J25208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O份额：苏银理财恒源封闭债权364期13月O/J25209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P份额：苏银理财恒源封闭债权364期13月P/J25210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Q份额：苏银理财恒源封闭债权364期13月Q/J25211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R份额：苏银理财恒源封闭债权364期13月R/J25212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S份额：苏银理财恒源封闭债权364期13月S/J25213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U份额：苏银理财恒源封闭债权364期13月U/J25214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V份额：苏银理财恒源封闭债权364期13月V/J25215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W份额：苏银理财恒源封闭债权364期13月W/J25216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Z份额：苏银理财恒源封闭债权364期13月Z/J25217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JS份额：苏银理财恒源封闭债权364期13月JS鑫福款/J25218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LS份额：苏银理财恒源封闭债权364期13月LS/J25219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芙蓉锦程·优选份额：苏银理财恒源封闭债权364期13月（芙蓉锦程·优选）/J25220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H份额：面向个人和机构投资者销售；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M份额：面向个人和机构投资者销售；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O份额：面向个人和机构投资者销售；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Q份额：面向个人和机构投资者销售；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R份额：面向个人和机构投资者销售；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U份额：面向个人和机构投资者销售；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V份额：面向个人和机构投资者销售；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W份额：面向个人和机构投资者销售；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LS份额：面向个人和机构投资者销售；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芙蓉锦程·优选份额：面向个人和机构投资者销售。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E份额：300,000元/10,000元的整数倍；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H份额：1元/1元的整数倍；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I份额：1元/1元的整数倍；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K份额：1元/1元的整数倍；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O份额：1元/1元的整数倍；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Q份额：1元/1元的整数倍；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R份额：1元/1元的整数倍；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V份额：1元/1元的整数倍；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W份额：1元/1元的整数倍；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芙蓉锦程·优选份额：1元/1元的整数倍。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2026年7月29日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2026年8月4日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2026年8月5日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2027年8月31日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391天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2.40%-2.80%；B份额：2.40%-2.80%；C份额：2.50%-2.90%；D份额：2.50%-2.90%；E份额：2.50%-2.90%；F份额：2.45%-2.85%；G份额：2.35%-2.75%；H份额：2.40%-2.80%；I份额：2.40%-2.80%；J份额：2.35%-2.75%；K份额：2.60%-3.00%；M份额：2.30%-2.70%；N份额：2.40%-2.80%；O份额：2.42%-2.82%；P份额：2.50%-2.90%；Q份额：2.60%-3.00%；R份额：2.65%-3.05%；S份额：2.45%-2.85%；U份额：2.55%-2.95%；V份额：2.50%-2.90%；W份额：2.40%-2.80%；Z份额：2.55%-2.95%；JS份额：2.40%-2.80%；LS份额：2.55%-2.95%；芙蓉锦程·优选份额：2.60%-3.00%。</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B份额：0.30%；C份额：0.20%；D份额：0.20%；E份额：0.20%；F份额：0.20%；G份额：0.30%；H份额：0.20%；I份额：0.15%；J份额：0.20%；K份额：0.10%；M份额：0.35%；N份额：0.25%；O份额：0.30%；P份额：0.15%；Q份额：0.10%；R份额：0.05%；S份额：0.15%；U份额：0.20%；V份额：0.15%；W份额：0.20%；Z份额：0.10%；JS份额：0.20%；LS份额：0.15%；芙蓉锦程·优选份额：0.15%。其中D/H/K/M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0.10%；C份额：0.10%；D份额：0.10%；E份额：0.10%；F份额：0.15%；G份额：0.15%；H份额：0.20%；I份额：0.25%；J份额：0.25%；K份额：0.10%；M份额：0.15%；N份额：0.15%；O份额：0.08%；P份额：0.15%；Q份额：0.10%；R份额：0.10%；S份额：0.20%；U份额：0.05%；V份额：0.15%；W份额：0.20%；Z份额：0.15%；JS份额：0.20%；LS份额：0.10%；芙蓉锦程·优选份额：0.05%</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lang w:val="en-US" w:eastAsia="zh-CN"/>
        </w:rPr>
      </w:pPr>
      <w:r>
        <w:rPr>
          <w:rFonts w:hint="eastAsia" w:ascii="楷体" w:hAnsi="楷体" w:eastAsia="楷体" w:cs="Times New Roman"/>
          <w:b/>
          <w:color w:val="auto"/>
          <w:sz w:val="21"/>
          <w:szCs w:val="21"/>
          <w:highlight w:val="none"/>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A份额：江苏常熟农村商业银行股份有限公司/江苏高淳农村商业银行股份有限公司/江苏姜堰农村商业银行股份有限公司/江苏银行股份有限公司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B份额：东莞农村商业银行股份有限公司/晋商银行股份有限公司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C份额：江苏银行股份有限公司/宁夏银行股份有限公司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武汉农村商业银行股份有限公司/浙江安吉农村商业银行股份有限公司/浙江德清农村商业银行股份有限公司/浙江禾城农村商业银行股份有限公司/浙江嘉善农村商业银行股份有限公司/浙江江山农村商业银行股份有限公司/浙江南浔农村商业银行股份有限公司/浙江平湖农村商业银行股份有限公司/浙江绍兴恒信农村商业银行股份有限公司/浙江松阳农村商业银行股份有限公司/浙江桐乡农村商业银行股份有限公司/浙江温州瓯海农村商业银行股份有限公司/浙江义乌农村商业银行股份有限公司/浙江舟山定海海洋农村商业银行股份有限公司/浙江诸暨农村商业银行股份有限公司/浙江岱山农村商业银行股份有限公司/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E份额：江苏常熟农村商业银行股份有限公司/江苏宜兴农村商业银行股份有限公司/江苏银行股份有限公司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东营银行股份有限公司/广东华润银行股份有限公司/广州银行股份有限公司/江苏苏州农村商业银行股份有限公司/莱商银行股份有限公司/齐鲁银行股份有限公司/秦皇岛银行股份有限公司/青岛银行股份有限公司/上海银行股份有限公司/威海银行股份有限公司/郑州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G份额：北京农村商业银行股份有限公司/江苏常熟农村商业银行股份有限公司/江苏苏州农村商业银行股份有限公司/山西银行股份有限公司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杭州联合农村商业银行股份有限公司/宁波慈溪农村商业银行股份有限公司/宁波宁海农村商业银行股份有限公司/宁波余姚农村商业银行股份有限公司/宁波镇海农村商业银行股份有限公司/宁波鄞州农村商业银行股份有限公司/宁波甬城农村商业银行股份有限公司/浙江富阳农村商业银行股份有限公司/浙江杭州余杭农村商业银行股份有限公司/浙江建德农村商业银行股份有限公司/浙江临安农村商业银行股份有限公司/浙江桐庐农村商业银行股份有限公司/浙江萧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杭州联合农村商业银行股份有限公司/宁波慈溪农村商业银行股份有限公司/宁波宁海农村商业银行股份有限公司/宁波余姚农村商业银行股份有限公司/宁波镇海农村商业银行股份有限公司/宁波鄞州农村商业银行股份有限公司/宁波甬城农村商业银行股份有限公司/苏银理财有限责任公司/浙江富阳农村商业银行股份有限公司/浙江杭州余杭农村商业银行股份有限公司/浙江建德农村商业银行股份有限公司/浙江临安农村商业银行股份有限公司/浙江绍兴瑞丰农村商业银行股份有限公司/浙江桐庐农村商业银行股份有限公司/浙江萧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K份额：武汉农村商业银行股份有限公司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N份额：青岛银行股份有限公司/兴业银行股份有限公司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O份额：东莞农村商业银行股份有限公司/湖北银行股份有限公司/九江银行股份有限公司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P份额：东营银行股份有限公司/齐鲁银行股份有限公司/上海银行股份有限公司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Q份额：广西北部湾银行股份有限公司/湖州吴兴农村商业银行股份有限公司/莱商银行股份有限公司/齐鲁银行股份有限公司/青岛银行股份有限公司/日照银行股份有限公司/苏银理财有限责任公司/泰安银行股份有限公司/浙江安吉农村商业银行股份有限公司/浙江苍南农村商业银行股份有限公司/浙江长兴农村商业银行股份有限公司/浙江淳安农村商业银行股份有限公司/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江山农村商业银行股份有限公司/浙江金华成泰农村商业银行股份有限公司/浙江开化农村商业银行股份有限公司/浙江兰溪农村商业银行股份有限公司/浙江乐清农村商业银行股份有限公司/浙江临海农村商业银行股份有限公司/浙江龙泉农村商业银行股份有限公司/浙江龙游农村商业银行股份有限公司/浙江南浔农村商业银行股份有限公司/浙江平湖农村商业银行股份有限公司/浙江浦江农村商业银行股份有限公司/浙江青田农村商业银行股份有限公司/浙江瑞安农村商业银行股份有限公司/浙江上虞农村商业银行股份有限公司/浙江绍兴恒信农村商业银行股份有限公司/浙江绍兴瑞丰农村商业银行股份有限公司/浙江遂昌农村商业银行股份有限公司/浙江台州黄岩农村商业银行股份有限公司/浙江台州路桥农村商业银行股份有限公司/浙江泰顺农村商业银行股份有限公司/浙江天台农村商业银行股份有限公司/浙江桐乡农村商业银行股份有限公司/浙江温岭农村商业银行股份有限公司/浙江温州龙湾农村商业银行股份有限公司/浙江温州鹿城农村商业银行股份有限公司/浙江温州瓯海农村商业银行股份有限公司/浙江文成农村商业银行股份有限公司/浙江武义农村商业银行股份有限公司/浙江仙居农村商业银行股份有限公司/浙江新昌农村商业银行股份有限公司/浙江义乌农村商业银行股份有限公司/浙江永嘉农村商业银行股份有限公司/浙江永康农村商业银行股份有限公司/浙江舟山定海海洋农村商业银行股份有限公司/浙江舟山普陀农村商业银行股份有限公司/浙江诸暨农村商业银行股份有限公司/浙江岱山农村商业银行股份有限公司/浙江嵊州农村商业银行股份有限公司/浙江衢州柯城农村商业银行股份有限公司/浙江衢州衢江农村商业银行股份有限公司/浙江缙云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R份额：潍坊银行股份有限公司/浙江淳安农村商业银行股份有限公司/浙江海宁农村商业银行股份有限公司/浙江嘉善农村商业银行股份有限公司/浙江青田农村商业银行股份有限公司/浙江永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S份额：湖州吴兴农村商业银行股份有限公司/浙江安吉农村商业银行股份有限公司/浙江苍南农村商业银行股份有限公司/浙江长兴农村商业银行股份有限公司/浙江德清农村商业银行股份有限公司/浙江东阳农村商业银行股份有限公司/浙江海宁农村商业银行股份有限公司/浙江海盐农村商业银行股份有限公司/浙江禾城农村商业银行股份有限公司/浙江嘉善农村商业银行股份有限公司/浙江江山农村商业银行股份有限公司/浙江金华成泰农村商业银行股份有限公司/浙江开化农村商业银行股份有限公司/浙江兰溪农村商业银行股份有限公司/浙江乐清农村商业银行股份有限公司/浙江临海农村商业银行股份有限公司/浙江龙泉农村商业银行股份有限公司/浙江龙游农村商业银行股份有限公司/浙江南浔农村商业银行股份有限公司/浙江平湖农村商业银行股份有限公司/浙江浦江农村商业银行股份有限公司/浙江青田农村商业银行股份有限公司/浙江瑞安农村商业银行股份有限公司/浙江上虞农村商业银行股份有限公司/浙江绍兴恒信农村商业银行股份有限公司/浙江遂昌农村商业银行股份有限公司/浙江台州黄岩农村商业银行股份有限公司/浙江台州路桥农村商业银行股份有限公司/浙江泰顺农村商业银行股份有限公司/浙江天台农村商业银行股份有限公司/浙江桐乡农村商业银行股份有限公司/浙江温岭农村商业银行股份有限公司/浙江温州龙湾农村商业银行股份有限公司/浙江温州鹿城农村商业银行股份有限公司/浙江温州瓯海农村商业银行股份有限公司/浙江文成农村商业银行股份有限公司/浙江武义农村商业银行股份有限公司/浙江仙居农村商业银行股份有限公司/浙江新昌农村商业银行股份有限公司/浙江义乌农村商业银行股份有限公司/浙江永嘉农村商业银行股份有限公司/浙江永康农村商业银行股份有限公司/浙江舟山定海海洋农村商业银行股份有限公司/浙江舟山普陀农村商业银行股份有限公司/浙江诸暨农村商业银行股份有限公司/浙江岱山农村商业银行股份有限公司/浙江嵊州农村商业银行股份有限公司/浙江衢州柯城农村商业银行股份有限公司/浙江衢州衢江农村商业银行股份有限公司/浙江缙云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U份额：嘉兴银行股份有限公司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V份额：郑州银行股份有限公司/齐鲁银行股份有限公司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W份额：浙江绍兴瑞丰农村商业银行股份有限公司/苏银理财有限责任公司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Z份额：甘肃银行股份有限公司/莱商银行股份有限公司/泰安银行股份有限公司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淮安农村商业银行股份有限公司/江苏建湖农村商业银行股份有限公司/江苏姜堰农村商业银行股份有限公司/江苏江都农村商业银行股份有限公司/江苏江南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苏州农村商业银行股份有限公司/江苏泰兴农村商业银行股份有限公司/江苏响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LS份额：莱商银行股份有限公司/苏银理财有限责任公司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35</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3"/>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反映资产净值，确定理财产品资产净值，并为理财产品的申购、赎回和兑付提供计价依据。</w:t>
      </w:r>
    </w:p>
    <w:p>
      <w:pPr>
        <w:pStyle w:val="13"/>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294"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29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293"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296"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b w:val="0"/>
        <w:bCs w:val="0"/>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isplayHorizontalDrawingGridEvery w:val="1"/>
  <w:displayVerticalDrawingGridEvery w:val="1"/>
  <w:noPunctuationKerning w:val="1"/>
  <w:characterSpacingControl w:val="doNotCompress"/>
  <w:compat>
    <w:balanceSingleByteDoubleByteWidth/>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FF5660"/>
    <w:rsid w:val="16262CB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宋体" w:hAnsi="宋体" w:eastAsia="宋体" w:cs="宋体"/>
      <w:sz w:val="28"/>
      <w:szCs w:val="22"/>
      <w:lang w:val="en-US" w:eastAsia="zh-CN" w:bidi="ar-SA"/>
    </w:rPr>
  </w:style>
  <w:style w:type="paragraph" w:styleId="2">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3">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5">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unhideWhenUsed/>
    <w:qFormat/>
    <w:uiPriority w:val="99"/>
    <w:pPr>
      <w:jc w:val="left"/>
    </w:pPr>
  </w:style>
  <w:style w:type="paragraph" w:styleId="13">
    <w:name w:val="Body Text"/>
    <w:basedOn w:val="1"/>
    <w:next w:val="1"/>
    <w:qFormat/>
    <w:uiPriority w:val="1"/>
    <w:pPr>
      <w:spacing w:before="162"/>
      <w:ind w:left="120"/>
      <w:jc w:val="left"/>
    </w:pPr>
    <w:rPr>
      <w:rFonts w:ascii="宋体" w:hAnsi="Times New Roman"/>
      <w:sz w:val="20"/>
      <w:szCs w:val="21"/>
    </w:r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2"/>
    <w:next w:val="12"/>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5"/>
    <w:qFormat/>
    <w:uiPriority w:val="9"/>
    <w:rPr>
      <w:rFonts w:ascii="Arial" w:hAnsi="Arial" w:eastAsia="Arial" w:cs="Arial"/>
      <w:i/>
      <w:iCs/>
      <w:color w:val="2E75B6" w:themeColor="accent1" w:themeShade="BF"/>
    </w:rPr>
  </w:style>
  <w:style w:type="character" w:customStyle="1" w:styleId="165">
    <w:name w:val="Heading 5 Char"/>
    <w:basedOn w:val="28"/>
    <w:link w:val="6"/>
    <w:qFormat/>
    <w:uiPriority w:val="9"/>
    <w:rPr>
      <w:rFonts w:ascii="Arial" w:hAnsi="Arial" w:eastAsia="Arial" w:cs="Arial"/>
      <w:color w:val="2E75B6" w:themeColor="accent1" w:themeShade="BF"/>
    </w:rPr>
  </w:style>
  <w:style w:type="character" w:customStyle="1" w:styleId="166">
    <w:name w:val="Heading 6 Char"/>
    <w:basedOn w:val="28"/>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2"/>
    <w:qFormat/>
    <w:uiPriority w:val="1"/>
    <w:rPr>
      <w:rFonts w:ascii="黑体" w:hAnsi="Times New Roman" w:eastAsia="黑体" w:cs="Times New Roman"/>
      <w:b/>
      <w:bCs/>
      <w:sz w:val="36"/>
      <w:szCs w:val="36"/>
    </w:rPr>
  </w:style>
  <w:style w:type="character" w:customStyle="1" w:styleId="188">
    <w:name w:val="标题 2 Char"/>
    <w:link w:val="3"/>
    <w:qFormat/>
    <w:uiPriority w:val="9"/>
    <w:rPr>
      <w:rFonts w:ascii="Cambria" w:hAnsi="Cambria" w:eastAsia="宋体" w:cs="Times New Roman"/>
      <w:b/>
      <w:bCs/>
      <w:sz w:val="32"/>
      <w:szCs w:val="32"/>
    </w:rPr>
  </w:style>
  <w:style w:type="character" w:customStyle="1" w:styleId="189">
    <w:name w:val="标题 3 Char"/>
    <w:link w:val="4"/>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匿名用户</cp:lastModifiedBy>
  <dcterms:modified xsi:type="dcterms:W3CDTF">2026-07-23T07:09:07Z</dcterms:modified>
  <cp:revision>11</cp:revision>
</cp:coreProperties>
</file>

<file path=customXml/item3.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Props1.xml><?xml version="1.0" encoding="utf-8"?>
<ds:datastoreItem xmlns:ds="http://schemas.openxmlformats.org/officeDocument/2006/customXml" ds:itemID="{a430b498-2fc6-4132-ba54-ac2b251a4d41}">
  <ds:schemaRefs/>
</ds:datastoreItem>
</file>

<file path=customXml/itemProps2.xml><?xml version="1.0" encoding="utf-8"?>
<ds:datastoreItem xmlns:ds="http://schemas.openxmlformats.org/officeDocument/2006/customXml" ds:itemID="{e25c814a-b0b2-4fc5-b564-4bc6a5be55cf}">
  <ds:schemaRefs/>
</ds:datastoreItem>
</file>

<file path=customXml/itemProps3.xml><?xml version="1.0" encoding="utf-8"?>
<ds:datastoreItem xmlns:ds="http://schemas.openxmlformats.org/officeDocument/2006/customXml" ds:itemID="{251edc15-ab78-4bd6-ae9f-0b63ac58693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2026-07-23T08:55:35Z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7FAD7E6D94524E8FA745DB5CE3B66622</vt:lpwstr>
  </property>
</Properties>
</file>