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customXmlProperties+xml" PartName="/customXml/itemProps7.xml"/>
  <Override ContentType="application/vnd.openxmlformats-officedocument.customXmlProperties+xml" PartName="/customXml/itemProps8.xml"/>
  <Override ContentType="application/vnd.openxmlformats-officedocument.customXmlProperties+xml" PartName="/customXml/itemProps9.xml"/>
  <Override ContentType="application/vnd.openxmlformats-officedocument.customXmlProperties+xml" PartName="/customXml/itemProps10.xml"/>
  <Override ContentType="application/vnd.openxmlformats-officedocument.customXmlProperties+xml" PartName="/customXml/itemProps11.xml"/>
  <Override ContentType="application/vnd.openxmlformats-officedocument.customXmlProperties+xml" PartName="/customXml/itemProps12.xml"/>
  <Override ContentType="application/vnd.openxmlformats-officedocument.customXmlProperties+xml" PartName="/customXml/itemProps13.xml"/>
  <Override ContentType="application/vnd.openxmlformats-officedocument.customXmlProperties+xml" PartName="/customXml/itemProps14.xml"/>
  <Override ContentType="application/vnd.openxmlformats-officedocument.customXmlProperties+xml" PartName="/customXml/itemProps15.xml"/>
  <Override ContentType="application/vnd.openxmlformats-officedocument.customXmlProperties+xml" PartName="/customXml/itemProps16.xml"/>
  <Override ContentType="application/vnd.openxmlformats-officedocument.customXmlProperties+xml" PartName="/customXml/itemProps17.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BE26C">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14:paraId="49B8926B">
      <w:pPr>
        <w:adjustRightInd w:val="0"/>
        <w:spacing w:line="360" w:lineRule="auto"/>
        <w:jc w:val="center"/>
        <w:rPr>
          <w:rStyle w:val="27"/>
          <w:rFonts w:ascii="宋体" w:hAnsi="宋体"/>
          <w:sz w:val="32"/>
          <w:szCs w:val="32"/>
        </w:rPr>
      </w:pPr>
    </w:p>
    <w:p w14:paraId="7438CF58">
      <w:pPr>
        <w:adjustRightInd w:val="0"/>
        <w:spacing w:line="360" w:lineRule="auto"/>
        <w:jc w:val="center"/>
        <w:rPr>
          <w:rStyle w:val="27"/>
          <w:rFonts w:ascii="宋体" w:hAnsi="宋体"/>
          <w:sz w:val="32"/>
          <w:szCs w:val="32"/>
        </w:rPr>
      </w:pPr>
    </w:p>
    <w:p w14:paraId="50A52D15">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7620" b="762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7DE326A">
      <w:pPr>
        <w:adjustRightInd w:val="0"/>
        <w:spacing w:line="360" w:lineRule="auto"/>
        <w:jc w:val="center"/>
        <w:rPr>
          <w:rStyle w:val="27"/>
          <w:rFonts w:ascii="宋体" w:hAnsi="宋体"/>
          <w:sz w:val="32"/>
          <w:szCs w:val="32"/>
        </w:rPr>
      </w:pPr>
    </w:p>
    <w:p w14:paraId="19D9C1EA">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rPr>
        <w:t>兴银理财【稳添利日盈日开固收类】理财产品</w:t>
      </w:r>
      <w:permEnd w:id="0"/>
    </w:p>
    <w:p w14:paraId="19AD0F2B">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14:paraId="3CE45576">
      <w:pPr>
        <w:adjustRightInd w:val="0"/>
        <w:spacing w:line="360" w:lineRule="auto"/>
        <w:jc w:val="center"/>
        <w:rPr>
          <w:rStyle w:val="27"/>
          <w:rFonts w:ascii="宋体" w:hAnsi="宋体"/>
          <w:sz w:val="32"/>
          <w:szCs w:val="32"/>
        </w:rPr>
      </w:pPr>
    </w:p>
    <w:p w14:paraId="20E0AF4E">
      <w:pPr>
        <w:adjustRightInd w:val="0"/>
        <w:spacing w:line="360" w:lineRule="auto"/>
        <w:jc w:val="center"/>
        <w:rPr>
          <w:rStyle w:val="27"/>
          <w:rFonts w:ascii="黑体" w:hAnsi="黑体" w:eastAsia="黑体"/>
          <w:bCs w:val="0"/>
          <w:sz w:val="28"/>
          <w:szCs w:val="28"/>
        </w:rPr>
      </w:pPr>
    </w:p>
    <w:p w14:paraId="4A7C5CEC">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14:paraId="4038115B">
      <w:pPr>
        <w:adjustRightInd w:val="0"/>
        <w:spacing w:line="360" w:lineRule="auto"/>
        <w:jc w:val="center"/>
        <w:rPr>
          <w:rStyle w:val="27"/>
          <w:rFonts w:ascii="宋体" w:hAnsi="宋体"/>
          <w:sz w:val="32"/>
          <w:szCs w:val="32"/>
        </w:rPr>
      </w:pPr>
    </w:p>
    <w:p w14:paraId="65079D21">
      <w:pPr>
        <w:adjustRightInd w:val="0"/>
        <w:spacing w:line="360" w:lineRule="auto"/>
        <w:jc w:val="center"/>
        <w:rPr>
          <w:rStyle w:val="27"/>
          <w:rFonts w:ascii="宋体" w:hAnsi="宋体"/>
          <w:sz w:val="32"/>
          <w:szCs w:val="32"/>
        </w:rPr>
      </w:pPr>
    </w:p>
    <w:p w14:paraId="67ADEF18">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【2026】年【1】月</w:t>
      </w:r>
      <w:permEnd w:id="1"/>
    </w:p>
    <w:p w14:paraId="6537A377">
      <w:pPr>
        <w:rPr>
          <w:rStyle w:val="27"/>
          <w:rFonts w:ascii="宋体" w:hAnsi="宋体"/>
          <w:sz w:val="32"/>
          <w:szCs w:val="32"/>
        </w:rPr>
      </w:pPr>
      <w:r>
        <w:rPr>
          <w:rStyle w:val="27"/>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14:paraId="6664F53B">
          <w:pPr>
            <w:pStyle w:val="48"/>
            <w:spacing w:line="360" w:lineRule="auto"/>
            <w:jc w:val="center"/>
          </w:pPr>
          <w:bookmarkStart w:id="0" w:name="_Toc78276587"/>
          <w:permStart w:id="2" w:edGrp="everyone"/>
          <w:r>
            <w:rPr>
              <w:lang w:val="zh-CN"/>
            </w:rPr>
            <w:t>目录</w:t>
          </w:r>
        </w:p>
        <w:p w14:paraId="4C150A23">
          <w:pPr>
            <w:pStyle w:val="16"/>
            <w:tabs>
              <w:tab w:val="right" w:leader="dot" w:pos="8306"/>
            </w:tabs>
          </w:pPr>
          <w:r>
            <w:fldChar w:fldCharType="begin"/>
          </w:r>
          <w:r>
            <w:instrText xml:space="preserve"> TOC \o "1-3" \h \z \u </w:instrText>
          </w:r>
          <w:r>
            <w:fldChar w:fldCharType="separate"/>
          </w:r>
          <w:r>
            <w:fldChar w:fldCharType="begin"/>
          </w:r>
          <w:r>
            <w:instrText xml:space="preserve"> HYPERLINK \l "_Toc11639"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_Toc11639 \h </w:instrText>
          </w:r>
          <w:r>
            <w:fldChar w:fldCharType="separate"/>
          </w:r>
          <w:r>
            <w:t>3</w:t>
          </w:r>
          <w:r>
            <w:fldChar w:fldCharType="end"/>
          </w:r>
          <w:r>
            <w:fldChar w:fldCharType="end"/>
          </w:r>
        </w:p>
        <w:p w14:paraId="6FA15FD5">
          <w:pPr>
            <w:pStyle w:val="16"/>
            <w:tabs>
              <w:tab w:val="right" w:leader="dot" w:pos="8306"/>
            </w:tabs>
          </w:pPr>
          <w:r>
            <w:fldChar w:fldCharType="begin"/>
          </w:r>
          <w:r>
            <w:instrText xml:space="preserve"> HYPERLINK \l "_Toc662" </w:instrText>
          </w:r>
          <w:r>
            <w:fldChar w:fldCharType="separate"/>
          </w:r>
          <w:r>
            <w:rPr>
              <w:rFonts w:hint="eastAsia" w:hAnsi="宋体"/>
              <w:szCs w:val="28"/>
            </w:rPr>
            <w:t xml:space="preserve">第二条  理财产品基本情况 </w:t>
          </w:r>
          <w:r>
            <w:tab/>
          </w:r>
          <w:r>
            <w:fldChar w:fldCharType="begin"/>
          </w:r>
          <w:r>
            <w:instrText xml:space="preserve"> PAGEREF _Toc662 \h </w:instrText>
          </w:r>
          <w:r>
            <w:fldChar w:fldCharType="separate"/>
          </w:r>
          <w:r>
            <w:t>8</w:t>
          </w:r>
          <w:r>
            <w:fldChar w:fldCharType="end"/>
          </w:r>
          <w:r>
            <w:fldChar w:fldCharType="end"/>
          </w:r>
        </w:p>
        <w:p w14:paraId="0AC1D516">
          <w:pPr>
            <w:pStyle w:val="16"/>
            <w:tabs>
              <w:tab w:val="right" w:leader="dot" w:pos="8306"/>
            </w:tabs>
          </w:pPr>
          <w:r>
            <w:fldChar w:fldCharType="begin"/>
          </w:r>
          <w:r>
            <w:instrText xml:space="preserve"> HYPERLINK \l "_Toc26096"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_Toc26096 \h </w:instrText>
          </w:r>
          <w:r>
            <w:fldChar w:fldCharType="separate"/>
          </w:r>
          <w:r>
            <w:t>15</w:t>
          </w:r>
          <w:r>
            <w:fldChar w:fldCharType="end"/>
          </w:r>
          <w:r>
            <w:fldChar w:fldCharType="end"/>
          </w:r>
        </w:p>
        <w:p w14:paraId="5DCC902E">
          <w:pPr>
            <w:pStyle w:val="16"/>
            <w:tabs>
              <w:tab w:val="right" w:leader="dot" w:pos="8306"/>
            </w:tabs>
          </w:pPr>
          <w:r>
            <w:fldChar w:fldCharType="begin"/>
          </w:r>
          <w:r>
            <w:instrText xml:space="preserve"> HYPERLINK \l "_Toc16237"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_Toc16237 \h </w:instrText>
          </w:r>
          <w:r>
            <w:fldChar w:fldCharType="separate"/>
          </w:r>
          <w:r>
            <w:t>17</w:t>
          </w:r>
          <w:r>
            <w:fldChar w:fldCharType="end"/>
          </w:r>
          <w:r>
            <w:fldChar w:fldCharType="end"/>
          </w:r>
        </w:p>
        <w:p w14:paraId="40BE5E15">
          <w:pPr>
            <w:pStyle w:val="16"/>
            <w:tabs>
              <w:tab w:val="right" w:leader="dot" w:pos="8306"/>
            </w:tabs>
          </w:pPr>
          <w:r>
            <w:fldChar w:fldCharType="begin"/>
          </w:r>
          <w:r>
            <w:instrText xml:space="preserve"> HYPERLINK \l "_Toc25928"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_Toc25928 \h </w:instrText>
          </w:r>
          <w:r>
            <w:fldChar w:fldCharType="separate"/>
          </w:r>
          <w:r>
            <w:t>21</w:t>
          </w:r>
          <w:r>
            <w:fldChar w:fldCharType="end"/>
          </w:r>
          <w:r>
            <w:fldChar w:fldCharType="end"/>
          </w:r>
        </w:p>
        <w:p w14:paraId="7602511D">
          <w:pPr>
            <w:pStyle w:val="16"/>
            <w:tabs>
              <w:tab w:val="right" w:leader="dot" w:pos="8306"/>
            </w:tabs>
          </w:pPr>
          <w:r>
            <w:fldChar w:fldCharType="begin"/>
          </w:r>
          <w:r>
            <w:instrText xml:space="preserve"> HYPERLINK \l "_Toc26100"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_Toc26100 \h </w:instrText>
          </w:r>
          <w:r>
            <w:fldChar w:fldCharType="separate"/>
          </w:r>
          <w:r>
            <w:t>24</w:t>
          </w:r>
          <w:r>
            <w:fldChar w:fldCharType="end"/>
          </w:r>
          <w:r>
            <w:fldChar w:fldCharType="end"/>
          </w:r>
        </w:p>
        <w:p w14:paraId="37004017">
          <w:pPr>
            <w:pStyle w:val="16"/>
            <w:tabs>
              <w:tab w:val="right" w:leader="dot" w:pos="8306"/>
            </w:tabs>
          </w:pPr>
          <w:r>
            <w:fldChar w:fldCharType="begin"/>
          </w:r>
          <w:r>
            <w:instrText xml:space="preserve"> HYPERLINK \l "_Toc12709"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_Toc12709 \h </w:instrText>
          </w:r>
          <w:r>
            <w:fldChar w:fldCharType="separate"/>
          </w:r>
          <w:r>
            <w:t>25</w:t>
          </w:r>
          <w:r>
            <w:fldChar w:fldCharType="end"/>
          </w:r>
          <w:r>
            <w:fldChar w:fldCharType="end"/>
          </w:r>
        </w:p>
        <w:p w14:paraId="55E23A27">
          <w:pPr>
            <w:pStyle w:val="16"/>
            <w:tabs>
              <w:tab w:val="right" w:leader="dot" w:pos="8306"/>
            </w:tabs>
          </w:pPr>
          <w:r>
            <w:fldChar w:fldCharType="begin"/>
          </w:r>
          <w:r>
            <w:instrText xml:space="preserve"> HYPERLINK \l "_Toc14373"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_Toc14373 \h </w:instrText>
          </w:r>
          <w:r>
            <w:fldChar w:fldCharType="separate"/>
          </w:r>
          <w:r>
            <w:t>29</w:t>
          </w:r>
          <w:r>
            <w:fldChar w:fldCharType="end"/>
          </w:r>
          <w:r>
            <w:fldChar w:fldCharType="end"/>
          </w:r>
        </w:p>
        <w:p w14:paraId="57978350">
          <w:pPr>
            <w:pStyle w:val="16"/>
            <w:tabs>
              <w:tab w:val="right" w:leader="dot" w:pos="8306"/>
            </w:tabs>
          </w:pPr>
          <w:r>
            <w:fldChar w:fldCharType="begin"/>
          </w:r>
          <w:r>
            <w:instrText xml:space="preserve"> HYPERLINK \l "_Toc12257"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_Toc12257 \h </w:instrText>
          </w:r>
          <w:r>
            <w:fldChar w:fldCharType="separate"/>
          </w:r>
          <w:r>
            <w:t>30</w:t>
          </w:r>
          <w:r>
            <w:fldChar w:fldCharType="end"/>
          </w:r>
          <w:r>
            <w:fldChar w:fldCharType="end"/>
          </w:r>
        </w:p>
        <w:p w14:paraId="61D6706D">
          <w:pPr>
            <w:pStyle w:val="16"/>
            <w:tabs>
              <w:tab w:val="right" w:leader="dot" w:pos="8306"/>
            </w:tabs>
          </w:pPr>
          <w:r>
            <w:fldChar w:fldCharType="begin"/>
          </w:r>
          <w:r>
            <w:instrText xml:space="preserve"> HYPERLINK \l "_Toc3880"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_Toc3880 \h </w:instrText>
          </w:r>
          <w:r>
            <w:fldChar w:fldCharType="separate"/>
          </w:r>
          <w:r>
            <w:t>32</w:t>
          </w:r>
          <w:r>
            <w:fldChar w:fldCharType="end"/>
          </w:r>
          <w:r>
            <w:fldChar w:fldCharType="end"/>
          </w:r>
        </w:p>
        <w:p w14:paraId="2D255129">
          <w:pPr>
            <w:pStyle w:val="16"/>
            <w:tabs>
              <w:tab w:val="right" w:leader="dot" w:pos="8306"/>
            </w:tabs>
          </w:pPr>
          <w:r>
            <w:fldChar w:fldCharType="begin"/>
          </w:r>
          <w:r>
            <w:instrText xml:space="preserve"> HYPERLINK \l "_Toc9552"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_Toc9552 \h </w:instrText>
          </w:r>
          <w:r>
            <w:fldChar w:fldCharType="separate"/>
          </w:r>
          <w:r>
            <w:t>34</w:t>
          </w:r>
          <w:r>
            <w:fldChar w:fldCharType="end"/>
          </w:r>
          <w:r>
            <w:fldChar w:fldCharType="end"/>
          </w:r>
        </w:p>
        <w:p w14:paraId="08C78EE2">
          <w:pPr>
            <w:pStyle w:val="16"/>
            <w:tabs>
              <w:tab w:val="right" w:leader="dot" w:pos="8306"/>
            </w:tabs>
          </w:pPr>
          <w:r>
            <w:fldChar w:fldCharType="begin"/>
          </w:r>
          <w:r>
            <w:instrText xml:space="preserve"> HYPERLINK \l "_Toc28813"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_Toc28813 \h </w:instrText>
          </w:r>
          <w:r>
            <w:fldChar w:fldCharType="separate"/>
          </w:r>
          <w:r>
            <w:t>36</w:t>
          </w:r>
          <w:r>
            <w:fldChar w:fldCharType="end"/>
          </w:r>
          <w:r>
            <w:fldChar w:fldCharType="end"/>
          </w:r>
        </w:p>
        <w:p w14:paraId="48E1CC49">
          <w:pPr>
            <w:spacing w:line="360" w:lineRule="auto"/>
          </w:pPr>
          <w:r>
            <w:fldChar w:fldCharType="end"/>
          </w:r>
        </w:p>
      </w:sdtContent>
    </w:sdt>
    <w:permEnd w:id="2"/>
    <w:p w14:paraId="57D35381">
      <w:pPr>
        <w:rPr>
          <w:rFonts w:ascii="Times New Roman"/>
          <w:sz w:val="30"/>
        </w:rPr>
      </w:pPr>
    </w:p>
    <w:p w14:paraId="35B8273B">
      <w:pPr>
        <w:rPr>
          <w:rFonts w:ascii="Times New Roman"/>
          <w:sz w:val="30"/>
        </w:rPr>
      </w:pPr>
      <w:r>
        <w:rPr>
          <w:rFonts w:ascii="Times New Roman"/>
          <w:sz w:val="30"/>
        </w:rPr>
        <w:br w:type="page"/>
      </w:r>
    </w:p>
    <w:p w14:paraId="7E5D4E71">
      <w:pPr>
        <w:pStyle w:val="2"/>
        <w:spacing w:before="0" w:after="0" w:line="360" w:lineRule="auto"/>
        <w:jc w:val="center"/>
        <w:rPr>
          <w:rFonts w:ascii="Times New Roman"/>
          <w:sz w:val="30"/>
        </w:rPr>
      </w:pPr>
      <w:bookmarkStart w:id="1" w:name="_Toc19573"/>
      <w:bookmarkStart w:id="2" w:name="_Toc11639"/>
      <w:bookmarkStart w:id="3" w:name="_Toc15989"/>
      <w:bookmarkStart w:id="4" w:name="_Toc103260528"/>
      <w:bookmarkStart w:id="5" w:name="_Toc92377130"/>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bookmarkEnd w:id="2"/>
      <w:bookmarkEnd w:id="3"/>
      <w:bookmarkEnd w:id="4"/>
      <w:bookmarkEnd w:id="5"/>
    </w:p>
    <w:p w14:paraId="0CE19E9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14:paraId="08544647">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14:paraId="3406A2A0">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14:paraId="6435844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中国建设银行股份有限公司（以下简称“建设银行”）。建设银行成立于1954年，于1998年开展资产托管业务，具备理财产品托管资格。托管人提供的托管服务内容主要包括托管资产的账户管理、资产保管、资金清算、会计核算与资产估值、投资监督和信息报告等。</w:t>
      </w:r>
      <w:permEnd w:id="3"/>
      <w:r>
        <w:rPr>
          <w:rFonts w:asciiTheme="majorEastAsia" w:hAnsiTheme="majorEastAsia" w:eastAsiaTheme="majorEastAsia"/>
          <w:bCs/>
          <w:color w:val="auto"/>
          <w:sz w:val="18"/>
          <w:szCs w:val="18"/>
        </w:rPr>
        <w:t xml:space="preserve"> </w:t>
      </w:r>
    </w:p>
    <w:p w14:paraId="40A3A9D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14:paraId="52BA9B4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14:paraId="50BDA54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w:t>
      </w:r>
      <w:r>
        <w:rPr>
          <w:rFonts w:hint="eastAsia" w:hAnsi="宋体"/>
          <w:bCs/>
          <w:kern w:val="2"/>
          <w:sz w:val="18"/>
          <w:szCs w:val="18"/>
          <w:lang w:bidi="ar"/>
        </w:rPr>
        <w:t>自然人、法人或者依法成立的其他组织</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p>
    <w:p w14:paraId="4CAAC5AC">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14:paraId="4FE052F3">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14:paraId="4B153A30">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14:paraId="51E794D6">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14:paraId="7E0F28A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14:paraId="1E40B004">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14:paraId="061C69F2">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14:paraId="1E6641E5">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5"/>
      <w:r>
        <w:rPr>
          <w:rFonts w:hint="eastAsia" w:asciiTheme="majorEastAsia" w:hAnsiTheme="majorEastAsia" w:eastAsiaTheme="majorEastAsia"/>
          <w:bCs/>
          <w:sz w:val="18"/>
          <w:szCs w:val="18"/>
        </w:rPr>
        <w:t>投资协议书》，以及对该文件的有效修改或补充。</w:t>
      </w:r>
    </w:p>
    <w:p w14:paraId="12620FE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6"/>
      <w:r>
        <w:rPr>
          <w:rFonts w:hint="eastAsia" w:asciiTheme="majorEastAsia" w:hAnsiTheme="majorEastAsia" w:eastAsiaTheme="majorEastAsia"/>
          <w:bCs/>
          <w:sz w:val="18"/>
          <w:szCs w:val="18"/>
        </w:rPr>
        <w:t>产品说明书》，以及对该文件的有效修改或补充。</w:t>
      </w:r>
    </w:p>
    <w:p w14:paraId="579D786D">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14:paraId="32BAFAF7">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14:paraId="5A9D44F4">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rPr>
        <w:t>兴银理财【稳添利日盈日开固收类】理财产品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rPr>
        <w:t>兴银理财【</w:t>
      </w:r>
      <w:r>
        <w:rPr>
          <w:rFonts w:hint="eastAsia" w:asciiTheme="majorEastAsia" w:hAnsiTheme="majorEastAsia" w:eastAsiaTheme="majorEastAsia"/>
          <w:bCs/>
          <w:sz w:val="18"/>
          <w:szCs w:val="18"/>
          <w:lang w:val="en-US" w:eastAsia="zh-CN"/>
        </w:rPr>
        <w:t>稳添利日盈日开固收类</w:t>
      </w:r>
      <w:r>
        <w:rPr>
          <w:rFonts w:hint="eastAsia" w:asciiTheme="majorEastAsia" w:hAnsiTheme="majorEastAsia" w:eastAsiaTheme="majorEastAsia"/>
          <w:bCs/>
          <w:sz w:val="18"/>
          <w:szCs w:val="18"/>
        </w:rPr>
        <w:t>】理财产品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14:paraId="1AAB8580">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14:paraId="57F4E25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14:paraId="7952DB6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14:paraId="1BCB160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14:paraId="2832BE6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14:paraId="5FCBC02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14:paraId="6A2A642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14:paraId="3FA18EC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14:paraId="7905DB5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14:paraId="41F09C4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14:paraId="45FD22E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14:paraId="0A128BF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14:paraId="4BEFFF34">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14:paraId="66094B2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14:paraId="2851F83B">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14:paraId="375C63E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14:paraId="62ACFE4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14:paraId="7BC235FF">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14:paraId="16016748">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14:paraId="17F3EF2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14:paraId="6ECC78B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14:paraId="7C0A7B0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14:paraId="38D1610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14:paraId="28D0203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14:paraId="3673351A">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14:paraId="4152FC9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14:paraId="35954E2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14:paraId="2C243E19">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14:paraId="3D406FA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（20）巨额赎回：</w:t>
      </w:r>
      <w:r>
        <w:rPr>
          <w:rFonts w:hint="eastAsia" w:asciiTheme="minorEastAsia" w:hAnsiTheme="minorEastAsia"/>
          <w:bCs/>
          <w:color w:val="auto"/>
          <w:sz w:val="18"/>
          <w:szCs w:val="18"/>
        </w:rPr>
        <w:t>单个开放日中，本产品的产品份额净赎回申请（赎回申请总份额扣除申购总份额后的余额</w:t>
      </w:r>
      <w:r>
        <w:rPr>
          <w:rFonts w:asciiTheme="minorEastAsia" w:hAnsiTheme="minorEastAsia"/>
          <w:bCs/>
          <w:color w:val="auto"/>
          <w:sz w:val="18"/>
          <w:szCs w:val="18"/>
        </w:rPr>
        <w:t>,</w:t>
      </w:r>
      <w:r>
        <w:rPr>
          <w:rFonts w:hint="eastAsia" w:asciiTheme="minorEastAsia" w:hAnsiTheme="minorEastAsia"/>
          <w:bCs/>
          <w:color w:val="auto"/>
          <w:sz w:val="18"/>
          <w:szCs w:val="18"/>
        </w:rPr>
        <w:t>下同）之和达到上一日产品总份额的</w:t>
      </w:r>
      <w:r>
        <w:rPr>
          <w:rFonts w:asciiTheme="minorEastAsia" w:hAnsiTheme="minorEastAsia"/>
          <w:bCs/>
          <w:color w:val="auto"/>
          <w:sz w:val="18"/>
          <w:szCs w:val="18"/>
        </w:rPr>
        <w:t>约定百分比</w:t>
      </w:r>
      <w:r>
        <w:rPr>
          <w:rFonts w:hint="eastAsia" w:asciiTheme="minorEastAsia" w:hAnsiTheme="minorEastAsia"/>
          <w:bCs/>
          <w:color w:val="auto"/>
          <w:sz w:val="18"/>
          <w:szCs w:val="18"/>
        </w:rPr>
        <w:t>，为巨额赎回。</w:t>
      </w:r>
    </w:p>
    <w:p w14:paraId="6584D03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14:paraId="48512EC7">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2BA3EA1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14:paraId="6DA1A4F5">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14:paraId="34863CE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14:paraId="3E3E92C5">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14:paraId="3FC7A03D">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r>
        <w:rPr>
          <w:rFonts w:asciiTheme="majorEastAsia" w:hAnsiTheme="majorEastAsia" w:eastAsiaTheme="majorEastAsia"/>
          <w:bCs/>
          <w:color w:val="auto"/>
          <w:sz w:val="18"/>
          <w:szCs w:val="18"/>
        </w:rPr>
        <w:t xml:space="preserve"> </w:t>
      </w:r>
    </w:p>
    <w:p w14:paraId="69E120D1">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14:paraId="2FC20DC8">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14:paraId="7991945B">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6769F6FC">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14:paraId="7B5038B9">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14:paraId="354A84ED">
      <w:pPr>
        <w:pStyle w:val="34"/>
        <w:spacing w:line="360" w:lineRule="auto"/>
        <w:ind w:firstLine="360" w:firstLineChars="200"/>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14:paraId="20B8D081">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14:paraId="282A007C">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14:paraId="252DCAC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（12）申购申请日：指投资者做出申购申请的当日。</w:t>
      </w:r>
    </w:p>
    <w:p w14:paraId="3EC7E81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（13）赎回申请日：指投资者做出赎回申请的当日。</w:t>
      </w:r>
    </w:p>
    <w:p w14:paraId="7FA4E88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（14）申购日：指产品管理人接受投资者申购申请的当日。</w:t>
      </w:r>
    </w:p>
    <w:p w14:paraId="74B7352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（15）赎回日：指产品管理人接受投资者赎回申请的当日。</w:t>
      </w:r>
    </w:p>
    <w:p w14:paraId="46707DDB">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（16）申购确认日：指产品管理人确认投资者申购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14:paraId="213903A8">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（17）赎回确认日：指产品管理人确认投资者赎回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14:paraId="382AB74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8）清算期：指自本理财产品终止日至投资者理财利益到账日之间的期间。</w:t>
      </w:r>
    </w:p>
    <w:p w14:paraId="78CC923D">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14:paraId="3F83E6C8">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14:paraId="493A55E8">
      <w:pPr>
        <w:widowControl/>
        <w:spacing w:line="360" w:lineRule="auto"/>
        <w:ind w:firstLine="360" w:firstLineChars="200"/>
        <w:jc w:val="left"/>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14:paraId="3A8E01F9">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14:paraId="5CE0F8A6">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14:paraId="6FC6FE83">
      <w:pPr>
        <w:pStyle w:val="34"/>
        <w:spacing w:line="360" w:lineRule="auto"/>
        <w:ind w:firstLine="360" w:firstLineChars="200"/>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14:paraId="7A2E64FE">
      <w:pPr>
        <w:pStyle w:val="34"/>
        <w:spacing w:line="360" w:lineRule="auto"/>
        <w:ind w:firstLine="360" w:firstLineChars="200"/>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14:paraId="4A30C129">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14:paraId="028636F6">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14:paraId="135C6883">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14:paraId="2B30E65D">
      <w:pPr>
        <w:spacing w:line="360" w:lineRule="auto"/>
        <w:ind w:firstLine="360" w:firstLineChars="200"/>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p>
    <w:p w14:paraId="742DC45B">
      <w:pPr>
        <w:widowControl/>
        <w:spacing w:line="360" w:lineRule="auto"/>
        <w:jc w:val="left"/>
        <w:rPr>
          <w:rFonts w:ascii="宋体" w:hAnsi="宋体"/>
          <w:color w:val="000000"/>
          <w:kern w:val="0"/>
          <w:sz w:val="28"/>
          <w:szCs w:val="28"/>
        </w:rPr>
      </w:pPr>
      <w:r>
        <w:rPr>
          <w:rFonts w:hAnsi="宋体"/>
          <w:sz w:val="28"/>
          <w:szCs w:val="28"/>
        </w:rPr>
        <w:br w:type="page"/>
      </w:r>
    </w:p>
    <w:p w14:paraId="324771CE">
      <w:pPr>
        <w:pStyle w:val="2"/>
        <w:spacing w:before="0" w:after="0" w:line="360" w:lineRule="auto"/>
        <w:jc w:val="center"/>
        <w:rPr>
          <w:rFonts w:hAnsi="宋体"/>
          <w:sz w:val="28"/>
          <w:szCs w:val="28"/>
        </w:rPr>
      </w:pPr>
      <w:bookmarkStart w:id="6" w:name="_Toc103260529"/>
      <w:bookmarkStart w:id="7" w:name="_Toc79154665"/>
      <w:bookmarkStart w:id="8" w:name="_Toc92377131"/>
      <w:bookmarkStart w:id="9" w:name="_Toc3887"/>
      <w:bookmarkStart w:id="10" w:name="_Toc32003"/>
      <w:bookmarkStart w:id="11" w:name="_Toc662"/>
      <w:r>
        <w:rPr>
          <w:rFonts w:hint="eastAsia" w:hAnsi="宋体"/>
          <w:sz w:val="28"/>
          <w:szCs w:val="28"/>
        </w:rPr>
        <w:t>第二条  理财产品基本情况</w:t>
      </w:r>
      <w:bookmarkEnd w:id="6"/>
      <w:bookmarkEnd w:id="7"/>
      <w:bookmarkEnd w:id="8"/>
      <w:bookmarkEnd w:id="9"/>
      <w:r>
        <w:rPr>
          <w:rFonts w:hint="eastAsia" w:hAnsi="宋体"/>
          <w:sz w:val="28"/>
          <w:szCs w:val="28"/>
        </w:rPr>
        <w:t xml:space="preserve"> </w:t>
      </w:r>
      <w:bookmarkEnd w:id="10"/>
      <w:bookmarkEnd w:id="11"/>
    </w:p>
    <w:tbl>
      <w:tblPr>
        <w:tblStyle w:val="24"/>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14:paraId="25B4CED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14:paraId="263C71FF">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vAlign w:val="top"/>
          </w:tcPr>
          <w:p w14:paraId="09BA27BC">
            <w:pPr>
              <w:spacing w:line="360" w:lineRule="auto"/>
              <w:jc w:val="left"/>
              <w:rPr>
                <w:rFonts w:ascii="宋体" w:hAnsi="宋体"/>
                <w:bCs/>
                <w:sz w:val="18"/>
                <w:szCs w:val="18"/>
              </w:rPr>
            </w:pPr>
            <w:r>
              <w:rPr>
                <w:rFonts w:hint="eastAsia" w:ascii="宋体" w:hAnsi="宋体"/>
                <w:sz w:val="18"/>
                <w:szCs w:val="18"/>
              </w:rPr>
              <w:t>【</w:t>
            </w:r>
            <w:r>
              <w:rPr>
                <w:rFonts w:hint="eastAsia" w:ascii="宋体" w:hAnsi="宋体"/>
                <w:sz w:val="18"/>
                <w:szCs w:val="18"/>
                <w:lang w:eastAsia="zh-CN"/>
              </w:rPr>
              <w:t>兴银理财稳添利日盈137号日开固收类理财产品</w:t>
            </w:r>
            <w:r>
              <w:rPr>
                <w:rFonts w:hint="eastAsia" w:ascii="宋体" w:hAnsi="宋体"/>
                <w:sz w:val="18"/>
                <w:szCs w:val="18"/>
              </w:rPr>
              <w:t>】</w:t>
            </w:r>
          </w:p>
        </w:tc>
      </w:tr>
      <w:tr w14:paraId="73C9EA5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45" w:type="dxa"/>
            <w:shd w:val="solid" w:color="FFFFFF" w:fill="FFFFFF"/>
          </w:tcPr>
          <w:p w14:paraId="3182BCAD">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vAlign w:val="top"/>
          </w:tcPr>
          <w:p w14:paraId="42CCD33B">
            <w:pPr>
              <w:widowControl/>
              <w:spacing w:line="360" w:lineRule="auto"/>
              <w:jc w:val="left"/>
              <w:rPr>
                <w:rFonts w:ascii="宋体" w:hAnsi="宋体"/>
                <w:kern w:val="0"/>
                <w:sz w:val="22"/>
              </w:rPr>
            </w:pPr>
            <w:r>
              <w:rPr>
                <w:rFonts w:hint="eastAsia" w:asciiTheme="majorEastAsia" w:hAnsiTheme="majorEastAsia" w:eastAsiaTheme="majorEastAsia"/>
                <w:bCs/>
                <w:kern w:val="0"/>
                <w:sz w:val="18"/>
                <w:szCs w:val="18"/>
              </w:rPr>
              <w:t>【兴银稳添利日盈137号B】 (适用【B】类份额)
</w:t>
            </w:r>
          </w:p>
        </w:tc>
      </w:tr>
      <w:tr w14:paraId="09FBD55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14:paraId="5D8E9AB3">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vAlign w:val="top"/>
          </w:tcPr>
          <w:p w14:paraId="2A18A70B">
            <w:pPr>
              <w:spacing w:line="360" w:lineRule="auto"/>
              <w:jc w:val="left"/>
              <w:rPr>
                <w:rFonts w:ascii="宋体" w:hAnsi="宋体"/>
                <w:b/>
                <w:sz w:val="18"/>
                <w:szCs w:val="18"/>
              </w:rPr>
            </w:pPr>
            <w:r>
              <w:rPr>
                <w:rFonts w:hint="eastAsia" w:asciiTheme="minorEastAsia" w:hAnsiTheme="minorEastAsia"/>
                <w:sz w:val="18"/>
                <w:szCs w:val="18"/>
              </w:rPr>
              <w:t>【Z7002025002047】</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14:paraId="3DAE845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14:paraId="12711BFB">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14:paraId="21F75269">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9K922370】</w:t>
            </w:r>
          </w:p>
        </w:tc>
      </w:tr>
      <w:tr w14:paraId="786905F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14:paraId="38E8A29A">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vAlign w:val="top"/>
          </w:tcPr>
          <w:p w14:paraId="259E1950">
            <w:pPr>
              <w:spacing w:line="360" w:lineRule="auto"/>
              <w:jc w:val="left"/>
              <w:rPr>
                <w:rFonts w:hAnsi="宋体"/>
                <w:sz w:val="18"/>
                <w:szCs w:val="18"/>
              </w:rPr>
            </w:pPr>
            <w:r>
              <w:rPr>
                <w:rFonts w:hint="eastAsia"/>
              </w:rPr>
              <w:t>【9K92237B】 (适用【B】类份额)
</w:t>
            </w:r>
          </w:p>
        </w:tc>
      </w:tr>
      <w:tr w14:paraId="0A1CCF5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14:paraId="29A2F156">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14:paraId="177CEFCC">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14:paraId="0CE149B1">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14:paraId="65E3FA6B">
            <w:pPr>
              <w:spacing w:line="360" w:lineRule="auto"/>
              <w:rPr>
                <w:rFonts w:ascii="宋体" w:hAnsi="宋体"/>
                <w:bCs/>
                <w:sz w:val="18"/>
                <w:szCs w:val="18"/>
              </w:rPr>
            </w:pPr>
            <w:r>
              <w:rPr>
                <w:rFonts w:hint="eastAsia" w:ascii="宋体" w:hAnsi="宋体"/>
                <w:bCs/>
                <w:sz w:val="18"/>
                <w:szCs w:val="18"/>
              </w:rPr>
              <w:t>（1）销售名称</w:t>
            </w:r>
          </w:p>
          <w:p w14:paraId="59B493FB">
            <w:pPr>
              <w:spacing w:line="360" w:lineRule="auto"/>
              <w:rPr>
                <w:rFonts w:ascii="宋体" w:hAnsi="宋体"/>
                <w:bCs/>
                <w:sz w:val="18"/>
                <w:szCs w:val="18"/>
              </w:rPr>
            </w:pPr>
            <w:r>
              <w:rPr>
                <w:rFonts w:hint="eastAsia" w:ascii="宋体" w:hAnsi="宋体"/>
                <w:bCs/>
                <w:sz w:val="18"/>
                <w:szCs w:val="18"/>
              </w:rPr>
              <w:t>（2）收费方式</w:t>
            </w:r>
          </w:p>
          <w:p w14:paraId="3EBDBB03">
            <w:pPr>
              <w:spacing w:line="360" w:lineRule="auto"/>
              <w:rPr>
                <w:rFonts w:ascii="宋体" w:hAnsi="宋体"/>
                <w:bCs/>
                <w:sz w:val="18"/>
                <w:szCs w:val="18"/>
              </w:rPr>
            </w:pPr>
            <w:r>
              <w:rPr>
                <w:rFonts w:hint="eastAsia" w:ascii="宋体" w:hAnsi="宋体"/>
                <w:bCs/>
                <w:sz w:val="18"/>
                <w:szCs w:val="18"/>
              </w:rPr>
              <w:t>（3）销售服务费</w:t>
            </w:r>
          </w:p>
          <w:p w14:paraId="47F5C118">
            <w:pPr>
              <w:spacing w:line="360" w:lineRule="auto"/>
              <w:rPr>
                <w:rFonts w:ascii="宋体" w:hAnsi="宋体"/>
                <w:bCs/>
                <w:sz w:val="18"/>
                <w:szCs w:val="18"/>
              </w:rPr>
            </w:pPr>
            <w:r>
              <w:rPr>
                <w:rFonts w:hint="eastAsia" w:ascii="宋体" w:hAnsi="宋体"/>
                <w:bCs/>
                <w:sz w:val="18"/>
                <w:szCs w:val="18"/>
              </w:rPr>
              <w:t>（4）销售代码</w:t>
            </w:r>
          </w:p>
          <w:p w14:paraId="16D79240">
            <w:pPr>
              <w:spacing w:line="360" w:lineRule="auto"/>
              <w:rPr>
                <w:rFonts w:ascii="宋体" w:hAnsi="宋体"/>
                <w:bCs/>
                <w:sz w:val="18"/>
                <w:szCs w:val="18"/>
              </w:rPr>
            </w:pPr>
            <w:r>
              <w:rPr>
                <w:rFonts w:hint="eastAsia" w:ascii="宋体" w:hAnsi="宋体"/>
                <w:bCs/>
                <w:sz w:val="18"/>
                <w:szCs w:val="18"/>
              </w:rPr>
              <w:t>（5）销售对象</w:t>
            </w:r>
          </w:p>
          <w:p w14:paraId="38E66BF0">
            <w:pPr>
              <w:spacing w:line="360" w:lineRule="auto"/>
              <w:rPr>
                <w:rFonts w:ascii="宋体" w:hAnsi="宋体"/>
                <w:bCs/>
                <w:sz w:val="18"/>
                <w:szCs w:val="18"/>
              </w:rPr>
            </w:pPr>
            <w:r>
              <w:rPr>
                <w:rFonts w:hint="eastAsia" w:ascii="宋体" w:hAnsi="宋体"/>
                <w:bCs/>
                <w:sz w:val="18"/>
                <w:szCs w:val="18"/>
              </w:rPr>
              <w:t>（6）销售起点金额（认购、申购的起点金额）</w:t>
            </w:r>
          </w:p>
          <w:p w14:paraId="6BB055CD">
            <w:pPr>
              <w:spacing w:line="360" w:lineRule="auto"/>
              <w:rPr>
                <w:rFonts w:ascii="宋体" w:hAnsi="宋体"/>
                <w:bCs/>
                <w:sz w:val="18"/>
                <w:szCs w:val="18"/>
              </w:rPr>
            </w:pPr>
            <w:r>
              <w:rPr>
                <w:rFonts w:hint="eastAsia" w:ascii="宋体" w:hAnsi="宋体"/>
                <w:bCs/>
                <w:sz w:val="18"/>
                <w:szCs w:val="18"/>
              </w:rPr>
              <w:t>（7）投资者认购、申购和赎回的数量限制</w:t>
            </w:r>
          </w:p>
          <w:p w14:paraId="60849158">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14:paraId="4FDA7C32">
            <w:pPr>
              <w:spacing w:line="360" w:lineRule="auto"/>
              <w:rPr>
                <w:rFonts w:ascii="宋体" w:hAnsi="宋体"/>
                <w:bCs/>
                <w:sz w:val="18"/>
                <w:szCs w:val="18"/>
              </w:rPr>
            </w:pPr>
            <w:r>
              <w:rPr>
                <w:rFonts w:hint="eastAsia" w:ascii="宋体" w:hAnsi="宋体"/>
                <w:bCs/>
                <w:sz w:val="18"/>
                <w:szCs w:val="18"/>
              </w:rPr>
              <w:t>（9）分别计算和公告产品份额净值</w:t>
            </w:r>
          </w:p>
          <w:p w14:paraId="49EA6D32">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14:paraId="70E658BF">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14:paraId="7F73A74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E24456D">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14:paraId="3BEAC951">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14:paraId="3C2DC2A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8E79552">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14:paraId="1157CEB8">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14:paraId="0C34E2B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60E5911A">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14:paraId="00C4B47A">
            <w:pPr>
              <w:spacing w:line="360" w:lineRule="auto"/>
              <w:rPr>
                <w:rFonts w:ascii="宋体" w:hAnsi="宋体"/>
                <w:bCs/>
                <w:sz w:val="18"/>
                <w:szCs w:val="18"/>
              </w:rPr>
            </w:pPr>
            <w:r>
              <w:rPr>
                <w:rFonts w:hint="eastAsia" w:ascii="宋体" w:hAnsi="宋体"/>
                <w:bCs/>
                <w:sz w:val="18"/>
                <w:szCs w:val="18"/>
              </w:rPr>
              <w:t>开放式</w:t>
            </w:r>
          </w:p>
        </w:tc>
      </w:tr>
      <w:tr w14:paraId="210263F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CB4A20D">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14:paraId="16E1F287">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14:paraId="001E640E">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14:paraId="6224D43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DCE3681">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14:paraId="5E1ECB88">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非保本浮动收益</w:t>
            </w:r>
          </w:p>
          <w:p w14:paraId="0E160449">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本产品不保证本金且不保证收益。本产品的收益随投资收益浮动，投资者可能会因市场变动而蒙受损失。</w:t>
            </w:r>
          </w:p>
          <w:p w14:paraId="5128A541">
            <w:pPr>
              <w:adjustRightInd w:val="0"/>
              <w:snapToGrid w:val="0"/>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sz w:val="18"/>
                <w:szCs w:val="18"/>
              </w:rPr>
              <w:t>产品管理人对本产品的本金并不提供保证，也不承诺任何固定收益。</w:t>
            </w:r>
          </w:p>
        </w:tc>
      </w:tr>
      <w:tr w14:paraId="32917E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A700D16">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14:paraId="750C161C">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14:paraId="3583535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AB19868">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14:paraId="14F1DBEE">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14:paraId="46DA968A">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14:paraId="4DE0F6D4">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14:paraId="03871A12">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C3A6728">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14:paraId="04183876">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p>
          <w:p w14:paraId="05DA3FB5">
            <w:pPr>
              <w:spacing w:line="360" w:lineRule="auto"/>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14:paraId="6B6719EC">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14:paraId="16901BD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30F2B9E">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14:paraId="3816A356">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14:paraId="2F69C9DE">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sz w:val="18"/>
                <w:szCs w:val="18"/>
              </w:rPr>
              <w:t>注：当销售机构销售产品风险评级为</w:t>
            </w:r>
            <w:r>
              <w:rPr>
                <w:rFonts w:ascii="黑体" w:hAnsi="黑体" w:eastAsia="黑体"/>
                <w:sz w:val="18"/>
                <w:szCs w:val="18"/>
              </w:rPr>
              <w:t>R4</w:t>
            </w:r>
            <w:r>
              <w:rPr>
                <w:rFonts w:hint="eastAsia" w:ascii="黑体" w:hAnsi="黑体" w:eastAsia="黑体"/>
                <w:sz w:val="18"/>
                <w:szCs w:val="18"/>
              </w:rPr>
              <w:t>及</w:t>
            </w:r>
            <w:r>
              <w:rPr>
                <w:rFonts w:ascii="黑体" w:hAnsi="黑体" w:eastAsia="黑体"/>
                <w:sz w:val="18"/>
                <w:szCs w:val="18"/>
              </w:rPr>
              <w:t>以上</w:t>
            </w:r>
            <w:r>
              <w:rPr>
                <w:rFonts w:hint="eastAsia" w:ascii="黑体" w:hAnsi="黑体" w:eastAsia="黑体"/>
                <w:sz w:val="18"/>
                <w:szCs w:val="18"/>
              </w:rPr>
              <w:t>的理财产品时，可在销售机构的营业网点进行，也可依据销售机构的政策在营业网点之外的其他场景进行（具体政策以销售机构公布执行的为准）。</w:t>
            </w:r>
          </w:p>
        </w:tc>
      </w:tr>
      <w:tr w14:paraId="3BB150F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4FF88A1">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14:paraId="773D5D1A">
            <w:pPr>
              <w:spacing w:line="360" w:lineRule="auto"/>
              <w:jc w:val="left"/>
              <w:rPr>
                <w:rFonts w:ascii="宋体" w:hAnsi="宋体"/>
                <w:sz w:val="18"/>
                <w:szCs w:val="18"/>
              </w:rPr>
            </w:pPr>
            <w:r>
              <w:rPr>
                <w:rFonts w:hint="eastAsia" w:ascii="宋体" w:hAnsi="宋体"/>
                <w:sz w:val="18"/>
                <w:szCs w:val="18"/>
              </w:rPr>
              <w:t>□ 直销适用</w:t>
            </w:r>
          </w:p>
          <w:p w14:paraId="43DC9347">
            <w:pPr>
              <w:spacing w:line="360" w:lineRule="auto"/>
              <w:jc w:val="left"/>
              <w:rPr>
                <w:rFonts w:ascii="宋体" w:hAnsi="宋体"/>
                <w:sz w:val="18"/>
                <w:szCs w:val="18"/>
              </w:rPr>
            </w:pPr>
            <w:r>
              <w:rPr>
                <w:rFonts w:hint="eastAsia" w:ascii="宋体" w:hAnsi="宋体"/>
                <w:sz w:val="18"/>
                <w:szCs w:val="18"/>
              </w:rPr>
              <w:t>本产品由产品管理人销售。</w:t>
            </w:r>
          </w:p>
          <w:p w14:paraId="779ECD71">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14:paraId="536195A0">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14:paraId="74E6F5E5">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14:paraId="26AAF94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02B5C8F">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14:paraId="7719D2BB">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14:paraId="362821A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91B7694">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14:paraId="23E8405B">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中国建设银行股份有限公司</w:t>
            </w:r>
            <w:bookmarkStart w:id="206" w:name="_GoBack"/>
            <w:bookmarkEnd w:id="206"/>
          </w:p>
        </w:tc>
      </w:tr>
      <w:tr w14:paraId="3D8035C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69D928CF">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14:paraId="1D5CF8A6">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1.本产品计划初始募集规模为【</w:t>
            </w:r>
            <w:r>
              <w:rPr>
                <w:rFonts w:hint="eastAsia" w:asciiTheme="majorEastAsia" w:hAnsiTheme="majorEastAsia" w:eastAsiaTheme="majorEastAsia"/>
                <w:bCs/>
                <w:sz w:val="18"/>
                <w:szCs w:val="18"/>
                <w:lang w:val="en-US" w:eastAsia="zh-CN"/>
              </w:rPr>
              <w:t>0.1</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14:paraId="025320CF">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2.产品管理人有权根据实际需要对产品规模进行调整，产品最终规模以产品管理人实际募集/管理的金额为准。</w:t>
            </w:r>
          </w:p>
        </w:tc>
      </w:tr>
      <w:tr w14:paraId="43B420A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18FEEB81">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14:paraId="003E76F9">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p>
          <w:p w14:paraId="49ECB3CC">
            <w:pPr>
              <w:spacing w:line="360" w:lineRule="auto"/>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14:paraId="40F601BA">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14:paraId="2C01BE9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2061FAC">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14:paraId="60DC467A">
            <w:pPr>
              <w:spacing w:line="360" w:lineRule="auto"/>
              <w:rPr>
                <w:rFonts w:hint="eastAsia" w:asciiTheme="minorEastAsia" w:hAnsiTheme="minorEastAsia"/>
                <w:bCs/>
                <w:sz w:val="18"/>
                <w:szCs w:val="18"/>
              </w:rPr>
            </w:pPr>
            <w:r>
              <w:rPr>
                <w:rFonts w:asciiTheme="minorEastAsia" w:hAnsiTheme="minorEastAsia"/>
                <w:bCs/>
                <w:sz w:val="18"/>
                <w:szCs w:val="18"/>
              </w:rPr>
              <w:t>1.本产品认购期/募集期为</w:t>
            </w:r>
            <w:r>
              <w:rPr>
                <w:rFonts w:hint="eastAsia" w:asciiTheme="minorEastAsia" w:hAnsiTheme="minorEastAsia"/>
                <w:bCs/>
                <w:sz w:val="18"/>
                <w:szCs w:val="18"/>
              </w:rPr>
              <w:t>：【2026年01月12日】【09:00】至【2026年01月14日】【17:00】</w:t>
            </w:r>
          </w:p>
          <w:p w14:paraId="1AB6B13D">
            <w:pPr>
              <w:spacing w:line="360" w:lineRule="auto"/>
              <w:rPr>
                <w:rFonts w:asciiTheme="minorEastAsia" w:hAnsiTheme="minorEastAsia"/>
                <w:bCs/>
                <w:sz w:val="18"/>
                <w:szCs w:val="18"/>
              </w:rPr>
            </w:pPr>
            <w:r>
              <w:rPr>
                <w:rFonts w:asciiTheme="minorEastAsia" w:hAnsiTheme="minorEastAsia"/>
                <w:bCs/>
                <w:sz w:val="18"/>
                <w:szCs w:val="18"/>
              </w:rPr>
              <w:t>2.</w:t>
            </w:r>
            <w:r>
              <w:rPr>
                <w:rFonts w:hint="eastAsia" w:asciiTheme="minorEastAsia" w:hAnsiTheme="minorEastAsia"/>
                <w:bCs/>
                <w:sz w:val="18"/>
                <w:szCs w:val="18"/>
              </w:rPr>
              <w:t>投资者在认购期</w:t>
            </w:r>
            <w:r>
              <w:rPr>
                <w:rFonts w:asciiTheme="minorEastAsia" w:hAnsiTheme="minorEastAsia"/>
                <w:bCs/>
                <w:sz w:val="18"/>
                <w:szCs w:val="18"/>
              </w:rPr>
              <w:t>/募集</w:t>
            </w:r>
            <w:r>
              <w:rPr>
                <w:rFonts w:hint="eastAsia" w:asciiTheme="minorEastAsia" w:hAnsiTheme="minorEastAsia"/>
                <w:bCs/>
                <w:sz w:val="18"/>
                <w:szCs w:val="18"/>
              </w:rPr>
              <w:t>期内认购本理财产品后，理财资金将在成立日开始进行投资。</w:t>
            </w:r>
          </w:p>
          <w:p w14:paraId="2C7D6186">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认购期/募集期内资金产生的利息（如有）不计入本金份额</w:t>
            </w:r>
            <w:r>
              <w:rPr>
                <w:rFonts w:hint="eastAsia" w:ascii="宋体" w:hAnsi="宋体"/>
                <w:sz w:val="18"/>
              </w:rPr>
              <w:t>。</w:t>
            </w:r>
          </w:p>
        </w:tc>
      </w:tr>
      <w:tr w14:paraId="3C41BA7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7E2FA192">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14:paraId="0E12D7F6">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14:paraId="366ADB1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7006F61">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14:paraId="21FF9A75">
            <w:pPr>
              <w:spacing w:line="360" w:lineRule="auto"/>
              <w:rPr>
                <w:rFonts w:asciiTheme="minorEastAsia" w:hAnsiTheme="minorEastAsia"/>
                <w:bCs/>
                <w:sz w:val="18"/>
                <w:szCs w:val="18"/>
              </w:rPr>
            </w:pPr>
            <w:r>
              <w:rPr>
                <w:rFonts w:asciiTheme="minorEastAsia" w:hAnsiTheme="minorEastAsia"/>
                <w:bCs/>
                <w:sz w:val="18"/>
                <w:szCs w:val="18"/>
              </w:rPr>
              <w:t>1.本产品的</w:t>
            </w:r>
            <w:r>
              <w:rPr>
                <w:rFonts w:hint="eastAsia" w:asciiTheme="minorEastAsia" w:hAnsiTheme="minorEastAsia"/>
                <w:bCs/>
                <w:sz w:val="18"/>
                <w:szCs w:val="18"/>
              </w:rPr>
              <w:t>计划成立日为</w:t>
            </w:r>
            <w:r>
              <w:rPr>
                <w:rFonts w:asciiTheme="minorEastAsia" w:hAnsiTheme="minorEastAsia"/>
                <w:bCs/>
                <w:sz w:val="18"/>
                <w:szCs w:val="18"/>
              </w:rPr>
              <w:t>：</w:t>
            </w:r>
            <w:r>
              <w:rPr>
                <w:rFonts w:hint="eastAsia" w:cs="Times New Roman" w:asciiTheme="minorEastAsia" w:hAnsiTheme="minorEastAsia"/>
                <w:sz w:val="18"/>
                <w:szCs w:val="18"/>
              </w:rPr>
              <w:t>2026年01月15日（遇节假日顺延）</w:t>
            </w:r>
            <w:r>
              <w:rPr>
                <w:rFonts w:hint="eastAsia" w:asciiTheme="minorEastAsia" w:hAnsiTheme="minorEastAsia"/>
                <w:bCs/>
                <w:sz w:val="18"/>
                <w:szCs w:val="18"/>
              </w:rPr>
              <w:t>。</w:t>
            </w:r>
          </w:p>
          <w:p w14:paraId="35839D2D">
            <w:pPr>
              <w:spacing w:line="360" w:lineRule="auto"/>
              <w:rPr>
                <w:rFonts w:asciiTheme="majorEastAsia" w:hAnsiTheme="majorEastAsia" w:eastAsiaTheme="majorEastAsia"/>
                <w:bCs/>
                <w:sz w:val="18"/>
                <w:szCs w:val="18"/>
              </w:rPr>
            </w:pPr>
            <w:r>
              <w:rPr>
                <w:rFonts w:asciiTheme="minorEastAsia" w:hAnsiTheme="minorEastAsia"/>
                <w:bCs/>
                <w:sz w:val="18"/>
                <w:szCs w:val="18"/>
              </w:rPr>
              <w:t>2.产品管理人有权根据实际募集情况提前或延后产品成立日期，并相应调整其他产品要素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14:paraId="670BC47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9E9639A">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14:paraId="2E4A4F0A">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14:paraId="409DAB3E">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14:paraId="7C81AE8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14:paraId="056E7973">
            <w:pPr>
              <w:spacing w:line="360" w:lineRule="auto"/>
              <w:jc w:val="left"/>
              <w:rPr>
                <w:rFonts w:asciiTheme="minorEastAsia" w:hAnsiTheme="minorEastAsia"/>
                <w:b/>
                <w:bCs/>
                <w:sz w:val="18"/>
                <w:szCs w:val="18"/>
              </w:rPr>
            </w:pPr>
            <w:r>
              <w:rPr>
                <w:rFonts w:hint="eastAsia" w:hAnsi="宋体"/>
                <w:sz w:val="18"/>
                <w:szCs w:val="18"/>
              </w:rPr>
              <w:t>★</w:t>
            </w:r>
            <w:r>
              <w:rPr>
                <w:rFonts w:hint="eastAsia" w:asciiTheme="minorEastAsia" w:hAnsiTheme="minorEastAsia"/>
                <w:b/>
                <w:sz w:val="18"/>
                <w:szCs w:val="18"/>
              </w:rPr>
              <w:t>封闭期</w:t>
            </w:r>
          </w:p>
        </w:tc>
        <w:tc>
          <w:tcPr>
            <w:tcW w:w="7704" w:type="dxa"/>
            <w:shd w:val="solid" w:color="FFFFFF" w:fill="FFFFFF"/>
            <w:vAlign w:val="top"/>
          </w:tcPr>
          <w:p w14:paraId="0339AE6D">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ascii="宋体" w:hAnsi="宋体"/>
                <w:bCs/>
                <w:sz w:val="18"/>
                <w:szCs w:val="18"/>
                <w:lang w:eastAsia="zh-CN"/>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rPr>
              <w:t>至</w:t>
            </w:r>
            <w:r>
              <w:rPr>
                <w:rFonts w:hint="eastAsia" w:cs="Times New Roman" w:asciiTheme="minorEastAsia" w:hAnsiTheme="minorEastAsia"/>
                <w:sz w:val="18"/>
                <w:szCs w:val="18"/>
                <w:lang w:eastAsia="zh-CN"/>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eastAsia="zh-CN"/>
              </w:rPr>
              <w:t>】</w:t>
            </w:r>
            <w:r>
              <w:rPr>
                <w:rFonts w:hint="eastAsia" w:asciiTheme="majorEastAsia" w:hAnsiTheme="majorEastAsia" w:eastAsiaTheme="majorEastAsia"/>
                <w:sz w:val="18"/>
                <w:szCs w:val="18"/>
              </w:rPr>
              <w:t>。</w:t>
            </w:r>
          </w:p>
          <w:p w14:paraId="2605791D">
            <w:pPr>
              <w:spacing w:line="360" w:lineRule="auto"/>
              <w:rPr>
                <w:rFonts w:asciiTheme="minorEastAsia" w:hAnsiTheme="minorEastAsia"/>
                <w:bCs/>
                <w:sz w:val="18"/>
                <w:szCs w:val="18"/>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14:paraId="35CA925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8D036B8">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14:paraId="67F5A6C3">
            <w:pPr>
              <w:spacing w:line="360" w:lineRule="auto"/>
              <w:rPr>
                <w:rFonts w:asciiTheme="minorEastAsia" w:hAnsiTheme="minorEastAsia"/>
                <w:sz w:val="18"/>
                <w:szCs w:val="18"/>
              </w:rPr>
            </w:pPr>
            <w:r>
              <w:rPr>
                <w:rFonts w:hint="eastAsia" w:asciiTheme="minorEastAsia" w:hAnsiTheme="minorEastAsia"/>
                <w:sz w:val="18"/>
                <w:szCs w:val="18"/>
              </w:rPr>
              <w:t>1</w:t>
            </w:r>
            <w:r>
              <w:rPr>
                <w:rFonts w:asciiTheme="minorEastAsia" w:hAnsiTheme="minorEastAsia"/>
                <w:sz w:val="18"/>
                <w:szCs w:val="18"/>
              </w:rPr>
              <w:t>.</w:t>
            </w:r>
            <w:r>
              <w:rPr>
                <w:rFonts w:hint="eastAsia" w:asciiTheme="minorEastAsia" w:hAnsiTheme="minorEastAsia"/>
                <w:sz w:val="18"/>
                <w:szCs w:val="18"/>
              </w:rPr>
              <w:t>本产品在封闭期后，产品按以下规则设置开放期：</w:t>
            </w:r>
          </w:p>
          <w:p w14:paraId="1C96AE19">
            <w:pPr>
              <w:spacing w:line="360" w:lineRule="auto"/>
              <w:rPr>
                <w:rFonts w:asciiTheme="minorEastAsia" w:hAnsiTheme="minorEastAsia"/>
                <w:sz w:val="18"/>
                <w:szCs w:val="18"/>
              </w:rPr>
            </w:pPr>
            <w:r>
              <w:rPr>
                <w:rFonts w:hint="eastAsia" w:asciiTheme="minorEastAsia" w:hAnsiTheme="minorEastAsia"/>
                <w:sz w:val="18"/>
                <w:szCs w:val="18"/>
              </w:rPr>
              <w:t>（1）本</w:t>
            </w:r>
            <w:r>
              <w:rPr>
                <w:rFonts w:asciiTheme="minorEastAsia" w:hAnsiTheme="minorEastAsia"/>
                <w:sz w:val="18"/>
                <w:szCs w:val="18"/>
              </w:rPr>
              <w:t>产品成立后</w:t>
            </w:r>
            <w:r>
              <w:rPr>
                <w:rFonts w:hint="eastAsia" w:asciiTheme="minorEastAsia" w:hAnsiTheme="minorEastAsia"/>
                <w:sz w:val="18"/>
                <w:szCs w:val="18"/>
              </w:rPr>
              <w:t>，</w:t>
            </w:r>
            <w:r>
              <w:rPr>
                <w:rFonts w:asciiTheme="minorEastAsia" w:hAnsiTheme="minorEastAsia"/>
                <w:sz w:val="18"/>
                <w:szCs w:val="18"/>
              </w:rPr>
              <w:t>在封闭期之</w:t>
            </w:r>
            <w:r>
              <w:rPr>
                <w:rFonts w:hint="eastAsia" w:asciiTheme="minorEastAsia" w:hAnsiTheme="minorEastAsia"/>
                <w:sz w:val="18"/>
                <w:szCs w:val="18"/>
              </w:rPr>
              <w:t>后的每个【</w:t>
            </w:r>
            <w:r>
              <w:rPr>
                <w:rFonts w:hint="eastAsia" w:asciiTheme="minorEastAsia" w:hAnsiTheme="minorEastAsia"/>
                <w:sz w:val="18"/>
                <w:szCs w:val="18"/>
                <w:lang w:val="en-US" w:eastAsia="zh-CN"/>
              </w:rPr>
              <w:t>工作日</w:t>
            </w:r>
            <w:r>
              <w:rPr>
                <w:rFonts w:hint="eastAsia" w:asciiTheme="minorEastAsia" w:hAnsiTheme="minorEastAsia"/>
                <w:sz w:val="18"/>
                <w:szCs w:val="18"/>
              </w:rPr>
              <w:t>】为开放日，开放日开放申购与赎回；</w:t>
            </w:r>
          </w:p>
          <w:p w14:paraId="7D8B4602">
            <w:pPr>
              <w:spacing w:line="360" w:lineRule="auto"/>
              <w:rPr>
                <w:rFonts w:asciiTheme="minorEastAsia" w:hAnsiTheme="minorEastAsia"/>
                <w:sz w:val="18"/>
                <w:szCs w:val="18"/>
              </w:rPr>
            </w:pPr>
            <w:r>
              <w:rPr>
                <w:rFonts w:hint="eastAsia" w:asciiTheme="minorEastAsia" w:hAnsiTheme="minorEastAsia"/>
                <w:sz w:val="18"/>
                <w:szCs w:val="18"/>
              </w:rPr>
              <w:t>（2）产品管理人公告暂停开放的日期除外。</w:t>
            </w:r>
          </w:p>
          <w:p w14:paraId="2D4B4005">
            <w:pPr>
              <w:spacing w:line="360" w:lineRule="auto"/>
              <w:rPr>
                <w:rFonts w:asciiTheme="minorEastAsia" w:hAnsiTheme="minorEastAsia"/>
                <w:b/>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14:paraId="50E795DA">
            <w:pPr>
              <w:spacing w:line="360" w:lineRule="auto"/>
              <w:rPr>
                <w:rFonts w:eastAsia="黑体" w:asciiTheme="minorEastAsia" w:hAnsiTheme="minorEastAsia"/>
                <w:b/>
                <w:sz w:val="18"/>
                <w:szCs w:val="18"/>
              </w:rPr>
            </w:pPr>
            <w:r>
              <w:rPr>
                <w:rFonts w:hint="eastAsia" w:asciiTheme="minorEastAsia" w:hAnsiTheme="minorEastAsia"/>
                <w:sz w:val="18"/>
                <w:szCs w:val="18"/>
              </w:rPr>
              <w:t>（1）申购的时间</w:t>
            </w:r>
          </w:p>
          <w:p w14:paraId="69F3E31A">
            <w:pPr>
              <w:spacing w:line="360" w:lineRule="auto"/>
              <w:rPr>
                <w:rFonts w:asciiTheme="minorEastAsia" w:hAnsiTheme="minorEastAsia"/>
                <w:sz w:val="18"/>
                <w:szCs w:val="18"/>
              </w:rPr>
            </w:pPr>
            <w:r>
              <w:rPr>
                <w:rFonts w:hint="eastAsia" w:asciiTheme="minorEastAsia" w:hAnsiTheme="minorEastAsia"/>
                <w:sz w:val="18"/>
                <w:szCs w:val="18"/>
              </w:rPr>
              <w:t>本产品封闭期后的每个开放日开放申购。投资者可于开放日内提交申购申请，产品管理人公告暂停开放的日期除外。</w:t>
            </w:r>
          </w:p>
          <w:p w14:paraId="68F8467C">
            <w:pPr>
              <w:spacing w:line="360" w:lineRule="auto"/>
              <w:rPr>
                <w:rFonts w:eastAsia="黑体" w:asciiTheme="minorEastAsia" w:hAnsiTheme="minorEastAsia"/>
                <w:b/>
                <w:sz w:val="18"/>
                <w:szCs w:val="18"/>
              </w:rPr>
            </w:pPr>
            <w:r>
              <w:rPr>
                <w:rFonts w:hint="eastAsia" w:asciiTheme="minorEastAsia" w:hAnsiTheme="minorEastAsia"/>
                <w:sz w:val="18"/>
                <w:szCs w:val="18"/>
              </w:rPr>
              <w:t>（2）申购的确认</w:t>
            </w:r>
          </w:p>
          <w:tbl>
            <w:tblPr>
              <w:tblStyle w:val="25"/>
              <w:tblW w:w="750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7"/>
              <w:gridCol w:w="1701"/>
              <w:gridCol w:w="1984"/>
              <w:gridCol w:w="1985"/>
            </w:tblGrid>
            <w:tr w14:paraId="1A1AB84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9" w:hRule="atLeast"/>
              </w:trPr>
              <w:tc>
                <w:tcPr>
                  <w:tcW w:w="1837" w:type="dxa"/>
                  <w:vAlign w:val="center"/>
                </w:tcPr>
                <w:p w14:paraId="3A790ED2">
                  <w:pPr>
                    <w:spacing w:line="360" w:lineRule="auto"/>
                    <w:jc w:val="center"/>
                    <w:rPr>
                      <w:rFonts w:asciiTheme="minorEastAsia" w:hAnsiTheme="minorEastAsia"/>
                      <w:b/>
                      <w:bCs/>
                      <w:sz w:val="18"/>
                      <w:szCs w:val="18"/>
                    </w:rPr>
                  </w:pPr>
                  <w:r>
                    <w:rPr>
                      <w:rFonts w:hint="eastAsia" w:asciiTheme="majorEastAsia" w:hAnsiTheme="majorEastAsia" w:eastAsiaTheme="majorEastAsia"/>
                      <w:b/>
                      <w:bCs/>
                      <w:sz w:val="18"/>
                      <w:szCs w:val="18"/>
                    </w:rPr>
                    <w:t>申购申请日</w:t>
                  </w:r>
                </w:p>
              </w:tc>
              <w:tc>
                <w:tcPr>
                  <w:tcW w:w="1701" w:type="dxa"/>
                  <w:vAlign w:val="center"/>
                </w:tcPr>
                <w:p w14:paraId="32C5C63D">
                  <w:pPr>
                    <w:spacing w:line="360" w:lineRule="auto"/>
                    <w:jc w:val="center"/>
                    <w:rPr>
                      <w:rFonts w:cs="Times New Roman" w:asciiTheme="minorEastAsia" w:hAnsiTheme="minorEastAsia"/>
                      <w:b/>
                      <w:bCs/>
                      <w:sz w:val="18"/>
                      <w:szCs w:val="18"/>
                    </w:rPr>
                  </w:pPr>
                  <w:r>
                    <w:rPr>
                      <w:rFonts w:hint="eastAsia" w:cs="Times New Roman" w:asciiTheme="minorEastAsia" w:hAnsiTheme="minorEastAsia"/>
                      <w:b/>
                      <w:bCs/>
                      <w:sz w:val="18"/>
                      <w:szCs w:val="18"/>
                    </w:rPr>
                    <w:t>申购日</w:t>
                  </w:r>
                </w:p>
              </w:tc>
              <w:tc>
                <w:tcPr>
                  <w:tcW w:w="1984" w:type="dxa"/>
                  <w:vAlign w:val="center"/>
                </w:tcPr>
                <w:p w14:paraId="6E3D545A">
                  <w:pPr>
                    <w:spacing w:line="360" w:lineRule="auto"/>
                    <w:jc w:val="center"/>
                    <w:rPr>
                      <w:rFonts w:asciiTheme="minorEastAsia" w:hAnsiTheme="minorEastAsia"/>
                      <w:b/>
                      <w:bCs/>
                      <w:sz w:val="18"/>
                      <w:szCs w:val="18"/>
                    </w:rPr>
                  </w:pPr>
                  <w:r>
                    <w:rPr>
                      <w:rFonts w:hint="eastAsia" w:cs="Times New Roman" w:asciiTheme="minorEastAsia" w:hAnsiTheme="minorEastAsia"/>
                      <w:b/>
                      <w:bCs/>
                      <w:sz w:val="18"/>
                      <w:szCs w:val="18"/>
                    </w:rPr>
                    <w:t>申购确认日</w:t>
                  </w:r>
                </w:p>
              </w:tc>
              <w:tc>
                <w:tcPr>
                  <w:tcW w:w="1985" w:type="dxa"/>
                  <w:vAlign w:val="center"/>
                </w:tcPr>
                <w:p w14:paraId="25ACEBEC">
                  <w:pPr>
                    <w:spacing w:line="360" w:lineRule="auto"/>
                    <w:jc w:val="center"/>
                    <w:rPr>
                      <w:rFonts w:cs="Times New Roman" w:asciiTheme="minorEastAsia" w:hAnsiTheme="minorEastAsia"/>
                      <w:b/>
                      <w:bCs/>
                      <w:sz w:val="18"/>
                      <w:szCs w:val="18"/>
                    </w:rPr>
                  </w:pPr>
                  <w:r>
                    <w:rPr>
                      <w:rFonts w:hint="eastAsia" w:cs="Times New Roman" w:asciiTheme="minorEastAsia" w:hAnsiTheme="minorEastAsia"/>
                      <w:b/>
                      <w:bCs/>
                      <w:sz w:val="18"/>
                      <w:szCs w:val="18"/>
                    </w:rPr>
                    <w:t>申购确认方式</w:t>
                  </w:r>
                </w:p>
              </w:tc>
            </w:tr>
            <w:tr w14:paraId="705D481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14:paraId="76621A0F">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开放日内交易时间：</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0：00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-【17：00】</w:t>
                  </w:r>
                </w:p>
              </w:tc>
              <w:tc>
                <w:tcPr>
                  <w:tcW w:w="1701" w:type="dxa"/>
                  <w:vAlign w:val="center"/>
                </w:tcPr>
                <w:p w14:paraId="2F8C43C8">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申购申请日当日</w:t>
                  </w:r>
                </w:p>
              </w:tc>
              <w:tc>
                <w:tcPr>
                  <w:tcW w:w="1984" w:type="dxa"/>
                  <w:vAlign w:val="center"/>
                </w:tcPr>
                <w:p w14:paraId="4B026C22">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申购日后的下一个开放日</w:t>
                  </w:r>
                </w:p>
              </w:tc>
              <w:tc>
                <w:tcPr>
                  <w:tcW w:w="1985" w:type="dxa"/>
                  <w:vMerge w:val="restart"/>
                </w:tcPr>
                <w:p w14:paraId="5A32C940">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产品管理人在申购确认日对投资者的申购申请的有效性进行确认，并登记理财份额。</w:t>
                  </w:r>
                </w:p>
              </w:tc>
            </w:tr>
            <w:tr w14:paraId="70FDFA5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14:paraId="40C6D0EF">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开放日内非交易时间：</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17：00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 xml:space="preserve">-【24：00】 </w:t>
                  </w:r>
                </w:p>
              </w:tc>
              <w:tc>
                <w:tcPr>
                  <w:tcW w:w="1701" w:type="dxa"/>
                  <w:vAlign w:val="center"/>
                </w:tcPr>
                <w:p w14:paraId="5FB20492">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申购申请日后的下一个开放日</w:t>
                  </w:r>
                </w:p>
              </w:tc>
              <w:tc>
                <w:tcPr>
                  <w:tcW w:w="1984" w:type="dxa"/>
                  <w:vAlign w:val="center"/>
                </w:tcPr>
                <w:p w14:paraId="0549D764">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申购日后的下一个开放日</w:t>
                  </w:r>
                </w:p>
              </w:tc>
              <w:tc>
                <w:tcPr>
                  <w:tcW w:w="1985" w:type="dxa"/>
                  <w:vMerge w:val="continue"/>
                </w:tcPr>
                <w:p w14:paraId="1D48D221">
                  <w:pPr>
                    <w:spacing w:line="360" w:lineRule="auto"/>
                    <w:jc w:val="left"/>
                    <w:rPr>
                      <w:rFonts w:asciiTheme="majorEastAsia" w:hAnsiTheme="majorEastAsia" w:eastAsiaTheme="majorEastAsia"/>
                      <w:bCs/>
                      <w:sz w:val="18"/>
                      <w:szCs w:val="18"/>
                    </w:rPr>
                  </w:pPr>
                </w:p>
              </w:tc>
            </w:tr>
            <w:tr w14:paraId="09C76E36">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0" w:hRule="atLeast"/>
              </w:trPr>
              <w:tc>
                <w:tcPr>
                  <w:tcW w:w="1837" w:type="dxa"/>
                  <w:vAlign w:val="center"/>
                </w:tcPr>
                <w:p w14:paraId="0FD5B0E8">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非开放日 </w:t>
                  </w:r>
                </w:p>
              </w:tc>
              <w:tc>
                <w:tcPr>
                  <w:tcW w:w="1701" w:type="dxa"/>
                  <w:vAlign w:val="center"/>
                </w:tcPr>
                <w:p w14:paraId="77D967D6">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申购申请日后的下一个开放日</w:t>
                  </w:r>
                </w:p>
              </w:tc>
              <w:tc>
                <w:tcPr>
                  <w:tcW w:w="1984" w:type="dxa"/>
                  <w:vAlign w:val="center"/>
                </w:tcPr>
                <w:p w14:paraId="7BAF6DDC">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申购日后的下一个开放日</w:t>
                  </w:r>
                </w:p>
              </w:tc>
              <w:tc>
                <w:tcPr>
                  <w:tcW w:w="1985" w:type="dxa"/>
                  <w:vMerge w:val="continue"/>
                </w:tcPr>
                <w:p w14:paraId="3E2823FC">
                  <w:pPr>
                    <w:spacing w:line="360" w:lineRule="auto"/>
                    <w:jc w:val="left"/>
                    <w:rPr>
                      <w:rFonts w:asciiTheme="majorEastAsia" w:hAnsiTheme="majorEastAsia" w:eastAsiaTheme="majorEastAsia"/>
                      <w:bCs/>
                      <w:sz w:val="18"/>
                      <w:szCs w:val="18"/>
                    </w:rPr>
                  </w:pPr>
                </w:p>
              </w:tc>
            </w:tr>
          </w:tbl>
          <w:p w14:paraId="1E600DF7">
            <w:pPr>
              <w:spacing w:line="360" w:lineRule="auto"/>
              <w:rPr>
                <w:rFonts w:asciiTheme="minorEastAsia" w:hAnsiTheme="minorEastAsia"/>
                <w:sz w:val="18"/>
                <w:szCs w:val="18"/>
              </w:rPr>
            </w:pPr>
            <w:r>
              <w:rPr>
                <w:rFonts w:asciiTheme="minorEastAsia" w:hAnsiTheme="minorEastAsia"/>
                <w:sz w:val="18"/>
                <w:szCs w:val="18"/>
              </w:rPr>
              <w:t>3.赎回</w:t>
            </w:r>
            <w:r>
              <w:rPr>
                <w:rFonts w:hint="eastAsia" w:asciiTheme="minorEastAsia" w:hAnsiTheme="minorEastAsia"/>
                <w:sz w:val="18"/>
                <w:szCs w:val="18"/>
              </w:rPr>
              <w:t>安排</w:t>
            </w:r>
          </w:p>
          <w:p w14:paraId="4C1A5A38">
            <w:pPr>
              <w:spacing w:line="360" w:lineRule="auto"/>
              <w:rPr>
                <w:rFonts w:asciiTheme="minorEastAsia" w:hAnsiTheme="minorEastAsia"/>
                <w:sz w:val="18"/>
                <w:szCs w:val="18"/>
              </w:rPr>
            </w:pPr>
            <w:r>
              <w:rPr>
                <w:rFonts w:hint="eastAsia" w:asciiTheme="minorEastAsia" w:hAnsiTheme="minorEastAsia"/>
                <w:sz w:val="18"/>
                <w:szCs w:val="18"/>
              </w:rPr>
              <w:t>（1）赎回的时间</w:t>
            </w:r>
          </w:p>
          <w:p w14:paraId="181E4728">
            <w:pPr>
              <w:spacing w:line="360" w:lineRule="auto"/>
              <w:rPr>
                <w:rFonts w:asciiTheme="minorEastAsia" w:hAnsiTheme="minorEastAsia"/>
                <w:sz w:val="18"/>
                <w:szCs w:val="18"/>
              </w:rPr>
            </w:pPr>
            <w:r>
              <w:rPr>
                <w:rFonts w:hint="eastAsia" w:asciiTheme="minorEastAsia" w:hAnsiTheme="minorEastAsia"/>
                <w:sz w:val="18"/>
                <w:szCs w:val="18"/>
              </w:rPr>
              <w:t>本产品</w:t>
            </w:r>
            <w:r>
              <w:rPr>
                <w:rFonts w:asciiTheme="minorEastAsia" w:hAnsiTheme="minorEastAsia"/>
                <w:sz w:val="18"/>
                <w:szCs w:val="18"/>
              </w:rPr>
              <w:t>封闭期</w:t>
            </w:r>
            <w:r>
              <w:rPr>
                <w:rFonts w:hint="eastAsia" w:asciiTheme="minorEastAsia" w:hAnsiTheme="minorEastAsia"/>
                <w:sz w:val="18"/>
                <w:szCs w:val="18"/>
              </w:rPr>
              <w:t>后</w:t>
            </w:r>
            <w:r>
              <w:rPr>
                <w:rFonts w:hint="eastAsia" w:cs="Times New Roman" w:asciiTheme="minorEastAsia" w:hAnsiTheme="minorEastAsia"/>
                <w:sz w:val="18"/>
                <w:szCs w:val="18"/>
              </w:rPr>
              <w:t>的</w:t>
            </w:r>
            <w:r>
              <w:rPr>
                <w:rFonts w:hint="eastAsia" w:asciiTheme="minorEastAsia" w:hAnsiTheme="minorEastAsia"/>
                <w:sz w:val="18"/>
                <w:szCs w:val="18"/>
              </w:rPr>
              <w:t>每个开放日开放</w:t>
            </w:r>
            <w:r>
              <w:rPr>
                <w:rFonts w:hint="eastAsia" w:asciiTheme="minorEastAsia" w:hAnsiTheme="minorEastAsia"/>
                <w:bCs/>
                <w:sz w:val="18"/>
                <w:szCs w:val="18"/>
              </w:rPr>
              <w:t>赎回</w:t>
            </w:r>
            <w:r>
              <w:rPr>
                <w:rFonts w:asciiTheme="minorEastAsia" w:hAnsiTheme="minorEastAsia"/>
                <w:sz w:val="18"/>
                <w:szCs w:val="18"/>
              </w:rPr>
              <w:t>。</w:t>
            </w:r>
            <w:r>
              <w:rPr>
                <w:rFonts w:hint="eastAsia" w:asciiTheme="minorEastAsia" w:hAnsiTheme="minorEastAsia"/>
                <w:sz w:val="18"/>
                <w:szCs w:val="18"/>
              </w:rPr>
              <w:t>投资者可于开放日内提交赎回申请，产品管理人公告暂停开放的日期除外</w:t>
            </w:r>
            <w:r>
              <w:rPr>
                <w:rFonts w:hint="eastAsia" w:asciiTheme="majorEastAsia" w:hAnsiTheme="majorEastAsia" w:eastAsiaTheme="majorEastAsia"/>
                <w:bCs/>
                <w:sz w:val="18"/>
                <w:szCs w:val="18"/>
              </w:rPr>
              <w:t>。</w:t>
            </w:r>
          </w:p>
          <w:p w14:paraId="43AA312A">
            <w:pPr>
              <w:spacing w:line="360" w:lineRule="auto"/>
              <w:rPr>
                <w:rFonts w:asciiTheme="minorEastAsia" w:hAnsiTheme="minorEastAsia"/>
                <w:sz w:val="18"/>
                <w:szCs w:val="18"/>
              </w:rPr>
            </w:pPr>
            <w:r>
              <w:rPr>
                <w:rFonts w:hint="eastAsia" w:asciiTheme="minorEastAsia" w:hAnsiTheme="minorEastAsia"/>
                <w:sz w:val="18"/>
                <w:szCs w:val="18"/>
              </w:rPr>
              <w:t>（2）赎回的确认</w:t>
            </w:r>
          </w:p>
          <w:tbl>
            <w:tblPr>
              <w:tblStyle w:val="25"/>
              <w:tblW w:w="75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833"/>
              <w:gridCol w:w="1701"/>
              <w:gridCol w:w="1984"/>
              <w:gridCol w:w="2043"/>
            </w:tblGrid>
            <w:tr w14:paraId="727DA08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74" w:hRule="atLeast"/>
                <w:jc w:val="center"/>
              </w:trPr>
              <w:tc>
                <w:tcPr>
                  <w:tcW w:w="1833" w:type="dxa"/>
                  <w:vAlign w:val="center"/>
                </w:tcPr>
                <w:p w14:paraId="2491568C">
                  <w:pPr>
                    <w:spacing w:line="360" w:lineRule="auto"/>
                    <w:jc w:val="left"/>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赎回申请日</w:t>
                  </w:r>
                </w:p>
              </w:tc>
              <w:tc>
                <w:tcPr>
                  <w:tcW w:w="1701" w:type="dxa"/>
                </w:tcPr>
                <w:p w14:paraId="4B4B761A">
                  <w:pPr>
                    <w:spacing w:line="360" w:lineRule="auto"/>
                    <w:jc w:val="left"/>
                    <w:rPr>
                      <w:rFonts w:cs="Times New Roman" w:asciiTheme="minorEastAsia" w:hAnsiTheme="minorEastAsia" w:eastAsiaTheme="minorEastAsia"/>
                      <w:b/>
                      <w:bCs/>
                      <w:kern w:val="0"/>
                      <w:sz w:val="18"/>
                      <w:szCs w:val="18"/>
                    </w:rPr>
                  </w:pPr>
                  <w:r>
                    <w:rPr>
                      <w:rFonts w:hint="eastAsia" w:cs="Times New Roman" w:asciiTheme="minorEastAsia" w:hAnsiTheme="minorEastAsia" w:eastAsiaTheme="minorEastAsia"/>
                      <w:b/>
                      <w:bCs/>
                      <w:kern w:val="0"/>
                      <w:sz w:val="18"/>
                      <w:szCs w:val="18"/>
                    </w:rPr>
                    <w:t>赎回</w:t>
                  </w:r>
                  <w:r>
                    <w:rPr>
                      <w:rFonts w:cs="Times New Roman" w:asciiTheme="minorEastAsia" w:hAnsiTheme="minorEastAsia" w:eastAsiaTheme="minorEastAsia"/>
                      <w:b/>
                      <w:bCs/>
                      <w:kern w:val="0"/>
                      <w:sz w:val="18"/>
                      <w:szCs w:val="18"/>
                    </w:rPr>
                    <w:t>日</w:t>
                  </w:r>
                </w:p>
              </w:tc>
              <w:tc>
                <w:tcPr>
                  <w:tcW w:w="1984" w:type="dxa"/>
                  <w:vAlign w:val="center"/>
                </w:tcPr>
                <w:p w14:paraId="11CA347A">
                  <w:pPr>
                    <w:spacing w:line="360" w:lineRule="auto"/>
                    <w:jc w:val="left"/>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赎回确认日</w:t>
                  </w:r>
                </w:p>
              </w:tc>
              <w:tc>
                <w:tcPr>
                  <w:tcW w:w="2043" w:type="dxa"/>
                  <w:vAlign w:val="center"/>
                </w:tcPr>
                <w:p w14:paraId="36510039">
                  <w:pPr>
                    <w:spacing w:line="360" w:lineRule="auto"/>
                    <w:jc w:val="left"/>
                    <w:rPr>
                      <w:rFonts w:asciiTheme="minorEastAsia" w:hAnsiTheme="minorEastAsia" w:eastAsiaTheme="minorEastAsia"/>
                      <w:b/>
                      <w:bCs/>
                      <w:sz w:val="18"/>
                      <w:szCs w:val="18"/>
                    </w:rPr>
                  </w:pPr>
                  <w:r>
                    <w:rPr>
                      <w:rFonts w:hint="eastAsia" w:cs="Times New Roman" w:asciiTheme="minorEastAsia" w:hAnsiTheme="minorEastAsia" w:eastAsiaTheme="minorEastAsia"/>
                      <w:b/>
                      <w:bCs/>
                      <w:kern w:val="0"/>
                      <w:sz w:val="18"/>
                      <w:szCs w:val="18"/>
                    </w:rPr>
                    <w:t>赎回确认方式</w:t>
                  </w:r>
                </w:p>
              </w:tc>
            </w:tr>
            <w:tr w14:paraId="14F3881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49" w:hRule="atLeast"/>
                <w:jc w:val="center"/>
              </w:trPr>
              <w:tc>
                <w:tcPr>
                  <w:tcW w:w="1833" w:type="dxa"/>
                  <w:tcBorders>
                    <w:bottom w:val="single" w:color="auto" w:sz="12" w:space="0"/>
                  </w:tcBorders>
                  <w:vAlign w:val="center"/>
                </w:tcPr>
                <w:p w14:paraId="184CD154">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开放日内交易时间：</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0：00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-【17：00】</w:t>
                  </w:r>
                </w:p>
              </w:tc>
              <w:tc>
                <w:tcPr>
                  <w:tcW w:w="1701" w:type="dxa"/>
                  <w:tcBorders>
                    <w:bottom w:val="single" w:color="auto" w:sz="12" w:space="0"/>
                  </w:tcBorders>
                  <w:vAlign w:val="center"/>
                </w:tcPr>
                <w:p w14:paraId="77B0D5AE">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赎回申请日当日</w:t>
                  </w:r>
                </w:p>
              </w:tc>
              <w:tc>
                <w:tcPr>
                  <w:tcW w:w="1984" w:type="dxa"/>
                  <w:tcBorders>
                    <w:bottom w:val="single" w:color="auto" w:sz="12" w:space="0"/>
                  </w:tcBorders>
                  <w:vAlign w:val="center"/>
                </w:tcPr>
                <w:p w14:paraId="0C17C4F9">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restart"/>
                  <w:vAlign w:val="center"/>
                </w:tcPr>
                <w:p w14:paraId="52260EF9">
                  <w:pPr>
                    <w:spacing w:line="360" w:lineRule="auto"/>
                    <w:rPr>
                      <w:rFonts w:asciiTheme="minorEastAsia" w:hAnsiTheme="minorEastAsia" w:eastAsiaTheme="minorEastAsia"/>
                      <w:bCs/>
                      <w:sz w:val="18"/>
                      <w:szCs w:val="18"/>
                    </w:rPr>
                  </w:pPr>
                  <w:r>
                    <w:rPr>
                      <w:rFonts w:hint="eastAsia" w:cs="Times New Roman" w:asciiTheme="minorEastAsia" w:hAnsiTheme="minorEastAsia" w:eastAsiaTheme="minorEastAsia"/>
                      <w:bCs/>
                      <w:kern w:val="0"/>
                      <w:sz w:val="18"/>
                      <w:szCs w:val="18"/>
                    </w:rPr>
                    <w:t>产品管理人在赎回</w:t>
                  </w:r>
                  <w:r>
                    <w:rPr>
                      <w:rFonts w:cs="Times New Roman" w:asciiTheme="minorEastAsia" w:hAnsiTheme="minorEastAsia" w:eastAsiaTheme="minorEastAsia"/>
                      <w:bCs/>
                      <w:kern w:val="0"/>
                      <w:sz w:val="18"/>
                      <w:szCs w:val="18"/>
                    </w:rPr>
                    <w:t>确认日</w:t>
                  </w:r>
                  <w:r>
                    <w:rPr>
                      <w:rFonts w:hint="eastAsia" w:cs="Times New Roman" w:asciiTheme="minorEastAsia" w:hAnsiTheme="minorEastAsia" w:eastAsiaTheme="minorEastAsia"/>
                      <w:bCs/>
                      <w:kern w:val="0"/>
                      <w:sz w:val="18"/>
                      <w:szCs w:val="18"/>
                    </w:rPr>
                    <w:t>对赎回申请的有效性进行确认，并注销理财份额。</w:t>
                  </w:r>
                </w:p>
              </w:tc>
            </w:tr>
            <w:tr w14:paraId="1D8B6E9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bottom w:val="single" w:color="auto" w:sz="12" w:space="0"/>
                  </w:tcBorders>
                  <w:vAlign w:val="center"/>
                </w:tcPr>
                <w:p w14:paraId="77491266">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开放日内非交易时间：</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17：00</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-【24：00】</w:t>
                  </w:r>
                </w:p>
              </w:tc>
              <w:tc>
                <w:tcPr>
                  <w:tcW w:w="1701" w:type="dxa"/>
                  <w:tcBorders>
                    <w:top w:val="single" w:color="auto" w:sz="12" w:space="0"/>
                    <w:bottom w:val="single" w:color="auto" w:sz="12" w:space="0"/>
                  </w:tcBorders>
                  <w:vAlign w:val="center"/>
                </w:tcPr>
                <w:p w14:paraId="2746B15C">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bottom w:val="single" w:color="auto" w:sz="12" w:space="0"/>
                  </w:tcBorders>
                  <w:vAlign w:val="center"/>
                </w:tcPr>
                <w:p w14:paraId="5032BE6E">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vAlign w:val="center"/>
                </w:tcPr>
                <w:p w14:paraId="475FC1EE">
                  <w:pPr>
                    <w:spacing w:line="360" w:lineRule="auto"/>
                    <w:rPr>
                      <w:rFonts w:cs="Times New Roman" w:asciiTheme="minorEastAsia" w:hAnsiTheme="minorEastAsia" w:eastAsiaTheme="minorEastAsia"/>
                      <w:bCs/>
                      <w:kern w:val="0"/>
                      <w:sz w:val="18"/>
                      <w:szCs w:val="18"/>
                    </w:rPr>
                  </w:pPr>
                </w:p>
              </w:tc>
            </w:tr>
            <w:tr w14:paraId="3571DBD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99" w:hRule="atLeast"/>
                <w:jc w:val="center"/>
              </w:trPr>
              <w:tc>
                <w:tcPr>
                  <w:tcW w:w="1833" w:type="dxa"/>
                  <w:tcBorders>
                    <w:top w:val="single" w:color="auto" w:sz="12" w:space="0"/>
                  </w:tcBorders>
                  <w:vAlign w:val="center"/>
                </w:tcPr>
                <w:p w14:paraId="5C09C692">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非</w:t>
                  </w:r>
                  <w:r>
                    <w:rPr>
                      <w:rFonts w:asciiTheme="majorEastAsia" w:hAnsiTheme="majorEastAsia" w:eastAsiaTheme="majorEastAsia"/>
                      <w:bCs/>
                      <w:sz w:val="18"/>
                      <w:szCs w:val="18"/>
                    </w:rPr>
                    <w:t>开放</w:t>
                  </w:r>
                  <w:r>
                    <w:rPr>
                      <w:rFonts w:hint="eastAsia" w:asciiTheme="majorEastAsia" w:hAnsiTheme="majorEastAsia" w:eastAsiaTheme="majorEastAsia"/>
                      <w:bCs/>
                      <w:sz w:val="18"/>
                      <w:szCs w:val="18"/>
                    </w:rPr>
                    <w:t>日</w:t>
                  </w:r>
                </w:p>
              </w:tc>
              <w:tc>
                <w:tcPr>
                  <w:tcW w:w="1701" w:type="dxa"/>
                  <w:tcBorders>
                    <w:top w:val="single" w:color="auto" w:sz="12" w:space="0"/>
                  </w:tcBorders>
                  <w:vAlign w:val="center"/>
                </w:tcPr>
                <w:p w14:paraId="31CABD4F">
                  <w:pPr>
                    <w:spacing w:line="360" w:lineRule="auto"/>
                    <w:rPr>
                      <w:rFonts w:cs="Times New Roman" w:asciiTheme="minorEastAsia" w:hAnsiTheme="minorEastAsia" w:eastAsiaTheme="minorEastAsia"/>
                      <w:bCs/>
                      <w:kern w:val="0"/>
                      <w:sz w:val="18"/>
                      <w:szCs w:val="18"/>
                    </w:rPr>
                  </w:pPr>
                  <w:r>
                    <w:rPr>
                      <w:rFonts w:hint="eastAsia" w:asciiTheme="majorEastAsia" w:hAnsiTheme="majorEastAsia" w:eastAsiaTheme="majorEastAsia"/>
                      <w:bCs/>
                      <w:sz w:val="18"/>
                      <w:szCs w:val="18"/>
                    </w:rPr>
                    <w:t>赎回申请日后的下一个开放日</w:t>
                  </w:r>
                </w:p>
              </w:tc>
              <w:tc>
                <w:tcPr>
                  <w:tcW w:w="1984" w:type="dxa"/>
                  <w:tcBorders>
                    <w:top w:val="single" w:color="auto" w:sz="12" w:space="0"/>
                  </w:tcBorders>
                </w:tcPr>
                <w:p w14:paraId="08094012">
                  <w:pPr>
                    <w:spacing w:line="360" w:lineRule="auto"/>
                    <w:rPr>
                      <w:rFonts w:cs="Times New Roman" w:asciiTheme="minorEastAsia" w:hAnsiTheme="minorEastAsia" w:eastAsiaTheme="minorEastAsia"/>
                      <w:bCs/>
                      <w:kern w:val="0"/>
                      <w:sz w:val="18"/>
                      <w:szCs w:val="18"/>
                    </w:rPr>
                  </w:pPr>
                  <w:r>
                    <w:rPr>
                      <w:rFonts w:cs="Times New Roman" w:asciiTheme="minorEastAsia" w:hAnsiTheme="minorEastAsia" w:eastAsiaTheme="minorEastAsia"/>
                      <w:bCs/>
                      <w:kern w:val="0"/>
                      <w:sz w:val="18"/>
                      <w:szCs w:val="18"/>
                    </w:rPr>
                    <w:t>赎回日</w:t>
                  </w:r>
                  <w:r>
                    <w:rPr>
                      <w:rFonts w:hint="eastAsia" w:asciiTheme="majorEastAsia" w:hAnsiTheme="majorEastAsia" w:eastAsiaTheme="majorEastAsia"/>
                      <w:bCs/>
                      <w:sz w:val="18"/>
                      <w:szCs w:val="18"/>
                    </w:rPr>
                    <w:t>后的下一个开放日</w:t>
                  </w:r>
                </w:p>
              </w:tc>
              <w:tc>
                <w:tcPr>
                  <w:tcW w:w="2043" w:type="dxa"/>
                  <w:vMerge w:val="continue"/>
                </w:tcPr>
                <w:p w14:paraId="308D6557">
                  <w:pPr>
                    <w:spacing w:line="360" w:lineRule="auto"/>
                    <w:rPr>
                      <w:rFonts w:cs="Times New Roman" w:asciiTheme="minorEastAsia" w:hAnsiTheme="minorEastAsia" w:eastAsiaTheme="minorEastAsia"/>
                      <w:bCs/>
                      <w:kern w:val="0"/>
                      <w:sz w:val="18"/>
                      <w:szCs w:val="18"/>
                    </w:rPr>
                  </w:pPr>
                </w:p>
              </w:tc>
            </w:tr>
          </w:tbl>
          <w:p w14:paraId="246673DD">
            <w:pPr>
              <w:spacing w:line="360" w:lineRule="auto"/>
              <w:rPr>
                <w:rFonts w:ascii="黑体" w:hAnsi="黑体" w:eastAsia="黑体" w:cs="黑体"/>
                <w:color w:val="000000" w:themeColor="text1"/>
                <w:sz w:val="18"/>
                <w:szCs w:val="18"/>
                <w14:textFill>
                  <w14:solidFill>
                    <w14:schemeClr w14:val="tx1"/>
                  </w14:solidFill>
                </w14:textFill>
              </w:rPr>
            </w:pPr>
            <w:r>
              <w:rPr>
                <w:rFonts w:hint="eastAsia" w:ascii="黑体" w:hAnsi="黑体" w:eastAsia="黑体" w:cs="黑体"/>
                <w:color w:val="000000" w:themeColor="text1"/>
                <w:sz w:val="18"/>
                <w:szCs w:val="18"/>
                <w14:textFill>
                  <w14:solidFill>
                    <w14:schemeClr w14:val="tx1"/>
                  </w14:solidFill>
                </w14:textFill>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color w:val="000000" w:themeColor="text1"/>
                <w:sz w:val="18"/>
                <w:szCs w:val="18"/>
                <w14:textFill>
                  <w14:solidFill>
                    <w14:schemeClr w14:val="tx1"/>
                  </w14:solidFill>
                </w14:textFill>
              </w:rPr>
              <w:t>款项于</w:t>
            </w:r>
            <w:r>
              <w:rPr>
                <w:rFonts w:hint="eastAsia" w:ascii="黑体" w:hAnsi="黑体" w:eastAsia="黑体" w:cs="黑体"/>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1</w:t>
            </w:r>
            <w:r>
              <w:rPr>
                <w:rFonts w:hint="eastAsia" w:ascii="黑体" w:hAnsi="黑体" w:eastAsia="黑体" w:cs="黑体"/>
                <w:kern w:val="0"/>
                <w:sz w:val="18"/>
              </w:rPr>
              <w:t>】个开放日</w:t>
            </w:r>
            <w:r>
              <w:rPr>
                <w:rFonts w:hint="eastAsia" w:ascii="黑体" w:hAnsi="黑体" w:eastAsia="黑体" w:cs="黑体"/>
                <w:kern w:val="0"/>
                <w:sz w:val="18"/>
                <w:szCs w:val="18"/>
              </w:rPr>
              <w:t>内支付给</w:t>
            </w:r>
            <w:r>
              <w:rPr>
                <w:rFonts w:hint="eastAsia" w:ascii="黑体" w:hAnsi="黑体" w:eastAsia="黑体" w:cs="黑体"/>
                <w:kern w:val="0"/>
                <w:sz w:val="18"/>
              </w:rPr>
              <w:t>投资者</w:t>
            </w:r>
            <w:r>
              <w:rPr>
                <w:rFonts w:hint="eastAsia" w:ascii="黑体" w:hAnsi="黑体" w:eastAsia="黑体" w:cs="黑体"/>
                <w:kern w:val="0"/>
                <w:sz w:val="18"/>
                <w:szCs w:val="18"/>
              </w:rPr>
              <w:t>。</w:t>
            </w:r>
          </w:p>
          <w:p w14:paraId="6FD0F4D5">
            <w:pPr>
              <w:spacing w:line="360" w:lineRule="auto"/>
              <w:rPr>
                <w:rFonts w:asciiTheme="minorEastAsia" w:hAnsiTheme="minorEastAsia" w:eastAsiaTheme="minorEastAsia"/>
                <w:sz w:val="18"/>
                <w:szCs w:val="18"/>
              </w:rPr>
            </w:pPr>
            <w:r>
              <w:rPr>
                <w:rFonts w:asciiTheme="majorEastAsia" w:hAnsiTheme="majorEastAsia" w:eastAsiaTheme="majorEastAsia"/>
                <w:bCs/>
                <w:color w:val="000000" w:themeColor="text1"/>
                <w:sz w:val="18"/>
                <w:szCs w:val="18"/>
                <w14:textFill>
                  <w14:solidFill>
                    <w14:schemeClr w14:val="tx1"/>
                  </w14:solidFill>
                </w14:textFill>
              </w:rPr>
              <w:t>4.申购/</w:t>
            </w:r>
            <w:r>
              <w:rPr>
                <w:rFonts w:hint="eastAsia" w:asciiTheme="majorEastAsia" w:hAnsiTheme="majorEastAsia" w:eastAsiaTheme="majorEastAsia"/>
                <w:bCs/>
                <w:color w:val="000000" w:themeColor="text1"/>
                <w:sz w:val="18"/>
                <w:szCs w:val="18"/>
                <w14:textFill>
                  <w14:solidFill>
                    <w14:schemeClr w14:val="tx1"/>
                  </w14:solidFill>
                </w14:textFill>
              </w:rPr>
              <w:t>赎回申请时间如遇非工作日，则产品管理人做相应调整。</w:t>
            </w:r>
          </w:p>
          <w:p w14:paraId="2EB9CEE6">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注：关于代理销售机构的实际工作服务时段的提示</w:t>
            </w:r>
          </w:p>
          <w:p w14:paraId="75AF745C">
            <w:pPr>
              <w:spacing w:line="360" w:lineRule="auto"/>
              <w:rPr>
                <w:rFonts w:ascii="黑体" w:hAnsi="黑体" w:eastAsia="黑体"/>
                <w:bCs/>
                <w:sz w:val="18"/>
                <w:szCs w:val="18"/>
              </w:rPr>
            </w:pPr>
            <w:r>
              <w:rPr>
                <w:rFonts w:hint="eastAsia" w:ascii="黑体" w:hAnsi="黑体" w:eastAsia="黑体"/>
                <w:bCs/>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bCs/>
                <w:sz w:val="18"/>
                <w:szCs w:val="18"/>
              </w:rPr>
              <w:t>以</w:t>
            </w:r>
            <w:r>
              <w:rPr>
                <w:rFonts w:hint="eastAsia" w:ascii="黑体" w:hAnsi="黑体" w:eastAsia="黑体"/>
                <w:bCs/>
                <w:sz w:val="18"/>
                <w:szCs w:val="18"/>
              </w:rPr>
              <w:t>代理销售机构的展示</w:t>
            </w:r>
            <w:r>
              <w:rPr>
                <w:rFonts w:ascii="黑体" w:hAnsi="黑体" w:eastAsia="黑体"/>
                <w:bCs/>
                <w:sz w:val="18"/>
                <w:szCs w:val="18"/>
              </w:rPr>
              <w:t>为准</w:t>
            </w:r>
            <w:r>
              <w:rPr>
                <w:rFonts w:hint="eastAsia" w:ascii="黑体" w:hAnsi="黑体" w:eastAsia="黑体"/>
                <w:bCs/>
                <w:sz w:val="18"/>
                <w:szCs w:val="18"/>
              </w:rPr>
              <w:t>。</w:t>
            </w:r>
          </w:p>
          <w:p w14:paraId="3F0FB697">
            <w:pPr>
              <w:spacing w:line="360" w:lineRule="auto"/>
              <w:rPr>
                <w:rFonts w:ascii="黑体" w:hAnsi="黑体" w:eastAsia="黑体"/>
                <w:sz w:val="18"/>
                <w:szCs w:val="18"/>
              </w:rPr>
            </w:pPr>
            <w:r>
              <w:rPr>
                <w:rFonts w:hint="eastAsia" w:ascii="黑体" w:hAnsi="黑体" w:eastAsia="黑体"/>
                <w:bCs/>
                <w:sz w:val="18"/>
                <w:szCs w:val="18"/>
              </w:rPr>
              <w:t>②代理销售机构的实际工作服务时段，最早不得早于销售文件约定</w:t>
            </w:r>
            <w:r>
              <w:rPr>
                <w:rFonts w:ascii="黑体" w:hAnsi="黑体" w:eastAsia="黑体"/>
                <w:bCs/>
                <w:sz w:val="18"/>
                <w:szCs w:val="18"/>
              </w:rPr>
              <w:t>的</w:t>
            </w:r>
            <w:r>
              <w:rPr>
                <w:rFonts w:hint="eastAsia" w:ascii="黑体" w:hAnsi="黑体" w:eastAsia="黑体"/>
                <w:bCs/>
                <w:sz w:val="18"/>
                <w:szCs w:val="18"/>
              </w:rPr>
              <w:t>起始时点、最晚不得晚于销售文件</w:t>
            </w:r>
            <w:r>
              <w:rPr>
                <w:rFonts w:ascii="黑体" w:hAnsi="黑体" w:eastAsia="黑体"/>
                <w:bCs/>
                <w:sz w:val="18"/>
                <w:szCs w:val="18"/>
              </w:rPr>
              <w:t>约定的</w:t>
            </w:r>
            <w:r>
              <w:rPr>
                <w:rFonts w:hint="eastAsia" w:ascii="黑体" w:hAnsi="黑体" w:eastAsia="黑体"/>
                <w:bCs/>
                <w:sz w:val="18"/>
                <w:szCs w:val="18"/>
              </w:rPr>
              <w:t>终止时点</w:t>
            </w:r>
            <w:r>
              <w:rPr>
                <w:rFonts w:ascii="黑体" w:hAnsi="黑体" w:eastAsia="黑体"/>
                <w:bCs/>
                <w:sz w:val="18"/>
                <w:szCs w:val="18"/>
              </w:rPr>
              <w:t>。</w:t>
            </w:r>
          </w:p>
        </w:tc>
      </w:tr>
      <w:tr w14:paraId="1339572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2DA6282C">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14:paraId="6D4CAFFC">
            <w:pPr>
              <w:spacing w:line="360" w:lineRule="auto"/>
              <w:jc w:val="left"/>
              <w:rPr>
                <w:rFonts w:hint="eastAsia" w:asciiTheme="majorEastAsia" w:hAnsiTheme="majorEastAsia" w:eastAsiaTheme="majorEastAsia"/>
                <w:sz w:val="18"/>
                <w:szCs w:val="18"/>
                <w:lang w:eastAsia="zh-CN"/>
              </w:rPr>
            </w:pPr>
            <w:r>
              <w:rPr>
                <w:rFonts w:hint="eastAsia" w:asciiTheme="majorEastAsia" w:hAnsiTheme="majorEastAsia" w:eastAsiaTheme="majorEastAsia"/>
                <w:sz w:val="18"/>
                <w:szCs w:val="18"/>
              </w:rPr>
              <w:t>每笔购买起点金额为【1】元; 超出起点金额的部分以【0.01】元的整数倍递增。（适用【B】类份额)
</w:t>
            </w:r>
          </w:p>
          <w:p w14:paraId="242B3227">
            <w:pPr>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关于代理销售机构的实际销售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的提示</w:t>
            </w:r>
          </w:p>
          <w:p w14:paraId="5A64A246">
            <w:pPr>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bCs/>
                <w:color w:val="000000" w:themeColor="text1"/>
                <w:sz w:val="18"/>
                <w:szCs w:val="18"/>
                <w14:textFill>
                  <w14:solidFill>
                    <w14:schemeClr w14:val="tx1"/>
                  </w14:solidFill>
                </w14:textFill>
              </w:rPr>
              <w:t>以</w:t>
            </w:r>
            <w:r>
              <w:rPr>
                <w:rFonts w:hint="eastAsia" w:ascii="黑体" w:hAnsi="黑体" w:eastAsia="黑体"/>
                <w:bCs/>
                <w:color w:val="000000" w:themeColor="text1"/>
                <w:sz w:val="18"/>
                <w:szCs w:val="18"/>
                <w14:textFill>
                  <w14:solidFill>
                    <w14:schemeClr w14:val="tx1"/>
                  </w14:solidFill>
                </w14:textFill>
              </w:rPr>
              <w:t>代理销售机构展示</w:t>
            </w:r>
            <w:r>
              <w:rPr>
                <w:rFonts w:ascii="黑体" w:hAnsi="黑体" w:eastAsia="黑体"/>
                <w:bCs/>
                <w:color w:val="000000" w:themeColor="text1"/>
                <w:sz w:val="18"/>
                <w:szCs w:val="18"/>
                <w14:textFill>
                  <w14:solidFill>
                    <w14:schemeClr w14:val="tx1"/>
                  </w14:solidFill>
                </w14:textFill>
              </w:rPr>
              <w:t>为准</w:t>
            </w:r>
            <w:r>
              <w:rPr>
                <w:rFonts w:hint="eastAsia" w:ascii="黑体" w:hAnsi="黑体" w:eastAsia="黑体"/>
                <w:bCs/>
                <w:color w:val="000000" w:themeColor="text1"/>
                <w:sz w:val="18"/>
                <w:szCs w:val="18"/>
                <w14:textFill>
                  <w14:solidFill>
                    <w14:schemeClr w14:val="tx1"/>
                  </w14:solidFill>
                </w14:textFill>
              </w:rPr>
              <w:t>。</w:t>
            </w:r>
          </w:p>
          <w:p w14:paraId="65BBFB0E">
            <w:pPr>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②代理销售机构的实际销售起点金额，</w:t>
            </w:r>
            <w:r>
              <w:rPr>
                <w:rFonts w:ascii="黑体" w:hAnsi="黑体" w:eastAsia="黑体"/>
                <w:bCs/>
                <w:color w:val="000000" w:themeColor="text1"/>
                <w:sz w:val="18"/>
                <w:szCs w:val="18"/>
                <w14:textFill>
                  <w14:solidFill>
                    <w14:schemeClr w14:val="tx1"/>
                  </w14:solidFill>
                </w14:textFill>
              </w:rPr>
              <w:t>不得低于</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文件约定的</w:t>
            </w:r>
            <w:r>
              <w:rPr>
                <w:rFonts w:hint="eastAsia" w:ascii="黑体" w:hAnsi="黑体" w:eastAsia="黑体"/>
                <w:bCs/>
                <w:color w:val="000000" w:themeColor="text1"/>
                <w:sz w:val="18"/>
                <w:szCs w:val="18"/>
                <w14:textFill>
                  <w14:solidFill>
                    <w14:schemeClr w14:val="tx1"/>
                  </w14:solidFill>
                </w14:textFill>
              </w:rPr>
              <w:t>销售</w:t>
            </w:r>
            <w:r>
              <w:rPr>
                <w:rFonts w:ascii="黑体" w:hAnsi="黑体" w:eastAsia="黑体"/>
                <w:bCs/>
                <w:color w:val="000000" w:themeColor="text1"/>
                <w:sz w:val="18"/>
                <w:szCs w:val="18"/>
                <w14:textFill>
                  <w14:solidFill>
                    <w14:schemeClr w14:val="tx1"/>
                  </w14:solidFill>
                </w14:textFill>
              </w:rPr>
              <w:t>起点金额</w:t>
            </w:r>
            <w:r>
              <w:rPr>
                <w:rFonts w:hint="eastAsia" w:ascii="黑体" w:hAnsi="黑体" w:eastAsia="黑体"/>
                <w:bCs/>
                <w:color w:val="000000" w:themeColor="text1"/>
                <w:sz w:val="18"/>
                <w:szCs w:val="18"/>
                <w14:textFill>
                  <w14:solidFill>
                    <w14:schemeClr w14:val="tx1"/>
                  </w14:solidFill>
                </w14:textFill>
              </w:rPr>
              <w:t>。</w:t>
            </w:r>
          </w:p>
        </w:tc>
      </w:tr>
      <w:tr w14:paraId="33ADA2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90B9086">
            <w:pPr>
              <w:autoSpaceDE w:val="0"/>
              <w:autoSpaceDN w:val="0"/>
              <w:adjustRightInd w:val="0"/>
              <w:spacing w:line="360" w:lineRule="auto"/>
              <w:jc w:val="left"/>
              <w:rPr>
                <w:rFonts w:hAnsi="宋体"/>
                <w:b/>
                <w:sz w:val="18"/>
                <w:szCs w:val="18"/>
              </w:rPr>
            </w:pPr>
            <w:r>
              <w:rPr>
                <w:rFonts w:hint="eastAsia" w:hAnsi="宋体"/>
                <w:b/>
                <w:sz w:val="18"/>
                <w:szCs w:val="18"/>
              </w:rPr>
              <w:t>★认购、申购与赎回的数量限制</w:t>
            </w:r>
          </w:p>
        </w:tc>
        <w:tc>
          <w:tcPr>
            <w:tcW w:w="7704" w:type="dxa"/>
            <w:shd w:val="solid" w:color="FFFFFF" w:fill="FFFFFF"/>
            <w:vAlign w:val="center"/>
          </w:tcPr>
          <w:p w14:paraId="0C56E484">
            <w:pPr>
              <w:pStyle w:val="34"/>
              <w:spacing w:line="360" w:lineRule="auto"/>
              <w:rPr>
                <w:rFonts w:hint="eastAsia"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】类份额）</w:t>
            </w:r>
          </w:p>
          <w:p w14:paraId="329E3C4D">
            <w:pPr>
              <w:pStyle w:val="34"/>
              <w:spacing w:line="360" w:lineRule="auto"/>
              <w:rPr>
                <w:rFonts w:hint="eastAsia" w:hAnsi="宋体"/>
                <w:bCs/>
                <w:sz w:val="18"/>
                <w:szCs w:val="18"/>
              </w:rPr>
            </w:pPr>
            <w:r>
              <w:rPr>
                <w:rFonts w:hint="eastAsia" w:hAnsi="宋体"/>
                <w:bCs/>
                <w:sz w:val="18"/>
                <w:szCs w:val="18"/>
              </w:rPr>
              <w:t>1.认购的数量限制</w:t>
            </w:r>
          </w:p>
          <w:p w14:paraId="320D56FB">
            <w:pPr>
              <w:pStyle w:val="34"/>
              <w:spacing w:line="360" w:lineRule="auto"/>
              <w:rPr>
                <w:rFonts w:hint="eastAsia" w:hAnsi="宋体"/>
                <w:bCs/>
                <w:sz w:val="18"/>
                <w:szCs w:val="18"/>
              </w:rPr>
            </w:pPr>
            <w:r>
              <w:rPr>
                <w:rFonts w:hint="eastAsia" w:hAnsi="宋体"/>
                <w:bCs/>
                <w:sz w:val="18"/>
                <w:szCs w:val="18"/>
              </w:rPr>
              <w:t>单一投资者认购上限为【</w:t>
            </w:r>
            <w:r>
              <w:rPr>
                <w:rFonts w:hint="eastAsia" w:hAnsi="宋体"/>
                <w:bCs/>
                <w:sz w:val="18"/>
                <w:szCs w:val="18"/>
                <w:lang w:val="en-US" w:eastAsia="zh-CN"/>
              </w:rPr>
              <w:t>/</w:t>
            </w:r>
            <w:r>
              <w:rPr>
                <w:rFonts w:hint="eastAsia" w:hAnsi="宋体"/>
                <w:bCs/>
                <w:sz w:val="18"/>
                <w:szCs w:val="18"/>
              </w:rPr>
              <w:t>】</w:t>
            </w:r>
            <w:r>
              <w:rPr>
                <w:rFonts w:hint="eastAsia" w:hAnsi="宋体"/>
                <w:bCs/>
                <w:sz w:val="18"/>
                <w:szCs w:val="18"/>
                <w:lang w:val="en-US" w:eastAsia="zh-CN"/>
              </w:rPr>
              <w:t>元</w:t>
            </w:r>
            <w:r>
              <w:rPr>
                <w:rFonts w:hint="eastAsia" w:hAnsi="宋体"/>
                <w:bCs/>
                <w:sz w:val="18"/>
                <w:szCs w:val="18"/>
              </w:rPr>
              <w:t>。如需突破上限，请与产品管理人或销售机构客户经理联系。</w:t>
            </w:r>
          </w:p>
          <w:p w14:paraId="45E76DF0">
            <w:pPr>
              <w:pStyle w:val="34"/>
              <w:spacing w:line="360" w:lineRule="auto"/>
              <w:rPr>
                <w:rFonts w:hint="eastAsia" w:hAnsi="宋体"/>
                <w:bCs/>
                <w:sz w:val="18"/>
                <w:szCs w:val="18"/>
              </w:rPr>
            </w:pPr>
            <w:r>
              <w:rPr>
                <w:rFonts w:hint="eastAsia" w:hAnsi="宋体"/>
                <w:bCs/>
                <w:sz w:val="18"/>
                <w:szCs w:val="18"/>
              </w:rPr>
              <w:t>2.申购的数量限制</w:t>
            </w:r>
          </w:p>
          <w:p w14:paraId="32DDD7DC">
            <w:pPr>
              <w:pStyle w:val="34"/>
              <w:spacing w:line="360" w:lineRule="auto"/>
              <w:rPr>
                <w:rFonts w:hint="eastAsia" w:hAnsi="宋体"/>
                <w:bCs/>
                <w:sz w:val="18"/>
                <w:szCs w:val="18"/>
              </w:rPr>
            </w:pPr>
            <w:r>
              <w:rPr>
                <w:rFonts w:hint="eastAsia" w:hAnsi="宋体"/>
                <w:bCs/>
                <w:sz w:val="18"/>
                <w:szCs w:val="18"/>
              </w:rPr>
              <w:t>（1）单一投资者申购上限为【</w:t>
            </w:r>
            <w:r>
              <w:rPr>
                <w:rFonts w:hint="eastAsia" w:hAnsi="宋体"/>
                <w:bCs/>
                <w:sz w:val="18"/>
                <w:szCs w:val="18"/>
                <w:lang w:val="en-US" w:eastAsia="zh-CN"/>
              </w:rPr>
              <w:t>/</w:t>
            </w:r>
            <w:r>
              <w:rPr>
                <w:rFonts w:hint="eastAsia" w:hAnsi="宋体"/>
                <w:bCs/>
                <w:sz w:val="18"/>
                <w:szCs w:val="18"/>
              </w:rPr>
              <w:t>】</w:t>
            </w:r>
            <w:r>
              <w:rPr>
                <w:rFonts w:hint="eastAsia" w:hAnsi="宋体"/>
                <w:bCs/>
                <w:sz w:val="18"/>
                <w:szCs w:val="18"/>
                <w:lang w:val="en-US" w:eastAsia="zh-CN"/>
              </w:rPr>
              <w:t>元</w:t>
            </w:r>
            <w:r>
              <w:rPr>
                <w:rFonts w:hint="eastAsia" w:hAnsi="宋体"/>
                <w:bCs/>
                <w:sz w:val="18"/>
                <w:szCs w:val="18"/>
              </w:rPr>
              <w:t>。</w:t>
            </w:r>
          </w:p>
          <w:p w14:paraId="4AFB69AC">
            <w:pPr>
              <w:pStyle w:val="34"/>
              <w:spacing w:line="360" w:lineRule="auto"/>
              <w:rPr>
                <w:rFonts w:hint="eastAsia" w:hAnsi="宋体"/>
                <w:bCs/>
                <w:sz w:val="18"/>
                <w:szCs w:val="18"/>
              </w:rPr>
            </w:pPr>
            <w:r>
              <w:rPr>
                <w:rFonts w:hint="eastAsia" w:hAnsi="宋体"/>
                <w:bCs/>
                <w:sz w:val="18"/>
                <w:szCs w:val="18"/>
              </w:rPr>
              <w:t>（2）产品存续期间，单一投资者最高持有份额上限为【</w:t>
            </w:r>
            <w:r>
              <w:rPr>
                <w:rFonts w:hint="eastAsia" w:hAnsi="宋体"/>
                <w:bCs/>
                <w:sz w:val="18"/>
                <w:szCs w:val="18"/>
                <w:lang w:val="en-US" w:eastAsia="zh-CN"/>
              </w:rPr>
              <w:t>/</w:t>
            </w:r>
            <w:r>
              <w:rPr>
                <w:rFonts w:hint="eastAsia" w:hAnsi="宋体"/>
                <w:bCs/>
                <w:sz w:val="18"/>
                <w:szCs w:val="18"/>
              </w:rPr>
              <w:t>】</w:t>
            </w:r>
            <w:r>
              <w:rPr>
                <w:rFonts w:hint="eastAsia" w:hAnsi="宋体"/>
                <w:bCs/>
                <w:sz w:val="18"/>
                <w:szCs w:val="18"/>
                <w:lang w:val="en-US" w:eastAsia="zh-CN"/>
              </w:rPr>
              <w:t>份</w:t>
            </w:r>
            <w:r>
              <w:rPr>
                <w:rFonts w:hint="eastAsia" w:hAnsi="宋体"/>
                <w:bCs/>
                <w:sz w:val="18"/>
                <w:szCs w:val="18"/>
              </w:rPr>
              <w:t>，符合产品管理人流动性管理的稳定资金除外。</w:t>
            </w:r>
          </w:p>
          <w:p w14:paraId="6B487C5E">
            <w:pPr>
              <w:pStyle w:val="34"/>
              <w:spacing w:line="360" w:lineRule="auto"/>
              <w:rPr>
                <w:rFonts w:hint="eastAsia" w:hAnsi="宋体"/>
                <w:bCs/>
                <w:sz w:val="18"/>
                <w:szCs w:val="18"/>
              </w:rPr>
            </w:pPr>
            <w:r>
              <w:rPr>
                <w:rFonts w:hint="eastAsia" w:hAnsi="宋体"/>
                <w:bCs/>
                <w:sz w:val="18"/>
                <w:szCs w:val="18"/>
              </w:rPr>
              <w:t xml:space="preserve">如需突破上限，请与产品管理人或销售机构客户经理联系。 </w:t>
            </w:r>
          </w:p>
          <w:p w14:paraId="4341AECE">
            <w:pPr>
              <w:pStyle w:val="34"/>
              <w:spacing w:line="360" w:lineRule="auto"/>
              <w:rPr>
                <w:rFonts w:hint="eastAsia" w:hAnsi="宋体"/>
                <w:bCs/>
                <w:sz w:val="18"/>
                <w:szCs w:val="18"/>
              </w:rPr>
            </w:pPr>
            <w:r>
              <w:rPr>
                <w:rFonts w:hint="eastAsia" w:hAnsi="宋体"/>
                <w:bCs/>
                <w:sz w:val="18"/>
                <w:szCs w:val="18"/>
              </w:rPr>
              <w:t>3.赎回的数量限制</w:t>
            </w:r>
          </w:p>
          <w:p w14:paraId="05E88946">
            <w:pPr>
              <w:pStyle w:val="34"/>
              <w:spacing w:line="360" w:lineRule="auto"/>
              <w:rPr>
                <w:rFonts w:hint="eastAsia" w:hAnsi="宋体"/>
                <w:bCs/>
                <w:sz w:val="18"/>
                <w:szCs w:val="18"/>
              </w:rPr>
            </w:pPr>
            <w:r>
              <w:rPr>
                <w:rFonts w:hint="eastAsia" w:hAnsi="宋体"/>
                <w:bCs/>
                <w:sz w:val="18"/>
                <w:szCs w:val="18"/>
              </w:rPr>
              <w:t>（1）单一投资者赎回上限为【</w:t>
            </w:r>
            <w:r>
              <w:rPr>
                <w:rFonts w:hint="eastAsia" w:hAnsi="宋体"/>
                <w:bCs/>
                <w:sz w:val="18"/>
                <w:szCs w:val="18"/>
                <w:lang w:val="en-US" w:eastAsia="zh-CN"/>
              </w:rPr>
              <w:t>/</w:t>
            </w:r>
            <w:r>
              <w:rPr>
                <w:rFonts w:hint="eastAsia" w:hAnsi="宋体"/>
                <w:bCs/>
                <w:sz w:val="18"/>
                <w:szCs w:val="18"/>
              </w:rPr>
              <w:t>】</w:t>
            </w:r>
            <w:r>
              <w:rPr>
                <w:rFonts w:hint="eastAsia" w:hAnsi="宋体"/>
                <w:bCs/>
                <w:sz w:val="18"/>
                <w:szCs w:val="18"/>
                <w:lang w:val="en-US" w:eastAsia="zh-CN"/>
              </w:rPr>
              <w:t>份</w:t>
            </w:r>
            <w:r>
              <w:rPr>
                <w:rFonts w:hint="eastAsia" w:hAnsi="宋体"/>
                <w:bCs/>
                <w:sz w:val="18"/>
                <w:szCs w:val="18"/>
              </w:rPr>
              <w:t>。</w:t>
            </w:r>
          </w:p>
          <w:p w14:paraId="55573690">
            <w:pPr>
              <w:pStyle w:val="34"/>
              <w:spacing w:line="360" w:lineRule="auto"/>
              <w:rPr>
                <w:rFonts w:hint="eastAsia" w:hAnsi="宋体"/>
                <w:bCs/>
                <w:sz w:val="18"/>
                <w:szCs w:val="18"/>
              </w:rPr>
            </w:pPr>
            <w:r>
              <w:rPr>
                <w:rFonts w:hint="eastAsia" w:hAnsi="宋体"/>
                <w:bCs/>
                <w:sz w:val="18"/>
                <w:szCs w:val="18"/>
              </w:rPr>
              <w:t>（2）投资者可全部或部分赎回其理财份额，但是部分赎回后单一投资者持有产品份额不得低于【</w:t>
            </w:r>
            <w:r>
              <w:rPr>
                <w:rFonts w:hint="eastAsia" w:hAnsi="宋体"/>
                <w:bCs/>
                <w:sz w:val="18"/>
                <w:szCs w:val="18"/>
                <w:lang w:val="en-US" w:eastAsia="zh-CN"/>
              </w:rPr>
              <w:t>0.01</w:t>
            </w:r>
            <w:r>
              <w:rPr>
                <w:rFonts w:hint="eastAsia" w:hAnsi="宋体"/>
                <w:bCs/>
                <w:sz w:val="18"/>
                <w:szCs w:val="18"/>
              </w:rPr>
              <w:t>】</w:t>
            </w:r>
            <w:r>
              <w:rPr>
                <w:rFonts w:hint="eastAsia" w:hAnsi="宋体"/>
                <w:bCs/>
                <w:sz w:val="18"/>
                <w:szCs w:val="18"/>
                <w:lang w:val="en-US" w:eastAsia="zh-CN"/>
              </w:rPr>
              <w:t>份</w:t>
            </w:r>
            <w:r>
              <w:rPr>
                <w:rFonts w:hint="eastAsia" w:hAnsi="宋体"/>
                <w:bCs/>
                <w:sz w:val="18"/>
                <w:szCs w:val="18"/>
              </w:rPr>
              <w:t>。受理财利益分配去尾规则的影响，投资者持有产品份额较低时可能无法取得利益。巨额赎回情景发生时，投资者的可赎回份额需要根据巨额赎回规则确定。</w:t>
            </w:r>
          </w:p>
          <w:p w14:paraId="2E57244E">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注</w:t>
            </w:r>
            <w:r>
              <w:rPr>
                <w:rFonts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本产品单一投资者持有份额不得超过产品总份额</w:t>
            </w:r>
            <w:r>
              <w:rPr>
                <w:rFonts w:ascii="黑体" w:hAnsi="黑体" w:eastAsia="黑体"/>
                <w:bCs/>
                <w:color w:val="000000" w:themeColor="text1"/>
                <w:sz w:val="18"/>
                <w:szCs w:val="18"/>
                <w14:textFill>
                  <w14:solidFill>
                    <w14:schemeClr w14:val="tx1"/>
                  </w14:solidFill>
                </w14:textFill>
              </w:rPr>
              <w:t>50%。</w:t>
            </w:r>
          </w:p>
          <w:p w14:paraId="4F1C63E1">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14:paraId="5B147A7D">
            <w:pPr>
              <w:pStyle w:val="34"/>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14:paraId="377212F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14:paraId="6E4B595E">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14:paraId="2C3F691F">
            <w:pPr>
              <w:pStyle w:val="34"/>
              <w:spacing w:line="360" w:lineRule="auto"/>
              <w:rPr>
                <w:rFonts w:asciiTheme="majorEastAsia" w:hAnsiTheme="majorEastAsia" w:eastAsiaTheme="majorEastAsia"/>
                <w:bCs/>
                <w:sz w:val="18"/>
                <w:szCs w:val="18"/>
              </w:rPr>
            </w:pPr>
            <w:r>
              <w:rPr>
                <w:rFonts w:hint="eastAsia" w:asciiTheme="minorEastAsia" w:hAnsiTheme="minorEastAsia"/>
                <w:bCs/>
                <w:sz w:val="18"/>
                <w:szCs w:val="18"/>
              </w:rPr>
              <w:t>单个开放日中</w:t>
            </w:r>
            <w:r>
              <w:rPr>
                <w:rFonts w:hint="eastAsia" w:asciiTheme="majorEastAsia" w:hAnsiTheme="majorEastAsia" w:eastAsiaTheme="majorEastAsia"/>
                <w:bCs/>
                <w:sz w:val="18"/>
                <w:szCs w:val="18"/>
              </w:rPr>
              <w:t>，本产品的累计产品份额净赎回申请（赎回申请总份额扣除申购总份额后的余额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下同）之和达到上一日产品总份额的1</w:t>
            </w:r>
            <w:r>
              <w:rPr>
                <w:rFonts w:asciiTheme="majorEastAsia" w:hAnsiTheme="majorEastAsia" w:eastAsiaTheme="majorEastAsia"/>
                <w:bCs/>
                <w:sz w:val="18"/>
                <w:szCs w:val="18"/>
              </w:rPr>
              <w:t>0%</w:t>
            </w:r>
            <w:r>
              <w:rPr>
                <w:rFonts w:hint="eastAsia" w:asciiTheme="majorEastAsia" w:hAnsiTheme="majorEastAsia" w:eastAsiaTheme="majorEastAsia"/>
                <w:bCs/>
                <w:sz w:val="18"/>
                <w:szCs w:val="18"/>
              </w:rPr>
              <w:t>，为巨额赎回。</w:t>
            </w:r>
          </w:p>
        </w:tc>
      </w:tr>
      <w:tr w14:paraId="58C7A40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E615EAD">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14:paraId="4837BD70">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14:paraId="697CFE6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5ED5E546">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14:paraId="14EF97D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14:paraId="77CFF9DF">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14:paraId="66144A3F">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p w14:paraId="50F39FED">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理财产品份额净值四舍五入保留5位小数。</w:t>
            </w:r>
          </w:p>
        </w:tc>
      </w:tr>
      <w:tr w14:paraId="60CE6D7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74116E0A">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14:paraId="66D0E508">
            <w:pPr>
              <w:spacing w:line="360" w:lineRule="auto"/>
              <w:jc w:val="left"/>
              <w:rPr>
                <w:rFonts w:hint="eastAsia" w:hAnsi="宋体"/>
                <w:bCs/>
                <w:sz w:val="18"/>
                <w:szCs w:val="18"/>
              </w:rPr>
            </w:pPr>
            <w:r>
              <w:rPr>
                <w:rFonts w:ascii="宋体" w:hAnsi="宋体" w:cs="宋体" w:eastAsia="宋体"/>
                <w:sz w:val="18"/>
              </w:rPr>
              <w:t>1.业绩比较基准的设置</w:t>
              <w:br/>
            </w:r>
            <w:r>
              <w:rPr>
                <w:rFonts w:ascii="宋体" w:hAnsi="宋体" w:cs="宋体" w:eastAsia="宋体"/>
                <w:sz w:val="18"/>
              </w:rPr>
              <w:t>■ 产品管理人设置业绩比较基准。</w:t>
              <w:br/>
            </w:r>
            <w:r>
              <w:rPr>
                <w:rFonts w:ascii="宋体" w:hAnsi="宋体" w:cs="宋体" w:eastAsia="宋体"/>
                <w:sz w:val="18"/>
              </w:rPr>
              <w:t>（1）业绩比较基准的说明：【基于当前对未来市场的判断，根据拟投资债权类资产的信用利差、久期敞口以及流动性溢价，预判组合的波动幅度】。</w:t>
              <w:br/>
            </w:r>
            <w:r>
              <w:rPr>
                <w:rFonts w:ascii="宋体" w:hAnsi="宋体" w:cs="宋体" w:eastAsia="宋体"/>
                <w:sz w:val="18"/>
              </w:rPr>
              <w:t>（2）业绩比较基准的设定：管理人对本产品设定业绩比较基准：【人民银行7天通知存款利率】。（适用【B】类份额)</w:t>
              <w:br/>
            </w:r>
            <w:r>
              <w:rPr>
                <w:rFonts w:ascii="宋体" w:hAnsi="宋体" w:cs="宋体" w:eastAsia="宋体"/>
                <w:sz w:val="18"/>
              </w:rPr>
              <w:t>□ 产品管理人不设置业绩比较基准。</w:t>
            </w:r>
          </w:p>
          <w:p w14:paraId="40CF93C7">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14:paraId="7F229B47">
            <w:pPr>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w:t>
            </w:r>
            <w:r>
              <w:rPr>
                <w:rFonts w:hint="eastAsia" w:ascii="黑体" w:hAnsi="黑体" w:eastAsia="黑体" w:cs="黑体"/>
                <w:bCs/>
                <w:sz w:val="18"/>
              </w:rPr>
              <w:t>业绩比较基准</w:t>
            </w:r>
            <w:r>
              <w:rPr>
                <w:rFonts w:hint="eastAsia" w:ascii="黑体" w:hAnsi="黑体" w:eastAsia="黑体" w:cs="黑体"/>
                <w:bCs/>
                <w:sz w:val="18"/>
                <w:szCs w:val="18"/>
              </w:rPr>
              <w:t>不是预期收益率，</w:t>
            </w:r>
            <w:r>
              <w:rPr>
                <w:rFonts w:hint="eastAsia" w:ascii="黑体" w:hAnsi="黑体" w:eastAsia="黑体" w:cs="黑体"/>
                <w:bCs/>
                <w:sz w:val="18"/>
              </w:rPr>
              <w:t>不代表产品</w:t>
            </w:r>
            <w:r>
              <w:rPr>
                <w:rFonts w:hint="eastAsia" w:ascii="黑体" w:hAnsi="黑体" w:eastAsia="黑体" w:cs="黑体"/>
                <w:bCs/>
                <w:sz w:val="18"/>
                <w:szCs w:val="18"/>
              </w:rPr>
              <w:t>的</w:t>
            </w:r>
            <w:r>
              <w:rPr>
                <w:rFonts w:hint="eastAsia" w:ascii="黑体" w:hAnsi="黑体" w:eastAsia="黑体" w:cs="黑体"/>
                <w:bCs/>
                <w:sz w:val="18"/>
              </w:rPr>
              <w:t>未来表现</w:t>
            </w:r>
            <w:r>
              <w:rPr>
                <w:rFonts w:hint="eastAsia" w:ascii="黑体" w:hAnsi="黑体" w:eastAsia="黑体" w:cs="黑体"/>
                <w:bCs/>
                <w:sz w:val="18"/>
                <w:szCs w:val="18"/>
              </w:rPr>
              <w:t>和</w:t>
            </w:r>
            <w:r>
              <w:rPr>
                <w:rFonts w:hint="eastAsia" w:ascii="黑体" w:hAnsi="黑体" w:eastAsia="黑体" w:cs="黑体"/>
                <w:bCs/>
                <w:sz w:val="18"/>
              </w:rPr>
              <w:t>实际收益，不</w:t>
            </w:r>
            <w:r>
              <w:rPr>
                <w:rFonts w:hint="eastAsia" w:ascii="黑体" w:hAnsi="黑体" w:eastAsia="黑体" w:cs="黑体"/>
                <w:bCs/>
                <w:sz w:val="18"/>
                <w:szCs w:val="18"/>
              </w:rPr>
              <w:t>构成对</w:t>
            </w:r>
            <w:r>
              <w:rPr>
                <w:rFonts w:hint="eastAsia" w:ascii="黑体" w:hAnsi="黑体" w:eastAsia="黑体" w:cs="黑体"/>
                <w:bCs/>
                <w:sz w:val="18"/>
              </w:rPr>
              <w:t>产品收益的</w:t>
            </w:r>
            <w:r>
              <w:rPr>
                <w:rFonts w:hint="eastAsia" w:ascii="黑体" w:hAnsi="黑体" w:eastAsia="黑体" w:cs="黑体"/>
                <w:bCs/>
                <w:sz w:val="18"/>
                <w:szCs w:val="18"/>
              </w:rPr>
              <w:t>承诺</w:t>
            </w:r>
            <w:r>
              <w:rPr>
                <w:rFonts w:hint="eastAsia" w:ascii="黑体" w:hAnsi="黑体" w:eastAsia="黑体" w:cs="黑体"/>
                <w:bCs/>
                <w:sz w:val="18"/>
              </w:rPr>
              <w:t>，投资须谨慎。</w:t>
            </w:r>
          </w:p>
          <w:p w14:paraId="36A0A5C2">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kern w:val="0"/>
                <w:sz w:val="18"/>
                <w:szCs w:val="18"/>
              </w:rPr>
              <w:t>如果今后法律法规发生变化，或者有其他代表性更强、更科学客观的业绩比较基准适用于本产品时，经产品管理人和产品托管人协商一致后，本产品可以变更业绩比较基准并按照本产品说明书“理财产品的信息披露”条款约定及时公告</w:t>
            </w:r>
            <w:r>
              <w:rPr>
                <w:rFonts w:hint="eastAsia" w:asciiTheme="majorEastAsia" w:hAnsiTheme="majorEastAsia" w:eastAsiaTheme="majorEastAsia"/>
                <w:bCs/>
                <w:sz w:val="18"/>
                <w:szCs w:val="18"/>
              </w:rPr>
              <w:t>。</w:t>
            </w:r>
          </w:p>
        </w:tc>
      </w:tr>
      <w:tr w14:paraId="4261BC6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714AD4B7">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14:paraId="298E7028">
            <w:pPr>
              <w:spacing w:line="360" w:lineRule="auto"/>
              <w:jc w:val="left"/>
              <w:rPr>
                <w:rFonts w:hint="eastAsia" w:ascii="宋体" w:hAnsi="宋体"/>
                <w:bCs/>
                <w:sz w:val="18"/>
                <w:szCs w:val="18"/>
              </w:rPr>
            </w:pPr>
            <w:r>
              <w:rPr>
                <w:rFonts w:ascii="宋体" w:hAnsi="宋体" w:cs="宋体" w:eastAsia="宋体"/>
                <w:sz w:val="18"/>
              </w:rPr>
              <w:t>1.业绩报酬计提基准的设置</w:t>
              <w:br/>
            </w:r>
            <w:r>
              <w:rPr>
                <w:rFonts w:ascii="宋体" w:hAnsi="宋体" w:cs="宋体" w:eastAsia="宋体"/>
                <w:sz w:val="18"/>
              </w:rPr>
              <w:t>□ 产品管理人设置业绩报酬计提基准。</w:t>
              <w:br/>
            </w:r>
            <w:r>
              <w:rPr>
                <w:rFonts w:ascii="宋体" w:hAnsi="宋体" w:cs="宋体" w:eastAsia="宋体"/>
                <w:sz w:val="18"/>
              </w:rPr>
              <w:t>业绩报酬计提基准的设定：管理人对本产品设定业绩报酬计提基准：年化【】。（适用【B】类份额)</w:t>
              <w:br/>
            </w:r>
            <w:r>
              <w:rPr>
                <w:rFonts w:ascii="宋体" w:hAnsi="宋体" w:cs="宋体" w:eastAsia="宋体"/>
                <w:sz w:val="18"/>
              </w:rPr>
              <w:t>■ 产品管理人不设置业绩报酬计提基准。</w:t>
            </w:r>
          </w:p>
          <w:p w14:paraId="02F6FAA1">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14:paraId="614B9917">
            <w:pPr>
              <w:autoSpaceDE w:val="0"/>
              <w:autoSpaceDN w:val="0"/>
              <w:adjustRightInd w:val="0"/>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★业绩报酬计提基准仅作为管理人计算超额业绩报酬的参照标准。业绩报酬计提基准不是预期收益率，不代表产品的未来表现和实际收益，不构成对产品收益的承诺，投资须谨慎。</w:t>
            </w:r>
          </w:p>
          <w:p w14:paraId="7760E4D2">
            <w:pPr>
              <w:spacing w:line="360" w:lineRule="auto"/>
              <w:jc w:val="left"/>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14:paraId="78E0A12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14:paraId="445F73B7">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14:paraId="09E3CBC0">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14:paraId="5FF39276">
            <w:pPr>
              <w:spacing w:line="360" w:lineRule="auto"/>
              <w:jc w:val="left"/>
              <w:rPr>
                <w:rFonts w:ascii="宋体"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14:paraId="51A25AD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5109" w:hRule="atLeast"/>
          <w:jc w:val="center"/>
        </w:trPr>
        <w:tc>
          <w:tcPr>
            <w:tcW w:w="1945" w:type="dxa"/>
            <w:shd w:val="solid" w:color="FFFFFF" w:fill="FFFFFF"/>
            <w:vAlign w:val="center"/>
          </w:tcPr>
          <w:p w14:paraId="26D057AF">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14:paraId="5FC163CE">
            <w:pPr>
              <w:numPr>
                <w:ilvl w:val="0"/>
                <w:numId w:val="0"/>
              </w:numPr>
              <w:autoSpaceDE w:val="0"/>
              <w:autoSpaceDN w:val="0"/>
              <w:adjustRightInd w:val="0"/>
              <w:spacing w:line="360" w:lineRule="auto"/>
              <w:jc w:val="left"/>
              <w:rPr>
                <w:rFonts w:hint="eastAsia" w:cs="黑体" w:asciiTheme="minorEastAsia" w:hAnsiTheme="minorEastAsia" w:eastAsiaTheme="minorEastAsia"/>
                <w:bCs/>
                <w:sz w:val="18"/>
                <w:szCs w:val="18"/>
              </w:rPr>
            </w:pPr>
            <w:r>
              <w:rPr>
                <w:rFonts w:ascii="黑体" w:hAnsi="黑体" w:cs="黑体" w:eastAsia="黑体"/>
                <w:sz w:val="18"/>
              </w:rPr>
              <w:t>1.理财产品的费率标准</w:t>
              <w:br/>
            </w:r>
            <w:r>
              <w:rPr>
                <w:rFonts w:ascii="黑体" w:hAnsi="黑体" w:cs="黑体" w:eastAsia="黑体"/>
                <w:sz w:val="18"/>
              </w:rPr>
              <w:t>（1）认购费：【/】。（适用【B】类份额）</w:t>
              <w:br/>
            </w:r>
            <w:r>
              <w:rPr>
                <w:rFonts w:ascii="黑体" w:hAnsi="黑体" w:cs="黑体" w:eastAsia="黑体"/>
                <w:sz w:val="18"/>
              </w:rPr>
              <w:t>（2）申购费：【/】。（适用【B】类份额）</w:t>
              <w:br/>
            </w:r>
            <w:r>
              <w:rPr>
                <w:rFonts w:ascii="黑体" w:hAnsi="黑体" w:cs="黑体" w:eastAsia="黑体"/>
                <w:sz w:val="18"/>
              </w:rPr>
              <w:t>（3）赎回费：【/】。（适用【B】类份额）</w:t>
              <w:br/>
            </w:r>
            <w:r>
              <w:rPr>
                <w:rFonts w:ascii="黑体" w:hAnsi="黑体" w:cs="黑体" w:eastAsia="黑体"/>
                <w:sz w:val="18"/>
              </w:rPr>
              <w:t>（4）销售服务费：年化费率【0.4%】。（适用【B】类份额）</w:t>
              <w:br/>
            </w:r>
            <w:r>
              <w:rPr>
                <w:rFonts w:ascii="黑体" w:hAnsi="黑体" w:cs="黑体" w:eastAsia="黑体"/>
                <w:sz w:val="18"/>
              </w:rPr>
              <w:t>（5）投资管理费：年化费率【0.3%】</w:t>
              <w:br/>
            </w:r>
            <w:r>
              <w:rPr>
                <w:rFonts w:ascii="黑体" w:hAnsi="黑体" w:cs="黑体" w:eastAsia="黑体"/>
                <w:sz w:val="18"/>
              </w:rPr>
              <w:t>（6）产品托管费：年化费率【0.03%】</w:t>
              <w:br/>
            </w:r>
            <w:r>
              <w:rPr>
                <w:rFonts w:ascii="黑体" w:hAnsi="黑体" w:cs="黑体" w:eastAsia="黑体"/>
                <w:sz w:val="18"/>
              </w:rPr>
              <w:t>（7）超额业绩报酬：</w:t>
              <w:br/>
            </w:r>
            <w:r>
              <w:rPr>
                <w:rFonts w:ascii="黑体" w:hAnsi="黑体" w:cs="黑体" w:eastAsia="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14:paraId="37EA59D2">
            <w:pPr>
              <w:numPr>
                <w:ilvl w:val="0"/>
                <w:numId w:val="2"/>
              </w:numPr>
              <w:autoSpaceDE w:val="0"/>
              <w:autoSpaceDN w:val="0"/>
              <w:adjustRightInd w:val="0"/>
              <w:spacing w:line="360" w:lineRule="auto"/>
              <w:jc w:val="left"/>
              <w:rPr>
                <w:rFonts w:hint="eastAsia" w:ascii="黑体" w:hAnsi="黑体" w:eastAsia="黑体" w:cs="黑体"/>
                <w:bCs/>
                <w:sz w:val="18"/>
                <w:szCs w:val="18"/>
              </w:rPr>
            </w:pPr>
            <w:r>
              <w:rPr>
                <w:rFonts w:hint="eastAsia" w:ascii="黑体" w:hAnsi="黑体" w:eastAsia="黑体" w:cs="黑体"/>
                <w:bCs/>
                <w:sz w:val="18"/>
                <w:szCs w:val="18"/>
              </w:rPr>
              <w:t>以上费用金额均按照四舍五入方法，保留到小数点后2位。</w:t>
            </w:r>
          </w:p>
          <w:p w14:paraId="1AAF64FA">
            <w:pPr>
              <w:numPr>
                <w:ilvl w:val="0"/>
                <w:numId w:val="2"/>
              </w:numPr>
              <w:autoSpaceDE w:val="0"/>
              <w:autoSpaceDN w:val="0"/>
              <w:adjustRightInd w:val="0"/>
              <w:spacing w:line="360" w:lineRule="auto"/>
              <w:jc w:val="left"/>
              <w:rPr>
                <w:rFonts w:hint="eastAsia" w:ascii="黑体" w:hAnsi="黑体" w:eastAsia="黑体" w:cs="黑体"/>
                <w:bCs/>
                <w:sz w:val="18"/>
                <w:szCs w:val="18"/>
              </w:rPr>
            </w:pPr>
            <w:r>
              <w:rPr>
                <w:rFonts w:hint="eastAsia" w:ascii="黑体" w:hAnsi="黑体" w:eastAsia="黑体" w:cs="黑体"/>
                <w:bCs/>
                <w:sz w:val="18"/>
                <w:szCs w:val="18"/>
              </w:rPr>
              <w:t>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14:paraId="6A3238B5">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023C7E75">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14:paraId="1161914C">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14:paraId="0F8C1A8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4DCFC6DF">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14:paraId="30298800">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14:paraId="13D7A5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14:paraId="34DCDCC7">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14:paraId="07FAD572">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14:paraId="788CCB0F">
      <w:pPr>
        <w:pStyle w:val="34"/>
        <w:spacing w:line="360" w:lineRule="auto"/>
        <w:rPr>
          <w:rFonts w:hAnsi="宋体"/>
          <w:sz w:val="18"/>
          <w:szCs w:val="18"/>
        </w:rPr>
      </w:pPr>
    </w:p>
    <w:p w14:paraId="5EC207EE">
      <w:pPr>
        <w:widowControl/>
        <w:spacing w:line="360" w:lineRule="auto"/>
        <w:jc w:val="left"/>
        <w:rPr>
          <w:rFonts w:ascii="宋体" w:hAnsi="宋体"/>
          <w:color w:val="000000"/>
          <w:kern w:val="0"/>
          <w:sz w:val="18"/>
          <w:szCs w:val="18"/>
        </w:rPr>
      </w:pPr>
      <w:r>
        <w:rPr>
          <w:rFonts w:hAnsi="宋体"/>
          <w:sz w:val="18"/>
          <w:szCs w:val="18"/>
        </w:rPr>
        <w:br w:type="page"/>
      </w:r>
    </w:p>
    <w:p w14:paraId="1F65DBE7">
      <w:pPr>
        <w:pStyle w:val="2"/>
        <w:spacing w:before="0" w:after="0" w:line="360" w:lineRule="auto"/>
        <w:jc w:val="center"/>
        <w:rPr>
          <w:rFonts w:ascii="Times New Roman"/>
          <w:sz w:val="30"/>
        </w:rPr>
      </w:pPr>
      <w:bookmarkStart w:id="12" w:name="_Toc79154666"/>
      <w:bookmarkStart w:id="13" w:name="_Toc22117"/>
      <w:bookmarkStart w:id="14" w:name="_Toc26096"/>
      <w:bookmarkStart w:id="15" w:name="_Toc92377132"/>
      <w:bookmarkStart w:id="16" w:name="_Toc20890"/>
      <w:bookmarkStart w:id="17" w:name="_Toc103260530"/>
      <w:r>
        <w:rPr>
          <w:rFonts w:ascii="Times New Roman"/>
          <w:sz w:val="30"/>
        </w:rPr>
        <w:t>第</w:t>
      </w:r>
      <w:r>
        <w:rPr>
          <w:rFonts w:hint="eastAsia" w:ascii="Times New Roman"/>
          <w:sz w:val="30"/>
        </w:rPr>
        <w:t>三条</w:t>
      </w:r>
      <w:r>
        <w:rPr>
          <w:rFonts w:ascii="Times New Roman"/>
          <w:sz w:val="30"/>
        </w:rPr>
        <w:t xml:space="preserve">  </w:t>
      </w:r>
      <w:bookmarkStart w:id="18" w:name="_Toc79392573"/>
      <w:r>
        <w:rPr>
          <w:rFonts w:hint="eastAsia" w:ascii="Times New Roman"/>
          <w:sz w:val="30"/>
        </w:rPr>
        <w:t>理财产品的认购</w:t>
      </w:r>
      <w:bookmarkEnd w:id="12"/>
      <w:bookmarkEnd w:id="13"/>
      <w:bookmarkEnd w:id="14"/>
      <w:bookmarkEnd w:id="15"/>
      <w:bookmarkEnd w:id="16"/>
      <w:bookmarkEnd w:id="17"/>
    </w:p>
    <w:p w14:paraId="2874298D">
      <w:pPr>
        <w:spacing w:line="360" w:lineRule="auto"/>
        <w:ind w:firstLine="361" w:firstLineChars="200"/>
        <w:rPr>
          <w:rFonts w:asciiTheme="minorEastAsia" w:hAnsiTheme="minorEastAsia"/>
          <w:b/>
          <w:bCs/>
          <w:sz w:val="18"/>
          <w:szCs w:val="18"/>
        </w:rPr>
      </w:pPr>
      <w:bookmarkStart w:id="19" w:name="_Hlt88031774"/>
      <w:bookmarkEnd w:id="19"/>
      <w:bookmarkStart w:id="20" w:name="_Hlt88031741"/>
      <w:r>
        <w:rPr>
          <w:rFonts w:hint="eastAsia" w:asciiTheme="minorEastAsia" w:hAnsiTheme="minorEastAsia"/>
          <w:b/>
          <w:bCs/>
          <w:sz w:val="18"/>
          <w:szCs w:val="18"/>
        </w:rPr>
        <w:t>（一）理财产品的认购</w:t>
      </w:r>
    </w:p>
    <w:p w14:paraId="2F2D78EC">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14:paraId="73B9EB7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14:paraId="4598070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14:paraId="68D108EB">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14:paraId="71719070">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14:paraId="6D3C9732">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14:paraId="04B8160D">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14:paraId="738B745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46C9AE98">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14:paraId="018A9CE4">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14:paraId="000C8375">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14:paraId="33133D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14:paraId="682217FF">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14:paraId="3AF9C69D">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14:paraId="7954114D">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14:paraId="203FDC1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p>
    <w:p w14:paraId="32945F5D">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14:paraId="7049D7B8">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14:paraId="4CD40B8A">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14:paraId="572E56A7">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14:paraId="7AC99AAF">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14:paraId="7A1A90FB">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14:paraId="51234D49">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14:paraId="674F12C7">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14:paraId="633A66F7">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14:paraId="7949922A">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14:paraId="6882E2A6">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14:paraId="2A7D62E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373AA1A9">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14:paraId="0315E993">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417198B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14:paraId="50D9B06F">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认购期/募集期内资金产生的利息（如有），不计入本金份额。</w:t>
      </w:r>
    </w:p>
    <w:p w14:paraId="0B5858AC">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14:paraId="57B335C2">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14:paraId="74EE6B1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34E4D9D0">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14:paraId="71A0189A">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14:paraId="60F9AF09">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646C453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51557E5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14:paraId="354B6335">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14:paraId="1D12EEC1">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14:paraId="24013097">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14:paraId="03521C90">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14:paraId="47ADC194">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78456FA4">
      <w:pPr>
        <w:spacing w:line="360" w:lineRule="auto"/>
        <w:ind w:firstLine="360" w:firstLineChars="200"/>
        <w:rPr>
          <w:rFonts w:asciiTheme="minorEastAsia" w:hAnsiTheme="minorEastAsia"/>
          <w:bCs/>
          <w:sz w:val="18"/>
          <w:szCs w:val="18"/>
        </w:rPr>
      </w:pPr>
    </w:p>
    <w:p w14:paraId="6DA51BAD">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3D9281F7">
      <w:pPr>
        <w:pStyle w:val="2"/>
        <w:spacing w:before="0" w:after="0" w:line="360" w:lineRule="auto"/>
        <w:jc w:val="center"/>
        <w:rPr>
          <w:rFonts w:ascii="Times New Roman"/>
          <w:sz w:val="30"/>
        </w:rPr>
      </w:pPr>
      <w:bookmarkStart w:id="21" w:name="_Toc79154667"/>
      <w:bookmarkStart w:id="22" w:name="_Toc27778"/>
      <w:bookmarkStart w:id="23" w:name="_Toc16237"/>
      <w:bookmarkStart w:id="24" w:name="_Toc92377133"/>
      <w:bookmarkStart w:id="25" w:name="_Toc103260531"/>
      <w:bookmarkStart w:id="26" w:name="_Toc18500"/>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21"/>
      <w:bookmarkEnd w:id="22"/>
      <w:bookmarkEnd w:id="23"/>
      <w:bookmarkEnd w:id="24"/>
      <w:bookmarkEnd w:id="25"/>
      <w:bookmarkEnd w:id="26"/>
    </w:p>
    <w:bookmarkEnd w:id="20"/>
    <w:p w14:paraId="1043E49D">
      <w:pPr>
        <w:spacing w:line="360" w:lineRule="auto"/>
        <w:ind w:firstLine="420" w:firstLineChars="200"/>
      </w:pPr>
    </w:p>
    <w:p w14:paraId="4341FDE8">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14:paraId="1AC80BCB">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14:paraId="48BD72CE">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具体的申购时间以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投资者可于开放日内申购，产品管理人公告暂停开放的日期除外</w:t>
      </w:r>
      <w:r>
        <w:rPr>
          <w:rFonts w:hint="eastAsia" w:asciiTheme="majorEastAsia" w:hAnsiTheme="majorEastAsia" w:eastAsiaTheme="majorEastAsia"/>
          <w:bCs/>
          <w:sz w:val="18"/>
          <w:szCs w:val="18"/>
        </w:rPr>
        <w:t>。</w:t>
      </w:r>
    </w:p>
    <w:p w14:paraId="6C273A89">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2.申购的方式</w:t>
      </w:r>
    </w:p>
    <w:p w14:paraId="38126389">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14:paraId="4122EC11">
      <w:pPr>
        <w:pStyle w:val="34"/>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14:paraId="0CAD46AC">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14:paraId="73EB9188">
      <w:pPr>
        <w:pStyle w:val="34"/>
        <w:spacing w:line="360" w:lineRule="auto"/>
        <w:ind w:firstLine="361" w:firstLineChars="200"/>
        <w:rPr>
          <w:rFonts w:asciiTheme="minorEastAsia" w:hAnsiTheme="minorEastAsia" w:eastAsiaTheme="minorEastAsia"/>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14:paraId="1A8BE804">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14:paraId="683285CF">
      <w:pPr>
        <w:pStyle w:val="34"/>
        <w:spacing w:line="360" w:lineRule="auto"/>
        <w:ind w:firstLine="360" w:firstLineChars="200"/>
        <w:rPr>
          <w:rFonts w:asciiTheme="minorEastAsia" w:hAnsiTheme="minorEastAsia" w:eastAsiaTheme="minorEastAsia"/>
          <w:bCs/>
          <w:color w:val="auto"/>
          <w:sz w:val="18"/>
          <w:szCs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14:paraId="5B5E4C13">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14:paraId="3BB4BF76">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14:paraId="631B7F61">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14:paraId="37FE1FBF">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14:paraId="35B9FE14">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14:paraId="3A124947">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14:paraId="1310016E">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w:t>
      </w:r>
      <w:r>
        <w:rPr>
          <w:rFonts w:asciiTheme="minorEastAsia" w:hAnsiTheme="minorEastAsia"/>
          <w:bCs/>
          <w:color w:val="auto"/>
          <w:sz w:val="18"/>
          <w:szCs w:val="18"/>
        </w:rPr>
        <w:t>=申购金额/（1+申购费率）</w:t>
      </w:r>
    </w:p>
    <w:p w14:paraId="26D3C295">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w:t>
      </w:r>
      <w:r>
        <w:rPr>
          <w:rFonts w:asciiTheme="minorEastAsia" w:hAnsiTheme="minorEastAsia"/>
          <w:bCs/>
          <w:color w:val="auto"/>
          <w:sz w:val="18"/>
          <w:szCs w:val="18"/>
        </w:rPr>
        <w:t>=申购金额－净申购金额</w:t>
      </w:r>
    </w:p>
    <w:p w14:paraId="67A6D548">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w:t>
      </w:r>
      <w:r>
        <w:rPr>
          <w:rFonts w:asciiTheme="minorEastAsia" w:hAnsiTheme="minorEastAsia"/>
          <w:bCs/>
          <w:color w:val="auto"/>
          <w:sz w:val="18"/>
          <w:szCs w:val="18"/>
        </w:rPr>
        <w:t>=净申购金额/申购日产品份额净值</w:t>
      </w:r>
    </w:p>
    <w:p w14:paraId="48D03211">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14:paraId="36D45402">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14:paraId="2021911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2138B04A">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14:paraId="227B24BE">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1F3F703D">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14:paraId="775DE29A">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14:paraId="766FA42F">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color w:val="auto"/>
          <w:sz w:val="18"/>
        </w:rPr>
        <w:t>本产品设置开放期，</w:t>
      </w:r>
      <w:r>
        <w:rPr>
          <w:rFonts w:hint="eastAsia" w:asciiTheme="majorEastAsia" w:hAnsiTheme="majorEastAsia" w:eastAsiaTheme="majorEastAsia"/>
          <w:bCs/>
          <w:color w:val="auto"/>
          <w:sz w:val="18"/>
          <w:szCs w:val="18"/>
        </w:rPr>
        <w:t>具体的赎回时间以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bCs/>
          <w:color w:val="auto"/>
          <w:sz w:val="18"/>
          <w:szCs w:val="18"/>
        </w:rPr>
        <w:t>为准。</w:t>
      </w:r>
      <w:r>
        <w:rPr>
          <w:rFonts w:hint="eastAsia" w:asciiTheme="minorEastAsia" w:hAnsiTheme="minorEastAsia"/>
          <w:sz w:val="18"/>
          <w:szCs w:val="18"/>
        </w:rPr>
        <w:t>投资者可于开放日内赎回，产品管理人公告暂停开放的日期除外</w:t>
      </w:r>
      <w:r>
        <w:rPr>
          <w:rFonts w:hint="eastAsia" w:asciiTheme="majorEastAsia" w:hAnsiTheme="majorEastAsia" w:eastAsiaTheme="majorEastAsia"/>
          <w:bCs/>
          <w:sz w:val="18"/>
          <w:szCs w:val="18"/>
        </w:rPr>
        <w:t>。</w:t>
      </w:r>
    </w:p>
    <w:p w14:paraId="17675447">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2.赎回的方式</w:t>
      </w:r>
    </w:p>
    <w:p w14:paraId="4D2485C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14:paraId="7CDEE75F">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14:paraId="59FC6F00">
      <w:pPr>
        <w:pStyle w:val="34"/>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14:paraId="47386018">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14:paraId="79DB92BA">
      <w:pPr>
        <w:spacing w:line="360" w:lineRule="auto"/>
        <w:ind w:firstLine="360" w:firstLineChars="200"/>
        <w:rPr>
          <w:rFonts w:asciiTheme="minorEastAsia" w:hAnsiTheme="minorEastAsia"/>
          <w:bCs/>
          <w:sz w:val="18"/>
          <w:szCs w:val="18"/>
        </w:rPr>
      </w:pPr>
      <w:r>
        <w:rPr>
          <w:rFonts w:hint="eastAsia" w:asciiTheme="minorEastAsia" w:hAnsiTheme="minorEastAsia"/>
          <w:sz w:val="18"/>
          <w:szCs w:val="18"/>
        </w:rPr>
        <w:t>详见《产品说明书》“第二条 理财产品基本情况”</w:t>
      </w:r>
      <w:r>
        <w:rPr>
          <w:rFonts w:hint="eastAsia"/>
          <w:bCs/>
          <w:sz w:val="18"/>
          <w:szCs w:val="18"/>
        </w:rPr>
        <w:t>。</w:t>
      </w:r>
    </w:p>
    <w:p w14:paraId="48564A83">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提交赎回申请并不代表赎回成功，产品管理人将在赎回确认日确认投资者是否赎回成功，是否成功以管理人的确认结果为准</w:t>
      </w:r>
      <w:r>
        <w:rPr>
          <w:rFonts w:hint="eastAsia" w:asciiTheme="minorEastAsia" w:hAnsiTheme="minorEastAsia" w:eastAsiaTheme="minorEastAsia"/>
          <w:color w:val="auto"/>
          <w:sz w:val="18"/>
          <w:szCs w:val="18"/>
        </w:rPr>
        <w:t>。</w:t>
      </w:r>
    </w:p>
    <w:p w14:paraId="15C5FA94">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14:paraId="06E068C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14:paraId="32105A1B">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14:paraId="368EB708">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14:paraId="04821014">
      <w:pPr>
        <w:pStyle w:val="34"/>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14:paraId="024E30B2">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14:paraId="423D8EBD">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w:t>
      </w:r>
      <w:r>
        <w:rPr>
          <w:rFonts w:asciiTheme="majorEastAsia" w:hAnsiTheme="majorEastAsia" w:eastAsiaTheme="majorEastAsia"/>
          <w:color w:val="auto"/>
          <w:sz w:val="18"/>
          <w:szCs w:val="18"/>
        </w:rPr>
        <w:t>=赎回份额×赎回日该产品份额净值</w:t>
      </w:r>
    </w:p>
    <w:p w14:paraId="1517273A">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w:t>
      </w:r>
      <w:r>
        <w:rPr>
          <w:rFonts w:asciiTheme="majorEastAsia" w:hAnsiTheme="majorEastAsia" w:eastAsiaTheme="majorEastAsia"/>
          <w:color w:val="auto"/>
          <w:sz w:val="18"/>
          <w:szCs w:val="18"/>
        </w:rPr>
        <w:t>=赎回总金额×赎回费率</w:t>
      </w:r>
    </w:p>
    <w:p w14:paraId="38313F30">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w:t>
      </w:r>
      <w:r>
        <w:rPr>
          <w:rFonts w:asciiTheme="majorEastAsia" w:hAnsiTheme="majorEastAsia" w:eastAsiaTheme="majorEastAsia"/>
          <w:color w:val="auto"/>
          <w:sz w:val="18"/>
          <w:szCs w:val="18"/>
        </w:rPr>
        <w:t>=赎回总金额-赎回费用</w:t>
      </w:r>
    </w:p>
    <w:p w14:paraId="5E4DEC1A">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14:paraId="3C54B9A2">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14:paraId="530D24C2">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14:paraId="3E525D4A">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14:paraId="6CAE6B3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14:paraId="00CEA57B">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14:paraId="618B6A96">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日交易时间截止</w:t>
      </w:r>
      <w:r>
        <w:rPr>
          <w:rFonts w:asciiTheme="majorEastAsia" w:hAnsiTheme="majorEastAsia" w:eastAsiaTheme="majorEastAsia"/>
          <w:color w:val="auto"/>
          <w:sz w:val="18"/>
          <w:szCs w:val="18"/>
        </w:rPr>
        <w:t>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14:paraId="7F19D94D">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14:paraId="25AEFAD2">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14:paraId="5722790E">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14:paraId="7462C38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14:paraId="4B756F0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14:paraId="29C08B4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14:paraId="6EF0139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14:paraId="571823E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14:paraId="3ABAB911">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14:paraId="2BA04C13">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14:paraId="33D3709E">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14:paraId="2ED5D729">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14:paraId="536BEC18">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14:paraId="61951C5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14:paraId="1726F4D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14:paraId="0CD476A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14:paraId="49F01D3A">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14:paraId="00C7F5A7">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14:paraId="4C60457F">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14:paraId="1B29487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14:paraId="7B4F923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14:paraId="02491439">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14:paraId="03AE670C">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14:paraId="585438D1">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14:paraId="5D807C64">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14:paraId="54B6A253">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14:paraId="7E03DE35">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14:paraId="5F4BBA9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14:paraId="6DF61C69">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14:paraId="7E1485AD">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inorEastAsia" w:hAnsiTheme="minorEastAsia"/>
          <w:bCs/>
          <w:sz w:val="18"/>
          <w:szCs w:val="18"/>
        </w:rPr>
        <w:t>（</w:t>
      </w:r>
      <w:r>
        <w:rPr>
          <w:rFonts w:asciiTheme="minorEastAsia" w:hAnsiTheme="minorEastAsia"/>
          <w:bCs/>
          <w:sz w:val="18"/>
          <w:szCs w:val="18"/>
        </w:rPr>
        <w:t>3</w:t>
      </w:r>
      <w:r>
        <w:rPr>
          <w:rFonts w:hint="eastAsia" w:asciiTheme="minorEastAsia" w:hAnsiTheme="minorEastAsia"/>
          <w:bCs/>
          <w:sz w:val="18"/>
          <w:szCs w:val="18"/>
        </w:rPr>
        <w:t>）理财产品连续两个开放日（含）发生因巨额赎回导致拒绝赎回情况的，产品管理人可暂停接受投资者的赎回申请。投资者根据产品管理人披露的开放日可重新进行申购和赎回。</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）法律法规规定或监管机构规定的其他措施。</w:t>
      </w:r>
    </w:p>
    <w:p w14:paraId="60BF3C95">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14:paraId="5495972E">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14:paraId="3A314072">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14:paraId="6319FC8B">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14:paraId="0F887759">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14:paraId="6C7DD67C">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14:paraId="6545115D">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8"/>
    <w:p w14:paraId="48AB7BC3">
      <w:pPr>
        <w:pStyle w:val="2"/>
        <w:spacing w:before="0" w:after="0" w:line="360" w:lineRule="auto"/>
        <w:jc w:val="center"/>
        <w:rPr>
          <w:rFonts w:ascii="Times New Roman"/>
          <w:sz w:val="30"/>
        </w:rPr>
      </w:pPr>
      <w:bookmarkStart w:id="27" w:name="_Toc103260532"/>
      <w:bookmarkStart w:id="28" w:name="_Toc90742688"/>
      <w:bookmarkStart w:id="29" w:name="_Toc3266"/>
      <w:bookmarkStart w:id="30" w:name="_Toc24347"/>
      <w:bookmarkStart w:id="31" w:name="_Toc90742390"/>
      <w:bookmarkStart w:id="32" w:name="_Toc79154668"/>
      <w:bookmarkStart w:id="33" w:name="_Toc29948"/>
      <w:bookmarkStart w:id="34" w:name="_Toc20838"/>
      <w:bookmarkStart w:id="35" w:name="_Toc27226"/>
      <w:bookmarkStart w:id="36" w:name="_Toc29784"/>
      <w:bookmarkStart w:id="37" w:name="_Toc15203"/>
      <w:bookmarkStart w:id="38" w:name="_Toc92377134"/>
      <w:bookmarkStart w:id="39" w:name="_Toc27189"/>
      <w:bookmarkStart w:id="40" w:name="_Toc22074"/>
      <w:bookmarkStart w:id="41" w:name="_Toc90742321"/>
      <w:bookmarkStart w:id="42" w:name="_Toc74065741"/>
      <w:bookmarkStart w:id="43" w:name="_Toc7151"/>
      <w:bookmarkStart w:id="44" w:name="_Toc16265"/>
      <w:bookmarkStart w:id="45" w:name="_Toc6714"/>
      <w:bookmarkStart w:id="46" w:name="_Toc25928"/>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0B945F1">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14:paraId="6FE1BA34">
      <w:pPr>
        <w:pStyle w:val="34"/>
        <w:spacing w:line="360" w:lineRule="auto"/>
        <w:ind w:firstLine="360" w:firstLineChars="200"/>
        <w:rPr>
          <w:rFonts w:hint="eastAsia" w:asciiTheme="majorEastAsia" w:hAnsiTheme="majorEastAsia" w:eastAsiaTheme="majorEastAsia"/>
          <w:color w:val="auto"/>
          <w:sz w:val="18"/>
          <w:szCs w:val="18"/>
        </w:rPr>
      </w:pPr>
      <w:permStart w:id="14" w:edGrp="everyone"/>
      <w:r>
        <w:rPr>
          <w:rFonts w:hint="eastAsia" w:asciiTheme="majorEastAsia" w:hAnsiTheme="majorEastAsia" w:eastAsiaTheme="majorEastAsia"/>
          <w:color w:val="auto"/>
          <w:sz w:val="18"/>
          <w:szCs w:val="18"/>
        </w:rPr>
        <w:t>本产品为固定收益类产品，在保持理财资产的低风险和高流动性的前提下，力争实现超越业绩比较基准的投资回报。</w:t>
      </w:r>
    </w:p>
    <w:permEnd w:id="14"/>
    <w:p w14:paraId="1FDE3DD4">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14:paraId="348429D4">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14:paraId="608A6F4F">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w:t>
      </w:r>
      <w:r>
        <w:rPr>
          <w:rFonts w:asciiTheme="majorEastAsia" w:hAnsiTheme="majorEastAsia" w:eastAsiaTheme="majorEastAsia"/>
          <w:bCs/>
          <w:sz w:val="18"/>
          <w:szCs w:val="18"/>
        </w:rPr>
        <w:t>主要投资范围包括但不限于</w:t>
      </w:r>
      <w:r>
        <w:rPr>
          <w:rFonts w:hint="eastAsia" w:asciiTheme="majorEastAsia" w:hAnsiTheme="majorEastAsia" w:eastAsiaTheme="majorEastAsia"/>
          <w:bCs/>
          <w:sz w:val="18"/>
          <w:szCs w:val="18"/>
        </w:rPr>
        <w:t>（实际投资范围可根据法律法规及监管规定进行调整）</w:t>
      </w:r>
      <w:r>
        <w:rPr>
          <w:rFonts w:asciiTheme="majorEastAsia" w:hAnsiTheme="majorEastAsia" w:eastAsiaTheme="majorEastAsia"/>
          <w:bCs/>
          <w:sz w:val="18"/>
          <w:szCs w:val="18"/>
        </w:rPr>
        <w:t>：</w:t>
      </w:r>
    </w:p>
    <w:p w14:paraId="56DC0290">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14:paraId="788A6619">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等银行间和交易所市场债券及债务融资工具，以及其他固定收益类投资工具等。</w:t>
      </w:r>
    </w:p>
    <w:p w14:paraId="48DF1458">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（3）投资于上述资产的符合监管要求的公募基金、基金公司或子公司资产管理计划、证券公司资产管理计划、保险资产管理计划及信托计划等。</w:t>
      </w:r>
    </w:p>
    <w:p w14:paraId="3B7A32FF">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（4）本产品不投资于非标准化债权类资产、不投资于权益类资产、不投资于商品和金融衍生品类资产。</w:t>
      </w:r>
    </w:p>
    <w:permEnd w:id="15"/>
    <w:p w14:paraId="44B79B54">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0665A293">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.投资组合比例</w:t>
      </w:r>
    </w:p>
    <w:p w14:paraId="566A06E6">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permStart w:id="16" w:edGrp="everyone"/>
      <w:r>
        <w:rPr>
          <w:rFonts w:hint="eastAsia" w:asciiTheme="majorEastAsia" w:hAnsiTheme="majorEastAsia" w:eastAsiaTheme="majorEastAsia"/>
          <w:bCs/>
          <w:sz w:val="18"/>
          <w:szCs w:val="18"/>
        </w:rPr>
        <w:t>本产品100%投资于债权类资产。</w:t>
      </w:r>
    </w:p>
    <w:p w14:paraId="556E888E">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 xml:space="preserve">非因管理人主观因素导致突破前款规定比例限制的，产品管理人在流动性受限资产可出售、可转让或者恢复交易的15个交易日内调整至符合要求，监管机构规定的特殊情形除外。 </w:t>
      </w:r>
    </w:p>
    <w:permEnd w:id="16"/>
    <w:p w14:paraId="67A9C97C">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14:paraId="54CE5999">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14:paraId="06DC3270">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14:paraId="300D8BA4">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14:paraId="07A51E08">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14:paraId="1CE261DA">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14:paraId="1C6B37A3">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14:paraId="7F9BCFE5">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14:paraId="4F7F90D4">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14:paraId="0724E954">
      <w:pPr>
        <w:spacing w:line="360" w:lineRule="auto"/>
        <w:ind w:firstLine="360" w:firstLineChars="200"/>
        <w:rPr>
          <w:rFonts w:hint="eastAsia" w:asciiTheme="majorEastAsia" w:hAnsiTheme="majorEastAsia" w:eastAsiaTheme="majorEastAsia"/>
          <w:bCs/>
          <w:color w:val="auto"/>
          <w:sz w:val="18"/>
          <w:szCs w:val="18"/>
        </w:rPr>
      </w:pPr>
      <w:permStart w:id="18" w:edGrp="everyone"/>
      <w:r>
        <w:rPr>
          <w:rFonts w:hint="eastAsia" w:asciiTheme="majorEastAsia" w:hAnsiTheme="majorEastAsia" w:eastAsiaTheme="majorEastAsia"/>
          <w:bCs/>
          <w:color w:val="auto"/>
          <w:sz w:val="18"/>
          <w:szCs w:val="18"/>
        </w:rPr>
        <w:t>（1）每只公募理财产品投资单只证券或者单只公募证券投资基金的市值不得超过该理财产品净资产的10%。</w:t>
      </w:r>
    </w:p>
    <w:p w14:paraId="13C2B495">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（2）全部公募理财产品持有单只证券或单只公募证券投资基金的市值，不得超过该证券市值或该公募证券投资基金市值的30%。</w:t>
      </w:r>
    </w:p>
    <w:p w14:paraId="5AF15D48">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（3）每只开放式公募理财产品直接投资于流动性受限资产的市值在开放日不得超过该产品资产净值的15%。</w:t>
      </w:r>
    </w:p>
    <w:p w14:paraId="3BEA134C">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因证券市场波动、上市公司股票停牌、理财产品规模变动等因素导致理财产品不符合本款规定比例限制的，该理财产品不得主动新增投资流动性受限资产。</w:t>
      </w:r>
    </w:p>
    <w:p w14:paraId="56B6A81D">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14:paraId="022B239F">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 xml:space="preserve">（5）每只开放式理财产品每日确认且需当日支付的净赎回申请不超过前一工作日产品7个工作日可变现资产的可变现价值，银保监会另有规定的除外。在开放日前一工作日内，每只开放式理财产品7个工作日可变现资产的可变现价值应当不低于该产品资产净值的10%。 </w:t>
      </w:r>
    </w:p>
    <w:p w14:paraId="6C10D413">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（6）本产品因为流动性需要可开展存单质押、债券正回购等融资业务，本产品总资产不超过净资产的140%。</w:t>
      </w:r>
    </w:p>
    <w:p w14:paraId="1B430B9F">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（7）本产品投资不存在活跃交易市场，并且需要采用估值技术确定公允价值的资产占理财产品净资产的比例低于50%。</w:t>
      </w:r>
    </w:p>
    <w:p w14:paraId="0C490005">
      <w:pPr>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14:paraId="2893AA98">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14:paraId="704226E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14:paraId="5C2424AC">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14:paraId="45C5DCF3">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14:paraId="6E63266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14:paraId="40B59B0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14:paraId="7CB4AD2D">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14:paraId="75F9C14E">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14:paraId="44DCD08F">
      <w:pPr>
        <w:pStyle w:val="34"/>
        <w:spacing w:line="360" w:lineRule="auto"/>
        <w:ind w:firstLine="360" w:firstLineChars="200"/>
        <w:rPr>
          <w:rFonts w:asciiTheme="majorEastAsia" w:hAnsiTheme="majorEastAsia" w:eastAsiaTheme="majorEastAsia"/>
          <w:bCs/>
          <w:sz w:val="18"/>
          <w:szCs w:val="18"/>
        </w:rPr>
      </w:pPr>
      <w:permStart w:id="19" w:edGrp="everyone"/>
      <w:r>
        <w:rPr>
          <w:rFonts w:hint="eastAsia" w:asciiTheme="majorEastAsia" w:hAnsiTheme="majorEastAsia" w:eastAsiaTheme="majorEastAsia"/>
          <w:bCs/>
          <w:color w:val="auto"/>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p>
    <w:permEnd w:id="19"/>
    <w:p w14:paraId="2B759425">
      <w:pPr>
        <w:pStyle w:val="20"/>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14:paraId="6C448EA1">
      <w:pPr>
        <w:pStyle w:val="2"/>
        <w:spacing w:before="0" w:after="0" w:line="360" w:lineRule="auto"/>
        <w:jc w:val="center"/>
        <w:rPr>
          <w:rFonts w:ascii="Times New Roman"/>
          <w:sz w:val="30"/>
        </w:rPr>
      </w:pPr>
      <w:bookmarkStart w:id="47" w:name="_Toc20302"/>
      <w:bookmarkStart w:id="48" w:name="_Toc4741"/>
      <w:bookmarkStart w:id="49" w:name="_Toc141703885"/>
      <w:bookmarkStart w:id="50" w:name="_Toc18526"/>
      <w:bookmarkStart w:id="51" w:name="_Toc79154669"/>
      <w:bookmarkStart w:id="52" w:name="_Toc92377135"/>
      <w:bookmarkStart w:id="53" w:name="_Toc103260533"/>
      <w:bookmarkStart w:id="54" w:name="_Toc7848"/>
      <w:bookmarkStart w:id="55" w:name="_Toc1823"/>
      <w:bookmarkStart w:id="56" w:name="_Toc74065742"/>
      <w:bookmarkStart w:id="57" w:name="_Toc26986"/>
      <w:bookmarkStart w:id="58" w:name="_Toc139991735"/>
      <w:bookmarkStart w:id="59" w:name="_Toc16372"/>
      <w:bookmarkStart w:id="60" w:name="_Toc18797"/>
      <w:bookmarkStart w:id="61" w:name="_Toc17912"/>
      <w:bookmarkStart w:id="62" w:name="_Toc14893"/>
      <w:bookmarkStart w:id="63" w:name="_Toc26100"/>
      <w:bookmarkStart w:id="64" w:name="_Toc18329"/>
      <w:bookmarkStart w:id="65" w:name="_Toc21988"/>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294A760">
      <w:pPr>
        <w:pStyle w:val="34"/>
        <w:spacing w:line="360" w:lineRule="auto"/>
        <w:ind w:firstLine="361" w:firstLineChars="200"/>
        <w:rPr>
          <w:rFonts w:asciiTheme="majorEastAsia" w:hAnsiTheme="majorEastAsia" w:eastAsiaTheme="majorEastAsia"/>
          <w:b/>
          <w:color w:val="auto"/>
          <w:sz w:val="18"/>
          <w:szCs w:val="18"/>
        </w:rPr>
      </w:pPr>
      <w:bookmarkStart w:id="66" w:name="_Hlk490214295"/>
      <w:r>
        <w:rPr>
          <w:rFonts w:hint="eastAsia" w:asciiTheme="majorEastAsia" w:hAnsiTheme="majorEastAsia" w:eastAsiaTheme="majorEastAsia"/>
          <w:b/>
          <w:color w:val="auto"/>
          <w:sz w:val="18"/>
          <w:szCs w:val="18"/>
        </w:rPr>
        <w:t>（一）理财产品的资产的保管和处分</w:t>
      </w:r>
    </w:p>
    <w:p w14:paraId="3886397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14:paraId="2A0122C2">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14:paraId="0DFD1FA0">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14:paraId="5DB22B22">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14:paraId="1AC62205">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14:paraId="2F087038">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14:paraId="1807130A">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66"/>
    <w:p w14:paraId="7DCACFA2">
      <w:pPr>
        <w:pStyle w:val="2"/>
        <w:spacing w:before="0" w:after="0" w:line="360" w:lineRule="auto"/>
        <w:jc w:val="center"/>
        <w:rPr>
          <w:rFonts w:ascii="Times New Roman"/>
          <w:sz w:val="28"/>
          <w:szCs w:val="28"/>
        </w:rPr>
      </w:pPr>
      <w:bookmarkStart w:id="67" w:name="_Toc12709"/>
      <w:bookmarkStart w:id="68" w:name="_Toc11569"/>
      <w:bookmarkStart w:id="69" w:name="_Toc10138"/>
      <w:bookmarkStart w:id="70" w:name="_Toc83391971"/>
      <w:bookmarkStart w:id="71" w:name="_Toc103260534"/>
      <w:bookmarkStart w:id="72" w:name="_Toc92377136"/>
      <w:bookmarkStart w:id="73" w:name="_Toc79154670"/>
      <w:bookmarkStart w:id="74" w:name="_Toc23822"/>
      <w:bookmarkStart w:id="75" w:name="_Toc139991736"/>
      <w:bookmarkStart w:id="76" w:name="_Toc79392606"/>
      <w:bookmarkStart w:id="77" w:name="_Toc7920"/>
      <w:bookmarkStart w:id="78" w:name="_Toc1427"/>
      <w:bookmarkStart w:id="79" w:name="_Toc123102453"/>
      <w:bookmarkStart w:id="80" w:name="_Toc20733"/>
      <w:bookmarkStart w:id="81" w:name="_Toc123112234"/>
      <w:bookmarkStart w:id="82" w:name="_Toc23261"/>
      <w:bookmarkStart w:id="83" w:name="_Toc141703886"/>
      <w:bookmarkStart w:id="84" w:name="_Toc1270"/>
      <w:bookmarkStart w:id="85" w:name="_Toc17244"/>
      <w:bookmarkStart w:id="86" w:name="_Toc10463"/>
      <w:bookmarkStart w:id="87" w:name="_Toc4003"/>
      <w:bookmarkStart w:id="88" w:name="_Toc123051452"/>
      <w:bookmarkStart w:id="89" w:name="_Toc610"/>
      <w:bookmarkStart w:id="90" w:name="_Toc48649707"/>
      <w:bookmarkStart w:id="91" w:name="_Toc98560352"/>
      <w:bookmarkStart w:id="92" w:name="_Toc74065743"/>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67"/>
      <w:bookmarkEnd w:id="68"/>
      <w:bookmarkEnd w:id="69"/>
      <w:bookmarkEnd w:id="70"/>
      <w:bookmarkEnd w:id="71"/>
      <w:bookmarkEnd w:id="72"/>
    </w:p>
    <w:p w14:paraId="3202FA16">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14:paraId="253DEA53">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14:paraId="6837EA8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14:paraId="5CDE59DA">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14:paraId="130857C4">
      <w:pPr>
        <w:pStyle w:val="20"/>
        <w:spacing w:line="360" w:lineRule="auto"/>
        <w:ind w:firstLine="360" w:firstLineChars="200"/>
        <w:rPr>
          <w:rFonts w:asciiTheme="minorEastAsia" w:hAnsiTheme="minorEastAsia" w:eastAsiaTheme="minorEastAsia"/>
          <w:color w:val="2E3033"/>
          <w:sz w:val="18"/>
          <w:szCs w:val="18"/>
        </w:rPr>
      </w:pPr>
      <w:permStart w:id="20" w:edGrp="everyone"/>
      <w:r>
        <w:rPr>
          <w:rFonts w:hint="eastAsia"/>
          <w:sz w:val="18"/>
          <w:szCs w:val="18"/>
        </w:rPr>
        <w:t>本产品存续期间，每【</w:t>
      </w:r>
      <w:r>
        <w:rPr>
          <w:rFonts w:hint="eastAsia"/>
          <w:sz w:val="18"/>
          <w:szCs w:val="18"/>
          <w:lang w:val="en-US" w:eastAsia="zh-CN"/>
        </w:rPr>
        <w:t>周</w:t>
      </w:r>
      <w:r>
        <w:rPr>
          <w:rFonts w:hint="eastAsia"/>
          <w:sz w:val="18"/>
          <w:szCs w:val="18"/>
        </w:rPr>
        <w:t>】进行一次估值。如遇产品申购日/赎回日、季度末、半年度末、年度末等时间节点管理人将增加估值日。</w:t>
      </w:r>
    </w:p>
    <w:permEnd w:id="20"/>
    <w:p w14:paraId="06217288">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14:paraId="0221C0E9">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14:paraId="7E3F9E4F">
      <w:pPr>
        <w:pStyle w:val="34"/>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14:paraId="3B3E6F77">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w:t>
      </w:r>
      <w:r>
        <w:rPr>
          <w:rFonts w:hint="eastAsia" w:asciiTheme="minorEastAsia" w:hAnsiTheme="minorEastAsia" w:eastAsiaTheme="minorEastAsia"/>
          <w:bCs/>
          <w:color w:val="auto"/>
          <w:sz w:val="18"/>
          <w:szCs w:val="18"/>
        </w:rPr>
        <w:t>标准化债权类资产估值</w:t>
      </w:r>
    </w:p>
    <w:p w14:paraId="2B384DD9">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1C9480CF">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14:paraId="71AFEF34">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（2）对已发行但未上市流通，且第三方估值机构未提供估值数据的标准化债权类资产，采用当前情况下适用并且有足够可利用数据和其他信息支持的估值技术确定其公允价值。</w:t>
      </w:r>
    </w:p>
    <w:p w14:paraId="04EB920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asciiTheme="majorEastAsia" w:hAnsiTheme="majorEastAsia" w:eastAsiaTheme="majorEastAsia"/>
          <w:bCs/>
          <w:color w:val="auto"/>
          <w:sz w:val="18"/>
          <w:szCs w:val="18"/>
        </w:rPr>
        <w:t>所处的市场及相应的估值标准，分别进行估值。</w:t>
      </w:r>
    </w:p>
    <w:p w14:paraId="37BE337B">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2.</w:t>
      </w:r>
      <w:r>
        <w:rPr>
          <w:rFonts w:hint="eastAsia" w:asciiTheme="minorEastAsia" w:hAnsiTheme="minorEastAsia" w:eastAsiaTheme="minorEastAsia"/>
          <w:bCs/>
          <w:color w:val="auto"/>
          <w:sz w:val="18"/>
          <w:szCs w:val="18"/>
        </w:rPr>
        <w:t>境外债券</w:t>
      </w:r>
    </w:p>
    <w:p w14:paraId="1FF267FF">
      <w:pPr>
        <w:pStyle w:val="34"/>
        <w:spacing w:line="360" w:lineRule="auto"/>
        <w:ind w:firstLine="360" w:firstLineChars="200"/>
        <w:rPr>
          <w:rFonts w:asciiTheme="majorEastAsia" w:hAnsi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1E8B4AAB">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3.非标准化债权类资产</w:t>
      </w:r>
    </w:p>
    <w:p w14:paraId="65A18356">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14:paraId="69442E1D">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4.上市公司股票</w:t>
      </w:r>
      <w:r>
        <w:rPr>
          <w:rFonts w:hint="eastAsia" w:asciiTheme="minorEastAsia" w:hAnsiTheme="minorEastAsia" w:eastAsiaTheme="minorEastAsia"/>
          <w:bCs/>
          <w:color w:val="auto"/>
          <w:sz w:val="18"/>
          <w:szCs w:val="18"/>
        </w:rPr>
        <w:t>估值</w:t>
      </w:r>
    </w:p>
    <w:p w14:paraId="7CBE29DA">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14:paraId="5B475A22">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0C307AA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14:paraId="3B5C3D3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14:paraId="76656C47">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14:paraId="42AC1A0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14:paraId="674B3342">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5.未上市公司股权</w:t>
      </w:r>
    </w:p>
    <w:p w14:paraId="006DC2B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14:paraId="34895EB3">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6.</w:t>
      </w:r>
      <w:r>
        <w:rPr>
          <w:rFonts w:hint="eastAsia" w:asciiTheme="minorEastAsia" w:hAnsiTheme="minorEastAsia" w:eastAsiaTheme="minorEastAsia"/>
          <w:bCs/>
          <w:color w:val="auto"/>
          <w:sz w:val="18"/>
          <w:szCs w:val="18"/>
        </w:rPr>
        <w:t>优先股</w:t>
      </w:r>
    </w:p>
    <w:p w14:paraId="7DF5B284">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6D170D75">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7.</w:t>
      </w:r>
      <w:r>
        <w:rPr>
          <w:rFonts w:hint="eastAsia" w:asciiTheme="minorEastAsia" w:hAnsiTheme="minorEastAsia" w:eastAsiaTheme="minorEastAsia"/>
          <w:bCs/>
          <w:color w:val="auto"/>
          <w:sz w:val="18"/>
          <w:szCs w:val="18"/>
        </w:rPr>
        <w:t>证券投资基金估值</w:t>
      </w:r>
    </w:p>
    <w:p w14:paraId="38253411">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14:paraId="7F67021C">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14:paraId="55774108">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14:paraId="08D198D0">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14:paraId="5C38F2A8">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14:paraId="0ABF7C5A">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14:paraId="4D730F47">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14:paraId="5D69C8D4">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8.</w:t>
      </w:r>
      <w:r>
        <w:rPr>
          <w:rFonts w:hint="eastAsia" w:asciiTheme="minorEastAsia" w:hAnsiTheme="minorEastAsia" w:eastAsiaTheme="minorEastAsia"/>
          <w:bCs/>
          <w:color w:val="auto"/>
          <w:sz w:val="18"/>
          <w:szCs w:val="18"/>
        </w:rPr>
        <w:t>其他资产管理产品的估值</w:t>
      </w:r>
    </w:p>
    <w:p w14:paraId="42F17BBD">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14:paraId="7B38F2A3">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9.衍生金融工具估值</w:t>
      </w:r>
    </w:p>
    <w:p w14:paraId="01CC73AC">
      <w:pPr>
        <w:pStyle w:val="34"/>
        <w:spacing w:line="360" w:lineRule="auto"/>
        <w:ind w:firstLine="360" w:firstLineChars="200"/>
        <w:rPr>
          <w:rFonts w:cs="Times New Roman"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14:paraId="05E0B08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r>
        <w:rPr>
          <w:rFonts w:asciiTheme="minorEastAsia" w:hAnsiTheme="minorEastAsia" w:eastAsiaTheme="minorEastAsia"/>
          <w:color w:val="auto"/>
          <w:sz w:val="18"/>
          <w:szCs w:val="18"/>
        </w:rPr>
        <w:t xml:space="preserve"> </w:t>
      </w:r>
    </w:p>
    <w:p w14:paraId="7448E45B">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10.</w:t>
      </w:r>
      <w:r>
        <w:rPr>
          <w:rFonts w:hint="eastAsia" w:asciiTheme="minorEastAsia" w:hAnsiTheme="minorEastAsia" w:eastAsiaTheme="minorEastAsia"/>
          <w:bCs/>
          <w:color w:val="auto"/>
          <w:sz w:val="18"/>
          <w:szCs w:val="18"/>
        </w:rPr>
        <w:t>存款、拆借、回购等货币市场工具的估值</w:t>
      </w:r>
    </w:p>
    <w:p w14:paraId="0147CD96">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14:paraId="2CFA4D2D">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5BB0DE2C">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14:paraId="3781A55C">
      <w:pPr>
        <w:pStyle w:val="34"/>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14:paraId="6E441A68">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14:paraId="29BDF091">
      <w:pPr>
        <w:pStyle w:val="34"/>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14:paraId="3CBCBA09">
      <w:pPr>
        <w:pStyle w:val="34"/>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14:paraId="6B2845F9">
      <w:pPr>
        <w:pStyle w:val="34"/>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14:paraId="0B8108A0">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14:paraId="68343531">
      <w:pPr>
        <w:pStyle w:val="34"/>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14:paraId="7B748A4B">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2FDDB9D2">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14:paraId="5F481A44">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14:paraId="07282C66">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14:paraId="4D54C23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14:paraId="64991681">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14:paraId="2E53BC98">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14:paraId="52509661">
      <w:pPr>
        <w:widowControl/>
        <w:spacing w:line="360" w:lineRule="auto"/>
        <w:jc w:val="left"/>
        <w:rPr>
          <w:rFonts w:ascii="宋体" w:hAnsi="宋体"/>
          <w:kern w:val="0"/>
          <w:sz w:val="18"/>
          <w:szCs w:val="18"/>
        </w:rPr>
      </w:pPr>
      <w:r>
        <w:rPr>
          <w:rFonts w:hAnsi="宋体"/>
          <w:sz w:val="18"/>
          <w:szCs w:val="18"/>
        </w:rPr>
        <w:br w:type="page"/>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04611C7A">
      <w:pPr>
        <w:pStyle w:val="2"/>
        <w:spacing w:before="0" w:after="0" w:line="360" w:lineRule="auto"/>
        <w:ind w:left="60" w:firstLine="10"/>
        <w:jc w:val="center"/>
        <w:rPr>
          <w:rFonts w:ascii="Times New Roman"/>
          <w:sz w:val="30"/>
        </w:rPr>
      </w:pPr>
      <w:bookmarkStart w:id="93" w:name="_Hlt70481650"/>
      <w:bookmarkEnd w:id="93"/>
      <w:bookmarkStart w:id="94" w:name="_Toc123102454"/>
      <w:bookmarkStart w:id="95" w:name="_Toc123112235"/>
      <w:bookmarkStart w:id="96" w:name="_Toc6405"/>
      <w:bookmarkStart w:id="97" w:name="_Toc18706"/>
      <w:bookmarkStart w:id="98" w:name="_Toc98560353"/>
      <w:bookmarkStart w:id="99" w:name="_Toc26207"/>
      <w:bookmarkStart w:id="100" w:name="_Toc14835"/>
      <w:bookmarkStart w:id="101" w:name="_Toc74065744"/>
      <w:bookmarkStart w:id="102" w:name="_Toc31235"/>
      <w:bookmarkStart w:id="103" w:name="_Toc3805"/>
      <w:bookmarkStart w:id="104" w:name="_Toc123051453"/>
      <w:bookmarkStart w:id="105" w:name="_Toc29251"/>
      <w:bookmarkStart w:id="106" w:name="_Toc141703887"/>
      <w:bookmarkStart w:id="107" w:name="_Toc103260535"/>
      <w:bookmarkStart w:id="108" w:name="_Toc31653"/>
      <w:bookmarkStart w:id="109" w:name="_Toc12245"/>
      <w:bookmarkStart w:id="110" w:name="_Toc139991737"/>
      <w:bookmarkStart w:id="111" w:name="_Toc92377137"/>
      <w:bookmarkStart w:id="112" w:name="_Toc3601"/>
      <w:bookmarkStart w:id="113" w:name="_Toc15143"/>
      <w:bookmarkStart w:id="114" w:name="_Toc14373"/>
      <w:bookmarkStart w:id="115" w:name="_Toc31644"/>
      <w:bookmarkStart w:id="116" w:name="_Toc7915467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Start w:id="117" w:name="_Hlt55355235"/>
      <w:bookmarkEnd w:id="117"/>
      <w:bookmarkStart w:id="118" w:name="_Toc79392580"/>
      <w:bookmarkStart w:id="119" w:name="_Toc57530239"/>
      <w:bookmarkStart w:id="120" w:name="_Toc15118234"/>
      <w:bookmarkStart w:id="121" w:name="_Toc523711668"/>
    </w:p>
    <w:p w14:paraId="334544A7">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14:paraId="3AD51DE2">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14:paraId="1DA21D58">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14:paraId="5A8BECC4">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14:paraId="15BE7FB9">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14:paraId="0D5F704E">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14:paraId="679ACBB4">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14:paraId="6D0EF49E">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14:paraId="777BE591">
      <w:pPr>
        <w:pStyle w:val="34"/>
        <w:spacing w:line="360" w:lineRule="auto"/>
        <w:ind w:firstLine="361" w:firstLineChars="200"/>
        <w:rPr>
          <w:rFonts w:hAnsi="宋体"/>
          <w:b/>
          <w:bCs/>
          <w:color w:val="auto"/>
          <w:sz w:val="18"/>
          <w:szCs w:val="18"/>
        </w:rPr>
      </w:pPr>
      <w:permStart w:id="21" w:edGrp="everyone"/>
      <w:r>
        <w:rPr>
          <w:rFonts w:hint="eastAsia" w:hAnsi="宋体"/>
          <w:b/>
          <w:bCs/>
          <w:color w:val="auto"/>
          <w:sz w:val="18"/>
          <w:szCs w:val="18"/>
        </w:rPr>
        <w:t>1.分配方案要点：</w:t>
      </w:r>
    </w:p>
    <w:p w14:paraId="4560A772">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14:paraId="1BDF41D7">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14:paraId="214A55C0">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14:paraId="66F95413">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14:paraId="39FD3199">
      <w:pPr>
        <w:spacing w:line="360" w:lineRule="auto"/>
        <w:ind w:firstLine="360"/>
        <w:rPr>
          <w:rFonts w:ascii="宋体" w:hAnsi="宋体"/>
          <w:b/>
          <w:sz w:val="18"/>
          <w:szCs w:val="18"/>
        </w:rPr>
      </w:pPr>
      <w:r>
        <w:rPr>
          <w:rFonts w:hint="eastAsia" w:ascii="宋体" w:hAnsi="宋体"/>
          <w:b/>
          <w:kern w:val="0"/>
          <w:sz w:val="18"/>
          <w:szCs w:val="18"/>
        </w:rPr>
        <w:t>（四）理财利益的分配</w:t>
      </w:r>
    </w:p>
    <w:p w14:paraId="0F24A1C0">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14:paraId="09690CE7">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14:paraId="02B0CB11">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14:paraId="517D3C86">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14:paraId="2B3B9586">
      <w:pPr>
        <w:widowControl/>
        <w:spacing w:line="360" w:lineRule="auto"/>
        <w:jc w:val="left"/>
        <w:rPr>
          <w:rFonts w:ascii="宋体" w:hAnsi="宋体"/>
          <w:kern w:val="0"/>
          <w:sz w:val="18"/>
          <w:szCs w:val="18"/>
        </w:rPr>
      </w:pPr>
      <w:r>
        <w:rPr>
          <w:rFonts w:hAnsi="宋体"/>
          <w:sz w:val="18"/>
          <w:szCs w:val="18"/>
        </w:rPr>
        <w:br w:type="page"/>
      </w:r>
    </w:p>
    <w:bookmarkEnd w:id="118"/>
    <w:bookmarkEnd w:id="119"/>
    <w:bookmarkEnd w:id="120"/>
    <w:bookmarkEnd w:id="121"/>
    <w:p w14:paraId="561F8C70">
      <w:pPr>
        <w:pStyle w:val="2"/>
        <w:spacing w:before="0" w:after="0" w:line="360" w:lineRule="auto"/>
        <w:jc w:val="center"/>
        <w:rPr>
          <w:rFonts w:ascii="Times New Roman"/>
          <w:sz w:val="30"/>
        </w:rPr>
      </w:pPr>
      <w:bookmarkStart w:id="122" w:name="_Hlt88825574"/>
      <w:bookmarkEnd w:id="122"/>
      <w:bookmarkStart w:id="123" w:name="_Hlt88897298"/>
      <w:bookmarkEnd w:id="123"/>
      <w:bookmarkStart w:id="124" w:name="_Toc18567"/>
      <w:bookmarkStart w:id="125" w:name="_Toc12257"/>
      <w:bookmarkStart w:id="126" w:name="_Toc7058"/>
      <w:bookmarkStart w:id="127" w:name="_Toc123102455"/>
      <w:bookmarkStart w:id="128" w:name="_Toc103260536"/>
      <w:bookmarkStart w:id="129" w:name="_Toc79392583"/>
      <w:bookmarkStart w:id="130" w:name="_Toc141703888"/>
      <w:bookmarkStart w:id="131" w:name="_Toc79154672"/>
      <w:bookmarkStart w:id="132" w:name="_Toc25783"/>
      <w:bookmarkStart w:id="133" w:name="_Toc139991738"/>
      <w:bookmarkStart w:id="134" w:name="_Toc123112236"/>
      <w:bookmarkStart w:id="135" w:name="_Toc5653"/>
      <w:bookmarkStart w:id="136" w:name="_Toc20951"/>
      <w:bookmarkStart w:id="137" w:name="_Toc9706"/>
      <w:bookmarkStart w:id="138" w:name="_Toc123051454"/>
      <w:bookmarkStart w:id="139" w:name="_Toc10650"/>
      <w:bookmarkStart w:id="140" w:name="_Toc3771"/>
      <w:bookmarkStart w:id="141" w:name="_Toc6447"/>
      <w:bookmarkStart w:id="142" w:name="_Toc98560354"/>
      <w:bookmarkStart w:id="143" w:name="_Toc92377138"/>
      <w:bookmarkStart w:id="144" w:name="_Toc3321"/>
      <w:bookmarkStart w:id="145" w:name="_Toc11030"/>
      <w:bookmarkStart w:id="146" w:name="_Toc4559"/>
      <w:bookmarkStart w:id="147" w:name="_Toc74065745"/>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A97803C">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14:paraId="3356B9C3">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14:paraId="2B16A44F">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14:paraId="1CF769A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43E319F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14:paraId="54444C2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14:paraId="19DBBC0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14:paraId="1E53015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14:paraId="0EF9A5B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14:paraId="5EE52F9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14:paraId="79B1B82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14:paraId="0603430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31B24651">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7BFF35FE">
      <w:pPr>
        <w:widowControl/>
        <w:spacing w:line="360" w:lineRule="auto"/>
        <w:ind w:firstLine="360" w:firstLineChars="200"/>
        <w:jc w:val="left"/>
        <w:rPr>
          <w:rStyle w:val="30"/>
          <w:rFonts w:hint="eastAsia" w:ascii="黑体" w:hAnsi="黑体" w:eastAsia="黑体" w:cs="黑体"/>
          <w:kern w:val="0"/>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14:paraId="405AA75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14:paraId="476E30E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14:paraId="266977E2">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14:paraId="1DF97FE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14:paraId="220D8E64">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6DE5E9DB">
      <w:pPr>
        <w:pStyle w:val="34"/>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 w14:paraId="0A6BBB8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14:paraId="64555AA5">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14:paraId="537ACED8">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14:paraId="5F2E5E8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14:paraId="7BA93640">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14:paraId="28FB81DA">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14:paraId="34E5342F">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14:paraId="77F88DF2">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本产品不收取超额业绩报酬。</w:t>
      </w:r>
    </w:p>
    <w:permEnd w:id="23"/>
    <w:p w14:paraId="5ACD9983">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14:paraId="32B89BB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14:paraId="1A04A78C">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14:paraId="05D87EBD">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14:paraId="33DB420A">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14:paraId="7C539A8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14:paraId="5A8EFA7B">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14:paraId="2C0D510D">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14:paraId="29FA8B37">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14:paraId="59C69A9E">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14:paraId="71F51CC8">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14:paraId="6E9C827D">
      <w:pPr>
        <w:pStyle w:val="34"/>
        <w:spacing w:line="360" w:lineRule="auto"/>
        <w:ind w:firstLine="360" w:firstLineChars="200"/>
        <w:rPr>
          <w:rFonts w:ascii="黑体" w:hAnsi="黑体" w:eastAsia="黑体"/>
          <w:color w:val="auto"/>
          <w:sz w:val="18"/>
        </w:rPr>
      </w:pPr>
      <w:r>
        <w:rPr>
          <w:rFonts w:hint="eastAsia" w:ascii="黑体" w:hAnsi="黑体" w:eastAsia="黑体"/>
          <w:color w:val="auto"/>
          <w:sz w:val="18"/>
        </w:rPr>
        <w:t>（1）发生巨额赎回时，为保护投资者利益，产品管理人有权对赎回日至赎回确认日之间的各项费用进行减免。</w:t>
      </w:r>
    </w:p>
    <w:p w14:paraId="5022460F">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（2）产品管理人有权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将依本产品说明书的“理财产品的信息披露”条款约定进行公告。</w:t>
      </w:r>
    </w:p>
    <w:p w14:paraId="26234D69">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14:paraId="58ED497A">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38E65EAB">
      <w:pPr>
        <w:pStyle w:val="2"/>
        <w:spacing w:line="360" w:lineRule="auto"/>
        <w:jc w:val="center"/>
      </w:pPr>
      <w:bookmarkStart w:id="148" w:name="_Toc1745"/>
      <w:bookmarkStart w:id="149" w:name="_Toc3963"/>
      <w:r>
        <w:br w:type="page"/>
      </w:r>
      <w:bookmarkStart w:id="150" w:name="_Toc3080"/>
      <w:bookmarkStart w:id="151" w:name="_Toc3572"/>
      <w:bookmarkStart w:id="152" w:name="_Toc21735"/>
      <w:bookmarkStart w:id="153" w:name="_Toc123051455"/>
      <w:bookmarkStart w:id="154" w:name="_Toc123102456"/>
      <w:bookmarkStart w:id="155" w:name="_Toc79154673"/>
      <w:bookmarkStart w:id="156" w:name="_Toc10398"/>
      <w:bookmarkStart w:id="157" w:name="_Toc24853"/>
      <w:bookmarkStart w:id="158" w:name="_Toc19648"/>
      <w:bookmarkStart w:id="159" w:name="_Toc139991739"/>
      <w:bookmarkStart w:id="160" w:name="_Toc92377139"/>
      <w:bookmarkStart w:id="161" w:name="_Toc31821"/>
      <w:bookmarkStart w:id="162" w:name="_Toc141703889"/>
      <w:bookmarkStart w:id="163" w:name="_Toc74065746"/>
      <w:bookmarkStart w:id="164" w:name="_Toc18206"/>
      <w:bookmarkStart w:id="165" w:name="_Toc98560355"/>
      <w:bookmarkStart w:id="166" w:name="_Toc16164"/>
      <w:bookmarkStart w:id="167" w:name="_Toc3880"/>
      <w:bookmarkStart w:id="168" w:name="_Toc103260537"/>
      <w:bookmarkStart w:id="169" w:name="_Toc123112237"/>
      <w:bookmarkStart w:id="170" w:name="_Toc725"/>
      <w:r>
        <w:rPr>
          <w:rFonts w:hint="eastAsia"/>
          <w:sz w:val="30"/>
        </w:rPr>
        <w:t>第十条</w:t>
      </w:r>
      <w:r>
        <w:rPr>
          <w:sz w:val="30"/>
        </w:rPr>
        <w:t xml:space="preserve">  </w:t>
      </w:r>
      <w:r>
        <w:rPr>
          <w:rFonts w:hint="eastAsia"/>
          <w:sz w:val="30"/>
        </w:rPr>
        <w:t>理财产品的终止与清算</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4002DF5">
      <w:pPr>
        <w:spacing w:line="360" w:lineRule="auto"/>
        <w:ind w:firstLine="361" w:firstLineChars="200"/>
        <w:rPr>
          <w:rFonts w:asciiTheme="majorEastAsia" w:hAnsiTheme="majorEastAsia" w:eastAsiaTheme="majorEastAsia"/>
          <w:b/>
          <w:bCs/>
          <w:sz w:val="18"/>
          <w:szCs w:val="18"/>
        </w:rPr>
      </w:pPr>
      <w:bookmarkStart w:id="171" w:name="_Toc57530252"/>
      <w:bookmarkStart w:id="172" w:name="_Toc15118245"/>
      <w:bookmarkStart w:id="173" w:name="_Toc79392593"/>
      <w:r>
        <w:rPr>
          <w:rFonts w:hint="eastAsia" w:asciiTheme="majorEastAsia" w:hAnsiTheme="majorEastAsia" w:eastAsiaTheme="majorEastAsia"/>
          <w:b/>
          <w:bCs/>
          <w:sz w:val="18"/>
          <w:szCs w:val="18"/>
        </w:rPr>
        <w:t>（一）理财产品的终止</w:t>
      </w:r>
    </w:p>
    <w:p w14:paraId="7124295B">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14:paraId="120EF41E">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14:paraId="2D8D2A4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14:paraId="3DBD2E4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14:paraId="057CDE75">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0F461C41">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14:paraId="283013F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14:paraId="2418C27C">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14:paraId="7D1265CD">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14:paraId="37B42778">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14:paraId="2D0D4F70">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14:paraId="5B5F5490">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14:paraId="4BD51032">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14:paraId="05F579A4">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14:paraId="4F32408F">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14:paraId="0493ED2C">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14:paraId="4359A3D4">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14:paraId="59B5C689">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14:paraId="1C53DD45">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71"/>
    <w:bookmarkEnd w:id="172"/>
    <w:bookmarkEnd w:id="173"/>
    <w:p w14:paraId="39F5ADBF">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14:paraId="427D10D9">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14:paraId="4D2CFDD1">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14:paraId="40F351C6">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14:paraId="5907E5B1">
      <w:pPr>
        <w:tabs>
          <w:tab w:val="left" w:pos="5460"/>
        </w:tabs>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理财产品部分终止日（含当日）至理财利益实际到账日之间产生的利息（如有），归投资者所有。</w:t>
      </w:r>
    </w:p>
    <w:p w14:paraId="27322C44">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3.</w:t>
      </w:r>
      <w:r>
        <w:rPr>
          <w:rFonts w:hint="eastAsia" w:asciiTheme="majorEastAsia" w:hAnsiTheme="majorEastAsia" w:eastAsiaTheme="majorEastAsia"/>
          <w:bCs/>
          <w:sz w:val="18"/>
          <w:szCs w:val="18"/>
        </w:rPr>
        <w:t>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14:paraId="619D3B8E">
      <w:pPr>
        <w:spacing w:line="360" w:lineRule="auto"/>
        <w:ind w:firstLine="360" w:firstLineChars="200"/>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eastAsia" w:asciiTheme="majorEastAsia" w:hAnsiTheme="majorEastAsia" w:eastAsiaTheme="majorEastAsia"/>
          <w:bCs/>
          <w:sz w:val="18"/>
          <w:szCs w:val="18"/>
          <w:lang w:val="en-US" w:eastAsia="zh-CN"/>
        </w:rPr>
        <w:t>个工作日内按投资者持有的理财产品份额比例向投资者进行再次分配。</w:t>
      </w:r>
    </w:p>
    <w:p w14:paraId="0DA76B8E">
      <w:pPr>
        <w:pStyle w:val="2"/>
        <w:spacing w:before="0" w:after="0" w:line="360" w:lineRule="auto"/>
        <w:jc w:val="center"/>
        <w:rPr>
          <w:rFonts w:ascii="Times New Roman"/>
          <w:sz w:val="18"/>
          <w:szCs w:val="18"/>
        </w:rPr>
      </w:pPr>
      <w:r>
        <w:rPr>
          <w:rFonts w:ascii="Times New Roman"/>
          <w:b w:val="0"/>
          <w:bCs w:val="0"/>
          <w:kern w:val="2"/>
        </w:rPr>
        <w:br w:type="page"/>
      </w:r>
      <w:bookmarkStart w:id="174" w:name="_Toc22283"/>
      <w:bookmarkStart w:id="175" w:name="_Toc92377140"/>
      <w:bookmarkStart w:id="176" w:name="_Toc9552"/>
      <w:bookmarkStart w:id="177" w:name="_Toc103260538"/>
      <w:bookmarkStart w:id="178" w:name="_Toc23820"/>
      <w:bookmarkStart w:id="179" w:name="_Toc739"/>
      <w:bookmarkStart w:id="180" w:name="_Toc5170"/>
      <w:bookmarkStart w:id="181" w:name="_Toc98560356"/>
      <w:bookmarkStart w:id="182" w:name="_Toc17198"/>
      <w:bookmarkStart w:id="183" w:name="_Toc123051456"/>
      <w:bookmarkStart w:id="184" w:name="_Toc83391975"/>
      <w:bookmarkStart w:id="185" w:name="_Toc141703890"/>
      <w:bookmarkStart w:id="186" w:name="_Toc21237"/>
      <w:bookmarkStart w:id="187" w:name="_Toc123102457"/>
      <w:bookmarkStart w:id="188" w:name="_Toc74065747"/>
      <w:bookmarkStart w:id="189" w:name="_Toc32092"/>
      <w:bookmarkStart w:id="190" w:name="_Toc123112238"/>
      <w:bookmarkStart w:id="191" w:name="_Toc32584"/>
      <w:bookmarkStart w:id="192" w:name="_Toc79392622"/>
      <w:bookmarkStart w:id="193" w:name="_Toc29408"/>
      <w:bookmarkStart w:id="194" w:name="_Toc8791"/>
      <w:bookmarkStart w:id="195" w:name="_Toc79154674"/>
      <w:bookmarkStart w:id="196" w:name="_Toc3329"/>
      <w:bookmarkStart w:id="197" w:name="_Toc48649708"/>
      <w:bookmarkStart w:id="198" w:name="_Toc139991740"/>
      <w:bookmarkStart w:id="199" w:name="_Toc17920"/>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74"/>
      <w:bookmarkEnd w:id="175"/>
      <w:bookmarkEnd w:id="176"/>
      <w:bookmarkEnd w:id="177"/>
      <w:bookmarkEnd w:id="178"/>
    </w:p>
    <w:p w14:paraId="7626B93E">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14:paraId="7B22EE42">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14:paraId="3AEC084E">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14:paraId="75C7A50E">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hint="eastAsia" w:ascii="宋体" w:hAnsi="宋体"/>
          <w:bCs/>
          <w:sz w:val="18"/>
          <w:szCs w:val="18"/>
        </w:rPr>
        <w:t>产品管理人</w:t>
      </w:r>
      <w:r>
        <w:rPr>
          <w:rFonts w:ascii="宋体" w:hAnsi="宋体"/>
          <w:bCs/>
          <w:sz w:val="18"/>
          <w:szCs w:val="18"/>
        </w:rPr>
        <w:t>或销售机构的信息披露渠道开展理财产品的信息披露工作。请投资者及时关注。</w:t>
      </w:r>
    </w:p>
    <w:p w14:paraId="1C6C6A90">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14:paraId="4812CAEE">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14:paraId="7753E7B6">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14:paraId="56C09E2D">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14:paraId="38AC6CD2">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14:paraId="42D6B786">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14:paraId="7A6AF71D">
      <w:pPr>
        <w:spacing w:line="360" w:lineRule="auto"/>
        <w:ind w:firstLine="360" w:firstLineChars="200"/>
        <w:rPr>
          <w:rFonts w:ascii="宋体" w:hAnsi="宋体"/>
          <w:bCs/>
          <w:sz w:val="18"/>
          <w:szCs w:val="18"/>
        </w:rPr>
      </w:pPr>
      <w:r>
        <w:rPr>
          <w:rFonts w:ascii="宋体" w:hAnsi="宋体"/>
          <w:bCs/>
          <w:sz w:val="18"/>
          <w:szCs w:val="18"/>
        </w:rPr>
        <w:t>1.产品成立公告</w:t>
      </w:r>
    </w:p>
    <w:p w14:paraId="4EFAB43E">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14:paraId="508E3D37">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14:paraId="206E5646">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14:paraId="61B16FE2">
      <w:pPr>
        <w:spacing w:line="360" w:lineRule="auto"/>
        <w:ind w:firstLine="360" w:firstLineChars="200"/>
        <w:rPr>
          <w:rFonts w:ascii="宋体" w:hAnsi="宋体"/>
          <w:bCs/>
          <w:sz w:val="18"/>
          <w:szCs w:val="18"/>
        </w:rPr>
      </w:pPr>
      <w:r>
        <w:rPr>
          <w:rFonts w:ascii="宋体" w:hAnsi="宋体"/>
          <w:bCs/>
          <w:sz w:val="18"/>
          <w:szCs w:val="18"/>
        </w:rPr>
        <w:t>3.定期报告</w:t>
      </w:r>
    </w:p>
    <w:p w14:paraId="1EADD623">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5C5926BA">
      <w:pPr>
        <w:spacing w:line="360" w:lineRule="auto"/>
        <w:ind w:firstLine="360" w:firstLineChars="200"/>
        <w:rPr>
          <w:rFonts w:ascii="宋体" w:hAnsi="宋体"/>
          <w:bCs/>
          <w:sz w:val="18"/>
          <w:szCs w:val="18"/>
        </w:rPr>
      </w:pPr>
      <w:r>
        <w:rPr>
          <w:rFonts w:ascii="宋体" w:hAnsi="宋体"/>
          <w:bCs/>
          <w:sz w:val="18"/>
          <w:szCs w:val="18"/>
        </w:rPr>
        <w:t>4.到期公告</w:t>
      </w:r>
    </w:p>
    <w:p w14:paraId="71115FC8">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1014E2D7">
      <w:pPr>
        <w:spacing w:line="360" w:lineRule="auto"/>
        <w:ind w:firstLine="360" w:firstLineChars="200"/>
        <w:rPr>
          <w:rFonts w:ascii="宋体" w:hAnsi="宋体"/>
          <w:bCs/>
          <w:sz w:val="18"/>
          <w:szCs w:val="18"/>
        </w:rPr>
      </w:pPr>
      <w:r>
        <w:rPr>
          <w:rFonts w:ascii="宋体" w:hAnsi="宋体"/>
          <w:bCs/>
          <w:sz w:val="18"/>
          <w:szCs w:val="18"/>
        </w:rPr>
        <w:t>5.开放日</w:t>
      </w:r>
      <w:r>
        <w:rPr>
          <w:rFonts w:hint="eastAsia" w:ascii="宋体" w:hAnsi="宋体"/>
          <w:bCs/>
          <w:sz w:val="18"/>
          <w:szCs w:val="18"/>
        </w:rPr>
        <w:t>/估值日</w:t>
      </w:r>
      <w:r>
        <w:rPr>
          <w:rFonts w:ascii="宋体" w:hAnsi="宋体"/>
          <w:bCs/>
          <w:sz w:val="18"/>
          <w:szCs w:val="18"/>
        </w:rPr>
        <w:t>公告</w:t>
      </w:r>
    </w:p>
    <w:p w14:paraId="3B3A14D0">
      <w:pPr>
        <w:spacing w:line="360" w:lineRule="auto"/>
        <w:ind w:firstLine="360" w:firstLineChars="200"/>
        <w:rPr>
          <w:rFonts w:ascii="宋体" w:hAnsi="宋体"/>
          <w:bCs/>
          <w:sz w:val="18"/>
          <w:szCs w:val="18"/>
        </w:rPr>
      </w:pPr>
      <w:permStart w:id="24" w:edGrp="everyone"/>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/赎回日结束后2个工作日内披露公告，公告内容包括申购日/赎回日</w:t>
      </w:r>
      <w:r>
        <w:rPr>
          <w:rFonts w:hint="eastAsia" w:ascii="宋体" w:hAnsi="宋体"/>
          <w:bCs/>
          <w:sz w:val="18"/>
          <w:szCs w:val="18"/>
        </w:rPr>
        <w:t>的产品份额净值、产品份额累计净值等。如遇法定节假日顺延。此外，如遇其他特殊情况，以产品管理人信息披露为准。</w:t>
      </w:r>
    </w:p>
    <w:permEnd w:id="24"/>
    <w:p w14:paraId="5B45FEC9">
      <w:pPr>
        <w:spacing w:line="360" w:lineRule="auto"/>
        <w:ind w:firstLine="360" w:firstLineChars="200"/>
        <w:rPr>
          <w:rFonts w:ascii="宋体" w:hAnsi="宋体"/>
          <w:bCs/>
          <w:sz w:val="18"/>
          <w:szCs w:val="18"/>
        </w:rPr>
      </w:pPr>
      <w:r>
        <w:rPr>
          <w:rFonts w:ascii="宋体" w:hAnsi="宋体"/>
          <w:bCs/>
          <w:sz w:val="18"/>
          <w:szCs w:val="18"/>
        </w:rPr>
        <w:t>6.临时公告</w:t>
      </w:r>
    </w:p>
    <w:p w14:paraId="0692C83C">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1）</w:t>
      </w:r>
      <w:r>
        <w:rPr>
          <w:rFonts w:hint="eastAsia" w:ascii="黑体" w:hAnsi="黑体" w:eastAsia="黑体"/>
          <w:sz w:val="18"/>
          <w:szCs w:val="18"/>
        </w:rPr>
        <w:t>★产品管理人</w:t>
      </w:r>
      <w:r>
        <w:rPr>
          <w:rFonts w:ascii="黑体" w:hAnsi="黑体" w:eastAsia="黑体"/>
          <w:sz w:val="18"/>
          <w:szCs w:val="18"/>
        </w:rPr>
        <w:t>对</w:t>
      </w:r>
      <w:r>
        <w:rPr>
          <w:rFonts w:hint="eastAsia" w:ascii="黑体" w:hAnsi="黑体" w:eastAsia="黑体"/>
          <w:sz w:val="18"/>
          <w:szCs w:val="18"/>
        </w:rPr>
        <w:t>投资范围、投资资产种类、</w:t>
      </w:r>
      <w:r>
        <w:rPr>
          <w:rFonts w:ascii="黑体" w:hAnsi="黑体" w:eastAsia="黑体"/>
          <w:sz w:val="18"/>
          <w:szCs w:val="18"/>
        </w:rPr>
        <w:t>投资</w:t>
      </w:r>
      <w:r>
        <w:rPr>
          <w:rFonts w:hint="eastAsia" w:ascii="黑体" w:hAnsi="黑体" w:eastAsia="黑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sz w:val="18"/>
          <w:szCs w:val="18"/>
        </w:rPr>
        <w:t>2个工作日发布变更公告</w:t>
      </w:r>
      <w:r>
        <w:rPr>
          <w:rFonts w:hint="eastAsia" w:ascii="黑体" w:hAnsi="黑体" w:eastAsia="黑体"/>
          <w:sz w:val="18"/>
          <w:szCs w:val="18"/>
        </w:rPr>
        <w:t>。</w:t>
      </w:r>
    </w:p>
    <w:p w14:paraId="68DF0371">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14:paraId="607BA960">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60BFFA6B">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4）★在本产品存续期内，如因国家法律法规、监管规定发生变化，或是出于维护本产品正常运营的需要，在不损害投资者</w:t>
      </w:r>
      <w:r>
        <w:rPr>
          <w:rFonts w:hint="eastAsia" w:ascii="黑体" w:hAnsi="黑体" w:eastAsia="黑体"/>
          <w:sz w:val="18"/>
          <w:szCs w:val="18"/>
        </w:rPr>
        <w:t>权益</w:t>
      </w:r>
      <w:r>
        <w:rPr>
          <w:rFonts w:ascii="黑体" w:hAnsi="黑体" w:eastAsia="黑体"/>
          <w:sz w:val="18"/>
          <w:szCs w:val="18"/>
        </w:rPr>
        <w:t>的前提下，</w:t>
      </w:r>
      <w:r>
        <w:rPr>
          <w:rFonts w:hint="eastAsia" w:ascii="黑体" w:hAnsi="黑体" w:eastAsia="黑体"/>
          <w:sz w:val="18"/>
          <w:szCs w:val="18"/>
        </w:rPr>
        <w:t>产品管理人</w:t>
      </w:r>
      <w:r>
        <w:rPr>
          <w:rFonts w:ascii="黑体" w:hAnsi="黑体" w:eastAsia="黑体"/>
          <w:sz w:val="18"/>
          <w:szCs w:val="18"/>
        </w:rPr>
        <w:t>有权对</w:t>
      </w:r>
      <w:r>
        <w:rPr>
          <w:rFonts w:hint="eastAsia" w:ascii="黑体" w:hAnsi="黑体" w:eastAsia="黑体"/>
          <w:sz w:val="18"/>
          <w:szCs w:val="18"/>
        </w:rPr>
        <w:t>理财产品销售文件</w:t>
      </w:r>
      <w:r>
        <w:rPr>
          <w:rFonts w:ascii="黑体" w:hAnsi="黑体" w:eastAsia="黑体"/>
          <w:sz w:val="18"/>
          <w:szCs w:val="18"/>
        </w:rPr>
        <w:t>进行修订，并提前2个工作日进行</w:t>
      </w:r>
      <w:r>
        <w:rPr>
          <w:rFonts w:hint="eastAsia" w:ascii="黑体" w:hAnsi="黑体" w:eastAsia="黑体"/>
          <w:sz w:val="18"/>
          <w:szCs w:val="18"/>
        </w:rPr>
        <w:t>公告</w:t>
      </w:r>
      <w:r>
        <w:rPr>
          <w:rFonts w:ascii="黑体" w:hAnsi="黑体" w:eastAsia="黑体"/>
          <w:sz w:val="18"/>
          <w:szCs w:val="18"/>
        </w:rPr>
        <w:t>。</w:t>
      </w:r>
    </w:p>
    <w:p w14:paraId="222AEA97">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14:paraId="492F274B">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14:paraId="2AEB3E5B">
      <w:pPr>
        <w:spacing w:line="360" w:lineRule="auto"/>
        <w:ind w:firstLine="360" w:firstLineChars="200"/>
        <w:rPr>
          <w:rFonts w:ascii="黑体" w:hAnsi="黑体" w:eastAsia="黑体"/>
          <w:sz w:val="18"/>
          <w:szCs w:val="18"/>
        </w:rPr>
      </w:pPr>
      <w:r>
        <w:rPr>
          <w:rFonts w:hint="eastAsia" w:ascii="黑体" w:hAnsi="黑体" w:eastAsia="黑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sz w:val="18"/>
          <w:szCs w:val="18"/>
        </w:rPr>
        <w:t>并提前2个工作日进行</w:t>
      </w:r>
      <w:r>
        <w:rPr>
          <w:rFonts w:hint="eastAsia" w:ascii="黑体" w:hAnsi="黑体" w:eastAsia="黑体"/>
          <w:sz w:val="18"/>
          <w:szCs w:val="18"/>
        </w:rPr>
        <w:t>公告。若投资者未选择退出本产品的，则视为已理解并接受管理人的相应变更。</w:t>
      </w:r>
    </w:p>
    <w:p w14:paraId="3F3E7A64">
      <w:pPr>
        <w:spacing w:line="360" w:lineRule="auto"/>
        <w:ind w:firstLine="480" w:firstLineChars="200"/>
        <w:rPr>
          <w:bCs/>
          <w:sz w:val="24"/>
        </w:rPr>
      </w:pPr>
      <w:r>
        <w:rPr>
          <w:sz w:val="24"/>
        </w:rPr>
        <w:br w:type="page"/>
      </w:r>
    </w:p>
    <w:p w14:paraId="331F03B7">
      <w:pPr>
        <w:pStyle w:val="2"/>
        <w:spacing w:before="0" w:after="0" w:line="360" w:lineRule="auto"/>
        <w:jc w:val="center"/>
        <w:rPr>
          <w:rFonts w:ascii="Times New Roman"/>
          <w:b w:val="0"/>
          <w:sz w:val="30"/>
        </w:rPr>
      </w:pPr>
      <w:bookmarkStart w:id="200" w:name="_Toc103260539"/>
      <w:bookmarkStart w:id="201" w:name="_Toc17790"/>
      <w:bookmarkStart w:id="202" w:name="_Toc28813"/>
      <w:bookmarkStart w:id="203" w:name="_Toc92377141"/>
      <w:bookmarkStart w:id="204" w:name="_Toc9986"/>
      <w:bookmarkStart w:id="205" w:name="_Toc79154675"/>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200"/>
      <w:bookmarkEnd w:id="201"/>
      <w:bookmarkEnd w:id="202"/>
      <w:bookmarkEnd w:id="203"/>
      <w:bookmarkEnd w:id="204"/>
      <w:bookmarkEnd w:id="205"/>
    </w:p>
    <w:p w14:paraId="6C1CA1E6">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14:paraId="32B658B8">
      <w:pPr>
        <w:spacing w:line="360" w:lineRule="auto"/>
        <w:ind w:firstLine="360" w:firstLineChars="200"/>
        <w:rPr>
          <w:rFonts w:hint="eastAsia" w:ascii="宋体" w:hAnsi="宋体"/>
          <w:sz w:val="18"/>
          <w:szCs w:val="18"/>
        </w:rPr>
      </w:pPr>
      <w:permStart w:id="25" w:edGrp="everyone"/>
      <w:r>
        <w:rPr>
          <w:rFonts w:hint="eastAsia" w:ascii="宋体" w:hAnsi="宋体"/>
          <w:sz w:val="18"/>
          <w:szCs w:val="18"/>
        </w:rPr>
        <w:t>【1.拟投资市场和资产的风险：</w:t>
      </w:r>
    </w:p>
    <w:p w14:paraId="38FE6E42">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14:paraId="37326D3E">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14:paraId="7BA3C48A">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ermEnd w:id="25"/>
    <w:p w14:paraId="62BE3BC2">
      <w:pPr>
        <w:spacing w:line="360" w:lineRule="auto"/>
        <w:ind w:firstLine="360" w:firstLineChars="200"/>
        <w:rPr>
          <w:rFonts w:ascii="黑体" w:hAnsi="黑体" w:eastAsia="黑体"/>
          <w:bCs/>
          <w:sz w:val="18"/>
          <w:szCs w:val="18"/>
        </w:rPr>
      </w:pPr>
      <w:r>
        <w:rPr>
          <w:rFonts w:hint="eastAsia" w:ascii="黑体" w:hAnsi="黑体" w:eastAsia="黑体"/>
          <w:bCs/>
          <w:sz w:val="18"/>
          <w:szCs w:val="18"/>
        </w:rPr>
        <w:t>★注：以上特定风险仅为列举性质，未能详尽列明投资本产品可能面临的全部风险和可能导致投资者投资本金及收益损失的所有因素。</w:t>
      </w:r>
    </w:p>
    <w:p w14:paraId="68D42D13">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14:paraId="5A071C43">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14:paraId="60AA1C1C">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69B4BFD8">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14:paraId="4864E7F6">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1F7DCCC4">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14:paraId="0F5C5F2D">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14:paraId="66DF743C">
      <w:pPr>
        <w:spacing w:line="360" w:lineRule="auto"/>
        <w:ind w:firstLine="360" w:firstLineChars="200"/>
        <w:rPr>
          <w:rFonts w:ascii="宋体" w:hAnsi="宋体"/>
          <w:sz w:val="18"/>
          <w:szCs w:val="18"/>
        </w:rPr>
      </w:pPr>
      <w:r>
        <w:rPr>
          <w:rFonts w:hint="eastAsia" w:ascii="宋体" w:hAnsi="宋体"/>
          <w:sz w:val="18"/>
          <w:szCs w:val="18"/>
        </w:rPr>
        <w:t>4.流动性风险</w:t>
      </w:r>
    </w:p>
    <w:p w14:paraId="44431D8E">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14:paraId="75F68971">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14:paraId="138DB77A">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14:paraId="4AF78A47">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14:paraId="62DCFE7E">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14:paraId="735B02FE">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14:paraId="3496E306">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14:paraId="27568641">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14:paraId="5C97C82E">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14:paraId="70D98928">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14:paraId="41811490">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14:paraId="77AFB8D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14:paraId="75ED9D8C">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14:paraId="0E9FD584">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14:paraId="35F9B85C">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14:paraId="7DEF3D80">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14:paraId="4E526D00">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14:paraId="55AC1B81">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14:paraId="4BBD638F">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14:paraId="544C908E">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14:paraId="02F8D426">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14:paraId="20264379">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14:paraId="3A79E3CA">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14:paraId="2BB751DA">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14:paraId="27AB2D65">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14:paraId="3029F56C">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14:paraId="17910F81">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14:paraId="1E63D83E">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14:paraId="245B4F20">
      <w:pPr>
        <w:widowControl/>
        <w:jc w:val="left"/>
        <w:rPr>
          <w:rFonts w:ascii="宋体" w:hAnsi="宋体"/>
          <w:sz w:val="18"/>
          <w:szCs w:val="18"/>
        </w:rPr>
      </w:pPr>
      <w:r>
        <w:rPr>
          <w:rFonts w:ascii="宋体"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14:paraId="2348D6B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16" w:hRule="exact"/>
        </w:trPr>
        <w:tc>
          <w:tcPr>
            <w:tcW w:w="8222" w:type="dxa"/>
            <w:gridSpan w:val="2"/>
          </w:tcPr>
          <w:p w14:paraId="5C6F98D6">
            <w:pPr>
              <w:spacing w:line="280" w:lineRule="atLeast"/>
              <w:ind w:firstLine="422"/>
              <w:jc w:val="center"/>
              <w:rPr>
                <w:rFonts w:ascii="宋体" w:hAnsi="宋体" w:cs="Arial"/>
                <w:b/>
                <w:szCs w:val="21"/>
              </w:rPr>
            </w:pPr>
            <w:r>
              <w:rPr>
                <w:rFonts w:hint="eastAsia" w:ascii="宋体" w:hAnsi="宋体" w:cs="Arial"/>
                <w:b/>
                <w:szCs w:val="21"/>
              </w:rPr>
              <w:t>投资者确认栏</w:t>
            </w:r>
          </w:p>
          <w:p w14:paraId="07EA2944">
            <w:pPr>
              <w:spacing w:line="360" w:lineRule="auto"/>
              <w:ind w:firstLine="361"/>
              <w:rPr>
                <w:b/>
                <w:sz w:val="18"/>
                <w:szCs w:val="18"/>
              </w:rPr>
            </w:pPr>
          </w:p>
        </w:tc>
      </w:tr>
      <w:tr w14:paraId="121DA3C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1862" w:hRule="exact"/>
        </w:trPr>
        <w:tc>
          <w:tcPr>
            <w:tcW w:w="851" w:type="dxa"/>
          </w:tcPr>
          <w:p w14:paraId="29928CB8">
            <w:pPr>
              <w:spacing w:line="360" w:lineRule="auto"/>
              <w:jc w:val="left"/>
              <w:rPr>
                <w:b/>
                <w:sz w:val="18"/>
                <w:szCs w:val="18"/>
              </w:rPr>
            </w:pPr>
            <w:r>
              <w:rPr>
                <w:rFonts w:hint="eastAsia"/>
                <w:b/>
                <w:sz w:val="18"/>
                <w:szCs w:val="18"/>
              </w:rPr>
              <w:t>个人投资者适用</w:t>
            </w:r>
          </w:p>
        </w:tc>
        <w:tc>
          <w:tcPr>
            <w:tcW w:w="7371" w:type="dxa"/>
          </w:tcPr>
          <w:p w14:paraId="713DE6CD">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14:paraId="1C89D8B7">
            <w:pPr>
              <w:spacing w:line="360" w:lineRule="auto"/>
              <w:ind w:firstLine="361"/>
              <w:jc w:val="left"/>
              <w:rPr>
                <w:b/>
                <w:sz w:val="18"/>
                <w:szCs w:val="18"/>
              </w:rPr>
            </w:pPr>
          </w:p>
          <w:p w14:paraId="3B32B200">
            <w:pPr>
              <w:spacing w:line="360" w:lineRule="auto"/>
              <w:ind w:firstLine="360"/>
              <w:jc w:val="left"/>
              <w:rPr>
                <w:sz w:val="18"/>
                <w:szCs w:val="18"/>
              </w:rPr>
            </w:pPr>
            <w:r>
              <w:rPr>
                <w:rFonts w:hint="eastAsia"/>
                <w:sz w:val="18"/>
                <w:szCs w:val="18"/>
              </w:rPr>
              <w:t>日期：</w:t>
            </w:r>
          </w:p>
        </w:tc>
      </w:tr>
      <w:tr w14:paraId="6778F97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14:paraId="530C70EF">
            <w:pPr>
              <w:spacing w:line="360" w:lineRule="auto"/>
              <w:jc w:val="left"/>
              <w:rPr>
                <w:b/>
                <w:sz w:val="18"/>
                <w:szCs w:val="18"/>
              </w:rPr>
            </w:pPr>
            <w:r>
              <w:rPr>
                <w:rFonts w:hint="eastAsia"/>
                <w:b/>
                <w:sz w:val="18"/>
                <w:szCs w:val="18"/>
              </w:rPr>
              <w:t>机构投资者适用</w:t>
            </w:r>
          </w:p>
        </w:tc>
        <w:tc>
          <w:tcPr>
            <w:tcW w:w="7371" w:type="dxa"/>
          </w:tcPr>
          <w:p w14:paraId="4442A171">
            <w:pPr>
              <w:spacing w:line="360" w:lineRule="auto"/>
              <w:ind w:firstLine="360"/>
              <w:jc w:val="left"/>
              <w:rPr>
                <w:rFonts w:cs="Arial"/>
                <w:sz w:val="18"/>
                <w:szCs w:val="18"/>
              </w:rPr>
            </w:pPr>
            <w:r>
              <w:rPr>
                <w:rFonts w:hint="eastAsia"/>
                <w:sz w:val="18"/>
                <w:szCs w:val="18"/>
              </w:rPr>
              <w:t>投资者</w:t>
            </w:r>
            <w:r>
              <w:rPr>
                <w:rFonts w:hint="eastAsia" w:cs="Arial"/>
                <w:sz w:val="18"/>
                <w:szCs w:val="18"/>
              </w:rPr>
              <w:t>（盖章/线上确认）：</w:t>
            </w:r>
          </w:p>
          <w:p w14:paraId="019724CE">
            <w:pPr>
              <w:spacing w:line="360" w:lineRule="auto"/>
              <w:ind w:firstLine="360"/>
              <w:jc w:val="left"/>
              <w:rPr>
                <w:rFonts w:cs="Arial"/>
                <w:sz w:val="18"/>
                <w:szCs w:val="18"/>
              </w:rPr>
            </w:pPr>
          </w:p>
          <w:p w14:paraId="55DA7CA9">
            <w:pPr>
              <w:spacing w:line="360" w:lineRule="auto"/>
              <w:ind w:firstLine="360"/>
              <w:jc w:val="left"/>
              <w:rPr>
                <w:rFonts w:cs="Arial"/>
                <w:sz w:val="18"/>
                <w:szCs w:val="18"/>
              </w:rPr>
            </w:pPr>
            <w:r>
              <w:rPr>
                <w:rFonts w:hint="eastAsia" w:cs="Arial"/>
                <w:sz w:val="18"/>
                <w:szCs w:val="18"/>
              </w:rPr>
              <w:t>投资者法定代表人或授权代理人（签名/盖章/线上确认）：</w:t>
            </w:r>
          </w:p>
          <w:p w14:paraId="0AE15155">
            <w:pPr>
              <w:spacing w:line="360" w:lineRule="auto"/>
              <w:ind w:firstLine="360"/>
              <w:jc w:val="left"/>
              <w:rPr>
                <w:sz w:val="18"/>
                <w:szCs w:val="18"/>
              </w:rPr>
            </w:pPr>
            <w:r>
              <w:rPr>
                <w:rFonts w:hint="eastAsia"/>
                <w:sz w:val="18"/>
                <w:szCs w:val="18"/>
              </w:rPr>
              <w:t>日期：</w:t>
            </w:r>
          </w:p>
        </w:tc>
      </w:tr>
    </w:tbl>
    <w:p w14:paraId="2920D809">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14:paraId="612FF833">
      <w:pPr>
        <w:spacing w:line="360" w:lineRule="auto"/>
        <w:ind w:firstLine="360" w:firstLineChars="200"/>
        <w:rPr>
          <w:rFonts w:ascii="宋体" w:hAnsi="宋体"/>
          <w:sz w:val="18"/>
          <w:szCs w:val="18"/>
        </w:rPr>
      </w:pPr>
    </w:p>
    <w:p w14:paraId="6B9D02A2">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14:paraId="3CFF46D2">
        <w:pPr>
          <w:pStyle w:val="14"/>
          <w:jc w:val="center"/>
        </w:pPr>
        <w:r>
          <w:fldChar w:fldCharType="begin"/>
        </w:r>
        <w:r>
          <w:instrText xml:space="preserve"> PAGE   \* MERGEFORMAT </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26478">
    <w:pPr>
      <w:pStyle w:val="15"/>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14:paraId="257F2B02">
    <w:pPr>
      <w:pStyle w:val="15"/>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p w14:paraId="679F6689">
    <w:pPr>
      <w:pStyle w:val="15"/>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abstractNum w:abstractNumId="1">
    <w:nsid w:val="45138531"/>
    <w:multiLevelType w:val="singleLevel"/>
    <w:tmpl w:val="45138531"/>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zHyHhDlQdps2D1uFd01tqdC57W0=" w:salt="d4fgmhV8fsu0r0TCfQgx8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80277"/>
    <w:rsid w:val="0008037A"/>
    <w:rsid w:val="00080815"/>
    <w:rsid w:val="00081DC7"/>
    <w:rsid w:val="000826C9"/>
    <w:rsid w:val="00082E45"/>
    <w:rsid w:val="00083F31"/>
    <w:rsid w:val="00085DD5"/>
    <w:rsid w:val="00086DD4"/>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568B"/>
    <w:rsid w:val="000B6819"/>
    <w:rsid w:val="000B7F67"/>
    <w:rsid w:val="000C31AC"/>
    <w:rsid w:val="000C3B81"/>
    <w:rsid w:val="000C69CB"/>
    <w:rsid w:val="000C6BF4"/>
    <w:rsid w:val="000C7C96"/>
    <w:rsid w:val="000D0C3A"/>
    <w:rsid w:val="000D10B1"/>
    <w:rsid w:val="000D1473"/>
    <w:rsid w:val="000D19CF"/>
    <w:rsid w:val="000D1ADF"/>
    <w:rsid w:val="000D2623"/>
    <w:rsid w:val="000D3A43"/>
    <w:rsid w:val="000D3E2A"/>
    <w:rsid w:val="000D4DAE"/>
    <w:rsid w:val="000D548F"/>
    <w:rsid w:val="000D591B"/>
    <w:rsid w:val="000E008C"/>
    <w:rsid w:val="000E10C7"/>
    <w:rsid w:val="000E181B"/>
    <w:rsid w:val="000E18C8"/>
    <w:rsid w:val="000E2054"/>
    <w:rsid w:val="000E5A74"/>
    <w:rsid w:val="000E6A7A"/>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1092D"/>
    <w:rsid w:val="00111430"/>
    <w:rsid w:val="00112922"/>
    <w:rsid w:val="001139C8"/>
    <w:rsid w:val="001157E6"/>
    <w:rsid w:val="00115A4C"/>
    <w:rsid w:val="00116240"/>
    <w:rsid w:val="00117B00"/>
    <w:rsid w:val="00121A98"/>
    <w:rsid w:val="00122AA4"/>
    <w:rsid w:val="00122E28"/>
    <w:rsid w:val="001232D0"/>
    <w:rsid w:val="00123FEF"/>
    <w:rsid w:val="0012639A"/>
    <w:rsid w:val="00127FAE"/>
    <w:rsid w:val="00132300"/>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4EE7"/>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C8"/>
    <w:rsid w:val="001D06D0"/>
    <w:rsid w:val="001D0990"/>
    <w:rsid w:val="001D1C72"/>
    <w:rsid w:val="001D1D5B"/>
    <w:rsid w:val="001D2824"/>
    <w:rsid w:val="001D3E8B"/>
    <w:rsid w:val="001D4AC9"/>
    <w:rsid w:val="001D4BC1"/>
    <w:rsid w:val="001D570A"/>
    <w:rsid w:val="001D688E"/>
    <w:rsid w:val="001D7E99"/>
    <w:rsid w:val="001E14FD"/>
    <w:rsid w:val="001E291D"/>
    <w:rsid w:val="001E461E"/>
    <w:rsid w:val="001E54CE"/>
    <w:rsid w:val="001E61BD"/>
    <w:rsid w:val="001E6BA6"/>
    <w:rsid w:val="001E6C14"/>
    <w:rsid w:val="001E70FE"/>
    <w:rsid w:val="001E77D6"/>
    <w:rsid w:val="001E794F"/>
    <w:rsid w:val="001F00E4"/>
    <w:rsid w:val="001F08F9"/>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7ED"/>
    <w:rsid w:val="00290893"/>
    <w:rsid w:val="0029197D"/>
    <w:rsid w:val="00293329"/>
    <w:rsid w:val="002A1894"/>
    <w:rsid w:val="002A2964"/>
    <w:rsid w:val="002A3DA0"/>
    <w:rsid w:val="002A6688"/>
    <w:rsid w:val="002B0460"/>
    <w:rsid w:val="002B0A68"/>
    <w:rsid w:val="002B1215"/>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529"/>
    <w:rsid w:val="002D7737"/>
    <w:rsid w:val="002E134B"/>
    <w:rsid w:val="002E25FC"/>
    <w:rsid w:val="002E393C"/>
    <w:rsid w:val="002E5F4C"/>
    <w:rsid w:val="002E6721"/>
    <w:rsid w:val="002E7C23"/>
    <w:rsid w:val="002F0CD5"/>
    <w:rsid w:val="002F11BA"/>
    <w:rsid w:val="002F29C4"/>
    <w:rsid w:val="002F389F"/>
    <w:rsid w:val="002F45BC"/>
    <w:rsid w:val="002F4C49"/>
    <w:rsid w:val="00301106"/>
    <w:rsid w:val="003029FF"/>
    <w:rsid w:val="0030325C"/>
    <w:rsid w:val="00304C4E"/>
    <w:rsid w:val="00304D9D"/>
    <w:rsid w:val="00306DA6"/>
    <w:rsid w:val="00310F0F"/>
    <w:rsid w:val="0031156D"/>
    <w:rsid w:val="003122D5"/>
    <w:rsid w:val="00313E1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7E86"/>
    <w:rsid w:val="00391268"/>
    <w:rsid w:val="00391BBC"/>
    <w:rsid w:val="00392F32"/>
    <w:rsid w:val="0039407B"/>
    <w:rsid w:val="00396E72"/>
    <w:rsid w:val="003A430B"/>
    <w:rsid w:val="003B00EC"/>
    <w:rsid w:val="003B016B"/>
    <w:rsid w:val="003B06BE"/>
    <w:rsid w:val="003B1841"/>
    <w:rsid w:val="003B32A0"/>
    <w:rsid w:val="003B343A"/>
    <w:rsid w:val="003B600B"/>
    <w:rsid w:val="003B72A3"/>
    <w:rsid w:val="003C20A9"/>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D00"/>
    <w:rsid w:val="003F4B74"/>
    <w:rsid w:val="00400144"/>
    <w:rsid w:val="00400D54"/>
    <w:rsid w:val="0040151D"/>
    <w:rsid w:val="004043E5"/>
    <w:rsid w:val="00404A76"/>
    <w:rsid w:val="00404C4F"/>
    <w:rsid w:val="00404D2B"/>
    <w:rsid w:val="00406C36"/>
    <w:rsid w:val="00407912"/>
    <w:rsid w:val="00410860"/>
    <w:rsid w:val="00411594"/>
    <w:rsid w:val="004134C2"/>
    <w:rsid w:val="00413AD2"/>
    <w:rsid w:val="00416AC9"/>
    <w:rsid w:val="00416AF8"/>
    <w:rsid w:val="00416CB0"/>
    <w:rsid w:val="0042292D"/>
    <w:rsid w:val="00422B14"/>
    <w:rsid w:val="004239E7"/>
    <w:rsid w:val="00424562"/>
    <w:rsid w:val="0042456A"/>
    <w:rsid w:val="00424897"/>
    <w:rsid w:val="004259CB"/>
    <w:rsid w:val="00426CB5"/>
    <w:rsid w:val="0042700C"/>
    <w:rsid w:val="00430DF1"/>
    <w:rsid w:val="00432858"/>
    <w:rsid w:val="00434DA3"/>
    <w:rsid w:val="004365C7"/>
    <w:rsid w:val="004369A7"/>
    <w:rsid w:val="0043725F"/>
    <w:rsid w:val="00440E4C"/>
    <w:rsid w:val="00441309"/>
    <w:rsid w:val="00441A1F"/>
    <w:rsid w:val="00441C87"/>
    <w:rsid w:val="004421A0"/>
    <w:rsid w:val="0044275F"/>
    <w:rsid w:val="0044318F"/>
    <w:rsid w:val="00444B08"/>
    <w:rsid w:val="00444C05"/>
    <w:rsid w:val="00444E95"/>
    <w:rsid w:val="004451F2"/>
    <w:rsid w:val="00447A83"/>
    <w:rsid w:val="00450AE7"/>
    <w:rsid w:val="00452527"/>
    <w:rsid w:val="00453F94"/>
    <w:rsid w:val="0045405E"/>
    <w:rsid w:val="0045524D"/>
    <w:rsid w:val="00455720"/>
    <w:rsid w:val="00455EFB"/>
    <w:rsid w:val="00455FA5"/>
    <w:rsid w:val="00456516"/>
    <w:rsid w:val="00461E0D"/>
    <w:rsid w:val="00462328"/>
    <w:rsid w:val="004623C6"/>
    <w:rsid w:val="00462D9E"/>
    <w:rsid w:val="00464878"/>
    <w:rsid w:val="00465BE2"/>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6134"/>
    <w:rsid w:val="004C75D9"/>
    <w:rsid w:val="004D0C41"/>
    <w:rsid w:val="004D1CFA"/>
    <w:rsid w:val="004D2141"/>
    <w:rsid w:val="004D373F"/>
    <w:rsid w:val="004D3932"/>
    <w:rsid w:val="004D5055"/>
    <w:rsid w:val="004D5AAF"/>
    <w:rsid w:val="004D5BE2"/>
    <w:rsid w:val="004D5E18"/>
    <w:rsid w:val="004D6163"/>
    <w:rsid w:val="004D6C75"/>
    <w:rsid w:val="004E08E7"/>
    <w:rsid w:val="004E17EB"/>
    <w:rsid w:val="004E20E1"/>
    <w:rsid w:val="004E3BD3"/>
    <w:rsid w:val="004E4084"/>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0AB9"/>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0E82"/>
    <w:rsid w:val="00583DB2"/>
    <w:rsid w:val="00583FFD"/>
    <w:rsid w:val="0058644F"/>
    <w:rsid w:val="00586B5E"/>
    <w:rsid w:val="0058793F"/>
    <w:rsid w:val="00587E86"/>
    <w:rsid w:val="005905CC"/>
    <w:rsid w:val="0059345F"/>
    <w:rsid w:val="005942B5"/>
    <w:rsid w:val="005964FC"/>
    <w:rsid w:val="00596640"/>
    <w:rsid w:val="005A0BAF"/>
    <w:rsid w:val="005A0CDE"/>
    <w:rsid w:val="005A1A2E"/>
    <w:rsid w:val="005A2814"/>
    <w:rsid w:val="005A2F58"/>
    <w:rsid w:val="005A52CE"/>
    <w:rsid w:val="005A5694"/>
    <w:rsid w:val="005A60A3"/>
    <w:rsid w:val="005B0326"/>
    <w:rsid w:val="005B14F6"/>
    <w:rsid w:val="005B1513"/>
    <w:rsid w:val="005B1F01"/>
    <w:rsid w:val="005B3D95"/>
    <w:rsid w:val="005B45B8"/>
    <w:rsid w:val="005B6567"/>
    <w:rsid w:val="005C1011"/>
    <w:rsid w:val="005C1A4B"/>
    <w:rsid w:val="005C2C22"/>
    <w:rsid w:val="005C3351"/>
    <w:rsid w:val="005C46BB"/>
    <w:rsid w:val="005C6C9D"/>
    <w:rsid w:val="005C7108"/>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441"/>
    <w:rsid w:val="005F379A"/>
    <w:rsid w:val="005F4287"/>
    <w:rsid w:val="005F469C"/>
    <w:rsid w:val="005F7C7E"/>
    <w:rsid w:val="005F7FD5"/>
    <w:rsid w:val="0060066F"/>
    <w:rsid w:val="00600FE7"/>
    <w:rsid w:val="006016B4"/>
    <w:rsid w:val="006019D1"/>
    <w:rsid w:val="00605524"/>
    <w:rsid w:val="00605B31"/>
    <w:rsid w:val="00605C5D"/>
    <w:rsid w:val="006065FB"/>
    <w:rsid w:val="00607DDC"/>
    <w:rsid w:val="00611A33"/>
    <w:rsid w:val="00612869"/>
    <w:rsid w:val="006146BA"/>
    <w:rsid w:val="00615A93"/>
    <w:rsid w:val="006172ED"/>
    <w:rsid w:val="00620063"/>
    <w:rsid w:val="00620D75"/>
    <w:rsid w:val="00621F2C"/>
    <w:rsid w:val="00624760"/>
    <w:rsid w:val="00624F2C"/>
    <w:rsid w:val="00626BC0"/>
    <w:rsid w:val="0063051C"/>
    <w:rsid w:val="006310FF"/>
    <w:rsid w:val="00631736"/>
    <w:rsid w:val="006328AE"/>
    <w:rsid w:val="0064020E"/>
    <w:rsid w:val="0064076F"/>
    <w:rsid w:val="0064087A"/>
    <w:rsid w:val="00642A61"/>
    <w:rsid w:val="006451BF"/>
    <w:rsid w:val="006453CC"/>
    <w:rsid w:val="0064589D"/>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042"/>
    <w:rsid w:val="006929EA"/>
    <w:rsid w:val="00692BC9"/>
    <w:rsid w:val="0069501F"/>
    <w:rsid w:val="006961A8"/>
    <w:rsid w:val="00697C87"/>
    <w:rsid w:val="00697D22"/>
    <w:rsid w:val="006A0942"/>
    <w:rsid w:val="006A1579"/>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7218"/>
    <w:rsid w:val="006C75F7"/>
    <w:rsid w:val="006C7E9B"/>
    <w:rsid w:val="006D0BDE"/>
    <w:rsid w:val="006D0F3C"/>
    <w:rsid w:val="006D160E"/>
    <w:rsid w:val="006D3D10"/>
    <w:rsid w:val="006D4093"/>
    <w:rsid w:val="006D4430"/>
    <w:rsid w:val="006D586E"/>
    <w:rsid w:val="006D6C20"/>
    <w:rsid w:val="006D7C06"/>
    <w:rsid w:val="006D7D05"/>
    <w:rsid w:val="006E011D"/>
    <w:rsid w:val="006E1A9B"/>
    <w:rsid w:val="006E2E41"/>
    <w:rsid w:val="006E420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20D3D"/>
    <w:rsid w:val="00720E8F"/>
    <w:rsid w:val="007210F9"/>
    <w:rsid w:val="00724416"/>
    <w:rsid w:val="0072773A"/>
    <w:rsid w:val="00727C00"/>
    <w:rsid w:val="007305B6"/>
    <w:rsid w:val="007319DA"/>
    <w:rsid w:val="00737C42"/>
    <w:rsid w:val="00741920"/>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274B"/>
    <w:rsid w:val="00775691"/>
    <w:rsid w:val="00775E75"/>
    <w:rsid w:val="00780770"/>
    <w:rsid w:val="00783025"/>
    <w:rsid w:val="00784BFC"/>
    <w:rsid w:val="0078739B"/>
    <w:rsid w:val="00787AC9"/>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1185"/>
    <w:rsid w:val="007D37FB"/>
    <w:rsid w:val="007D3AB0"/>
    <w:rsid w:val="007D3C57"/>
    <w:rsid w:val="007D6324"/>
    <w:rsid w:val="007D68C9"/>
    <w:rsid w:val="007D6F94"/>
    <w:rsid w:val="007D78E0"/>
    <w:rsid w:val="007D7B84"/>
    <w:rsid w:val="007E1F76"/>
    <w:rsid w:val="007E3453"/>
    <w:rsid w:val="007E3857"/>
    <w:rsid w:val="007E4180"/>
    <w:rsid w:val="007E4A3F"/>
    <w:rsid w:val="007E6E94"/>
    <w:rsid w:val="007E775F"/>
    <w:rsid w:val="007F19E2"/>
    <w:rsid w:val="007F2369"/>
    <w:rsid w:val="007F2A00"/>
    <w:rsid w:val="007F2DEA"/>
    <w:rsid w:val="007F353C"/>
    <w:rsid w:val="007F42B0"/>
    <w:rsid w:val="007F557D"/>
    <w:rsid w:val="007F5D9C"/>
    <w:rsid w:val="007F66E1"/>
    <w:rsid w:val="0080018F"/>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0FC"/>
    <w:rsid w:val="008735AB"/>
    <w:rsid w:val="008740D8"/>
    <w:rsid w:val="0087506B"/>
    <w:rsid w:val="0087693A"/>
    <w:rsid w:val="00876C63"/>
    <w:rsid w:val="00876D94"/>
    <w:rsid w:val="0089069E"/>
    <w:rsid w:val="008912D3"/>
    <w:rsid w:val="008914CB"/>
    <w:rsid w:val="008937B1"/>
    <w:rsid w:val="00894A43"/>
    <w:rsid w:val="00895477"/>
    <w:rsid w:val="00895F6F"/>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0CB"/>
    <w:rsid w:val="008C5304"/>
    <w:rsid w:val="008C6459"/>
    <w:rsid w:val="008C7CC2"/>
    <w:rsid w:val="008D01F8"/>
    <w:rsid w:val="008D0325"/>
    <w:rsid w:val="008D0AD4"/>
    <w:rsid w:val="008D2BA4"/>
    <w:rsid w:val="008D45A6"/>
    <w:rsid w:val="008D4CB3"/>
    <w:rsid w:val="008D5CDB"/>
    <w:rsid w:val="008D643C"/>
    <w:rsid w:val="008D6554"/>
    <w:rsid w:val="008D7E71"/>
    <w:rsid w:val="008E0B20"/>
    <w:rsid w:val="008E584F"/>
    <w:rsid w:val="008E5E8B"/>
    <w:rsid w:val="008E6072"/>
    <w:rsid w:val="008E6640"/>
    <w:rsid w:val="008F2669"/>
    <w:rsid w:val="008F2710"/>
    <w:rsid w:val="008F432E"/>
    <w:rsid w:val="008F50BB"/>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45A"/>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26CA"/>
    <w:rsid w:val="00962D06"/>
    <w:rsid w:val="00963402"/>
    <w:rsid w:val="00964835"/>
    <w:rsid w:val="00966868"/>
    <w:rsid w:val="00966917"/>
    <w:rsid w:val="00967387"/>
    <w:rsid w:val="009709AB"/>
    <w:rsid w:val="00971FD5"/>
    <w:rsid w:val="0097223A"/>
    <w:rsid w:val="009729E3"/>
    <w:rsid w:val="00974167"/>
    <w:rsid w:val="00974BED"/>
    <w:rsid w:val="00975E0A"/>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39FB"/>
    <w:rsid w:val="009A418D"/>
    <w:rsid w:val="009A520C"/>
    <w:rsid w:val="009A75FE"/>
    <w:rsid w:val="009B137E"/>
    <w:rsid w:val="009B2144"/>
    <w:rsid w:val="009B2D08"/>
    <w:rsid w:val="009B6315"/>
    <w:rsid w:val="009B6C73"/>
    <w:rsid w:val="009C36E0"/>
    <w:rsid w:val="009C4645"/>
    <w:rsid w:val="009C59F9"/>
    <w:rsid w:val="009C63B1"/>
    <w:rsid w:val="009C6C6F"/>
    <w:rsid w:val="009C6DCD"/>
    <w:rsid w:val="009D0173"/>
    <w:rsid w:val="009D0895"/>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A07"/>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67E"/>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30C"/>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873D2"/>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C03"/>
    <w:rsid w:val="00AB50AF"/>
    <w:rsid w:val="00AB52EA"/>
    <w:rsid w:val="00AB5EF6"/>
    <w:rsid w:val="00AB7BAC"/>
    <w:rsid w:val="00AC0EF8"/>
    <w:rsid w:val="00AC263A"/>
    <w:rsid w:val="00AC2A27"/>
    <w:rsid w:val="00AC2E64"/>
    <w:rsid w:val="00AC3AFC"/>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028D"/>
    <w:rsid w:val="00B32C84"/>
    <w:rsid w:val="00B33E5E"/>
    <w:rsid w:val="00B34D85"/>
    <w:rsid w:val="00B3567F"/>
    <w:rsid w:val="00B3710C"/>
    <w:rsid w:val="00B37FE3"/>
    <w:rsid w:val="00B412ED"/>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4572"/>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977B3"/>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CFE"/>
    <w:rsid w:val="00BC3D6F"/>
    <w:rsid w:val="00BC4C6A"/>
    <w:rsid w:val="00BC57F5"/>
    <w:rsid w:val="00BC782B"/>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757A"/>
    <w:rsid w:val="00C017FF"/>
    <w:rsid w:val="00C01FBD"/>
    <w:rsid w:val="00C02090"/>
    <w:rsid w:val="00C022E9"/>
    <w:rsid w:val="00C03970"/>
    <w:rsid w:val="00C04AA0"/>
    <w:rsid w:val="00C060B9"/>
    <w:rsid w:val="00C06806"/>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5D2"/>
    <w:rsid w:val="00C8091E"/>
    <w:rsid w:val="00C80EE0"/>
    <w:rsid w:val="00C8162B"/>
    <w:rsid w:val="00C816BA"/>
    <w:rsid w:val="00C81CA2"/>
    <w:rsid w:val="00C8291D"/>
    <w:rsid w:val="00C833B1"/>
    <w:rsid w:val="00C84315"/>
    <w:rsid w:val="00C8473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287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16B3F"/>
    <w:rsid w:val="00E2059A"/>
    <w:rsid w:val="00E234C8"/>
    <w:rsid w:val="00E23FD9"/>
    <w:rsid w:val="00E241D9"/>
    <w:rsid w:val="00E24E21"/>
    <w:rsid w:val="00E26111"/>
    <w:rsid w:val="00E27F54"/>
    <w:rsid w:val="00E30277"/>
    <w:rsid w:val="00E308BB"/>
    <w:rsid w:val="00E313CE"/>
    <w:rsid w:val="00E3165C"/>
    <w:rsid w:val="00E3244D"/>
    <w:rsid w:val="00E32751"/>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03D1"/>
    <w:rsid w:val="00EC223C"/>
    <w:rsid w:val="00EC2870"/>
    <w:rsid w:val="00EC2AC1"/>
    <w:rsid w:val="00EC4184"/>
    <w:rsid w:val="00EC7BA7"/>
    <w:rsid w:val="00ED0CB1"/>
    <w:rsid w:val="00ED230B"/>
    <w:rsid w:val="00ED3570"/>
    <w:rsid w:val="00ED368F"/>
    <w:rsid w:val="00ED3B71"/>
    <w:rsid w:val="00ED4A3F"/>
    <w:rsid w:val="00ED4FDE"/>
    <w:rsid w:val="00ED6D87"/>
    <w:rsid w:val="00EE1DB5"/>
    <w:rsid w:val="00EE3357"/>
    <w:rsid w:val="00EF00C9"/>
    <w:rsid w:val="00EF0C29"/>
    <w:rsid w:val="00EF30E2"/>
    <w:rsid w:val="00EF3119"/>
    <w:rsid w:val="00EF3282"/>
    <w:rsid w:val="00EF6C64"/>
    <w:rsid w:val="00F002AB"/>
    <w:rsid w:val="00F00DD1"/>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55B0"/>
    <w:rsid w:val="00F6162A"/>
    <w:rsid w:val="00F66759"/>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781A"/>
    <w:rsid w:val="00FA057C"/>
    <w:rsid w:val="00FA058B"/>
    <w:rsid w:val="00FA086F"/>
    <w:rsid w:val="00FA0D16"/>
    <w:rsid w:val="00FA185B"/>
    <w:rsid w:val="00FA60BF"/>
    <w:rsid w:val="00FA6883"/>
    <w:rsid w:val="00FA7405"/>
    <w:rsid w:val="00FB0D12"/>
    <w:rsid w:val="00FB1CB4"/>
    <w:rsid w:val="00FB23B5"/>
    <w:rsid w:val="00FB39D2"/>
    <w:rsid w:val="00FB3D40"/>
    <w:rsid w:val="00FB44EB"/>
    <w:rsid w:val="00FB675F"/>
    <w:rsid w:val="00FC11A3"/>
    <w:rsid w:val="00FC1300"/>
    <w:rsid w:val="00FC1C93"/>
    <w:rsid w:val="00FC39EF"/>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ADC"/>
    <w:rsid w:val="00FE225D"/>
    <w:rsid w:val="00FE4989"/>
    <w:rsid w:val="00FE5C3E"/>
    <w:rsid w:val="00FF0A2F"/>
    <w:rsid w:val="00FF1B04"/>
    <w:rsid w:val="00FF22F8"/>
    <w:rsid w:val="01533290"/>
    <w:rsid w:val="01654C82"/>
    <w:rsid w:val="020A6A96"/>
    <w:rsid w:val="02417F3D"/>
    <w:rsid w:val="024A6F28"/>
    <w:rsid w:val="0356786B"/>
    <w:rsid w:val="046E31C1"/>
    <w:rsid w:val="056C4F65"/>
    <w:rsid w:val="06F4696E"/>
    <w:rsid w:val="07245E56"/>
    <w:rsid w:val="09FB7353"/>
    <w:rsid w:val="0B2A6611"/>
    <w:rsid w:val="0C023D8C"/>
    <w:rsid w:val="0C225D7B"/>
    <w:rsid w:val="0D544AD8"/>
    <w:rsid w:val="0E9022D3"/>
    <w:rsid w:val="0E94232E"/>
    <w:rsid w:val="0EDE05BD"/>
    <w:rsid w:val="0EDE66F3"/>
    <w:rsid w:val="0F025487"/>
    <w:rsid w:val="0F1306D5"/>
    <w:rsid w:val="0FE43ED3"/>
    <w:rsid w:val="10365F82"/>
    <w:rsid w:val="1084403F"/>
    <w:rsid w:val="10AB63B0"/>
    <w:rsid w:val="11295396"/>
    <w:rsid w:val="14740EE4"/>
    <w:rsid w:val="163204AC"/>
    <w:rsid w:val="163E2FB7"/>
    <w:rsid w:val="17101A9E"/>
    <w:rsid w:val="17622796"/>
    <w:rsid w:val="17925B3D"/>
    <w:rsid w:val="19F32D28"/>
    <w:rsid w:val="1A48157B"/>
    <w:rsid w:val="1AAA799F"/>
    <w:rsid w:val="1B9930ED"/>
    <w:rsid w:val="1BAC7095"/>
    <w:rsid w:val="1BD70953"/>
    <w:rsid w:val="1BF87698"/>
    <w:rsid w:val="1CC664BB"/>
    <w:rsid w:val="1D304574"/>
    <w:rsid w:val="1D4C7D7F"/>
    <w:rsid w:val="1E585AB7"/>
    <w:rsid w:val="1EB160C2"/>
    <w:rsid w:val="1FF145B9"/>
    <w:rsid w:val="206B1AA3"/>
    <w:rsid w:val="2193546F"/>
    <w:rsid w:val="26F50BA9"/>
    <w:rsid w:val="27BD5E26"/>
    <w:rsid w:val="285E4249"/>
    <w:rsid w:val="28991572"/>
    <w:rsid w:val="29026D00"/>
    <w:rsid w:val="2AF13C2E"/>
    <w:rsid w:val="2C1C6772"/>
    <w:rsid w:val="2EA421B8"/>
    <w:rsid w:val="2EA644DF"/>
    <w:rsid w:val="2EFA4D05"/>
    <w:rsid w:val="2FB532A0"/>
    <w:rsid w:val="3035346F"/>
    <w:rsid w:val="319C4BEA"/>
    <w:rsid w:val="34663B5D"/>
    <w:rsid w:val="34C829B2"/>
    <w:rsid w:val="35381804"/>
    <w:rsid w:val="36146FAD"/>
    <w:rsid w:val="386A3F56"/>
    <w:rsid w:val="3A810EF7"/>
    <w:rsid w:val="3A842191"/>
    <w:rsid w:val="3ACF0F3F"/>
    <w:rsid w:val="3B39051F"/>
    <w:rsid w:val="3B7626CB"/>
    <w:rsid w:val="3C3802E9"/>
    <w:rsid w:val="3E586AB8"/>
    <w:rsid w:val="3E5C1B1D"/>
    <w:rsid w:val="3EAE14E9"/>
    <w:rsid w:val="3F6817A6"/>
    <w:rsid w:val="3FD261A6"/>
    <w:rsid w:val="404624C6"/>
    <w:rsid w:val="4160422A"/>
    <w:rsid w:val="41F15766"/>
    <w:rsid w:val="42C91CC0"/>
    <w:rsid w:val="42EB2F9C"/>
    <w:rsid w:val="42F736A3"/>
    <w:rsid w:val="439D563D"/>
    <w:rsid w:val="43EB5452"/>
    <w:rsid w:val="443C724B"/>
    <w:rsid w:val="45226963"/>
    <w:rsid w:val="46640412"/>
    <w:rsid w:val="479A6CA5"/>
    <w:rsid w:val="4AC74FEB"/>
    <w:rsid w:val="4AD06887"/>
    <w:rsid w:val="4C354C02"/>
    <w:rsid w:val="4D39606F"/>
    <w:rsid w:val="4DFF2136"/>
    <w:rsid w:val="4EB642FA"/>
    <w:rsid w:val="4F8E3D4D"/>
    <w:rsid w:val="5171747E"/>
    <w:rsid w:val="53063B85"/>
    <w:rsid w:val="533C1961"/>
    <w:rsid w:val="53B3493A"/>
    <w:rsid w:val="53EE2EEC"/>
    <w:rsid w:val="5537323C"/>
    <w:rsid w:val="55855837"/>
    <w:rsid w:val="55E83741"/>
    <w:rsid w:val="56503211"/>
    <w:rsid w:val="56E3104F"/>
    <w:rsid w:val="580710CE"/>
    <w:rsid w:val="58980021"/>
    <w:rsid w:val="598B567E"/>
    <w:rsid w:val="5B0F14EE"/>
    <w:rsid w:val="5B842029"/>
    <w:rsid w:val="5BA35A94"/>
    <w:rsid w:val="5C316162"/>
    <w:rsid w:val="5C624734"/>
    <w:rsid w:val="5D861AFB"/>
    <w:rsid w:val="5FE91ABC"/>
    <w:rsid w:val="628E734C"/>
    <w:rsid w:val="62BD3A82"/>
    <w:rsid w:val="6580603B"/>
    <w:rsid w:val="66A34D18"/>
    <w:rsid w:val="682A44E1"/>
    <w:rsid w:val="683716EA"/>
    <w:rsid w:val="68C7223A"/>
    <w:rsid w:val="68EF6886"/>
    <w:rsid w:val="6919231C"/>
    <w:rsid w:val="69A35D30"/>
    <w:rsid w:val="6A8739CF"/>
    <w:rsid w:val="6C2B2E22"/>
    <w:rsid w:val="6CE31D99"/>
    <w:rsid w:val="6EAA7DFD"/>
    <w:rsid w:val="6F171BED"/>
    <w:rsid w:val="6F315DAE"/>
    <w:rsid w:val="6FDD1093"/>
    <w:rsid w:val="709C0126"/>
    <w:rsid w:val="73854316"/>
    <w:rsid w:val="73D736B7"/>
    <w:rsid w:val="76022652"/>
    <w:rsid w:val="768501BE"/>
    <w:rsid w:val="76C8601E"/>
    <w:rsid w:val="770C74D3"/>
    <w:rsid w:val="77150144"/>
    <w:rsid w:val="790B7858"/>
    <w:rsid w:val="79356659"/>
    <w:rsid w:val="7AC82DE4"/>
    <w:rsid w:val="7B704A3F"/>
    <w:rsid w:val="7BEA1CFE"/>
    <w:rsid w:val="7D803772"/>
    <w:rsid w:val="7D80556D"/>
    <w:rsid w:val="7D837716"/>
    <w:rsid w:val="7E1826CF"/>
    <w:rsid w:val="7E3713F1"/>
    <w:rsid w:val="7ED86E63"/>
    <w:rsid w:val="7F335FF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99"/>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5">
    <w:name w:val="修订4"/>
    <w:hidden/>
    <w:semiHidden/>
    <w:qFormat/>
    <w:uiPriority w:val="99"/>
    <w:rPr>
      <w:rFonts w:ascii="Calibri" w:hAnsi="Calibri" w:eastAsia="宋体" w:cs="宋体"/>
      <w:kern w:val="2"/>
      <w:sz w:val="21"/>
      <w:szCs w:val="22"/>
      <w:lang w:val="en-US" w:eastAsia="zh-CN" w:bidi="ar-SA"/>
    </w:rPr>
  </w:style>
  <w:style w:type="paragraph" w:customStyle="1" w:styleId="8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3.xml" Type="http://schemas.openxmlformats.org/officeDocument/2006/relationships/customXml"/><Relationship Id="rId11" Target="../customXml/item4.xml" Type="http://schemas.openxmlformats.org/officeDocument/2006/relationships/customXml"/><Relationship Id="rId12" Target="../customXml/item5.xml" Type="http://schemas.openxmlformats.org/officeDocument/2006/relationships/customXml"/><Relationship Id="rId13" Target="../customXml/item6.xml" Type="http://schemas.openxmlformats.org/officeDocument/2006/relationships/customXml"/><Relationship Id="rId14" Target="../customXml/item7.xml" Type="http://schemas.openxmlformats.org/officeDocument/2006/relationships/customXml"/><Relationship Id="rId15" Target="../customXml/item8.xml" Type="http://schemas.openxmlformats.org/officeDocument/2006/relationships/customXml"/><Relationship Id="rId16" Target="../customXml/item9.xml" Type="http://schemas.openxmlformats.org/officeDocument/2006/relationships/customXml"/><Relationship Id="rId17" Target="../customXml/item10.xml" Type="http://schemas.openxmlformats.org/officeDocument/2006/relationships/customXml"/><Relationship Id="rId18" Target="../customXml/item11.xml" Type="http://schemas.openxmlformats.org/officeDocument/2006/relationships/customXml"/><Relationship Id="rId19" Target="../customXml/item12.xml" Type="http://schemas.openxmlformats.org/officeDocument/2006/relationships/customXml"/><Relationship Id="rId2" Target="settings.xml" Type="http://schemas.openxmlformats.org/officeDocument/2006/relationships/settings"/><Relationship Id="rId20" Target="../customXml/item13.xml" Type="http://schemas.openxmlformats.org/officeDocument/2006/relationships/customXml"/><Relationship Id="rId21" Target="../customXml/item14.xml" Type="http://schemas.openxmlformats.org/officeDocument/2006/relationships/customXml"/><Relationship Id="rId22" Target="../customXml/item15.xml" Type="http://schemas.openxmlformats.org/officeDocument/2006/relationships/customXml"/><Relationship Id="rId23" Target="../customXml/item16.xml" Type="http://schemas.openxmlformats.org/officeDocument/2006/relationships/customXml"/><Relationship Id="rId24" Target="../customXml/item17.xml" Type="http://schemas.openxmlformats.org/officeDocument/2006/relationships/customXml"/><Relationship Id="rId25" Target="fontTable.xml" Type="http://schemas.openxmlformats.org/officeDocument/2006/relationships/fontTable"/><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customXml/item2.xml" Type="http://schemas.openxmlformats.org/officeDocument/2006/relationships/custom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10.xml.rels><?xml version="1.0" encoding="UTF-8" standalone="no"?><Relationships xmlns="http://schemas.openxmlformats.org/package/2006/relationships"><Relationship Id="rId1" Target="itemProps10.xml" Type="http://schemas.openxmlformats.org/officeDocument/2006/relationships/customXmlProps"/></Relationships>
</file>

<file path=customXml/_rels/item11.xml.rels><?xml version="1.0" encoding="UTF-8" standalone="no"?><Relationships xmlns="http://schemas.openxmlformats.org/package/2006/relationships"><Relationship Id="rId1" Target="itemProps11.xml" Type="http://schemas.openxmlformats.org/officeDocument/2006/relationships/customXmlProps"/></Relationships>
</file>

<file path=customXml/_rels/item12.xml.rels><?xml version="1.0" encoding="UTF-8" standalone="no"?><Relationships xmlns="http://schemas.openxmlformats.org/package/2006/relationships"><Relationship Id="rId1" Target="itemProps12.xml" Type="http://schemas.openxmlformats.org/officeDocument/2006/relationships/customXmlProps"/></Relationships>
</file>

<file path=customXml/_rels/item13.xml.rels><?xml version="1.0" encoding="UTF-8" standalone="no"?><Relationships xmlns="http://schemas.openxmlformats.org/package/2006/relationships"><Relationship Id="rId1" Target="itemProps13.xml" Type="http://schemas.openxmlformats.org/officeDocument/2006/relationships/customXmlProps"/></Relationships>
</file>

<file path=customXml/_rels/item14.xml.rels><?xml version="1.0" encoding="UTF-8" standalone="no"?><Relationships xmlns="http://schemas.openxmlformats.org/package/2006/relationships"><Relationship Id="rId1" Target="itemProps14.xml" Type="http://schemas.openxmlformats.org/officeDocument/2006/relationships/customXmlProps"/></Relationships>
</file>

<file path=customXml/_rels/item15.xml.rels><?xml version="1.0" encoding="UTF-8" standalone="no"?><Relationships xmlns="http://schemas.openxmlformats.org/package/2006/relationships"><Relationship Id="rId1" Target="itemProps15.xml" Type="http://schemas.openxmlformats.org/officeDocument/2006/relationships/customXmlProps"/></Relationships>
</file>

<file path=customXml/_rels/item16.xml.rels><?xml version="1.0" encoding="UTF-8" standalone="no"?><Relationships xmlns="http://schemas.openxmlformats.org/package/2006/relationships"><Relationship Id="rId1" Target="itemProps16.xml" Type="http://schemas.openxmlformats.org/officeDocument/2006/relationships/customXmlProps"/></Relationships>
</file>

<file path=customXml/_rels/item17.xml.rels><?xml version="1.0" encoding="UTF-8" standalone="no"?><Relationships xmlns="http://schemas.openxmlformats.org/package/2006/relationships"><Relationship Id="rId1" Target="itemProps17.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_rels/item3.xml.rels><?xml version="1.0" encoding="UTF-8" standalone="no"?><Relationships xmlns="http://schemas.openxmlformats.org/package/2006/relationships"><Relationship Id="rId1" Target="itemProps3.xml" Type="http://schemas.openxmlformats.org/officeDocument/2006/relationships/customXmlProps"/></Relationships>
</file>

<file path=customXml/_rels/item4.xml.rels><?xml version="1.0" encoding="UTF-8" standalone="no"?><Relationships xmlns="http://schemas.openxmlformats.org/package/2006/relationships"><Relationship Id="rId1" Target="itemProps4.xml" Type="http://schemas.openxmlformats.org/officeDocument/2006/relationships/customXmlProps"/></Relationships>
</file>

<file path=customXml/_rels/item5.xml.rels><?xml version="1.0" encoding="UTF-8" standalone="no"?><Relationships xmlns="http://schemas.openxmlformats.org/package/2006/relationships"><Relationship Id="rId1" Target="itemProps5.xml" Type="http://schemas.openxmlformats.org/officeDocument/2006/relationships/customXmlProps"/></Relationships>
</file>

<file path=customXml/_rels/item6.xml.rels><?xml version="1.0" encoding="UTF-8" standalone="no"?><Relationships xmlns="http://schemas.openxmlformats.org/package/2006/relationships"><Relationship Id="rId1" Target="itemProps6.xml" Type="http://schemas.openxmlformats.org/officeDocument/2006/relationships/customXmlProps"/></Relationships>
</file>

<file path=customXml/_rels/item7.xml.rels><?xml version="1.0" encoding="UTF-8" standalone="no"?><Relationships xmlns="http://schemas.openxmlformats.org/package/2006/relationships"><Relationship Id="rId1" Target="itemProps7.xml" Type="http://schemas.openxmlformats.org/officeDocument/2006/relationships/customXmlProps"/></Relationships>
</file>

<file path=customXml/_rels/item8.xml.rels><?xml version="1.0" encoding="UTF-8" standalone="no"?><Relationships xmlns="http://schemas.openxmlformats.org/package/2006/relationships"><Relationship Id="rId1" Target="itemProps8.xml" Type="http://schemas.openxmlformats.org/officeDocument/2006/relationships/customXmlProps"/></Relationships>
</file>

<file path=customXml/_rels/item9.xml.rels><?xml version="1.0" encoding="UTF-8" standalone="no"?><Relationships xmlns="http://schemas.openxmlformats.org/package/2006/relationships"><Relationship Id="rId1" Target="itemProps9.xml" Type="http://schemas.openxmlformats.org/officeDocument/2006/relationships/customXmlProps"/></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CD169-7F5C-4082-81B2-6ECAA9AF6149}">
  <ds:schemaRefs/>
</ds:datastoreItem>
</file>

<file path=customXml/itemProps10.xml><?xml version="1.0" encoding="utf-8"?>
<ds:datastoreItem xmlns:ds="http://schemas.openxmlformats.org/officeDocument/2006/customXml" ds:itemID="{7E5C9D84-6DB6-48FB-8632-D5279FC233C8}">
  <ds:schemaRefs/>
</ds:datastoreItem>
</file>

<file path=customXml/itemProps11.xml><?xml version="1.0" encoding="utf-8"?>
<ds:datastoreItem xmlns:ds="http://schemas.openxmlformats.org/officeDocument/2006/customXml" ds:itemID="{D902962D-C8CC-43BF-804A-CD60AE6D7475}">
  <ds:schemaRefs/>
</ds:datastoreItem>
</file>

<file path=customXml/itemProps12.xml><?xml version="1.0" encoding="utf-8"?>
<ds:datastoreItem xmlns:ds="http://schemas.openxmlformats.org/officeDocument/2006/customXml" ds:itemID="{1A3BDF38-4832-4575-A8AB-7A1679738229}">
  <ds:schemaRefs/>
</ds:datastoreItem>
</file>

<file path=customXml/itemProps13.xml><?xml version="1.0" encoding="utf-8"?>
<ds:datastoreItem xmlns:ds="http://schemas.openxmlformats.org/officeDocument/2006/customXml" ds:itemID="{2108FF18-8EC8-4170-A536-1AA8E39CC797}">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990A2D8-324F-45D5-B9CD-07245ED2860B}">
  <ds:schemaRefs/>
</ds:datastoreItem>
</file>

<file path=customXml/itemProps17.xml><?xml version="1.0" encoding="utf-8"?>
<ds:datastoreItem xmlns:ds="http://schemas.openxmlformats.org/officeDocument/2006/customXml" ds:itemID="{509BA638-9D3A-4AA3-A169-FF78BC0E4BE9}">
  <ds:schemaRefs/>
</ds:datastoreItem>
</file>

<file path=customXml/itemProps2.xml><?xml version="1.0" encoding="utf-8"?>
<ds:datastoreItem xmlns:ds="http://schemas.openxmlformats.org/officeDocument/2006/customXml" ds:itemID="{79B37214-9E52-4241-8DD2-9E9CD9442006}">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9114D43D-ED98-4C7B-A3AE-26D78B80CA82}">
  <ds:schemaRefs/>
</ds:datastoreItem>
</file>

<file path=customXml/itemProps5.xml><?xml version="1.0" encoding="utf-8"?>
<ds:datastoreItem xmlns:ds="http://schemas.openxmlformats.org/officeDocument/2006/customXml" ds:itemID="{E6D3D55C-3DD8-4C31-8069-E5508DD844FB}">
  <ds:schemaRefs/>
</ds:datastoreItem>
</file>

<file path=customXml/itemProps6.xml><?xml version="1.0" encoding="utf-8"?>
<ds:datastoreItem xmlns:ds="http://schemas.openxmlformats.org/officeDocument/2006/customXml" ds:itemID="{CF487381-D648-48A1-B1E4-A4540B0D3650}">
  <ds:schemaRefs/>
</ds:datastoreItem>
</file>

<file path=customXml/itemProps7.xml><?xml version="1.0" encoding="utf-8"?>
<ds:datastoreItem xmlns:ds="http://schemas.openxmlformats.org/officeDocument/2006/customXml" ds:itemID="{3A3C3A8D-C5E4-45AF-8B48-C3BF528808AD}">
  <ds:schemaRefs/>
</ds:datastoreItem>
</file>

<file path=customXml/itemProps8.xml><?xml version="1.0" encoding="utf-8"?>
<ds:datastoreItem xmlns:ds="http://schemas.openxmlformats.org/officeDocument/2006/customXml" ds:itemID="{AC86F3EB-DB57-4B60-8A7E-BBB67A22EE0B}">
  <ds:schemaRefs/>
</ds:datastoreItem>
</file>

<file path=customXml/itemProps9.xml><?xml version="1.0" encoding="utf-8"?>
<ds:datastoreItem xmlns:ds="http://schemas.openxmlformats.org/officeDocument/2006/customXml" ds:itemID="{4EA99EC7-8664-4F92-B310-E18C7B4EEA1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4208</Words>
  <Characters>23986</Characters>
  <Lines>199</Lines>
  <Paragraphs>56</Paragraphs>
  <TotalTime>0</TotalTime>
  <ScaleCrop>false</ScaleCrop>
  <LinksUpToDate>false</LinksUpToDate>
  <CharactersWithSpaces>28138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2021-09-06T06:01:00Z</dcterms:created>
  <dc:creator>张淼雯</dc:creator>
  <cp:lastModifiedBy>cib</cp:lastModifiedBy>
  <cp:lastPrinted>2022-01-18T08:37:00Z</cp:lastPrinted>
  <dcterms:modified xsi:type="dcterms:W3CDTF">2026-01-05T11:15:11Z</dcterms:modified>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5466F5ED04264CD88390FDC4DDCA6BAE</vt:lpwstr>
  </property>
</Properties>
</file>