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“苏银理财恒源封闭债权365期</w:t>
      </w:r>
      <w:r>
        <w:rPr>
          <w:rFonts w:hint="eastAsia" w:ascii="楷体" w:hAnsi="楷体" w:eastAsia="楷体"/>
          <w:b/>
          <w:color w:val="auto"/>
          <w:sz w:val="28"/>
          <w:szCs w:val="28"/>
          <w:highlight w:val="none"/>
        </w:rPr>
        <w:t>”理财产品说明书</w:t>
      </w:r>
    </w:p>
    <w:p>
      <w:pPr>
        <w:jc w:val="center"/>
        <w:rPr>
          <w:rFonts w:hint="eastAsia" w:ascii="楷体" w:hAnsi="楷体" w:eastAsia="楷体" w:cs="宋体"/>
          <w:b/>
          <w:bCs/>
          <w:color w:val="auto"/>
          <w:sz w:val="24"/>
          <w:szCs w:val="24"/>
        </w:rPr>
      </w:pPr>
      <w:r>
        <w:rPr>
          <w:rFonts w:hint="eastAsia" w:ascii="楷体" w:hAnsi="楷体" w:eastAsia="楷体" w:cs="宋体"/>
          <w:b/>
          <w:color w:val="auto"/>
          <w:sz w:val="24"/>
          <w:szCs w:val="24"/>
        </w:rPr>
        <w:t>2026年8月版</w:t>
      </w:r>
    </w:p>
    <w:p>
      <w:pPr>
        <w:jc w:val="center"/>
        <w:rPr>
          <w:rFonts w:hint="eastAsia" w:ascii="楷体" w:hAnsi="楷体" w:eastAsia="楷体"/>
          <w:b/>
          <w:bCs/>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苏银理财恒源封闭债权365期</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苏银理财恒源封闭债权365期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Z7003126000335，投资者可依据该编码在中国理财网www.chinawealth.com.cn查询产品信息。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A份额：苏银理财恒源封闭债权365期13月A/J25831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B份额：苏银理财恒源封闭债权365期13月B/J25832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C份额：苏银理财恒源封闭债权365期13月C/J25833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D份额：苏银理财恒源封闭债权365期13月D/J25834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E份额：苏银理财恒源封闭债权365期13月E/J25835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F份额：苏银理财恒源封闭债权365期13月F/J25836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G份额：苏银理财恒源封闭债权365期13月G/J25837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H份额：苏银理财恒源封闭债权365期13月H/J25838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I份额：苏银理财恒源封闭债权365期13月I/J25839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J份额：苏银理财恒源封闭债权365期13月J/J25840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K份额：苏银理财恒源封闭债权365期13月K（新客专属）/J25841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M份额：苏银理财恒源封闭债权365期13月M/J25842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N份额：苏银理财恒源封闭债权365期13月N/J25843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O份额：苏银理财恒源封闭债权365期13月O/J25844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P份额：苏银理财恒源封闭债权365期13月P/J25845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Q份额：苏银理财恒源封闭债权365期13月Q/J25846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R份额：苏银理财恒源封闭债权365期13月R/J25847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S份额：苏银理财恒源封闭债权365期13月S/J25848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U份额：苏银理财恒源封闭债权365期13月U/J25849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V份额：苏银理财恒源封闭债权365期13月V/J25850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W份额：苏银理财恒源封闭债权365期13月W/J25851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Z份额：苏银理财恒源封闭债权365期13月Z/J25852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JS份额：苏银理财恒源封闭债权365期13月JS鑫福款/J25853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LS份额：苏银理财恒源封闭债权365期13月LS/J25854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芙蓉锦程·优选份额：苏银理财恒源封闭债权365期13月（芙蓉锦程·优选）/J25855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3"/>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C份额：面向个人和机构投资者销售，份额销售机构江苏银行仅限代发工资客户、新资金客户、新客户，具体以销售机构系统设置为准。新客户是指首次购买理财产品的客户；新资金的达标条件为“客户前一日资产时点余额”较“前一月末资产月日均余额”的新增额大于5万元；</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bookmarkStart w:id="0" w:name="_GoBack"/>
            <w:bookmarkEnd w:id="0"/>
            <w:r>
              <w:rPr>
                <w:rFonts w:hint="default" w:ascii="楷体" w:hAnsi="楷体" w:eastAsia="楷体" w:cs="宋体"/>
                <w:color w:val="auto"/>
                <w:spacing w:val="-2"/>
                <w:sz w:val="18"/>
                <w:szCs w:val="18"/>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E份额：面向个人和机构投资者销售，份额销售机构江苏银行仅限财富客户、私行客户、企业高管客户，具体以销售机构系统设置为准。江苏银行财富客户指在江苏银行日均资产大于等于200万元的个人客户；江苏银行私行客户指在江苏银行日均资产大于等于600万元的个人客户；企业高管客户是指与江苏银行有业务来往的企业的高管客户；</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G份额：面向个人和机构投资者销售；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H份额：面向个人和机构投资者销售；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I份额：面向个人和机构投资者销售；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M份额：面向个人和机构投资者销售；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O份额：面向个人和机构投资者销售；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Q份额：面向个人和机构投资者销售；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R份额：面向个人和机构投资者销售；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U份额：面向个人和机构投资者销售；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V份额：面向个人和机构投资者销售；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W份额：面向个人和机构投资者销售；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LS份额：面向个人和机构投资者销售；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芙蓉锦程·优选份额：面向个人和机构投资者销售。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E份额：300,000元/10,000元的整数倍；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H份额：1元/1元的整数倍；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I份额：1元/1元的整数倍；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K份额：1元/1元的整数倍；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N份额：1元/1元的整数倍；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O份额：1元/1元的整数倍；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Q份额：1元/1元的整数倍；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R份额：1元/1元的整数倍；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V份额：1元/1元的整数倍；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W份额：1元/1元的整数倍；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芙蓉锦程·优选份额：1元/1元的整数倍。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2026年8月5日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2026年8月11日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2026年8月12日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2027年9月7日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391天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2.40%-2.80%；B份额：2.40%-2.80%；C份额：2.50%-2.90%；D份额：2.50%-2.90%；E份额：2.50%-2.90%；F份额：2.45%-2.85%；G份额：2.35%-2.75%；H份额：2.40%-2.80%；I份额：2.40%-2.80%；J份额：2.35%-2.75%；K份额：2.60%-3.00%；M份额：2.30%-2.70%；N份额：2.40%-2.80%；O份额：2.42%-2.82%；P份额：2.50%-2.90%；Q份额：2.60%-3.00%；R份额：2.65%-3.05%；S份额：2.45%-2.85%；U份额：2.55%-2.95%；V份额：2.50%-2.90%；W份额：2.40%-2.80%；Z份额：2.55%-2.95%；JS份额：2.40%-2.80%；LS份额：2.55%-2.95%；芙蓉锦程·优选份额：2.60%-3.00%。</w:t>
            </w:r>
          </w:p>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A份额：0.20%；B份额：0.30%；C份额：0.20%；D份额：0.20%；E份额：0.20%；F份额：0.20%；G份额：0.30%；H份额：0.20%；I份额：0.15%；J份额：0.20%；K份额：0.10%；M份额：0.35%；N份额：0.25%；O份额：0.30%；P份额：0.15%；Q份额：0.10%；R份额：0.05%；S份额：0.15%；U份额：0.20%；V份额：0.15%；W份额：0.20%；Z份额：0.10%；JS份额：0.20%；LS份额：0.15%；芙蓉锦程·优选份额：0.15%。其中D/H/K/M份额采用一次性提取模式，其他份额采用每日计提模式</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0.20%；B份额：0.10%；C份额：0.10%；D份额：0.10%；E份额：0.10%；F份额：0.15%；G份额：0.15%；H份额：0.20%；I份额：0.25%；J份额：0.25%；K份额：0.10%；M份额：0.15%；N份额：0.15%；O份额：0.08%；P份额：0.15%；Q份额：0.10%；R份额：0.10%；S份额：0.20%；U份额：0.05%；V份额：0.15%；W份额：0.20%；Z份额：0.15%；JS份额：0.20%；LS份额：0.10%；芙蓉锦程·优选份额：0.05%</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lang w:val="en-US" w:eastAsia="zh-CN"/>
        </w:rPr>
      </w:pPr>
      <w:r>
        <w:rPr>
          <w:rFonts w:hint="eastAsia" w:ascii="楷体" w:hAnsi="楷体" w:eastAsia="楷体" w:cs="Times New Roman"/>
          <w:b/>
          <w:color w:val="auto"/>
          <w:sz w:val="21"/>
          <w:szCs w:val="21"/>
          <w:highlight w:val="none"/>
          <w:lang w:val="en-US" w:eastAsia="zh-CN"/>
        </w:rPr>
        <w:t>三、产品托管人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中国工商银行股份有限公司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A份额：江苏常熟农村商业银行股份有限公司/江苏高淳农村商业银行股份有限公司/江苏姜堰农村商业银行股份有限公司/江苏银行股份有限公司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B份额：东莞农村商业银行股份有限公司/晋商银行股份有限公司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C份额：江苏银行股份有限公司/宁夏银行股份有限公司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武汉农村商业银行股份有限公司/浙江安吉农村商业银行股份有限公司/浙江德清农村商业银行股份有限公司/浙江禾城农村商业银行股份有限公司/浙江嘉善农村商业银行股份有限公司/浙江江山农村商业银行股份有限公司/浙江南浔农村商业银行股份有限公司/浙江平湖农村商业银行股份有限公司/浙江绍兴恒信农村商业银行股份有限公司/浙江松阳农村商业银行股份有限公司/浙江桐乡农村商业银行股份有限公司/浙江温州瓯海农村商业银行股份有限公司/浙江义乌农村商业银行股份有限公司/浙江舟山定海海洋农村商业银行股份有限公司/浙江诸暨农村商业银行股份有限公司/浙江岱山农村商业银行股份有限公司/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E份额：江苏常熟农村商业银行股份有限公司/江苏宜兴农村商业银行股份有限公司/江苏银行股份有限公司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东营银行股份有限公司/广东华润银行股份有限公司/广州银行股份有限公司/江苏苏州农村商业银行股份有限公司/莱商银行股份有限公司/齐鲁银行股份有限公司/秦皇岛银行股份有限公司/青岛银行股份有限公司/上海银行股份有限公司/威海银行股份有限公司/郑州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G份额：北京农村商业银行股份有限公司/江苏常熟农村商业银行股份有限公司/江苏苏州农村商业银行股份有限公司/山西银行股份有限公司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杭州联合农村商业银行股份有限公司/宁波慈溪农村商业银行股份有限公司/宁波宁海农村商业银行股份有限公司/宁波余姚农村商业银行股份有限公司/宁波镇海农村商业银行股份有限公司/宁波鄞州农村商业银行股份有限公司/宁波甬城农村商业银行股份有限公司/浙江富阳农村商业银行股份有限公司/浙江杭州余杭农村商业银行股份有限公司/浙江建德农村商业银行股份有限公司/浙江临安农村商业银行股份有限公司/浙江桐庐农村商业银行股份有限公司/浙江萧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杭州联合农村商业银行股份有限公司/宁波慈溪农村商业银行股份有限公司/宁波宁海农村商业银行股份有限公司/宁波余姚农村商业银行股份有限公司/宁波镇海农村商业银行股份有限公司/宁波鄞州农村商业银行股份有限公司/宁波甬城农村商业银行股份有限公司/苏银理财有限责任公司/浙江富阳农村商业银行股份有限公司/浙江杭州余杭农村商业银行股份有限公司/浙江建德农村商业银行股份有限公司/浙江临安农村商业银行股份有限公司/浙江绍兴瑞丰农村商业银行股份有限公司/浙江桐庐农村商业银行股份有限公司/浙江萧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K份额：武汉农村商业银行股份有限公司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N份额：青岛银行股份有限公司/兴业银行股份有限公司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O份额：东莞农村商业银行股份有限公司/湖北银行股份有限公司/九江银行股份有限公司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P份额：东营银行股份有限公司/齐鲁银行股份有限公司/上海银行股份有限公司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Q份额：广西北部湾银行股份有限公司/湖州吴兴农村商业银行股份有限公司/莱商银行股份有限公司/齐鲁银行股份有限公司/青岛银行股份有限公司/日照银行股份有限公司/苏银理财有限责任公司/泰安银行股份有限公司/浙江安吉农村商业银行股份有限公司/浙江苍南农村商业银行股份有限公司/浙江长兴农村商业银行股份有限公司/浙江淳安农村商业银行股份有限公司/浙江德清农村商业银行股份有限公司/浙江东阳农村商业银行股份有限公司/浙江海宁农村商业银行股份有限公司/浙江海盐农村商业银行股份有限公司/浙江禾城农村商业银行股份有限公司/浙江嘉善农村商业银行股份有限公司/浙江建德农村商业银行股份有限公司/浙江江山农村商业银行股份有限公司/浙江金华成泰农村商业银行股份有限公司/浙江开化农村商业银行股份有限公司/浙江兰溪农村商业银行股份有限公司/浙江乐清农村商业银行股份有限公司/浙江临海农村商业银行股份有限公司/浙江龙泉农村商业银行股份有限公司/浙江龙游农村商业银行股份有限公司/浙江南浔农村商业银行股份有限公司/浙江平湖农村商业银行股份有限公司/浙江浦江农村商业银行股份有限公司/浙江青田农村商业银行股份有限公司/浙江瑞安农村商业银行股份有限公司/浙江上虞农村商业银行股份有限公司/浙江绍兴恒信农村商业银行股份有限公司/浙江绍兴瑞丰农村商业银行股份有限公司/浙江遂昌农村商业银行股份有限公司/浙江台州黄岩农村商业银行股份有限公司/浙江台州路桥农村商业银行股份有限公司/浙江泰顺农村商业银行股份有限公司/浙江天台农村商业银行股份有限公司/浙江桐乡农村商业银行股份有限公司/浙江温岭农村商业银行股份有限公司/浙江温州龙湾农村商业银行股份有限公司/浙江温州鹿城农村商业银行股份有限公司/浙江温州瓯海农村商业银行股份有限公司/浙江文成农村商业银行股份有限公司/浙江武义农村商业银行股份有限公司/浙江仙居农村商业银行股份有限公司/浙江新昌农村商业银行股份有限公司/浙江义乌农村商业银行股份有限公司/浙江永嘉农村商业银行股份有限公司/浙江永康农村商业银行股份有限公司/浙江舟山定海海洋农村商业银行股份有限公司/浙江舟山普陀农村商业银行股份有限公司/浙江诸暨农村商业银行股份有限公司/浙江岱山农村商业银行股份有限公司/浙江嵊州农村商业银行股份有限公司/浙江衢州柯城农村商业银行股份有限公司/浙江缙云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R份额：潍坊银行股份有限公司/浙江淳安农村商业银行股份有限公司/浙江海宁农村商业银行股份有限公司/浙江嘉善农村商业银行股份有限公司/浙江青田农村商业银行股份有限公司/浙江永康农村商业银行股份有限公司/浙江岱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S份额：湖州吴兴农村商业银行股份有限公司/浙江安吉农村商业银行股份有限公司/浙江苍南农村商业银行股份有限公司/浙江长兴农村商业银行股份有限公司/浙江德清农村商业银行股份有限公司/浙江东阳农村商业银行股份有限公司/浙江海宁农村商业银行股份有限公司/浙江海盐农村商业银行股份有限公司/浙江禾城农村商业银行股份有限公司/浙江嘉善农村商业银行股份有限公司/浙江建德农村商业银行股份有限公司/浙江江山农村商业银行股份有限公司/浙江金华成泰农村商业银行股份有限公司/浙江开化农村商业银行股份有限公司/浙江兰溪农村商业银行股份有限公司/浙江乐清农村商业银行股份有限公司/浙江临海农村商业银行股份有限公司/浙江龙泉农村商业银行股份有限公司/浙江龙游农村商业银行股份有限公司/浙江南浔农村商业银行股份有限公司/浙江平湖农村商业银行股份有限公司/浙江浦江农村商业银行股份有限公司/浙江青田农村商业银行股份有限公司/浙江瑞安农村商业银行股份有限公司/浙江上虞农村商业银行股份有限公司/浙江绍兴恒信农村商业银行股份有限公司/浙江遂昌农村商业银行股份有限公司/浙江台州黄岩农村商业银行股份有限公司/浙江台州路桥农村商业银行股份有限公司/浙江泰顺农村商业银行股份有限公司/浙江天台农村商业银行股份有限公司/浙江桐乡农村商业银行股份有限公司/浙江温岭农村商业银行股份有限公司/浙江温州龙湾农村商业银行股份有限公司/浙江温州鹿城农村商业银行股份有限公司/浙江温州瓯海农村商业银行股份有限公司/浙江文成农村商业银行股份有限公司/浙江武义农村商业银行股份有限公司/浙江仙居农村商业银行股份有限公司/浙江新昌农村商业银行股份有限公司/浙江义乌农村商业银行股份有限公司/浙江永嘉农村商业银行股份有限公司/浙江永康农村商业银行股份有限公司/浙江舟山定海海洋农村商业银行股份有限公司/浙江舟山普陀农村商业银行股份有限公司/浙江诸暨农村商业银行股份有限公司/浙江岱山农村商业银行股份有限公司/浙江嵊州农村商业银行股份有限公司/浙江衢州柯城农村商业银行股份有限公司/浙江缙云农村商业银行股份有限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U份额：嘉兴银行股份有限公司/江苏银行股份有限公司</w:t>
      </w:r>
    </w:p>
    <w:p>
      <w:pPr>
        <w:ind w:firstLine="420" w:firstLineChars="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V份额：郑州银行股份有限公司/齐鲁银行股份有限公司</w:t>
      </w:r>
    </w:p>
    <w:p>
      <w:pPr>
        <w:ind w:firstLine="420" w:firstLineChars="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W份额：浙江绍兴瑞丰农村商业银行股份有限公司/苏银理财有限责任公司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Z份额：甘肃银行股份有限公司/莱商银行股份有限公司/泰安银行股份有限公司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常熟农村商业银行股份有限公司/江苏大丰农村商业银行股份有限公司/江苏东海农村商业银行股份有限公司/江苏东台农村商业银行股份有限公司/江苏丰县农村商业银行股份有限公司/江苏阜宁农村商业银行股份有限公司/江苏赣榆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海门农村商业银行股份有限公司/江苏淮安农村商业银行股份有限公司/江苏建湖农村商业银行股份有限公司/江苏姜堰农村商业银行股份有限公司/江苏江都农村商业银行股份有限公司/江苏金湖农村商业银行股份有限公司/江苏靖江农村商业银行股份有限公司/江苏句容农村商业银行股份有限公司/江苏民丰农村商业银行股份有限公司/江苏沛县农村商业银行股份有限公司/江苏启东农村商业银行股份有限公司/江苏如东农村商业银行股份有限公司/江苏如皋农村商业银行股份有限公司/江苏射阳农村商业银行股份有限公司/江苏苏州农村商业银行股份有限公司/江苏泰兴农村商业银行股份有限公司/江苏太仓农村商业银行股份有限公司/江苏响水农村商业银行股份有限公司/江苏新沂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张家港农村商业银行股份有限公司/江苏镇江农村商业银行股份有限公司/江苏紫金农村商业银行股份有限公司/江苏邳州农村商业银行股份有限公司/江苏沭阳农村商业银行股份有限公司/江苏泗洪农村商业银行股份有限公司/江苏泗阳农村商业银行股份有限公司/江苏溧水农村商业银行股份有限公司/江苏睢宁农村商业银行股份有限公司/连云港东方农村商业银行股份有限公司/徐州农村商业银行股份有限公司</w:t>
      </w:r>
    </w:p>
    <w:p>
      <w:pPr>
        <w:ind w:firstLine="420" w:firstLineChars="0"/>
        <w:rPr>
          <w:rFonts w:hint="default" w:ascii="楷体" w:hAnsi="楷体" w:eastAsia="楷体" w:cs="宋体"/>
          <w:b w:val="0"/>
          <w:bCs w:val="0"/>
          <w:sz w:val="21"/>
          <w:szCs w:val="21"/>
          <w:highlight w:val="none"/>
          <w:u w:val="none"/>
          <w:lang w:val="en-US" w:eastAsia="zh-CN" w:bidi="ar-SA"/>
        </w:rPr>
      </w:pPr>
      <w:r>
        <w:rPr>
          <w:rFonts w:hint="eastAsia" w:ascii="楷体" w:hAnsi="楷体" w:eastAsia="楷体" w:cs="宋体"/>
          <w:b w:val="0"/>
          <w:bCs w:val="0"/>
          <w:sz w:val="21"/>
          <w:szCs w:val="21"/>
          <w:highlight w:val="none"/>
          <w:u w:val="none"/>
          <w:lang w:val="en-US" w:eastAsia="zh-CN" w:bidi="ar-SA"/>
        </w:rPr>
        <w:t>LS份额：莱商银行股份有限公司/苏银理财有限责任公司</w:t>
      </w:r>
    </w:p>
    <w:p>
      <w:pPr>
        <w:ind w:firstLine="420" w:firstLineChars="0"/>
        <w:rPr>
          <w:rFonts w:hint="default"/>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ind w:firstLine="420"/>
        <w:rPr>
          <w:rFonts w:hint="default" w:ascii="楷体" w:hAnsi="楷体" w:eastAsia="楷体" w:cs="Times New Roman"/>
          <w:bCs/>
          <w:color w:val="auto"/>
          <w:sz w:val="21"/>
          <w:szCs w:val="21"/>
          <w:highlight w:val="none"/>
          <w:u w:val="none"/>
          <w:lang w:val="en-US" w:eastAsia="zh-CN"/>
        </w:rPr>
      </w:pPr>
      <w:r>
        <w:rPr>
          <w:rFonts w:ascii="楷体" w:hAnsi="楷体" w:eastAsia="楷体" w:cs="楷体"/>
          <w:sz w:val="21"/>
          <w:szCs w:val="21"/>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3</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4</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5</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6</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16</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26</w:t>
      </w:r>
      <w:r>
        <w:rPr>
          <w:rFonts w:hint="eastAsia" w:ascii="楷体" w:hAnsi="楷体" w:eastAsia="楷体" w:cs="楷体"/>
          <w:sz w:val="21"/>
          <w:szCs w:val="21"/>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1"/>
          <w:szCs w:val="21"/>
          <w:lang w:val="en-US" w:eastAsia="zh-CN"/>
        </w:rPr>
        <w:t>27</w:t>
      </w:r>
      <w:r>
        <w:rPr>
          <w:rFonts w:hint="eastAsia" w:ascii="楷体" w:hAnsi="楷体" w:eastAsia="楷体" w:cs="楷体"/>
          <w:sz w:val="21"/>
          <w:szCs w:val="21"/>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r>
        <w:rPr>
          <w:rFonts w:hint="eastAsia" w:ascii="楷体" w:hAnsi="楷体" w:eastAsia="楷体" w:cs="楷体"/>
          <w:sz w:val="21"/>
          <w:szCs w:val="21"/>
          <w:lang w:val="en-US" w:eastAsia="zh-CN"/>
        </w:rPr>
        <w:t>28</w:t>
      </w:r>
      <w:r>
        <w:rPr>
          <w:rFonts w:hint="eastAsia" w:ascii="楷体" w:hAnsi="楷体" w:eastAsia="楷体" w:cs="楷体"/>
          <w:sz w:val="21"/>
          <w:szCs w:val="21"/>
          <w:lang w:eastAsia="zh-CN"/>
        </w:rPr>
        <w:t>）收益凭证：融资人为国都证券股份有限公司。融资人经营正常，是依法设立的持牌金融机构，主要股东为浙商证券股份有限公司、中诚信托有限责任公司、北京国际信托有限公司，实际控制人为浙江省交通投资集团有限公司。（</w:t>
      </w:r>
      <w:r>
        <w:rPr>
          <w:rFonts w:hint="eastAsia" w:ascii="楷体" w:hAnsi="楷体" w:eastAsia="楷体" w:cs="楷体"/>
          <w:sz w:val="21"/>
          <w:szCs w:val="21"/>
          <w:lang w:val="en-US" w:eastAsia="zh-CN"/>
        </w:rPr>
        <w:t>29</w:t>
      </w:r>
      <w:r>
        <w:rPr>
          <w:rFonts w:hint="eastAsia" w:ascii="楷体" w:hAnsi="楷体" w:eastAsia="楷体" w:cs="楷体"/>
          <w:sz w:val="21"/>
          <w:szCs w:val="21"/>
          <w:lang w:eastAsia="zh-CN"/>
        </w:rPr>
        <w:t>）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w:t>
      </w:r>
      <w:r>
        <w:rPr>
          <w:rFonts w:hint="eastAsia" w:ascii="楷体" w:hAnsi="楷体" w:eastAsia="楷体" w:cs="楷体"/>
          <w:sz w:val="21"/>
          <w:szCs w:val="21"/>
          <w:lang w:val="en-US" w:eastAsia="zh-CN"/>
        </w:rPr>
        <w:t>30</w:t>
      </w:r>
      <w:r>
        <w:rPr>
          <w:rFonts w:hint="eastAsia" w:ascii="楷体" w:hAnsi="楷体" w:eastAsia="楷体" w:cs="楷体"/>
          <w:sz w:val="21"/>
          <w:szCs w:val="21"/>
          <w:lang w:eastAsia="zh-CN"/>
        </w:rPr>
        <w:t>）收益凭证：融资人为华鑫证券有限责任公司。融资人经营正常，是依法设立的持牌金融机构，主要股东为上海华鑫股份有限公司，实际控制人为上海市国有资产监督管理委员会。（</w:t>
      </w:r>
      <w:r>
        <w:rPr>
          <w:rFonts w:hint="eastAsia" w:ascii="楷体" w:hAnsi="楷体" w:eastAsia="楷体" w:cs="楷体"/>
          <w:sz w:val="21"/>
          <w:szCs w:val="21"/>
          <w:lang w:val="en-US" w:eastAsia="zh-CN"/>
        </w:rPr>
        <w:t>31</w:t>
      </w:r>
      <w:r>
        <w:rPr>
          <w:rFonts w:hint="eastAsia" w:ascii="楷体" w:hAnsi="楷体" w:eastAsia="楷体" w:cs="楷体"/>
          <w:sz w:val="21"/>
          <w:szCs w:val="21"/>
          <w:lang w:eastAsia="zh-CN"/>
        </w:rPr>
        <w:t>）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w:t>
      </w:r>
      <w:r>
        <w:rPr>
          <w:rFonts w:hint="eastAsia" w:ascii="楷体" w:hAnsi="楷体" w:eastAsia="楷体" w:cs="楷体"/>
          <w:sz w:val="21"/>
          <w:szCs w:val="21"/>
          <w:lang w:val="en-US" w:eastAsia="zh-CN"/>
        </w:rPr>
        <w:t>32</w:t>
      </w:r>
      <w:r>
        <w:rPr>
          <w:rFonts w:hint="eastAsia" w:ascii="楷体" w:hAnsi="楷体" w:eastAsia="楷体" w:cs="楷体"/>
          <w:sz w:val="21"/>
          <w:szCs w:val="21"/>
          <w:lang w:eastAsia="zh-CN"/>
        </w:rPr>
        <w:t>）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w:t>
      </w:r>
      <w:r>
        <w:rPr>
          <w:rFonts w:hint="eastAsia" w:ascii="楷体" w:hAnsi="楷体" w:eastAsia="楷体" w:cs="楷体"/>
          <w:sz w:val="21"/>
          <w:szCs w:val="21"/>
          <w:lang w:val="en-US" w:eastAsia="zh-CN"/>
        </w:rPr>
        <w:t>33</w:t>
      </w:r>
      <w:r>
        <w:rPr>
          <w:rFonts w:hint="eastAsia" w:ascii="楷体" w:hAnsi="楷体" w:eastAsia="楷体" w:cs="楷体"/>
          <w:sz w:val="21"/>
          <w:szCs w:val="21"/>
          <w:lang w:eastAsia="zh-CN"/>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1"/>
          <w:szCs w:val="21"/>
          <w:lang w:val="en-US" w:eastAsia="zh-CN"/>
        </w:rPr>
        <w:t>34</w:t>
      </w:r>
      <w:r>
        <w:rPr>
          <w:rFonts w:hint="eastAsia" w:ascii="楷体" w:hAnsi="楷体" w:eastAsia="楷体" w:cs="楷体"/>
          <w:sz w:val="21"/>
          <w:szCs w:val="21"/>
          <w:lang w:eastAsia="zh-CN"/>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1"/>
          <w:szCs w:val="21"/>
          <w:lang w:val="en-US" w:eastAsia="zh-CN"/>
        </w:rPr>
        <w:t>35</w:t>
      </w:r>
      <w:r>
        <w:rPr>
          <w:rFonts w:hint="eastAsia" w:ascii="楷体" w:hAnsi="楷体" w:eastAsia="楷体" w:cs="楷体"/>
          <w:sz w:val="21"/>
          <w:szCs w:val="21"/>
          <w:lang w:eastAsia="zh-CN"/>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r>
        <w:rPr>
          <w:rFonts w:hint="default" w:ascii="Calibri" w:hAnsi="Calibri" w:eastAsia="楷体" w:cs="Calibri"/>
          <w:b w:val="0"/>
          <w:bCs w:val="0"/>
          <w:sz w:val="21"/>
          <w:szCs w:val="21"/>
        </w:rPr>
        <w:t>。</w:t>
      </w:r>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15"/>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反映资产净值，确定理财产品资产净值，并为理财产品的申购、赎回和兑付提供计价依据。</w:t>
      </w:r>
    </w:p>
    <w:p>
      <w:pPr>
        <w:pStyle w:val="15"/>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jc w:val="left"/>
        <w:rPr>
          <w:rFonts w:ascii="楷体" w:hAnsi="楷体" w:eastAsia="楷体"/>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42"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3"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41"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44"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E4E29"/>
    <w:multiLevelType w:val="multilevel"/>
    <w:tmpl w:val="804E4E2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9C11E984"/>
    <w:multiLevelType w:val="multilevel"/>
    <w:tmpl w:val="9C11E98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9AC3AA7"/>
    <w:multiLevelType w:val="multilevel"/>
    <w:tmpl w:val="A9AC3AA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BCECA0B4"/>
    <w:multiLevelType w:val="multilevel"/>
    <w:tmpl w:val="BCECA0B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BE8A4F4C"/>
    <w:multiLevelType w:val="multilevel"/>
    <w:tmpl w:val="BE8A4F4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D1EB1714"/>
    <w:multiLevelType w:val="multilevel"/>
    <w:tmpl w:val="D1EB1714"/>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E0294EC7"/>
    <w:multiLevelType w:val="multilevel"/>
    <w:tmpl w:val="E0294EC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F585BF25"/>
    <w:multiLevelType w:val="multilevel"/>
    <w:tmpl w:val="F585BF2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0D591E5"/>
    <w:multiLevelType w:val="multilevel"/>
    <w:tmpl w:val="10D591E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450273B"/>
    <w:multiLevelType w:val="multilevel"/>
    <w:tmpl w:val="1450273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AD50295"/>
    <w:multiLevelType w:val="multilevel"/>
    <w:tmpl w:val="1AD5029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1BCBBCF0"/>
    <w:multiLevelType w:val="multilevel"/>
    <w:tmpl w:val="1BCBBCF0"/>
    <w:lvl w:ilvl="0" w:tentative="0">
      <w:start w:val="1"/>
      <w:numFmt w:val="decimalEnclosedCircleChinese"/>
      <w:suff w:val="nothing"/>
      <w:lvlText w:val="%1　"/>
      <w:lvlJc w:val="left"/>
      <w:pPr>
        <w:ind w:left="0" w:firstLine="400"/>
      </w:pPr>
      <w:rPr>
        <w:rFonts w:hint="eastAsia"/>
        <w:b w:val="0"/>
        <w:bCs w:val="0"/>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12">
    <w:nsid w:val="4A51D704"/>
    <w:multiLevelType w:val="multilevel"/>
    <w:tmpl w:val="4A51D704"/>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CD1E351"/>
    <w:multiLevelType w:val="multilevel"/>
    <w:tmpl w:val="4CD1E35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8B298F7"/>
    <w:multiLevelType w:val="multilevel"/>
    <w:tmpl w:val="68B298F7"/>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1"/>
  </w:num>
  <w:num w:numId="2">
    <w:abstractNumId w:val="4"/>
  </w:num>
  <w:num w:numId="3">
    <w:abstractNumId w:val="9"/>
  </w:num>
  <w:num w:numId="4">
    <w:abstractNumId w:val="5"/>
  </w:num>
  <w:num w:numId="5">
    <w:abstractNumId w:val="14"/>
  </w:num>
  <w:num w:numId="6">
    <w:abstractNumId w:val="0"/>
  </w:num>
  <w:num w:numId="7">
    <w:abstractNumId w:val="3"/>
  </w:num>
  <w:num w:numId="8">
    <w:abstractNumId w:val="7"/>
  </w:num>
  <w:num w:numId="9">
    <w:abstractNumId w:val="13"/>
  </w:num>
  <w:num w:numId="10">
    <w:abstractNumId w:val="8"/>
  </w:num>
  <w:num w:numId="11">
    <w:abstractNumId w:val="1"/>
  </w:num>
  <w:num w:numId="12">
    <w:abstractNumId w:val="6"/>
  </w:num>
  <w:num w:numId="13">
    <w:abstractNumId w:val="10"/>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NotTrackMoves/>
  <w:documentProtection w:enforcement="0"/>
  <w:defaultTabStop w:val="420"/>
  <w:displayHorizontalDrawingGridEvery w:val="1"/>
  <w:displayVerticalDrawingGridEvery w:val="1"/>
  <w:noPunctuationKerning w:val="1"/>
  <w:characterSpacingControl w:val="doNotCompress"/>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4348"/>
    <w:rsid w:val="26425F98"/>
    <w:rsid w:val="566A0D8C"/>
    <w:rsid w:val="66BA3467"/>
    <w:rsid w:val="67C35D1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4">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5">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6">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7">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8">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9">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10">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2">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9">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2">
    <w:name w:val="Grid Table 4 - Accent 1"/>
    <w:basedOn w:val="3"/>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paragraph" w:styleId="13">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4">
    <w:name w:val="annotation text"/>
    <w:basedOn w:val="1"/>
    <w:unhideWhenUsed/>
    <w:qFormat/>
    <w:uiPriority w:val="99"/>
    <w:pPr>
      <w:jc w:val="left"/>
    </w:pPr>
  </w:style>
  <w:style w:type="paragraph" w:styleId="15">
    <w:name w:val="Body Text"/>
    <w:basedOn w:val="1"/>
    <w:next w:val="1"/>
    <w:qFormat/>
    <w:uiPriority w:val="1"/>
    <w:pPr>
      <w:spacing w:before="162"/>
      <w:ind w:left="120"/>
      <w:jc w:val="left"/>
    </w:pPr>
    <w:rPr>
      <w:rFonts w:ascii="宋体" w:hAnsi="Times New Roman"/>
      <w:sz w:val="20"/>
      <w:szCs w:val="21"/>
    </w:rPr>
  </w:style>
  <w:style w:type="paragraph" w:styleId="16">
    <w:name w:val="Date"/>
    <w:basedOn w:val="1"/>
    <w:next w:val="1"/>
    <w:unhideWhenUsed/>
    <w:qFormat/>
    <w:uiPriority w:val="99"/>
    <w:pPr>
      <w:ind w:left="100"/>
    </w:pPr>
  </w:style>
  <w:style w:type="paragraph" w:styleId="17">
    <w:name w:val="endnote text"/>
    <w:basedOn w:val="1"/>
    <w:semiHidden/>
    <w:unhideWhenUsed/>
    <w:qFormat/>
    <w:uiPriority w:val="99"/>
    <w:pPr>
      <w:spacing w:after="0" w:line="240" w:lineRule="auto"/>
    </w:pPr>
    <w:rPr>
      <w:sz w:val="20"/>
      <w:szCs w:val="20"/>
    </w:rPr>
  </w:style>
  <w:style w:type="paragraph" w:styleId="18">
    <w:name w:val="Balloon Text"/>
    <w:basedOn w:val="1"/>
    <w:unhideWhenUsed/>
    <w:qFormat/>
    <w:uiPriority w:val="99"/>
    <w:rPr>
      <w:sz w:val="18"/>
      <w:szCs w:val="18"/>
    </w:rPr>
  </w:style>
  <w:style w:type="paragraph" w:styleId="19">
    <w:name w:val="footer"/>
    <w:basedOn w:val="1"/>
    <w:unhideWhenUsed/>
    <w:qFormat/>
    <w:uiPriority w:val="99"/>
    <w:pPr>
      <w:tabs>
        <w:tab w:val="center" w:pos="4153"/>
        <w:tab w:val="right" w:pos="8306"/>
      </w:tabs>
      <w:jc w:val="left"/>
    </w:pPr>
    <w:rPr>
      <w:sz w:val="18"/>
      <w:szCs w:val="18"/>
    </w:rPr>
  </w:style>
  <w:style w:type="paragraph" w:styleId="20">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21">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2">
    <w:name w:val="footnote text"/>
    <w:basedOn w:val="1"/>
    <w:semiHidden/>
    <w:unhideWhenUsed/>
    <w:qFormat/>
    <w:uiPriority w:val="99"/>
    <w:pPr>
      <w:jc w:val="left"/>
    </w:pPr>
    <w:rPr>
      <w:sz w:val="18"/>
      <w:szCs w:val="18"/>
    </w:rPr>
  </w:style>
  <w:style w:type="paragraph" w:styleId="23">
    <w:name w:val="table of figures"/>
    <w:basedOn w:val="1"/>
    <w:next w:val="1"/>
    <w:unhideWhenUsed/>
    <w:qFormat/>
    <w:uiPriority w:val="99"/>
    <w:pPr>
      <w:spacing w:after="0" w:afterAutospacing="0"/>
    </w:pPr>
  </w:style>
  <w:style w:type="paragraph" w:styleId="2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5">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6">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7">
    <w:name w:val="annotation subject"/>
    <w:basedOn w:val="14"/>
    <w:next w:val="14"/>
    <w:link w:val="196"/>
    <w:unhideWhenUsed/>
    <w:qFormat/>
    <w:uiPriority w:val="99"/>
    <w:rPr>
      <w:b/>
      <w:bCs/>
    </w:rPr>
  </w:style>
  <w:style w:type="table" w:styleId="28">
    <w:name w:val="Table Grid"/>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30">
    <w:name w:val="Strong"/>
    <w:qFormat/>
    <w:uiPriority w:val="22"/>
    <w:rPr>
      <w:rFonts w:ascii="Times New Roman" w:hAnsi="Times New Roman" w:eastAsia="宋体" w:cs="Times New Roman"/>
      <w:b/>
      <w:bCs/>
    </w:rPr>
  </w:style>
  <w:style w:type="character" w:styleId="31">
    <w:name w:val="endnote reference"/>
    <w:basedOn w:val="29"/>
    <w:semiHidden/>
    <w:unhideWhenUsed/>
    <w:qFormat/>
    <w:uiPriority w:val="99"/>
    <w:rPr>
      <w:vertAlign w:val="superscript"/>
    </w:rPr>
  </w:style>
  <w:style w:type="character" w:styleId="32">
    <w:name w:val="FollowedHyperlink"/>
    <w:basedOn w:val="29"/>
    <w:semiHidden/>
    <w:unhideWhenUsed/>
    <w:qFormat/>
    <w:uiPriority w:val="99"/>
    <w:rPr>
      <w:color w:val="954F72" w:themeColor="followedHyperlink"/>
      <w:u w:val="single"/>
      <w14:textFill>
        <w14:solidFill>
          <w14:schemeClr w14:val="folHlink"/>
        </w14:solidFill>
      </w14:textFill>
    </w:rPr>
  </w:style>
  <w:style w:type="character" w:styleId="33">
    <w:name w:val="Emphasis"/>
    <w:basedOn w:val="29"/>
    <w:qFormat/>
    <w:uiPriority w:val="20"/>
    <w:rPr>
      <w:i/>
      <w:iCs/>
    </w:rPr>
  </w:style>
  <w:style w:type="character" w:styleId="34">
    <w:name w:val="Hyperlink"/>
    <w:unhideWhenUsed/>
    <w:qFormat/>
    <w:uiPriority w:val="99"/>
    <w:rPr>
      <w:rFonts w:ascii="Times New Roman" w:hAnsi="Times New Roman" w:eastAsia="宋体" w:cs="Times New Roman"/>
      <w:color w:val="0000FF"/>
      <w:u w:val="single"/>
    </w:rPr>
  </w:style>
  <w:style w:type="character" w:styleId="35">
    <w:name w:val="annotation reference"/>
    <w:unhideWhenUsed/>
    <w:qFormat/>
    <w:uiPriority w:val="99"/>
    <w:rPr>
      <w:rFonts w:ascii="Times New Roman" w:hAnsi="Times New Roman" w:eastAsia="宋体" w:cs="Times New Roman"/>
      <w:sz w:val="21"/>
      <w:szCs w:val="21"/>
    </w:rPr>
  </w:style>
  <w:style w:type="character" w:styleId="36">
    <w:name w:val="footnote reference"/>
    <w:semiHidden/>
    <w:unhideWhenUsed/>
    <w:qFormat/>
    <w:uiPriority w:val="99"/>
    <w:rPr>
      <w:rFonts w:ascii="Times New Roman" w:hAnsi="Times New Roman" w:eastAsia="宋体" w:cs="Times New Roman"/>
      <w:vertAlign w:val="superscript"/>
    </w:rPr>
  </w:style>
  <w:style w:type="table" w:customStyle="1" w:styleId="37">
    <w:name w:val="Table Grid Light"/>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8">
    <w:name w:val="Plain Table 1"/>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9">
    <w:name w:val="Plain Table 2"/>
    <w:basedOn w:val="3"/>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40">
    <w:name w:val="Plain Table 3"/>
    <w:basedOn w:val="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4"/>
    <w:basedOn w:val="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Plain Table 5"/>
    <w:basedOn w:val="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3">
    <w:name w:val="Grid Table 1 Light"/>
    <w:basedOn w:val="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4">
    <w:name w:val="Grid Table 1 Light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5">
    <w:name w:val="Grid Table 1 Light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6">
    <w:name w:val="Grid Table 1 Light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7">
    <w:name w:val="Grid Table 1 Light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8">
    <w:name w:val="Grid Table 1 Light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9">
    <w:name w:val="Grid Table 1 Light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50">
    <w:name w:val="Grid Table 2"/>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1">
    <w:name w:val="Grid Table 2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2">
    <w:name w:val="Grid Table 2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3">
    <w:name w:val="Grid Table 2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4">
    <w:name w:val="Grid Table 2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5">
    <w:name w:val="Grid Table 2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6">
    <w:name w:val="Grid Table 2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7">
    <w:name w:val="Grid Table 3"/>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8">
    <w:name w:val="Grid Table 3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9">
    <w:name w:val="Grid Table 3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0">
    <w:name w:val="Grid Table 3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1">
    <w:name w:val="Grid Table 3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2">
    <w:name w:val="Grid Table 3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3">
    <w:name w:val="Grid Table 3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4">
    <w:name w:val="Grid Table 4"/>
    <w:basedOn w:val="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5">
    <w:name w:val="Grid Table 4 - Accent 2"/>
    <w:basedOn w:val="3"/>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3"/>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3"/>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3"/>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3"/>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3"/>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3"/>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3"/>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3"/>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3"/>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3"/>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3"/>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3"/>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3"/>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3"/>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3"/>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3"/>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3"/>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3"/>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3"/>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3"/>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3"/>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3"/>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3"/>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3"/>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3"/>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3"/>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3"/>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3"/>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3"/>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3"/>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3"/>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3"/>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3"/>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3"/>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3"/>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3"/>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3"/>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3"/>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3"/>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3"/>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3"/>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3"/>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3"/>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3"/>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3"/>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3"/>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3"/>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3"/>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3"/>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3"/>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3"/>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3"/>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3"/>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3"/>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3"/>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3"/>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3"/>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3"/>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3"/>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3"/>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3"/>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3"/>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3"/>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3"/>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3"/>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3"/>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3"/>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9"/>
    <w:qFormat/>
    <w:uiPriority w:val="9"/>
    <w:rPr>
      <w:rFonts w:ascii="Arial" w:hAnsi="Arial" w:eastAsia="Arial" w:cs="Arial"/>
      <w:color w:val="2E75B6" w:themeColor="accent1" w:themeShade="BF"/>
      <w:sz w:val="40"/>
      <w:szCs w:val="40"/>
    </w:rPr>
  </w:style>
  <w:style w:type="character" w:customStyle="1" w:styleId="162">
    <w:name w:val="Heading 2 Char"/>
    <w:basedOn w:val="29"/>
    <w:qFormat/>
    <w:uiPriority w:val="9"/>
    <w:rPr>
      <w:rFonts w:ascii="Arial" w:hAnsi="Arial" w:eastAsia="Arial" w:cs="Arial"/>
      <w:color w:val="2E75B6" w:themeColor="accent1" w:themeShade="BF"/>
      <w:sz w:val="32"/>
      <w:szCs w:val="32"/>
    </w:rPr>
  </w:style>
  <w:style w:type="character" w:customStyle="1" w:styleId="163">
    <w:name w:val="Heading 3 Char"/>
    <w:basedOn w:val="29"/>
    <w:qFormat/>
    <w:uiPriority w:val="9"/>
    <w:rPr>
      <w:rFonts w:ascii="Arial" w:hAnsi="Arial" w:eastAsia="Arial" w:cs="Arial"/>
      <w:color w:val="2E75B6" w:themeColor="accent1" w:themeShade="BF"/>
      <w:sz w:val="28"/>
      <w:szCs w:val="28"/>
    </w:rPr>
  </w:style>
  <w:style w:type="character" w:customStyle="1" w:styleId="164">
    <w:name w:val="Heading 4 Char"/>
    <w:basedOn w:val="29"/>
    <w:link w:val="7"/>
    <w:qFormat/>
    <w:uiPriority w:val="9"/>
    <w:rPr>
      <w:rFonts w:ascii="Arial" w:hAnsi="Arial" w:eastAsia="Arial" w:cs="Arial"/>
      <w:i/>
      <w:iCs/>
      <w:color w:val="2E75B6" w:themeColor="accent1" w:themeShade="BF"/>
    </w:rPr>
  </w:style>
  <w:style w:type="character" w:customStyle="1" w:styleId="165">
    <w:name w:val="Heading 5 Char"/>
    <w:basedOn w:val="29"/>
    <w:link w:val="8"/>
    <w:qFormat/>
    <w:uiPriority w:val="9"/>
    <w:rPr>
      <w:rFonts w:ascii="Arial" w:hAnsi="Arial" w:eastAsia="Arial" w:cs="Arial"/>
      <w:color w:val="2E75B6" w:themeColor="accent1" w:themeShade="BF"/>
    </w:rPr>
  </w:style>
  <w:style w:type="character" w:customStyle="1" w:styleId="166">
    <w:name w:val="Heading 6 Char"/>
    <w:basedOn w:val="29"/>
    <w:link w:val="9"/>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9"/>
    <w:link w:val="10"/>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9"/>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9"/>
    <w:link w:val="12"/>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9"/>
    <w:qFormat/>
    <w:uiPriority w:val="10"/>
    <w:rPr>
      <w:rFonts w:ascii="Arial" w:hAnsi="Arial" w:eastAsia="Arial" w:cs="Arial"/>
      <w:spacing w:val="-10"/>
      <w:sz w:val="56"/>
      <w:szCs w:val="56"/>
    </w:rPr>
  </w:style>
  <w:style w:type="character" w:customStyle="1" w:styleId="171">
    <w:name w:val="Subtitle Char"/>
    <w:basedOn w:val="29"/>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9"/>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9"/>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9"/>
    <w:qFormat/>
    <w:uiPriority w:val="30"/>
    <w:rPr>
      <w:i/>
      <w:iCs/>
      <w:color w:val="2E75B6" w:themeColor="accent1" w:themeShade="BF"/>
    </w:rPr>
  </w:style>
  <w:style w:type="character" w:customStyle="1" w:styleId="177">
    <w:name w:val="Intense Reference"/>
    <w:basedOn w:val="29"/>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9"/>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9"/>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9"/>
    <w:qFormat/>
    <w:uiPriority w:val="33"/>
    <w:rPr>
      <w:b/>
      <w:bCs/>
      <w:i/>
      <w:iCs/>
      <w:spacing w:val="5"/>
    </w:rPr>
  </w:style>
  <w:style w:type="character" w:customStyle="1" w:styleId="182">
    <w:name w:val="Header Char"/>
    <w:basedOn w:val="29"/>
    <w:qFormat/>
    <w:uiPriority w:val="99"/>
  </w:style>
  <w:style w:type="character" w:customStyle="1" w:styleId="183">
    <w:name w:val="Footer Char"/>
    <w:basedOn w:val="29"/>
    <w:qFormat/>
    <w:uiPriority w:val="99"/>
  </w:style>
  <w:style w:type="character" w:customStyle="1" w:styleId="184">
    <w:name w:val="Footnote Text Char"/>
    <w:basedOn w:val="29"/>
    <w:semiHidden/>
    <w:qFormat/>
    <w:uiPriority w:val="99"/>
    <w:rPr>
      <w:sz w:val="20"/>
      <w:szCs w:val="20"/>
    </w:rPr>
  </w:style>
  <w:style w:type="character" w:customStyle="1" w:styleId="185">
    <w:name w:val="Endnote Text Char"/>
    <w:basedOn w:val="29"/>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4"/>
    <w:qFormat/>
    <w:uiPriority w:val="1"/>
    <w:rPr>
      <w:rFonts w:ascii="黑体" w:hAnsi="Times New Roman" w:eastAsia="黑体" w:cs="Times New Roman"/>
      <w:b/>
      <w:bCs/>
      <w:sz w:val="36"/>
      <w:szCs w:val="36"/>
    </w:rPr>
  </w:style>
  <w:style w:type="character" w:customStyle="1" w:styleId="188">
    <w:name w:val="标题 2 Char"/>
    <w:link w:val="5"/>
    <w:qFormat/>
    <w:uiPriority w:val="9"/>
    <w:rPr>
      <w:rFonts w:ascii="Cambria" w:hAnsi="Cambria" w:eastAsia="宋体" w:cs="Times New Roman"/>
      <w:b/>
      <w:bCs/>
      <w:sz w:val="32"/>
      <w:szCs w:val="32"/>
    </w:rPr>
  </w:style>
  <w:style w:type="character" w:customStyle="1" w:styleId="189">
    <w:name w:val="标题 3 Char"/>
    <w:link w:val="6"/>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9"/>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7"/>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匿名用户</cp:lastModifiedBy>
  <dcterms:modified xsi:type="dcterms:W3CDTF">2026-07-23T10:52:09Z</dcterms:modified>
  <cp:revision>12</cp:revision>
</cp:coreProperties>
</file>

<file path=customXml/item3.xml><?xml version="1.0" encoding="utf-8"?>
<Properties xmlns="http://schemas.openxmlformats.org/officeDocument/2006/extended-properties" xmlns:vt="http://schemas.openxmlformats.org/officeDocument/2006/docPropsVTypes">
  <Application>onlyoffice/8.1.3.4</Application>
  <DocSecurity>0</DocSecurity>
  <LinksUpToDate>false</LinksUpToDate>
  <ScaleCrop>false</ScaleCrop>
  <Template>Normal.dotm</Template>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9d065b-a278-46d2-b585-72b518c4a1fd}">
  <ds:schemaRefs/>
</ds:datastoreItem>
</file>

<file path=customXml/itemProps3.xml><?xml version="1.0" encoding="utf-8"?>
<ds:datastoreItem xmlns:ds="http://schemas.openxmlformats.org/officeDocument/2006/customXml" ds:itemID="{0dc869e5-19ba-4e30-b072-716e1165d160}">
  <ds:schemaRefs/>
</ds:datastoreItem>
</file>

<file path=customXml/itemProps4.xml><?xml version="1.0" encoding="utf-8"?>
<ds:datastoreItem xmlns:ds="http://schemas.openxmlformats.org/officeDocument/2006/customXml" ds:itemID="{3fb39794-4c6d-4dad-aa26-3ad129b7ca7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ScaleCrop>false</ScaleCrop>
  <LinksUpToDate>false</LinksUpToDate>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jsyh</cp:lastModifiedBy>
  <dcterms:modified xsi:type="dcterms:W3CDTF">2026-07-30T11:27:10Z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