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925"/>
        <w:gridCol w:w="7523"/>
      </w:tblGrid>
      <w:tr w:rsidTr="008F58A3">
        <w:tblPrEx>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448"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青银理财璀璨人生成就系列人民币理财计划2026年572期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青银理财成就系列（低波共享）2026年572期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CCCJGX26572</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A份额，销售代码【CCCJGX26572A】，销售名称：青银理财成就系列（低波共享）2026年572期A份额,销售对象【大连银行及各销售服务渠道个人及机构客户，具体客户类型以销售机构规定为准】</w:t>
              <w:br/>
              <w:t>B份额，销售代码【CCCJGX26572B】，销售名称：青银理财成就系列（低波共享）2026年572期B份额,销售对象【甘肃银行及各销售服务渠道个人及机构客户，具体客户类型以销售机构规定为准】</w:t>
              <w:br/>
              <w:t>C份额，销售代码【CCCJGX26572C】，销售名称：青银理财成就系列（低波共享）2026年572期C份额（蒙商银行专属）,销售对象【蒙商银行及各销售服务渠道个人及机构客户，具体客户类型以销售机构规定为准】</w:t>
              <w:br/>
              <w:t>D份额，销售代码【CCCJGX26572D】，销售名称：青银理财成就系列（低波共享）2026年572期D份额（八一限定）,销售对象【厦门银行及各销售服务渠道个人及机构客户，具体客户类型以销售机构规定为准】</w:t>
              <w:br/>
              <w:t>E份额，销售代码【CCCJGX26572E】，销售名称：青银理财成就系列（低波共享）2026年572期E份额（九江银行回馈专属）,销售对象【九江银行及各销售服务渠道个人及机构客户，具体客户类型以销售机构规定为准】</w:t>
              <w:br/>
              <w:t>F份额，销售代码【CCCJGX26572F】，销售名称：青银理财成就系列（低波共享）2026年572期F份额,销售对象【浙江省联社及各销售服务渠道个人及机构客户，具体客户类型以销售机构规定为准】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Z7003526000596，可通过中国理财网（http://www.chinawealth.com.cn）查询</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2026年08月12日</w:t>
            </w:r>
            <w:r>
              <w:rPr>
                <w:rFonts w:ascii="新宋体" w:eastAsia="新宋体" w:hAnsi="新宋体" w:hint="eastAsia"/>
              </w:rPr>
              <w:t xml:space="preserve"> 9:00至</w:t>
            </w:r>
            <w:r>
              <w:rPr>
                <w:rFonts w:ascii="新宋体" w:eastAsia="新宋体" w:hAnsi="新宋体"/>
              </w:rPr>
              <w:t>2026年08月18日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2026年08月19日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2027年02月24日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189</w:t>
            </w:r>
            <w:r>
              <w:rPr>
                <w:rFonts w:ascii="新宋体" w:eastAsia="新宋体" w:hAnsi="新宋体" w:hint="eastAsia"/>
              </w:rPr>
              <w:t>天</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D份额规模上限100000万，规模下限1万</w:t>
              <w:br/>
              <w:t>E份额规模上限100000万，规模下限1万</w:t>
              <w:br/>
              <w:t>F份额规模上限100000万，规模下限1万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大连银行及各销售服务渠道，B份额销售渠道为甘肃银行及各销售服务渠道，C份额销售渠道为蒙商银行及各销售服务渠道，D份额销售渠道为厦门银行及各销售服务渠道，E份额销售渠道为九江银行及各销售服务渠道，F份额销售渠道为浙江省联社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sidR="008F58A3">
              <w:rPr>
                <w:rFonts w:ascii="新宋体" w:eastAsia="新宋体" w:hAnsi="新宋体" w:hint="eastAsia"/>
                <w:szCs w:val="21"/>
              </w:rPr>
              <w:t>单户</w:t>
            </w: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rsidRPr="00357000">
            <w:pPr>
              <w:spacing w:line="360" w:lineRule="auto"/>
              <w:rPr>
                <w:rFonts w:ascii="新宋体" w:eastAsia="新宋体" w:hAnsi="新宋体" w:hint="eastAsia"/>
                <w:b/>
              </w:rPr>
            </w:pPr>
            <w:r w:rsidRPr="00357000">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rsidRPr="00357000">
            <w:pPr>
              <w:spacing w:line="360" w:lineRule="auto"/>
              <w:rPr>
                <w:rFonts w:ascii="新宋体" w:eastAsia="新宋体" w:hAnsi="新宋体" w:hint="eastAsia"/>
                <w:b/>
              </w:rPr>
            </w:pPr>
            <w:r w:rsidRPr="00357000">
              <w:rPr>
                <w:rFonts w:ascii="新宋体" w:eastAsia="新宋体" w:hAnsi="新宋体" w:hint="eastAsia"/>
                <w:b/>
              </w:rPr>
              <w:t>A份额业绩比较基准为2.25%（年化）</w:t>
              <w:br/>
              <w:t>B份额业绩比较基准为2.35%（年化）</w:t>
              <w:br/>
              <w:t>C份额业绩比较基准为2.30%（年化）</w:t>
              <w:br/>
              <w:t>D份额业绩比较基准为2.30%（年化）</w:t>
              <w:br/>
              <w:t>E份额业绩比较基准为2.30%（年化）</w:t>
              <w:br/>
              <w:t>F份额业绩比较基准为2.25%（年化）</w:t>
            </w:r>
          </w:p>
          <w:p w:rsidR="00914A4A" w:rsidRPr="00357000">
            <w:pPr>
              <w:spacing w:line="360" w:lineRule="auto"/>
              <w:rPr>
                <w:rFonts w:ascii="新宋体" w:eastAsia="新宋体" w:hAnsi="新宋体"/>
                <w:b/>
              </w:rPr>
            </w:pPr>
            <w:r w:rsidRPr="00357000">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w:t>
            </w:r>
            <w:r w:rsidRPr="00357000" w:rsidR="00357000">
              <w:rPr>
                <w:rFonts w:ascii="新宋体" w:eastAsia="新宋体" w:hAnsi="新宋体" w:hint="eastAsia"/>
                <w:b/>
                <w:szCs w:val="21"/>
              </w:rPr>
              <w:t>，得出产品业绩比较基准</w:t>
            </w:r>
            <w:r w:rsidRPr="00357000">
              <w:rPr>
                <w:rFonts w:ascii="新宋体" w:eastAsia="新宋体" w:hAnsi="新宋体" w:hint="eastAsia"/>
                <w:b/>
              </w:rPr>
              <w:t>。</w:t>
            </w:r>
            <w:r w:rsidRPr="00357000" w:rsidR="00357000">
              <w:rPr>
                <w:rFonts w:ascii="新宋体" w:eastAsia="新宋体" w:hAnsi="新宋体" w:hint="eastAsia"/>
                <w:b/>
              </w:rPr>
              <w:t>业绩比较基准的选择原因是产品管理人基于产品性质、投资策略、过往经验等因素进行综合考量设定。业绩比较基准不是预期收益率，不代表产品的未来表现和实际收益，不构成对产品收益的承诺。</w:t>
            </w:r>
          </w:p>
          <w:p w:rsidR="00914A4A" w:rsidRPr="00357000">
            <w:pPr>
              <w:spacing w:line="360" w:lineRule="auto"/>
              <w:rPr>
                <w:rFonts w:ascii="新宋体" w:eastAsia="新宋体" w:hAnsi="新宋体" w:hint="eastAsia"/>
                <w:b/>
              </w:rPr>
            </w:pPr>
            <w:r w:rsidRPr="00357000">
              <w:rPr>
                <w:b/>
              </w:rPr>
              <w:t>本产品为净值型产品，业绩表现将随市场情况波动，具有不确定性。当监管政策、市场环境、产品性质等因素发生变化，导致理财产品的业绩比较基准需要调整时，产品管理人将至少于调整日之前</w:t>
            </w:r>
            <w:r w:rsidRPr="00357000">
              <w:rPr>
                <w:rFonts w:hint="eastAsia"/>
                <w:b/>
              </w:rPr>
              <w:t>2</w:t>
            </w:r>
            <w:r w:rsidRPr="00357000">
              <w:rPr>
                <w:b/>
              </w:rPr>
              <w:t>个工作日通过机构官方渠道或与投资者约定的其他渠道公布调整情况和调整原因。</w:t>
            </w:r>
          </w:p>
          <w:p w:rsidR="00914A4A" w:rsidRPr="00357000">
            <w:pPr>
              <w:spacing w:line="360" w:lineRule="auto"/>
              <w:rPr>
                <w:rFonts w:ascii="新宋体" w:eastAsia="新宋体" w:hAnsi="新宋体" w:hint="eastAsia"/>
              </w:rPr>
            </w:pPr>
            <w:r w:rsidRPr="00357000">
              <w:rPr>
                <w:rFonts w:ascii="新宋体" w:eastAsia="新宋体" w:hAnsi="新宋体" w:hint="eastAsia"/>
                <w:b/>
              </w:rPr>
              <w:t>如理财投资本金及收益未按时或足额收回，则本理财计划的到期收益可能降低，最不利情形损失部分或全部本金。对于超出</w:t>
            </w:r>
            <w:r w:rsidRPr="00357000">
              <w:rPr>
                <w:rFonts w:ascii="新宋体" w:eastAsia="新宋体" w:hAnsi="新宋体" w:hint="eastAsia"/>
                <w:b/>
              </w:rPr>
              <w:t>“</w:t>
            </w:r>
            <w:r w:rsidRPr="00357000">
              <w:rPr>
                <w:rFonts w:ascii="新宋体" w:eastAsia="新宋体" w:hAnsi="新宋体" w:hint="eastAsia"/>
                <w:b/>
              </w:rPr>
              <w:t>业绩基准</w:t>
            </w:r>
            <w:r w:rsidRPr="00357000">
              <w:rPr>
                <w:rFonts w:ascii="新宋体" w:eastAsia="新宋体" w:hAnsi="新宋体" w:hint="eastAsia"/>
                <w:b/>
              </w:rPr>
              <w:t>”</w:t>
            </w:r>
            <w:r w:rsidRPr="00357000">
              <w:rPr>
                <w:rFonts w:ascii="新宋体" w:eastAsia="新宋体" w:hAnsi="新宋体" w:hint="eastAsia"/>
                <w:b/>
              </w:rPr>
              <w:t>部分的投资收益，95%作为管理人业绩报酬, 剩余部分归为投资者。</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rsidRPr="004D7288">
            <w:pPr>
              <w:spacing w:line="360" w:lineRule="auto"/>
              <w:rPr>
                <w:rFonts w:ascii="新宋体" w:eastAsia="新宋体" w:hAnsi="新宋体" w:hint="eastAsia"/>
                <w:b/>
              </w:rPr>
            </w:pPr>
            <w:r w:rsidRPr="004D7288">
              <w:rPr>
                <w:rFonts w:ascii="新宋体" w:eastAsia="新宋体" w:hAnsi="新宋体" w:hint="eastAsia"/>
                <w:b/>
                <w:szCs w:val="21"/>
              </w:rPr>
              <w:t>本理财计划的托管费率（年化）为0.01%</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w:t>
            </w:r>
            <w:r w:rsidRPr="004D7288">
              <w:rPr>
                <w:rFonts w:ascii="新宋体" w:eastAsia="新宋体" w:hAnsi="新宋体" w:hint="eastAsia"/>
                <w:b/>
                <w:szCs w:val="21"/>
              </w:rPr>
              <w:t>其中，</w:t>
            </w:r>
            <w:r w:rsidRPr="004D7288">
              <w:rPr>
                <w:rFonts w:ascii="新宋体" w:eastAsia="新宋体" w:hAnsi="新宋体" w:hint="eastAsia"/>
                <w:b/>
                <w:bCs/>
                <w:szCs w:val="21"/>
              </w:rPr>
              <w:t>A份额固定管理费率（年化）为0.28%；B份额固定管理费率（年化）为0.18%；C份额固定管理费率（年化）为0.23%；D份额固定管理费率（年化）为0.23%；E份额固定管理费率（年化）为0.23%；F份额固定管理费率（年化）为0.28%</w:t>
            </w:r>
            <w:r w:rsidRPr="004D7288">
              <w:rPr>
                <w:rFonts w:ascii="新宋体" w:eastAsia="新宋体" w:hAnsi="新宋体" w:hint="eastAsia"/>
                <w:b/>
                <w:szCs w:val="21"/>
              </w:rPr>
              <w:t>，由理财管理人按日计提收取；</w:t>
            </w:r>
            <w:r>
              <w:rPr>
                <w:rFonts w:ascii="新宋体" w:eastAsia="新宋体" w:hAnsi="新宋体" w:hint="eastAsia"/>
                <w:szCs w:val="21"/>
              </w:rPr>
              <w:t>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（A份额2.25%、B份额2.35%、C份额2.30%、D份额2.30%、E份额2.30%、F份额2.25%），则超出部分</w:t>
            </w:r>
            <w:r>
              <w:rPr>
                <w:rFonts w:ascii="新宋体" w:eastAsia="新宋体" w:hAnsi="新宋体" w:hint="eastAsia"/>
              </w:rPr>
              <w:t>95%作为管理人业绩报酬, 剩余部分归为投资者</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rsidTr="008F58A3">
        <w:tblPrEx>
          <w:tblW w:w="0" w:type="auto"/>
          <w:tblInd w:w="-34" w:type="dxa"/>
          <w:tblLayout w:type="fixed"/>
          <w:tblLook w:val="0000"/>
        </w:tblPrEx>
        <w:trPr>
          <w:trHeight w:val="195"/>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Tr="008F58A3">
        <w:tblPrEx>
          <w:tblW w:w="0" w:type="auto"/>
          <w:tblInd w:w="-34" w:type="dxa"/>
          <w:tblLayout w:type="fixed"/>
          <w:tblLook w:val="0000"/>
        </w:tblPrEx>
        <w:trPr>
          <w:trHeight w:val="16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rsidRPr="005952A3">
      <w:pPr>
        <w:snapToGrid w:val="0"/>
        <w:spacing w:line="360" w:lineRule="auto"/>
        <w:ind w:firstLine="420" w:firstLineChars="200"/>
        <w:jc w:val="left"/>
        <w:rPr>
          <w:rFonts w:ascii="新宋体" w:eastAsia="新宋体" w:hAnsi="新宋体" w:hint="eastAsia"/>
          <w:b/>
          <w:szCs w:val="21"/>
        </w:rPr>
      </w:pPr>
      <w:r w:rsidRPr="005952A3">
        <w:rPr>
          <w:rFonts w:ascii="新宋体" w:eastAsia="新宋体" w:hAnsi="新宋体" w:hint="eastAsia"/>
          <w:b/>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sidRPr="005952A3">
        <w:rPr>
          <w:rFonts w:ascii="新宋体" w:eastAsia="新宋体" w:hAnsi="新宋体"/>
          <w:b/>
          <w:szCs w:val="21"/>
        </w:rPr>
        <w:t>完整记录和保存销售业务活动信息</w:t>
      </w:r>
      <w:r w:rsidRPr="005952A3">
        <w:rPr>
          <w:rFonts w:ascii="新宋体" w:eastAsia="新宋体" w:hAnsi="新宋体" w:hint="eastAsia"/>
          <w:b/>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A份额年化费率为0.28%，B份额年化费率为0.18%，C份额年化费率为0.23%，D份额年化费率为0.23%，E份额年化费率为0.23%，F份额年化费率为0.28%</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A份额【0.28】%，B份额【0.18】%，C份额【0.23】%，D份额【0.23】%，E份额【0.23】%，F份额【0.28】%</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0.28%</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本理财计划项下资产组合收益超出本理财计划业绩基准（A份额2.25%、B份额2.35%、C份额2.30%、D份额2.30%、E份额2.30%、F份额2.25%）的部分，</w:t>
      </w:r>
      <w:r>
        <w:rPr>
          <w:rFonts w:ascii="新宋体" w:eastAsia="新宋体" w:hAnsi="新宋体" w:cs="新宋体"/>
          <w:b/>
          <w:sz w:val="21"/>
          <w:szCs w:val="21"/>
        </w:rPr>
        <w:t>95%作为管理人业绩报酬, 剩余部分归为投资者</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0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A32AA8">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1F37"/>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000"/>
    <w:rsid w:val="003573E1"/>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3D64"/>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288"/>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2A3"/>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8A3"/>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2AA8"/>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19C8"/>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5</TotalTime>
  <Pages>14</Pages>
  <Words>1944</Words>
  <Characters>11084</Characters>
  <Application>Microsoft Office Word</Application>
  <DocSecurity>0</DocSecurity>
  <Lines>92</Lines>
  <Paragraphs>26</Paragraphs>
  <ScaleCrop>false</ScaleCrop>
  <Company>WwW.YlmF.CoM</Company>
  <LinksUpToDate>false</LinksUpToDate>
  <CharactersWithSpaces>13002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7</cp:revision>
  <cp:lastPrinted>2011-09-18T02:03:00Z</cp:lastPrinted>
  <dcterms:created xsi:type="dcterms:W3CDTF">2023-07-25T08:36:00Z</dcterms:created>
  <dcterms:modified xsi:type="dcterms:W3CDTF">2026-07-29T06:51:00Z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