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84D4A">
      <w:pPr>
        <w:widowControl/>
        <w:snapToGrid w:val="0"/>
        <w:jc w:val="center"/>
        <w:rPr>
          <w:rFonts w:hint="eastAsia" w:ascii="方正小标宋简体" w:hAnsi="宋体" w:eastAsia="方正小标宋简体" w:cs="宋体"/>
          <w:bCs/>
          <w:color w:val="auto"/>
          <w:kern w:val="0"/>
          <w:sz w:val="36"/>
          <w:szCs w:val="36"/>
          <w:highlight w:val="none"/>
          <w:lang w:val="en-US" w:eastAsia="zh-CN"/>
        </w:rPr>
      </w:pPr>
      <w:bookmarkStart w:id="0" w:name="_GoBack"/>
      <w:bookmarkEnd w:id="0"/>
      <w:r>
        <w:rPr>
          <w:rFonts w:hint="eastAsia" w:ascii="方正小标宋简体" w:hAnsi="宋体" w:eastAsia="方正小标宋简体" w:cs="宋体"/>
          <w:bCs/>
          <w:color w:val="auto"/>
          <w:kern w:val="0"/>
          <w:sz w:val="36"/>
          <w:szCs w:val="36"/>
          <w:highlight w:val="none"/>
        </w:rPr>
        <w:t>浙银理财</w:t>
      </w:r>
      <w:r>
        <w:rPr>
          <w:rFonts w:hint="eastAsia" w:ascii="方正小标宋简体" w:hAnsi="宋体" w:eastAsia="方正小标宋简体" w:cs="宋体"/>
          <w:bCs/>
          <w:color w:val="auto"/>
          <w:kern w:val="0"/>
          <w:sz w:val="36"/>
          <w:szCs w:val="36"/>
          <w:highlight w:val="none"/>
          <w:lang w:val="en-US" w:eastAsia="zh-CN"/>
        </w:rPr>
        <w:t>琮融九曜丰收添利270天持有10号行业精选增强</w:t>
      </w:r>
    </w:p>
    <w:p w14:paraId="08BC9EDB">
      <w:pPr>
        <w:widowControl/>
        <w:snapToGrid w:val="0"/>
        <w:jc w:val="center"/>
        <w:rPr>
          <w:rFonts w:hint="eastAsia"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理财产品说明书</w:t>
      </w:r>
    </w:p>
    <w:p w14:paraId="4DA88353">
      <w:pPr>
        <w:keepNext w:val="0"/>
        <w:keepLines w:val="0"/>
        <w:widowControl/>
        <w:suppressLineNumbers w:val="0"/>
        <w:jc w:val="center"/>
        <w:rPr>
          <w:color w:val="auto"/>
          <w:highlight w:val="none"/>
        </w:rPr>
      </w:pPr>
      <w:r>
        <w:rPr>
          <w:rFonts w:hint="eastAsia" w:ascii="宋体" w:hAnsi="宋体" w:eastAsia="宋体" w:cs="宋体"/>
          <w:b/>
          <w:bCs/>
          <w:color w:val="auto"/>
          <w:kern w:val="0"/>
          <w:sz w:val="28"/>
          <w:szCs w:val="28"/>
          <w:highlight w:val="none"/>
          <w:lang w:val="en-US" w:eastAsia="zh-CN" w:bidi="ar"/>
        </w:rPr>
        <w:t>（</w:t>
      </w:r>
      <w:r>
        <w:rPr>
          <w:rFonts w:ascii="宋体" w:hAnsi="宋体" w:eastAsia="宋体" w:cs="宋体"/>
          <w:b/>
          <w:bCs/>
          <w:color w:val="auto"/>
          <w:kern w:val="0"/>
          <w:sz w:val="28"/>
          <w:szCs w:val="28"/>
          <w:highlight w:val="none"/>
          <w:lang w:val="en-US" w:eastAsia="zh-CN" w:bidi="ar"/>
        </w:rPr>
        <w:t>全国银行业理财信息登记系统产品登记编码：</w:t>
      </w:r>
      <w:r>
        <w:rPr>
          <w:rFonts w:hint="eastAsia" w:ascii="宋体" w:hAnsi="宋体" w:eastAsia="宋体" w:cs="宋体"/>
          <w:b/>
          <w:bCs/>
          <w:color w:val="auto"/>
          <w:kern w:val="0"/>
          <w:sz w:val="28"/>
          <w:szCs w:val="28"/>
          <w:highlight w:val="none"/>
          <w:lang w:val="en-US" w:eastAsia="zh-CN" w:bidi="ar"/>
        </w:rPr>
        <w:t>Z7011826000295）</w:t>
      </w:r>
    </w:p>
    <w:p w14:paraId="21912608">
      <w:pPr>
        <w:keepNext w:val="0"/>
        <w:keepLines w:val="0"/>
        <w:widowControl/>
        <w:suppressLineNumbers w:val="0"/>
        <w:jc w:val="center"/>
        <w:rPr>
          <w:color w:val="auto"/>
          <w:highlight w:val="none"/>
        </w:rPr>
      </w:pPr>
      <w:r>
        <w:rPr>
          <w:rFonts w:ascii="宋体" w:hAnsi="宋体" w:eastAsia="宋体" w:cs="宋体"/>
          <w:b/>
          <w:bCs/>
          <w:color w:val="auto"/>
          <w:kern w:val="0"/>
          <w:sz w:val="20"/>
          <w:szCs w:val="20"/>
          <w:highlight w:val="none"/>
          <w:lang w:val="en-US" w:eastAsia="zh-CN" w:bidi="ar"/>
        </w:rPr>
        <w:t xml:space="preserve">（投资者可依据该编码在中国理财网 </w:t>
      </w:r>
      <w:r>
        <w:rPr>
          <w:rFonts w:hint="default" w:ascii="Times New Roman" w:hAnsi="Times New Roman" w:eastAsia="宋体" w:cs="Times New Roman"/>
          <w:b/>
          <w:bCs/>
          <w:color w:val="auto"/>
          <w:kern w:val="0"/>
          <w:sz w:val="20"/>
          <w:szCs w:val="20"/>
          <w:highlight w:val="none"/>
          <w:lang w:val="en-US" w:eastAsia="zh-CN" w:bidi="ar"/>
        </w:rPr>
        <w:t xml:space="preserve">www.chinawealth.com.cn </w:t>
      </w:r>
      <w:r>
        <w:rPr>
          <w:rFonts w:ascii="宋体" w:hAnsi="宋体" w:eastAsia="宋体" w:cs="宋体"/>
          <w:b/>
          <w:bCs/>
          <w:color w:val="auto"/>
          <w:kern w:val="0"/>
          <w:sz w:val="20"/>
          <w:szCs w:val="20"/>
          <w:highlight w:val="none"/>
          <w:lang w:val="en-US" w:eastAsia="zh-CN" w:bidi="ar"/>
        </w:rPr>
        <w:t>查询产品信息）</w:t>
      </w:r>
    </w:p>
    <w:p w14:paraId="1B9EEBF1">
      <w:pPr>
        <w:widowControl/>
        <w:snapToGrid w:val="0"/>
        <w:jc w:val="center"/>
        <w:rPr>
          <w:rFonts w:hint="eastAsia" w:ascii="方正小标宋简体" w:hAnsi="宋体" w:eastAsia="方正小标宋简体" w:cs="宋体"/>
          <w:bCs/>
          <w:color w:val="auto"/>
          <w:kern w:val="0"/>
          <w:sz w:val="36"/>
          <w:szCs w:val="36"/>
          <w:highlight w:val="none"/>
        </w:rPr>
      </w:pPr>
    </w:p>
    <w:p w14:paraId="0EF3AA60">
      <w:pPr>
        <w:widowControl/>
        <w:snapToGrid w:val="0"/>
        <w:ind w:firstLine="480" w:firstLineChars="200"/>
        <w:rPr>
          <w:rFonts w:ascii="黑体" w:hAnsi="宋体" w:eastAsia="黑体" w:cs="宋体"/>
          <w:bCs/>
          <w:color w:val="auto"/>
          <w:kern w:val="0"/>
          <w:szCs w:val="32"/>
          <w:highlight w:val="none"/>
        </w:rPr>
      </w:pPr>
    </w:p>
    <w:p w14:paraId="4A15DC8E">
      <w:pPr>
        <w:tabs>
          <w:tab w:val="left" w:pos="3119"/>
        </w:tabs>
        <w:autoSpaceDE w:val="0"/>
        <w:autoSpaceDN w:val="0"/>
        <w:snapToGrid w:val="0"/>
        <w:spacing w:line="360" w:lineRule="auto"/>
        <w:ind w:right="36" w:rightChars="15" w:firstLine="560"/>
        <w:jc w:val="center"/>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14:paraId="5E583B78">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cs="宋体" w:hAnsiTheme="minorEastAsia"/>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6CADF3E8">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70A93617">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7D7B562F">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cs="宋体" w:hAnsiTheme="minorEastAsia"/>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cs="宋体" w:hAnsiTheme="minorEastAsia"/>
          <w:b/>
          <w:bCs/>
          <w:color w:val="auto"/>
          <w:kern w:val="0"/>
          <w:szCs w:val="32"/>
          <w:highlight w:val="none"/>
        </w:rPr>
        <w:t>，</w:t>
      </w:r>
      <w:r>
        <w:rPr>
          <w:rFonts w:hint="eastAsia" w:cs="宋体" w:asciiTheme="minorEastAsia" w:hAnsiTheme="minorEastAsia"/>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0E773D8A">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14:paraId="46EB883B">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35009FCB">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4736D0B7">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相关信息以销售文件约定的信息披露方式进行披露。</w:t>
      </w:r>
    </w:p>
    <w:p w14:paraId="25759889">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0746C13E">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cs="宋体" w:hAnsiTheme="minorEastAsia"/>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D379847">
      <w:pPr>
        <w:tabs>
          <w:tab w:val="left" w:pos="709"/>
        </w:tabs>
        <w:snapToGrid w:val="0"/>
        <w:spacing w:line="360" w:lineRule="auto"/>
        <w:rPr>
          <w:color w:val="auto"/>
          <w:highlight w:val="none"/>
        </w:rPr>
      </w:pP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14:paraId="59623D24">
      <w:pPr>
        <w:rPr>
          <w:color w:val="auto"/>
          <w:highlight w:val="none"/>
        </w:rPr>
      </w:pPr>
      <w:r>
        <w:rPr>
          <w:color w:val="auto"/>
          <w:highlight w:val="none"/>
        </w:rPr>
        <w:br w:type="page"/>
      </w:r>
    </w:p>
    <w:p w14:paraId="33C2EC3D">
      <w:pPr>
        <w:pStyle w:val="2"/>
        <w:rPr>
          <w:color w:val="auto"/>
          <w:highlight w:val="none"/>
        </w:rPr>
      </w:pPr>
      <w:r>
        <w:rPr>
          <w:rFonts w:hint="eastAsia"/>
          <w:color w:val="auto"/>
          <w:highlight w:val="none"/>
        </w:rPr>
        <w:t>释义</w:t>
      </w:r>
    </w:p>
    <w:p w14:paraId="0995B95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1559B8A3">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14:paraId="7FFF8C4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管理人/产品管理人/理财产品管理人：指浙银理财有限责任公司（简称“浙银理财”）。</w:t>
      </w:r>
    </w:p>
    <w:p w14:paraId="40ADA22C">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销售机构/理财产品销售机构：指符合</w:t>
      </w:r>
      <w:r>
        <w:rPr>
          <w:rFonts w:ascii="仿宋_GB2312" w:hAnsi="宋体" w:cs="宋体"/>
          <w:bCs/>
          <w:color w:val="auto"/>
          <w:kern w:val="0"/>
          <w:szCs w:val="24"/>
          <w:highlight w:val="none"/>
        </w:rPr>
        <w:t>监管</w:t>
      </w:r>
      <w:r>
        <w:rPr>
          <w:rFonts w:hint="eastAsia" w:ascii="仿宋_GB2312" w:hAnsi="宋体" w:cs="宋体"/>
          <w:bCs/>
          <w:color w:val="auto"/>
          <w:kern w:val="0"/>
          <w:szCs w:val="24"/>
          <w:highlight w:val="none"/>
        </w:rPr>
        <w:t>规定</w:t>
      </w:r>
      <w:r>
        <w:rPr>
          <w:rFonts w:ascii="仿宋_GB2312" w:hAnsi="宋体" w:cs="宋体"/>
          <w:bCs/>
          <w:color w:val="auto"/>
          <w:kern w:val="0"/>
          <w:szCs w:val="24"/>
          <w:highlight w:val="none"/>
        </w:rPr>
        <w:t>具备理财产品销售资格</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销售机构在其渠道开展向投资者</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宣传推介</w:t>
      </w:r>
      <w:r>
        <w:rPr>
          <w:rFonts w:hint="eastAsia" w:ascii="仿宋_GB2312" w:hAnsi="宋体" w:cs="宋体"/>
          <w:bCs/>
          <w:color w:val="auto"/>
          <w:kern w:val="0"/>
          <w:szCs w:val="24"/>
          <w:highlight w:val="none"/>
        </w:rPr>
        <w:t>，为</w:t>
      </w:r>
      <w:r>
        <w:rPr>
          <w:rFonts w:ascii="仿宋_GB2312" w:hAnsi="宋体" w:cs="宋体"/>
          <w:bCs/>
          <w:color w:val="auto"/>
          <w:kern w:val="0"/>
          <w:szCs w:val="24"/>
          <w:highlight w:val="none"/>
        </w:rPr>
        <w:t>投资者</w:t>
      </w:r>
      <w:r>
        <w:rPr>
          <w:rFonts w:hint="eastAsia" w:ascii="仿宋_GB2312" w:hAnsi="宋体" w:cs="宋体"/>
          <w:bCs/>
          <w:color w:val="auto"/>
          <w:kern w:val="0"/>
          <w:szCs w:val="24"/>
          <w:highlight w:val="none"/>
        </w:rPr>
        <w:t>办理理财产品认购、申购和赎回，以及监管许可的其他销售活动。理财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销售可分为直销和代理</w:t>
      </w:r>
      <w:r>
        <w:rPr>
          <w:rFonts w:ascii="仿宋_GB2312" w:hAnsi="宋体" w:cs="宋体"/>
          <w:bCs/>
          <w:color w:val="auto"/>
          <w:kern w:val="0"/>
          <w:szCs w:val="24"/>
          <w:highlight w:val="none"/>
        </w:rPr>
        <w:t>销售</w:t>
      </w:r>
      <w:r>
        <w:rPr>
          <w:rFonts w:hint="eastAsia" w:ascii="仿宋_GB2312" w:hAnsi="宋体" w:cs="宋体"/>
          <w:bCs/>
          <w:color w:val="auto"/>
          <w:kern w:val="0"/>
          <w:szCs w:val="24"/>
          <w:highlight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26A06909">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理财产品托管人：</w:t>
      </w:r>
      <w:r>
        <w:rPr>
          <w:rFonts w:ascii="仿宋_GB2312" w:hAnsi="宋体" w:cs="宋体"/>
          <w:bCs/>
          <w:color w:val="auto"/>
          <w:kern w:val="0"/>
          <w:szCs w:val="24"/>
          <w:highlight w:val="none"/>
        </w:rPr>
        <w:t>指</w:t>
      </w:r>
      <w:r>
        <w:rPr>
          <w:rFonts w:hint="eastAsia" w:ascii="仿宋_GB2312" w:hAnsi="宋体" w:cs="宋体"/>
          <w:bCs/>
          <w:color w:val="auto"/>
          <w:kern w:val="0"/>
          <w:szCs w:val="24"/>
          <w:highlight w:val="none"/>
        </w:rPr>
        <w:t>根据管理人委托对理财产品财产进行托管的机构。本理财</w:t>
      </w:r>
      <w:r>
        <w:rPr>
          <w:rFonts w:ascii="仿宋_GB2312" w:hAnsi="宋体" w:cs="宋体"/>
          <w:bCs/>
          <w:color w:val="auto"/>
          <w:kern w:val="0"/>
          <w:szCs w:val="24"/>
          <w:highlight w:val="none"/>
        </w:rPr>
        <w:t>产品托管人</w:t>
      </w:r>
      <w:r>
        <w:rPr>
          <w:rFonts w:hint="eastAsia" w:ascii="仿宋_GB2312" w:hAnsi="宋体" w:cs="宋体"/>
          <w:bCs/>
          <w:color w:val="auto"/>
          <w:kern w:val="0"/>
          <w:szCs w:val="24"/>
          <w:highlight w:val="none"/>
        </w:rPr>
        <w:t>指</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（简称</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具备理财产品托管资格。</w:t>
      </w:r>
    </w:p>
    <w:p w14:paraId="1786AFE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4.投资者：指符合相关法律法规、监管规定要求的，可以购买理财产品份额的自然人、法人及</w:t>
      </w:r>
      <w:r>
        <w:rPr>
          <w:rFonts w:ascii="仿宋_GB2312" w:hAnsi="宋体" w:cs="宋体"/>
          <w:bCs/>
          <w:color w:val="auto"/>
          <w:kern w:val="0"/>
          <w:szCs w:val="24"/>
          <w:highlight w:val="none"/>
        </w:rPr>
        <w:t>依法成立的</w:t>
      </w:r>
      <w:r>
        <w:rPr>
          <w:rFonts w:hint="eastAsia" w:ascii="仿宋_GB2312" w:hAnsi="宋体" w:cs="宋体"/>
          <w:bCs/>
          <w:color w:val="auto"/>
          <w:kern w:val="0"/>
          <w:szCs w:val="24"/>
          <w:highlight w:val="none"/>
        </w:rPr>
        <w:t>其他</w:t>
      </w:r>
      <w:r>
        <w:rPr>
          <w:rFonts w:ascii="仿宋_GB2312" w:hAnsi="宋体" w:cs="宋体"/>
          <w:bCs/>
          <w:color w:val="auto"/>
          <w:kern w:val="0"/>
          <w:szCs w:val="24"/>
          <w:highlight w:val="none"/>
        </w:rPr>
        <w:t>组织</w:t>
      </w:r>
      <w:r>
        <w:rPr>
          <w:rFonts w:hint="eastAsia" w:ascii="仿宋_GB2312" w:hAnsi="宋体" w:cs="宋体"/>
          <w:bCs/>
          <w:color w:val="auto"/>
          <w:kern w:val="0"/>
          <w:szCs w:val="24"/>
          <w:highlight w:val="none"/>
        </w:rPr>
        <w:t xml:space="preserve">。 </w:t>
      </w:r>
    </w:p>
    <w:p w14:paraId="3D1CCC6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5.合格投资者：合格投资者是指具备相应风险识别能力和风险承受能力，投资于单只理财产品不低于一定金额且符合下列条件的自然人、法人或者依法成立的其他组织：</w:t>
      </w:r>
    </w:p>
    <w:p w14:paraId="43ECDE2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具有2年以上投资经历，且满足家庭金融净资产不低于300万元人民币，或者家庭金融资产不低于500万元人民币，或者近3年本人年均收入不低于40万元人民币；</w:t>
      </w:r>
    </w:p>
    <w:p w14:paraId="2C3AEC6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最近1年末净资产不低于1000万元人民币的法人或者依法成立的其他组织；</w:t>
      </w:r>
    </w:p>
    <w:p w14:paraId="041640BC">
      <w:pPr>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国务院银行业监督管理机构规定的其他情形。</w:t>
      </w:r>
    </w:p>
    <w:p w14:paraId="24E997A9">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6.专业投资者：符合下列条件之一的是专业投资者：</w:t>
      </w:r>
    </w:p>
    <w:p w14:paraId="015A487D">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（1）银行业金融机构、保险业金融机构、金融控股公司、证券基金期货经营机构、私募基金管理人；</w:t>
      </w:r>
    </w:p>
    <w:p w14:paraId="426855DF">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（2）上述机构面向投资者发行的金融产品，信托公司管理的资产服务信托、公益慈善信托；</w:t>
      </w:r>
    </w:p>
    <w:p w14:paraId="27157F3F">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（3）社会保障基金、企业年金、职业年金等养老基金，慈善基金等社会公益基金，合格境外机构投资者（QFII）、人民币合格境外机构投资者（RQFII）。</w:t>
      </w:r>
    </w:p>
    <w:p w14:paraId="54C0914E">
      <w:pPr>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7.普通投资者：专业投资者之外的投资者为普通投资者。</w:t>
      </w:r>
    </w:p>
    <w:p w14:paraId="654A391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8</w:t>
      </w:r>
      <w:r>
        <w:rPr>
          <w:rFonts w:hint="eastAsia" w:ascii="仿宋_GB2312" w:hAnsi="宋体" w:cs="宋体"/>
          <w:bCs/>
          <w:color w:val="auto"/>
          <w:kern w:val="0"/>
          <w:szCs w:val="24"/>
          <w:highlight w:val="none"/>
        </w:rPr>
        <w:t>.全国银行业理财信息登记系统：指供商业银行及商业银行理财公司进行理财产品电子化报告和信息登记的电子信息系统。</w:t>
      </w:r>
    </w:p>
    <w:p w14:paraId="330C45C2">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14:paraId="156C273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val="en-US" w:eastAsia="zh-CN"/>
        </w:rPr>
        <w:t>琮融九曜丰收添利270天持有10号行业精选增强</w:t>
      </w:r>
      <w:r>
        <w:rPr>
          <w:rFonts w:hint="eastAsia" w:ascii="仿宋_GB2312" w:hAnsi="宋体" w:cs="宋体"/>
          <w:bCs/>
          <w:color w:val="auto"/>
          <w:kern w:val="0"/>
          <w:szCs w:val="24"/>
          <w:highlight w:val="none"/>
        </w:rPr>
        <w:t>理财产品全套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6607697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14:paraId="58BE083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w:t>
      </w:r>
      <w:r>
        <w:rPr>
          <w:rFonts w:hint="eastAsia" w:ascii="仿宋_GB2312" w:hAnsi="宋体" w:cs="宋体"/>
          <w:bCs/>
          <w:color w:val="auto"/>
          <w:kern w:val="0"/>
          <w:szCs w:val="24"/>
          <w:highlight w:val="none"/>
          <w:lang w:val="en-US" w:eastAsia="zh-CN"/>
        </w:rPr>
        <w:t>琮融九曜丰收添利270天持有10号行业精选增强</w:t>
      </w:r>
      <w:r>
        <w:rPr>
          <w:rFonts w:hint="eastAsia" w:ascii="仿宋_GB2312" w:hAnsi="宋体" w:cs="宋体"/>
          <w:bCs/>
          <w:color w:val="auto"/>
          <w:kern w:val="0"/>
          <w:szCs w:val="24"/>
          <w:highlight w:val="none"/>
        </w:rPr>
        <w:t>理财产品说明书》，以及对该文件的有效修改或补充。</w:t>
      </w:r>
    </w:p>
    <w:p w14:paraId="3ABB548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4FB6123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w:t>
      </w:r>
      <w:r>
        <w:rPr>
          <w:rFonts w:hint="eastAsia" w:ascii="仿宋_GB2312" w:hAnsi="宋体" w:cs="宋体"/>
          <w:bCs/>
          <w:color w:val="auto"/>
          <w:kern w:val="0"/>
          <w:szCs w:val="24"/>
          <w:highlight w:val="none"/>
          <w:lang w:val="en-US" w:eastAsia="zh-CN"/>
        </w:rPr>
        <w:t>琮融九曜丰收添利270天持有10号行业精选增强</w:t>
      </w:r>
      <w:r>
        <w:rPr>
          <w:rFonts w:hint="eastAsia" w:ascii="仿宋_GB2312" w:hAnsi="宋体" w:cs="宋体"/>
          <w:bCs/>
          <w:color w:val="auto"/>
          <w:kern w:val="0"/>
          <w:szCs w:val="24"/>
          <w:highlight w:val="none"/>
        </w:rPr>
        <w:t>理财产品风险揭示书》或代理销售机构接受产品管理人委托自行编制的《浙银理财</w:t>
      </w:r>
      <w:r>
        <w:rPr>
          <w:rFonts w:hint="eastAsia" w:ascii="仿宋_GB2312" w:hAnsi="宋体" w:cs="宋体"/>
          <w:bCs/>
          <w:color w:val="auto"/>
          <w:kern w:val="0"/>
          <w:szCs w:val="24"/>
          <w:highlight w:val="none"/>
          <w:lang w:val="en-US" w:eastAsia="zh-CN"/>
        </w:rPr>
        <w:t>琮融九曜丰收添利270天持有10号行业精选增强</w:t>
      </w:r>
      <w:r>
        <w:rPr>
          <w:rFonts w:hint="eastAsia" w:ascii="仿宋_GB2312" w:hAnsi="宋体" w:cs="宋体"/>
          <w:bCs/>
          <w:color w:val="auto"/>
          <w:kern w:val="0"/>
          <w:szCs w:val="24"/>
          <w:highlight w:val="none"/>
        </w:rPr>
        <w:t>理财产品风险揭示书》（文件名称以代理销售机构实际编制为准），以及对该文件的有效修改或补充。</w:t>
      </w:r>
    </w:p>
    <w:p w14:paraId="60C58F0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14:paraId="02339280">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14:paraId="5ED8F3C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432F019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2.理财产品代码/产品代码：指产品管理人在全国银行业理财信息登记系统中为理财产品设置的内部识别码。</w:t>
      </w:r>
    </w:p>
    <w:p w14:paraId="125126D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3.理财产品销售代码/销售代码：指本款理财产品若设置不同产品份额类别，为在理财产品销售管理过程中区分不同产品份额类别，管理人在同一理财产品代码项下，为每类份额类别设置的唯一性内部识别码。</w:t>
      </w:r>
    </w:p>
    <w:p w14:paraId="0F10606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14:paraId="65E8F26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14:paraId="5001C6C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w:t>
      </w:r>
      <w:r>
        <w:rPr>
          <w:rFonts w:hint="eastAsia" w:ascii="仿宋_GB2312" w:hAnsi="宋体" w:cs="宋体"/>
          <w:bCs/>
          <w:color w:val="auto"/>
          <w:kern w:val="0"/>
          <w:szCs w:val="24"/>
          <w:highlight w:val="none"/>
          <w:lang w:val="en-US" w:eastAsia="zh-CN"/>
        </w:rPr>
        <w:t>【2位】</w:t>
      </w:r>
      <w:r>
        <w:rPr>
          <w:rFonts w:hint="eastAsia" w:ascii="仿宋_GB2312" w:hAnsi="宋体" w:cs="宋体"/>
          <w:bCs/>
          <w:color w:val="auto"/>
          <w:kern w:val="0"/>
          <w:szCs w:val="24"/>
          <w:highlight w:val="none"/>
        </w:rPr>
        <w:t>小数。</w:t>
      </w:r>
    </w:p>
    <w:p w14:paraId="49C0633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14:paraId="594C7CE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14:paraId="1B593A4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（包括产品托管费、认购费、投资管理费、业绩</w:t>
      </w:r>
      <w:r>
        <w:rPr>
          <w:rFonts w:ascii="仿宋_GB2312" w:hAnsi="宋体" w:cs="宋体"/>
          <w:bCs/>
          <w:color w:val="auto"/>
          <w:kern w:val="0"/>
          <w:szCs w:val="24"/>
          <w:highlight w:val="none"/>
        </w:rPr>
        <w:t>报酬</w:t>
      </w:r>
      <w:r>
        <w:rPr>
          <w:rFonts w:hint="eastAsia" w:ascii="仿宋_GB2312" w:hAnsi="宋体" w:cs="宋体"/>
          <w:bCs/>
          <w:color w:val="auto"/>
          <w:kern w:val="0"/>
          <w:szCs w:val="24"/>
          <w:highlight w:val="none"/>
        </w:rPr>
        <w:t>、其他费用等）、应付税金及其他应付款项等。</w:t>
      </w:r>
    </w:p>
    <w:p w14:paraId="5048467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Cs/>
          <w:color w:val="auto"/>
          <w:kern w:val="0"/>
          <w:szCs w:val="24"/>
          <w:highlight w:val="none"/>
          <w:lang w:val="en-US" w:eastAsia="zh-CN"/>
        </w:rPr>
        <w:t>【6位】</w:t>
      </w:r>
      <w:r>
        <w:rPr>
          <w:rFonts w:hint="eastAsia" w:ascii="仿宋_GB2312" w:hAnsi="宋体" w:cs="宋体"/>
          <w:bCs/>
          <w:color w:val="auto"/>
          <w:kern w:val="0"/>
          <w:szCs w:val="24"/>
          <w:highlight w:val="none"/>
        </w:rPr>
        <w:t>小数。</w:t>
      </w:r>
    </w:p>
    <w:p w14:paraId="3AE8A78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14:paraId="32B280F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14:paraId="1275044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14:paraId="4FE9FE96">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14:paraId="329F371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14:paraId="1648D696">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14:paraId="6B6BE2B5">
      <w:pPr>
        <w:tabs>
          <w:tab w:val="left" w:pos="709"/>
        </w:tabs>
        <w:snapToGrid w:val="0"/>
        <w:spacing w:line="360" w:lineRule="auto"/>
        <w:ind w:firstLine="480" w:firstLineChars="200"/>
        <w:rPr>
          <w:rFonts w:ascii="仿宋_GB2312" w:hAnsi="宋体" w:cs="宋体"/>
          <w:b/>
          <w:color w:val="auto"/>
          <w:kern w:val="0"/>
          <w:szCs w:val="24"/>
          <w:highlight w:val="none"/>
        </w:rPr>
      </w:pPr>
      <w:r>
        <w:rPr>
          <w:rFonts w:ascii="仿宋_GB2312" w:hAnsi="宋体" w:cs="宋体"/>
          <w:bCs/>
          <w:color w:val="auto"/>
          <w:kern w:val="0"/>
          <w:szCs w:val="24"/>
          <w:highlight w:val="none"/>
        </w:rPr>
        <w:t>11.</w:t>
      </w:r>
      <w:r>
        <w:rPr>
          <w:rFonts w:hint="eastAsia" w:ascii="仿宋_GB2312" w:hAnsi="宋体" w:cs="宋体"/>
          <w:bCs/>
          <w:color w:val="auto"/>
          <w:kern w:val="0"/>
          <w:szCs w:val="24"/>
          <w:highlight w:val="none"/>
        </w:rPr>
        <w:t>业绩报酬</w:t>
      </w:r>
      <w:r>
        <w:rPr>
          <w:rFonts w:ascii="仿宋_GB2312" w:hAnsi="宋体" w:cs="宋体"/>
          <w:bCs/>
          <w:color w:val="auto"/>
          <w:kern w:val="0"/>
          <w:szCs w:val="24"/>
          <w:highlight w:val="none"/>
        </w:rPr>
        <w:t>计提基准：指管理人收取</w:t>
      </w:r>
      <w:r>
        <w:rPr>
          <w:rFonts w:hint="eastAsia" w:ascii="仿宋_GB2312" w:hAnsi="宋体" w:cs="宋体"/>
          <w:bCs/>
          <w:color w:val="auto"/>
          <w:kern w:val="0"/>
          <w:szCs w:val="24"/>
          <w:highlight w:val="none"/>
        </w:rPr>
        <w:t>业绩报酬</w:t>
      </w:r>
      <w:r>
        <w:rPr>
          <w:rFonts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rPr>
        <w:t>业绩报酬</w:t>
      </w:r>
      <w:r>
        <w:rPr>
          <w:rFonts w:ascii="仿宋_GB2312" w:hAnsi="宋体" w:cs="宋体"/>
          <w:b/>
          <w:color w:val="auto"/>
          <w:kern w:val="0"/>
          <w:szCs w:val="24"/>
          <w:highlight w:val="none"/>
        </w:rPr>
        <w:t>计提基准不代表理财产品未来表现，不等于理财产品实际收益，不作为产品收益的业绩保证，投资须谨慎。</w:t>
      </w:r>
    </w:p>
    <w:p w14:paraId="2A56977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12.理财产品利益/理财利益：指投资者因持有理财产品份额，按照销售文件约定取得或有权取得的理财产品管理人分配的理财产品资产。</w:t>
      </w:r>
    </w:p>
    <w:p w14:paraId="0BFBDF3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13.利益分配：指产品管理人向投资者进行理财产品利益分配。 </w:t>
      </w:r>
    </w:p>
    <w:p w14:paraId="64F4732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14.期间分配：指在理财产品终止日（不含当日）前的理财产品利益分配。 </w:t>
      </w:r>
    </w:p>
    <w:p w14:paraId="712611D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15.终止分配：指在理财产品终止日当日及之后的理财产品利益分配。</w:t>
      </w:r>
    </w:p>
    <w:p w14:paraId="6058E24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14:paraId="6BF66A9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14:paraId="2E4979D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14:paraId="4E9EDD5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14:paraId="0A573B9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14:paraId="504CEBC0">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19.巨额赎回：</w:t>
      </w:r>
      <w:r>
        <w:rPr>
          <w:rFonts w:hint="eastAsia" w:ascii="仿宋_GB2312" w:hAnsi="宋体" w:cs="宋体"/>
          <w:bCs/>
          <w:color w:val="auto"/>
          <w:kern w:val="0"/>
          <w:szCs w:val="24"/>
          <w:highlight w:val="none"/>
        </w:rPr>
        <w:t>指</w:t>
      </w:r>
      <w:r>
        <w:rPr>
          <w:rFonts w:ascii="仿宋_GB2312" w:hAnsi="宋体" w:cs="宋体"/>
          <w:bCs/>
          <w:color w:val="auto"/>
          <w:kern w:val="0"/>
          <w:szCs w:val="24"/>
          <w:highlight w:val="none"/>
        </w:rPr>
        <w:t>在理财产品存续期内，</w:t>
      </w:r>
      <w:r>
        <w:rPr>
          <w:rFonts w:hint="eastAsia" w:ascii="仿宋_GB2312" w:hAnsi="宋体" w:cs="宋体"/>
          <w:bCs/>
          <w:color w:val="auto"/>
          <w:kern w:val="0"/>
          <w:szCs w:val="24"/>
          <w:highlight w:val="none"/>
        </w:rPr>
        <w:t>单个开放日产品净赎回申请（</w:t>
      </w:r>
      <w:r>
        <w:rPr>
          <w:rFonts w:ascii="仿宋_GB2312" w:hAnsi="宋体" w:cs="宋体"/>
          <w:bCs/>
          <w:color w:val="auto"/>
          <w:kern w:val="0"/>
          <w:szCs w:val="24"/>
          <w:highlight w:val="none"/>
        </w:rPr>
        <w:t>赎回</w:t>
      </w:r>
      <w:r>
        <w:rPr>
          <w:rFonts w:hint="eastAsia" w:ascii="仿宋_GB2312" w:hAnsi="宋体" w:cs="宋体"/>
          <w:bCs/>
          <w:color w:val="auto"/>
          <w:kern w:val="0"/>
          <w:szCs w:val="24"/>
          <w:highlight w:val="none"/>
        </w:rPr>
        <w:t>申请总份额扣除申购总份额后的余额</w:t>
      </w:r>
      <w:r>
        <w:rPr>
          <w:rFonts w:ascii="仿宋_GB2312" w:hAnsi="宋体" w:cs="宋体"/>
          <w:bCs/>
          <w:color w:val="auto"/>
          <w:kern w:val="0"/>
          <w:szCs w:val="24"/>
          <w:highlight w:val="none"/>
        </w:rPr>
        <w:t>,下同）</w:t>
      </w:r>
      <w:r>
        <w:rPr>
          <w:rFonts w:hint="eastAsia" w:ascii="仿宋_GB2312" w:hAnsi="宋体" w:cs="宋体"/>
          <w:bCs/>
          <w:color w:val="auto"/>
          <w:kern w:val="0"/>
          <w:szCs w:val="24"/>
          <w:highlight w:val="none"/>
        </w:rPr>
        <w:t>超过前一日终理财产品总份额的</w:t>
      </w: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％的赎回行为，国家金融监督管理总局另有规定的除外。</w:t>
      </w:r>
    </w:p>
    <w:p w14:paraId="181D1AC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20.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7D43089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588B498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22.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14:paraId="5B2E0D2D">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14:paraId="6C04905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14:paraId="3B2E9EE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14:paraId="503EAD6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14:paraId="00C4550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14:paraId="1B4C6F9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本产品无固定期限，但管理人有权在发生终止事件时终止该理财产品。如管理人终止理财产品，将通过约定方式向投资者进行信息披露。</w:t>
      </w:r>
    </w:p>
    <w:p w14:paraId="729F922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6.分配基准日：指本产品管理人以该日日终产品份额净值计算并确定可供分配的投资期间理财利益的日期。</w:t>
      </w:r>
    </w:p>
    <w:p w14:paraId="362E731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7.分配日：指产品管理人向投资者进行理财产品利益分配的日期。</w:t>
      </w:r>
    </w:p>
    <w:p w14:paraId="4AA7185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26C66A6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9.持有期：指自产品成立日/申购确认日起，投资者持有该产品份额的期间。</w:t>
      </w:r>
    </w:p>
    <w:p w14:paraId="52C278C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10.最短</w:t>
      </w:r>
      <w:r>
        <w:rPr>
          <w:rFonts w:ascii="仿宋_GB2312" w:hAnsi="宋体" w:cs="宋体"/>
          <w:bCs/>
          <w:color w:val="auto"/>
          <w:kern w:val="0"/>
          <w:szCs w:val="24"/>
          <w:highlight w:val="none"/>
        </w:rPr>
        <w:t>持有期：</w:t>
      </w:r>
      <w:r>
        <w:rPr>
          <w:rFonts w:hint="eastAsia" w:ascii="仿宋_GB2312" w:hAnsi="宋体" w:cs="宋体"/>
          <w:bCs/>
          <w:color w:val="auto"/>
          <w:kern w:val="0"/>
          <w:szCs w:val="24"/>
          <w:highlight w:val="none"/>
        </w:rPr>
        <w:t>指自产品成立日/申购确认日起，投资者持有的产品份额被锁定持有的最短期间。在最短持有期内，投资者不能提出赎回申请，最短持有期届满后，投资者可赎回该等份额。</w:t>
      </w:r>
    </w:p>
    <w:p w14:paraId="2CF56E2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投资周期：投资周期指投资者持有理财产品份额所对应的理财资金由产品管理人进行投资运作的一段完整期间，每一个投资周期为该投资周期起始日至该投资周期终止日的理财期间。</w:t>
      </w:r>
    </w:p>
    <w:p w14:paraId="7FEFEB5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投资周期起始日：指每一个投资周期开始的日期。</w:t>
      </w:r>
    </w:p>
    <w:p w14:paraId="6C9A3D0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投资周期终止日：指每一个投资周期结束的日期。</w:t>
      </w:r>
    </w:p>
    <w:p w14:paraId="611F1CB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.产品存续期：指自理财产品成立日起，至理财产品终止日的期间。</w:t>
      </w:r>
    </w:p>
    <w:p w14:paraId="5427786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.清算期：指自本理财产品终止日至投资者理财利益到账日之间的期间。</w:t>
      </w:r>
    </w:p>
    <w:p w14:paraId="6FDB467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.开放日：指投资者可提交申购与赎回申请的日期。</w:t>
      </w:r>
    </w:p>
    <w:p w14:paraId="57ACBC9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.申购/赎回日：指投资者提交申购、赎回申请的日期。</w:t>
      </w:r>
    </w:p>
    <w:p w14:paraId="3AC195B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6</w:t>
      </w:r>
      <w:r>
        <w:rPr>
          <w:rFonts w:hint="eastAsia" w:ascii="仿宋_GB2312" w:hAnsi="宋体" w:cs="宋体"/>
          <w:bCs/>
          <w:color w:val="auto"/>
          <w:kern w:val="0"/>
          <w:szCs w:val="24"/>
          <w:highlight w:val="none"/>
        </w:rPr>
        <w:t>.申购/赎回确认日：指投资者提交申购、赎回申请后，管理人对申购、赎回申请进行确认的日期。</w:t>
      </w:r>
    </w:p>
    <w:p w14:paraId="7E70B9F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7</w:t>
      </w:r>
      <w:r>
        <w:rPr>
          <w:rFonts w:hint="eastAsia" w:ascii="仿宋_GB2312" w:hAnsi="宋体" w:cs="宋体"/>
          <w:bCs/>
          <w:color w:val="auto"/>
          <w:kern w:val="0"/>
          <w:szCs w:val="24"/>
          <w:highlight w:val="none"/>
        </w:rPr>
        <w:t>.T日：指某一事件或行为发生的当日。</w:t>
      </w:r>
    </w:p>
    <w:p w14:paraId="67DE700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8</w:t>
      </w:r>
      <w:r>
        <w:rPr>
          <w:rFonts w:hint="eastAsia" w:ascii="仿宋_GB2312" w:hAnsi="宋体" w:cs="宋体"/>
          <w:bCs/>
          <w:color w:val="auto"/>
          <w:kern w:val="0"/>
          <w:szCs w:val="24"/>
          <w:highlight w:val="none"/>
        </w:rPr>
        <w:t>.T+n日：指T日后（不包括T日）的第</w:t>
      </w:r>
      <w:r>
        <w:rPr>
          <w:rFonts w:hint="eastAsia" w:ascii="仿宋_GB2312" w:hAnsi="宋体" w:cs="宋体"/>
          <w:bCs/>
          <w:color w:val="auto"/>
          <w:kern w:val="0"/>
          <w:szCs w:val="24"/>
          <w:highlight w:val="none"/>
          <w:lang w:val="en-US" w:eastAsia="zh-CN"/>
        </w:rPr>
        <w:t>N</w:t>
      </w:r>
      <w:r>
        <w:rPr>
          <w:rFonts w:hint="eastAsia"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交易日</w:t>
      </w:r>
      <w:r>
        <w:rPr>
          <w:rFonts w:hint="eastAsia" w:ascii="仿宋_GB2312" w:hAnsi="宋体" w:cs="宋体"/>
          <w:bCs/>
          <w:color w:val="auto"/>
          <w:kern w:val="0"/>
          <w:szCs w:val="24"/>
          <w:highlight w:val="none"/>
        </w:rPr>
        <w:t>。</w:t>
      </w:r>
    </w:p>
    <w:p w14:paraId="1D3E02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9</w:t>
      </w:r>
      <w:r>
        <w:rPr>
          <w:rFonts w:hint="eastAsia" w:ascii="仿宋_GB2312" w:hAnsi="宋体" w:cs="宋体"/>
          <w:bCs/>
          <w:color w:val="auto"/>
          <w:kern w:val="0"/>
          <w:szCs w:val="24"/>
          <w:highlight w:val="none"/>
        </w:rPr>
        <w:t>.T-n日：指T前（不包括T日）的第</w:t>
      </w:r>
      <w:r>
        <w:rPr>
          <w:rFonts w:hint="eastAsia" w:ascii="仿宋_GB2312" w:hAnsi="宋体" w:cs="宋体"/>
          <w:bCs/>
          <w:color w:val="auto"/>
          <w:kern w:val="0"/>
          <w:szCs w:val="24"/>
          <w:highlight w:val="none"/>
          <w:lang w:val="en-US" w:eastAsia="zh-CN"/>
        </w:rPr>
        <w:t>N</w:t>
      </w:r>
      <w:r>
        <w:rPr>
          <w:rFonts w:hint="eastAsia"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交易日</w:t>
      </w:r>
      <w:r>
        <w:rPr>
          <w:rFonts w:hint="eastAsia" w:ascii="仿宋_GB2312" w:hAnsi="宋体" w:cs="宋体"/>
          <w:bCs/>
          <w:color w:val="auto"/>
          <w:kern w:val="0"/>
          <w:szCs w:val="24"/>
          <w:highlight w:val="none"/>
        </w:rPr>
        <w:t>。</w:t>
      </w:r>
    </w:p>
    <w:p w14:paraId="528E379D">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14:paraId="7612888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14:paraId="2BA88FC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14:paraId="6702EA7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14:paraId="52EDA31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14:paraId="3A8D75A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5.投资管理费：指因理财产品投资管理产生，管理人所收取的费用。</w:t>
      </w:r>
    </w:p>
    <w:p w14:paraId="0ECFA3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6.产品托管费：指因理财产品进行托管产生，托管人收取的费用。</w:t>
      </w:r>
    </w:p>
    <w:p w14:paraId="36E18ED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7.业绩报酬：指产品管理人依照理财产品销售文件约定规则收取的浮动性质的管理费用。</w:t>
      </w:r>
    </w:p>
    <w:p w14:paraId="2B78BE90">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7370AD36">
      <w:pPr>
        <w:tabs>
          <w:tab w:val="left" w:pos="709"/>
        </w:tabs>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（六）其他</w:t>
      </w:r>
      <w:r>
        <w:rPr>
          <w:rFonts w:hint="eastAsia" w:ascii="仿宋_GB2312" w:hAnsi="宋体" w:cs="宋体"/>
          <w:bCs/>
          <w:color w:val="auto"/>
          <w:kern w:val="0"/>
          <w:szCs w:val="24"/>
          <w:highlight w:val="none"/>
        </w:rPr>
        <w:t xml:space="preserve"> </w:t>
      </w:r>
    </w:p>
    <w:p w14:paraId="078BF11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14:paraId="46BA07E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14:paraId="21FF866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14:paraId="30C19F5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14:paraId="77CD55D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14:paraId="2DBDCBE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14:paraId="13CA89D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14:paraId="3E3A3D6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0468DB0F">
      <w:pPr>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093DAC7C">
      <w:pPr>
        <w:pStyle w:val="2"/>
        <w:rPr>
          <w:color w:val="auto"/>
          <w:highlight w:val="none"/>
        </w:rPr>
      </w:pPr>
      <w:r>
        <w:rPr>
          <w:rFonts w:hint="eastAsia"/>
          <w:color w:val="auto"/>
          <w:highlight w:val="none"/>
        </w:rPr>
        <w:t>理财产品基本情况</w:t>
      </w:r>
    </w:p>
    <w:tbl>
      <w:tblPr>
        <w:tblStyle w:val="16"/>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427"/>
        <w:gridCol w:w="1628"/>
        <w:gridCol w:w="2029"/>
        <w:gridCol w:w="1720"/>
      </w:tblGrid>
      <w:tr w14:paraId="1C8501E2">
        <w:trPr>
          <w:trHeight w:val="425" w:hRule="atLeast"/>
          <w:jc w:val="center"/>
        </w:trPr>
        <w:tc>
          <w:tcPr>
            <w:tcW w:w="2411" w:type="dxa"/>
            <w:vAlign w:val="center"/>
          </w:tcPr>
          <w:p w14:paraId="1DFAAB19">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产品名称</w:t>
            </w:r>
          </w:p>
        </w:tc>
        <w:tc>
          <w:tcPr>
            <w:tcW w:w="6804" w:type="dxa"/>
            <w:gridSpan w:val="4"/>
            <w:vAlign w:val="center"/>
          </w:tcPr>
          <w:p w14:paraId="21EEA6F1">
            <w:pPr>
              <w:snapToGrid w:val="0"/>
              <w:rPr>
                <w:rFonts w:ascii="宋体" w:hAnsi="宋体"/>
                <w:color w:val="auto"/>
                <w:szCs w:val="24"/>
                <w:highlight w:val="none"/>
              </w:rPr>
            </w:pPr>
            <w:r>
              <w:rPr>
                <w:rFonts w:hint="eastAsia" w:ascii="宋体" w:hAnsi="宋体"/>
                <w:color w:val="auto"/>
                <w:szCs w:val="24"/>
                <w:highlight w:val="none"/>
              </w:rPr>
              <w:t>浙银理财</w:t>
            </w:r>
            <w:r>
              <w:rPr>
                <w:rFonts w:hint="eastAsia" w:ascii="仿宋_GB2312" w:hAnsi="宋体" w:cs="宋体"/>
                <w:bCs/>
                <w:color w:val="auto"/>
                <w:kern w:val="0"/>
                <w:szCs w:val="24"/>
                <w:highlight w:val="none"/>
                <w:lang w:val="en-US" w:eastAsia="zh-CN"/>
              </w:rPr>
              <w:t>琮融九曜丰收添利270天持有10号行业精选增强</w:t>
            </w:r>
            <w:r>
              <w:rPr>
                <w:rFonts w:hint="eastAsia" w:ascii="宋体" w:hAnsi="宋体"/>
                <w:color w:val="auto"/>
                <w:szCs w:val="24"/>
                <w:highlight w:val="none"/>
              </w:rPr>
              <w:t>理财产品</w:t>
            </w:r>
          </w:p>
        </w:tc>
      </w:tr>
      <w:tr w14:paraId="705BD289">
        <w:trPr>
          <w:trHeight w:val="425" w:hRule="atLeast"/>
          <w:jc w:val="center"/>
        </w:trPr>
        <w:tc>
          <w:tcPr>
            <w:tcW w:w="2411" w:type="dxa"/>
            <w:vAlign w:val="center"/>
          </w:tcPr>
          <w:p w14:paraId="57142113">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产品代码</w:t>
            </w:r>
          </w:p>
        </w:tc>
        <w:tc>
          <w:tcPr>
            <w:tcW w:w="6804" w:type="dxa"/>
            <w:gridSpan w:val="4"/>
            <w:vAlign w:val="center"/>
          </w:tcPr>
          <w:p w14:paraId="1766D65F">
            <w:pPr>
              <w:snapToGrid w:val="0"/>
              <w:rPr>
                <w:rFonts w:ascii="宋体" w:hAnsi="宋体"/>
                <w:b/>
                <w:color w:val="auto"/>
                <w:szCs w:val="24"/>
                <w:highlight w:val="none"/>
              </w:rPr>
            </w:pPr>
            <w:r>
              <w:rPr>
                <w:rFonts w:hint="eastAsia" w:ascii="仿宋_GB2312" w:hAnsi="宋体" w:cs="宋体"/>
                <w:bCs/>
                <w:color w:val="auto"/>
                <w:kern w:val="0"/>
                <w:szCs w:val="24"/>
                <w:highlight w:val="none"/>
                <w:lang w:val="en-US" w:eastAsia="zh-CN"/>
              </w:rPr>
              <w:t>【ZYJYG00660】</w:t>
            </w:r>
          </w:p>
        </w:tc>
      </w:tr>
      <w:tr w14:paraId="7B9CAC55">
        <w:trPr>
          <w:trHeight w:val="425" w:hRule="atLeast"/>
          <w:jc w:val="center"/>
        </w:trPr>
        <w:tc>
          <w:tcPr>
            <w:tcW w:w="2411" w:type="dxa"/>
            <w:vAlign w:val="center"/>
          </w:tcPr>
          <w:p w14:paraId="03CC4E90">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理财产品登记编码</w:t>
            </w:r>
          </w:p>
        </w:tc>
        <w:tc>
          <w:tcPr>
            <w:tcW w:w="6804" w:type="dxa"/>
            <w:gridSpan w:val="4"/>
            <w:vAlign w:val="center"/>
          </w:tcPr>
          <w:p w14:paraId="7B81FD05">
            <w:pPr>
              <w:snapToGrid w:val="0"/>
              <w:rPr>
                <w:rFonts w:ascii="宋体" w:hAnsi="宋体"/>
                <w:b/>
                <w:color w:val="auto"/>
                <w:szCs w:val="24"/>
                <w:highlight w:val="none"/>
              </w:rPr>
            </w:pPr>
            <w:r>
              <w:rPr>
                <w:rFonts w:hint="eastAsia" w:ascii="仿宋_GB2312" w:hAnsi="宋体" w:cs="宋体"/>
                <w:bCs/>
                <w:color w:val="auto"/>
                <w:kern w:val="0"/>
                <w:szCs w:val="24"/>
                <w:highlight w:val="none"/>
                <w:lang w:val="en-US" w:eastAsia="zh-CN"/>
              </w:rPr>
              <w:t>【Z7011826000295】</w:t>
            </w:r>
            <w:r>
              <w:rPr>
                <w:rFonts w:hint="eastAsia" w:ascii="宋体" w:hAnsi="宋体"/>
                <w:color w:val="auto"/>
                <w:szCs w:val="24"/>
                <w:highlight w:val="none"/>
              </w:rPr>
              <w:t>投资者可根据该登记编码在中国理财网（www.chinawealth.com.cn）查询该产品信息。</w:t>
            </w:r>
          </w:p>
        </w:tc>
      </w:tr>
      <w:tr w14:paraId="600BDF1F">
        <w:trPr>
          <w:trHeight w:val="425" w:hRule="atLeast"/>
          <w:jc w:val="center"/>
        </w:trPr>
        <w:tc>
          <w:tcPr>
            <w:tcW w:w="2411" w:type="dxa"/>
            <w:vMerge w:val="restart"/>
            <w:vAlign w:val="center"/>
          </w:tcPr>
          <w:p w14:paraId="2484331A">
            <w:pPr>
              <w:snapToGrid w:val="0"/>
              <w:ind w:left="-163" w:leftChars="-74" w:hanging="15"/>
              <w:jc w:val="center"/>
              <w:rPr>
                <w:rFonts w:hint="eastAsia" w:ascii="宋体" w:hAnsi="宋体" w:eastAsia="仿宋_GB2312"/>
                <w:color w:val="auto"/>
                <w:kern w:val="0"/>
                <w:szCs w:val="24"/>
                <w:highlight w:val="none"/>
                <w:lang w:eastAsia="zh-CN"/>
              </w:rPr>
            </w:pPr>
            <w:r>
              <w:rPr>
                <w:rFonts w:hint="eastAsia" w:ascii="宋体" w:hAnsi="宋体"/>
                <w:color w:val="auto"/>
                <w:kern w:val="0"/>
                <w:szCs w:val="24"/>
                <w:highlight w:val="none"/>
              </w:rPr>
              <w:t>份额分类</w:t>
            </w:r>
          </w:p>
        </w:tc>
        <w:tc>
          <w:tcPr>
            <w:tcW w:w="6804" w:type="dxa"/>
            <w:gridSpan w:val="4"/>
            <w:vAlign w:val="center"/>
          </w:tcPr>
          <w:p w14:paraId="022DA51C">
            <w:pPr>
              <w:snapToGrid w:val="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color w:val="auto"/>
                <w:kern w:val="0"/>
                <w:szCs w:val="24"/>
                <w:highlight w:val="none"/>
              </w:rPr>
              <w:t>/</w:t>
            </w:r>
            <w:r>
              <w:rPr>
                <w:rFonts w:hint="eastAsia" w:ascii="宋体" w:hAnsi="宋体" w:cs="宋体"/>
                <w:color w:val="auto"/>
                <w:kern w:val="0"/>
                <w:szCs w:val="24"/>
                <w:highlight w:val="none"/>
              </w:rPr>
              <w:t>申购起点金额</w:t>
            </w:r>
            <w:r>
              <w:rPr>
                <w:rFonts w:hint="eastAsia" w:ascii="仿宋_GB2312" w:hAnsi="宋体" w:cs="宋体"/>
                <w:color w:val="auto"/>
                <w:kern w:val="0"/>
                <w:szCs w:val="24"/>
                <w:highlight w:val="none"/>
              </w:rPr>
              <w:t>及递增金额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62637A31">
            <w:pPr>
              <w:snapToGrid w:val="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14:paraId="0908D9C6">
            <w:pPr>
              <w:snapToGrid w:val="0"/>
              <w:jc w:val="left"/>
              <w:rPr>
                <w:rFonts w:hint="eastAsia" w:ascii="宋体" w:hAnsi="宋体" w:cs="宋体"/>
                <w:color w:val="auto"/>
                <w:kern w:val="0"/>
                <w:szCs w:val="24"/>
                <w:highlight w:val="none"/>
              </w:rPr>
            </w:pPr>
            <w:r>
              <w:rPr>
                <w:rFonts w:hint="eastAsia" w:ascii="宋体" w:hAnsi="宋体" w:cs="宋体"/>
                <w:color w:val="auto"/>
                <w:kern w:val="0"/>
                <w:szCs w:val="24"/>
                <w:highlight w:val="none"/>
              </w:rPr>
              <w:t>注：</w:t>
            </w:r>
            <w:r>
              <w:rPr>
                <w:rFonts w:hint="eastAsia" w:ascii="宋体" w:hAnsi="宋体" w:cs="宋体"/>
                <w:kern w:val="0"/>
                <w:szCs w:val="24"/>
              </w:rPr>
              <w:t>本理财产品合作所列示产品份额类别仅为本产品项下某一类产品份额类别，其他类别的产品份额相关约定以对应的理财产品销售文件及产品管理人的信息披露为准。</w:t>
            </w:r>
          </w:p>
          <w:p w14:paraId="45323C57">
            <w:pPr>
              <w:snapToGrid w:val="0"/>
              <w:jc w:val="left"/>
              <w:rPr>
                <w:rFonts w:ascii="宋体" w:hAnsi="宋体" w:cs="宋体"/>
                <w:color w:val="auto"/>
                <w:kern w:val="0"/>
                <w:szCs w:val="24"/>
                <w:highlight w:val="none"/>
              </w:rPr>
            </w:pPr>
            <w:r>
              <w:rPr>
                <w:rFonts w:hint="eastAsia" w:ascii="宋体" w:hAnsi="宋体" w:cs="宋体"/>
                <w:b/>
                <w:bCs/>
                <w:color w:val="auto"/>
                <w:kern w:val="0"/>
                <w:szCs w:val="24"/>
                <w:highlight w:val="none"/>
              </w:rPr>
              <w:t>产品管理人有权在本理财产品项下增设新的产品份额类别，届时，产品管理人将依据本理财产品销售文件的约定进行信息披露。</w:t>
            </w:r>
          </w:p>
        </w:tc>
      </w:tr>
      <w:tr w14:paraId="3B67A8FF">
        <w:trPr>
          <w:trHeight w:val="425" w:hRule="atLeast"/>
          <w:jc w:val="center"/>
        </w:trPr>
        <w:tc>
          <w:tcPr>
            <w:tcW w:w="2411" w:type="dxa"/>
            <w:vMerge w:val="continue"/>
            <w:vAlign w:val="center"/>
          </w:tcPr>
          <w:p w14:paraId="351EEE73">
            <w:pPr>
              <w:snapToGrid w:val="0"/>
              <w:ind w:left="-163" w:leftChars="-74" w:hanging="15"/>
              <w:jc w:val="center"/>
              <w:rPr>
                <w:rFonts w:ascii="宋体" w:hAnsi="宋体"/>
                <w:color w:val="auto"/>
                <w:kern w:val="0"/>
                <w:szCs w:val="24"/>
                <w:highlight w:val="none"/>
              </w:rPr>
            </w:pPr>
          </w:p>
        </w:tc>
        <w:tc>
          <w:tcPr>
            <w:tcW w:w="1427" w:type="dxa"/>
            <w:vAlign w:val="center"/>
          </w:tcPr>
          <w:p w14:paraId="0D02D462">
            <w:pPr>
              <w:snapToGrid w:val="0"/>
              <w:jc w:val="center"/>
              <w:rPr>
                <w:rFonts w:ascii="宋体" w:hAnsi="宋体" w:cs="宋体"/>
                <w:color w:val="auto"/>
                <w:kern w:val="0"/>
                <w:szCs w:val="24"/>
                <w:highlight w:val="none"/>
              </w:rPr>
            </w:pPr>
            <w:r>
              <w:rPr>
                <w:rFonts w:hint="eastAsia" w:ascii="宋体" w:hAnsi="宋体" w:cs="宋体"/>
                <w:color w:val="auto"/>
                <w:kern w:val="0"/>
                <w:szCs w:val="24"/>
                <w:highlight w:val="none"/>
              </w:rPr>
              <w:t>份额名称</w:t>
            </w:r>
          </w:p>
        </w:tc>
        <w:tc>
          <w:tcPr>
            <w:tcW w:w="1628" w:type="dxa"/>
            <w:vAlign w:val="center"/>
          </w:tcPr>
          <w:p w14:paraId="74F283C8">
            <w:pPr>
              <w:snapToGrid w:val="0"/>
              <w:jc w:val="center"/>
              <w:rPr>
                <w:color w:val="auto"/>
                <w:highlight w:val="none"/>
              </w:rPr>
            </w:pPr>
            <w:r>
              <w:rPr>
                <w:rFonts w:hint="eastAsia" w:ascii="宋体" w:hAnsi="宋体" w:cs="宋体"/>
                <w:color w:val="auto"/>
                <w:kern w:val="0"/>
                <w:szCs w:val="24"/>
                <w:highlight w:val="none"/>
              </w:rPr>
              <w:t>销售代码</w:t>
            </w:r>
          </w:p>
        </w:tc>
        <w:tc>
          <w:tcPr>
            <w:tcW w:w="2029" w:type="dxa"/>
            <w:vAlign w:val="center"/>
          </w:tcPr>
          <w:p w14:paraId="6A7F9435">
            <w:pPr>
              <w:snapToGrid w:val="0"/>
              <w:jc w:val="center"/>
              <w:rPr>
                <w:color w:val="auto"/>
                <w:highlight w:val="none"/>
              </w:rPr>
            </w:pPr>
            <w:r>
              <w:rPr>
                <w:rFonts w:hint="eastAsia" w:ascii="宋体" w:hAnsi="宋体" w:cs="宋体"/>
                <w:color w:val="auto"/>
                <w:kern w:val="0"/>
                <w:szCs w:val="24"/>
                <w:highlight w:val="none"/>
              </w:rPr>
              <w:t>销售名称</w:t>
            </w:r>
          </w:p>
        </w:tc>
        <w:tc>
          <w:tcPr>
            <w:tcW w:w="1720" w:type="dxa"/>
            <w:vAlign w:val="center"/>
          </w:tcPr>
          <w:p w14:paraId="2BC43734">
            <w:pPr>
              <w:snapToGrid w:val="0"/>
              <w:jc w:val="center"/>
              <w:rPr>
                <w:color w:val="auto"/>
                <w:highlight w:val="none"/>
              </w:rPr>
            </w:pPr>
            <w:r>
              <w:rPr>
                <w:rFonts w:hint="eastAsia" w:ascii="宋体" w:hAnsi="宋体" w:cs="宋体"/>
                <w:color w:val="auto"/>
                <w:kern w:val="0"/>
                <w:szCs w:val="24"/>
                <w:highlight w:val="none"/>
              </w:rPr>
              <w:t>销售客群</w:t>
            </w:r>
          </w:p>
        </w:tc>
      </w:tr>
      <w:tr w14:paraId="0E28C7F0">
        <w:trPr>
          <w:trHeight w:val="425" w:hRule="atLeast"/>
          <w:jc w:val="center"/>
        </w:trPr>
        <w:tc>
          <w:tcPr>
            <w:tcW w:w="2411" w:type="dxa"/>
            <w:vMerge w:val="continue"/>
            <w:vAlign w:val="center"/>
          </w:tcPr>
          <w:p w14:paraId="35A2DBF8">
            <w:pPr>
              <w:snapToGrid w:val="0"/>
              <w:ind w:left="-163" w:leftChars="-74" w:hanging="15"/>
              <w:jc w:val="center"/>
              <w:rPr>
                <w:rFonts w:ascii="宋体" w:hAnsi="宋体"/>
                <w:color w:val="auto"/>
                <w:kern w:val="0"/>
                <w:szCs w:val="24"/>
                <w:highlight w:val="none"/>
              </w:rPr>
            </w:pPr>
          </w:p>
        </w:tc>
        <w:tc>
          <w:tcPr>
            <w:tcW w:w="1427" w:type="dxa"/>
            <w:vAlign w:val="center"/>
          </w:tcPr>
          <w:p w14:paraId="2DBB9E63">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rPr>
              <w:t>A份额</w:t>
            </w:r>
          </w:p>
        </w:tc>
        <w:tc>
          <w:tcPr>
            <w:tcW w:w="1628" w:type="dxa"/>
            <w:vAlign w:val="center"/>
          </w:tcPr>
          <w:p w14:paraId="440A5746">
            <w:pPr>
              <w:snapToGrid w:val="0"/>
              <w:rPr>
                <w:rFonts w:hint="eastAsia" w:eastAsia="仿宋_GB2312"/>
                <w:lang w:val="en-US" w:eastAsia="zh-CN"/>
              </w:rPr>
            </w:pPr>
            <w:r>
              <w:rPr>
                <w:rFonts w:hint="eastAsia"/>
              </w:rPr>
              <w:t>ZYJYG0066</w:t>
            </w:r>
            <w:r>
              <w:rPr>
                <w:rFonts w:hint="eastAsia"/>
                <w:lang w:val="en-US" w:eastAsia="zh-CN"/>
              </w:rPr>
              <w:t>A</w:t>
            </w:r>
          </w:p>
        </w:tc>
        <w:tc>
          <w:tcPr>
            <w:tcW w:w="2029" w:type="dxa"/>
            <w:vAlign w:val="center"/>
          </w:tcPr>
          <w:p w14:paraId="32AE4AD0">
            <w:pPr>
              <w:snapToGrid w:val="0"/>
              <w:rPr>
                <w:rFonts w:hint="default"/>
                <w:color w:val="auto"/>
                <w:highlight w:val="none"/>
                <w:lang w:val="en-US" w:eastAsia="zh-CN"/>
              </w:rPr>
            </w:pPr>
            <w:r>
              <w:rPr>
                <w:rFonts w:hint="eastAsia"/>
                <w:color w:val="auto"/>
                <w:highlight w:val="none"/>
                <w:lang w:eastAsia="zh-CN"/>
              </w:rPr>
              <w:t>浙银理财琮融九曜丰收添利270天持有10号行业精选增强理财产品A份额(浙BA款)</w:t>
            </w:r>
          </w:p>
        </w:tc>
        <w:tc>
          <w:tcPr>
            <w:tcW w:w="1720" w:type="dxa"/>
            <w:vAlign w:val="center"/>
          </w:tcPr>
          <w:p w14:paraId="3B9770B1">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rPr>
              <w:t>浙江临海农村商业银行股份有限公司</w:t>
            </w:r>
            <w:r>
              <w:rPr>
                <w:rFonts w:hint="eastAsia" w:ascii="宋体" w:hAnsi="宋体" w:cs="宋体"/>
                <w:color w:val="auto"/>
                <w:kern w:val="0"/>
                <w:szCs w:val="24"/>
                <w:highlight w:val="none"/>
                <w:lang w:eastAsia="zh-CN"/>
              </w:rPr>
              <w:t>、浙江遂昌农村商业银行股份有限公司</w:t>
            </w:r>
            <w:r>
              <w:rPr>
                <w:rFonts w:hint="eastAsia" w:ascii="宋体" w:hAnsi="宋体" w:cs="宋体"/>
                <w:color w:val="auto"/>
                <w:kern w:val="0"/>
                <w:szCs w:val="24"/>
                <w:highlight w:val="none"/>
              </w:rPr>
              <w:t>个人、机构客户</w:t>
            </w:r>
          </w:p>
        </w:tc>
      </w:tr>
      <w:tr w14:paraId="5AFE95DA">
        <w:trPr>
          <w:trHeight w:val="425" w:hRule="atLeast"/>
          <w:jc w:val="center"/>
        </w:trPr>
        <w:tc>
          <w:tcPr>
            <w:tcW w:w="2411" w:type="dxa"/>
            <w:vMerge w:val="continue"/>
            <w:vAlign w:val="center"/>
          </w:tcPr>
          <w:p w14:paraId="42FCCD7D">
            <w:pPr>
              <w:snapToGrid w:val="0"/>
              <w:ind w:left="-163" w:leftChars="-74" w:hanging="15"/>
              <w:jc w:val="center"/>
              <w:rPr>
                <w:rFonts w:ascii="宋体" w:hAnsi="宋体"/>
                <w:color w:val="auto"/>
                <w:kern w:val="0"/>
                <w:szCs w:val="24"/>
                <w:highlight w:val="none"/>
              </w:rPr>
            </w:pPr>
          </w:p>
        </w:tc>
        <w:tc>
          <w:tcPr>
            <w:tcW w:w="1427" w:type="dxa"/>
            <w:vAlign w:val="center"/>
          </w:tcPr>
          <w:p w14:paraId="7B282EA6">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lang w:val="en-US" w:eastAsia="zh-CN"/>
              </w:rPr>
              <w:t>B</w:t>
            </w:r>
            <w:r>
              <w:rPr>
                <w:rFonts w:hint="eastAsia" w:ascii="宋体" w:hAnsi="宋体" w:cs="宋体"/>
                <w:color w:val="auto"/>
                <w:kern w:val="0"/>
                <w:szCs w:val="24"/>
                <w:highlight w:val="none"/>
              </w:rPr>
              <w:t>份额</w:t>
            </w:r>
          </w:p>
        </w:tc>
        <w:tc>
          <w:tcPr>
            <w:tcW w:w="1628" w:type="dxa"/>
            <w:vAlign w:val="center"/>
          </w:tcPr>
          <w:p w14:paraId="01E62CF2">
            <w:pPr>
              <w:snapToGrid w:val="0"/>
              <w:rPr>
                <w:rFonts w:hint="eastAsia" w:eastAsia="仿宋_GB2312"/>
                <w:lang w:val="en-US" w:eastAsia="zh-CN"/>
              </w:rPr>
            </w:pPr>
            <w:r>
              <w:rPr>
                <w:rFonts w:hint="eastAsia"/>
              </w:rPr>
              <w:t>ZYJYG0066</w:t>
            </w:r>
            <w:r>
              <w:rPr>
                <w:rFonts w:hint="eastAsia"/>
                <w:lang w:val="en-US" w:eastAsia="zh-CN"/>
              </w:rPr>
              <w:t>B</w:t>
            </w:r>
          </w:p>
        </w:tc>
        <w:tc>
          <w:tcPr>
            <w:tcW w:w="2029" w:type="dxa"/>
            <w:vAlign w:val="center"/>
          </w:tcPr>
          <w:p w14:paraId="0FBD43B8">
            <w:pPr>
              <w:snapToGrid w:val="0"/>
              <w:rPr>
                <w:rFonts w:hint="eastAsia"/>
                <w:color w:val="auto"/>
                <w:highlight w:val="none"/>
                <w:lang w:eastAsia="zh-CN"/>
              </w:rPr>
            </w:pPr>
            <w:r>
              <w:rPr>
                <w:rFonts w:hint="eastAsia"/>
                <w:color w:val="auto"/>
                <w:highlight w:val="none"/>
                <w:lang w:eastAsia="zh-CN"/>
              </w:rPr>
              <w:t>浙银理财琮融九曜丰收添利270天持有10号行业精选增强理财产品</w:t>
            </w:r>
            <w:r>
              <w:rPr>
                <w:rFonts w:hint="eastAsia"/>
                <w:color w:val="auto"/>
                <w:highlight w:val="none"/>
                <w:lang w:val="en-US" w:eastAsia="zh-CN"/>
              </w:rPr>
              <w:t>B份额(浙BA款)</w:t>
            </w:r>
          </w:p>
        </w:tc>
        <w:tc>
          <w:tcPr>
            <w:tcW w:w="1720" w:type="dxa"/>
            <w:vAlign w:val="center"/>
          </w:tcPr>
          <w:p w14:paraId="2DD6FAA6">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rPr>
              <w:t>浙江萧山农村商业银行股份有限公司、浙江台州黄岩农村商业银行股份有限公司、浙江舟山普陀农村商业银行股份有限公司、宁波北仑农村商业银行股份有限公司</w:t>
            </w:r>
            <w:r>
              <w:rPr>
                <w:rFonts w:hint="eastAsia" w:ascii="宋体" w:hAnsi="宋体" w:cs="宋体"/>
                <w:color w:val="auto"/>
                <w:kern w:val="0"/>
                <w:szCs w:val="24"/>
                <w:highlight w:val="none"/>
                <w:lang w:eastAsia="zh-CN"/>
              </w:rPr>
              <w:t>、浙江天台农村商业银行股份有限公司、浙江舟山定海海洋农村商业银行股份有限公司、浙江龙游农村商业银行股份有限公司、浙江磐安农村商业银行股份有限公司、浙江庆元农村商业银行股份有限公司、浙江平湖农村商业银行股份有限公司、浙江衢州柯城农村商业银行股份有限公司、浙江金华成泰农村商业银行股份有限公司、浙江淳安农村商业银行股份有限公司、</w:t>
            </w:r>
            <w:r>
              <w:rPr>
                <w:rFonts w:hint="eastAsia" w:ascii="宋体" w:hAnsi="宋体" w:cs="宋体"/>
                <w:color w:val="auto"/>
                <w:kern w:val="0"/>
                <w:szCs w:val="24"/>
                <w:highlight w:val="none"/>
                <w:lang w:val="en-US" w:eastAsia="zh-CN"/>
              </w:rPr>
              <w:t>浙江桐庐农村商业银行股份有限公司</w:t>
            </w:r>
            <w:r>
              <w:rPr>
                <w:rFonts w:hint="eastAsia" w:ascii="宋体" w:hAnsi="宋体" w:cs="宋体"/>
                <w:color w:val="auto"/>
                <w:kern w:val="0"/>
                <w:szCs w:val="24"/>
                <w:highlight w:val="none"/>
                <w:lang w:eastAsia="zh-CN"/>
              </w:rPr>
              <w:t>个人、机构客户</w:t>
            </w:r>
          </w:p>
        </w:tc>
      </w:tr>
      <w:tr w14:paraId="265DA51A">
        <w:trPr>
          <w:trHeight w:val="425" w:hRule="atLeast"/>
          <w:jc w:val="center"/>
        </w:trPr>
        <w:tc>
          <w:tcPr>
            <w:tcW w:w="2411" w:type="dxa"/>
            <w:vMerge w:val="continue"/>
            <w:vAlign w:val="center"/>
          </w:tcPr>
          <w:p w14:paraId="3557AA8A">
            <w:pPr>
              <w:snapToGrid w:val="0"/>
              <w:ind w:left="-163" w:leftChars="-74" w:hanging="15"/>
              <w:jc w:val="center"/>
              <w:rPr>
                <w:rFonts w:ascii="宋体" w:hAnsi="宋体"/>
                <w:color w:val="auto"/>
                <w:kern w:val="0"/>
                <w:szCs w:val="24"/>
                <w:highlight w:val="none"/>
              </w:rPr>
            </w:pPr>
          </w:p>
        </w:tc>
        <w:tc>
          <w:tcPr>
            <w:tcW w:w="1427" w:type="dxa"/>
            <w:vAlign w:val="center"/>
          </w:tcPr>
          <w:p w14:paraId="08BC4710">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lang w:val="en-US" w:eastAsia="zh-CN"/>
              </w:rPr>
              <w:t>C</w:t>
            </w:r>
            <w:r>
              <w:rPr>
                <w:rFonts w:hint="eastAsia" w:ascii="宋体" w:hAnsi="宋体" w:cs="宋体"/>
                <w:color w:val="auto"/>
                <w:kern w:val="0"/>
                <w:szCs w:val="24"/>
                <w:highlight w:val="none"/>
              </w:rPr>
              <w:t>份额</w:t>
            </w:r>
          </w:p>
        </w:tc>
        <w:tc>
          <w:tcPr>
            <w:tcW w:w="1628" w:type="dxa"/>
            <w:vAlign w:val="center"/>
          </w:tcPr>
          <w:p w14:paraId="6FE89A7C">
            <w:pPr>
              <w:snapToGrid w:val="0"/>
              <w:rPr>
                <w:rFonts w:hint="eastAsia" w:eastAsia="仿宋_GB2312"/>
                <w:lang w:val="en-US" w:eastAsia="zh-CN"/>
              </w:rPr>
            </w:pPr>
            <w:r>
              <w:rPr>
                <w:rFonts w:hint="eastAsia"/>
              </w:rPr>
              <w:t>ZYJYG0066</w:t>
            </w:r>
            <w:r>
              <w:rPr>
                <w:rFonts w:hint="eastAsia"/>
                <w:lang w:val="en-US" w:eastAsia="zh-CN"/>
              </w:rPr>
              <w:t>C</w:t>
            </w:r>
          </w:p>
        </w:tc>
        <w:tc>
          <w:tcPr>
            <w:tcW w:w="2029" w:type="dxa"/>
            <w:vAlign w:val="center"/>
          </w:tcPr>
          <w:p w14:paraId="36F8B494">
            <w:pPr>
              <w:snapToGrid w:val="0"/>
              <w:rPr>
                <w:rFonts w:hint="eastAsia"/>
                <w:color w:val="auto"/>
                <w:highlight w:val="none"/>
                <w:lang w:eastAsia="zh-CN"/>
              </w:rPr>
            </w:pPr>
            <w:r>
              <w:rPr>
                <w:rFonts w:hint="eastAsia"/>
                <w:color w:val="auto"/>
                <w:highlight w:val="none"/>
                <w:lang w:eastAsia="zh-CN"/>
              </w:rPr>
              <w:t>浙银理财琮融九曜丰收添利270天持有10号行业精选增强理财产品</w:t>
            </w:r>
            <w:r>
              <w:rPr>
                <w:rFonts w:hint="eastAsia"/>
                <w:color w:val="auto"/>
                <w:highlight w:val="none"/>
                <w:lang w:val="en-US" w:eastAsia="zh-CN"/>
              </w:rPr>
              <w:t>C份额(浙BA款)</w:t>
            </w:r>
          </w:p>
        </w:tc>
        <w:tc>
          <w:tcPr>
            <w:tcW w:w="1720" w:type="dxa"/>
            <w:vAlign w:val="center"/>
          </w:tcPr>
          <w:p w14:paraId="551FC06B">
            <w:pPr>
              <w:snapToGrid w:val="0"/>
              <w:rPr>
                <w:rFonts w:hint="eastAsia" w:ascii="宋体" w:hAnsi="宋体" w:cs="宋体"/>
                <w:color w:val="auto"/>
                <w:kern w:val="0"/>
                <w:szCs w:val="24"/>
                <w:highlight w:val="none"/>
              </w:rPr>
            </w:pPr>
            <w:r>
              <w:rPr>
                <w:rFonts w:hint="eastAsia" w:ascii="宋体" w:hAnsi="宋体" w:cs="宋体"/>
                <w:color w:val="auto"/>
                <w:kern w:val="0"/>
                <w:szCs w:val="24"/>
                <w:highlight w:val="none"/>
              </w:rPr>
              <w:t>浙江禾城农村商业银行股份有限公司、宁波慈溪农村商业银行股份有限公司、浙江温州瓯海农村商业银行股份有限公司、浙江台州椒江农村商业银行股份有限公司</w:t>
            </w:r>
            <w:r>
              <w:rPr>
                <w:rFonts w:hint="eastAsia" w:ascii="宋体" w:hAnsi="宋体" w:cs="宋体"/>
                <w:color w:val="auto"/>
                <w:kern w:val="0"/>
                <w:szCs w:val="24"/>
                <w:highlight w:val="none"/>
                <w:lang w:eastAsia="zh-CN"/>
              </w:rPr>
              <w:t>、浙江杭州余杭农村商业银行股份有限公司、</w:t>
            </w:r>
            <w:r>
              <w:rPr>
                <w:rFonts w:hint="eastAsia" w:ascii="宋体" w:hAnsi="宋体" w:cs="宋体"/>
                <w:color w:val="auto"/>
                <w:kern w:val="0"/>
                <w:szCs w:val="24"/>
                <w:highlight w:val="none"/>
              </w:rPr>
              <w:t>浙江安吉农村商业银行股份有限公司</w:t>
            </w:r>
            <w:r>
              <w:rPr>
                <w:rFonts w:hint="eastAsia" w:ascii="宋体" w:hAnsi="宋体" w:cs="宋体"/>
                <w:color w:val="auto"/>
                <w:kern w:val="0"/>
                <w:szCs w:val="24"/>
                <w:highlight w:val="none"/>
                <w:lang w:eastAsia="zh-CN"/>
              </w:rPr>
              <w:t>、浙江临安农村商业银行股份有限公司、浙江上虞农村商业银行股份有限公司、浙江德清农村商业银行股份有限公司、浙江绍兴恒信农村商业银行股份有限公司、</w:t>
            </w:r>
            <w:r>
              <w:rPr>
                <w:rFonts w:hint="eastAsia" w:ascii="宋体" w:hAnsi="宋体" w:cs="宋体"/>
                <w:color w:val="auto"/>
                <w:kern w:val="0"/>
                <w:szCs w:val="24"/>
                <w:highlight w:val="none"/>
                <w:lang w:val="en-US" w:eastAsia="zh-CN"/>
              </w:rPr>
              <w:t>浙江丽水莲都农村商业银行股份有限公司、浙江温州鹿城农村商业银行股份有限公司、浙江台州路桥农村商业银行股份有限公司</w:t>
            </w:r>
            <w:r>
              <w:rPr>
                <w:rFonts w:hint="eastAsia" w:ascii="宋体" w:hAnsi="宋体" w:cs="宋体"/>
                <w:color w:val="auto"/>
                <w:kern w:val="0"/>
                <w:szCs w:val="24"/>
                <w:highlight w:val="none"/>
                <w:lang w:eastAsia="zh-CN"/>
              </w:rPr>
              <w:t>个</w:t>
            </w:r>
            <w:r>
              <w:rPr>
                <w:rFonts w:hint="eastAsia" w:ascii="宋体" w:hAnsi="宋体" w:cs="宋体"/>
                <w:color w:val="auto"/>
                <w:kern w:val="0"/>
                <w:szCs w:val="24"/>
                <w:highlight w:val="none"/>
              </w:rPr>
              <w:t>人、机构客户</w:t>
            </w:r>
          </w:p>
        </w:tc>
      </w:tr>
      <w:tr w14:paraId="1C6E0778">
        <w:trPr>
          <w:trHeight w:val="425" w:hRule="atLeast"/>
          <w:jc w:val="center"/>
        </w:trPr>
        <w:tc>
          <w:tcPr>
            <w:tcW w:w="2411" w:type="dxa"/>
            <w:vAlign w:val="center"/>
          </w:tcPr>
          <w:p w14:paraId="7C7DDD2E">
            <w:pPr>
              <w:snapToGrid w:val="0"/>
              <w:ind w:left="-163" w:leftChars="-74" w:hanging="15"/>
              <w:jc w:val="center"/>
              <w:rPr>
                <w:rFonts w:ascii="宋体" w:hAnsi="宋体"/>
                <w:color w:val="auto"/>
                <w:szCs w:val="24"/>
                <w:highlight w:val="none"/>
              </w:rPr>
            </w:pPr>
            <w:r>
              <w:rPr>
                <w:rFonts w:hint="eastAsia" w:ascii="宋体" w:hAnsi="宋体"/>
                <w:color w:val="auto"/>
                <w:kern w:val="0"/>
                <w:szCs w:val="24"/>
                <w:highlight w:val="none"/>
              </w:rPr>
              <w:t>理财产品管理人</w:t>
            </w:r>
          </w:p>
        </w:tc>
        <w:tc>
          <w:tcPr>
            <w:tcW w:w="6804" w:type="dxa"/>
            <w:gridSpan w:val="4"/>
            <w:vAlign w:val="center"/>
          </w:tcPr>
          <w:p w14:paraId="32783400">
            <w:pPr>
              <w:snapToGrid w:val="0"/>
              <w:rPr>
                <w:rFonts w:ascii="宋体" w:hAnsi="宋体"/>
                <w:color w:val="auto"/>
                <w:szCs w:val="24"/>
                <w:highlight w:val="none"/>
              </w:rPr>
            </w:pPr>
            <w:r>
              <w:rPr>
                <w:rFonts w:hint="eastAsia" w:ascii="宋体" w:hAnsi="宋体" w:cs="宋体"/>
                <w:color w:val="auto"/>
                <w:kern w:val="0"/>
                <w:szCs w:val="24"/>
                <w:highlight w:val="none"/>
              </w:rPr>
              <w:t>浙银理财有限责任公司</w:t>
            </w:r>
          </w:p>
        </w:tc>
      </w:tr>
      <w:tr w14:paraId="4BA603A3">
        <w:trPr>
          <w:trHeight w:val="425" w:hRule="atLeast"/>
          <w:jc w:val="center"/>
        </w:trPr>
        <w:tc>
          <w:tcPr>
            <w:tcW w:w="2411" w:type="dxa"/>
            <w:vAlign w:val="center"/>
          </w:tcPr>
          <w:p w14:paraId="44E20D7E">
            <w:pPr>
              <w:snapToGrid w:val="0"/>
              <w:ind w:left="-163" w:leftChars="-74" w:hanging="15"/>
              <w:jc w:val="center"/>
              <w:rPr>
                <w:rFonts w:ascii="宋体" w:hAnsi="宋体"/>
                <w:color w:val="auto"/>
                <w:szCs w:val="24"/>
                <w:highlight w:val="none"/>
              </w:rPr>
            </w:pPr>
            <w:r>
              <w:rPr>
                <w:rFonts w:hint="eastAsia" w:ascii="宋体" w:hAnsi="宋体"/>
                <w:color w:val="auto"/>
                <w:kern w:val="0"/>
                <w:szCs w:val="24"/>
                <w:highlight w:val="none"/>
              </w:rPr>
              <w:t>理财产品托管人</w:t>
            </w:r>
          </w:p>
        </w:tc>
        <w:tc>
          <w:tcPr>
            <w:tcW w:w="6804" w:type="dxa"/>
            <w:gridSpan w:val="4"/>
            <w:vAlign w:val="center"/>
          </w:tcPr>
          <w:p w14:paraId="1C0EB64F">
            <w:pPr>
              <w:snapToGrid w:val="0"/>
              <w:rPr>
                <w:rFonts w:hint="default" w:ascii="宋体" w:hAnsi="宋体"/>
                <w:color w:val="auto"/>
                <w:szCs w:val="24"/>
                <w:highlight w:val="none"/>
                <w:lang w:val="en-US"/>
              </w:rPr>
            </w:pPr>
            <w:r>
              <w:rPr>
                <w:rFonts w:hint="eastAsia" w:ascii="仿宋_GB2312" w:hAnsi="宋体" w:cs="宋体"/>
                <w:bCs/>
                <w:color w:val="auto"/>
                <w:kern w:val="0"/>
                <w:szCs w:val="24"/>
                <w:highlight w:val="none"/>
                <w:lang w:val="en-US" w:eastAsia="zh-CN"/>
              </w:rPr>
              <w:t>浙商银行股份有限公司</w:t>
            </w:r>
          </w:p>
        </w:tc>
      </w:tr>
      <w:tr w14:paraId="69E47C3E">
        <w:trPr>
          <w:trHeight w:val="425" w:hRule="atLeast"/>
          <w:jc w:val="center"/>
        </w:trPr>
        <w:tc>
          <w:tcPr>
            <w:tcW w:w="2411" w:type="dxa"/>
            <w:vAlign w:val="center"/>
          </w:tcPr>
          <w:p w14:paraId="351E0D34">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发行方式</w:t>
            </w:r>
          </w:p>
        </w:tc>
        <w:tc>
          <w:tcPr>
            <w:tcW w:w="6804" w:type="dxa"/>
            <w:gridSpan w:val="4"/>
            <w:vAlign w:val="center"/>
          </w:tcPr>
          <w:p w14:paraId="524C95BB">
            <w:pPr>
              <w:snapToGrid w:val="0"/>
              <w:rPr>
                <w:rFonts w:ascii="宋体" w:hAnsi="宋体"/>
                <w:color w:val="auto"/>
                <w:szCs w:val="24"/>
                <w:highlight w:val="none"/>
              </w:rPr>
            </w:pPr>
            <w:r>
              <w:rPr>
                <w:rFonts w:hint="eastAsia" w:ascii="仿宋_GB2312" w:hAnsi="宋体" w:cs="宋体"/>
                <w:bCs/>
                <w:color w:val="auto"/>
                <w:kern w:val="0"/>
                <w:szCs w:val="24"/>
                <w:highlight w:val="none"/>
                <w:lang w:val="en-US" w:eastAsia="zh-CN"/>
              </w:rPr>
              <w:t>【</w:t>
            </w:r>
            <w:r>
              <w:rPr>
                <w:rFonts w:hint="eastAsia" w:ascii="宋体" w:hAnsi="宋体"/>
                <w:color w:val="auto"/>
                <w:szCs w:val="24"/>
                <w:highlight w:val="none"/>
              </w:rPr>
              <w:t>公募</w:t>
            </w:r>
            <w:r>
              <w:rPr>
                <w:rFonts w:hint="eastAsia" w:ascii="仿宋_GB2312" w:hAnsi="宋体" w:cs="宋体"/>
                <w:bCs/>
                <w:color w:val="auto"/>
                <w:kern w:val="0"/>
                <w:szCs w:val="24"/>
                <w:highlight w:val="none"/>
                <w:lang w:val="en-US" w:eastAsia="zh-CN"/>
              </w:rPr>
              <w:t>】</w:t>
            </w:r>
            <w:r>
              <w:rPr>
                <w:rFonts w:hint="eastAsia" w:ascii="宋体" w:hAnsi="宋体"/>
                <w:color w:val="auto"/>
                <w:szCs w:val="24"/>
                <w:highlight w:val="none"/>
              </w:rPr>
              <w:t>发行</w:t>
            </w:r>
          </w:p>
        </w:tc>
      </w:tr>
      <w:tr w14:paraId="55AFA892">
        <w:trPr>
          <w:trHeight w:val="425" w:hRule="atLeast"/>
          <w:jc w:val="center"/>
        </w:trPr>
        <w:tc>
          <w:tcPr>
            <w:tcW w:w="2411" w:type="dxa"/>
            <w:vAlign w:val="center"/>
          </w:tcPr>
          <w:p w14:paraId="23C803B1">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本金及收益类型</w:t>
            </w:r>
          </w:p>
        </w:tc>
        <w:tc>
          <w:tcPr>
            <w:tcW w:w="6804" w:type="dxa"/>
            <w:gridSpan w:val="4"/>
            <w:vAlign w:val="center"/>
          </w:tcPr>
          <w:p w14:paraId="4349F27D">
            <w:pPr>
              <w:snapToGrid w:val="0"/>
              <w:rPr>
                <w:rFonts w:ascii="宋体" w:hAnsi="宋体"/>
                <w:color w:val="auto"/>
                <w:szCs w:val="24"/>
                <w:highlight w:val="none"/>
              </w:rPr>
            </w:pPr>
            <w:r>
              <w:rPr>
                <w:rFonts w:hint="eastAsia" w:ascii="宋体" w:hAnsi="宋体"/>
                <w:color w:val="auto"/>
                <w:szCs w:val="24"/>
                <w:highlight w:val="none"/>
              </w:rPr>
              <w:t>非保本浮动收益。本产品不保证理财本金且不保证收益。本产品的收益随投资收益浮动，投资者可能会因市场变动而蒙受损失。</w:t>
            </w:r>
          </w:p>
          <w:p w14:paraId="4D9C5FFC">
            <w:pPr>
              <w:snapToGrid w:val="0"/>
              <w:rPr>
                <w:rFonts w:ascii="宋体" w:hAnsi="宋体"/>
                <w:color w:val="auto"/>
                <w:szCs w:val="24"/>
                <w:highlight w:val="none"/>
              </w:rPr>
            </w:pPr>
            <w:r>
              <w:rPr>
                <w:rFonts w:hint="eastAsia" w:ascii="宋体" w:hAnsi="宋体"/>
                <w:color w:val="auto"/>
                <w:szCs w:val="24"/>
                <w:highlight w:val="none"/>
              </w:rPr>
              <w:t>理财产品管理人对本产品的本金并不提供保证，也不承诺任何固定收益。</w:t>
            </w:r>
          </w:p>
        </w:tc>
      </w:tr>
      <w:tr w14:paraId="4E771058">
        <w:trPr>
          <w:trHeight w:val="425" w:hRule="atLeast"/>
          <w:jc w:val="center"/>
        </w:trPr>
        <w:tc>
          <w:tcPr>
            <w:tcW w:w="2411" w:type="dxa"/>
            <w:vAlign w:val="center"/>
          </w:tcPr>
          <w:p w14:paraId="4352CBCB">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产品类型</w:t>
            </w:r>
          </w:p>
        </w:tc>
        <w:tc>
          <w:tcPr>
            <w:tcW w:w="6804" w:type="dxa"/>
            <w:gridSpan w:val="4"/>
            <w:vAlign w:val="center"/>
          </w:tcPr>
          <w:p w14:paraId="205CBBD2">
            <w:pPr>
              <w:snapToGrid w:val="0"/>
              <w:rPr>
                <w:rFonts w:ascii="宋体" w:hAnsi="宋体"/>
                <w:color w:val="auto"/>
                <w:szCs w:val="24"/>
                <w:highlight w:val="none"/>
              </w:rPr>
            </w:pPr>
            <w:r>
              <w:rPr>
                <w:rFonts w:hint="eastAsia" w:ascii="宋体" w:hAnsi="宋体"/>
                <w:color w:val="auto"/>
                <w:szCs w:val="24"/>
                <w:highlight w:val="none"/>
              </w:rPr>
              <w:t>固定收益类</w:t>
            </w:r>
          </w:p>
        </w:tc>
      </w:tr>
      <w:tr w14:paraId="0E51C381">
        <w:trPr>
          <w:trHeight w:val="425" w:hRule="atLeast"/>
          <w:jc w:val="center"/>
        </w:trPr>
        <w:tc>
          <w:tcPr>
            <w:tcW w:w="2411" w:type="dxa"/>
            <w:vAlign w:val="center"/>
          </w:tcPr>
          <w:p w14:paraId="174D86AA">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w:t>
            </w:r>
            <w:r>
              <w:rPr>
                <w:rFonts w:ascii="宋体" w:hAnsi="宋体"/>
                <w:color w:val="auto"/>
                <w:szCs w:val="24"/>
                <w:highlight w:val="none"/>
              </w:rPr>
              <w:t>运作</w:t>
            </w:r>
            <w:r>
              <w:rPr>
                <w:rFonts w:hint="eastAsia" w:ascii="宋体" w:hAnsi="宋体"/>
                <w:color w:val="auto"/>
                <w:szCs w:val="24"/>
                <w:highlight w:val="none"/>
              </w:rPr>
              <w:t>模式</w:t>
            </w:r>
          </w:p>
        </w:tc>
        <w:tc>
          <w:tcPr>
            <w:tcW w:w="6804" w:type="dxa"/>
            <w:gridSpan w:val="4"/>
            <w:vAlign w:val="center"/>
          </w:tcPr>
          <w:p w14:paraId="58F81210">
            <w:pPr>
              <w:snapToGrid w:val="0"/>
              <w:rPr>
                <w:rFonts w:ascii="宋体" w:hAnsi="宋体"/>
                <w:color w:val="auto"/>
                <w:szCs w:val="24"/>
                <w:highlight w:val="none"/>
              </w:rPr>
            </w:pPr>
            <w:r>
              <w:rPr>
                <w:rFonts w:hint="eastAsia" w:ascii="宋体" w:hAnsi="宋体"/>
                <w:color w:val="auto"/>
                <w:szCs w:val="24"/>
                <w:highlight w:val="none"/>
              </w:rPr>
              <w:t>开放式净值型</w:t>
            </w:r>
          </w:p>
        </w:tc>
      </w:tr>
      <w:tr w14:paraId="711F0FEA">
        <w:trPr>
          <w:trHeight w:val="425" w:hRule="atLeast"/>
          <w:jc w:val="center"/>
        </w:trPr>
        <w:tc>
          <w:tcPr>
            <w:tcW w:w="2411" w:type="dxa"/>
            <w:vAlign w:val="center"/>
          </w:tcPr>
          <w:p w14:paraId="143CCF90">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理财币种</w:t>
            </w:r>
          </w:p>
        </w:tc>
        <w:tc>
          <w:tcPr>
            <w:tcW w:w="6804" w:type="dxa"/>
            <w:gridSpan w:val="4"/>
            <w:vAlign w:val="center"/>
          </w:tcPr>
          <w:p w14:paraId="39D15ADD">
            <w:pPr>
              <w:autoSpaceDE w:val="0"/>
              <w:autoSpaceDN w:val="0"/>
              <w:adjustRightInd w:val="0"/>
              <w:snapToGrid w:val="0"/>
              <w:rPr>
                <w:rFonts w:ascii="宋体" w:hAnsi="宋体"/>
                <w:color w:val="auto"/>
                <w:szCs w:val="24"/>
                <w:highlight w:val="none"/>
              </w:rPr>
            </w:pPr>
            <w:r>
              <w:rPr>
                <w:rFonts w:hint="eastAsia" w:ascii="宋体" w:hAnsi="宋体"/>
                <w:color w:val="auto"/>
                <w:szCs w:val="24"/>
                <w:highlight w:val="none"/>
              </w:rPr>
              <w:t>人民币</w:t>
            </w:r>
          </w:p>
        </w:tc>
      </w:tr>
      <w:tr w14:paraId="7F0E3D96">
        <w:trPr>
          <w:trHeight w:val="425" w:hRule="atLeast"/>
          <w:jc w:val="center"/>
        </w:trPr>
        <w:tc>
          <w:tcPr>
            <w:tcW w:w="2411" w:type="dxa"/>
            <w:vAlign w:val="center"/>
          </w:tcPr>
          <w:p w14:paraId="1B8FAE41">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产品风险等级</w:t>
            </w:r>
          </w:p>
        </w:tc>
        <w:tc>
          <w:tcPr>
            <w:tcW w:w="6804" w:type="dxa"/>
            <w:gridSpan w:val="4"/>
            <w:vAlign w:val="center"/>
          </w:tcPr>
          <w:p w14:paraId="02D1719F">
            <w:pPr>
              <w:widowControl/>
              <w:tabs>
                <w:tab w:val="left" w:pos="709"/>
              </w:tabs>
              <w:snapToGrid w:val="0"/>
              <w:rPr>
                <w:rFonts w:ascii="宋体" w:hAnsi="宋体"/>
                <w:color w:val="auto"/>
                <w:szCs w:val="24"/>
                <w:highlight w:val="none"/>
              </w:rPr>
            </w:pP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R2</w:t>
            </w:r>
            <w:r>
              <w:rPr>
                <w:rFonts w:hint="eastAsia" w:ascii="仿宋_GB2312" w:hAnsi="宋体" w:cs="宋体"/>
                <w:bCs/>
                <w:color w:val="auto"/>
                <w:kern w:val="0"/>
                <w:szCs w:val="24"/>
                <w:highlight w:val="none"/>
                <w:lang w:val="en-US" w:eastAsia="zh-CN"/>
              </w:rPr>
              <w:t>】</w:t>
            </w:r>
            <w:r>
              <w:rPr>
                <w:rFonts w:hint="eastAsia" w:ascii="宋体" w:hAnsi="宋体"/>
                <w:color w:val="auto"/>
                <w:szCs w:val="24"/>
                <w:highlight w:val="none"/>
              </w:rPr>
              <w:t>对应风险等级为</w:t>
            </w:r>
            <w:r>
              <w:rPr>
                <w:rFonts w:hint="eastAsia" w:ascii="仿宋_GB2312" w:hAnsi="宋体" w:cs="宋体"/>
                <w:bCs/>
                <w:color w:val="auto"/>
                <w:kern w:val="0"/>
                <w:szCs w:val="24"/>
                <w:highlight w:val="none"/>
                <w:lang w:val="en-US" w:eastAsia="zh-CN"/>
              </w:rPr>
              <w:t>【</w:t>
            </w:r>
            <w:r>
              <w:rPr>
                <w:rFonts w:hint="eastAsia" w:ascii="宋体" w:hAnsi="宋体"/>
                <w:b/>
                <w:color w:val="auto"/>
                <w:szCs w:val="24"/>
                <w:highlight w:val="none"/>
              </w:rPr>
              <w:t>中</w:t>
            </w:r>
            <w:r>
              <w:rPr>
                <w:rFonts w:hint="eastAsia" w:ascii="宋体" w:hAnsi="宋体"/>
                <w:b/>
                <w:color w:val="auto"/>
                <w:szCs w:val="24"/>
                <w:highlight w:val="none"/>
                <w:lang w:val="en-US" w:eastAsia="zh-CN"/>
              </w:rPr>
              <w:t>低</w:t>
            </w:r>
            <w:r>
              <w:rPr>
                <w:rFonts w:hint="eastAsia" w:ascii="宋体" w:hAnsi="宋体"/>
                <w:b/>
                <w:color w:val="auto"/>
                <w:szCs w:val="24"/>
                <w:highlight w:val="none"/>
              </w:rPr>
              <w:t>风险</w:t>
            </w:r>
            <w:r>
              <w:rPr>
                <w:rFonts w:hint="eastAsia" w:ascii="仿宋_GB2312" w:hAnsi="宋体" w:cs="宋体"/>
                <w:bCs/>
                <w:color w:val="auto"/>
                <w:kern w:val="0"/>
                <w:szCs w:val="24"/>
                <w:highlight w:val="none"/>
                <w:lang w:val="en-US" w:eastAsia="zh-CN"/>
              </w:rPr>
              <w:t>】</w:t>
            </w:r>
            <w:r>
              <w:rPr>
                <w:rFonts w:hint="eastAsia" w:ascii="宋体" w:hAnsi="宋体"/>
                <w:color w:val="auto"/>
                <w:szCs w:val="24"/>
                <w:highlight w:val="none"/>
              </w:rPr>
              <w:t>。</w:t>
            </w:r>
          </w:p>
          <w:p w14:paraId="12ADED47">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本评级为管理人内部测评结果，仅供投资者参考。</w:t>
            </w:r>
            <w:r>
              <w:rPr>
                <w:rFonts w:hint="eastAsia" w:ascii="宋体" w:hAnsi="宋体"/>
                <w:b/>
                <w:color w:val="auto"/>
                <w:szCs w:val="24"/>
                <w:highlight w:val="none"/>
              </w:rPr>
              <w:t>本产品通过代理销售机构渠道销售的，理财产品评级应当以代理销售机构最终披露的评级结果为准。</w:t>
            </w:r>
            <w:r>
              <w:rPr>
                <w:rFonts w:ascii="宋体" w:hAnsi="宋体"/>
                <w:color w:val="auto"/>
                <w:szCs w:val="24"/>
                <w:highlight w:val="none"/>
              </w:rPr>
              <w:t>(</w:t>
            </w:r>
            <w:r>
              <w:rPr>
                <w:rFonts w:hint="eastAsia" w:ascii="宋体" w:hAnsi="宋体"/>
                <w:color w:val="auto"/>
                <w:szCs w:val="24"/>
                <w:highlight w:val="none"/>
              </w:rPr>
              <w:t>管理</w:t>
            </w:r>
            <w:r>
              <w:rPr>
                <w:rFonts w:ascii="宋体" w:hAnsi="宋体"/>
                <w:color w:val="auto"/>
                <w:szCs w:val="24"/>
                <w:highlight w:val="none"/>
              </w:rPr>
              <w:t>人与</w:t>
            </w:r>
            <w:r>
              <w:rPr>
                <w:rFonts w:hint="eastAsia" w:ascii="宋体" w:hAnsi="宋体"/>
                <w:color w:val="auto"/>
                <w:szCs w:val="24"/>
                <w:highlight w:val="none"/>
              </w:rPr>
              <w:t>代理</w:t>
            </w:r>
            <w:r>
              <w:rPr>
                <w:rFonts w:ascii="宋体" w:hAnsi="宋体"/>
                <w:color w:val="auto"/>
                <w:szCs w:val="24"/>
                <w:highlight w:val="none"/>
              </w:rPr>
              <w:t>销售机构</w:t>
            </w:r>
            <w:r>
              <w:rPr>
                <w:rFonts w:hint="eastAsia" w:ascii="宋体" w:hAnsi="宋体"/>
                <w:color w:val="auto"/>
                <w:szCs w:val="24"/>
                <w:highlight w:val="none"/>
              </w:rPr>
              <w:t>的</w:t>
            </w:r>
            <w:r>
              <w:rPr>
                <w:rFonts w:ascii="宋体" w:hAnsi="宋体"/>
                <w:color w:val="auto"/>
                <w:szCs w:val="24"/>
                <w:highlight w:val="none"/>
              </w:rPr>
              <w:t>风险</w:t>
            </w:r>
            <w:r>
              <w:rPr>
                <w:rFonts w:hint="eastAsia" w:ascii="宋体" w:hAnsi="宋体"/>
                <w:color w:val="auto"/>
                <w:szCs w:val="24"/>
                <w:highlight w:val="none"/>
              </w:rPr>
              <w:t>等级评估结果</w:t>
            </w:r>
            <w:r>
              <w:rPr>
                <w:rFonts w:ascii="宋体" w:hAnsi="宋体"/>
                <w:color w:val="auto"/>
                <w:szCs w:val="24"/>
                <w:highlight w:val="none"/>
              </w:rPr>
              <w:t>不一致的应采用</w:t>
            </w:r>
            <w:r>
              <w:rPr>
                <w:rFonts w:hint="eastAsia" w:ascii="宋体" w:hAnsi="宋体"/>
                <w:color w:val="auto"/>
                <w:szCs w:val="24"/>
                <w:highlight w:val="none"/>
              </w:rPr>
              <w:t>对应</w:t>
            </w:r>
            <w:r>
              <w:rPr>
                <w:rFonts w:ascii="宋体" w:hAnsi="宋体"/>
                <w:color w:val="auto"/>
                <w:szCs w:val="24"/>
                <w:highlight w:val="none"/>
              </w:rPr>
              <w:t>较高风险</w:t>
            </w:r>
            <w:r>
              <w:rPr>
                <w:rFonts w:hint="eastAsia" w:ascii="宋体" w:hAnsi="宋体"/>
                <w:color w:val="auto"/>
                <w:szCs w:val="24"/>
                <w:highlight w:val="none"/>
              </w:rPr>
              <w:t>的</w:t>
            </w:r>
            <w:r>
              <w:rPr>
                <w:rFonts w:ascii="宋体" w:hAnsi="宋体"/>
                <w:color w:val="auto"/>
                <w:szCs w:val="24"/>
                <w:highlight w:val="none"/>
              </w:rPr>
              <w:t>评级</w:t>
            </w:r>
            <w:r>
              <w:rPr>
                <w:rFonts w:hint="eastAsia" w:ascii="宋体" w:hAnsi="宋体"/>
                <w:color w:val="auto"/>
                <w:szCs w:val="24"/>
                <w:highlight w:val="none"/>
              </w:rPr>
              <w:t>结果。</w:t>
            </w:r>
            <w:r>
              <w:rPr>
                <w:rFonts w:ascii="宋体" w:hAnsi="宋体"/>
                <w:color w:val="auto"/>
                <w:szCs w:val="24"/>
                <w:highlight w:val="none"/>
              </w:rPr>
              <w:t>)</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14:paraId="627C59F1">
        <w:trPr>
          <w:trHeight w:val="1520" w:hRule="atLeast"/>
          <w:jc w:val="center"/>
        </w:trPr>
        <w:tc>
          <w:tcPr>
            <w:tcW w:w="2411" w:type="dxa"/>
            <w:vAlign w:val="center"/>
          </w:tcPr>
          <w:p w14:paraId="53DB133C">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投资者范围</w:t>
            </w:r>
          </w:p>
        </w:tc>
        <w:tc>
          <w:tcPr>
            <w:tcW w:w="6804" w:type="dxa"/>
            <w:gridSpan w:val="4"/>
            <w:vAlign w:val="center"/>
          </w:tcPr>
          <w:p w14:paraId="690B039E">
            <w:pPr>
              <w:snapToGrid w:val="0"/>
              <w:rPr>
                <w:rFonts w:ascii="宋体" w:hAnsi="宋体"/>
                <w:color w:val="auto"/>
                <w:szCs w:val="24"/>
                <w:highlight w:val="none"/>
              </w:rPr>
            </w:pPr>
            <w:r>
              <w:rPr>
                <w:rFonts w:hint="eastAsia" w:ascii="宋体" w:hAnsi="宋体"/>
                <w:color w:val="auto"/>
                <w:szCs w:val="24"/>
                <w:highlight w:val="none"/>
              </w:rPr>
              <w:t>不特定社会公众（个人、机构投资者）；其中，普通投资者应符合相关法律法规、监管规定，经销售机构评估评定投资者风险承受能力与本产品风险等级相适应。</w:t>
            </w:r>
          </w:p>
          <w:p w14:paraId="08642DD7">
            <w:pPr>
              <w:snapToGrid w:val="0"/>
              <w:rPr>
                <w:rFonts w:ascii="宋体" w:hAnsi="宋体"/>
                <w:color w:val="auto"/>
                <w:szCs w:val="24"/>
                <w:highlight w:val="none"/>
              </w:rPr>
            </w:pPr>
            <w:r>
              <w:rPr>
                <w:rFonts w:hint="eastAsia" w:ascii="宋体" w:hAnsi="宋体"/>
                <w:color w:val="auto"/>
                <w:szCs w:val="24"/>
                <w:highlight w:val="none"/>
              </w:rPr>
              <w:t>本产品通过销售机构销售的，产品风险等级应当以销售机构最终披露的评级结果为准。</w:t>
            </w:r>
          </w:p>
        </w:tc>
      </w:tr>
      <w:tr w14:paraId="15C775E3">
        <w:trPr>
          <w:trHeight w:val="425" w:hRule="atLeast"/>
          <w:jc w:val="center"/>
        </w:trPr>
        <w:tc>
          <w:tcPr>
            <w:tcW w:w="2411" w:type="dxa"/>
            <w:vAlign w:val="center"/>
          </w:tcPr>
          <w:p w14:paraId="70090E6F">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计划发行规模</w:t>
            </w:r>
          </w:p>
        </w:tc>
        <w:tc>
          <w:tcPr>
            <w:tcW w:w="6804" w:type="dxa"/>
            <w:gridSpan w:val="4"/>
            <w:vAlign w:val="center"/>
          </w:tcPr>
          <w:p w14:paraId="13F8AD32">
            <w:pPr>
              <w:widowControl/>
              <w:jc w:val="left"/>
              <w:rPr>
                <w:rFonts w:ascii="宋体" w:hAnsi="宋体"/>
                <w:b/>
                <w:color w:val="auto"/>
                <w:szCs w:val="24"/>
                <w:highlight w:val="none"/>
              </w:rPr>
            </w:pPr>
            <w:r>
              <w:rPr>
                <w:rFonts w:hint="eastAsia" w:ascii="宋体" w:hAnsi="宋体"/>
                <w:color w:val="auto"/>
                <w:szCs w:val="24"/>
                <w:highlight w:val="none"/>
              </w:rPr>
              <w:t>发行规模上限</w:t>
            </w:r>
            <w:r>
              <w:rPr>
                <w:rFonts w:hint="eastAsia" w:ascii="仿宋_GB2312" w:hAnsi="宋体" w:cs="宋体"/>
                <w:bCs/>
                <w:color w:val="auto"/>
                <w:kern w:val="0"/>
                <w:szCs w:val="24"/>
                <w:highlight w:val="none"/>
                <w:lang w:val="en-US" w:eastAsia="zh-CN"/>
              </w:rPr>
              <w:t>【200】</w:t>
            </w:r>
            <w:r>
              <w:rPr>
                <w:rFonts w:hint="eastAsia" w:ascii="宋体" w:hAnsi="宋体"/>
                <w:b/>
                <w:color w:val="auto"/>
                <w:szCs w:val="24"/>
                <w:highlight w:val="none"/>
              </w:rPr>
              <w:t>亿元。</w:t>
            </w:r>
          </w:p>
          <w:p w14:paraId="5506302E">
            <w:pPr>
              <w:widowControl/>
              <w:jc w:val="left"/>
              <w:rPr>
                <w:rFonts w:ascii="宋体" w:hAnsi="宋体" w:cs="宋体"/>
                <w:b/>
                <w:color w:val="auto"/>
                <w:szCs w:val="24"/>
                <w:highlight w:val="none"/>
              </w:rPr>
            </w:pPr>
            <w:r>
              <w:rPr>
                <w:rFonts w:hint="eastAsia"/>
                <w:b/>
                <w:bCs/>
                <w:color w:val="auto"/>
                <w:szCs w:val="24"/>
                <w:highlight w:val="none"/>
              </w:rPr>
              <w:t>管理人有权根据实际需要调整发行规模上限。</w:t>
            </w:r>
          </w:p>
        </w:tc>
      </w:tr>
      <w:tr w14:paraId="4EF0CE26">
        <w:trPr>
          <w:trHeight w:val="90" w:hRule="atLeast"/>
          <w:jc w:val="center"/>
        </w:trPr>
        <w:tc>
          <w:tcPr>
            <w:tcW w:w="2411" w:type="dxa"/>
            <w:vAlign w:val="center"/>
          </w:tcPr>
          <w:p w14:paraId="5C638B5A">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产品最低成立规模</w:t>
            </w:r>
          </w:p>
        </w:tc>
        <w:tc>
          <w:tcPr>
            <w:tcW w:w="6804" w:type="dxa"/>
            <w:gridSpan w:val="4"/>
            <w:vAlign w:val="center"/>
          </w:tcPr>
          <w:p w14:paraId="1D4D3A5C">
            <w:pPr>
              <w:widowControl/>
              <w:jc w:val="left"/>
              <w:rPr>
                <w:rFonts w:ascii="宋体" w:hAnsi="宋体"/>
                <w:bCs/>
                <w:color w:val="auto"/>
                <w:szCs w:val="24"/>
                <w:highlight w:val="none"/>
              </w:rPr>
            </w:pPr>
            <w:r>
              <w:rPr>
                <w:rFonts w:hint="eastAsia" w:ascii="仿宋_GB2312" w:hAnsi="宋体" w:cs="宋体"/>
                <w:bCs/>
                <w:color w:val="auto"/>
                <w:kern w:val="0"/>
                <w:szCs w:val="24"/>
                <w:highlight w:val="none"/>
                <w:lang w:val="en-US" w:eastAsia="zh-CN"/>
              </w:rPr>
              <w:t>【/】</w:t>
            </w:r>
            <w:r>
              <w:rPr>
                <w:rFonts w:hint="eastAsia" w:ascii="宋体" w:hAnsi="宋体"/>
                <w:bCs/>
                <w:color w:val="auto"/>
                <w:szCs w:val="24"/>
                <w:highlight w:val="none"/>
              </w:rPr>
              <w:t>亿元。</w:t>
            </w:r>
          </w:p>
          <w:p w14:paraId="49A30B68">
            <w:pPr>
              <w:widowControl/>
              <w:jc w:val="left"/>
              <w:rPr>
                <w:color w:val="auto"/>
                <w:szCs w:val="24"/>
                <w:highlight w:val="none"/>
              </w:rPr>
            </w:pPr>
            <w:r>
              <w:rPr>
                <w:rFonts w:hint="eastAsia"/>
                <w:color w:val="auto"/>
                <w:szCs w:val="24"/>
                <w:highlight w:val="none"/>
              </w:rPr>
              <w:t>若认购金额不足</w:t>
            </w:r>
            <w:r>
              <w:rPr>
                <w:rFonts w:hint="eastAsia" w:ascii="仿宋_GB2312" w:hAnsi="宋体" w:cs="宋体"/>
                <w:bCs/>
                <w:color w:val="auto"/>
                <w:kern w:val="0"/>
                <w:szCs w:val="24"/>
                <w:highlight w:val="none"/>
                <w:lang w:val="en-US" w:eastAsia="zh-CN"/>
              </w:rPr>
              <w:t>【/】</w:t>
            </w:r>
            <w:r>
              <w:rPr>
                <w:rFonts w:hint="eastAsia" w:ascii="宋体" w:hAnsi="宋体"/>
                <w:bCs/>
                <w:color w:val="auto"/>
                <w:szCs w:val="24"/>
                <w:highlight w:val="none"/>
              </w:rPr>
              <w:t>亿元</w:t>
            </w:r>
            <w:r>
              <w:rPr>
                <w:rFonts w:hint="eastAsia"/>
                <w:color w:val="auto"/>
                <w:szCs w:val="24"/>
                <w:highlight w:val="none"/>
              </w:rPr>
              <w:t>，</w:t>
            </w:r>
            <w:r>
              <w:rPr>
                <w:rFonts w:hint="eastAsia"/>
                <w:b/>
                <w:bCs/>
                <w:color w:val="auto"/>
                <w:szCs w:val="24"/>
                <w:highlight w:val="none"/>
              </w:rPr>
              <w:t>管理人有权宣布理财产品不成立，亦有权调整</w:t>
            </w:r>
            <w:r>
              <w:rPr>
                <w:rFonts w:hint="eastAsia" w:ascii="宋体" w:hAnsi="宋体"/>
                <w:b/>
                <w:bCs/>
                <w:color w:val="auto"/>
                <w:szCs w:val="24"/>
                <w:highlight w:val="none"/>
              </w:rPr>
              <w:t>产品最低成立规模，具体以管理人公告为准</w:t>
            </w:r>
            <w:r>
              <w:rPr>
                <w:rFonts w:hint="eastAsia"/>
                <w:color w:val="auto"/>
                <w:szCs w:val="24"/>
                <w:highlight w:val="none"/>
              </w:rPr>
              <w:t>。</w:t>
            </w:r>
          </w:p>
        </w:tc>
      </w:tr>
      <w:tr w14:paraId="79DA798B">
        <w:trPr>
          <w:trHeight w:val="425" w:hRule="atLeast"/>
          <w:jc w:val="center"/>
        </w:trPr>
        <w:tc>
          <w:tcPr>
            <w:tcW w:w="2411" w:type="dxa"/>
            <w:vAlign w:val="center"/>
          </w:tcPr>
          <w:p w14:paraId="754BB865">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产品认购期/募集期</w:t>
            </w:r>
          </w:p>
        </w:tc>
        <w:tc>
          <w:tcPr>
            <w:tcW w:w="6804" w:type="dxa"/>
            <w:gridSpan w:val="4"/>
            <w:vAlign w:val="center"/>
          </w:tcPr>
          <w:p w14:paraId="17F285DA">
            <w:pPr>
              <w:autoSpaceDE w:val="0"/>
              <w:autoSpaceDN w:val="0"/>
              <w:adjustRightInd w:val="0"/>
              <w:snapToGrid w:val="0"/>
              <w:rPr>
                <w:rFonts w:ascii="宋体" w:hAnsi="宋体"/>
                <w:b/>
                <w:color w:val="auto"/>
                <w:szCs w:val="24"/>
                <w:highlight w:val="none"/>
              </w:rPr>
            </w:pPr>
            <w:r>
              <w:rPr>
                <w:rFonts w:hint="eastAsia" w:ascii="宋体" w:hAnsi="宋体"/>
                <w:color w:val="auto"/>
                <w:szCs w:val="24"/>
                <w:highlight w:val="none"/>
              </w:rPr>
              <w:t>【</w:t>
            </w:r>
            <w:r>
              <w:rPr>
                <w:rFonts w:hint="eastAsia" w:ascii="宋体" w:hAnsi="宋体"/>
                <w:b/>
                <w:color w:val="auto"/>
                <w:szCs w:val="24"/>
                <w:highlight w:val="none"/>
                <w:lang w:val="en-US" w:eastAsia="zh-CN"/>
              </w:rPr>
              <w:t>2026</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29</w:t>
            </w:r>
            <w:r>
              <w:rPr>
                <w:rFonts w:hint="eastAsia" w:ascii="宋体" w:hAnsi="宋体"/>
                <w:b/>
                <w:color w:val="auto"/>
                <w:szCs w:val="24"/>
                <w:highlight w:val="none"/>
              </w:rPr>
              <w:t>】日【9:00】—</w:t>
            </w:r>
            <w:r>
              <w:rPr>
                <w:rFonts w:hint="eastAsia" w:ascii="宋体" w:hAnsi="宋体"/>
                <w:color w:val="auto"/>
                <w:szCs w:val="24"/>
                <w:highlight w:val="none"/>
              </w:rPr>
              <w:t>【</w:t>
            </w:r>
            <w:r>
              <w:rPr>
                <w:rFonts w:hint="eastAsia" w:ascii="宋体" w:hAnsi="宋体"/>
                <w:b/>
                <w:bCs/>
                <w:color w:val="auto"/>
                <w:szCs w:val="24"/>
                <w:highlight w:val="none"/>
                <w:lang w:val="en-US" w:eastAsia="zh-CN"/>
              </w:rPr>
              <w:t>2026</w:t>
            </w:r>
            <w:r>
              <w:rPr>
                <w:rFonts w:hint="eastAsia" w:ascii="宋体" w:hAnsi="宋体"/>
                <w:b/>
                <w:bCs/>
                <w:color w:val="auto"/>
                <w:szCs w:val="24"/>
                <w:highlight w:val="none"/>
              </w:rPr>
              <w:t>】</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3</w:t>
            </w:r>
            <w:r>
              <w:rPr>
                <w:rFonts w:hint="eastAsia" w:ascii="宋体" w:hAnsi="宋体"/>
                <w:b/>
                <w:color w:val="auto"/>
                <w:szCs w:val="24"/>
                <w:highlight w:val="none"/>
              </w:rPr>
              <w:t>】日【1</w:t>
            </w:r>
            <w:r>
              <w:rPr>
                <w:rFonts w:ascii="宋体" w:hAnsi="宋体"/>
                <w:b/>
                <w:color w:val="auto"/>
                <w:szCs w:val="24"/>
                <w:highlight w:val="none"/>
              </w:rPr>
              <w:t>5</w:t>
            </w:r>
            <w:r>
              <w:rPr>
                <w:rFonts w:hint="eastAsia" w:ascii="宋体" w:hAnsi="宋体"/>
                <w:b/>
                <w:color w:val="auto"/>
                <w:szCs w:val="24"/>
                <w:highlight w:val="none"/>
              </w:rPr>
              <w:t>:</w:t>
            </w:r>
            <w:r>
              <w:rPr>
                <w:rFonts w:hint="eastAsia" w:ascii="宋体" w:hAnsi="宋体"/>
                <w:b/>
                <w:color w:val="auto"/>
                <w:szCs w:val="24"/>
                <w:highlight w:val="none"/>
                <w:lang w:val="en-US" w:eastAsia="zh-CN"/>
              </w:rPr>
              <w:t>0</w:t>
            </w:r>
            <w:r>
              <w:rPr>
                <w:rFonts w:hint="eastAsia" w:ascii="宋体" w:hAnsi="宋体"/>
                <w:b/>
                <w:color w:val="auto"/>
                <w:szCs w:val="24"/>
                <w:highlight w:val="none"/>
              </w:rPr>
              <w:t>0】</w:t>
            </w:r>
          </w:p>
          <w:p w14:paraId="114CC055">
            <w:pPr>
              <w:autoSpaceDE w:val="0"/>
              <w:autoSpaceDN w:val="0"/>
              <w:adjustRightInd w:val="0"/>
              <w:snapToGrid w:val="0"/>
              <w:rPr>
                <w:rFonts w:ascii="宋体" w:hAnsi="宋体"/>
                <w:b/>
                <w:color w:val="auto"/>
                <w:szCs w:val="24"/>
                <w:highlight w:val="none"/>
              </w:rPr>
            </w:pPr>
            <w:r>
              <w:rPr>
                <w:rFonts w:hint="eastAsia"/>
                <w:color w:val="auto"/>
                <w:szCs w:val="24"/>
                <w:highlight w:val="none"/>
              </w:rPr>
              <w:t>销售机构实际受理时间可能与说明书不一致，具体以销售机构通知为准。</w:t>
            </w:r>
            <w:r>
              <w:rPr>
                <w:rFonts w:hint="eastAsia" w:ascii="宋体" w:hAnsi="宋体"/>
                <w:b/>
                <w:color w:val="auto"/>
                <w:szCs w:val="24"/>
                <w:highlight w:val="none"/>
              </w:rPr>
              <w:t>管理人有权提前结束募集并提前成立理财产品或延长募集期，具体以管理人或销售机构公告为准。</w:t>
            </w:r>
          </w:p>
        </w:tc>
      </w:tr>
      <w:tr w14:paraId="5A6714AE">
        <w:trPr>
          <w:trHeight w:val="90" w:hRule="atLeast"/>
          <w:jc w:val="center"/>
        </w:trPr>
        <w:tc>
          <w:tcPr>
            <w:tcW w:w="2411" w:type="dxa"/>
            <w:vAlign w:val="center"/>
          </w:tcPr>
          <w:p w14:paraId="0EA1FFE2">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产品期限</w:t>
            </w:r>
          </w:p>
        </w:tc>
        <w:tc>
          <w:tcPr>
            <w:tcW w:w="6804" w:type="dxa"/>
            <w:gridSpan w:val="4"/>
            <w:vAlign w:val="center"/>
          </w:tcPr>
          <w:p w14:paraId="7844D31E">
            <w:pPr>
              <w:autoSpaceDE w:val="0"/>
              <w:autoSpaceDN w:val="0"/>
              <w:adjustRightInd w:val="0"/>
              <w:snapToGrid w:val="0"/>
              <w:rPr>
                <w:rFonts w:ascii="宋体" w:hAnsi="宋体"/>
                <w:color w:val="auto"/>
                <w:szCs w:val="24"/>
                <w:highlight w:val="none"/>
              </w:rPr>
            </w:pPr>
            <w:r>
              <w:rPr>
                <w:rFonts w:hint="eastAsia" w:ascii="宋体" w:hAnsi="宋体"/>
                <w:b/>
                <w:color w:val="auto"/>
                <w:szCs w:val="24"/>
                <w:highlight w:val="none"/>
              </w:rPr>
              <w:t>无固定期限</w:t>
            </w:r>
            <w:r>
              <w:rPr>
                <w:rFonts w:hint="eastAsia" w:ascii="宋体" w:hAnsi="宋体"/>
                <w:color w:val="auto"/>
                <w:szCs w:val="24"/>
                <w:highlight w:val="none"/>
              </w:rPr>
              <w:t>。产品管理人有权根据实际情况提前终止，并提前</w:t>
            </w:r>
            <w:r>
              <w:rPr>
                <w:rFonts w:hint="eastAsia" w:ascii="仿宋_GB2312" w:hAnsi="宋体" w:cs="宋体"/>
                <w:bCs/>
                <w:color w:val="auto"/>
                <w:kern w:val="0"/>
                <w:szCs w:val="24"/>
                <w:highlight w:val="none"/>
                <w:lang w:val="en-US" w:eastAsia="zh-CN"/>
              </w:rPr>
              <w:t>【2】</w:t>
            </w:r>
            <w:r>
              <w:rPr>
                <w:rFonts w:hint="eastAsia" w:ascii="宋体" w:hAnsi="宋体"/>
                <w:color w:val="auto"/>
                <w:szCs w:val="24"/>
                <w:highlight w:val="none"/>
              </w:rPr>
              <w:t>个</w:t>
            </w:r>
            <w:r>
              <w:rPr>
                <w:rFonts w:ascii="宋体" w:hAnsi="宋体"/>
                <w:color w:val="auto"/>
                <w:szCs w:val="24"/>
                <w:highlight w:val="none"/>
              </w:rPr>
              <w:t>工作</w:t>
            </w:r>
            <w:r>
              <w:rPr>
                <w:rFonts w:hint="eastAsia" w:ascii="宋体" w:hAnsi="宋体"/>
                <w:color w:val="auto"/>
                <w:szCs w:val="24"/>
                <w:highlight w:val="none"/>
              </w:rPr>
              <w:t>日按照本《产品说明书》“信息披露”约定的方式通知投资者。</w:t>
            </w:r>
          </w:p>
        </w:tc>
      </w:tr>
      <w:tr w14:paraId="6F30508C">
        <w:trPr>
          <w:trHeight w:val="425" w:hRule="atLeast"/>
          <w:jc w:val="center"/>
        </w:trPr>
        <w:tc>
          <w:tcPr>
            <w:tcW w:w="2411" w:type="dxa"/>
            <w:vAlign w:val="center"/>
          </w:tcPr>
          <w:p w14:paraId="5B0E9216">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产品成立日</w:t>
            </w:r>
          </w:p>
        </w:tc>
        <w:tc>
          <w:tcPr>
            <w:tcW w:w="6804" w:type="dxa"/>
            <w:gridSpan w:val="4"/>
            <w:vAlign w:val="center"/>
          </w:tcPr>
          <w:p w14:paraId="11AF5C16">
            <w:pPr>
              <w:snapToGrid w:val="0"/>
              <w:rPr>
                <w:rFonts w:ascii="宋体" w:hAnsi="宋体"/>
                <w:b/>
                <w:color w:val="auto"/>
                <w:szCs w:val="24"/>
                <w:highlight w:val="none"/>
              </w:rPr>
            </w:pPr>
            <w:r>
              <w:rPr>
                <w:rFonts w:hint="eastAsia" w:ascii="宋体" w:hAnsi="宋体"/>
                <w:b/>
                <w:color w:val="auto"/>
                <w:szCs w:val="24"/>
                <w:highlight w:val="none"/>
              </w:rPr>
              <w:t>本产品</w:t>
            </w:r>
            <w:r>
              <w:rPr>
                <w:rFonts w:ascii="宋体" w:hAnsi="宋体"/>
                <w:b/>
                <w:color w:val="auto"/>
                <w:szCs w:val="24"/>
                <w:highlight w:val="none"/>
              </w:rPr>
              <w:t>计划成立日</w:t>
            </w:r>
            <w:r>
              <w:rPr>
                <w:rFonts w:hint="eastAsia" w:ascii="宋体" w:hAnsi="宋体"/>
                <w:b/>
                <w:color w:val="auto"/>
                <w:szCs w:val="24"/>
                <w:highlight w:val="none"/>
              </w:rPr>
              <w:t>为</w:t>
            </w:r>
            <w:r>
              <w:rPr>
                <w:rFonts w:hint="eastAsia" w:ascii="宋体" w:hAnsi="宋体"/>
                <w:color w:val="auto"/>
                <w:szCs w:val="24"/>
                <w:highlight w:val="none"/>
              </w:rPr>
              <w:t>【</w:t>
            </w:r>
            <w:r>
              <w:rPr>
                <w:rFonts w:hint="eastAsia" w:ascii="宋体" w:hAnsi="宋体"/>
                <w:b/>
                <w:color w:val="auto"/>
                <w:szCs w:val="24"/>
                <w:highlight w:val="none"/>
                <w:lang w:val="en-US" w:eastAsia="zh-CN"/>
              </w:rPr>
              <w:t>2026</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4</w:t>
            </w:r>
            <w:r>
              <w:rPr>
                <w:rFonts w:hint="eastAsia" w:ascii="宋体" w:hAnsi="宋体"/>
                <w:b/>
                <w:color w:val="auto"/>
                <w:szCs w:val="24"/>
                <w:highlight w:val="none"/>
              </w:rPr>
              <w:t>】日，如遇非</w:t>
            </w:r>
            <w:r>
              <w:rPr>
                <w:rFonts w:hint="eastAsia" w:ascii="宋体" w:hAnsi="宋体"/>
                <w:color w:val="auto"/>
                <w:szCs w:val="24"/>
                <w:highlight w:val="none"/>
              </w:rPr>
              <w:t>交易日</w:t>
            </w:r>
            <w:r>
              <w:rPr>
                <w:rFonts w:hint="eastAsia" w:ascii="宋体" w:hAnsi="宋体"/>
                <w:b/>
                <w:color w:val="auto"/>
                <w:szCs w:val="24"/>
                <w:highlight w:val="none"/>
              </w:rPr>
              <w:t>则顺延至下一</w:t>
            </w:r>
            <w:r>
              <w:rPr>
                <w:rFonts w:hint="eastAsia" w:ascii="宋体" w:hAnsi="宋体"/>
                <w:color w:val="auto"/>
                <w:szCs w:val="24"/>
                <w:highlight w:val="none"/>
              </w:rPr>
              <w:t>交易日</w:t>
            </w:r>
            <w:r>
              <w:rPr>
                <w:rFonts w:hint="eastAsia" w:ascii="宋体" w:hAnsi="宋体"/>
                <w:b/>
                <w:color w:val="auto"/>
                <w:szCs w:val="24"/>
                <w:highlight w:val="none"/>
              </w:rPr>
              <w:t>。</w:t>
            </w:r>
          </w:p>
          <w:p w14:paraId="4D9BEAE3">
            <w:pPr>
              <w:snapToGrid w:val="0"/>
              <w:rPr>
                <w:rFonts w:ascii="宋体" w:hAnsi="宋体"/>
                <w:b/>
                <w:color w:val="auto"/>
                <w:szCs w:val="24"/>
                <w:highlight w:val="none"/>
              </w:rPr>
            </w:pPr>
            <w:r>
              <w:rPr>
                <w:rFonts w:hint="eastAsia" w:ascii="宋体" w:hAnsi="宋体"/>
                <w:b/>
                <w:color w:val="auto"/>
                <w:szCs w:val="24"/>
                <w:highlight w:val="none"/>
              </w:rPr>
              <w:t>如本理财产品募集期提前终止或延长，实际成立日以管理人或销售机构公告为准。</w:t>
            </w:r>
          </w:p>
        </w:tc>
      </w:tr>
      <w:tr w14:paraId="697395FF">
        <w:trPr>
          <w:trHeight w:val="425" w:hRule="atLeast"/>
          <w:jc w:val="center"/>
        </w:trPr>
        <w:tc>
          <w:tcPr>
            <w:tcW w:w="2411" w:type="dxa"/>
            <w:vAlign w:val="center"/>
          </w:tcPr>
          <w:p w14:paraId="17D6BFBF">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申购/赎回安排</w:t>
            </w:r>
          </w:p>
        </w:tc>
        <w:tc>
          <w:tcPr>
            <w:tcW w:w="6804" w:type="dxa"/>
            <w:gridSpan w:val="4"/>
            <w:vAlign w:val="center"/>
          </w:tcPr>
          <w:p w14:paraId="1FE7B4FE">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本产品的封闭期</w:t>
            </w:r>
          </w:p>
          <w:p w14:paraId="6654C065">
            <w:pPr>
              <w:snapToGrid w:val="0"/>
              <w:rPr>
                <w:rFonts w:ascii="宋体" w:hAnsi="宋体"/>
                <w:color w:val="auto"/>
                <w:szCs w:val="24"/>
                <w:highlight w:val="none"/>
              </w:rPr>
            </w:pPr>
            <w:r>
              <w:rPr>
                <w:rFonts w:hint="eastAsia" w:ascii="宋体" w:hAnsi="宋体"/>
                <w:color w:val="auto"/>
                <w:szCs w:val="24"/>
                <w:highlight w:val="none"/>
              </w:rPr>
              <w:t>本产品成立后，产品封闭期为【</w:t>
            </w:r>
            <w:r>
              <w:rPr>
                <w:rFonts w:hint="eastAsia" w:ascii="宋体" w:hAnsi="宋体"/>
                <w:b/>
                <w:color w:val="auto"/>
                <w:szCs w:val="24"/>
                <w:highlight w:val="none"/>
                <w:lang w:val="en-US" w:eastAsia="zh-CN"/>
              </w:rPr>
              <w:t>2026</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4</w:t>
            </w:r>
            <w:r>
              <w:rPr>
                <w:rFonts w:hint="eastAsia" w:ascii="宋体" w:hAnsi="宋体"/>
                <w:b/>
                <w:color w:val="auto"/>
                <w:szCs w:val="24"/>
                <w:highlight w:val="none"/>
              </w:rPr>
              <w:t>】日</w:t>
            </w:r>
            <w:r>
              <w:rPr>
                <w:rFonts w:hint="eastAsia" w:ascii="宋体" w:hAnsi="宋体"/>
                <w:color w:val="auto"/>
                <w:szCs w:val="24"/>
                <w:highlight w:val="none"/>
              </w:rPr>
              <w:t>至【</w:t>
            </w:r>
            <w:r>
              <w:rPr>
                <w:rFonts w:hint="eastAsia" w:ascii="宋体" w:hAnsi="宋体"/>
                <w:b/>
                <w:color w:val="auto"/>
                <w:szCs w:val="24"/>
                <w:highlight w:val="none"/>
                <w:lang w:val="en-US" w:eastAsia="zh-CN"/>
              </w:rPr>
              <w:t>2026</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4</w:t>
            </w:r>
            <w:r>
              <w:rPr>
                <w:rFonts w:hint="eastAsia" w:ascii="宋体" w:hAnsi="宋体"/>
                <w:b/>
                <w:color w:val="auto"/>
                <w:szCs w:val="24"/>
                <w:highlight w:val="none"/>
              </w:rPr>
              <w:t>】日</w:t>
            </w:r>
            <w:r>
              <w:rPr>
                <w:rFonts w:hint="eastAsia" w:ascii="宋体" w:hAnsi="宋体"/>
                <w:color w:val="auto"/>
                <w:szCs w:val="24"/>
                <w:highlight w:val="none"/>
              </w:rPr>
              <w:t>，封闭期内不接受申购或赎回申请。</w:t>
            </w:r>
          </w:p>
          <w:p w14:paraId="68FB4D8F">
            <w:pPr>
              <w:snapToGrid w:val="0"/>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rPr>
              <w:t>本产品的开放期</w:t>
            </w:r>
          </w:p>
          <w:p w14:paraId="5E7C4AC3">
            <w:pPr>
              <w:snapToGrid w:val="0"/>
              <w:rPr>
                <w:rFonts w:ascii="宋体" w:hAnsi="宋体"/>
                <w:color w:val="auto"/>
                <w:szCs w:val="24"/>
                <w:highlight w:val="none"/>
              </w:rPr>
            </w:pPr>
            <w:r>
              <w:rPr>
                <w:rFonts w:hint="eastAsia" w:ascii="宋体" w:hAnsi="宋体"/>
                <w:color w:val="auto"/>
                <w:szCs w:val="24"/>
                <w:highlight w:val="none"/>
              </w:rPr>
              <w:t>本理财产品最短持有期为</w:t>
            </w:r>
            <w:r>
              <w:rPr>
                <w:rFonts w:hint="eastAsia" w:ascii="仿宋_GB2312" w:hAnsi="宋体" w:cs="宋体"/>
                <w:bCs/>
                <w:color w:val="auto"/>
                <w:kern w:val="0"/>
                <w:szCs w:val="24"/>
                <w:highlight w:val="none"/>
                <w:lang w:val="en-US" w:eastAsia="zh-CN"/>
              </w:rPr>
              <w:t>【270】</w:t>
            </w:r>
            <w:r>
              <w:rPr>
                <w:rFonts w:hint="eastAsia" w:ascii="宋体" w:hAnsi="宋体"/>
                <w:color w:val="auto"/>
                <w:szCs w:val="24"/>
                <w:highlight w:val="none"/>
              </w:rPr>
              <w:t>个自然日。本产品封闭期结束后的第一个交易日起每个交易日开放（产品管理人公告暂停开放的日期除外），投资者可于开放期内提交申购申请。自产品成立日</w:t>
            </w:r>
            <w:r>
              <w:rPr>
                <w:rFonts w:ascii="宋体" w:hAnsi="宋体"/>
                <w:color w:val="auto"/>
                <w:szCs w:val="24"/>
                <w:highlight w:val="none"/>
              </w:rPr>
              <w:t>/</w:t>
            </w:r>
            <w:r>
              <w:rPr>
                <w:rFonts w:hint="eastAsia" w:ascii="宋体" w:hAnsi="宋体"/>
                <w:color w:val="auto"/>
                <w:szCs w:val="24"/>
                <w:highlight w:val="none"/>
              </w:rPr>
              <w:t>申购确认日起至第</w:t>
            </w:r>
            <w:r>
              <w:rPr>
                <w:rFonts w:hint="eastAsia" w:ascii="仿宋_GB2312" w:hAnsi="宋体" w:cs="宋体"/>
                <w:bCs/>
                <w:color w:val="auto"/>
                <w:kern w:val="0"/>
                <w:szCs w:val="24"/>
                <w:highlight w:val="none"/>
                <w:lang w:val="en-US" w:eastAsia="zh-CN"/>
              </w:rPr>
              <w:t>【270】</w:t>
            </w:r>
            <w:r>
              <w:rPr>
                <w:rFonts w:hint="eastAsia" w:ascii="宋体" w:hAnsi="宋体"/>
                <w:color w:val="auto"/>
                <w:szCs w:val="24"/>
                <w:highlight w:val="none"/>
              </w:rPr>
              <w:t>个自然日（含当日）投资者不能赎回该产品份额，自产品成立日</w:t>
            </w:r>
            <w:r>
              <w:rPr>
                <w:rFonts w:ascii="宋体" w:hAnsi="宋体"/>
                <w:color w:val="auto"/>
                <w:szCs w:val="24"/>
                <w:highlight w:val="none"/>
              </w:rPr>
              <w:t>/</w:t>
            </w:r>
            <w:r>
              <w:rPr>
                <w:rFonts w:hint="eastAsia" w:ascii="宋体" w:hAnsi="宋体"/>
                <w:color w:val="auto"/>
                <w:szCs w:val="24"/>
                <w:highlight w:val="none"/>
              </w:rPr>
              <w:t>申购确认日起第</w:t>
            </w:r>
            <w:r>
              <w:rPr>
                <w:rFonts w:hint="eastAsia" w:ascii="仿宋_GB2312" w:hAnsi="宋体" w:cs="宋体"/>
                <w:bCs/>
                <w:color w:val="auto"/>
                <w:kern w:val="0"/>
                <w:szCs w:val="24"/>
                <w:highlight w:val="none"/>
                <w:lang w:val="en-US" w:eastAsia="zh-CN"/>
              </w:rPr>
              <w:t>【271】</w:t>
            </w:r>
            <w:r>
              <w:rPr>
                <w:rFonts w:hint="eastAsia" w:ascii="宋体" w:hAnsi="宋体"/>
                <w:color w:val="auto"/>
                <w:szCs w:val="24"/>
                <w:highlight w:val="none"/>
              </w:rPr>
              <w:t>个自然日起（含当日），投资者可于任一开放日赎回该产品份额。</w:t>
            </w:r>
          </w:p>
          <w:p w14:paraId="3B17AEBE">
            <w:pPr>
              <w:snapToGrid w:val="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申购安排：</w:t>
            </w:r>
          </w:p>
          <w:p w14:paraId="44BC66D5">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）申购的时间</w:t>
            </w:r>
          </w:p>
          <w:p w14:paraId="77557E8C">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】前提交申购申请的，提交当日为申购日。</w:t>
            </w:r>
          </w:p>
          <w:p w14:paraId="4260E85B">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】后提交申购申请的，下一个交易日为申购日。</w:t>
            </w:r>
          </w:p>
          <w:p w14:paraId="0C1D1B6F">
            <w:pPr>
              <w:snapToGrid w:val="0"/>
              <w:rPr>
                <w:rFonts w:ascii="宋体" w:hAnsi="宋体"/>
                <w:color w:val="auto"/>
                <w:szCs w:val="24"/>
                <w:highlight w:val="none"/>
              </w:rPr>
            </w:pPr>
            <w:r>
              <w:rPr>
                <w:rFonts w:hint="eastAsia" w:ascii="宋体" w:hAnsi="宋体"/>
                <w:color w:val="auto"/>
                <w:szCs w:val="24"/>
                <w:highlight w:val="none"/>
              </w:rPr>
              <w:t>投资者在非交易日提交申购申请的，下一个交易日为申购日。</w:t>
            </w:r>
          </w:p>
          <w:p w14:paraId="73B35FB3">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）申购的确认</w:t>
            </w:r>
          </w:p>
          <w:p w14:paraId="533B2555">
            <w:pPr>
              <w:snapToGrid w:val="0"/>
              <w:rPr>
                <w:rFonts w:ascii="宋体" w:hAnsi="宋体"/>
                <w:color w:val="auto"/>
                <w:szCs w:val="24"/>
                <w:highlight w:val="none"/>
              </w:rPr>
            </w:pPr>
            <w:r>
              <w:rPr>
                <w:rFonts w:hint="eastAsia" w:ascii="宋体" w:hAnsi="宋体"/>
                <w:color w:val="auto"/>
                <w:szCs w:val="24"/>
                <w:highlight w:val="none"/>
              </w:rPr>
              <w:t>申购日后的</w:t>
            </w:r>
            <w:r>
              <w:rPr>
                <w:rFonts w:hint="eastAsia" w:ascii="仿宋_GB2312" w:hAnsi="宋体" w:cs="宋体"/>
                <w:bCs/>
                <w:color w:val="auto"/>
                <w:kern w:val="0"/>
                <w:szCs w:val="24"/>
                <w:highlight w:val="none"/>
                <w:lang w:val="en-US" w:eastAsia="zh-CN"/>
              </w:rPr>
              <w:t>【1】</w:t>
            </w:r>
            <w:r>
              <w:rPr>
                <w:rFonts w:hint="eastAsia" w:ascii="宋体" w:hAnsi="宋体"/>
                <w:color w:val="auto"/>
                <w:szCs w:val="24"/>
                <w:highlight w:val="none"/>
              </w:rPr>
              <w:t>个交易日内为申购确认日。</w:t>
            </w:r>
          </w:p>
          <w:p w14:paraId="27EFF2B4">
            <w:pPr>
              <w:snapToGrid w:val="0"/>
              <w:rPr>
                <w:rFonts w:ascii="宋体" w:hAnsi="宋体"/>
                <w:color w:val="auto"/>
                <w:szCs w:val="24"/>
                <w:highlight w:val="none"/>
              </w:rPr>
            </w:pPr>
            <w:r>
              <w:rPr>
                <w:rFonts w:ascii="宋体" w:hAnsi="宋体"/>
                <w:color w:val="auto"/>
                <w:szCs w:val="24"/>
                <w:highlight w:val="none"/>
              </w:rPr>
              <w:t>4.</w:t>
            </w:r>
            <w:r>
              <w:rPr>
                <w:rFonts w:hint="eastAsia" w:ascii="宋体" w:hAnsi="宋体"/>
                <w:color w:val="auto"/>
                <w:szCs w:val="24"/>
                <w:highlight w:val="none"/>
              </w:rPr>
              <w:t>赎回安排</w:t>
            </w:r>
          </w:p>
          <w:p w14:paraId="37DB5E8D">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）赎回的时间</w:t>
            </w:r>
          </w:p>
          <w:p w14:paraId="5C1E7200">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】前提交赎回申请的，提交当日为赎回日。</w:t>
            </w:r>
          </w:p>
          <w:p w14:paraId="6DB5A83F">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】后提交赎回申请的，下一个交易日为赎回日。</w:t>
            </w:r>
          </w:p>
          <w:p w14:paraId="1CC5B35D">
            <w:pPr>
              <w:snapToGrid w:val="0"/>
              <w:rPr>
                <w:rFonts w:ascii="宋体" w:hAnsi="宋体"/>
                <w:color w:val="auto"/>
                <w:szCs w:val="24"/>
                <w:highlight w:val="none"/>
              </w:rPr>
            </w:pPr>
            <w:r>
              <w:rPr>
                <w:rFonts w:hint="eastAsia" w:ascii="宋体" w:hAnsi="宋体"/>
                <w:color w:val="auto"/>
                <w:szCs w:val="24"/>
                <w:highlight w:val="none"/>
              </w:rPr>
              <w:t>投资者在非交易日提交赎回申请的，下一个交易日为赎回日。</w:t>
            </w:r>
          </w:p>
          <w:p w14:paraId="194E1D4C">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）赎回的确认</w:t>
            </w:r>
          </w:p>
          <w:p w14:paraId="2014682C">
            <w:pPr>
              <w:snapToGrid w:val="0"/>
              <w:rPr>
                <w:rFonts w:ascii="宋体" w:hAnsi="宋体"/>
                <w:color w:val="auto"/>
                <w:szCs w:val="24"/>
                <w:highlight w:val="none"/>
              </w:rPr>
            </w:pPr>
            <w:r>
              <w:rPr>
                <w:rFonts w:hint="eastAsia" w:ascii="宋体" w:hAnsi="宋体"/>
                <w:color w:val="auto"/>
                <w:szCs w:val="24"/>
                <w:highlight w:val="none"/>
              </w:rPr>
              <w:t>赎回日后的</w:t>
            </w:r>
            <w:r>
              <w:rPr>
                <w:rFonts w:hint="eastAsia" w:ascii="仿宋_GB2312" w:hAnsi="宋体" w:cs="宋体"/>
                <w:bCs/>
                <w:color w:val="auto"/>
                <w:kern w:val="0"/>
                <w:szCs w:val="24"/>
                <w:highlight w:val="none"/>
                <w:lang w:val="en-US" w:eastAsia="zh-CN"/>
              </w:rPr>
              <w:t>【1】</w:t>
            </w:r>
            <w:r>
              <w:rPr>
                <w:rFonts w:hint="eastAsia" w:ascii="宋体" w:hAnsi="宋体"/>
                <w:color w:val="auto"/>
                <w:szCs w:val="24"/>
                <w:highlight w:val="none"/>
              </w:rPr>
              <w:t>个交易日内为赎回确认日。</w:t>
            </w:r>
          </w:p>
          <w:p w14:paraId="33A74EAD">
            <w:pPr>
              <w:snapToGrid w:val="0"/>
              <w:rPr>
                <w:rFonts w:ascii="宋体" w:hAnsi="宋体"/>
                <w:color w:val="auto"/>
                <w:szCs w:val="24"/>
                <w:highlight w:val="none"/>
              </w:rPr>
            </w:pPr>
            <w:r>
              <w:rPr>
                <w:rFonts w:ascii="宋体" w:hAnsi="宋体"/>
                <w:color w:val="auto"/>
                <w:szCs w:val="24"/>
                <w:highlight w:val="none"/>
              </w:rPr>
              <w:t>5.</w:t>
            </w:r>
            <w:r>
              <w:rPr>
                <w:rFonts w:hint="eastAsia" w:ascii="宋体" w:hAnsi="宋体"/>
                <w:color w:val="auto"/>
                <w:szCs w:val="24"/>
                <w:highlight w:val="none"/>
              </w:rPr>
              <w:t>赎回款项于赎回</w:t>
            </w:r>
            <w:r>
              <w:rPr>
                <w:rFonts w:hint="eastAsia" w:ascii="宋体" w:hAnsi="宋体"/>
                <w:color w:val="auto"/>
                <w:szCs w:val="24"/>
                <w:highlight w:val="none"/>
                <w:lang w:eastAsia="zh-CN"/>
              </w:rPr>
              <w:t>确认</w:t>
            </w:r>
            <w:r>
              <w:rPr>
                <w:rFonts w:hint="eastAsia" w:ascii="宋体" w:hAnsi="宋体"/>
                <w:color w:val="auto"/>
                <w:szCs w:val="24"/>
                <w:highlight w:val="none"/>
              </w:rPr>
              <w:t>日后</w:t>
            </w:r>
            <w:r>
              <w:rPr>
                <w:rFonts w:hint="eastAsia" w:ascii="仿宋_GB2312" w:hAnsi="宋体" w:cs="宋体"/>
                <w:bCs/>
                <w:color w:val="auto"/>
                <w:kern w:val="0"/>
                <w:szCs w:val="24"/>
                <w:highlight w:val="none"/>
                <w:lang w:val="en-US" w:eastAsia="zh-CN"/>
              </w:rPr>
              <w:t>【5】</w:t>
            </w:r>
            <w:r>
              <w:rPr>
                <w:rFonts w:hint="eastAsia" w:ascii="宋体" w:hAnsi="宋体"/>
                <w:color w:val="auto"/>
                <w:szCs w:val="24"/>
                <w:highlight w:val="none"/>
              </w:rPr>
              <w:t>个交易日内支付给投资者。</w:t>
            </w:r>
          </w:p>
          <w:p w14:paraId="7F99573E">
            <w:pPr>
              <w:snapToGrid w:val="0"/>
              <w:rPr>
                <w:rFonts w:ascii="宋体" w:hAnsi="宋体"/>
                <w:color w:val="auto"/>
                <w:szCs w:val="24"/>
                <w:highlight w:val="none"/>
              </w:rPr>
            </w:pPr>
            <w:r>
              <w:rPr>
                <w:rFonts w:hint="eastAsia" w:ascii="宋体" w:hAnsi="宋体"/>
                <w:color w:val="auto"/>
                <w:szCs w:val="24"/>
                <w:highlight w:val="none"/>
              </w:rPr>
              <w:t>★注：关于销售机构的实际工作服务时段的提示</w:t>
            </w:r>
          </w:p>
          <w:p w14:paraId="12CB5767">
            <w:pPr>
              <w:snapToGrid w:val="0"/>
              <w:rPr>
                <w:rFonts w:ascii="宋体" w:hAnsi="宋体"/>
                <w:color w:val="auto"/>
                <w:szCs w:val="24"/>
                <w:highlight w:val="none"/>
              </w:rPr>
            </w:pPr>
            <w:r>
              <w:rPr>
                <w:rFonts w:hint="eastAsia" w:ascii="宋体" w:hAnsi="宋体"/>
                <w:color w:val="auto"/>
                <w:szCs w:val="24"/>
                <w:highlight w:val="none"/>
              </w:rPr>
              <w:t>①为本产品办理相关交易的实际工作服务时段，因销售机构的不同可能存在差异（可能晚于销售文件约定的起始时点开始或早于销售文件约定的终止时点结束），投资者应当以销售机</w:t>
            </w:r>
          </w:p>
          <w:p w14:paraId="6D55E4EA">
            <w:pPr>
              <w:snapToGrid w:val="0"/>
              <w:rPr>
                <w:rFonts w:ascii="宋体" w:hAnsi="宋体"/>
                <w:color w:val="auto"/>
                <w:szCs w:val="24"/>
                <w:highlight w:val="none"/>
              </w:rPr>
            </w:pPr>
            <w:r>
              <w:rPr>
                <w:rFonts w:hint="eastAsia" w:ascii="宋体" w:hAnsi="宋体"/>
                <w:color w:val="auto"/>
                <w:szCs w:val="24"/>
                <w:highlight w:val="none"/>
              </w:rPr>
              <w:t>构的展示为准。</w:t>
            </w:r>
          </w:p>
          <w:p w14:paraId="3C23ACFC">
            <w:pPr>
              <w:snapToGrid w:val="0"/>
              <w:rPr>
                <w:rFonts w:ascii="宋体" w:hAnsi="宋体"/>
                <w:color w:val="auto"/>
                <w:szCs w:val="24"/>
                <w:highlight w:val="none"/>
              </w:rPr>
            </w:pPr>
            <w:r>
              <w:rPr>
                <w:rFonts w:hint="eastAsia" w:ascii="宋体" w:hAnsi="宋体"/>
                <w:color w:val="auto"/>
                <w:szCs w:val="24"/>
                <w:highlight w:val="none"/>
              </w:rPr>
              <w:t>②销售机构的实际工作服务时段，最早不得早于销售文件约定的起始时点、最晚不得晚于销售文件约定的终止时点。</w:t>
            </w:r>
          </w:p>
        </w:tc>
      </w:tr>
      <w:tr w14:paraId="67B272E3">
        <w:trPr>
          <w:trHeight w:val="667" w:hRule="atLeast"/>
          <w:jc w:val="center"/>
        </w:trPr>
        <w:tc>
          <w:tcPr>
            <w:tcW w:w="2411" w:type="dxa"/>
            <w:vAlign w:val="center"/>
          </w:tcPr>
          <w:p w14:paraId="7CF348D2">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撤销规则</w:t>
            </w:r>
          </w:p>
        </w:tc>
        <w:tc>
          <w:tcPr>
            <w:tcW w:w="6804" w:type="dxa"/>
            <w:gridSpan w:val="4"/>
            <w:vAlign w:val="center"/>
          </w:tcPr>
          <w:p w14:paraId="4C1E5AA2">
            <w:pPr>
              <w:snapToGrid w:val="0"/>
              <w:jc w:val="left"/>
              <w:rPr>
                <w:rFonts w:asciiTheme="minorEastAsia" w:hAnsiTheme="minorEastAsia"/>
                <w:color w:val="auto"/>
                <w:szCs w:val="24"/>
                <w:highlight w:val="none"/>
              </w:rPr>
            </w:pPr>
            <w:r>
              <w:rPr>
                <w:rFonts w:hint="eastAsia" w:asciiTheme="minorEastAsia" w:hAnsiTheme="minorEastAsia"/>
                <w:color w:val="auto"/>
                <w:szCs w:val="24"/>
                <w:highlight w:val="none"/>
              </w:rPr>
              <w:t>1.投资者可在本理财产品募集期结束前撤销已成功提交的产品认购申请；</w:t>
            </w:r>
          </w:p>
          <w:p w14:paraId="19BC8F03">
            <w:pPr>
              <w:snapToGrid w:val="0"/>
              <w:jc w:val="left"/>
              <w:rPr>
                <w:rFonts w:asciiTheme="minorEastAsia" w:hAnsiTheme="minorEastAsia"/>
                <w:color w:val="auto"/>
                <w:szCs w:val="24"/>
                <w:highlight w:val="none"/>
              </w:rPr>
            </w:pPr>
            <w:r>
              <w:rPr>
                <w:rFonts w:hint="eastAsia" w:asciiTheme="minorEastAsia" w:hAnsiTheme="minorEastAsia"/>
                <w:color w:val="auto"/>
                <w:szCs w:val="24"/>
                <w:highlight w:val="none"/>
              </w:rPr>
              <w:t>2.投资者可</w:t>
            </w:r>
            <w:r>
              <w:rPr>
                <w:rFonts w:hint="eastAsia" w:asciiTheme="minorEastAsia" w:hAnsiTheme="minorEastAsia"/>
                <w:b/>
                <w:color w:val="auto"/>
                <w:szCs w:val="24"/>
                <w:highlight w:val="none"/>
              </w:rPr>
              <w:t>在任一开放日</w:t>
            </w:r>
            <w:r>
              <w:rPr>
                <w:rFonts w:hint="eastAsia" w:ascii="仿宋_GB2312" w:hAnsi="宋体" w:cs="宋体"/>
                <w:bCs/>
                <w:color w:val="auto"/>
                <w:kern w:val="0"/>
                <w:szCs w:val="24"/>
                <w:highlight w:val="none"/>
                <w:lang w:val="en-US" w:eastAsia="zh-CN"/>
              </w:rPr>
              <w:t>【</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仿宋_GB2312" w:hAnsi="宋体" w:cs="宋体"/>
                <w:bCs/>
                <w:color w:val="auto"/>
                <w:kern w:val="0"/>
                <w:szCs w:val="24"/>
                <w:highlight w:val="none"/>
                <w:lang w:val="en-US" w:eastAsia="zh-CN"/>
              </w:rPr>
              <w:t>】</w:t>
            </w:r>
            <w:r>
              <w:rPr>
                <w:rFonts w:hint="eastAsia" w:asciiTheme="minorEastAsia" w:hAnsiTheme="minorEastAsia"/>
                <w:b/>
                <w:color w:val="auto"/>
                <w:szCs w:val="24"/>
                <w:highlight w:val="none"/>
              </w:rPr>
              <w:t>前（含）撤销已成功提交的理财产品申购、赎回申请，</w:t>
            </w:r>
            <w:r>
              <w:rPr>
                <w:rFonts w:hint="eastAsia" w:ascii="仿宋_GB2312" w:hAnsi="宋体" w:cs="宋体"/>
                <w:bCs/>
                <w:color w:val="auto"/>
                <w:kern w:val="0"/>
                <w:szCs w:val="24"/>
                <w:highlight w:val="none"/>
                <w:lang w:val="en-US" w:eastAsia="zh-CN"/>
              </w:rPr>
              <w:t>【</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仿宋_GB2312" w:hAnsi="宋体" w:cs="宋体"/>
                <w:bCs/>
                <w:color w:val="auto"/>
                <w:kern w:val="0"/>
                <w:szCs w:val="24"/>
                <w:highlight w:val="none"/>
                <w:lang w:val="en-US" w:eastAsia="zh-CN"/>
              </w:rPr>
              <w:t>】</w:t>
            </w:r>
            <w:r>
              <w:rPr>
                <w:rFonts w:hint="eastAsia" w:asciiTheme="minorEastAsia" w:hAnsiTheme="minorEastAsia"/>
                <w:b/>
                <w:color w:val="auto"/>
                <w:szCs w:val="24"/>
                <w:highlight w:val="none"/>
              </w:rPr>
              <w:t>后不可撤销</w:t>
            </w:r>
            <w:r>
              <w:rPr>
                <w:rFonts w:hint="eastAsia" w:asciiTheme="minorEastAsia" w:hAnsiTheme="minorEastAsia"/>
                <w:color w:val="auto"/>
                <w:szCs w:val="24"/>
                <w:highlight w:val="none"/>
              </w:rPr>
              <w:t>；</w:t>
            </w:r>
          </w:p>
          <w:p w14:paraId="40863D4B">
            <w:pPr>
              <w:snapToGrid w:val="0"/>
              <w:jc w:val="left"/>
              <w:rPr>
                <w:rFonts w:asciiTheme="minorEastAsia" w:hAnsiTheme="minorEastAsia"/>
                <w:color w:val="auto"/>
                <w:kern w:val="0"/>
                <w:szCs w:val="24"/>
                <w:highlight w:val="none"/>
              </w:rPr>
            </w:pPr>
            <w:r>
              <w:rPr>
                <w:rFonts w:hint="eastAsia" w:asciiTheme="minorEastAsia" w:hAnsiTheme="minorEastAsia"/>
                <w:color w:val="auto"/>
                <w:szCs w:val="24"/>
                <w:highlight w:val="none"/>
              </w:rPr>
              <w:t>3.</w:t>
            </w:r>
            <w:r>
              <w:rPr>
                <w:rFonts w:hint="eastAsia"/>
                <w:b/>
                <w:color w:val="auto"/>
                <w:szCs w:val="24"/>
                <w:highlight w:val="none"/>
              </w:rPr>
              <w:t>销售机构实际受理撤销申请时间可能与说明书不一致，具体以销售机构展示为准。</w:t>
            </w:r>
          </w:p>
        </w:tc>
      </w:tr>
      <w:tr w14:paraId="121D0200">
        <w:trPr>
          <w:trHeight w:val="667" w:hRule="atLeast"/>
          <w:jc w:val="center"/>
        </w:trPr>
        <w:tc>
          <w:tcPr>
            <w:tcW w:w="2411" w:type="dxa"/>
            <w:vAlign w:val="center"/>
          </w:tcPr>
          <w:p w14:paraId="7D89F44B">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认购、申购起点金额</w:t>
            </w:r>
          </w:p>
          <w:p w14:paraId="543DAB54">
            <w:pPr>
              <w:snapToGrid w:val="0"/>
              <w:ind w:left="-163" w:leftChars="-74" w:hanging="15"/>
              <w:jc w:val="center"/>
              <w:rPr>
                <w:rFonts w:ascii="宋体" w:hAnsi="宋体"/>
                <w:bCs/>
                <w:color w:val="auto"/>
                <w:szCs w:val="24"/>
                <w:highlight w:val="none"/>
              </w:rPr>
            </w:pPr>
            <w:r>
              <w:rPr>
                <w:rFonts w:hint="eastAsia" w:ascii="宋体" w:hAnsi="宋体"/>
                <w:color w:val="auto"/>
                <w:szCs w:val="24"/>
                <w:highlight w:val="none"/>
              </w:rPr>
              <w:t>及递增</w:t>
            </w:r>
            <w:r>
              <w:rPr>
                <w:rFonts w:ascii="宋体" w:hAnsi="宋体"/>
                <w:color w:val="auto"/>
                <w:szCs w:val="24"/>
                <w:highlight w:val="none"/>
              </w:rPr>
              <w:t>金额</w:t>
            </w:r>
          </w:p>
        </w:tc>
        <w:tc>
          <w:tcPr>
            <w:tcW w:w="6804" w:type="dxa"/>
            <w:gridSpan w:val="4"/>
            <w:vAlign w:val="center"/>
          </w:tcPr>
          <w:p w14:paraId="39C4A57E">
            <w:pPr>
              <w:snapToGrid w:val="0"/>
              <w:rPr>
                <w:rFonts w:hint="eastAsia" w:ascii="宋体" w:hAnsi="宋体"/>
                <w:color w:val="auto"/>
                <w:szCs w:val="24"/>
                <w:highlight w:val="none"/>
              </w:rPr>
            </w:pPr>
            <w:r>
              <w:rPr>
                <w:rFonts w:hint="eastAsia" w:ascii="宋体" w:hAnsi="宋体"/>
                <w:color w:val="auto"/>
                <w:szCs w:val="24"/>
                <w:highlight w:val="none"/>
              </w:rPr>
              <w:t>A份额：认购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476E91D3">
            <w:pPr>
              <w:snapToGrid w:val="0"/>
              <w:rPr>
                <w:rFonts w:hint="eastAsia" w:ascii="宋体" w:hAnsi="宋体"/>
                <w:color w:val="auto"/>
                <w:szCs w:val="24"/>
                <w:highlight w:val="none"/>
              </w:rPr>
            </w:pPr>
            <w:r>
              <w:rPr>
                <w:rFonts w:hint="eastAsia" w:ascii="宋体" w:hAnsi="宋体"/>
                <w:color w:val="auto"/>
                <w:szCs w:val="24"/>
                <w:highlight w:val="none"/>
                <w:lang w:val="en-US" w:eastAsia="zh-CN"/>
              </w:rPr>
              <w:t>B</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019B11B4">
            <w:pPr>
              <w:snapToGrid w:val="0"/>
              <w:rPr>
                <w:rFonts w:hint="eastAsia" w:ascii="宋体" w:hAnsi="宋体"/>
                <w:color w:val="auto"/>
                <w:szCs w:val="24"/>
                <w:highlight w:val="none"/>
              </w:rPr>
            </w:pPr>
            <w:r>
              <w:rPr>
                <w:rFonts w:hint="eastAsia" w:ascii="宋体" w:hAnsi="宋体"/>
                <w:color w:val="auto"/>
                <w:szCs w:val="24"/>
                <w:highlight w:val="none"/>
                <w:lang w:val="en-US" w:eastAsia="zh-CN"/>
              </w:rPr>
              <w:t>C</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78555C50">
            <w:pPr>
              <w:widowControl/>
              <w:tabs>
                <w:tab w:val="left" w:pos="312"/>
              </w:tabs>
              <w:jc w:val="left"/>
              <w:rPr>
                <w:rFonts w:ascii="宋体" w:hAnsi="宋体"/>
                <w:bCs/>
                <w:color w:val="auto"/>
                <w:szCs w:val="24"/>
                <w:highlight w:val="none"/>
              </w:rPr>
            </w:pPr>
            <w:r>
              <w:rPr>
                <w:rFonts w:hint="eastAsia" w:ascii="宋体" w:hAnsi="宋体"/>
                <w:b/>
                <w:color w:val="auto"/>
                <w:szCs w:val="24"/>
                <w:highlight w:val="none"/>
              </w:rPr>
              <w:t>管理人有权以公告形式调整投资者认购、申购起点金额。销售机构的认购、申购起点金额可能</w:t>
            </w:r>
            <w:r>
              <w:rPr>
                <w:rFonts w:ascii="宋体" w:hAnsi="宋体"/>
                <w:b/>
                <w:color w:val="auto"/>
                <w:szCs w:val="24"/>
                <w:highlight w:val="none"/>
              </w:rPr>
              <w:t>与本</w:t>
            </w:r>
            <w:r>
              <w:rPr>
                <w:rFonts w:hint="eastAsia" w:ascii="宋体" w:hAnsi="宋体"/>
                <w:b/>
                <w:color w:val="auto"/>
                <w:szCs w:val="24"/>
                <w:highlight w:val="none"/>
              </w:rPr>
              <w:t>产品</w:t>
            </w:r>
            <w:r>
              <w:rPr>
                <w:rFonts w:ascii="宋体" w:hAnsi="宋体"/>
                <w:b/>
                <w:color w:val="auto"/>
                <w:szCs w:val="24"/>
                <w:highlight w:val="none"/>
              </w:rPr>
              <w:t>说明书</w:t>
            </w:r>
            <w:r>
              <w:rPr>
                <w:rFonts w:hint="eastAsia" w:ascii="宋体" w:hAnsi="宋体"/>
                <w:b/>
                <w:color w:val="auto"/>
                <w:szCs w:val="24"/>
                <w:highlight w:val="none"/>
              </w:rPr>
              <w:t>不一致</w:t>
            </w:r>
            <w:r>
              <w:rPr>
                <w:rFonts w:ascii="宋体" w:hAnsi="宋体"/>
                <w:b/>
                <w:color w:val="auto"/>
                <w:szCs w:val="24"/>
                <w:highlight w:val="none"/>
              </w:rPr>
              <w:t>，</w:t>
            </w:r>
            <w:r>
              <w:rPr>
                <w:rFonts w:hint="eastAsia" w:ascii="宋体" w:hAnsi="宋体"/>
                <w:b/>
                <w:color w:val="auto"/>
                <w:szCs w:val="24"/>
                <w:highlight w:val="none"/>
              </w:rPr>
              <w:t>通过销售机构认购、申购</w:t>
            </w:r>
            <w:r>
              <w:rPr>
                <w:rFonts w:ascii="宋体" w:hAnsi="宋体"/>
                <w:b/>
                <w:color w:val="auto"/>
                <w:szCs w:val="24"/>
                <w:highlight w:val="none"/>
              </w:rPr>
              <w:t>的</w:t>
            </w:r>
            <w:r>
              <w:rPr>
                <w:rFonts w:hint="eastAsia" w:ascii="宋体" w:hAnsi="宋体"/>
                <w:b/>
                <w:color w:val="auto"/>
                <w:szCs w:val="24"/>
                <w:highlight w:val="none"/>
              </w:rPr>
              <w:t>具体以销售机构展示为准。销售机构的实际销售起点金额，不得低于本产品说明书约定的销售起点金额。</w:t>
            </w:r>
          </w:p>
        </w:tc>
      </w:tr>
      <w:tr w14:paraId="4440C327">
        <w:trPr>
          <w:trHeight w:val="667" w:hRule="atLeast"/>
          <w:jc w:val="center"/>
        </w:trPr>
        <w:tc>
          <w:tcPr>
            <w:tcW w:w="2411" w:type="dxa"/>
            <w:vAlign w:val="center"/>
          </w:tcPr>
          <w:p w14:paraId="3C5B1383">
            <w:pPr>
              <w:snapToGrid w:val="0"/>
              <w:ind w:left="-163" w:leftChars="-74" w:hanging="15"/>
              <w:jc w:val="center"/>
              <w:rPr>
                <w:rFonts w:asciiTheme="minorEastAsia" w:hAnsiTheme="minorEastAsia"/>
                <w:color w:val="auto"/>
                <w:kern w:val="0"/>
                <w:szCs w:val="24"/>
                <w:highlight w:val="none"/>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6804" w:type="dxa"/>
            <w:gridSpan w:val="4"/>
            <w:vAlign w:val="center"/>
          </w:tcPr>
          <w:p w14:paraId="78C24725">
            <w:pPr>
              <w:widowControl/>
              <w:numPr>
                <w:ilvl w:val="0"/>
                <w:numId w:val="2"/>
              </w:numPr>
              <w:jc w:val="left"/>
              <w:rPr>
                <w:rFonts w:asciiTheme="minorEastAsia" w:hAnsiTheme="minorEastAsia"/>
                <w:color w:val="auto"/>
                <w:szCs w:val="24"/>
                <w:highlight w:val="none"/>
              </w:rPr>
            </w:pPr>
            <w:r>
              <w:rPr>
                <w:rFonts w:ascii="宋体" w:hAnsi="宋体"/>
                <w:bCs/>
                <w:color w:val="auto"/>
                <w:szCs w:val="24"/>
                <w:highlight w:val="none"/>
              </w:rPr>
              <w:t>A</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】万元，在产品运作过程中因收益分配、净值波动等被动超上限的情形除外。</w:t>
            </w:r>
          </w:p>
          <w:p w14:paraId="61D1C49F">
            <w:pPr>
              <w:widowControl/>
              <w:numPr>
                <w:ilvl w:val="0"/>
                <w:numId w:val="2"/>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B</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】万元，在产品运作过程中因收益分配、净值波动等被动超上限的情形除外。</w:t>
            </w:r>
          </w:p>
          <w:p w14:paraId="1FF6FB20">
            <w:pPr>
              <w:widowControl/>
              <w:numPr>
                <w:ilvl w:val="0"/>
                <w:numId w:val="2"/>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C</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】万元，在产品运作过程中因收益分配、净值波动等被动超上限的情形除外。</w:t>
            </w:r>
          </w:p>
          <w:p w14:paraId="547984D9">
            <w:pPr>
              <w:widowControl/>
              <w:numPr>
                <w:ilvl w:val="0"/>
                <w:numId w:val="2"/>
              </w:numPr>
              <w:jc w:val="left"/>
              <w:rPr>
                <w:rFonts w:asciiTheme="minorEastAsia" w:hAnsiTheme="minorEastAsia"/>
                <w:color w:val="auto"/>
                <w:szCs w:val="24"/>
                <w:highlight w:val="none"/>
              </w:rPr>
            </w:pPr>
            <w:r>
              <w:rPr>
                <w:rFonts w:hint="eastAsia" w:ascii="宋体" w:hAnsi="宋体"/>
                <w:bCs/>
                <w:color w:val="auto"/>
                <w:szCs w:val="24"/>
                <w:highlight w:val="none"/>
              </w:rPr>
              <w:t>如果</w:t>
            </w:r>
            <w:r>
              <w:rPr>
                <w:rFonts w:ascii="宋体" w:hAnsi="宋体"/>
                <w:bCs/>
                <w:color w:val="auto"/>
                <w:szCs w:val="24"/>
                <w:highlight w:val="none"/>
              </w:rPr>
              <w:t>单一投资者</w:t>
            </w:r>
            <w:r>
              <w:rPr>
                <w:rFonts w:hint="eastAsia" w:ascii="宋体" w:hAnsi="宋体"/>
                <w:bCs/>
                <w:color w:val="auto"/>
                <w:szCs w:val="24"/>
                <w:highlight w:val="none"/>
              </w:rPr>
              <w:t>认购或申购申请确认后将导致其持有份额超过产品总份额</w:t>
            </w:r>
            <w:r>
              <w:rPr>
                <w:rFonts w:ascii="宋体" w:hAnsi="宋体"/>
                <w:bCs/>
                <w:color w:val="auto"/>
                <w:szCs w:val="24"/>
                <w:highlight w:val="none"/>
              </w:rPr>
              <w:t>50%</w:t>
            </w:r>
            <w:r>
              <w:rPr>
                <w:rFonts w:hint="eastAsia" w:ascii="宋体" w:hAnsi="宋体"/>
                <w:bCs/>
                <w:color w:val="auto"/>
                <w:szCs w:val="24"/>
                <w:highlight w:val="none"/>
              </w:rPr>
              <w:t>的</w:t>
            </w:r>
            <w:r>
              <w:rPr>
                <w:rFonts w:ascii="宋体" w:hAnsi="宋体"/>
                <w:bCs/>
                <w:color w:val="auto"/>
                <w:szCs w:val="24"/>
                <w:highlight w:val="none"/>
              </w:rPr>
              <w:t>，管理人有权拒绝或暂停</w:t>
            </w:r>
            <w:r>
              <w:rPr>
                <w:rFonts w:hint="eastAsia" w:ascii="宋体" w:hAnsi="宋体"/>
                <w:bCs/>
                <w:color w:val="auto"/>
                <w:szCs w:val="24"/>
                <w:highlight w:val="none"/>
              </w:rPr>
              <w:t>接受超出部分的</w:t>
            </w:r>
            <w:r>
              <w:rPr>
                <w:rFonts w:ascii="宋体" w:hAnsi="宋体"/>
                <w:bCs/>
                <w:color w:val="auto"/>
                <w:szCs w:val="24"/>
                <w:highlight w:val="none"/>
              </w:rPr>
              <w:t>认购、申购</w:t>
            </w:r>
            <w:r>
              <w:rPr>
                <w:rFonts w:hint="eastAsia" w:ascii="宋体" w:hAnsi="宋体"/>
                <w:bCs/>
                <w:color w:val="auto"/>
                <w:szCs w:val="24"/>
                <w:highlight w:val="none"/>
              </w:rPr>
              <w:t>申请</w:t>
            </w:r>
            <w:r>
              <w:rPr>
                <w:rFonts w:ascii="宋体" w:hAnsi="宋体"/>
                <w:bCs/>
                <w:color w:val="auto"/>
                <w:szCs w:val="24"/>
                <w:highlight w:val="none"/>
              </w:rPr>
              <w:t>。非因管理人主观因素导致突破该比例限制的，在单一投资者持有比例降至50%以下之前，管理人不再接受该投资者对本产品的认购</w:t>
            </w:r>
            <w:r>
              <w:rPr>
                <w:rFonts w:hint="eastAsia" w:ascii="宋体" w:hAnsi="宋体"/>
                <w:bCs/>
                <w:color w:val="auto"/>
                <w:szCs w:val="24"/>
                <w:highlight w:val="none"/>
              </w:rPr>
              <w:t>、申购申请。投资者持有份额的计算以管理人登记为准。</w:t>
            </w:r>
          </w:p>
          <w:p w14:paraId="4E3E03AF">
            <w:pPr>
              <w:widowControl/>
              <w:numPr>
                <w:ilvl w:val="0"/>
                <w:numId w:val="2"/>
              </w:numPr>
              <w:jc w:val="left"/>
              <w:rPr>
                <w:rFonts w:asciiTheme="minorEastAsia" w:hAnsiTheme="minorEastAsia"/>
                <w:color w:val="auto"/>
                <w:szCs w:val="24"/>
                <w:highlight w:val="none"/>
              </w:rPr>
            </w:pPr>
            <w:r>
              <w:rPr>
                <w:rFonts w:hint="eastAsia" w:ascii="宋体" w:hAnsi="宋体"/>
                <w:bCs/>
                <w:color w:val="auto"/>
                <w:szCs w:val="24"/>
                <w:highlight w:val="none"/>
              </w:rPr>
              <w:t>如投资者认/申购超过上述限额，管理人有权根据实际情况接受、拒绝或确认失败。</w:t>
            </w:r>
            <w:r>
              <w:rPr>
                <w:rFonts w:hint="eastAsia" w:ascii="宋体" w:hAnsi="宋体"/>
                <w:b/>
                <w:bCs w:val="0"/>
                <w:color w:val="auto"/>
                <w:szCs w:val="24"/>
                <w:highlight w:val="none"/>
              </w:rPr>
              <w:t>管理人有权以公告形式调整投资者累计认/申购上限。</w:t>
            </w:r>
          </w:p>
        </w:tc>
      </w:tr>
      <w:tr w14:paraId="4FF6BE92">
        <w:trPr>
          <w:trHeight w:val="2240" w:hRule="atLeast"/>
          <w:jc w:val="center"/>
        </w:trPr>
        <w:tc>
          <w:tcPr>
            <w:tcW w:w="2411" w:type="dxa"/>
            <w:vAlign w:val="center"/>
          </w:tcPr>
          <w:p w14:paraId="7429C50F">
            <w:pPr>
              <w:snapToGrid w:val="0"/>
              <w:ind w:left="-163" w:leftChars="-74" w:hanging="15"/>
              <w:jc w:val="center"/>
              <w:rPr>
                <w:rFonts w:ascii="宋体" w:hAnsi="宋体"/>
                <w:bCs/>
                <w:color w:val="auto"/>
                <w:szCs w:val="24"/>
                <w:highlight w:val="none"/>
              </w:rPr>
            </w:pPr>
            <w:r>
              <w:rPr>
                <w:rFonts w:hint="eastAsia" w:ascii="宋体" w:hAnsi="宋体"/>
                <w:bCs/>
                <w:color w:val="auto"/>
                <w:szCs w:val="24"/>
                <w:highlight w:val="none"/>
              </w:rPr>
              <w:t>赎回</w:t>
            </w:r>
            <w:r>
              <w:rPr>
                <w:rFonts w:ascii="宋体" w:hAnsi="宋体"/>
                <w:bCs/>
                <w:color w:val="auto"/>
                <w:szCs w:val="24"/>
                <w:highlight w:val="none"/>
              </w:rPr>
              <w:t>数量限制</w:t>
            </w:r>
          </w:p>
        </w:tc>
        <w:tc>
          <w:tcPr>
            <w:tcW w:w="6804" w:type="dxa"/>
            <w:gridSpan w:val="4"/>
            <w:vAlign w:val="center"/>
          </w:tcPr>
          <w:p w14:paraId="2D6B41CF">
            <w:pPr>
              <w:widowControl/>
              <w:numPr>
                <w:ilvl w:val="0"/>
                <w:numId w:val="3"/>
              </w:numPr>
              <w:jc w:val="left"/>
              <w:rPr>
                <w:rFonts w:ascii="宋体" w:hAnsi="宋体"/>
                <w:bCs/>
                <w:color w:val="auto"/>
                <w:szCs w:val="24"/>
                <w:highlight w:val="none"/>
              </w:rPr>
            </w:pPr>
            <w:r>
              <w:rPr>
                <w:rFonts w:ascii="宋体" w:hAnsi="宋体"/>
                <w:bCs/>
                <w:color w:val="auto"/>
                <w:szCs w:val="24"/>
                <w:highlight w:val="none"/>
              </w:rPr>
              <w:t>A</w:t>
            </w:r>
            <w:r>
              <w:rPr>
                <w:rFonts w:hint="eastAsia" w:ascii="宋体" w:hAnsi="宋体"/>
                <w:bCs/>
                <w:color w:val="auto"/>
                <w:szCs w:val="24"/>
                <w:highlight w:val="none"/>
              </w:rPr>
              <w:t>份额：</w:t>
            </w:r>
            <w:r>
              <w:rPr>
                <w:rFonts w:hint="eastAsia" w:ascii="宋体" w:hAnsi="宋体"/>
                <w:color w:val="auto"/>
                <w:szCs w:val="24"/>
                <w:highlight w:val="none"/>
              </w:rPr>
              <w:t>单笔最小赎回份额【</w:t>
            </w:r>
            <w:r>
              <w:rPr>
                <w:rFonts w:hint="eastAsia" w:ascii="宋体" w:hAnsi="宋体"/>
                <w:color w:val="auto"/>
                <w:szCs w:val="24"/>
                <w:highlight w:val="none"/>
                <w:lang w:val="en-US" w:eastAsia="zh-CN"/>
              </w:rPr>
              <w:t>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r>
              <w:rPr>
                <w:rFonts w:ascii="宋体" w:hAnsi="宋体"/>
                <w:bCs/>
                <w:color w:val="auto"/>
                <w:szCs w:val="24"/>
                <w:highlight w:val="none"/>
              </w:rPr>
              <w:t xml:space="preserve"> </w:t>
            </w:r>
          </w:p>
          <w:p w14:paraId="6B17A59C">
            <w:pPr>
              <w:widowControl/>
              <w:numPr>
                <w:ilvl w:val="0"/>
                <w:numId w:val="3"/>
              </w:numPr>
              <w:jc w:val="left"/>
              <w:rPr>
                <w:rFonts w:ascii="宋体" w:hAnsi="宋体"/>
                <w:bCs/>
                <w:color w:val="auto"/>
                <w:szCs w:val="24"/>
                <w:highlight w:val="none"/>
              </w:rPr>
            </w:pPr>
            <w:r>
              <w:rPr>
                <w:rFonts w:hint="eastAsia" w:ascii="宋体" w:hAnsi="宋体"/>
                <w:bCs/>
                <w:color w:val="auto"/>
                <w:szCs w:val="24"/>
                <w:highlight w:val="none"/>
                <w:lang w:val="en-US" w:eastAsia="zh-CN"/>
              </w:rPr>
              <w:t>B</w:t>
            </w:r>
            <w:r>
              <w:rPr>
                <w:rFonts w:hint="eastAsia" w:ascii="宋体" w:hAnsi="宋体"/>
                <w:bCs/>
                <w:color w:val="auto"/>
                <w:szCs w:val="24"/>
                <w:highlight w:val="none"/>
              </w:rPr>
              <w:t>份额：</w:t>
            </w:r>
            <w:r>
              <w:rPr>
                <w:rFonts w:hint="eastAsia" w:ascii="宋体" w:hAnsi="宋体"/>
                <w:color w:val="auto"/>
                <w:szCs w:val="24"/>
                <w:highlight w:val="none"/>
              </w:rPr>
              <w:t>单笔最小赎回份额【</w:t>
            </w:r>
            <w:r>
              <w:rPr>
                <w:rFonts w:hint="eastAsia" w:ascii="宋体" w:hAnsi="宋体"/>
                <w:color w:val="auto"/>
                <w:szCs w:val="24"/>
                <w:highlight w:val="none"/>
                <w:lang w:val="en-US" w:eastAsia="zh-CN"/>
              </w:rPr>
              <w:t>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14:paraId="50D457EF">
            <w:pPr>
              <w:widowControl/>
              <w:numPr>
                <w:ilvl w:val="0"/>
                <w:numId w:val="3"/>
              </w:numPr>
              <w:jc w:val="left"/>
              <w:rPr>
                <w:rFonts w:ascii="宋体" w:hAnsi="宋体"/>
                <w:bCs/>
                <w:color w:val="auto"/>
                <w:szCs w:val="24"/>
                <w:highlight w:val="none"/>
              </w:rPr>
            </w:pPr>
            <w:r>
              <w:rPr>
                <w:rFonts w:hint="eastAsia" w:ascii="宋体" w:hAnsi="宋体"/>
                <w:bCs/>
                <w:color w:val="auto"/>
                <w:szCs w:val="24"/>
                <w:highlight w:val="none"/>
                <w:lang w:val="en-US" w:eastAsia="zh-CN"/>
              </w:rPr>
              <w:t>C</w:t>
            </w:r>
            <w:r>
              <w:rPr>
                <w:rFonts w:hint="eastAsia" w:ascii="宋体" w:hAnsi="宋体"/>
                <w:bCs/>
                <w:color w:val="auto"/>
                <w:szCs w:val="24"/>
                <w:highlight w:val="none"/>
              </w:rPr>
              <w:t>份额：</w:t>
            </w:r>
            <w:r>
              <w:rPr>
                <w:rFonts w:hint="eastAsia" w:ascii="宋体" w:hAnsi="宋体"/>
                <w:color w:val="auto"/>
                <w:szCs w:val="24"/>
                <w:highlight w:val="none"/>
              </w:rPr>
              <w:t>单笔最小赎回份额【</w:t>
            </w:r>
            <w:r>
              <w:rPr>
                <w:rFonts w:hint="eastAsia" w:ascii="宋体" w:hAnsi="宋体"/>
                <w:color w:val="auto"/>
                <w:szCs w:val="24"/>
                <w:highlight w:val="none"/>
                <w:lang w:val="en-US" w:eastAsia="zh-CN"/>
              </w:rPr>
              <w:t>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14:paraId="607EC63C">
            <w:pPr>
              <w:widowControl/>
              <w:numPr>
                <w:ilvl w:val="0"/>
                <w:numId w:val="3"/>
              </w:numPr>
              <w:jc w:val="left"/>
              <w:rPr>
                <w:rFonts w:ascii="宋体" w:hAnsi="宋体"/>
                <w:bCs/>
                <w:color w:val="auto"/>
                <w:szCs w:val="24"/>
                <w:highlight w:val="none"/>
              </w:rPr>
            </w:pPr>
            <w:r>
              <w:rPr>
                <w:rFonts w:hint="eastAsia" w:ascii="宋体" w:hAnsi="宋体"/>
                <w:bCs/>
                <w:color w:val="auto"/>
                <w:szCs w:val="24"/>
                <w:highlight w:val="none"/>
              </w:rPr>
              <w:t>投资者可全部或部分赎回其理财份额，但是部分赎回后单一投资者持有产品份额不得低于</w:t>
            </w:r>
            <w:r>
              <w:rPr>
                <w:rFonts w:hint="eastAsia" w:ascii="仿宋_GB2312" w:hAnsi="宋体" w:cs="宋体"/>
                <w:bCs/>
                <w:color w:val="auto"/>
                <w:kern w:val="0"/>
                <w:szCs w:val="24"/>
                <w:highlight w:val="none"/>
                <w:lang w:val="en-US" w:eastAsia="zh-CN"/>
              </w:rPr>
              <w:t>【/】</w:t>
            </w:r>
            <w:r>
              <w:rPr>
                <w:rFonts w:hint="eastAsia" w:ascii="宋体" w:hAnsi="宋体"/>
                <w:bCs/>
                <w:color w:val="auto"/>
                <w:szCs w:val="24"/>
                <w:highlight w:val="none"/>
              </w:rPr>
              <w:t>份。受理财利益分配去尾规则的影响，投资者持有产品份额较低时可能无法取得利益。巨额赎回情景发生时，投资者的可赎回份额需要根据巨额赎回规则确定。</w:t>
            </w:r>
          </w:p>
          <w:p w14:paraId="0CE8756B">
            <w:pPr>
              <w:widowControl/>
              <w:numPr>
                <w:ilvl w:val="0"/>
                <w:numId w:val="3"/>
              </w:numPr>
              <w:jc w:val="left"/>
              <w:rPr>
                <w:rFonts w:ascii="宋体" w:hAnsi="宋体"/>
                <w:bCs/>
                <w:color w:val="auto"/>
                <w:szCs w:val="24"/>
                <w:highlight w:val="none"/>
              </w:rPr>
            </w:pPr>
            <w:r>
              <w:rPr>
                <w:rFonts w:hint="eastAsia" w:ascii="宋体" w:hAnsi="宋体"/>
                <w:b/>
                <w:bCs w:val="0"/>
                <w:color w:val="auto"/>
                <w:szCs w:val="24"/>
                <w:highlight w:val="none"/>
              </w:rPr>
              <w:t>管理人有权以公告形式设置或调整赎回上限。</w:t>
            </w:r>
          </w:p>
        </w:tc>
      </w:tr>
      <w:tr w14:paraId="337FA1A0">
        <w:trPr>
          <w:trHeight w:val="667" w:hRule="atLeast"/>
          <w:jc w:val="center"/>
        </w:trPr>
        <w:tc>
          <w:tcPr>
            <w:tcW w:w="2411" w:type="dxa"/>
            <w:vAlign w:val="center"/>
          </w:tcPr>
          <w:p w14:paraId="7058CF00">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巨额赎回</w:t>
            </w:r>
          </w:p>
        </w:tc>
        <w:tc>
          <w:tcPr>
            <w:tcW w:w="6804" w:type="dxa"/>
            <w:gridSpan w:val="4"/>
            <w:vAlign w:val="center"/>
          </w:tcPr>
          <w:p w14:paraId="1D0CF706">
            <w:pPr>
              <w:snapToGrid w:val="0"/>
              <w:jc w:val="left"/>
              <w:rPr>
                <w:rFonts w:asciiTheme="minorEastAsia" w:hAnsiTheme="minorEastAsia"/>
                <w:b/>
                <w:color w:val="auto"/>
                <w:szCs w:val="24"/>
                <w:highlight w:val="none"/>
              </w:rPr>
            </w:pPr>
            <w:r>
              <w:rPr>
                <w:rFonts w:hint="eastAsia" w:ascii="仿宋_GB2312" w:hAnsi="宋体" w:cs="宋体"/>
                <w:b/>
                <w:bCs/>
                <w:color w:val="auto"/>
                <w:kern w:val="0"/>
                <w:szCs w:val="24"/>
                <w:highlight w:val="none"/>
              </w:rPr>
              <w:t>单个开放日内</w:t>
            </w:r>
            <w:r>
              <w:rPr>
                <w:rFonts w:ascii="仿宋_GB2312" w:hAnsi="宋体" w:cs="宋体"/>
                <w:b/>
                <w:bCs/>
                <w:color w:val="auto"/>
                <w:kern w:val="0"/>
                <w:szCs w:val="24"/>
                <w:highlight w:val="none"/>
              </w:rPr>
              <w:t>，</w:t>
            </w:r>
            <w:r>
              <w:rPr>
                <w:rFonts w:hint="eastAsia" w:ascii="仿宋_GB2312" w:hAnsi="宋体" w:cs="宋体"/>
                <w:b/>
                <w:bCs/>
                <w:color w:val="auto"/>
                <w:kern w:val="0"/>
                <w:szCs w:val="24"/>
                <w:highlight w:val="none"/>
              </w:rPr>
              <w:t>产品净赎回申请（</w:t>
            </w:r>
            <w:r>
              <w:rPr>
                <w:rFonts w:ascii="仿宋_GB2312" w:hAnsi="宋体" w:cs="宋体"/>
                <w:b/>
                <w:bCs/>
                <w:color w:val="auto"/>
                <w:kern w:val="0"/>
                <w:szCs w:val="24"/>
                <w:highlight w:val="none"/>
              </w:rPr>
              <w:t>赎回</w:t>
            </w:r>
            <w:r>
              <w:rPr>
                <w:rFonts w:hint="eastAsia" w:ascii="仿宋_GB2312" w:hAnsi="宋体" w:cs="宋体"/>
                <w:b/>
                <w:bCs/>
                <w:color w:val="auto"/>
                <w:kern w:val="0"/>
                <w:szCs w:val="24"/>
                <w:highlight w:val="none"/>
              </w:rPr>
              <w:t>申请总份额扣除申购总份额后的余额</w:t>
            </w:r>
            <w:r>
              <w:rPr>
                <w:rFonts w:ascii="仿宋_GB2312" w:hAnsi="宋体" w:cs="宋体"/>
                <w:b/>
                <w:bCs/>
                <w:color w:val="auto"/>
                <w:kern w:val="0"/>
                <w:szCs w:val="24"/>
                <w:highlight w:val="none"/>
              </w:rPr>
              <w:t>,下同）</w:t>
            </w:r>
            <w:r>
              <w:rPr>
                <w:rFonts w:hint="eastAsia" w:ascii="仿宋_GB2312" w:hAnsi="宋体" w:cs="宋体"/>
                <w:b/>
                <w:bCs/>
                <w:color w:val="auto"/>
                <w:kern w:val="0"/>
                <w:szCs w:val="24"/>
                <w:highlight w:val="none"/>
              </w:rPr>
              <w:t>超过前一日终理财产品总份额的【</w:t>
            </w:r>
            <w:r>
              <w:rPr>
                <w:rFonts w:ascii="仿宋_GB2312" w:hAnsi="宋体" w:cs="宋体"/>
                <w:b/>
                <w:bCs/>
                <w:color w:val="auto"/>
                <w:kern w:val="0"/>
                <w:szCs w:val="24"/>
                <w:highlight w:val="none"/>
              </w:rPr>
              <w:t>10</w:t>
            </w:r>
            <w:r>
              <w:rPr>
                <w:rFonts w:hint="eastAsia" w:ascii="仿宋_GB2312" w:hAnsi="宋体" w:cs="宋体"/>
                <w:b/>
                <w:bCs/>
                <w:color w:val="auto"/>
                <w:kern w:val="0"/>
                <w:szCs w:val="24"/>
                <w:highlight w:val="none"/>
              </w:rPr>
              <w:t>％】</w:t>
            </w:r>
            <w:r>
              <w:rPr>
                <w:rFonts w:hint="eastAsia" w:asciiTheme="minorEastAsia" w:hAnsiTheme="minorEastAsia"/>
                <w:b/>
                <w:color w:val="auto"/>
                <w:szCs w:val="24"/>
                <w:highlight w:val="none"/>
              </w:rPr>
              <w:t>，即为发生巨额赎回。</w:t>
            </w:r>
          </w:p>
          <w:p w14:paraId="69D18240">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本理财产品在开放日发生巨额赎回时，管理人有权根据产品的实际运作情况采取如下措施中的一种：</w:t>
            </w:r>
          </w:p>
          <w:p w14:paraId="0E2FCE73">
            <w:pPr>
              <w:snapToGrid w:val="0"/>
              <w:jc w:val="left"/>
              <w:rPr>
                <w:rFonts w:asciiTheme="minorEastAsia" w:hAnsiTheme="minorEastAsia"/>
                <w:b/>
                <w:color w:val="auto"/>
                <w:szCs w:val="24"/>
                <w:highlight w:val="none"/>
              </w:rPr>
            </w:pPr>
            <w:r>
              <w:rPr>
                <w:rFonts w:asciiTheme="minorEastAsia" w:hAnsiTheme="minorEastAsia"/>
                <w:b/>
                <w:color w:val="auto"/>
                <w:szCs w:val="24"/>
                <w:highlight w:val="none"/>
              </w:rPr>
              <w:t>1.</w:t>
            </w:r>
            <w:r>
              <w:rPr>
                <w:rFonts w:hint="eastAsia" w:asciiTheme="minorEastAsia" w:hAnsiTheme="minorEastAsia"/>
                <w:b/>
                <w:color w:val="auto"/>
                <w:szCs w:val="24"/>
                <w:highlight w:val="none"/>
              </w:rPr>
              <w:t>接受全额赎回：当管理人认为有能力兑付投资者的全部赎回申请时，将在赎回确认日按正常赎回程序执行；</w:t>
            </w:r>
          </w:p>
          <w:p w14:paraId="0670C917">
            <w:pPr>
              <w:snapToGrid w:val="0"/>
              <w:jc w:val="left"/>
              <w:rPr>
                <w:rFonts w:asciiTheme="minorEastAsia" w:hAnsiTheme="minorEastAsia"/>
                <w:b/>
                <w:color w:val="auto"/>
                <w:szCs w:val="24"/>
                <w:highlight w:val="none"/>
              </w:rPr>
            </w:pP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hint="eastAsia" w:ascii="仿宋_GB2312" w:hAnsi="宋体" w:cs="宋体"/>
                <w:b/>
                <w:bCs/>
                <w:color w:val="auto"/>
                <w:kern w:val="0"/>
                <w:szCs w:val="24"/>
                <w:highlight w:val="none"/>
              </w:rPr>
              <w:t>【</w:t>
            </w:r>
            <w:r>
              <w:rPr>
                <w:rFonts w:asciiTheme="minorEastAsia" w:hAnsiTheme="minorEastAsia"/>
                <w:b/>
                <w:color w:val="auto"/>
                <w:szCs w:val="24"/>
                <w:highlight w:val="none"/>
              </w:rPr>
              <w:t>10%</w:t>
            </w:r>
            <w:r>
              <w:rPr>
                <w:rFonts w:hint="eastAsia" w:ascii="仿宋_GB2312" w:hAnsi="宋体" w:cs="宋体"/>
                <w:b/>
                <w:bCs/>
                <w:color w:val="auto"/>
                <w:kern w:val="0"/>
                <w:szCs w:val="24"/>
                <w:highlight w:val="none"/>
              </w:rPr>
              <w:t>】</w:t>
            </w:r>
            <w:r>
              <w:rPr>
                <w:rFonts w:hint="eastAsia" w:asciiTheme="minorEastAsia" w:hAnsiTheme="minorEastAsia"/>
                <w:b/>
                <w:color w:val="auto"/>
                <w:szCs w:val="24"/>
                <w:highlight w:val="none"/>
              </w:rPr>
              <w:t>，对于其余赎回申请管理人可暂停接受或延期办理。</w:t>
            </w:r>
          </w:p>
          <w:p w14:paraId="02915B0B">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1</w:t>
            </w:r>
            <w:r>
              <w:rPr>
                <w:rFonts w:hint="eastAsia" w:asciiTheme="minorEastAsia" w:hAnsiTheme="minorEastAsia"/>
                <w:b/>
                <w:color w:val="auto"/>
                <w:szCs w:val="24"/>
                <w:highlight w:val="none"/>
              </w:rPr>
              <w:t>）对于接受赎回申请的部分，管理人将按单个投资者的赎回申请份额占当日所有投资者的净赎回申请总份额的比例，确认该投资者当日办理的赎回申请份额。</w:t>
            </w:r>
          </w:p>
          <w:p w14:paraId="19265757">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2</w:t>
            </w:r>
            <w:r>
              <w:rPr>
                <w:rFonts w:hint="eastAsia" w:asciiTheme="minorEastAsia" w:hAnsiTheme="minorEastAsia"/>
                <w:b/>
                <w:color w:val="auto"/>
                <w:szCs w:val="24"/>
                <w:highlight w:val="none"/>
              </w:rPr>
              <w:t>）对于暂停接受的部分，管理人将拒绝该部分赎回申请，投资者可在下一个产品开放日再次发起赎回申请。</w:t>
            </w:r>
          </w:p>
          <w:p w14:paraId="7340D794">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3</w:t>
            </w:r>
            <w:r>
              <w:rPr>
                <w:rFonts w:hint="eastAsia" w:asciiTheme="minorEastAsia" w:hAnsiTheme="minorEastAsia"/>
                <w:b/>
                <w:color w:val="auto"/>
                <w:szCs w:val="24"/>
                <w:highlight w:val="none"/>
              </w:rPr>
              <w:t>）对于延期办理的部分，管理人将在下一个产品开放日自动为投资者发起该部分的赎回，延期赎回的申请与下一个</w:t>
            </w:r>
            <w:r>
              <w:rPr>
                <w:rFonts w:hint="eastAsia" w:ascii="宋体" w:hAnsi="宋体"/>
                <w:b/>
                <w:bCs/>
                <w:color w:val="auto"/>
                <w:szCs w:val="24"/>
                <w:highlight w:val="none"/>
              </w:rPr>
              <w:t>交易日</w:t>
            </w:r>
            <w:r>
              <w:rPr>
                <w:rFonts w:hint="eastAsia" w:asciiTheme="minorEastAsia" w:hAnsiTheme="minorEastAsia"/>
                <w:b/>
                <w:color w:val="auto"/>
                <w:szCs w:val="24"/>
                <w:highlight w:val="none"/>
              </w:rPr>
              <w:t>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2</w:t>
            </w:r>
            <w:r>
              <w:rPr>
                <w:rFonts w:hint="eastAsia" w:asciiTheme="minorEastAsia" w:hAnsiTheme="minorEastAsia"/>
                <w:b/>
                <w:color w:val="auto"/>
                <w:szCs w:val="24"/>
                <w:highlight w:val="none"/>
              </w:rPr>
              <w:t>）对于暂停接受的部分”采取措施；投资者选择顺延的，顺延部分管理人将参考“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3</w:t>
            </w:r>
            <w:r>
              <w:rPr>
                <w:rFonts w:hint="eastAsia" w:asciiTheme="minorEastAsia" w:hAnsiTheme="minorEastAsia"/>
                <w:b/>
                <w:color w:val="auto"/>
                <w:szCs w:val="24"/>
                <w:highlight w:val="none"/>
              </w:rPr>
              <w:t>）对于延期办理的部分”采取措施。具体服务投资者可详询销售机构，最终以销售机构提供的服务为准。</w:t>
            </w:r>
          </w:p>
        </w:tc>
      </w:tr>
      <w:tr w14:paraId="03618822">
        <w:trPr>
          <w:trHeight w:val="667" w:hRule="atLeast"/>
          <w:jc w:val="center"/>
        </w:trPr>
        <w:tc>
          <w:tcPr>
            <w:tcW w:w="2411" w:type="dxa"/>
            <w:vAlign w:val="center"/>
          </w:tcPr>
          <w:p w14:paraId="37891697">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连续巨额赎回</w:t>
            </w:r>
          </w:p>
        </w:tc>
        <w:tc>
          <w:tcPr>
            <w:tcW w:w="6804" w:type="dxa"/>
            <w:gridSpan w:val="4"/>
            <w:vAlign w:val="center"/>
          </w:tcPr>
          <w:p w14:paraId="273185F9">
            <w:pPr>
              <w:snapToGrid w:val="0"/>
              <w:jc w:val="left"/>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当本理财产品连续</w:t>
            </w:r>
            <w:r>
              <w:rPr>
                <w:rFonts w:ascii="仿宋_GB2312" w:hAnsi="宋体" w:cs="宋体"/>
                <w:b/>
                <w:bCs/>
                <w:color w:val="auto"/>
                <w:kern w:val="0"/>
                <w:szCs w:val="24"/>
                <w:highlight w:val="none"/>
              </w:rPr>
              <w:t>2</w:t>
            </w:r>
            <w:r>
              <w:rPr>
                <w:rFonts w:hint="eastAsia" w:ascii="仿宋_GB2312" w:hAnsi="宋体" w:cs="宋体"/>
                <w:b/>
                <w:bCs/>
                <w:color w:val="auto"/>
                <w:kern w:val="0"/>
                <w:szCs w:val="24"/>
                <w:highlight w:val="none"/>
              </w:rPr>
              <w:t>个以上开放日发生巨额赎回时，除采取上述措施外，对于已经接受的赎回申请，管理人有权延缓支付赎回款项，但延缓期限不得超过</w:t>
            </w:r>
            <w:r>
              <w:rPr>
                <w:rFonts w:ascii="仿宋_GB2312" w:hAnsi="宋体" w:cs="宋体"/>
                <w:b/>
                <w:bCs/>
                <w:color w:val="auto"/>
                <w:kern w:val="0"/>
                <w:szCs w:val="24"/>
                <w:highlight w:val="none"/>
              </w:rPr>
              <w:t>20</w:t>
            </w:r>
            <w:r>
              <w:rPr>
                <w:rFonts w:hint="eastAsia" w:ascii="仿宋_GB2312" w:hAnsi="宋体" w:cs="宋体"/>
                <w:b/>
                <w:bCs/>
                <w:color w:val="auto"/>
                <w:kern w:val="0"/>
                <w:szCs w:val="24"/>
                <w:highlight w:val="none"/>
              </w:rPr>
              <w:t>个工作日。</w:t>
            </w:r>
          </w:p>
        </w:tc>
      </w:tr>
      <w:tr w14:paraId="77B39A77">
        <w:trPr>
          <w:trHeight w:val="425" w:hRule="atLeast"/>
          <w:jc w:val="center"/>
        </w:trPr>
        <w:tc>
          <w:tcPr>
            <w:tcW w:w="2411" w:type="dxa"/>
            <w:vAlign w:val="center"/>
          </w:tcPr>
          <w:p w14:paraId="01ACEDDD">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业绩比较基准</w:t>
            </w:r>
          </w:p>
        </w:tc>
        <w:tc>
          <w:tcPr>
            <w:tcW w:w="6804" w:type="dxa"/>
            <w:gridSpan w:val="4"/>
            <w:vAlign w:val="center"/>
          </w:tcPr>
          <w:p w14:paraId="7DF41514">
            <w:pPr>
              <w:widowControl/>
              <w:jc w:val="left"/>
              <w:rPr>
                <w:rFonts w:ascii="宋体" w:hAnsi="宋体"/>
                <w:b/>
                <w:color w:val="auto"/>
                <w:szCs w:val="24"/>
                <w:highlight w:val="none"/>
              </w:rPr>
            </w:pPr>
            <w:r>
              <w:rPr>
                <w:rFonts w:hint="eastAsia" w:ascii="宋体" w:hAnsi="宋体"/>
                <w:b/>
                <w:color w:val="auto"/>
                <w:szCs w:val="24"/>
                <w:highlight w:val="none"/>
              </w:rPr>
              <w:t>1.业绩比较基准的设置</w:t>
            </w:r>
          </w:p>
          <w:p w14:paraId="702D60D7">
            <w:pPr>
              <w:widowControl/>
              <w:jc w:val="left"/>
              <w:rPr>
                <w:rFonts w:ascii="宋体" w:hAnsi="宋体"/>
                <w:b/>
                <w:color w:val="auto"/>
                <w:szCs w:val="24"/>
                <w:highlight w:val="none"/>
              </w:rPr>
            </w:pPr>
            <w:r>
              <w:rPr>
                <w:rFonts w:hint="eastAsia" w:ascii="宋体" w:hAnsi="宋体"/>
                <w:b/>
                <w:color w:val="auto"/>
                <w:szCs w:val="24"/>
                <w:highlight w:val="none"/>
              </w:rPr>
              <w:t>■ 产品管理人设置业绩比较基准。</w:t>
            </w:r>
          </w:p>
          <w:p w14:paraId="3F22AC79">
            <w:pPr>
              <w:widowControl/>
              <w:jc w:val="left"/>
              <w:rPr>
                <w:rFonts w:hint="eastAsia" w:ascii="宋体" w:hAnsi="宋体"/>
                <w:b/>
                <w:color w:val="auto"/>
                <w:szCs w:val="24"/>
                <w:highlight w:val="none"/>
              </w:rPr>
            </w:pPr>
            <w:r>
              <w:rPr>
                <w:rFonts w:hint="eastAsia" w:ascii="宋体" w:hAnsi="宋体"/>
                <w:b/>
                <w:color w:val="auto"/>
                <w:szCs w:val="24"/>
                <w:highlight w:val="none"/>
              </w:rPr>
              <w:t>业绩比较基准的设定：</w:t>
            </w:r>
            <w:r>
              <w:rPr>
                <w:rFonts w:hint="eastAsia" w:ascii="仿宋_GB2312" w:hAnsi="宋体" w:cs="宋体"/>
                <w:b/>
                <w:bCs w:val="0"/>
                <w:color w:val="auto"/>
                <w:kern w:val="0"/>
                <w:szCs w:val="24"/>
                <w:highlight w:val="none"/>
                <w:lang w:val="en-US" w:eastAsia="zh-CN"/>
              </w:rPr>
              <w:t>中债新综合全价（1-3年）指数收益率（CBA00123.CS）*95.00%+沪深300指数收益率（000300.SH）*5.00%</w:t>
            </w:r>
            <w:r>
              <w:rPr>
                <w:rFonts w:hint="eastAsia" w:ascii="宋体" w:hAnsi="宋体"/>
                <w:b/>
                <w:color w:val="auto"/>
                <w:szCs w:val="24"/>
                <w:highlight w:val="none"/>
              </w:rPr>
              <w:t>（适用【A】</w:t>
            </w:r>
            <w:r>
              <w:rPr>
                <w:rFonts w:hint="eastAsia" w:ascii="宋体" w:hAnsi="宋体"/>
                <w:b/>
                <w:color w:val="auto"/>
                <w:szCs w:val="24"/>
                <w:highlight w:val="none"/>
                <w:lang w:eastAsia="zh-CN"/>
              </w:rPr>
              <w:t>、【</w:t>
            </w:r>
            <w:r>
              <w:rPr>
                <w:rFonts w:hint="eastAsia" w:ascii="宋体" w:hAnsi="宋体"/>
                <w:b/>
                <w:color w:val="auto"/>
                <w:szCs w:val="24"/>
                <w:highlight w:val="none"/>
                <w:lang w:val="en-US" w:eastAsia="zh-CN"/>
              </w:rPr>
              <w:t>B</w:t>
            </w:r>
            <w:r>
              <w:rPr>
                <w:rFonts w:hint="eastAsia" w:ascii="宋体" w:hAnsi="宋体"/>
                <w:b/>
                <w:color w:val="auto"/>
                <w:szCs w:val="24"/>
                <w:highlight w:val="none"/>
                <w:lang w:eastAsia="zh-CN"/>
              </w:rPr>
              <w:t>】、【</w:t>
            </w:r>
            <w:r>
              <w:rPr>
                <w:rFonts w:hint="eastAsia" w:ascii="宋体" w:hAnsi="宋体"/>
                <w:b/>
                <w:color w:val="auto"/>
                <w:szCs w:val="24"/>
                <w:highlight w:val="none"/>
                <w:lang w:val="en-US" w:eastAsia="zh-CN"/>
              </w:rPr>
              <w:t>C</w:t>
            </w:r>
            <w:r>
              <w:rPr>
                <w:rFonts w:hint="eastAsia" w:ascii="宋体" w:hAnsi="宋体"/>
                <w:b/>
                <w:color w:val="auto"/>
                <w:szCs w:val="24"/>
                <w:highlight w:val="none"/>
                <w:lang w:eastAsia="zh-CN"/>
              </w:rPr>
              <w:t>】</w:t>
            </w:r>
            <w:r>
              <w:rPr>
                <w:rFonts w:hint="eastAsia" w:ascii="宋体" w:hAnsi="宋体"/>
                <w:b/>
                <w:color w:val="auto"/>
                <w:szCs w:val="24"/>
                <w:highlight w:val="none"/>
              </w:rPr>
              <w:t>份额）</w:t>
            </w:r>
          </w:p>
          <w:p w14:paraId="21E3A738">
            <w:pPr>
              <w:widowControl/>
              <w:jc w:val="left"/>
              <w:rPr>
                <w:rFonts w:ascii="宋体" w:hAnsi="宋体"/>
                <w:b/>
                <w:color w:val="auto"/>
                <w:szCs w:val="24"/>
                <w:highlight w:val="none"/>
              </w:rPr>
            </w:pPr>
            <w:r>
              <w:rPr>
                <w:rFonts w:hint="eastAsia" w:ascii="宋体" w:hAnsi="宋体"/>
                <w:b/>
                <w:color w:val="auto"/>
                <w:szCs w:val="24"/>
                <w:highlight w:val="none"/>
              </w:rPr>
              <w:t>□ 产品管理人不设置业绩比较基准。</w:t>
            </w:r>
          </w:p>
          <w:p w14:paraId="638729C0">
            <w:pPr>
              <w:widowControl/>
              <w:jc w:val="left"/>
              <w:rPr>
                <w:rFonts w:ascii="宋体" w:hAnsi="宋体"/>
                <w:b/>
                <w:color w:val="auto"/>
                <w:szCs w:val="24"/>
                <w:highlight w:val="none"/>
              </w:rPr>
            </w:pPr>
            <w:r>
              <w:rPr>
                <w:rFonts w:hint="eastAsia" w:ascii="宋体" w:hAnsi="宋体"/>
                <w:b/>
                <w:color w:val="auto"/>
                <w:szCs w:val="24"/>
                <w:highlight w:val="none"/>
              </w:rPr>
              <w:t>2</w:t>
            </w:r>
            <w:r>
              <w:rPr>
                <w:rFonts w:ascii="宋体" w:hAnsi="宋体"/>
                <w:b/>
                <w:color w:val="auto"/>
                <w:szCs w:val="24"/>
                <w:highlight w:val="none"/>
              </w:rPr>
              <w:t>.</w:t>
            </w:r>
            <w:r>
              <w:rPr>
                <w:rFonts w:hint="eastAsia" w:ascii="宋体" w:hAnsi="宋体"/>
                <w:b/>
                <w:color w:val="auto"/>
                <w:szCs w:val="24"/>
                <w:highlight w:val="none"/>
              </w:rPr>
              <w:t>业绩</w:t>
            </w:r>
            <w:r>
              <w:rPr>
                <w:rFonts w:ascii="宋体" w:hAnsi="宋体"/>
                <w:b/>
                <w:color w:val="auto"/>
                <w:szCs w:val="24"/>
                <w:highlight w:val="none"/>
              </w:rPr>
              <w:t>比较基准</w:t>
            </w:r>
            <w:r>
              <w:rPr>
                <w:rFonts w:hint="eastAsia" w:ascii="宋体" w:hAnsi="宋体"/>
                <w:b/>
                <w:color w:val="auto"/>
                <w:szCs w:val="24"/>
                <w:highlight w:val="none"/>
              </w:rPr>
              <w:t>提示：</w:t>
            </w:r>
          </w:p>
          <w:p w14:paraId="2ACB648E">
            <w:pPr>
              <w:widowControl/>
              <w:jc w:val="left"/>
              <w:rPr>
                <w:rFonts w:ascii="宋体" w:hAnsi="宋体"/>
                <w:b/>
                <w:color w:val="auto"/>
                <w:szCs w:val="24"/>
                <w:highlight w:val="none"/>
              </w:rPr>
            </w:pPr>
            <w:r>
              <w:rPr>
                <w:rFonts w:hint="eastAsia" w:ascii="宋体" w:hAnsi="宋体"/>
                <w:b/>
                <w:color w:val="auto"/>
                <w:szCs w:val="24"/>
                <w:highlight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791BE847">
            <w:pPr>
              <w:snapToGrid w:val="0"/>
              <w:rPr>
                <w:rFonts w:ascii="宋体" w:hAnsi="宋体"/>
                <w:b/>
                <w:bCs/>
                <w:color w:val="auto"/>
                <w:szCs w:val="24"/>
                <w:highlight w:val="none"/>
              </w:rPr>
            </w:pPr>
            <w:r>
              <w:rPr>
                <w:rFonts w:hint="eastAsia" w:asciiTheme="minorEastAsia" w:hAnsiTheme="minorEastAsia"/>
                <w:color w:val="auto"/>
                <w:kern w:val="0"/>
                <w:szCs w:val="24"/>
                <w:highlight w:val="none"/>
              </w:rPr>
              <w:t>本理财产品</w:t>
            </w:r>
            <w:r>
              <w:rPr>
                <w:rFonts w:hint="eastAsia" w:ascii="宋体" w:hAnsi="宋体"/>
                <w:b/>
                <w:color w:val="auto"/>
                <w:szCs w:val="24"/>
                <w:highlight w:val="none"/>
              </w:rPr>
              <w:t>投向债权类资产投资比例不低于80%，投向权益类资产、商品及金融衍生品类资产不高于20%。</w:t>
            </w:r>
            <w:r>
              <w:rPr>
                <w:rFonts w:hint="eastAsia" w:ascii="宋体" w:hAnsi="宋体"/>
                <w:b/>
                <w:color w:val="auto"/>
                <w:szCs w:val="24"/>
                <w:highlight w:val="none"/>
                <w:lang w:eastAsia="zh-CN"/>
              </w:rPr>
              <w:t>（</w:t>
            </w:r>
            <w:r>
              <w:rPr>
                <w:rFonts w:hint="eastAsia" w:ascii="仿宋_GB2312" w:hAnsi="宋体" w:cs="宋体"/>
                <w:bCs/>
                <w:color w:val="auto"/>
                <w:kern w:val="0"/>
                <w:szCs w:val="24"/>
                <w:highlight w:val="none"/>
              </w:rPr>
              <w:t>本理财</w:t>
            </w:r>
            <w:r>
              <w:rPr>
                <w:rFonts w:ascii="仿宋_GB2312" w:hAnsi="宋体" w:cs="宋体"/>
                <w:bCs/>
                <w:color w:val="auto"/>
                <w:kern w:val="0"/>
                <w:szCs w:val="24"/>
                <w:highlight w:val="none"/>
              </w:rPr>
              <w:t>产品在投资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r>
              <w:rPr>
                <w:rFonts w:hint="eastAsia" w:ascii="仿宋_GB2312" w:hAnsi="宋体" w:cs="宋体"/>
                <w:bCs/>
                <w:color w:val="auto"/>
                <w:kern w:val="0"/>
                <w:szCs w:val="24"/>
                <w:highlight w:val="none"/>
                <w:lang w:eastAsia="zh-CN"/>
              </w:rPr>
              <w:t>）。</w:t>
            </w:r>
            <w:r>
              <w:rPr>
                <w:rFonts w:hint="eastAsia" w:ascii="宋体" w:hAnsi="宋体"/>
                <w:b/>
                <w:bCs/>
                <w:color w:val="auto"/>
                <w:szCs w:val="24"/>
                <w:highlight w:val="none"/>
              </w:rPr>
              <w:t>管理人根据拟投资资产种类、配置比例、运作策略等因素，结合宏观经济情况和市场趋势的预判分析，综合测算、确定本理财产品的业绩比较基准。</w:t>
            </w:r>
          </w:p>
          <w:p w14:paraId="74EC6379">
            <w:pPr>
              <w:snapToGrid w:val="0"/>
              <w:rPr>
                <w:rFonts w:asciiTheme="minorEastAsia" w:hAnsiTheme="minorEastAsia" w:cstheme="minorEastAsia"/>
                <w:b/>
                <w:color w:val="auto"/>
                <w:highlight w:val="none"/>
              </w:rPr>
            </w:pPr>
            <w:r>
              <w:rPr>
                <w:rFonts w:hint="eastAsia" w:asciiTheme="minorEastAsia" w:hAnsiTheme="minorEastAsia" w:cstheme="minorEastAsia"/>
                <w:b/>
                <w:color w:val="auto"/>
                <w:highlight w:val="none"/>
              </w:rPr>
              <w:t>业绩比较基准不是预期收益率，不代表产品的未来表现和实际收益，仅作为业绩参考和</w:t>
            </w:r>
            <w:r>
              <w:rPr>
                <w:rFonts w:asciiTheme="minorEastAsia" w:hAnsiTheme="minorEastAsia" w:cstheme="minorEastAsia"/>
                <w:b/>
                <w:color w:val="auto"/>
                <w:highlight w:val="none"/>
              </w:rPr>
              <w:t>计算</w:t>
            </w:r>
            <w:r>
              <w:rPr>
                <w:rFonts w:hint="eastAsia" w:asciiTheme="minorEastAsia" w:hAnsiTheme="minorEastAsia" w:cstheme="minorEastAsia"/>
                <w:b/>
                <w:color w:val="auto"/>
                <w:highlight w:val="none"/>
              </w:rPr>
              <w:t>业绩报酬（如有）的依据，不构成对该理财产品的任何收益承诺，投资者能获得的最终收益以实际支付为准。</w:t>
            </w:r>
          </w:p>
          <w:p w14:paraId="0FC8A9FA">
            <w:pPr>
              <w:snapToGrid w:val="0"/>
              <w:rPr>
                <w:rFonts w:asciiTheme="minorEastAsia" w:hAnsiTheme="minorEastAsia" w:cstheme="minorEastAsia"/>
                <w:b/>
                <w:color w:val="auto"/>
                <w:highlight w:val="none"/>
              </w:rPr>
            </w:pPr>
            <w:r>
              <w:rPr>
                <w:rFonts w:hint="eastAsia" w:asciiTheme="minorEastAsia" w:hAnsiTheme="minorEastAsia" w:cstheme="minorEastAsia"/>
                <w:b/>
                <w:color w:val="auto"/>
                <w:highlight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0967C07E">
        <w:trPr>
          <w:trHeight w:val="425" w:hRule="atLeast"/>
          <w:jc w:val="center"/>
        </w:trPr>
        <w:tc>
          <w:tcPr>
            <w:tcW w:w="2411" w:type="dxa"/>
            <w:vAlign w:val="center"/>
          </w:tcPr>
          <w:p w14:paraId="0A5297EC">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产品份额净值</w:t>
            </w:r>
          </w:p>
        </w:tc>
        <w:tc>
          <w:tcPr>
            <w:tcW w:w="6804" w:type="dxa"/>
            <w:gridSpan w:val="4"/>
            <w:vAlign w:val="center"/>
          </w:tcPr>
          <w:p w14:paraId="61A7055C">
            <w:pPr>
              <w:snapToGrid w:val="0"/>
              <w:rPr>
                <w:rFonts w:ascii="宋体" w:hAnsi="宋体"/>
                <w:color w:val="auto"/>
                <w:szCs w:val="24"/>
                <w:highlight w:val="none"/>
              </w:rPr>
            </w:pPr>
            <w:r>
              <w:rPr>
                <w:rFonts w:hint="eastAsia" w:ascii="宋体" w:hAnsi="宋体"/>
                <w:color w:val="auto"/>
                <w:szCs w:val="24"/>
                <w:highlight w:val="none"/>
              </w:rPr>
              <w:t>理财产品份额净值是提取相关税费后单位理财产品份额的净值；份额净值随理财产品投资运行情况变化而变化。</w:t>
            </w:r>
          </w:p>
          <w:p w14:paraId="71B18B74">
            <w:pPr>
              <w:snapToGrid w:val="0"/>
              <w:rPr>
                <w:rFonts w:hint="eastAsia" w:ascii="宋体" w:hAnsi="宋体" w:eastAsia="仿宋_GB2312"/>
                <w:color w:val="auto"/>
                <w:szCs w:val="24"/>
                <w:highlight w:val="none"/>
                <w:lang w:eastAsia="zh-CN"/>
              </w:rPr>
            </w:pPr>
            <w:r>
              <w:rPr>
                <w:rFonts w:hint="eastAsia" w:ascii="宋体" w:hAnsi="宋体"/>
                <w:color w:val="auto"/>
                <w:szCs w:val="24"/>
                <w:highlight w:val="none"/>
              </w:rPr>
              <w:t>本产品募集期内，投资者按份额净值进行认购</w:t>
            </w:r>
            <w:r>
              <w:rPr>
                <w:rFonts w:hint="eastAsia" w:ascii="宋体" w:hAnsi="宋体"/>
                <w:color w:val="auto"/>
                <w:szCs w:val="24"/>
                <w:highlight w:val="none"/>
                <w:lang w:eastAsia="zh-CN"/>
              </w:rPr>
              <w:t>。</w:t>
            </w:r>
          </w:p>
          <w:p w14:paraId="1E4CB797">
            <w:pPr>
              <w:snapToGrid w:val="0"/>
              <w:rPr>
                <w:rFonts w:ascii="宋体" w:hAnsi="宋体"/>
                <w:b/>
                <w:bCs/>
                <w:color w:val="auto"/>
                <w:szCs w:val="24"/>
                <w:highlight w:val="none"/>
              </w:rPr>
            </w:pPr>
            <w:r>
              <w:rPr>
                <w:rFonts w:hint="eastAsia" w:ascii="宋体" w:hAnsi="宋体"/>
                <w:b/>
                <w:bCs/>
                <w:color w:val="auto"/>
                <w:szCs w:val="24"/>
                <w:highlight w:val="none"/>
              </w:rPr>
              <w:t>本产品初始份额净值为1.0</w:t>
            </w:r>
            <w:r>
              <w:rPr>
                <w:rFonts w:hint="eastAsia" w:ascii="宋体" w:hAnsi="宋体"/>
                <w:b/>
                <w:bCs/>
                <w:color w:val="auto"/>
                <w:szCs w:val="24"/>
                <w:highlight w:val="none"/>
                <w:lang w:val="en-US" w:eastAsia="zh-CN"/>
              </w:rPr>
              <w:t>00</w:t>
            </w:r>
            <w:r>
              <w:rPr>
                <w:rFonts w:hint="eastAsia" w:ascii="宋体" w:hAnsi="宋体"/>
                <w:b/>
                <w:bCs/>
                <w:color w:val="auto"/>
                <w:szCs w:val="24"/>
                <w:highlight w:val="none"/>
              </w:rPr>
              <w:t>000元/份。</w:t>
            </w:r>
          </w:p>
        </w:tc>
      </w:tr>
      <w:tr w14:paraId="6B146C59">
        <w:trPr>
          <w:trHeight w:val="425" w:hRule="atLeast"/>
          <w:jc w:val="center"/>
        </w:trPr>
        <w:tc>
          <w:tcPr>
            <w:tcW w:w="2411" w:type="dxa"/>
            <w:vAlign w:val="center"/>
          </w:tcPr>
          <w:p w14:paraId="1C2DFF62">
            <w:pPr>
              <w:snapToGrid w:val="0"/>
              <w:ind w:left="-163" w:leftChars="-74" w:right="-178" w:rightChars="-74" w:hanging="15"/>
              <w:jc w:val="center"/>
              <w:rPr>
                <w:rFonts w:ascii="宋体" w:hAnsi="宋体"/>
                <w:color w:val="auto"/>
                <w:szCs w:val="24"/>
                <w:highlight w:val="none"/>
              </w:rPr>
            </w:pPr>
            <w:r>
              <w:rPr>
                <w:rFonts w:hint="eastAsia" w:ascii="宋体" w:hAnsi="宋体" w:cs="宋体"/>
                <w:color w:val="auto"/>
                <w:szCs w:val="24"/>
                <w:highlight w:val="none"/>
              </w:rPr>
              <w:t>产品费用</w:t>
            </w:r>
          </w:p>
        </w:tc>
        <w:tc>
          <w:tcPr>
            <w:tcW w:w="6804" w:type="dxa"/>
            <w:gridSpan w:val="4"/>
            <w:vAlign w:val="center"/>
          </w:tcPr>
          <w:p w14:paraId="50EC8E8B">
            <w:pPr>
              <w:numPr>
                <w:ilvl w:val="0"/>
                <w:numId w:val="4"/>
              </w:numPr>
              <w:rPr>
                <w:rFonts w:ascii="宋体" w:hAnsi="宋体"/>
                <w:b/>
                <w:color w:val="auto"/>
                <w:szCs w:val="24"/>
                <w:highlight w:val="none"/>
              </w:rPr>
            </w:pPr>
            <w:r>
              <w:rPr>
                <w:rFonts w:hint="eastAsia" w:ascii="宋体" w:hAnsi="宋体"/>
                <w:b/>
                <w:color w:val="auto"/>
                <w:szCs w:val="24"/>
                <w:highlight w:val="none"/>
              </w:rPr>
              <w:t>销售服务费率：</w:t>
            </w:r>
          </w:p>
          <w:p w14:paraId="2626DBAD">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0.30</w:t>
            </w:r>
            <w:r>
              <w:rPr>
                <w:rFonts w:hint="eastAsia" w:ascii="仿宋_GB2312" w:hAnsi="宋体" w:cs="宋体"/>
                <w:bCs/>
                <w:color w:val="auto"/>
                <w:kern w:val="0"/>
                <w:szCs w:val="24"/>
                <w:highlight w:val="none"/>
                <w:lang w:val="en-US" w:eastAsia="zh-CN"/>
              </w:rPr>
              <w:t>】</w:t>
            </w:r>
            <w:r>
              <w:rPr>
                <w:rFonts w:hint="eastAsia" w:ascii="宋体" w:hAnsi="宋体"/>
                <w:b/>
                <w:color w:val="auto"/>
                <w:szCs w:val="24"/>
                <w:highlight w:val="none"/>
              </w:rPr>
              <w:t>%。（适用【</w:t>
            </w:r>
            <w:r>
              <w:rPr>
                <w:rFonts w:ascii="宋体" w:hAnsi="宋体"/>
                <w:b/>
                <w:color w:val="auto"/>
                <w:szCs w:val="24"/>
                <w:highlight w:val="none"/>
              </w:rPr>
              <w:t>A</w:t>
            </w:r>
            <w:r>
              <w:rPr>
                <w:rFonts w:hint="eastAsia" w:ascii="宋体" w:hAnsi="宋体"/>
                <w:b/>
                <w:color w:val="auto"/>
                <w:szCs w:val="24"/>
                <w:highlight w:val="none"/>
              </w:rPr>
              <w:t>】类份额）</w:t>
            </w:r>
          </w:p>
          <w:p w14:paraId="32944C6F">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0.30</w:t>
            </w:r>
            <w:r>
              <w:rPr>
                <w:rFonts w:hint="eastAsia" w:ascii="仿宋_GB2312" w:hAnsi="宋体" w:cs="宋体"/>
                <w:bCs/>
                <w:color w:val="auto"/>
                <w:kern w:val="0"/>
                <w:szCs w:val="24"/>
                <w:highlight w:val="none"/>
                <w:lang w:val="en-US"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B</w:t>
            </w:r>
            <w:r>
              <w:rPr>
                <w:rFonts w:hint="eastAsia" w:ascii="宋体" w:hAnsi="宋体"/>
                <w:b/>
                <w:color w:val="auto"/>
                <w:szCs w:val="24"/>
                <w:highlight w:val="none"/>
              </w:rPr>
              <w:t>】类份额）</w:t>
            </w:r>
          </w:p>
          <w:p w14:paraId="3A67956A">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0.30</w:t>
            </w:r>
            <w:r>
              <w:rPr>
                <w:rFonts w:hint="eastAsia" w:ascii="仿宋_GB2312" w:hAnsi="宋体" w:cs="宋体"/>
                <w:bCs/>
                <w:color w:val="auto"/>
                <w:kern w:val="0"/>
                <w:szCs w:val="24"/>
                <w:highlight w:val="none"/>
                <w:lang w:val="en-US"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C</w:t>
            </w:r>
            <w:r>
              <w:rPr>
                <w:rFonts w:hint="eastAsia" w:ascii="宋体" w:hAnsi="宋体"/>
                <w:b/>
                <w:color w:val="auto"/>
                <w:szCs w:val="24"/>
                <w:highlight w:val="none"/>
              </w:rPr>
              <w:t>】类份额）</w:t>
            </w:r>
          </w:p>
          <w:p w14:paraId="0CA26FF6">
            <w:pPr>
              <w:rPr>
                <w:rFonts w:ascii="宋体" w:hAnsi="宋体"/>
                <w:b/>
                <w:color w:val="auto"/>
                <w:szCs w:val="24"/>
                <w:highlight w:val="none"/>
              </w:rPr>
            </w:pPr>
            <w:r>
              <w:rPr>
                <w:rFonts w:ascii="宋体" w:hAnsi="宋体"/>
                <w:b/>
                <w:color w:val="auto"/>
                <w:szCs w:val="24"/>
                <w:highlight w:val="none"/>
              </w:rPr>
              <w:t>2.</w:t>
            </w:r>
            <w:r>
              <w:rPr>
                <w:rFonts w:hint="eastAsia" w:ascii="宋体" w:hAnsi="宋体"/>
                <w:b/>
                <w:color w:val="auto"/>
                <w:szCs w:val="24"/>
                <w:highlight w:val="none"/>
              </w:rPr>
              <w:t>投资管理费率：年化费率</w:t>
            </w: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0.40</w:t>
            </w:r>
            <w:r>
              <w:rPr>
                <w:rFonts w:hint="eastAsia" w:ascii="仿宋_GB2312" w:hAnsi="宋体" w:cs="宋体"/>
                <w:bCs/>
                <w:color w:val="auto"/>
                <w:kern w:val="0"/>
                <w:szCs w:val="24"/>
                <w:highlight w:val="none"/>
                <w:lang w:val="en-US" w:eastAsia="zh-CN"/>
              </w:rPr>
              <w:t>】</w:t>
            </w:r>
            <w:r>
              <w:rPr>
                <w:rFonts w:ascii="宋体" w:hAnsi="宋体"/>
                <w:b/>
                <w:color w:val="auto"/>
                <w:szCs w:val="24"/>
                <w:highlight w:val="none"/>
              </w:rPr>
              <w:t xml:space="preserve">%。 </w:t>
            </w:r>
          </w:p>
          <w:p w14:paraId="50D5F382">
            <w:pPr>
              <w:numPr>
                <w:ilvl w:val="255"/>
                <w:numId w:val="0"/>
              </w:numPr>
              <w:tabs>
                <w:tab w:val="left" w:pos="312"/>
              </w:tabs>
              <w:snapToGrid w:val="0"/>
              <w:rPr>
                <w:rFonts w:ascii="宋体" w:hAnsi="宋体"/>
                <w:b/>
                <w:color w:val="auto"/>
                <w:szCs w:val="24"/>
                <w:highlight w:val="none"/>
              </w:rPr>
            </w:pPr>
            <w:r>
              <w:rPr>
                <w:rFonts w:ascii="宋体" w:hAnsi="宋体"/>
                <w:b/>
                <w:color w:val="auto"/>
                <w:szCs w:val="24"/>
                <w:highlight w:val="none"/>
              </w:rPr>
              <w:t>3.</w:t>
            </w:r>
            <w:r>
              <w:rPr>
                <w:rFonts w:hint="eastAsia" w:ascii="宋体" w:hAnsi="宋体"/>
                <w:b/>
                <w:color w:val="auto"/>
                <w:szCs w:val="24"/>
                <w:highlight w:val="none"/>
              </w:rPr>
              <w:t>产品托管费率：年化费率</w:t>
            </w:r>
            <w:r>
              <w:rPr>
                <w:rFonts w:hint="eastAsia" w:ascii="仿宋_GB2312" w:hAnsi="宋体" w:cs="宋体"/>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0.01</w:t>
            </w:r>
            <w:r>
              <w:rPr>
                <w:rFonts w:hint="eastAsia" w:ascii="仿宋_GB2312" w:hAnsi="宋体" w:cs="宋体"/>
                <w:bCs/>
                <w:color w:val="auto"/>
                <w:kern w:val="0"/>
                <w:szCs w:val="24"/>
                <w:highlight w:val="none"/>
                <w:lang w:val="en-US" w:eastAsia="zh-CN"/>
              </w:rPr>
              <w:t>】</w:t>
            </w:r>
            <w:r>
              <w:rPr>
                <w:rFonts w:ascii="宋体" w:hAnsi="宋体"/>
                <w:b/>
                <w:color w:val="auto"/>
                <w:szCs w:val="24"/>
                <w:highlight w:val="none"/>
              </w:rPr>
              <w:t xml:space="preserve">%。 </w:t>
            </w:r>
          </w:p>
          <w:p w14:paraId="7ABB6CBA">
            <w:pPr>
              <w:tabs>
                <w:tab w:val="left" w:pos="312"/>
              </w:tabs>
              <w:snapToGrid w:val="0"/>
              <w:rPr>
                <w:rFonts w:ascii="宋体" w:hAnsi="宋体"/>
                <w:b/>
                <w:color w:val="auto"/>
                <w:szCs w:val="24"/>
                <w:highlight w:val="none"/>
              </w:rPr>
            </w:pPr>
            <w:r>
              <w:rPr>
                <w:rFonts w:ascii="宋体" w:hAnsi="宋体"/>
                <w:b/>
                <w:color w:val="auto"/>
                <w:szCs w:val="24"/>
                <w:highlight w:val="none"/>
              </w:rPr>
              <w:t>4.</w:t>
            </w:r>
            <w:r>
              <w:rPr>
                <w:rFonts w:hint="eastAsia" w:ascii="宋体" w:hAnsi="宋体"/>
                <w:b/>
                <w:color w:val="auto"/>
                <w:szCs w:val="24"/>
                <w:highlight w:val="none"/>
              </w:rPr>
              <w:t>业绩报酬：</w:t>
            </w:r>
            <w:r>
              <w:rPr>
                <w:rFonts w:hint="eastAsia" w:ascii="仿宋_GB2312" w:hAnsi="宋体" w:cs="宋体"/>
                <w:b w:val="0"/>
                <w:bCs/>
                <w:color w:val="auto"/>
                <w:kern w:val="0"/>
                <w:szCs w:val="24"/>
                <w:highlight w:val="none"/>
                <w:lang w:val="en-US" w:eastAsia="zh-CN"/>
              </w:rPr>
              <w:t>【</w:t>
            </w:r>
            <w:r>
              <w:rPr>
                <w:rFonts w:hint="eastAsia" w:ascii="仿宋_GB2312" w:hAnsi="宋体" w:cs="宋体"/>
                <w:b/>
                <w:bCs w:val="0"/>
                <w:color w:val="auto"/>
                <w:kern w:val="0"/>
                <w:szCs w:val="24"/>
                <w:highlight w:val="none"/>
                <w:lang w:val="en-US" w:eastAsia="zh-CN"/>
              </w:rPr>
              <w:t>无</w:t>
            </w:r>
            <w:r>
              <w:rPr>
                <w:rFonts w:hint="eastAsia" w:ascii="仿宋_GB2312" w:hAnsi="宋体" w:cs="宋体"/>
                <w:bCs/>
                <w:color w:val="auto"/>
                <w:kern w:val="0"/>
                <w:szCs w:val="24"/>
                <w:highlight w:val="none"/>
                <w:lang w:val="en-US" w:eastAsia="zh-CN"/>
              </w:rPr>
              <w:t>】</w:t>
            </w:r>
            <w:r>
              <w:rPr>
                <w:rFonts w:ascii="宋体" w:hAnsi="宋体"/>
                <w:b/>
                <w:color w:val="auto"/>
                <w:szCs w:val="24"/>
                <w:highlight w:val="none"/>
              </w:rPr>
              <w:t>。</w:t>
            </w:r>
          </w:p>
          <w:p w14:paraId="1AEF63C6">
            <w:pPr>
              <w:tabs>
                <w:tab w:val="left" w:pos="312"/>
              </w:tabs>
              <w:snapToGrid w:val="0"/>
              <w:rPr>
                <w:rFonts w:ascii="宋体" w:hAnsi="宋体"/>
                <w:color w:val="auto"/>
                <w:szCs w:val="24"/>
                <w:highlight w:val="none"/>
              </w:rPr>
            </w:pPr>
            <w:r>
              <w:rPr>
                <w:rFonts w:ascii="宋体" w:hAnsi="宋体"/>
                <w:b/>
                <w:color w:val="auto"/>
                <w:szCs w:val="24"/>
                <w:highlight w:val="none"/>
              </w:rPr>
              <w:t>5.</w:t>
            </w:r>
            <w:r>
              <w:rPr>
                <w:rFonts w:hint="eastAsia" w:ascii="宋体" w:hAnsi="宋体"/>
                <w:b/>
                <w:bCs/>
                <w:color w:val="auto"/>
                <w:szCs w:val="24"/>
                <w:highlight w:val="none"/>
              </w:rPr>
              <w:t>其他费用：详见</w:t>
            </w:r>
            <w:r>
              <w:rPr>
                <w:rFonts w:ascii="宋体" w:hAnsi="宋体"/>
                <w:b/>
                <w:bCs/>
                <w:color w:val="auto"/>
                <w:szCs w:val="24"/>
                <w:highlight w:val="none"/>
              </w:rPr>
              <w:t>第九节</w:t>
            </w:r>
            <w:r>
              <w:rPr>
                <w:rFonts w:hint="eastAsia" w:ascii="宋体" w:hAnsi="宋体"/>
                <w:b/>
                <w:bCs/>
                <w:color w:val="auto"/>
                <w:szCs w:val="24"/>
                <w:highlight w:val="none"/>
              </w:rPr>
              <w:t xml:space="preserve"> “理财</w:t>
            </w:r>
            <w:r>
              <w:rPr>
                <w:rFonts w:ascii="宋体" w:hAnsi="宋体"/>
                <w:b/>
                <w:bCs/>
                <w:color w:val="auto"/>
                <w:szCs w:val="24"/>
                <w:highlight w:val="none"/>
              </w:rPr>
              <w:t>产品费用与税收”</w:t>
            </w:r>
            <w:r>
              <w:rPr>
                <w:rFonts w:hint="eastAsia" w:ascii="宋体" w:hAnsi="宋体"/>
                <w:b/>
                <w:bCs/>
                <w:color w:val="auto"/>
                <w:szCs w:val="24"/>
                <w:highlight w:val="none"/>
              </w:rPr>
              <w:t>。</w:t>
            </w:r>
          </w:p>
          <w:p w14:paraId="03B3E80B">
            <w:pPr>
              <w:snapToGrid w:val="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本产品无认购费、申购费、赎回费；</w:t>
            </w:r>
          </w:p>
          <w:p w14:paraId="19737B96">
            <w:pPr>
              <w:snapToGrid w:val="0"/>
              <w:rPr>
                <w:rFonts w:ascii="宋体" w:hAnsi="宋体"/>
                <w:color w:val="auto"/>
                <w:szCs w:val="24"/>
                <w:highlight w:val="none"/>
              </w:rPr>
            </w:pPr>
            <w:r>
              <w:rPr>
                <w:rFonts w:hint="eastAsia" w:ascii="宋体" w:hAnsi="宋体"/>
                <w:color w:val="auto"/>
                <w:szCs w:val="24"/>
                <w:highlight w:val="none"/>
              </w:rPr>
              <w:t>产品管理人保留调整上述理财产品收取费率标准的权利。以上费用精确到小数点后2位，小数点2位以后四舍五入。</w:t>
            </w:r>
          </w:p>
        </w:tc>
      </w:tr>
      <w:tr w14:paraId="5B2238C1">
        <w:trPr>
          <w:trHeight w:val="425" w:hRule="atLeast"/>
          <w:jc w:val="center"/>
        </w:trPr>
        <w:tc>
          <w:tcPr>
            <w:tcW w:w="2411" w:type="dxa"/>
            <w:vAlign w:val="center"/>
          </w:tcPr>
          <w:p w14:paraId="630E63C7">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业绩</w:t>
            </w:r>
            <w:r>
              <w:rPr>
                <w:rFonts w:ascii="宋体" w:hAnsi="宋体"/>
                <w:color w:val="auto"/>
                <w:szCs w:val="24"/>
                <w:highlight w:val="none"/>
              </w:rPr>
              <w:t>报酬计提</w:t>
            </w:r>
            <w:r>
              <w:rPr>
                <w:rFonts w:hint="eastAsia" w:ascii="宋体" w:hAnsi="宋体"/>
                <w:color w:val="auto"/>
                <w:szCs w:val="24"/>
                <w:highlight w:val="none"/>
              </w:rPr>
              <w:t>基准</w:t>
            </w:r>
          </w:p>
        </w:tc>
        <w:tc>
          <w:tcPr>
            <w:tcW w:w="6804" w:type="dxa"/>
            <w:gridSpan w:val="4"/>
            <w:vAlign w:val="center"/>
          </w:tcPr>
          <w:p w14:paraId="19E24191">
            <w:pPr>
              <w:snapToGrid w:val="0"/>
              <w:rPr>
                <w:b/>
                <w:color w:val="auto"/>
                <w:szCs w:val="24"/>
                <w:highlight w:val="none"/>
              </w:rPr>
            </w:pPr>
            <w:r>
              <w:rPr>
                <w:rFonts w:hint="eastAsia"/>
                <w:b/>
                <w:color w:val="auto"/>
                <w:szCs w:val="24"/>
                <w:highlight w:val="none"/>
              </w:rPr>
              <w:t>本产品不设置业绩报酬计提基准。</w:t>
            </w:r>
          </w:p>
        </w:tc>
      </w:tr>
      <w:tr w14:paraId="688FE1F2">
        <w:trPr>
          <w:trHeight w:val="425" w:hRule="atLeast"/>
          <w:jc w:val="center"/>
        </w:trPr>
        <w:tc>
          <w:tcPr>
            <w:tcW w:w="2411" w:type="dxa"/>
            <w:vAlign w:val="center"/>
          </w:tcPr>
          <w:p w14:paraId="1FE8FB7E">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销售渠道</w:t>
            </w:r>
          </w:p>
        </w:tc>
        <w:tc>
          <w:tcPr>
            <w:tcW w:w="6804" w:type="dxa"/>
            <w:gridSpan w:val="4"/>
            <w:vAlign w:val="center"/>
          </w:tcPr>
          <w:p w14:paraId="79FE5E12">
            <w:pPr>
              <w:snapToGrid w:val="0"/>
              <w:rPr>
                <w:rFonts w:ascii="宋体" w:hAnsi="宋体"/>
                <w:color w:val="auto"/>
                <w:szCs w:val="24"/>
                <w:highlight w:val="none"/>
              </w:rPr>
            </w:pPr>
            <w:r>
              <w:rPr>
                <w:rFonts w:hint="eastAsia" w:ascii="宋体" w:hAnsi="宋体" w:cs="宋体"/>
                <w:color w:val="auto"/>
                <w:kern w:val="0"/>
                <w:szCs w:val="24"/>
                <w:highlight w:val="none"/>
              </w:rPr>
              <w:t>浙江临海农村商业银行股份有限公司</w:t>
            </w:r>
            <w:r>
              <w:rPr>
                <w:rFonts w:hint="eastAsia" w:ascii="宋体" w:hAnsi="宋体" w:cs="宋体"/>
                <w:color w:val="auto"/>
                <w:kern w:val="0"/>
                <w:szCs w:val="24"/>
                <w:highlight w:val="none"/>
                <w:lang w:eastAsia="zh-CN"/>
              </w:rPr>
              <w:t>、浙江遂昌农村商业银行股份有限公司、</w:t>
            </w:r>
            <w:r>
              <w:rPr>
                <w:rFonts w:hint="eastAsia" w:ascii="宋体" w:hAnsi="宋体" w:cs="宋体"/>
                <w:color w:val="auto"/>
                <w:kern w:val="0"/>
                <w:szCs w:val="24"/>
                <w:highlight w:val="none"/>
              </w:rPr>
              <w:t>浙江萧山农村商业银行股份有限公司、浙江台州黄岩农村商业银行股份有限公司、浙江舟山普陀农村商业银行股份有限公司、宁波北仑农村商业银行股份有限公司</w:t>
            </w:r>
            <w:r>
              <w:rPr>
                <w:rFonts w:hint="eastAsia" w:ascii="宋体" w:hAnsi="宋体" w:cs="宋体"/>
                <w:color w:val="auto"/>
                <w:kern w:val="0"/>
                <w:szCs w:val="24"/>
                <w:highlight w:val="none"/>
                <w:lang w:eastAsia="zh-CN"/>
              </w:rPr>
              <w:t>、浙江天台农村商业银行股份有限公司、浙江舟山定海海洋农村商业银行股份有限公司、浙江龙游农村商业银行股份有限公司、浙江磐安农村商业银行股份有限公司、</w:t>
            </w:r>
            <w:r>
              <w:rPr>
                <w:rFonts w:hint="eastAsia" w:ascii="宋体" w:hAnsi="宋体" w:cs="宋体"/>
                <w:color w:val="auto"/>
                <w:kern w:val="0"/>
                <w:szCs w:val="24"/>
                <w:highlight w:val="none"/>
              </w:rPr>
              <w:t>浙江禾城农村商业银行股份有限公司、宁波慈溪</w:t>
            </w:r>
            <w:r>
              <w:rPr>
                <w:rFonts w:hint="eastAsia" w:ascii="宋体" w:hAnsi="宋体" w:cs="宋体"/>
                <w:color w:val="auto"/>
                <w:kern w:val="0"/>
                <w:szCs w:val="24"/>
                <w:highlight w:val="none"/>
                <w:lang w:eastAsia="zh-CN"/>
              </w:rPr>
              <w:t>农村商业银行股份有限公司、浙江温州瓯海农村商业银行股份有限公司、浙江台州椒江农村商业银行股份有限公司、浙江杭州余杭农村商业银行股份有限公司、浙江庆元农村商业银行股份有限公司、浙江平湖农村商业银行股份有限公司、浙江衢州柯城农村商业银行股份有限公司、浙江金华成泰农村商业银行股份有限公司、浙江安吉农村商业银行股份有限公司、浙江淳安农村商业银行股份有限公司、浙江临安农村商业银行股份有限公司、浙江上虞农村商业银行股份有限公司、浙江德清农村商业银行股份有限公司、浙江绍兴恒信农村商业银行股份有限公司、</w:t>
            </w:r>
            <w:r>
              <w:rPr>
                <w:rFonts w:hint="eastAsia" w:ascii="宋体" w:hAnsi="宋体" w:cs="宋体"/>
                <w:color w:val="auto"/>
                <w:kern w:val="0"/>
                <w:szCs w:val="24"/>
                <w:highlight w:val="none"/>
                <w:lang w:val="en-US" w:eastAsia="zh-CN"/>
              </w:rPr>
              <w:t>浙江桐庐农村商业银行股份有限公司、浙江丽水莲都农村商业银行股份有限公司、浙江温州鹿城农村商业银行股份有限公司、浙江台州路桥农村商业银行股份有限公司</w:t>
            </w:r>
            <w:r>
              <w:rPr>
                <w:rFonts w:hint="eastAsia" w:ascii="宋体" w:hAnsi="宋体" w:cs="宋体"/>
                <w:color w:val="auto"/>
                <w:kern w:val="0"/>
                <w:szCs w:val="24"/>
                <w:highlight w:val="none"/>
                <w:lang w:eastAsia="zh-CN"/>
              </w:rPr>
              <w:t>及</w:t>
            </w:r>
            <w:r>
              <w:rPr>
                <w:rFonts w:hint="eastAsia"/>
                <w:color w:val="auto"/>
                <w:szCs w:val="24"/>
                <w:highlight w:val="none"/>
              </w:rPr>
              <w:t>其他销售机构（如有）</w:t>
            </w:r>
          </w:p>
        </w:tc>
      </w:tr>
      <w:tr w14:paraId="7BD5DECB">
        <w:trPr>
          <w:trHeight w:val="425" w:hRule="atLeast"/>
          <w:jc w:val="center"/>
        </w:trPr>
        <w:tc>
          <w:tcPr>
            <w:tcW w:w="2411" w:type="dxa"/>
            <w:vAlign w:val="center"/>
          </w:tcPr>
          <w:p w14:paraId="4CC418B1">
            <w:pPr>
              <w:snapToGrid w:val="0"/>
              <w:ind w:left="-163" w:leftChars="-74" w:hanging="15"/>
              <w:jc w:val="center"/>
              <w:rPr>
                <w:rFonts w:ascii="宋体" w:hAnsi="宋体"/>
                <w:color w:val="auto"/>
                <w:kern w:val="0"/>
                <w:szCs w:val="24"/>
                <w:highlight w:val="none"/>
              </w:rPr>
            </w:pPr>
            <w:r>
              <w:rPr>
                <w:rFonts w:hint="eastAsia" w:ascii="宋体" w:hAnsi="宋体"/>
                <w:color w:val="auto"/>
                <w:kern w:val="0"/>
                <w:szCs w:val="24"/>
                <w:highlight w:val="none"/>
              </w:rPr>
              <w:t>信息披露</w:t>
            </w:r>
          </w:p>
        </w:tc>
        <w:tc>
          <w:tcPr>
            <w:tcW w:w="6804" w:type="dxa"/>
            <w:gridSpan w:val="4"/>
            <w:vAlign w:val="center"/>
          </w:tcPr>
          <w:p w14:paraId="02DC1B7C">
            <w:pPr>
              <w:snapToGrid w:val="0"/>
              <w:rPr>
                <w:rFonts w:ascii="仿宋_GB2312" w:hAnsi="宋体" w:cs="宋体"/>
                <w:b/>
                <w:color w:val="auto"/>
                <w:kern w:val="0"/>
                <w:szCs w:val="24"/>
                <w:highlight w:val="none"/>
              </w:rPr>
            </w:pPr>
            <w:r>
              <w:rPr>
                <w:rFonts w:hint="eastAsia" w:ascii="宋体" w:hAnsi="宋体"/>
                <w:b/>
                <w:color w:val="auto"/>
                <w:szCs w:val="24"/>
                <w:highlight w:val="none"/>
              </w:rPr>
              <w:t>本产品成立后，管理人将在申购日</w:t>
            </w:r>
            <w:r>
              <w:rPr>
                <w:rFonts w:ascii="宋体" w:hAnsi="宋体"/>
                <w:b/>
                <w:color w:val="auto"/>
                <w:szCs w:val="24"/>
                <w:highlight w:val="none"/>
              </w:rPr>
              <w:t>/</w:t>
            </w:r>
            <w:r>
              <w:rPr>
                <w:rFonts w:hint="eastAsia" w:ascii="宋体" w:hAnsi="宋体"/>
                <w:b/>
                <w:color w:val="auto"/>
                <w:szCs w:val="24"/>
                <w:highlight w:val="none"/>
              </w:rPr>
              <w:t>赎回日结束后</w:t>
            </w:r>
            <w:r>
              <w:rPr>
                <w:rFonts w:hint="eastAsia" w:ascii="仿宋_GB2312" w:hAnsi="宋体" w:cs="宋体"/>
                <w:bCs/>
                <w:color w:val="auto"/>
                <w:kern w:val="0"/>
                <w:szCs w:val="24"/>
                <w:highlight w:val="none"/>
                <w:lang w:val="en-US" w:eastAsia="zh-CN"/>
              </w:rPr>
              <w:t>【2】</w:t>
            </w:r>
            <w:r>
              <w:rPr>
                <w:rFonts w:hint="eastAsia" w:ascii="宋体" w:hAnsi="宋体"/>
                <w:b/>
                <w:color w:val="auto"/>
                <w:szCs w:val="24"/>
                <w:highlight w:val="none"/>
              </w:rPr>
              <w:t>个工作日内披露开放日公告，公告内容包括申购日</w:t>
            </w:r>
            <w:r>
              <w:rPr>
                <w:rFonts w:ascii="宋体" w:hAnsi="宋体"/>
                <w:b/>
                <w:color w:val="auto"/>
                <w:szCs w:val="24"/>
                <w:highlight w:val="none"/>
              </w:rPr>
              <w:t>/</w:t>
            </w:r>
            <w:r>
              <w:rPr>
                <w:rFonts w:hint="eastAsia" w:ascii="宋体" w:hAnsi="宋体"/>
                <w:b/>
                <w:color w:val="auto"/>
                <w:szCs w:val="24"/>
                <w:highlight w:val="none"/>
              </w:rPr>
              <w:t>赎回日的产品份额净值、产品份额累计净值、申购</w:t>
            </w:r>
            <w:r>
              <w:rPr>
                <w:rFonts w:ascii="宋体" w:hAnsi="宋体"/>
                <w:b/>
                <w:color w:val="auto"/>
                <w:szCs w:val="24"/>
                <w:highlight w:val="none"/>
              </w:rPr>
              <w:t>/</w:t>
            </w:r>
            <w:r>
              <w:rPr>
                <w:rFonts w:hint="eastAsia" w:ascii="宋体" w:hAnsi="宋体"/>
                <w:b/>
                <w:color w:val="auto"/>
                <w:szCs w:val="24"/>
                <w:highlight w:val="none"/>
              </w:rPr>
              <w:t>赎回</w:t>
            </w:r>
            <w:r>
              <w:rPr>
                <w:rFonts w:ascii="宋体" w:hAnsi="宋体"/>
                <w:b/>
                <w:color w:val="auto"/>
                <w:szCs w:val="24"/>
                <w:highlight w:val="none"/>
              </w:rPr>
              <w:t>价格</w:t>
            </w:r>
            <w:r>
              <w:rPr>
                <w:rFonts w:hint="eastAsia" w:ascii="宋体" w:hAnsi="宋体"/>
                <w:b/>
                <w:color w:val="auto"/>
                <w:szCs w:val="24"/>
                <w:highlight w:val="none"/>
              </w:rPr>
              <w:t xml:space="preserve">。 </w:t>
            </w:r>
          </w:p>
          <w:p w14:paraId="02C11840">
            <w:pPr>
              <w:snapToGrid w:val="0"/>
              <w:rPr>
                <w:rFonts w:ascii="宋体" w:hAnsi="宋体"/>
                <w:color w:val="auto"/>
                <w:szCs w:val="24"/>
                <w:highlight w:val="none"/>
              </w:rPr>
            </w:pPr>
            <w:r>
              <w:rPr>
                <w:rFonts w:hint="eastAsia" w:asciiTheme="minorEastAsia" w:hAnsiTheme="minorEastAsia"/>
                <w:color w:val="auto"/>
                <w:szCs w:val="24"/>
                <w:highlight w:val="none"/>
              </w:rPr>
              <w:t>本产品成立、运行、到期、净值等信息将通过</w:t>
            </w:r>
            <w:r>
              <w:rPr>
                <w:rFonts w:hint="eastAsia" w:asciiTheme="minorEastAsia" w:hAnsiTheme="minorEastAsia"/>
                <w:color w:val="auto"/>
                <w:szCs w:val="24"/>
                <w:highlight w:val="none"/>
                <w:lang w:eastAsia="zh-CN"/>
              </w:rPr>
              <w:t>产品</w:t>
            </w:r>
            <w:r>
              <w:rPr>
                <w:rFonts w:hint="eastAsia" w:asciiTheme="minorEastAsia" w:hAnsiTheme="minorEastAsia"/>
                <w:color w:val="auto"/>
                <w:szCs w:val="24"/>
                <w:highlight w:val="none"/>
              </w:rPr>
              <w:t>管理人</w:t>
            </w:r>
            <w:r>
              <w:rPr>
                <w:rFonts w:asciiTheme="minorEastAsia" w:hAnsiTheme="minorEastAsia"/>
                <w:color w:val="auto"/>
                <w:szCs w:val="24"/>
                <w:highlight w:val="none"/>
              </w:rPr>
              <w:t>官方网站</w:t>
            </w:r>
            <w:r>
              <w:rPr>
                <w:rFonts w:hint="eastAsia" w:ascii="仿宋_GB2312" w:hAnsi="宋体" w:cs="宋体"/>
                <w:color w:val="auto"/>
                <w:kern w:val="0"/>
                <w:szCs w:val="24"/>
                <w:highlight w:val="none"/>
              </w:rPr>
              <w:t>【</w:t>
            </w:r>
            <w:r>
              <w:rPr>
                <w:rFonts w:ascii="仿宋_GB2312" w:hAnsi="宋体" w:cs="宋体"/>
                <w:color w:val="auto"/>
                <w:kern w:val="0"/>
                <w:szCs w:val="24"/>
                <w:highlight w:val="none"/>
              </w:rPr>
              <w:t>www.czbank-wm.com</w:t>
            </w:r>
            <w:r>
              <w:rPr>
                <w:rFonts w:hint="eastAsia" w:ascii="仿宋_GB2312" w:hAnsi="宋体" w:cs="宋体"/>
                <w:color w:val="auto"/>
                <w:kern w:val="0"/>
                <w:szCs w:val="24"/>
                <w:highlight w:val="none"/>
              </w:rPr>
              <w:t>】、销售机构官方网站、个人手机银行或其他约定的方式等</w:t>
            </w:r>
            <w:r>
              <w:rPr>
                <w:rFonts w:hint="eastAsia" w:cs="宋体" w:asciiTheme="minorEastAsia" w:hAnsiTheme="minorEastAsia"/>
                <w:color w:val="auto"/>
                <w:kern w:val="0"/>
                <w:szCs w:val="24"/>
                <w:highlight w:val="none"/>
              </w:rPr>
              <w:t>一种或多种渠道进行信息披露，</w:t>
            </w:r>
            <w:r>
              <w:rPr>
                <w:rFonts w:hint="eastAsia" w:asciiTheme="minorEastAsia" w:hAnsiTheme="minorEastAsia"/>
                <w:color w:val="auto"/>
                <w:szCs w:val="24"/>
                <w:highlight w:val="none"/>
              </w:rPr>
              <w:t>请投资者持续关注并及时查看。</w:t>
            </w:r>
          </w:p>
        </w:tc>
      </w:tr>
      <w:tr w14:paraId="59B7E98C">
        <w:trPr>
          <w:trHeight w:val="425" w:hRule="atLeast"/>
          <w:jc w:val="center"/>
        </w:trPr>
        <w:tc>
          <w:tcPr>
            <w:tcW w:w="2411" w:type="dxa"/>
            <w:vAlign w:val="center"/>
          </w:tcPr>
          <w:p w14:paraId="762776DF">
            <w:pPr>
              <w:snapToGrid w:val="0"/>
              <w:jc w:val="center"/>
              <w:rPr>
                <w:rFonts w:ascii="宋体" w:hAnsi="宋体"/>
                <w:bCs/>
                <w:iCs/>
                <w:color w:val="auto"/>
                <w:szCs w:val="24"/>
                <w:highlight w:val="none"/>
              </w:rPr>
            </w:pPr>
            <w:r>
              <w:rPr>
                <w:rFonts w:hint="eastAsia" w:ascii="宋体" w:hAnsi="宋体"/>
                <w:bCs/>
                <w:iCs/>
                <w:color w:val="auto"/>
                <w:szCs w:val="24"/>
                <w:highlight w:val="none"/>
              </w:rPr>
              <w:t>其他规定</w:t>
            </w:r>
          </w:p>
        </w:tc>
        <w:tc>
          <w:tcPr>
            <w:tcW w:w="6804" w:type="dxa"/>
            <w:gridSpan w:val="4"/>
            <w:vAlign w:val="center"/>
          </w:tcPr>
          <w:p w14:paraId="6B5CF9F2">
            <w:pPr>
              <w:snapToGrid w:val="0"/>
              <w:rPr>
                <w:rFonts w:ascii="宋体" w:hAnsi="宋体"/>
                <w:b/>
                <w:bCs/>
                <w:iCs/>
                <w:color w:val="auto"/>
                <w:szCs w:val="24"/>
                <w:highlight w:val="none"/>
              </w:rPr>
            </w:pPr>
            <w:r>
              <w:rPr>
                <w:rFonts w:ascii="宋体" w:hAnsi="宋体"/>
                <w:b/>
                <w:bCs/>
                <w:iCs/>
                <w:color w:val="auto"/>
                <w:szCs w:val="24"/>
                <w:highlight w:val="none"/>
              </w:rPr>
              <w:t>1.</w:t>
            </w:r>
            <w:r>
              <w:rPr>
                <w:rFonts w:hint="eastAsia" w:ascii="宋体" w:hAnsi="宋体"/>
                <w:b/>
                <w:bCs/>
                <w:iCs/>
                <w:color w:val="auto"/>
                <w:szCs w:val="24"/>
                <w:highlight w:val="none"/>
              </w:rPr>
              <w:t>募集期内认购资金是否计息以销售机构为准，但利息不计入认购本金份额。</w:t>
            </w:r>
          </w:p>
          <w:p w14:paraId="76DBA69B">
            <w:pPr>
              <w:snapToGrid w:val="0"/>
              <w:rPr>
                <w:rFonts w:ascii="宋体" w:hAnsi="宋体"/>
                <w:b/>
                <w:bCs/>
                <w:iCs/>
                <w:color w:val="auto"/>
                <w:szCs w:val="24"/>
                <w:highlight w:val="none"/>
              </w:rPr>
            </w:pPr>
            <w:r>
              <w:rPr>
                <w:rFonts w:hint="eastAsia" w:ascii="宋体" w:hAnsi="宋体"/>
                <w:b/>
                <w:bCs/>
                <w:iCs/>
                <w:color w:val="auto"/>
                <w:szCs w:val="24"/>
                <w:highlight w:val="none"/>
              </w:rPr>
              <w:t>2.本产品到期日（或提前/延期终止日）至资金到账日期间，投资者理财资金如因清算安排实际产生利息的，相关利息归投资者所有。</w:t>
            </w:r>
          </w:p>
          <w:p w14:paraId="22C19F66">
            <w:pPr>
              <w:autoSpaceDE w:val="0"/>
              <w:autoSpaceDN w:val="0"/>
              <w:adjustRightInd w:val="0"/>
              <w:snapToGrid w:val="0"/>
              <w:rPr>
                <w:rFonts w:ascii="宋体" w:hAnsi="宋体"/>
                <w:bCs/>
                <w:iCs/>
                <w:color w:val="auto"/>
                <w:szCs w:val="24"/>
                <w:highlight w:val="none"/>
              </w:rPr>
            </w:pPr>
            <w:r>
              <w:rPr>
                <w:rFonts w:hint="eastAsia" w:ascii="宋体" w:hAnsi="宋体"/>
                <w:b/>
                <w:bCs/>
                <w:iCs/>
                <w:color w:val="auto"/>
                <w:szCs w:val="24"/>
                <w:highlight w:val="none"/>
              </w:rPr>
              <w:t>3.理财产品份额转让</w:t>
            </w:r>
            <w:r>
              <w:rPr>
                <w:rFonts w:ascii="宋体" w:hAnsi="宋体"/>
                <w:b/>
                <w:bCs/>
                <w:iCs/>
                <w:color w:val="auto"/>
                <w:szCs w:val="24"/>
                <w:highlight w:val="none"/>
              </w:rPr>
              <w:t>、</w:t>
            </w:r>
            <w:r>
              <w:rPr>
                <w:rFonts w:hint="eastAsia" w:ascii="宋体" w:hAnsi="宋体"/>
                <w:b/>
                <w:bCs/>
                <w:iCs/>
                <w:color w:val="auto"/>
                <w:szCs w:val="24"/>
                <w:highlight w:val="none"/>
              </w:rPr>
              <w:t>质押将依照销售机构</w:t>
            </w:r>
            <w:r>
              <w:rPr>
                <w:rFonts w:hint="eastAsia" w:ascii="宋体" w:hAnsi="宋体"/>
                <w:b/>
                <w:bCs/>
                <w:iCs/>
                <w:color w:val="auto"/>
                <w:szCs w:val="24"/>
                <w:highlight w:val="none"/>
                <w:lang w:eastAsia="zh-CN"/>
              </w:rPr>
              <w:t>与管理人</w:t>
            </w:r>
            <w:r>
              <w:rPr>
                <w:rFonts w:hint="eastAsia" w:ascii="宋体" w:hAnsi="宋体"/>
                <w:b/>
                <w:bCs/>
                <w:iCs/>
                <w:color w:val="auto"/>
                <w:szCs w:val="24"/>
                <w:highlight w:val="none"/>
              </w:rPr>
              <w:t>的业务政策执行。</w:t>
            </w:r>
          </w:p>
        </w:tc>
      </w:tr>
    </w:tbl>
    <w:p w14:paraId="7D1F568E">
      <w:pPr>
        <w:pStyle w:val="2"/>
        <w:rPr>
          <w:color w:val="auto"/>
          <w:highlight w:val="none"/>
        </w:rPr>
      </w:pPr>
      <w:r>
        <w:rPr>
          <w:rFonts w:hint="eastAsia" w:ascii="黑体" w:hAnsi="宋体" w:cs="宋体"/>
          <w:bCs/>
          <w:color w:val="auto"/>
          <w:kern w:val="0"/>
          <w:szCs w:val="24"/>
          <w:highlight w:val="none"/>
        </w:rPr>
        <w:br w:type="page"/>
      </w:r>
      <w:r>
        <w:rPr>
          <w:rFonts w:hint="eastAsia"/>
          <w:color w:val="auto"/>
          <w:highlight w:val="none"/>
        </w:rPr>
        <w:t>理财产品的认购与成立</w:t>
      </w:r>
    </w:p>
    <w:p w14:paraId="62303726">
      <w:pPr>
        <w:pStyle w:val="3"/>
        <w:widowControl/>
        <w:tabs>
          <w:tab w:val="left" w:pos="709"/>
        </w:tabs>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0CBAC803">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2F7F9A5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5A8E8F1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69DB3D5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688FBFA4">
      <w:pPr>
        <w:widowControl/>
        <w:numPr>
          <w:ilvl w:val="0"/>
          <w:numId w:val="5"/>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75E255CE">
      <w:pPr>
        <w:widowControl/>
        <w:numPr>
          <w:ilvl w:val="0"/>
          <w:numId w:val="5"/>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15306083">
      <w:pPr>
        <w:widowControl/>
        <w:numPr>
          <w:ilvl w:val="0"/>
          <w:numId w:val="5"/>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0F4DBFEE">
      <w:pPr>
        <w:widowControl/>
        <w:numPr>
          <w:ilvl w:val="0"/>
          <w:numId w:val="5"/>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7180296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4FA1086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5F03B55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24A4D8F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160B91C3">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14:paraId="0460DB6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048E458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6A216D0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7E3F2D97">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67E778A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32EE070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20922F7B">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12DD06E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名称：浙江临海农村商业银行股份有限公司</w:t>
      </w:r>
    </w:p>
    <w:p w14:paraId="2539136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注册地：浙江省台州市临海市大洋街道河阳路 299 号</w:t>
      </w:r>
    </w:p>
    <w:p w14:paraId="439433D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27CDBB0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名称：浙江遂昌农村商业银行股份有限公司</w:t>
      </w:r>
    </w:p>
    <w:p w14:paraId="0C07315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注册地：浙江省丽水市遂昌县妙高街道溪边路100号</w:t>
      </w:r>
    </w:p>
    <w:p w14:paraId="7E32D53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138CAB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名称：浙江萧山农村商业银行股份有限公司</w:t>
      </w:r>
    </w:p>
    <w:p w14:paraId="67D493F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注册地：浙江省杭州市萧山区盈丰街道鸿宁路2288号</w:t>
      </w:r>
    </w:p>
    <w:p w14:paraId="3219EFD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1D721CA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名称：浙江台州黄岩农村商业银行股份有限公司</w:t>
      </w:r>
    </w:p>
    <w:p w14:paraId="5EFFAD8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注册地：浙江省台州市黄岩区洞天路 88 号</w:t>
      </w:r>
    </w:p>
    <w:p w14:paraId="009B071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E44D2B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名称：浙江舟山普陀农村商业银行股份有限公司</w:t>
      </w:r>
    </w:p>
    <w:p w14:paraId="4EAE3B5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注册地：浙江省舟山市普陀区东港街道麒麟街225号 (自贸试验区内)</w:t>
      </w:r>
    </w:p>
    <w:p w14:paraId="71725D8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654636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名称：宁波北仑农村商业银行股份有限公司</w:t>
      </w:r>
    </w:p>
    <w:p w14:paraId="5B9A3A2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注册地：浙江省宁波市北仑区宝山路新碶街道69号凤凰国际商务大厦1号楼北仑农商银行</w:t>
      </w:r>
    </w:p>
    <w:p w14:paraId="692B97F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B43330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名称：浙江天台农村商业银行股份有限公司</w:t>
      </w:r>
    </w:p>
    <w:p w14:paraId="2A9AD4E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注册地：浙江省天台县赤城街道飞鹤路358号</w:t>
      </w:r>
    </w:p>
    <w:p w14:paraId="7B8AEB5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F829F8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名称：浙江舟山定海海洋农村商业银行股份有限公司</w:t>
      </w:r>
    </w:p>
    <w:p w14:paraId="0813997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注册地：浙江省舟山市定海区环城东路81号</w:t>
      </w:r>
    </w:p>
    <w:p w14:paraId="262E434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28FCC21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名称：浙江龙游农村商业银行股份有限公司</w:t>
      </w:r>
    </w:p>
    <w:p w14:paraId="5CD2755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注册地：浙江省衢州市龙游县龙洲街道荣昌大道683、685、687号</w:t>
      </w:r>
    </w:p>
    <w:p w14:paraId="4C28A74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459596E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名称：浙江磐安农村商业银行股份有限公司</w:t>
      </w:r>
    </w:p>
    <w:p w14:paraId="4D4F995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注册地：浙江省金华市磐安县安文街道新兴街185号</w:t>
      </w:r>
    </w:p>
    <w:p w14:paraId="3FCDF91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D586AE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名称：浙江庆元农村商业银行股份有限公司</w:t>
      </w:r>
    </w:p>
    <w:p w14:paraId="4DA1C8F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注册地：浙江省丽水市庆元县濛洲街道云鹤路3号</w:t>
      </w:r>
    </w:p>
    <w:p w14:paraId="12BA2F9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03798DA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名称：浙江平湖农村商业银行股份有限公司</w:t>
      </w:r>
    </w:p>
    <w:p w14:paraId="715D620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注册地：浙江省平湖市当湖街道胜利路518号</w:t>
      </w:r>
    </w:p>
    <w:p w14:paraId="3AC711D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2AE2374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名称：浙江衢州柯城农村商业银行股份有限公司</w:t>
      </w:r>
    </w:p>
    <w:p w14:paraId="6FF6BD1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注册地：浙江省衢州市柯城区上街92号</w:t>
      </w:r>
    </w:p>
    <w:p w14:paraId="2C510F4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904170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名称：浙江金华成泰农村商业银行股份有限公司</w:t>
      </w:r>
    </w:p>
    <w:p w14:paraId="3A1BAF6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注册地：浙江省金华市八一南街123号</w:t>
      </w:r>
    </w:p>
    <w:p w14:paraId="2125957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4EE735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名称：浙江淳安农村商业银行股份有限公司</w:t>
      </w:r>
    </w:p>
    <w:p w14:paraId="1FFA3B9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注册地：浙江省杭州市淳安县千岛湖镇阳光路 960号</w:t>
      </w:r>
    </w:p>
    <w:p w14:paraId="540CA3D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1089E5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名称：浙江禾城农村商业银行股份有限公司</w:t>
      </w:r>
    </w:p>
    <w:p w14:paraId="7B591CD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注册地：浙江省嘉兴市经济技术开发区文昌路1229号</w:t>
      </w:r>
    </w:p>
    <w:p w14:paraId="0F713AF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949ABE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名称：宁波慈溪农村商业银行股份有限公司</w:t>
      </w:r>
    </w:p>
    <w:p w14:paraId="59546CC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注册地：浙江省慈溪市浒山街道南城路25号、59号5-6层</w:t>
      </w:r>
    </w:p>
    <w:p w14:paraId="0E06356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FA2B3A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名称：浙江温州瓯海农村商业银行股份有限公司</w:t>
      </w:r>
    </w:p>
    <w:p w14:paraId="5E227E2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注册地：浙江省温州市瓯海区瓯海大道989号</w:t>
      </w:r>
    </w:p>
    <w:p w14:paraId="0872282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0DA766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名称：浙江台州椒江农村商业银行股份有限公司</w:t>
      </w:r>
    </w:p>
    <w:p w14:paraId="1528AA1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注册地：浙江省台州市椒江区洪家街道中心大道4081号</w:t>
      </w:r>
    </w:p>
    <w:p w14:paraId="09485C0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2F023D9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名称：浙江杭州余杭农村商业银行股份有限公司</w:t>
      </w:r>
    </w:p>
    <w:p w14:paraId="0E6581D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注册地：浙江省杭州市临平区南苑街道南大街72号</w:t>
      </w:r>
    </w:p>
    <w:p w14:paraId="4A33799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5D573D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名称：浙江安吉农村商业银行股份有限公司</w:t>
      </w:r>
    </w:p>
    <w:p w14:paraId="1A0A408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注册地：浙江省安吉县昌硕东路1号</w:t>
      </w:r>
    </w:p>
    <w:p w14:paraId="0BF301A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7354FC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名称：浙江临安农村商业银行股份有限公司</w:t>
      </w:r>
    </w:p>
    <w:p w14:paraId="3B96C9C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注册地：浙江省杭州市临安区锦城街道城中街442号</w:t>
      </w:r>
    </w:p>
    <w:p w14:paraId="4306319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D2778E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名称：浙江上虞农村商业银行股份有限公司</w:t>
      </w:r>
    </w:p>
    <w:p w14:paraId="6E7D313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注册地：浙江省绍兴市上虞区百官街道德盛路55号</w:t>
      </w:r>
    </w:p>
    <w:p w14:paraId="4BEA492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72B1BD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名称：浙江德清农村商业银行股份有限公司</w:t>
      </w:r>
    </w:p>
    <w:p w14:paraId="1A9FE0F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注册地：浙江省德清县武康街道沈长圩街50号</w:t>
      </w:r>
    </w:p>
    <w:p w14:paraId="4A69773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B642FE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名称：浙江绍兴恒信农村商业银行股份有限公司</w:t>
      </w:r>
    </w:p>
    <w:p w14:paraId="1FA26B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注册地：浙江省绍兴市中兴中路159号</w:t>
      </w:r>
    </w:p>
    <w:p w14:paraId="4B901C8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076A83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名称：浙江丽水莲都农村商业银行股份有限公司</w:t>
      </w:r>
    </w:p>
    <w:p w14:paraId="27C739D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注册地：浙江省丽水市莲都区解放街438号</w:t>
      </w:r>
    </w:p>
    <w:p w14:paraId="78E4F75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AFEA61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名称：浙江桐庐农村商业银行股份有限公司</w:t>
      </w:r>
    </w:p>
    <w:p w14:paraId="5E9536E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注册地：浙江省杭州市桐庐县城迎春南路278号</w:t>
      </w:r>
    </w:p>
    <w:p w14:paraId="2CC4839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0F4BDA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名称：浙江温州鹿城农村商业银行股份有限公司</w:t>
      </w:r>
    </w:p>
    <w:p w14:paraId="3611EFB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注册地：浙江省温州市鹿城区会展路1500号富银大厦</w:t>
      </w:r>
    </w:p>
    <w:p w14:paraId="22664E7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C205F8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名称：浙江台州路桥农村商业银行股份有限公司</w:t>
      </w:r>
    </w:p>
    <w:p w14:paraId="4DBDD1F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注册地：浙江省台州市路桥区路北街道中心大道5789号</w:t>
      </w:r>
    </w:p>
    <w:p w14:paraId="1792AF5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31F87AF">
      <w:pPr>
        <w:widowControl/>
        <w:tabs>
          <w:tab w:val="left" w:pos="709"/>
        </w:tabs>
        <w:adjustRightInd w:val="0"/>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本产品的认购将通过销售机构的</w:t>
      </w:r>
      <w:r>
        <w:rPr>
          <w:rFonts w:ascii="仿宋_GB2312" w:hAnsi="宋体" w:cs="宋体"/>
          <w:bCs/>
          <w:color w:val="auto"/>
          <w:kern w:val="0"/>
          <w:szCs w:val="24"/>
          <w:highlight w:val="none"/>
        </w:rPr>
        <w:t>销售渠道</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具体以销售机构提供的方式为准)。本产品销售机构包括但不限于</w:t>
      </w:r>
      <w:r>
        <w:rPr>
          <w:rFonts w:hint="eastAsia" w:ascii="仿宋_GB2312" w:hAnsi="宋体" w:cs="宋体"/>
          <w:bCs/>
          <w:color w:val="auto"/>
          <w:kern w:val="0"/>
          <w:szCs w:val="24"/>
          <w:highlight w:val="none"/>
          <w:lang w:val="en-US" w:eastAsia="zh-CN"/>
        </w:rPr>
        <w:t>【</w:t>
      </w:r>
      <w:r>
        <w:rPr>
          <w:rFonts w:hint="eastAsia" w:ascii="宋体" w:hAnsi="宋体" w:cs="宋体"/>
          <w:color w:val="auto"/>
          <w:kern w:val="0"/>
          <w:szCs w:val="24"/>
          <w:highlight w:val="none"/>
        </w:rPr>
        <w:t>浙江临海农村商业银行股份有限公司</w:t>
      </w:r>
      <w:r>
        <w:rPr>
          <w:rFonts w:hint="eastAsia" w:ascii="宋体" w:hAnsi="宋体" w:cs="宋体"/>
          <w:color w:val="auto"/>
          <w:kern w:val="0"/>
          <w:szCs w:val="24"/>
          <w:highlight w:val="none"/>
          <w:lang w:eastAsia="zh-CN"/>
        </w:rPr>
        <w:t>、</w:t>
      </w:r>
      <w:r>
        <w:rPr>
          <w:rFonts w:hint="eastAsia" w:ascii="仿宋_GB2312" w:hAnsi="宋体" w:cs="宋体"/>
          <w:bCs/>
          <w:color w:val="auto"/>
          <w:kern w:val="0"/>
          <w:szCs w:val="24"/>
          <w:highlight w:val="none"/>
        </w:rPr>
        <w:t>浙江遂昌农村商业银行股份有限公司</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浙江萧山农村商业银行股份有限公司、浙江台州黄岩农村商业银行股份有限公司、浙江舟山普陀农村商业银行股份有限公司、宁波北仑农村商业银行股份有限公司</w:t>
      </w:r>
      <w:r>
        <w:rPr>
          <w:rFonts w:hint="eastAsia" w:ascii="宋体" w:hAnsi="宋体" w:cs="宋体"/>
          <w:color w:val="auto"/>
          <w:kern w:val="0"/>
          <w:szCs w:val="24"/>
          <w:highlight w:val="none"/>
          <w:lang w:eastAsia="zh-CN"/>
        </w:rPr>
        <w:t>、浙江天台农村商业银行股份有限公司、浙江舟山定海海洋农村商业银行股份有限公司、浙江龙游农村商业银行股份有限公司、浙江磐安农村商业银行股份有限公司、</w:t>
      </w:r>
      <w:r>
        <w:rPr>
          <w:rFonts w:hint="eastAsia" w:ascii="宋体" w:hAnsi="宋体" w:cs="宋体"/>
          <w:color w:val="auto"/>
          <w:kern w:val="0"/>
          <w:szCs w:val="24"/>
          <w:highlight w:val="none"/>
        </w:rPr>
        <w:t>浙江禾城农村商业银行股份有限公司、宁波慈溪农村商业银行股份有限公司、浙江温州瓯海农村商业银行股份有限公司、浙江台州椒江农村商业银行股份有限公司</w:t>
      </w:r>
      <w:r>
        <w:rPr>
          <w:rFonts w:hint="eastAsia" w:ascii="宋体" w:hAnsi="宋体" w:cs="宋体"/>
          <w:color w:val="auto"/>
          <w:kern w:val="0"/>
          <w:szCs w:val="24"/>
          <w:highlight w:val="none"/>
          <w:lang w:eastAsia="zh-CN"/>
        </w:rPr>
        <w:t>、浙江杭州余杭农村商业银行股份有限公司、</w:t>
      </w:r>
      <w:r>
        <w:rPr>
          <w:rFonts w:hint="eastAsia" w:ascii="宋体" w:hAnsi="宋体" w:cs="宋体"/>
          <w:color w:val="auto"/>
          <w:kern w:val="0"/>
          <w:szCs w:val="24"/>
          <w:highlight w:val="none"/>
        </w:rPr>
        <w:t>浙江庆元农村商业银行股份有限公司、浙江平湖农村商业银行股份有限公司、浙江衢州柯城农村商业银行股份有限公司、浙江金华成泰农村商业银行股份有限公司</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浙江安吉农村商业银行股份有限公司</w:t>
      </w:r>
      <w:r>
        <w:rPr>
          <w:rFonts w:hint="eastAsia" w:ascii="宋体" w:hAnsi="宋体" w:cs="宋体"/>
          <w:color w:val="auto"/>
          <w:kern w:val="0"/>
          <w:szCs w:val="24"/>
          <w:highlight w:val="none"/>
          <w:lang w:eastAsia="zh-CN"/>
        </w:rPr>
        <w:t>、浙江淳安农村商业银行股份有限公司、浙江临安农村商业银行股份有限公司、浙江上虞农村商业银行股份有限公司、浙江德清农村商业银行股份有限公司、浙江绍兴恒信农村商业银行股份有限公司、</w:t>
      </w:r>
      <w:r>
        <w:rPr>
          <w:rFonts w:hint="eastAsia" w:ascii="宋体" w:hAnsi="宋体" w:cs="宋体"/>
          <w:color w:val="auto"/>
          <w:kern w:val="0"/>
          <w:szCs w:val="24"/>
          <w:highlight w:val="none"/>
          <w:lang w:val="en-US" w:eastAsia="zh-CN"/>
        </w:rPr>
        <w:t>浙江桐庐农村商业银行股份有限公司、浙江丽水莲都农村商业银行股份有限公司、浙江温州鹿城农村商业银行股份有限公司、浙江台州路桥农村商业银行股份有限公司</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等机构，如有</w:t>
      </w:r>
      <w:r>
        <w:rPr>
          <w:rFonts w:ascii="仿宋_GB2312" w:hAnsi="宋体" w:cs="宋体"/>
          <w:bCs/>
          <w:color w:val="auto"/>
          <w:kern w:val="0"/>
          <w:szCs w:val="24"/>
          <w:highlight w:val="none"/>
        </w:rPr>
        <w:t>变更以管理人</w:t>
      </w:r>
      <w:r>
        <w:rPr>
          <w:rFonts w:hint="eastAsia" w:ascii="仿宋_GB2312" w:hAnsi="宋体" w:cs="宋体"/>
          <w:bCs/>
          <w:color w:val="auto"/>
          <w:kern w:val="0"/>
          <w:szCs w:val="24"/>
          <w:highlight w:val="none"/>
        </w:rPr>
        <w:t>信息披露为准。</w:t>
      </w:r>
    </w:p>
    <w:p w14:paraId="3A23AE15">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14:paraId="23EA4E35">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w:t>
      </w:r>
      <w:r>
        <w:rPr>
          <w:rFonts w:ascii="仿宋_GB2312" w:hAnsi="宋体" w:cs="宋体"/>
          <w:b/>
          <w:bCs/>
          <w:color w:val="auto"/>
          <w:kern w:val="0"/>
          <w:szCs w:val="24"/>
          <w:highlight w:val="none"/>
        </w:rPr>
        <w:t>履行</w:t>
      </w:r>
      <w:r>
        <w:rPr>
          <w:rFonts w:hint="eastAsia" w:ascii="仿宋_GB2312" w:hAnsi="宋体" w:cs="宋体"/>
          <w:b/>
          <w:bCs/>
          <w:color w:val="auto"/>
          <w:kern w:val="0"/>
          <w:szCs w:val="24"/>
          <w:highlight w:val="none"/>
        </w:rPr>
        <w:t>现行法律</w:t>
      </w:r>
      <w:r>
        <w:rPr>
          <w:rFonts w:ascii="仿宋_GB2312" w:hAnsi="宋体" w:cs="宋体"/>
          <w:b/>
          <w:bCs/>
          <w:color w:val="auto"/>
          <w:kern w:val="0"/>
          <w:szCs w:val="24"/>
          <w:highlight w:val="none"/>
        </w:rPr>
        <w:t>法规和</w:t>
      </w:r>
      <w:r>
        <w:rPr>
          <w:rFonts w:hint="eastAsia" w:ascii="仿宋_GB2312" w:hAnsi="宋体" w:cs="宋体"/>
          <w:b/>
          <w:bCs/>
          <w:color w:val="auto"/>
          <w:kern w:val="0"/>
          <w:szCs w:val="24"/>
          <w:highlight w:val="none"/>
        </w:rPr>
        <w:t>监管</w:t>
      </w:r>
      <w:r>
        <w:rPr>
          <w:rFonts w:ascii="仿宋_GB2312" w:hAnsi="宋体" w:cs="宋体"/>
          <w:b/>
          <w:bCs/>
          <w:color w:val="auto"/>
          <w:kern w:val="0"/>
          <w:szCs w:val="24"/>
          <w:highlight w:val="none"/>
        </w:rPr>
        <w:t>规定</w:t>
      </w:r>
      <w:r>
        <w:rPr>
          <w:rFonts w:hint="eastAsia" w:ascii="仿宋_GB2312" w:hAnsi="宋体" w:cs="宋体"/>
          <w:b/>
          <w:bCs/>
          <w:color w:val="auto"/>
          <w:kern w:val="0"/>
          <w:szCs w:val="24"/>
          <w:highlight w:val="none"/>
        </w:rPr>
        <w:t>所</w:t>
      </w:r>
      <w:r>
        <w:rPr>
          <w:rFonts w:ascii="仿宋_GB2312" w:hAnsi="宋体" w:cs="宋体"/>
          <w:b/>
          <w:bCs/>
          <w:color w:val="auto"/>
          <w:kern w:val="0"/>
          <w:szCs w:val="24"/>
          <w:highlight w:val="none"/>
        </w:rPr>
        <w:t>规定</w:t>
      </w:r>
      <w:r>
        <w:rPr>
          <w:rFonts w:hint="eastAsia" w:ascii="仿宋_GB2312" w:hAnsi="宋体" w:cs="宋体"/>
          <w:b/>
          <w:bCs/>
          <w:color w:val="auto"/>
          <w:kern w:val="0"/>
          <w:szCs w:val="24"/>
          <w:highlight w:val="none"/>
        </w:rPr>
        <w:t>必须</w:t>
      </w:r>
      <w:r>
        <w:rPr>
          <w:rFonts w:ascii="仿宋_GB2312" w:hAnsi="宋体" w:cs="宋体"/>
          <w:b/>
          <w:bCs/>
          <w:color w:val="auto"/>
          <w:kern w:val="0"/>
          <w:szCs w:val="24"/>
          <w:highlight w:val="none"/>
        </w:rPr>
        <w:t>履行的</w:t>
      </w:r>
      <w:r>
        <w:rPr>
          <w:rFonts w:hint="eastAsia" w:ascii="仿宋_GB2312" w:hAnsi="宋体" w:cs="宋体"/>
          <w:b/>
          <w:bCs/>
          <w:color w:val="auto"/>
          <w:kern w:val="0"/>
          <w:szCs w:val="24"/>
          <w:highlight w:val="none"/>
        </w:rPr>
        <w:t>程序。前述关联</w:t>
      </w:r>
      <w:r>
        <w:rPr>
          <w:rFonts w:ascii="仿宋_GB2312" w:hAnsi="宋体" w:cs="宋体"/>
          <w:b/>
          <w:bCs/>
          <w:color w:val="auto"/>
          <w:kern w:val="0"/>
          <w:szCs w:val="24"/>
          <w:highlight w:val="none"/>
        </w:rPr>
        <w:t>关系</w:t>
      </w:r>
      <w:r>
        <w:rPr>
          <w:rFonts w:hint="eastAsia" w:ascii="仿宋_GB2312" w:hAnsi="宋体" w:cs="宋体"/>
          <w:b/>
          <w:bCs/>
          <w:color w:val="auto"/>
          <w:kern w:val="0"/>
          <w:szCs w:val="24"/>
          <w:highlight w:val="none"/>
        </w:rPr>
        <w:t>可能</w:t>
      </w:r>
      <w:r>
        <w:rPr>
          <w:rFonts w:ascii="仿宋_GB2312" w:hAnsi="宋体" w:cs="宋体"/>
          <w:b/>
          <w:bCs/>
          <w:color w:val="auto"/>
          <w:kern w:val="0"/>
          <w:szCs w:val="24"/>
          <w:highlight w:val="none"/>
        </w:rPr>
        <w:t>导致</w:t>
      </w:r>
      <w:r>
        <w:rPr>
          <w:rFonts w:hint="eastAsia" w:ascii="仿宋_GB2312" w:hAnsi="宋体" w:cs="宋体"/>
          <w:b/>
          <w:bCs/>
          <w:color w:val="auto"/>
          <w:kern w:val="0"/>
          <w:szCs w:val="24"/>
          <w:highlight w:val="none"/>
        </w:rPr>
        <w:t>影响</w:t>
      </w:r>
      <w:r>
        <w:rPr>
          <w:rFonts w:ascii="仿宋_GB2312" w:hAnsi="宋体" w:cs="宋体"/>
          <w:b/>
          <w:bCs/>
          <w:color w:val="auto"/>
          <w:kern w:val="0"/>
          <w:szCs w:val="24"/>
          <w:highlight w:val="none"/>
        </w:rPr>
        <w:t>管理人</w:t>
      </w:r>
      <w:r>
        <w:rPr>
          <w:rFonts w:hint="eastAsia" w:ascii="仿宋_GB2312" w:hAnsi="宋体" w:cs="宋体"/>
          <w:b/>
          <w:bCs/>
          <w:color w:val="auto"/>
          <w:kern w:val="0"/>
          <w:szCs w:val="24"/>
          <w:highlight w:val="none"/>
        </w:rPr>
        <w:t>独立</w:t>
      </w:r>
      <w:r>
        <w:rPr>
          <w:rFonts w:ascii="仿宋_GB2312" w:hAnsi="宋体" w:cs="宋体"/>
          <w:b/>
          <w:bCs/>
          <w:color w:val="auto"/>
          <w:kern w:val="0"/>
          <w:szCs w:val="24"/>
          <w:highlight w:val="none"/>
        </w:rPr>
        <w:t>决策的</w:t>
      </w:r>
      <w:r>
        <w:rPr>
          <w:rFonts w:hint="eastAsia" w:ascii="仿宋_GB2312" w:hAnsi="宋体" w:cs="宋体"/>
          <w:b/>
          <w:bCs/>
          <w:color w:val="auto"/>
          <w:kern w:val="0"/>
          <w:szCs w:val="24"/>
          <w:highlight w:val="none"/>
        </w:rPr>
        <w:t>潜在</w:t>
      </w:r>
      <w:r>
        <w:rPr>
          <w:rFonts w:ascii="仿宋_GB2312" w:hAnsi="宋体" w:cs="宋体"/>
          <w:b/>
          <w:bCs/>
          <w:color w:val="auto"/>
          <w:kern w:val="0"/>
          <w:szCs w:val="24"/>
          <w:highlight w:val="none"/>
        </w:rPr>
        <w:t>风险</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投资者</w:t>
      </w:r>
      <w:r>
        <w:rPr>
          <w:rFonts w:hint="eastAsia" w:ascii="仿宋_GB2312" w:hAnsi="宋体" w:cs="宋体"/>
          <w:b/>
          <w:bCs/>
          <w:color w:val="auto"/>
          <w:kern w:val="0"/>
          <w:szCs w:val="24"/>
          <w:highlight w:val="none"/>
        </w:rPr>
        <w:t>确认已充分</w:t>
      </w:r>
      <w:r>
        <w:rPr>
          <w:rFonts w:ascii="仿宋_GB2312" w:hAnsi="宋体" w:cs="宋体"/>
          <w:b/>
          <w:bCs/>
          <w:color w:val="auto"/>
          <w:kern w:val="0"/>
          <w:szCs w:val="24"/>
          <w:highlight w:val="none"/>
        </w:rPr>
        <w:t>知悉前述</w:t>
      </w:r>
      <w:r>
        <w:rPr>
          <w:rFonts w:hint="eastAsia" w:ascii="仿宋_GB2312" w:hAnsi="宋体" w:cs="宋体"/>
          <w:b/>
          <w:bCs/>
          <w:color w:val="auto"/>
          <w:kern w:val="0"/>
          <w:szCs w:val="24"/>
          <w:highlight w:val="none"/>
        </w:rPr>
        <w:t>关联关系</w:t>
      </w:r>
      <w:r>
        <w:rPr>
          <w:rFonts w:ascii="仿宋_GB2312" w:hAnsi="宋体" w:cs="宋体"/>
          <w:b/>
          <w:bCs/>
          <w:color w:val="auto"/>
          <w:kern w:val="0"/>
          <w:szCs w:val="24"/>
          <w:highlight w:val="none"/>
        </w:rPr>
        <w:t>，</w:t>
      </w:r>
      <w:r>
        <w:rPr>
          <w:rFonts w:hint="eastAsia" w:ascii="仿宋_GB2312" w:hAnsi="宋体" w:cs="宋体"/>
          <w:b/>
          <w:bCs/>
          <w:color w:val="auto"/>
          <w:kern w:val="0"/>
          <w:szCs w:val="24"/>
          <w:highlight w:val="none"/>
        </w:rPr>
        <w:t>并</w:t>
      </w:r>
      <w:r>
        <w:rPr>
          <w:rFonts w:ascii="仿宋_GB2312" w:hAnsi="宋体" w:cs="宋体"/>
          <w:b/>
          <w:bCs/>
          <w:color w:val="auto"/>
          <w:kern w:val="0"/>
          <w:szCs w:val="24"/>
          <w:highlight w:val="none"/>
        </w:rPr>
        <w:t>接受</w:t>
      </w:r>
      <w:r>
        <w:rPr>
          <w:rFonts w:hint="eastAsia" w:ascii="仿宋_GB2312" w:hAnsi="宋体" w:cs="宋体"/>
          <w:b/>
          <w:bCs/>
          <w:color w:val="auto"/>
          <w:kern w:val="0"/>
          <w:szCs w:val="24"/>
          <w:highlight w:val="none"/>
        </w:rPr>
        <w:t>理财</w:t>
      </w:r>
      <w:r>
        <w:rPr>
          <w:rFonts w:ascii="仿宋_GB2312" w:hAnsi="宋体" w:cs="宋体"/>
          <w:b/>
          <w:bCs/>
          <w:color w:val="auto"/>
          <w:kern w:val="0"/>
          <w:szCs w:val="24"/>
          <w:highlight w:val="none"/>
        </w:rPr>
        <w:t>产品由</w:t>
      </w:r>
      <w:r>
        <w:rPr>
          <w:rFonts w:hint="eastAsia" w:ascii="仿宋_GB2312" w:hAnsi="宋体" w:cs="宋体"/>
          <w:b/>
          <w:bCs/>
          <w:color w:val="auto"/>
          <w:kern w:val="0"/>
          <w:szCs w:val="24"/>
          <w:highlight w:val="none"/>
        </w:rPr>
        <w:t>销售</w:t>
      </w:r>
      <w:r>
        <w:rPr>
          <w:rFonts w:ascii="仿宋_GB2312" w:hAnsi="宋体" w:cs="宋体"/>
          <w:b/>
          <w:bCs/>
          <w:color w:val="auto"/>
          <w:kern w:val="0"/>
          <w:szCs w:val="24"/>
          <w:highlight w:val="none"/>
        </w:rPr>
        <w:t>机构</w:t>
      </w:r>
      <w:r>
        <w:rPr>
          <w:rFonts w:hint="eastAsia" w:ascii="仿宋_GB2312" w:hAnsi="宋体" w:cs="宋体"/>
          <w:b/>
          <w:bCs/>
          <w:color w:val="auto"/>
          <w:kern w:val="0"/>
          <w:szCs w:val="24"/>
          <w:highlight w:val="none"/>
        </w:rPr>
        <w:t>代理</w:t>
      </w:r>
      <w:r>
        <w:rPr>
          <w:rFonts w:ascii="仿宋_GB2312" w:hAnsi="宋体" w:cs="宋体"/>
          <w:b/>
          <w:bCs/>
          <w:color w:val="auto"/>
          <w:kern w:val="0"/>
          <w:szCs w:val="24"/>
          <w:highlight w:val="none"/>
        </w:rPr>
        <w:t>销售</w:t>
      </w:r>
      <w:r>
        <w:rPr>
          <w:rFonts w:hint="eastAsia" w:ascii="仿宋_GB2312" w:hAnsi="宋体" w:cs="宋体"/>
          <w:b/>
          <w:bCs/>
          <w:color w:val="auto"/>
          <w:kern w:val="0"/>
          <w:szCs w:val="24"/>
          <w:highlight w:val="none"/>
        </w:rPr>
        <w:t>、托管机构</w:t>
      </w:r>
      <w:r>
        <w:rPr>
          <w:rFonts w:ascii="仿宋_GB2312" w:hAnsi="宋体" w:cs="宋体"/>
          <w:b/>
          <w:bCs/>
          <w:color w:val="auto"/>
          <w:kern w:val="0"/>
          <w:szCs w:val="24"/>
          <w:highlight w:val="none"/>
        </w:rPr>
        <w:t>托管。</w:t>
      </w:r>
    </w:p>
    <w:p w14:paraId="07040CF3">
      <w:pPr>
        <w:pStyle w:val="3"/>
        <w:widowControl/>
        <w:tabs>
          <w:tab w:val="left" w:pos="709"/>
        </w:tabs>
        <w:adjustRightInd w:val="0"/>
        <w:snapToGrid w:val="0"/>
        <w:ind w:firstLine="482"/>
        <w:rPr>
          <w:color w:val="auto"/>
          <w:highlight w:val="none"/>
        </w:rPr>
      </w:pPr>
      <w:r>
        <w:rPr>
          <w:color w:val="auto"/>
          <w:highlight w:val="none"/>
        </w:rPr>
        <w:t>募集期</w:t>
      </w:r>
    </w:p>
    <w:p w14:paraId="3D540E7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但募集期内认购资金是否计息以销售机构规则为准，利息不计入认购本金份额。</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14:paraId="16EDA7A7">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14:paraId="601166BF">
      <w:pPr>
        <w:pStyle w:val="3"/>
        <w:widowControl/>
        <w:tabs>
          <w:tab w:val="left" w:pos="709"/>
        </w:tabs>
        <w:snapToGrid w:val="0"/>
        <w:ind w:firstLine="482"/>
        <w:rPr>
          <w:rStyle w:val="28"/>
          <w:rFonts w:ascii="仿宋_GB2312" w:hAnsi="宋体"/>
          <w:b w:val="0"/>
          <w:color w:val="auto"/>
          <w:highlight w:val="none"/>
        </w:rPr>
      </w:pP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范围</w:t>
      </w:r>
    </w:p>
    <w:p w14:paraId="0C581C1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7FE77D5C">
      <w:pPr>
        <w:pStyle w:val="3"/>
        <w:ind w:firstLine="482"/>
        <w:rPr>
          <w:color w:val="auto"/>
          <w:highlight w:val="none"/>
        </w:rPr>
      </w:pPr>
      <w:r>
        <w:rPr>
          <w:rFonts w:hint="eastAsia"/>
          <w:color w:val="auto"/>
          <w:highlight w:val="none"/>
        </w:rPr>
        <w:t>认购的</w:t>
      </w:r>
      <w:r>
        <w:rPr>
          <w:color w:val="auto"/>
          <w:highlight w:val="none"/>
        </w:rPr>
        <w:t>价格</w:t>
      </w:r>
    </w:p>
    <w:p w14:paraId="431FB2E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本产品的认购价格为每份理财份额人民币1.0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w:t>
      </w:r>
      <w:r>
        <w:rPr>
          <w:rFonts w:ascii="仿宋_GB2312" w:hAnsi="宋体" w:cs="宋体"/>
          <w:bCs/>
          <w:color w:val="auto"/>
          <w:kern w:val="0"/>
          <w:szCs w:val="24"/>
          <w:highlight w:val="none"/>
        </w:rPr>
        <w:t>00</w:t>
      </w:r>
      <w:r>
        <w:rPr>
          <w:rFonts w:hint="eastAsia" w:ascii="仿宋_GB2312" w:hAnsi="宋体" w:cs="宋体"/>
          <w:bCs/>
          <w:color w:val="auto"/>
          <w:kern w:val="0"/>
          <w:szCs w:val="24"/>
          <w:highlight w:val="none"/>
        </w:rPr>
        <w:t>元。</w:t>
      </w:r>
    </w:p>
    <w:p w14:paraId="7692D035">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14:paraId="56EFFA07">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本产品采用金额认购方法，认购金额包括认购费用和净认购金额，认购时计算方法如下： </w:t>
      </w:r>
    </w:p>
    <w:p w14:paraId="3615F920">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净认购金额=认购金额/（1+认购费率）（认购费率详见产品说明书关于费用的说明）</w:t>
      </w:r>
    </w:p>
    <w:p w14:paraId="08E12F95">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认购费用=认购金额-净认购金额</w:t>
      </w:r>
    </w:p>
    <w:p w14:paraId="1F41786D">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认购份额=净认购金额/理财产品单位份额净值</w:t>
      </w:r>
    </w:p>
    <w:p w14:paraId="5CB9E328">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14:paraId="6F3D2BFC">
      <w:pPr>
        <w:pStyle w:val="3"/>
        <w:ind w:firstLine="482"/>
        <w:rPr>
          <w:color w:val="auto"/>
          <w:highlight w:val="none"/>
        </w:rPr>
      </w:pPr>
      <w:r>
        <w:rPr>
          <w:rFonts w:hint="eastAsia"/>
          <w:color w:val="auto"/>
          <w:highlight w:val="none"/>
        </w:rPr>
        <w:t>认购起点和递增</w:t>
      </w:r>
      <w:r>
        <w:rPr>
          <w:color w:val="auto"/>
          <w:highlight w:val="none"/>
        </w:rPr>
        <w:t>金额</w:t>
      </w:r>
    </w:p>
    <w:p w14:paraId="362C758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0C9028B5">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14:paraId="038A315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2E42F028">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14:paraId="0CDEAE4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14:paraId="4DADCEFD">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认购数量</w:t>
      </w:r>
      <w:r>
        <w:rPr>
          <w:rFonts w:ascii="仿宋_GB2312" w:hAnsi="宋体" w:cs="宋体"/>
          <w:bCs/>
          <w:color w:val="auto"/>
          <w:kern w:val="0"/>
          <w:szCs w:val="24"/>
          <w:highlight w:val="none"/>
        </w:rPr>
        <w:t>限制</w:t>
      </w:r>
    </w:p>
    <w:p w14:paraId="61E13A7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4F2E1977">
      <w:pPr>
        <w:pStyle w:val="3"/>
        <w:ind w:firstLine="482"/>
        <w:rPr>
          <w:color w:val="auto"/>
          <w:highlight w:val="none"/>
        </w:rPr>
      </w:pPr>
      <w:r>
        <w:rPr>
          <w:rFonts w:hint="eastAsia"/>
          <w:color w:val="auto"/>
          <w:highlight w:val="none"/>
        </w:rPr>
        <w:t>产品成立</w:t>
      </w:r>
    </w:p>
    <w:p w14:paraId="19C804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14:paraId="4AB1921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14:paraId="725F2FEA">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披露产品不成立相关信息，并在不晚于产品原计划成立日后的3个</w:t>
      </w:r>
      <w:r>
        <w:rPr>
          <w:rFonts w:hint="eastAsia" w:ascii="仿宋_GB2312" w:hAnsi="宋体" w:cs="宋体"/>
          <w:bCs/>
          <w:color w:val="auto"/>
          <w:kern w:val="0"/>
          <w:szCs w:val="24"/>
          <w:highlight w:val="none"/>
          <w:lang w:val="en-US" w:eastAsia="zh-CN"/>
        </w:rPr>
        <w:t>交易</w:t>
      </w:r>
      <w:r>
        <w:rPr>
          <w:rFonts w:hint="eastAsia" w:ascii="仿宋_GB2312" w:hAnsi="宋体" w:cs="宋体"/>
          <w:bCs/>
          <w:color w:val="auto"/>
          <w:kern w:val="0"/>
          <w:szCs w:val="24"/>
          <w:highlight w:val="none"/>
          <w:lang w:eastAsia="zh-CN"/>
        </w:rPr>
        <w:t>日</w:t>
      </w:r>
      <w:r>
        <w:rPr>
          <w:rFonts w:hint="eastAsia" w:ascii="仿宋_GB2312" w:hAnsi="宋体" w:cs="宋体"/>
          <w:bCs/>
          <w:color w:val="auto"/>
          <w:kern w:val="0"/>
          <w:szCs w:val="24"/>
          <w:highlight w:val="none"/>
        </w:rPr>
        <w:t>通过销售机构将理财投资本金退回投资者指定账户。</w:t>
      </w:r>
    </w:p>
    <w:p w14:paraId="2831474D">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14:paraId="098537B0">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14:paraId="564D11B8">
      <w:pPr>
        <w:widowControl/>
        <w:rPr>
          <w:rFonts w:ascii="仿宋_GB2312" w:hAnsi="宋体"/>
          <w:color w:val="auto"/>
          <w:kern w:val="0"/>
          <w:szCs w:val="24"/>
          <w:highlight w:val="none"/>
        </w:rPr>
      </w:pPr>
      <w:r>
        <w:rPr>
          <w:rFonts w:hint="eastAsia" w:ascii="仿宋_GB2312" w:hAnsi="宋体"/>
          <w:color w:val="auto"/>
          <w:kern w:val="0"/>
          <w:szCs w:val="24"/>
          <w:highlight w:val="none"/>
        </w:rPr>
        <w:br w:type="page"/>
      </w:r>
    </w:p>
    <w:p w14:paraId="191DEEF9">
      <w:pPr>
        <w:pStyle w:val="2"/>
        <w:widowControl/>
        <w:tabs>
          <w:tab w:val="left" w:pos="709"/>
        </w:tabs>
        <w:snapToGrid w:val="0"/>
        <w:ind w:firstLine="560"/>
        <w:rPr>
          <w:rFonts w:ascii="仿宋_GB2312" w:hAnsi="宋体"/>
          <w:color w:val="auto"/>
          <w:kern w:val="0"/>
          <w:szCs w:val="24"/>
          <w:highlight w:val="none"/>
        </w:rPr>
      </w:pPr>
      <w:r>
        <w:rPr>
          <w:rFonts w:hint="eastAsia"/>
          <w:color w:val="auto"/>
          <w:highlight w:val="none"/>
        </w:rPr>
        <w:t>理财产品的申购与赎回</w:t>
      </w:r>
    </w:p>
    <w:p w14:paraId="63D094FB">
      <w:pPr>
        <w:pStyle w:val="3"/>
        <w:adjustRightInd w:val="0"/>
        <w:snapToGrid w:val="0"/>
        <w:ind w:firstLine="482"/>
        <w:rPr>
          <w:color w:val="auto"/>
          <w:highlight w:val="none"/>
        </w:rPr>
      </w:pPr>
      <w:r>
        <w:rPr>
          <w:rFonts w:hint="eastAsia"/>
          <w:color w:val="auto"/>
          <w:highlight w:val="none"/>
        </w:rPr>
        <w:t>申购、赎回原则</w:t>
      </w:r>
    </w:p>
    <w:p w14:paraId="0ABF05BB">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1.“金额申购、份额赎回”原则，即申购以金额申请，赎回以份额申请。</w:t>
      </w:r>
    </w:p>
    <w:p w14:paraId="1A0432C0">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2.申购和赎回采用“未知价”原则，即本产品申购申请和赎回申请提交时，适用的产品份额净值都是未知的。</w:t>
      </w:r>
    </w:p>
    <w:p w14:paraId="4D7300E0">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3.申购、赎回申请可以在对应申购日、赎回日交易时间截止前撤销，最终申请确认情况以投资者在销售机构线下渠道或线上渠道确认的结果为准。</w:t>
      </w:r>
    </w:p>
    <w:p w14:paraId="7A78C315">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4.赎回原则遵循“先进先出”原则或“指定赎回”原则，投资者赎回理财计划份额时适用的赎回原则以对应的销售服务机构提供的赎回服务为准。</w:t>
      </w:r>
    </w:p>
    <w:p w14:paraId="45822803">
      <w:pPr>
        <w:tabs>
          <w:tab w:val="left" w:pos="3119"/>
        </w:tabs>
        <w:autoSpaceDE w:val="0"/>
        <w:autoSpaceDN w:val="0"/>
        <w:adjustRightInd/>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14:paraId="79248786">
      <w:pPr>
        <w:pStyle w:val="3"/>
        <w:adjustRightInd w:val="0"/>
        <w:snapToGrid w:val="0"/>
        <w:ind w:firstLine="482"/>
        <w:rPr>
          <w:color w:val="auto"/>
          <w:highlight w:val="none"/>
        </w:rPr>
      </w:pPr>
      <w:r>
        <w:rPr>
          <w:rFonts w:hint="eastAsia"/>
          <w:color w:val="auto"/>
          <w:highlight w:val="none"/>
        </w:rPr>
        <w:t>理财</w:t>
      </w:r>
      <w:r>
        <w:rPr>
          <w:color w:val="auto"/>
          <w:highlight w:val="none"/>
        </w:rPr>
        <w:t>产品</w:t>
      </w:r>
      <w:r>
        <w:rPr>
          <w:rFonts w:hint="eastAsia"/>
          <w:color w:val="auto"/>
          <w:highlight w:val="none"/>
        </w:rPr>
        <w:t>的</w:t>
      </w:r>
      <w:r>
        <w:rPr>
          <w:color w:val="auto"/>
          <w:highlight w:val="none"/>
        </w:rPr>
        <w:t>申购</w:t>
      </w:r>
    </w:p>
    <w:p w14:paraId="5DE2DA0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1.申购的时间</w:t>
      </w:r>
    </w:p>
    <w:p w14:paraId="077CE491">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本产品具体申购时间以《产品说明书》“第二节 理财产品基本情况”为准。</w:t>
      </w:r>
    </w:p>
    <w:p w14:paraId="6D884F3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2.申购的方式</w:t>
      </w:r>
    </w:p>
    <w:p w14:paraId="4DBAC9B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投资者可通过销售机构的销售渠道申购。不同销售机构的销售渠道，申购确认时效可能存在差异。</w:t>
      </w:r>
    </w:p>
    <w:p w14:paraId="33CD5CE9">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投资者通过销售机构线下渠道申购的，应签署有关理财产品销售文件。</w:t>
      </w:r>
    </w:p>
    <w:p w14:paraId="32A39216">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投资者通过销售机构线上渠道申购的，应根据销售机构线上渠道的具体要求执行。</w:t>
      </w:r>
    </w:p>
    <w:p w14:paraId="43560AF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3.申购的确认</w:t>
      </w:r>
    </w:p>
    <w:p w14:paraId="0320108E">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本产品申购确认详见《产品说明书》“第二节 理财产品基本情况”。</w:t>
      </w:r>
    </w:p>
    <w:p w14:paraId="23F883A2">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投资者提交申购申请并不代表申购成功，产品管理人将在申购确认日确认投资者是否申购成功。申购是否成功以管理人的确认结果为准。投资者可以在申购确认日系统完成处理后，查询产品份额。</w:t>
      </w:r>
    </w:p>
    <w:p w14:paraId="37F0DFE8">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4.申购的价格</w:t>
      </w:r>
    </w:p>
    <w:p w14:paraId="519B49D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申购价格为申购日的产品份额净值。</w:t>
      </w:r>
    </w:p>
    <w:p w14:paraId="1D5E5484">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hint="eastAsia" w:ascii="仿宋_GB2312" w:hAnsi="宋体" w:cs="宋体"/>
          <w:color w:val="auto"/>
          <w:kern w:val="0"/>
          <w:szCs w:val="24"/>
          <w:highlight w:val="none"/>
        </w:rPr>
        <w:t>产品管理人的开放日公告。</w:t>
      </w:r>
    </w:p>
    <w:p w14:paraId="15BFBE61">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5.申购的费用</w:t>
      </w:r>
    </w:p>
    <w:p w14:paraId="6AF12E18">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本产品申购费率详见《产品说明书》“第二节 理财产品基本情况”。</w:t>
      </w:r>
    </w:p>
    <w:p w14:paraId="24BC963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6.申购份额计算 </w:t>
      </w:r>
    </w:p>
    <w:p w14:paraId="3932A87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本产品的申购金额包括申购费用和净申购金额。申购份额的计算公式为：</w:t>
      </w:r>
    </w:p>
    <w:p w14:paraId="2A39B8DE">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净申购金额=申购金额/（1+申购费率）（申购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r>
        <w:rPr>
          <w:rFonts w:ascii="仿宋_GB2312" w:hAnsi="宋体" w:cs="宋体"/>
          <w:bCs/>
          <w:color w:val="auto"/>
          <w:kern w:val="0"/>
          <w:szCs w:val="24"/>
          <w:highlight w:val="none"/>
        </w:rPr>
        <w:t>）</w:t>
      </w:r>
    </w:p>
    <w:p w14:paraId="675DCB7F">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申购费用=申购金额－净申购金额</w:t>
      </w:r>
    </w:p>
    <w:p w14:paraId="4C16A0DE">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申购份额=净申购金额/申购日产品份额净值</w:t>
      </w:r>
    </w:p>
    <w:p w14:paraId="25F42B42">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上述计算结果均按四舍五入方法，保留到小数点后2位，由此产生的收益或损失由理财产品承担。</w:t>
      </w:r>
    </w:p>
    <w:p w14:paraId="5BE5B55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7.申购的起点和递增金额 </w:t>
      </w:r>
    </w:p>
    <w:p w14:paraId="4B8D1015">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52DDEB70">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8.申购的数量限制</w:t>
      </w:r>
    </w:p>
    <w:p w14:paraId="7825C48A">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0FA9CED1">
      <w:pPr>
        <w:adjustRightInd w:val="0"/>
        <w:snapToGrid w:val="0"/>
        <w:spacing w:line="360" w:lineRule="auto"/>
        <w:ind w:firstLine="480" w:firstLineChars="200"/>
        <w:rPr>
          <w:color w:val="auto"/>
          <w:highlight w:val="none"/>
        </w:rPr>
      </w:pPr>
      <w:r>
        <w:rPr>
          <w:rFonts w:hint="eastAsia" w:ascii="仿宋_GB2312" w:hAnsi="仿宋_GB2312" w:cs="仿宋_GB2312"/>
          <w:color w:val="auto"/>
          <w:highlight w:val="none"/>
        </w:rPr>
        <w:t>9.拒</w:t>
      </w:r>
      <w:r>
        <w:rPr>
          <w:rFonts w:hint="eastAsia"/>
          <w:color w:val="auto"/>
          <w:highlight w:val="none"/>
        </w:rPr>
        <w:t>绝或暂停申购</w:t>
      </w:r>
    </w:p>
    <w:p w14:paraId="2B5F348E">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14:paraId="0E7D02C8">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1.因不可抗力导致管理人无法接受投资者的申购申请；</w:t>
      </w:r>
    </w:p>
    <w:p w14:paraId="0BF7CD86">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2.证券交易场所依法决定临时停市，导致管理人无法计算当日产品资产净值；</w:t>
      </w:r>
    </w:p>
    <w:p w14:paraId="2116EFD1">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3.当管理人认为某笔申购申请会有损于其他产品份额持有人利益时，可拒绝该笔申购申请；</w:t>
      </w:r>
    </w:p>
    <w:p w14:paraId="45B3D74F">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4.法律、法规规定认定的其他情形。</w:t>
      </w:r>
    </w:p>
    <w:p w14:paraId="63C2BB74">
      <w:pPr>
        <w:pStyle w:val="3"/>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理财产品的赎回</w:t>
      </w:r>
      <w:r>
        <w:rPr>
          <w:rFonts w:ascii="仿宋_GB2312" w:hAnsi="宋体" w:cs="宋体"/>
          <w:bCs/>
          <w:color w:val="auto"/>
          <w:kern w:val="0"/>
          <w:szCs w:val="24"/>
          <w:highlight w:val="none"/>
        </w:rPr>
        <w:t xml:space="preserve"> </w:t>
      </w:r>
    </w:p>
    <w:p w14:paraId="7DCA7BA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1.赎回的时间</w:t>
      </w:r>
    </w:p>
    <w:p w14:paraId="5181509C">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本产品具体赎回时间以《产品说明书》“第二节 理财产品基本情况”为准。</w:t>
      </w:r>
    </w:p>
    <w:p w14:paraId="24E6F44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2.赎回的方式</w:t>
      </w:r>
    </w:p>
    <w:p w14:paraId="4E7462F2">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投资者可通过销售机构的销售渠道赎回。不同销售机构的销售渠道，赎回确认时效可能存在差异。</w:t>
      </w:r>
    </w:p>
    <w:p w14:paraId="38078353">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投资者通过销售机构线下渠道赎回的，应签署有关理财产品销售文件。</w:t>
      </w:r>
    </w:p>
    <w:p w14:paraId="10E5088C">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投资者通过销售机构线上渠道赎回的，应根据销售机构线上渠道的具体要求执行。</w:t>
      </w:r>
    </w:p>
    <w:p w14:paraId="1AF64B12">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3.赎回的确认</w:t>
      </w:r>
    </w:p>
    <w:p w14:paraId="4969BAC4">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本产品赎回确认详见《产品说明书》“第二节 理财产品基本情况”。</w:t>
      </w:r>
    </w:p>
    <w:p w14:paraId="6ED063E6">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投资者提交赎回申请并不代表赎回成功，产品管理人将在赎回确认日确认投资者是否赎回成功。赎回是否成功以管理人的确认结果为准。</w:t>
      </w:r>
    </w:p>
    <w:p w14:paraId="64CBFE25">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4.赎回的价格</w:t>
      </w:r>
    </w:p>
    <w:p w14:paraId="3C2C3A79">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赎回价格为赎回日的产品份额净值。</w:t>
      </w:r>
    </w:p>
    <w:p w14:paraId="41AF20D8">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5.赎回的费用</w:t>
      </w:r>
    </w:p>
    <w:p w14:paraId="330BE6A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本产品赎回费用详见《产品说明书》“第二节 理财产品基本情况”。</w:t>
      </w:r>
    </w:p>
    <w:p w14:paraId="7CF13531">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6.赎回金额计算 </w:t>
      </w:r>
    </w:p>
    <w:p w14:paraId="023E3E6E">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本产品赎回金额的计算公式如下：</w:t>
      </w:r>
    </w:p>
    <w:p w14:paraId="65919DC1">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赎回总金额=赎回份额×赎回日该产品份额净值</w:t>
      </w:r>
    </w:p>
    <w:p w14:paraId="228604F2">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赎回费用=赎回总金额×该产品份额赎回费率</w:t>
      </w:r>
    </w:p>
    <w:p w14:paraId="62B08FBF">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净赎回金额=赎回总金额-赎回费用</w:t>
      </w:r>
    </w:p>
    <w:p w14:paraId="45D00CE0">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上述计算结果均按四舍五入方法，保留到小数点后2位，由此产生的收益或损失由理财产品承担。</w:t>
      </w:r>
    </w:p>
    <w:p w14:paraId="57D21417">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7.赎回的数量限制</w:t>
      </w:r>
    </w:p>
    <w:p w14:paraId="7D77B2D8">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37E6CCF7">
      <w:pPr>
        <w:pStyle w:val="3"/>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巨额赎回的情形及处理方式</w:t>
      </w:r>
      <w:r>
        <w:rPr>
          <w:rFonts w:ascii="仿宋_GB2312" w:hAnsi="宋体" w:cs="宋体"/>
          <w:bCs/>
          <w:color w:val="auto"/>
          <w:kern w:val="0"/>
          <w:szCs w:val="24"/>
          <w:highlight w:val="none"/>
        </w:rPr>
        <w:t xml:space="preserve"> </w:t>
      </w:r>
    </w:p>
    <w:p w14:paraId="1DF2E2AE">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1.巨额赎回的认定</w:t>
      </w:r>
    </w:p>
    <w:p w14:paraId="30DEA818">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643166AD">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2.巨额赎回的处理方式</w:t>
      </w:r>
    </w:p>
    <w:p w14:paraId="62397A5F">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14:paraId="508E1C2C">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3.巨额赎回的公告</w:t>
      </w:r>
    </w:p>
    <w:p w14:paraId="4CD79B18">
      <w:pPr>
        <w:autoSpaceDE w:val="0"/>
        <w:autoSpaceDN w:val="0"/>
        <w:adjustRightInd w:val="0"/>
        <w:snapToGrid w:val="0"/>
        <w:spacing w:line="360" w:lineRule="auto"/>
        <w:ind w:firstLine="480" w:firstLineChars="200"/>
        <w:rPr>
          <w:rFonts w:ascii="仿宋_GB2312" w:hAnsi="宋体"/>
          <w:b/>
          <w:color w:val="auto"/>
          <w:kern w:val="0"/>
          <w:szCs w:val="24"/>
          <w:highlight w:val="none"/>
        </w:rPr>
      </w:pPr>
      <w:r>
        <w:rPr>
          <w:rFonts w:hint="eastAsia" w:ascii="仿宋_GB2312" w:hAnsi="宋体" w:cs="宋体"/>
          <w:bCs/>
          <w:color w:val="auto"/>
          <w:kern w:val="0"/>
          <w:szCs w:val="24"/>
          <w:highlight w:val="none"/>
        </w:rPr>
        <w:t>在发生巨额赎回产品管理人</w:t>
      </w:r>
      <w:r>
        <w:rPr>
          <w:rFonts w:hint="eastAsia" w:asciiTheme="minorEastAsia" w:hAnsiTheme="minorEastAsia"/>
          <w:color w:val="auto"/>
          <w:szCs w:val="24"/>
          <w:highlight w:val="none"/>
        </w:rPr>
        <w:t>暂停接受或延期办理</w:t>
      </w:r>
      <w:r>
        <w:rPr>
          <w:rFonts w:hint="eastAsia" w:ascii="仿宋_GB2312" w:hAnsi="宋体" w:cs="宋体"/>
          <w:bCs/>
          <w:color w:val="auto"/>
          <w:kern w:val="0"/>
          <w:szCs w:val="24"/>
          <w:highlight w:val="none"/>
        </w:rPr>
        <w:t>投资者赎回申请时，产品管理人将依约定发布相关公告信息。</w:t>
      </w:r>
    </w:p>
    <w:p w14:paraId="2F787B8B">
      <w:pPr>
        <w:widowControl/>
        <w:jc w:val="left"/>
        <w:rPr>
          <w:rFonts w:eastAsia="黑体"/>
          <w:color w:val="auto"/>
          <w:kern w:val="44"/>
          <w:sz w:val="28"/>
          <w:highlight w:val="none"/>
        </w:rPr>
      </w:pPr>
      <w:r>
        <w:rPr>
          <w:color w:val="auto"/>
          <w:highlight w:val="none"/>
        </w:rPr>
        <w:br w:type="page"/>
      </w:r>
    </w:p>
    <w:p w14:paraId="700DFE6A">
      <w:pPr>
        <w:pStyle w:val="2"/>
        <w:rPr>
          <w:color w:val="auto"/>
          <w:highlight w:val="none"/>
        </w:rPr>
      </w:pPr>
      <w:r>
        <w:rPr>
          <w:rFonts w:hint="eastAsia"/>
          <w:color w:val="auto"/>
          <w:highlight w:val="none"/>
        </w:rPr>
        <w:t>理财产品的投资</w:t>
      </w:r>
    </w:p>
    <w:p w14:paraId="4968517B">
      <w:pPr>
        <w:pStyle w:val="3"/>
        <w:ind w:firstLine="482"/>
        <w:rPr>
          <w:color w:val="auto"/>
          <w:highlight w:val="none"/>
        </w:rPr>
      </w:pPr>
      <w:r>
        <w:rPr>
          <w:rFonts w:hint="eastAsia"/>
          <w:color w:val="auto"/>
          <w:highlight w:val="none"/>
        </w:rPr>
        <w:t>投资范围</w:t>
      </w:r>
    </w:p>
    <w:p w14:paraId="10DE7B6B">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本理财产品投资于</w:t>
      </w:r>
      <w:r>
        <w:rPr>
          <w:rFonts w:hint="eastAsia" w:ascii="仿宋_GB2312" w:hAnsi="宋体" w:cs="宋体"/>
          <w:bCs/>
          <w:color w:val="auto"/>
          <w:kern w:val="0"/>
          <w:szCs w:val="24"/>
          <w:highlight w:val="none"/>
        </w:rPr>
        <w:t>境内外现金、银行存款 、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债券借贷、结构性存款和期权等商品和金融衍生品类资产，主要投向上述资产类别且符合监管机构要求的公募证券投资基金、信托计划、资产管理计划等资产管理产品以及国务院银行业监督管理机构认可的其他资产。</w:t>
      </w:r>
    </w:p>
    <w:p w14:paraId="6F462536">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本理财产品在投资于境外资产之前，管理人应获得相应的业务经营范围或投资交易资格。</w:t>
      </w:r>
    </w:p>
    <w:p w14:paraId="3F46D873">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2C80739B">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4A9A397A">
      <w:pPr>
        <w:rPr>
          <w:color w:val="auto"/>
          <w:highlight w:val="none"/>
        </w:rPr>
      </w:pPr>
    </w:p>
    <w:p w14:paraId="17DB0E9B">
      <w:pPr>
        <w:pStyle w:val="3"/>
        <w:ind w:firstLine="482"/>
        <w:rPr>
          <w:color w:val="auto"/>
          <w:highlight w:val="none"/>
        </w:rPr>
      </w:pPr>
      <w:r>
        <w:rPr>
          <w:rFonts w:hint="eastAsia"/>
          <w:color w:val="auto"/>
          <w:highlight w:val="none"/>
        </w:rPr>
        <w:t>投资比例</w:t>
      </w:r>
    </w:p>
    <w:p w14:paraId="45E6CFCF">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ascii="仿宋_GB2312" w:hAnsi="宋体" w:cs="宋体"/>
          <w:bCs/>
          <w:color w:val="auto"/>
          <w:kern w:val="0"/>
          <w:szCs w:val="24"/>
          <w:highlight w:val="none"/>
        </w:rPr>
        <w:t>1.本产品各投资资产占比如下：</w:t>
      </w:r>
    </w:p>
    <w:tbl>
      <w:tblPr>
        <w:tblStyle w:val="17"/>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1325"/>
      </w:tblGrid>
      <w:tr w14:paraId="1501C008">
        <w:tc>
          <w:tcPr>
            <w:tcW w:w="5089" w:type="dxa"/>
          </w:tcPr>
          <w:p w14:paraId="7F8A2048">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投资资产</w:t>
            </w:r>
          </w:p>
        </w:tc>
        <w:tc>
          <w:tcPr>
            <w:tcW w:w="1325" w:type="dxa"/>
          </w:tcPr>
          <w:p w14:paraId="6003E1F2">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投资比例</w:t>
            </w:r>
          </w:p>
        </w:tc>
      </w:tr>
      <w:tr w14:paraId="3F33FECF">
        <w:tc>
          <w:tcPr>
            <w:tcW w:w="5089" w:type="dxa"/>
            <w:vAlign w:val="top"/>
          </w:tcPr>
          <w:p w14:paraId="7DECA2FF">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债权类资产</w:t>
            </w:r>
          </w:p>
        </w:tc>
        <w:tc>
          <w:tcPr>
            <w:tcW w:w="1325" w:type="dxa"/>
            <w:shd w:val="clear" w:color="auto" w:fill="auto"/>
            <w:vAlign w:val="top"/>
          </w:tcPr>
          <w:p w14:paraId="48FC6647">
            <w:pPr>
              <w:widowControl/>
              <w:spacing w:line="360" w:lineRule="auto"/>
              <w:jc w:val="center"/>
              <w:rPr>
                <w:rFonts w:hint="eastAsia" w:ascii="仿宋_GB2312" w:hAnsi="宋体" w:eastAsia="仿宋_GB2312" w:cs="宋体"/>
                <w:bCs/>
                <w:color w:val="auto"/>
                <w:kern w:val="0"/>
                <w:sz w:val="24"/>
                <w:szCs w:val="24"/>
                <w:highlight w:val="none"/>
                <w:u w:val="none"/>
                <w:lang w:val="en-US" w:eastAsia="zh-CN" w:bidi="ar-SA"/>
              </w:rPr>
            </w:pPr>
            <w:r>
              <w:rPr>
                <w:rFonts w:hint="eastAsia" w:ascii="仿宋_GB2312" w:hAnsi="宋体" w:cs="宋体"/>
                <w:bCs/>
                <w:color w:val="auto"/>
                <w:kern w:val="0"/>
                <w:szCs w:val="24"/>
                <w:highlight w:val="none"/>
                <w:u w:val="none"/>
              </w:rPr>
              <w:t>80%-100%</w:t>
            </w:r>
          </w:p>
        </w:tc>
      </w:tr>
      <w:tr w14:paraId="476301C3">
        <w:tc>
          <w:tcPr>
            <w:tcW w:w="5089" w:type="dxa"/>
            <w:vAlign w:val="top"/>
          </w:tcPr>
          <w:p w14:paraId="2C31DE30">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权益类、商品及金融衍生品类资产</w:t>
            </w:r>
          </w:p>
        </w:tc>
        <w:tc>
          <w:tcPr>
            <w:tcW w:w="1325" w:type="dxa"/>
            <w:shd w:val="clear" w:color="auto" w:fill="auto"/>
            <w:vAlign w:val="top"/>
          </w:tcPr>
          <w:p w14:paraId="0EACAB00">
            <w:pPr>
              <w:widowControl/>
              <w:spacing w:line="360" w:lineRule="auto"/>
              <w:jc w:val="center"/>
              <w:rPr>
                <w:rFonts w:hint="eastAsia" w:ascii="仿宋_GB2312" w:hAnsi="宋体" w:eastAsia="仿宋_GB2312" w:cs="宋体"/>
                <w:bCs/>
                <w:color w:val="auto"/>
                <w:kern w:val="0"/>
                <w:sz w:val="24"/>
                <w:szCs w:val="24"/>
                <w:highlight w:val="none"/>
                <w:u w:val="none"/>
                <w:lang w:val="en-US" w:eastAsia="zh-CN" w:bidi="ar-SA"/>
              </w:rPr>
            </w:pPr>
            <w:r>
              <w:rPr>
                <w:rFonts w:hint="eastAsia" w:ascii="仿宋_GB2312" w:hAnsi="宋体" w:cs="宋体"/>
                <w:bCs/>
                <w:color w:val="auto"/>
                <w:kern w:val="0"/>
                <w:szCs w:val="24"/>
                <w:highlight w:val="none"/>
                <w:u w:val="none"/>
              </w:rPr>
              <w:t>0-20%</w:t>
            </w:r>
          </w:p>
        </w:tc>
      </w:tr>
    </w:tbl>
    <w:p w14:paraId="1B3C0627">
      <w:pPr>
        <w:autoSpaceDE w:val="0"/>
        <w:autoSpaceDN w:val="0"/>
        <w:adjustRightInd w:val="0"/>
        <w:snapToGrid w:val="0"/>
        <w:spacing w:line="360" w:lineRule="auto"/>
        <w:jc w:val="left"/>
        <w:rPr>
          <w:rFonts w:ascii="仿宋_GB2312" w:hAnsi="宋体" w:cs="宋体"/>
          <w:bCs/>
          <w:color w:val="auto"/>
          <w:kern w:val="0"/>
          <w:szCs w:val="24"/>
          <w:highlight w:val="none"/>
        </w:rPr>
      </w:pPr>
    </w:p>
    <w:p w14:paraId="2797E2C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管理人将在产品成立后一个月内使资产配置比例符合上述规定。</w:t>
      </w:r>
    </w:p>
    <w:p w14:paraId="21A86D99">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其中现金或者到期日在一年以内的国债、中央银行票据和政策性金融债券不低于产品净资产的</w:t>
      </w:r>
      <w:r>
        <w:rPr>
          <w:rFonts w:ascii="仿宋_GB2312" w:hAnsi="宋体" w:cs="宋体"/>
          <w:bCs/>
          <w:color w:val="auto"/>
          <w:kern w:val="0"/>
          <w:szCs w:val="24"/>
          <w:highlight w:val="none"/>
        </w:rPr>
        <w:t>5%。流动性受限资产的市值在开放日不得超过该产品资产净值的15%。</w:t>
      </w:r>
      <w:r>
        <w:rPr>
          <w:rFonts w:hint="eastAsia" w:ascii="仿宋_GB2312" w:hAnsi="宋体" w:cs="宋体"/>
          <w:bCs/>
          <w:color w:val="auto"/>
          <w:kern w:val="0"/>
          <w:szCs w:val="24"/>
          <w:highlight w:val="none"/>
        </w:rPr>
        <w:t>7个工作日可变现资产的可变现价值不低于该产品资产净值的</w:t>
      </w: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74B72857">
      <w:pPr>
        <w:pStyle w:val="3"/>
        <w:ind w:firstLine="482"/>
        <w:rPr>
          <w:color w:val="auto"/>
          <w:highlight w:val="none"/>
        </w:rPr>
      </w:pPr>
      <w:r>
        <w:rPr>
          <w:rFonts w:hint="eastAsia"/>
          <w:color w:val="auto"/>
          <w:highlight w:val="none"/>
        </w:rPr>
        <w:t>投资限制</w:t>
      </w:r>
    </w:p>
    <w:p w14:paraId="0A021ED5">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投资限制中列示的资产品种不代表管理人的实际投向，本理财计划投资范围以“投资范围”章节表述为准。</w:t>
      </w:r>
    </w:p>
    <w:p w14:paraId="0C134C0B">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1．投资集中度限制</w:t>
      </w:r>
    </w:p>
    <w:p w14:paraId="6D8B9CB5">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（1）本理财计划持有单只证券或单只公募证券投资基金的市值不得超过该理财计划净资产的10%。</w:t>
      </w:r>
    </w:p>
    <w:p w14:paraId="1FCA02F7">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（2）管理人发行的全部公募理财计划持有单只证券或单只公募证券投资基金的市值，不得超过该证券市值或该公募证券投资基金市值的30%。</w:t>
      </w:r>
    </w:p>
    <w:p w14:paraId="493A7DCE">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（3）管理人发行的全部理财计划持有单一上市公司发行的股票，不得超过该上市公司可流通股票的30%。</w:t>
      </w:r>
    </w:p>
    <w:p w14:paraId="634EB09A">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（4）管理人发行的全部开放式公募理财计划投资单一上市公司发行的股票,不得超过该上市公司可流通股票的15%。国务院银行业监督管理机构另有规定的除外。</w:t>
      </w:r>
    </w:p>
    <w:p w14:paraId="4B9CC29E">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14:paraId="6D5A095E">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2．投资期限限制</w:t>
      </w:r>
    </w:p>
    <w:p w14:paraId="0C011B02">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本理财计划投资的非标准化债权类资产到期日不得晚于理财计划最近一次开放日。</w:t>
      </w:r>
    </w:p>
    <w:p w14:paraId="158C5236">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3．投资杠杆率限制</w:t>
      </w:r>
    </w:p>
    <w:p w14:paraId="088F5268">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本理财计划的总资产不得超过净资产的【140%】。</w:t>
      </w:r>
    </w:p>
    <w:p w14:paraId="7D89AE03">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4．流动性限制</w:t>
      </w:r>
    </w:p>
    <w:p w14:paraId="305D0EED">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（1）本理财计划直接投资于流动性受限资产的市值在开放日不得超过该理财计划资产净值的15%。</w:t>
      </w:r>
    </w:p>
    <w:p w14:paraId="738282B4">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（2）本理财计划还应满足以下限制【</w:t>
      </w:r>
      <w:r>
        <w:rPr>
          <w:rFonts w:hint="eastAsia" w:ascii="仿宋_GB2312" w:hAnsi="宋体" w:cs="宋体"/>
          <w:bCs/>
          <w:color w:val="auto"/>
          <w:kern w:val="0"/>
          <w:szCs w:val="24"/>
          <w:highlight w:val="none"/>
          <w:lang w:val="en-US" w:eastAsia="zh-CN"/>
        </w:rPr>
        <w:t>a</w:t>
      </w:r>
      <w:r>
        <w:rPr>
          <w:rFonts w:hint="eastAsia" w:ascii="仿宋_GB2312" w:hAnsi="宋体" w:cs="宋体"/>
          <w:bCs/>
          <w:color w:val="auto"/>
          <w:kern w:val="0"/>
          <w:szCs w:val="24"/>
          <w:highlight w:val="none"/>
        </w:rPr>
        <w:t>】</w:t>
      </w:r>
    </w:p>
    <w:p w14:paraId="2D2B3755">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 本理财计划应当持有不低于该理财计划资产净值5%的现金或者到期日在一年以内的国债、中央银行票据和政策性金融债券。</w:t>
      </w:r>
    </w:p>
    <w:p w14:paraId="72FCDCD8">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 本理财计划应当在开放日及开放日前7个工作日内持有不低于该理财计划资产净值5%的现金或者到期日在一年以内的国债、中央银行票据和政策性金融债券。</w:t>
      </w:r>
    </w:p>
    <w:p w14:paraId="47648D89">
      <w:pPr>
        <w:tabs>
          <w:tab w:val="left" w:pos="3119"/>
        </w:tabs>
        <w:autoSpaceDE w:val="0"/>
        <w:autoSpaceDN w:val="0"/>
        <w:adjustRightInd w:val="0"/>
        <w:snapToGrid w:val="0"/>
        <w:spacing w:line="360" w:lineRule="auto"/>
        <w:ind w:firstLine="482" w:firstLineChars="200"/>
        <w:rPr>
          <w:rFonts w:hint="eastAsia" w:ascii="仿宋_GB2312" w:hAnsi="宋体" w:cs="宋体"/>
          <w:bCs/>
          <w:color w:val="auto"/>
          <w:kern w:val="0"/>
          <w:szCs w:val="24"/>
          <w:highlight w:val="none"/>
        </w:rPr>
      </w:pPr>
      <w:r>
        <w:rPr>
          <w:rFonts w:hint="eastAsia" w:ascii="仿宋_GB2312" w:hAnsi="宋体" w:cs="宋体"/>
          <w:b/>
          <w:bCs w:val="0"/>
          <w:color w:val="auto"/>
          <w:kern w:val="0"/>
          <w:szCs w:val="24"/>
          <w:highlight w:val="none"/>
        </w:rPr>
        <w:t>c. 本理财计划投资不存在活跃交易市场，并且需要采用估值技术确定公允价值的资产比例可达到理财产品净资产50%以上。</w:t>
      </w:r>
      <w:r>
        <w:rPr>
          <w:rFonts w:hint="eastAsia" w:ascii="仿宋_GB2312" w:hAnsi="宋体" w:cs="宋体"/>
          <w:bCs/>
          <w:color w:val="auto"/>
          <w:kern w:val="0"/>
          <w:szCs w:val="24"/>
          <w:highlight w:val="none"/>
        </w:rPr>
        <w:t xml:space="preserve">                     </w:t>
      </w:r>
    </w:p>
    <w:p w14:paraId="5825AB05">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（3）在开放日前一工作日内，本理财计划7个工作日可变现资产的可变现价值应当不低于该理财计划资产净值的10%。</w:t>
      </w:r>
    </w:p>
    <w:p w14:paraId="4745E06F">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5．其他投资限制</w:t>
      </w:r>
    </w:p>
    <w:p w14:paraId="00B9C993">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742E9856">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以上限制，如监管有最新规定的，将参照监管规定调整。</w:t>
      </w:r>
    </w:p>
    <w:p w14:paraId="0773BC5B">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本产品存续期内非因产品管理人主观因素导致产品投资突破上述限制的，管理人将尽合理努力，在15个交易日内调整至符合要求。</w:t>
      </w:r>
    </w:p>
    <w:p w14:paraId="62E0909A">
      <w:pPr>
        <w:pStyle w:val="3"/>
        <w:autoSpaceDE w:val="0"/>
        <w:autoSpaceDN w:val="0"/>
        <w:adjustRightInd w:val="0"/>
        <w:snapToGrid w:val="0"/>
        <w:ind w:right="36" w:rightChars="15" w:firstLine="482"/>
        <w:rPr>
          <w:color w:val="auto"/>
          <w:highlight w:val="none"/>
        </w:rPr>
      </w:pPr>
      <w:r>
        <w:rPr>
          <w:rFonts w:hint="eastAsia"/>
          <w:color w:val="auto"/>
          <w:highlight w:val="none"/>
        </w:rPr>
        <w:t>投资范围调整</w:t>
      </w:r>
    </w:p>
    <w:p w14:paraId="70BCDDDC">
      <w:pPr>
        <w:tabs>
          <w:tab w:val="left" w:pos="3119"/>
        </w:tabs>
        <w:autoSpaceDE w:val="0"/>
        <w:autoSpaceDN w:val="0"/>
        <w:adjustRightInd w:val="0"/>
        <w:snapToGrid w:val="0"/>
        <w:spacing w:line="360" w:lineRule="auto"/>
        <w:ind w:firstLine="482" w:firstLineChars="200"/>
        <w:rPr>
          <w:rFonts w:ascii="仿宋_GB2312" w:hAnsi="宋体" w:cs="宋体"/>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574B6CF4">
      <w:pPr>
        <w:pStyle w:val="3"/>
        <w:autoSpaceDE w:val="0"/>
        <w:autoSpaceDN w:val="0"/>
        <w:adjustRightInd w:val="0"/>
        <w:snapToGrid w:val="0"/>
        <w:ind w:right="36" w:rightChars="15" w:firstLine="482"/>
        <w:rPr>
          <w:color w:val="auto"/>
          <w:highlight w:val="none"/>
        </w:rPr>
      </w:pPr>
      <w:r>
        <w:rPr>
          <w:rFonts w:hint="eastAsia"/>
          <w:color w:val="auto"/>
          <w:highlight w:val="none"/>
        </w:rPr>
        <w:t>投资策略</w:t>
      </w:r>
    </w:p>
    <w:p w14:paraId="26FEBC64">
      <w:pPr>
        <w:tabs>
          <w:tab w:val="left" w:pos="3119"/>
        </w:tabs>
        <w:autoSpaceDE w:val="0"/>
        <w:autoSpaceDN w:val="0"/>
        <w:adjustRightInd w:val="0"/>
        <w:snapToGrid/>
        <w:spacing w:line="360" w:lineRule="auto"/>
        <w:ind w:right="36" w:rightChars="15" w:firstLine="480" w:firstLineChars="200"/>
        <w:contextualSpacing/>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本理财产品本着稳健投资的理念，通过对宏观经济、政策、行业景气度及股票、纯债、可转债性价比的研究，在大类资产间进行合理配置。理财产品主要投资于固定收益类资产获取票息收益，并适时通过久期策略、骑乘策略、波段交易等形式以期增厚组合收益。力争在控制风险的基础上，运用两类策略争取收益增强机会，一是通过参与北交所新股网上或网下申购和公募REITs一级市场网上或网下认购以期增厚投资收益，二是通过以景气度与估值为核心指标精选高景气、低估值的行业择机参与权益二级市场投资。在投资组合构建和调整的过程中，根据投资品种的变化，如收益率、流动性状况变化或品种到期等，不定期的对组合进行优化调整。</w:t>
      </w:r>
    </w:p>
    <w:p w14:paraId="28911244">
      <w:pPr>
        <w:tabs>
          <w:tab w:val="left" w:pos="3119"/>
        </w:tabs>
        <w:autoSpaceDE w:val="0"/>
        <w:autoSpaceDN w:val="0"/>
        <w:adjustRightInd w:val="0"/>
        <w:snapToGrid/>
        <w:spacing w:line="360" w:lineRule="auto"/>
        <w:ind w:right="36" w:rightChars="15" w:firstLine="480" w:firstLineChars="200"/>
        <w:contextualSpacing/>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lang w:eastAsia="zh-CN"/>
        </w:rPr>
        <w:t>本产品可在符合监管规定的前提下适当运用杠杆原理，通过回购操作，增强投资组合的收益水平,但本理财产品总资产不超过净资产的140%。</w:t>
      </w:r>
    </w:p>
    <w:p w14:paraId="1534B83C">
      <w:pPr>
        <w:pStyle w:val="3"/>
        <w:ind w:firstLine="482"/>
        <w:rPr>
          <w:color w:val="auto"/>
          <w:highlight w:val="none"/>
        </w:rPr>
      </w:pPr>
      <w:r>
        <w:rPr>
          <w:rFonts w:hint="eastAsia"/>
          <w:color w:val="auto"/>
          <w:highlight w:val="none"/>
        </w:rPr>
        <w:t>投资</w:t>
      </w:r>
      <w:r>
        <w:rPr>
          <w:color w:val="auto"/>
          <w:highlight w:val="none"/>
        </w:rPr>
        <w:t>合作机构</w:t>
      </w:r>
    </w:p>
    <w:p w14:paraId="2E61796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5F6DACBD">
      <w:pPr>
        <w:tabs>
          <w:tab w:val="left" w:pos="3119"/>
        </w:tabs>
        <w:autoSpaceDE w:val="0"/>
        <w:autoSpaceDN w:val="0"/>
        <w:adjustRightInd w:val="0"/>
        <w:snapToGrid w:val="0"/>
        <w:spacing w:line="360" w:lineRule="auto"/>
        <w:ind w:right="36" w:rightChars="15" w:firstLine="480" w:firstLineChars="200"/>
        <w:rPr>
          <w:color w:val="auto"/>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r>
        <w:rPr>
          <w:rFonts w:hint="eastAsia" w:ascii="仿宋_GB2312" w:hAnsi="宋体" w:eastAsia="仿宋_GB2312" w:cs="宋体"/>
          <w:bCs/>
          <w:color w:val="auto"/>
          <w:kern w:val="0"/>
          <w:sz w:val="24"/>
          <w:szCs w:val="24"/>
          <w:highlight w:val="none"/>
        </w:rPr>
        <w:br w:type="page"/>
      </w:r>
    </w:p>
    <w:p w14:paraId="563FD415">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22160F2F">
      <w:pPr>
        <w:tabs>
          <w:tab w:val="left" w:pos="3119"/>
        </w:tabs>
        <w:autoSpaceDE w:val="0"/>
        <w:autoSpaceDN w:val="0"/>
        <w:adjustRightInd w:val="0"/>
        <w:spacing w:before="240" w:line="360" w:lineRule="auto"/>
        <w:ind w:right="36" w:rightChars="15" w:firstLine="482" w:firstLineChars="200"/>
        <w:contextualSpacing/>
        <w:rPr>
          <w:rFonts w:ascii="仿宋_GB2312" w:hAnsi="宋体" w:cs="宋体"/>
          <w:bCs/>
          <w:color w:val="auto"/>
          <w:kern w:val="0"/>
          <w:szCs w:val="24"/>
          <w:highlight w:val="none"/>
        </w:rPr>
      </w:pPr>
      <w:r>
        <w:rPr>
          <w:rFonts w:hint="eastAsia" w:ascii="仿宋_GB2312" w:hAnsi="宋体" w:cs="宋体"/>
          <w:b/>
          <w:color w:val="auto"/>
          <w:kern w:val="0"/>
          <w:szCs w:val="24"/>
          <w:highlight w:val="none"/>
        </w:rPr>
        <w:t>本理财产品托管人为【</w:t>
      </w:r>
      <w:r>
        <w:rPr>
          <w:rFonts w:hint="eastAsia" w:ascii="仿宋_GB2312" w:hAnsi="宋体" w:cs="宋体"/>
          <w:bCs/>
          <w:color w:val="auto"/>
          <w:kern w:val="0"/>
          <w:szCs w:val="24"/>
          <w:highlight w:val="none"/>
        </w:rPr>
        <w:t>浙商银行股份有限公司</w:t>
      </w:r>
      <w:r>
        <w:rPr>
          <w:rFonts w:hint="eastAsia" w:ascii="仿宋_GB2312" w:hAnsi="宋体" w:cs="宋体"/>
          <w:b/>
          <w:color w:val="auto"/>
          <w:kern w:val="0"/>
          <w:szCs w:val="24"/>
          <w:highlight w:val="none"/>
        </w:rPr>
        <w:t>】。托管人【</w:t>
      </w:r>
      <w:r>
        <w:rPr>
          <w:rFonts w:hint="eastAsia" w:ascii="仿宋_GB2312" w:hAnsi="宋体"/>
          <w:b/>
          <w:color w:val="auto"/>
          <w:szCs w:val="24"/>
          <w:highlight w:val="none"/>
          <w:lang w:eastAsia="zh-CN"/>
        </w:rPr>
        <w:t>是</w:t>
      </w:r>
      <w:r>
        <w:rPr>
          <w:rFonts w:hint="eastAsia" w:ascii="仿宋_GB2312" w:hAnsi="宋体" w:cs="宋体"/>
          <w:b/>
          <w:color w:val="auto"/>
          <w:kern w:val="0"/>
          <w:szCs w:val="24"/>
          <w:highlight w:val="none"/>
        </w:rPr>
        <w:t>】产品管理人的关联方。</w:t>
      </w:r>
    </w:p>
    <w:p w14:paraId="73CAA2E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【浙商银行股份有限公司】具备监管机构认可的理财产品托管资格，主要履行职责包括：</w:t>
      </w:r>
    </w:p>
    <w:p w14:paraId="5FAED4E2">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74D0CE39">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6601904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7B87F41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1A8E06E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38671C3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A2D8B9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7D879303">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3F0FFF3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660FC90C">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332428E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6D0201E3">
      <w:pPr>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55000F92">
      <w:pPr>
        <w:pStyle w:val="2"/>
        <w:rPr>
          <w:color w:val="auto"/>
          <w:highlight w:val="none"/>
        </w:rPr>
      </w:pPr>
      <w:r>
        <w:rPr>
          <w:rFonts w:hint="eastAsia"/>
          <w:color w:val="auto"/>
          <w:highlight w:val="none"/>
        </w:rPr>
        <w:t>理财产品资产估值</w:t>
      </w:r>
    </w:p>
    <w:p w14:paraId="5DEF363B">
      <w:pPr>
        <w:pStyle w:val="3"/>
        <w:ind w:firstLine="482"/>
        <w:rPr>
          <w:color w:val="auto"/>
          <w:highlight w:val="none"/>
        </w:rPr>
      </w:pPr>
      <w:r>
        <w:rPr>
          <w:rFonts w:hint="eastAsia"/>
          <w:color w:val="auto"/>
          <w:highlight w:val="none"/>
        </w:rPr>
        <w:t>估值日</w:t>
      </w:r>
    </w:p>
    <w:p w14:paraId="760842C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color w:val="auto"/>
          <w:highlight w:val="none"/>
        </w:rPr>
        <w:t>本产品的估值日为每个</w:t>
      </w:r>
      <w:r>
        <w:rPr>
          <w:rFonts w:hint="eastAsia"/>
          <w:b/>
          <w:color w:val="auto"/>
          <w:highlight w:val="none"/>
        </w:rPr>
        <w:t>产品开放日</w:t>
      </w:r>
      <w:r>
        <w:rPr>
          <w:rFonts w:hint="eastAsia"/>
          <w:color w:val="auto"/>
          <w:highlight w:val="none"/>
        </w:rPr>
        <w:t>。</w:t>
      </w:r>
    </w:p>
    <w:p w14:paraId="484EE2A5">
      <w:pPr>
        <w:pStyle w:val="3"/>
        <w:ind w:firstLine="482"/>
        <w:rPr>
          <w:color w:val="auto"/>
          <w:highlight w:val="none"/>
        </w:rPr>
      </w:pPr>
      <w:r>
        <w:rPr>
          <w:rFonts w:hint="eastAsia"/>
          <w:color w:val="auto"/>
          <w:highlight w:val="none"/>
        </w:rPr>
        <w:t>估值对象</w:t>
      </w:r>
    </w:p>
    <w:p w14:paraId="59BD9F0B">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14:paraId="4F5E4830">
      <w:pPr>
        <w:pStyle w:val="3"/>
        <w:ind w:firstLine="482"/>
        <w:rPr>
          <w:color w:val="auto"/>
          <w:highlight w:val="none"/>
        </w:rPr>
      </w:pPr>
      <w:r>
        <w:rPr>
          <w:rFonts w:hint="eastAsia"/>
          <w:color w:val="auto"/>
          <w:highlight w:val="none"/>
        </w:rPr>
        <w:t>估值方法</w:t>
      </w:r>
    </w:p>
    <w:p w14:paraId="5AD5377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1.货币市场工具类资产的估值</w:t>
      </w:r>
    </w:p>
    <w:p w14:paraId="5125D39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（1）银行存款及回购按其商定利率或协议利率在实际持有期内逐日计提收益。</w:t>
      </w:r>
    </w:p>
    <w:p w14:paraId="622344D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（2）货币基金按最近披露的基金份额净值进行估值，并依据该基金公布的前一日每万份收益计提收益。</w:t>
      </w:r>
    </w:p>
    <w:p w14:paraId="2B026A4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2.在证券交易所和银行间市场交易的债券的估值</w:t>
      </w:r>
    </w:p>
    <w:p w14:paraId="13645C9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（1）不含转股权的债券，按照第三方估值机构（中债、中证等）提供的估值数据对本理财产品所持有债券进行估值，具体的第三方估值机构有管理人与托管人协商确定；</w:t>
      </w:r>
    </w:p>
    <w:p w14:paraId="4004565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（2）含转股权的债券（如可转债券等），实行全价交易的，选取估值日收盘价进行估值；实行净价交易的，选取估值日收盘价并加计债券应计利息后的全价进行估值；</w:t>
      </w:r>
    </w:p>
    <w:p w14:paraId="18E2DC7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14:paraId="69E9ACD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（4）如监管对债券估值另有规定，按照监管的最新规定进行调整。</w:t>
      </w:r>
    </w:p>
    <w:p w14:paraId="5EF6830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3.优先股按第三方估值机构（中证、中债等）提供的估值数据进行估值；无第三方估值数据的，由管理人与托管人根据合理判断按反映产品公允价值的计量方案进行估值。</w:t>
      </w:r>
    </w:p>
    <w:p w14:paraId="53C5BFF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6B485668">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5.投资非货币证券投资基金的估值</w:t>
      </w:r>
    </w:p>
    <w:p w14:paraId="7F8A67C9">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14:paraId="7B397A3D">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14:paraId="227C2B3A">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14:paraId="5D1F18C0">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14:paraId="0C0F8BD3">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14:paraId="0A31317E">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5B8D8E18">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444138B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01763BA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7.商品与金融衍生品类资产的估值</w:t>
      </w:r>
    </w:p>
    <w:p w14:paraId="659160D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（1）场内交易的商品与金融衍生品类资产，以交易所最近交易日的结算价或者收盘价进行估值；</w:t>
      </w:r>
    </w:p>
    <w:p w14:paraId="7168454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（2）场外交易的商品与金融衍生品类资产，采用估值技术确定其公允价值，按照外部机构提供的价格数据或管理人与托管人认可的估值方案进行估值。</w:t>
      </w:r>
    </w:p>
    <w:p w14:paraId="0E6C77B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８</w:t>
      </w:r>
      <w:r>
        <w:rPr>
          <w:rFonts w:ascii="仿宋_GB2312" w:hAnsi="宋体" w:cs="宋体"/>
          <w:bCs/>
          <w:color w:val="auto"/>
          <w:kern w:val="0"/>
          <w:szCs w:val="24"/>
          <w:highlight w:val="none"/>
        </w:rPr>
        <w:t>.若理财产品存续期间持有其他投资品种，以理财产品管理人与托管人共同认可的估值方法估值。</w:t>
      </w:r>
    </w:p>
    <w:p w14:paraId="617162E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９</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3D132AF">
      <w:pPr>
        <w:pStyle w:val="3"/>
        <w:ind w:firstLine="482"/>
        <w:rPr>
          <w:color w:val="auto"/>
          <w:highlight w:val="none"/>
        </w:rPr>
      </w:pPr>
      <w:r>
        <w:rPr>
          <w:rFonts w:hint="eastAsia"/>
          <w:color w:val="auto"/>
          <w:highlight w:val="none"/>
        </w:rPr>
        <w:t>估值错误处理</w:t>
      </w:r>
    </w:p>
    <w:p w14:paraId="0FCEF39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14:paraId="7811588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14:paraId="40975DF8">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65DFD77A">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0B1433A5">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6FA833B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14:paraId="2038020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14:paraId="0C0D284C">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14:paraId="4818D3D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14:paraId="4F4E71C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14:paraId="0AA1D56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14:paraId="11458047">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14:paraId="7E6C50F0">
      <w:pPr>
        <w:pStyle w:val="3"/>
        <w:ind w:firstLine="482"/>
        <w:rPr>
          <w:color w:val="auto"/>
          <w:highlight w:val="none"/>
        </w:rPr>
      </w:pPr>
      <w:r>
        <w:rPr>
          <w:rFonts w:hint="eastAsia"/>
          <w:color w:val="auto"/>
          <w:highlight w:val="none"/>
        </w:rPr>
        <w:t>暂停估值的情形</w:t>
      </w:r>
    </w:p>
    <w:p w14:paraId="70823266">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14:paraId="2ACF2DD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14:paraId="6B2DBAD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14:paraId="4AF9AE2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14:paraId="7B0DDF7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14:paraId="7BD638FC">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21D36CB8">
      <w:pPr>
        <w:pStyle w:val="2"/>
        <w:rPr>
          <w:color w:val="auto"/>
          <w:highlight w:val="none"/>
        </w:rPr>
      </w:pPr>
      <w:r>
        <w:rPr>
          <w:rFonts w:hint="eastAsia"/>
          <w:color w:val="auto"/>
          <w:highlight w:val="none"/>
        </w:rPr>
        <w:t>理财产品的利益分配</w:t>
      </w:r>
    </w:p>
    <w:p w14:paraId="6706388C">
      <w:pPr>
        <w:pStyle w:val="3"/>
        <w:tabs>
          <w:tab w:val="left" w:pos="709"/>
          <w:tab w:val="left" w:pos="3261"/>
        </w:tabs>
        <w:ind w:firstLine="482"/>
        <w:rPr>
          <w:rFonts w:hint="eastAsia"/>
          <w:color w:val="auto"/>
          <w:highlight w:val="none"/>
        </w:rPr>
      </w:pPr>
      <w:r>
        <w:rPr>
          <w:rFonts w:hint="eastAsia"/>
          <w:color w:val="auto"/>
          <w:highlight w:val="none"/>
        </w:rPr>
        <w:t>理财产品的收益构成</w:t>
      </w:r>
    </w:p>
    <w:p w14:paraId="0CA4D861">
      <w:pPr>
        <w:pStyle w:val="3"/>
        <w:numPr>
          <w:ilvl w:val="0"/>
          <w:numId w:val="0"/>
        </w:numPr>
        <w:tabs>
          <w:tab w:val="left" w:pos="709"/>
          <w:tab w:val="left" w:pos="3261"/>
        </w:tabs>
        <w:ind w:firstLine="482"/>
        <w:rPr>
          <w:color w:val="auto"/>
          <w:highlight w:val="none"/>
        </w:rPr>
      </w:pPr>
      <w:r>
        <w:rPr>
          <w:rFonts w:hint="eastAsia"/>
          <w:color w:val="auto"/>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7F19E37E">
      <w:pPr>
        <w:pStyle w:val="3"/>
        <w:ind w:firstLine="482"/>
        <w:rPr>
          <w:color w:val="auto"/>
          <w:highlight w:val="none"/>
        </w:rPr>
      </w:pPr>
      <w:r>
        <w:rPr>
          <w:rFonts w:hint="eastAsia"/>
          <w:color w:val="auto"/>
          <w:highlight w:val="none"/>
        </w:rPr>
        <w:t>理财利益的分配类型</w:t>
      </w:r>
    </w:p>
    <w:p w14:paraId="56394A1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1.依据分配时点，理财利益的分配可分为“期间分配”与“终止分配”。</w:t>
      </w:r>
    </w:p>
    <w:p w14:paraId="1167C3B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2.依据分配方式，理财利益的分配可分为“现金分配”与“非现金分配”。</w:t>
      </w:r>
    </w:p>
    <w:p w14:paraId="1E54FE87">
      <w:pPr>
        <w:pStyle w:val="3"/>
        <w:ind w:firstLine="482"/>
        <w:rPr>
          <w:color w:val="auto"/>
          <w:highlight w:val="none"/>
        </w:rPr>
      </w:pPr>
      <w:r>
        <w:rPr>
          <w:rFonts w:hint="eastAsia"/>
          <w:color w:val="auto"/>
          <w:highlight w:val="none"/>
        </w:rPr>
        <w:t>理财利益的分配原则</w:t>
      </w:r>
    </w:p>
    <w:p w14:paraId="55E5307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1.本产品利益分配应遵循下列原则：</w:t>
      </w:r>
    </w:p>
    <w:p w14:paraId="572C1F2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（1）每一产品份额享有同等分配权。</w:t>
      </w:r>
    </w:p>
    <w:p w14:paraId="10E0B13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（2）在不</w:t>
      </w:r>
      <w:r>
        <w:rPr>
          <w:rFonts w:ascii="仿宋_GB2312" w:hAnsi="宋体" w:cs="宋体"/>
          <w:bCs/>
          <w:color w:val="auto"/>
          <w:kern w:val="0"/>
          <w:szCs w:val="24"/>
          <w:highlight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rPr>
        <w:t>调整</w:t>
      </w:r>
      <w:r>
        <w:rPr>
          <w:rFonts w:ascii="仿宋_GB2312" w:hAnsi="宋体" w:cs="宋体"/>
          <w:bCs/>
          <w:color w:val="auto"/>
          <w:kern w:val="0"/>
          <w:szCs w:val="24"/>
          <w:highlight w:val="none"/>
        </w:rPr>
        <w:t>本理财产品利益的分配原则与支付方式。法律</w:t>
      </w:r>
      <w:r>
        <w:rPr>
          <w:rFonts w:hint="eastAsia" w:ascii="仿宋_GB2312" w:hAnsi="宋体" w:cs="宋体"/>
          <w:bCs/>
          <w:color w:val="auto"/>
          <w:kern w:val="0"/>
          <w:szCs w:val="24"/>
          <w:highlight w:val="none"/>
        </w:rPr>
        <w:t>法规</w:t>
      </w:r>
      <w:r>
        <w:rPr>
          <w:rFonts w:ascii="仿宋_GB2312" w:hAnsi="宋体" w:cs="宋体"/>
          <w:bCs/>
          <w:color w:val="auto"/>
          <w:kern w:val="0"/>
          <w:szCs w:val="24"/>
          <w:highlight w:val="none"/>
        </w:rPr>
        <w:t>或监管机构另有规定的从其规定。</w:t>
      </w:r>
    </w:p>
    <w:p w14:paraId="731C2293">
      <w:pPr>
        <w:pStyle w:val="3"/>
        <w:autoSpaceDE w:val="0"/>
        <w:autoSpaceDN w:val="0"/>
        <w:adjustRightInd w:val="0"/>
        <w:snapToGrid w:val="0"/>
        <w:ind w:firstLine="482"/>
        <w:rPr>
          <w:color w:val="auto"/>
          <w:highlight w:val="none"/>
        </w:rPr>
      </w:pPr>
      <w:r>
        <w:rPr>
          <w:rFonts w:hint="eastAsia"/>
          <w:color w:val="auto"/>
          <w:highlight w:val="none"/>
        </w:rPr>
        <w:t xml:space="preserve">理财利益的分配方案 </w:t>
      </w:r>
    </w:p>
    <w:p w14:paraId="3869E761">
      <w:pPr>
        <w:autoSpaceDE w:val="0"/>
        <w:autoSpaceDN w:val="0"/>
        <w:adjustRightInd w:val="0"/>
        <w:snapToGrid w:val="0"/>
        <w:spacing w:line="360" w:lineRule="auto"/>
        <w:ind w:firstLine="480" w:firstLineChars="200"/>
        <w:jc w:val="left"/>
        <w:rPr>
          <w:color w:val="auto"/>
          <w:highlight w:val="none"/>
        </w:rPr>
      </w:pPr>
      <w:r>
        <w:rPr>
          <w:rFonts w:hint="eastAsia" w:ascii="仿宋_GB2312" w:hAnsi="宋体" w:cs="宋体"/>
          <w:bCs/>
          <w:color w:val="auto"/>
          <w:kern w:val="0"/>
          <w:szCs w:val="24"/>
          <w:highlight w:val="none"/>
        </w:rPr>
        <w:t>1.</w:t>
      </w:r>
      <w:r>
        <w:rPr>
          <w:rFonts w:hint="eastAsia"/>
          <w:color w:val="auto"/>
          <w:highlight w:val="none"/>
        </w:rPr>
        <w:t>分配方案要点：</w:t>
      </w:r>
    </w:p>
    <w:p w14:paraId="0A61713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理财产品的分配时点包括</w:t>
      </w:r>
      <w:r>
        <w:rPr>
          <w:rFonts w:hint="eastAsia" w:ascii="仿宋_GB2312" w:hAnsi="宋体" w:cs="宋体"/>
          <w:bCs/>
          <w:color w:val="auto"/>
          <w:kern w:val="0"/>
          <w:szCs w:val="24"/>
          <w:highlight w:val="none"/>
        </w:rPr>
        <w:t>“期间分配”“终止分配”。</w:t>
      </w:r>
    </w:p>
    <w:p w14:paraId="2966392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w:t>
      </w:r>
      <w:r>
        <w:rPr>
          <w:rFonts w:hint="eastAsia" w:ascii="仿宋_GB2312" w:hAnsi="宋体" w:cs="宋体"/>
          <w:bCs/>
          <w:color w:val="auto"/>
          <w:kern w:val="0"/>
          <w:szCs w:val="24"/>
          <w:highlight w:val="none"/>
        </w:rPr>
        <w:t>方式</w:t>
      </w:r>
      <w:r>
        <w:rPr>
          <w:rFonts w:ascii="仿宋_GB2312" w:hAnsi="宋体" w:cs="宋体"/>
          <w:bCs/>
          <w:color w:val="auto"/>
          <w:kern w:val="0"/>
          <w:szCs w:val="24"/>
          <w:highlight w:val="none"/>
        </w:rPr>
        <w:t>采取</w:t>
      </w:r>
      <w:r>
        <w:rPr>
          <w:rFonts w:hint="eastAsia" w:ascii="仿宋_GB2312" w:hAnsi="宋体" w:cs="宋体"/>
          <w:bCs/>
          <w:color w:val="auto"/>
          <w:kern w:val="0"/>
          <w:szCs w:val="24"/>
          <w:highlight w:val="none"/>
        </w:rPr>
        <w:t>“现金分配”。</w:t>
      </w:r>
    </w:p>
    <w:p w14:paraId="4D5D582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理财产品利益分配方案由产品管理人拟定，并由产品托管人复核后确定。</w:t>
      </w:r>
    </w:p>
    <w:p w14:paraId="0C754B4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w:t>
      </w:r>
      <w:r>
        <w:rPr>
          <w:rFonts w:ascii="仿宋_GB2312" w:hAnsi="宋体" w:cs="宋体"/>
          <w:bCs/>
          <w:color w:val="auto"/>
          <w:kern w:val="0"/>
          <w:szCs w:val="24"/>
          <w:highlight w:val="none"/>
        </w:rPr>
        <w:t>产品存续期间，产品管理人有权</w:t>
      </w:r>
      <w:r>
        <w:rPr>
          <w:rFonts w:hint="eastAsia" w:ascii="仿宋_GB2312" w:hAnsi="宋体" w:cs="宋体"/>
          <w:bCs/>
          <w:color w:val="auto"/>
          <w:kern w:val="0"/>
          <w:szCs w:val="24"/>
          <w:highlight w:val="none"/>
        </w:rPr>
        <w:t>视</w:t>
      </w:r>
      <w:r>
        <w:rPr>
          <w:rFonts w:ascii="仿宋_GB2312" w:hAnsi="宋体" w:cs="宋体"/>
          <w:bCs/>
          <w:color w:val="auto"/>
          <w:kern w:val="0"/>
          <w:szCs w:val="24"/>
          <w:highlight w:val="none"/>
        </w:rPr>
        <w:t>理财产品收益情况进行主动分配，相应分配基准日、分配方案由管理人及时披露。</w:t>
      </w:r>
    </w:p>
    <w:p w14:paraId="51E7A0B5">
      <w:pPr>
        <w:pStyle w:val="3"/>
        <w:tabs>
          <w:tab w:val="left" w:pos="0"/>
          <w:tab w:val="left" w:pos="709"/>
        </w:tabs>
        <w:ind w:firstLine="482" w:firstLineChars="0"/>
        <w:rPr>
          <w:color w:val="auto"/>
          <w:highlight w:val="none"/>
        </w:rPr>
      </w:pPr>
      <w:r>
        <w:rPr>
          <w:rFonts w:hint="eastAsia"/>
          <w:color w:val="auto"/>
          <w:highlight w:val="none"/>
        </w:rPr>
        <w:t>理财利益的分配</w:t>
      </w:r>
    </w:p>
    <w:p w14:paraId="123A8AB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w:t>
      </w:r>
      <w:r>
        <w:rPr>
          <w:rFonts w:ascii="仿宋_GB2312" w:hAnsi="宋体" w:cs="宋体"/>
          <w:bCs/>
          <w:color w:val="auto"/>
          <w:kern w:val="0"/>
          <w:szCs w:val="24"/>
          <w:highlight w:val="none"/>
        </w:rPr>
        <w:t>利益的分配日</w:t>
      </w:r>
    </w:p>
    <w:p w14:paraId="5D1C59A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w:t>
      </w:r>
      <w:r>
        <w:rPr>
          <w:rFonts w:ascii="仿宋_GB2312" w:hAnsi="宋体" w:cs="宋体"/>
          <w:bCs/>
          <w:color w:val="auto"/>
          <w:kern w:val="0"/>
          <w:szCs w:val="24"/>
          <w:highlight w:val="none"/>
        </w:rPr>
        <w:t>为期间分配的，原则上产品管理人应于分配基准日后【</w:t>
      </w:r>
      <w:r>
        <w:rPr>
          <w:rFonts w:hint="eastAsia" w:ascii="仿宋_GB2312" w:hAnsi="宋体" w:cs="宋体"/>
          <w:bCs/>
          <w:color w:val="auto"/>
          <w:kern w:val="0"/>
          <w:szCs w:val="24"/>
          <w:highlight w:val="none"/>
          <w:lang w:val="en-US" w:eastAsia="zh-CN"/>
        </w:rPr>
        <w:t>5</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交易日</w:t>
      </w:r>
      <w:r>
        <w:rPr>
          <w:rFonts w:ascii="仿宋_GB2312" w:hAnsi="宋体" w:cs="宋体"/>
          <w:bCs/>
          <w:color w:val="auto"/>
          <w:kern w:val="0"/>
          <w:szCs w:val="24"/>
          <w:highlight w:val="none"/>
        </w:rPr>
        <w:t>内分配理财</w:t>
      </w:r>
      <w:r>
        <w:rPr>
          <w:rFonts w:hint="eastAsia" w:ascii="仿宋_GB2312" w:hAnsi="宋体" w:cs="宋体"/>
          <w:bCs/>
          <w:color w:val="auto"/>
          <w:kern w:val="0"/>
          <w:szCs w:val="24"/>
          <w:highlight w:val="none"/>
        </w:rPr>
        <w:t>利益</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16F4C02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若为</w:t>
      </w:r>
      <w:r>
        <w:rPr>
          <w:rFonts w:ascii="仿宋_GB2312" w:hAnsi="宋体" w:cs="宋体"/>
          <w:bCs/>
          <w:color w:val="auto"/>
          <w:kern w:val="0"/>
          <w:szCs w:val="24"/>
          <w:highlight w:val="none"/>
        </w:rPr>
        <w:t>终止分配的，</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管理人应按“</w:t>
      </w:r>
      <w:r>
        <w:rPr>
          <w:rFonts w:hint="eastAsia" w:ascii="仿宋_GB2312" w:hAnsi="宋体" w:cs="宋体"/>
          <w:bCs/>
          <w:color w:val="auto"/>
          <w:kern w:val="0"/>
          <w:szCs w:val="24"/>
          <w:highlight w:val="none"/>
        </w:rPr>
        <w:t>第十节 理财</w:t>
      </w:r>
      <w:r>
        <w:rPr>
          <w:rFonts w:ascii="仿宋_GB2312" w:hAnsi="宋体" w:cs="宋体"/>
          <w:bCs/>
          <w:color w:val="auto"/>
          <w:kern w:val="0"/>
          <w:szCs w:val="24"/>
          <w:highlight w:val="none"/>
        </w:rPr>
        <w:t>产品终止与清算”</w:t>
      </w:r>
      <w:r>
        <w:rPr>
          <w:rFonts w:hint="eastAsia" w:ascii="仿宋_GB2312" w:hAnsi="宋体" w:cs="宋体"/>
          <w:bCs/>
          <w:color w:val="auto"/>
          <w:kern w:val="0"/>
          <w:szCs w:val="24"/>
          <w:highlight w:val="none"/>
        </w:rPr>
        <w:t>中</w:t>
      </w:r>
      <w:r>
        <w:rPr>
          <w:rFonts w:ascii="仿宋_GB2312" w:hAnsi="宋体" w:cs="宋体"/>
          <w:bCs/>
          <w:color w:val="auto"/>
          <w:kern w:val="0"/>
          <w:szCs w:val="24"/>
          <w:highlight w:val="none"/>
        </w:rPr>
        <w:t>产品清算期的相关约定向投资者分配</w:t>
      </w: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利益（</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7A180E1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的理财产品分配</w:t>
      </w:r>
      <w:r>
        <w:rPr>
          <w:rFonts w:hint="eastAsia" w:ascii="仿宋_GB2312" w:hAnsi="宋体" w:cs="宋体"/>
          <w:bCs/>
          <w:color w:val="auto"/>
          <w:kern w:val="0"/>
          <w:szCs w:val="24"/>
          <w:highlight w:val="none"/>
        </w:rPr>
        <w:t>以</w:t>
      </w:r>
      <w:r>
        <w:rPr>
          <w:rFonts w:ascii="仿宋_GB2312" w:hAnsi="宋体" w:cs="宋体"/>
          <w:bCs/>
          <w:color w:val="auto"/>
          <w:kern w:val="0"/>
          <w:szCs w:val="24"/>
          <w:highlight w:val="none"/>
        </w:rPr>
        <w:t>管理人实际分配的为准。</w:t>
      </w:r>
    </w:p>
    <w:p w14:paraId="5B152618">
      <w:pPr>
        <w:pStyle w:val="31"/>
        <w:widowControl/>
        <w:snapToGrid w:val="0"/>
        <w:spacing w:line="360" w:lineRule="auto"/>
        <w:ind w:firstLine="480" w:firstLineChars="200"/>
        <w:rPr>
          <w:color w:val="auto"/>
          <w:highlight w:val="none"/>
        </w:rPr>
      </w:pPr>
      <w:r>
        <w:rPr>
          <w:rFonts w:hint="eastAsia" w:ascii="仿宋_GB2312" w:hAnsi="宋体" w:eastAsia="仿宋_GB2312"/>
          <w:bCs/>
          <w:color w:val="auto"/>
          <w:highlight w:val="none"/>
        </w:rPr>
        <w:br w:type="page"/>
      </w:r>
    </w:p>
    <w:p w14:paraId="371836F4">
      <w:pPr>
        <w:pStyle w:val="2"/>
        <w:rPr>
          <w:color w:val="auto"/>
          <w:highlight w:val="none"/>
        </w:rPr>
      </w:pPr>
      <w:r>
        <w:rPr>
          <w:rFonts w:hint="eastAsia"/>
          <w:color w:val="auto"/>
          <w:highlight w:val="none"/>
        </w:rPr>
        <w:t>理财产品的费用与税收</w:t>
      </w:r>
    </w:p>
    <w:p w14:paraId="7677F976">
      <w:pPr>
        <w:pStyle w:val="3"/>
        <w:tabs>
          <w:tab w:val="left" w:pos="0"/>
          <w:tab w:val="left" w:pos="709"/>
        </w:tabs>
        <w:ind w:firstLine="482" w:firstLineChars="0"/>
        <w:rPr>
          <w:color w:val="auto"/>
          <w:highlight w:val="none"/>
        </w:rPr>
      </w:pPr>
      <w:r>
        <w:rPr>
          <w:rFonts w:hint="eastAsia"/>
          <w:color w:val="auto"/>
          <w:highlight w:val="none"/>
        </w:rPr>
        <w:t>理财费用</w:t>
      </w:r>
    </w:p>
    <w:p w14:paraId="5BFD048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14:paraId="3121184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5DF8EA6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14:paraId="377C66C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rPr>
        <w:t>投资管理费</w:t>
      </w:r>
      <w:r>
        <w:rPr>
          <w:rFonts w:ascii="仿宋_GB2312" w:hAnsi="宋体" w:cs="宋体"/>
          <w:bCs/>
          <w:color w:val="auto"/>
          <w:kern w:val="0"/>
          <w:szCs w:val="24"/>
          <w:highlight w:val="none"/>
        </w:rPr>
        <w:t>及业绩报酬；</w:t>
      </w:r>
    </w:p>
    <w:p w14:paraId="67F8C1D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（4）理财产品的产品托管费；</w:t>
      </w:r>
    </w:p>
    <w:p w14:paraId="7B7D39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7336B34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hint="eastAsia" w:ascii="宋体" w:hAnsi="宋体" w:cs="宋体"/>
          <w:color w:val="auto"/>
          <w:kern w:val="0"/>
          <w:szCs w:val="24"/>
          <w:highlight w:val="none"/>
        </w:rPr>
        <w:t>、托管费率</w:t>
      </w:r>
      <w:r>
        <w:rPr>
          <w:rFonts w:ascii="宋体" w:hAnsi="宋体" w:cs="宋体"/>
          <w:color w:val="auto"/>
          <w:kern w:val="0"/>
          <w:szCs w:val="24"/>
          <w:highlight w:val="none"/>
        </w:rPr>
        <w:t>，</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0FA4B7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14:paraId="011382B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2B5BAF7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5A3D3E0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1FF133C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rPr>
        <w:t>第二节 理财产品基本情况”为准。</w:t>
      </w:r>
    </w:p>
    <w:p w14:paraId="57666BF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14:paraId="6959627E">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14:paraId="3C8D4AF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14:paraId="7ADD990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14:paraId="130CFAF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14:paraId="1BBF856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47B7846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销售服务费依照上述约定，从理财财产中支付。费率具体数值以《产品说明书》“第二节 理财产品基本情况”为准。</w:t>
      </w:r>
    </w:p>
    <w:p w14:paraId="4E5CBAE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（3）理财产品的投资管理费</w:t>
      </w:r>
    </w:p>
    <w:p w14:paraId="73CC46E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本产品的投资管理费按前一日理财资产净值与投资管理费费率每日计提，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投资管理费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600680D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投资管理费的计算方法如下：</w:t>
      </w:r>
    </w:p>
    <w:p w14:paraId="608473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H＝E×投资管理费年费率÷365</w:t>
      </w:r>
    </w:p>
    <w:p w14:paraId="169AAD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H为每日应计提的产品投资管理费</w:t>
      </w:r>
    </w:p>
    <w:p w14:paraId="2C82D0C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0C04B66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投资管理费依照上述约定，从理财财产中支付。费率具体数值以《产品说明书》“第二节 理财产品基本情况”为准。</w:t>
      </w:r>
    </w:p>
    <w:p w14:paraId="09C7BA9E">
      <w:pPr>
        <w:pStyle w:val="23"/>
        <w:widowControl/>
        <w:numPr>
          <w:ilvl w:val="255"/>
          <w:numId w:val="0"/>
        </w:numPr>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（4）业</w:t>
      </w:r>
      <w:r>
        <w:rPr>
          <w:rFonts w:hint="eastAsia"/>
          <w:color w:val="auto"/>
          <w:highlight w:val="none"/>
        </w:rPr>
        <w:t>绩报酬</w:t>
      </w:r>
    </w:p>
    <w:p w14:paraId="5ACCAC8E">
      <w:pPr>
        <w:pStyle w:val="23"/>
        <w:widowControl/>
        <w:snapToGrid w:val="0"/>
        <w:spacing w:line="360" w:lineRule="auto"/>
        <w:ind w:left="420" w:firstLine="0" w:firstLineChars="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rPr>
        <w:sym w:font="Wingdings 2" w:char="0052"/>
      </w: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无业绩报酬。</w:t>
      </w:r>
      <w:r>
        <w:rPr>
          <w:rFonts w:hint="eastAsia" w:ascii="仿宋_GB2312" w:hAnsi="宋体" w:cs="宋体"/>
          <w:bCs/>
          <w:color w:val="auto"/>
          <w:kern w:val="0"/>
          <w:szCs w:val="24"/>
          <w:highlight w:val="none"/>
          <w:lang w:eastAsia="zh-CN"/>
        </w:rPr>
        <w:t>】</w:t>
      </w:r>
    </w:p>
    <w:p w14:paraId="3D440648">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□理财产品管理人收取理财产品业绩报酬。业绩报酬每日计提，在产品到期日收取（如有）。在理财产品到期日时</w:t>
      </w:r>
      <w:r>
        <w:rPr>
          <w:rFonts w:hint="eastAsia"/>
          <w:color w:val="auto"/>
          <w:highlight w:val="none"/>
        </w:rPr>
        <w:t>，若理财资产扣除销售服务费、产品托管费和投资管理费等相关费用和税收后，产品年化收益率超过业绩报酬计提基准，则产品管理人收取超出部分的一定比例作为业绩报酬。</w:t>
      </w:r>
    </w:p>
    <w:p w14:paraId="4928A54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业绩报酬计提基准的设置、</w:t>
      </w:r>
      <w:r>
        <w:rPr>
          <w:rFonts w:hint="eastAsia"/>
          <w:color w:val="auto"/>
          <w:highlight w:val="none"/>
        </w:rPr>
        <w:t>业绩报酬</w:t>
      </w:r>
      <w:r>
        <w:rPr>
          <w:rFonts w:hint="eastAsia" w:ascii="仿宋_GB2312" w:hAnsi="宋体" w:cs="宋体"/>
          <w:bCs/>
          <w:color w:val="auto"/>
          <w:kern w:val="0"/>
          <w:szCs w:val="24"/>
          <w:highlight w:val="none"/>
        </w:rPr>
        <w:t>的具体比例数值以《产品说明书》“第二节</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理财产品基本情况”为准。</w:t>
      </w:r>
    </w:p>
    <w:p w14:paraId="59CDA75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rPr>
        <w:t>业绩报酬</w:t>
      </w:r>
      <w:r>
        <w:rPr>
          <w:rFonts w:hint="eastAsia" w:ascii="仿宋_GB2312" w:hAnsi="宋体" w:cs="宋体"/>
          <w:bCs/>
          <w:color w:val="auto"/>
          <w:kern w:val="0"/>
          <w:szCs w:val="24"/>
          <w:highlight w:val="none"/>
        </w:rPr>
        <w:t xml:space="preserve">的计提/收取如下： </w:t>
      </w:r>
    </w:p>
    <w:p w14:paraId="612DC75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14:paraId="3F572BC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rPr>
        <w:t>业绩报酬计提基准的部分，按业绩报酬分成比例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rPr>
        <w:t>业绩报酬</w:t>
      </w:r>
      <w:r>
        <w:rPr>
          <w:rFonts w:hint="eastAsia" w:ascii="仿宋_GB2312" w:hAnsi="宋体" w:cs="宋体"/>
          <w:bCs/>
          <w:color w:val="auto"/>
          <w:kern w:val="0"/>
          <w:szCs w:val="24"/>
          <w:highlight w:val="none"/>
        </w:rPr>
        <w:t>，计算方法如下：</w:t>
      </w:r>
    </w:p>
    <w:p w14:paraId="73AB793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=0；</w:t>
      </w:r>
    </w:p>
    <w:p w14:paraId="52AD9D2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14:paraId="71B364E8">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表示产品计提/到期日的产品份额累计净值（未扣除业绩报酬），V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表示产品成立日的产品份额净值，D表示产品到期日-产品成立日，N表示业绩报酬分成比例。</w:t>
      </w:r>
      <w:r>
        <w:rPr>
          <w:rFonts w:hint="eastAsia" w:ascii="仿宋_GB2312" w:hAnsi="宋体" w:cs="宋体"/>
          <w:bCs/>
          <w:color w:val="auto"/>
          <w:kern w:val="0"/>
          <w:szCs w:val="24"/>
          <w:highlight w:val="none"/>
          <w:lang w:eastAsia="zh-CN"/>
        </w:rPr>
        <w:t>】</w:t>
      </w:r>
    </w:p>
    <w:p w14:paraId="29F8FC5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（5）理财产品的产品托管费</w:t>
      </w:r>
    </w:p>
    <w:p w14:paraId="5F916D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本产品的产品托管费按前一日理财资产净值与产品托管费费率每日计提，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产品托管费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4761C8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产品托管费的计算方法如下：</w:t>
      </w:r>
    </w:p>
    <w:p w14:paraId="362E754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H＝E×产品托管费年费率÷365</w:t>
      </w:r>
    </w:p>
    <w:p w14:paraId="3658F34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H为每日应计提的产品托管费</w:t>
      </w:r>
    </w:p>
    <w:p w14:paraId="7F230E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3608230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产品托管费依照上述约定，从理财财产中支付。费率具体数值以《产品说明书》“第二节 理财产品基本情况”为准。</w:t>
      </w:r>
    </w:p>
    <w:p w14:paraId="1D5BAC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14:paraId="586F856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14:paraId="6926EB7C">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ascii="仿宋_GB2312" w:hAnsi="宋体" w:cs="宋体"/>
          <w:b/>
          <w:bCs/>
          <w:color w:val="auto"/>
          <w:kern w:val="0"/>
          <w:szCs w:val="24"/>
          <w:highlight w:val="none"/>
        </w:rPr>
        <w:t>3</w:t>
      </w:r>
      <w:r>
        <w:rPr>
          <w:rFonts w:hint="eastAsia" w:ascii="仿宋_GB2312" w:hAnsi="宋体" w:cs="宋体"/>
          <w:b/>
          <w:bCs/>
          <w:color w:val="auto"/>
          <w:kern w:val="0"/>
          <w:szCs w:val="24"/>
          <w:highlight w:val="none"/>
        </w:rPr>
        <w:t>.费用调整</w:t>
      </w:r>
    </w:p>
    <w:p w14:paraId="0E7CCE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7AA06024">
      <w:pPr>
        <w:pStyle w:val="3"/>
        <w:ind w:firstLine="482"/>
        <w:rPr>
          <w:color w:val="auto"/>
          <w:highlight w:val="none"/>
        </w:rPr>
      </w:pPr>
      <w:r>
        <w:rPr>
          <w:rFonts w:hint="eastAsia"/>
          <w:color w:val="auto"/>
          <w:highlight w:val="none"/>
        </w:rPr>
        <w:t>税收说明</w:t>
      </w:r>
    </w:p>
    <w:p w14:paraId="43E975BF">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5405BB33">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74FE329E">
      <w:pPr>
        <w:pStyle w:val="2"/>
        <w:rPr>
          <w:color w:val="auto"/>
          <w:highlight w:val="none"/>
        </w:rPr>
      </w:pPr>
      <w:r>
        <w:rPr>
          <w:rFonts w:hint="eastAsia"/>
          <w:color w:val="auto"/>
          <w:highlight w:val="none"/>
        </w:rPr>
        <w:t>理财产品的终止与清算</w:t>
      </w:r>
    </w:p>
    <w:p w14:paraId="355C794B">
      <w:pPr>
        <w:pStyle w:val="3"/>
        <w:ind w:firstLine="482"/>
        <w:rPr>
          <w:color w:val="auto"/>
          <w:highlight w:val="none"/>
        </w:rPr>
      </w:pPr>
      <w:r>
        <w:rPr>
          <w:rFonts w:hint="eastAsia"/>
          <w:color w:val="auto"/>
          <w:highlight w:val="none"/>
        </w:rPr>
        <w:t>理财产品到期</w:t>
      </w:r>
    </w:p>
    <w:p w14:paraId="22822A7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本理财产品到期日为</w:t>
      </w:r>
      <w:r>
        <w:rPr>
          <w:rFonts w:hint="eastAsia" w:ascii="仿宋_GB2312" w:hAnsi="宋体" w:cs="宋体"/>
          <w:bCs/>
          <w:color w:val="auto"/>
          <w:kern w:val="0"/>
          <w:szCs w:val="24"/>
          <w:highlight w:val="none"/>
          <w:lang w:val="en-US" w:eastAsia="zh-CN"/>
        </w:rPr>
        <w:t>无固定到期日</w:t>
      </w:r>
      <w:r>
        <w:rPr>
          <w:rFonts w:hint="eastAsia" w:ascii="仿宋_GB2312" w:hAnsi="宋体" w:cs="宋体"/>
          <w:bCs/>
          <w:color w:val="auto"/>
          <w:kern w:val="0"/>
          <w:szCs w:val="24"/>
          <w:highlight w:val="none"/>
        </w:rPr>
        <w:t>，如遇非</w:t>
      </w:r>
      <w:r>
        <w:rPr>
          <w:rFonts w:hint="eastAsia" w:ascii="仿宋_GB2312" w:hAnsi="宋体" w:cs="宋体"/>
          <w:bCs/>
          <w:color w:val="auto"/>
          <w:kern w:val="0"/>
          <w:szCs w:val="24"/>
          <w:highlight w:val="none"/>
          <w:lang w:eastAsia="zh-CN"/>
        </w:rPr>
        <w:t>交易日</w:t>
      </w:r>
      <w:r>
        <w:rPr>
          <w:rFonts w:hint="eastAsia" w:ascii="仿宋_GB2312" w:hAnsi="宋体" w:cs="宋体"/>
          <w:bCs/>
          <w:color w:val="auto"/>
          <w:kern w:val="0"/>
          <w:szCs w:val="24"/>
          <w:highlight w:val="none"/>
        </w:rPr>
        <w:t>则顺延至下一</w:t>
      </w:r>
      <w:r>
        <w:rPr>
          <w:rFonts w:hint="eastAsia" w:ascii="仿宋_GB2312" w:hAnsi="宋体" w:cs="宋体"/>
          <w:bCs/>
          <w:color w:val="auto"/>
          <w:kern w:val="0"/>
          <w:szCs w:val="24"/>
          <w:highlight w:val="none"/>
          <w:lang w:eastAsia="zh-CN"/>
        </w:rPr>
        <w:t>交易日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如产品提前终止，除有特别约定外，实际终止日为到期日。</w:t>
      </w:r>
    </w:p>
    <w:p w14:paraId="2B88549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6800EC15">
      <w:pPr>
        <w:pStyle w:val="3"/>
        <w:ind w:firstLine="482"/>
        <w:rPr>
          <w:color w:val="auto"/>
          <w:highlight w:val="none"/>
        </w:rPr>
      </w:pPr>
      <w:r>
        <w:rPr>
          <w:rFonts w:hint="eastAsia"/>
          <w:color w:val="auto"/>
          <w:highlight w:val="none"/>
        </w:rPr>
        <w:t>理财产品提前终止</w:t>
      </w:r>
    </w:p>
    <w:p w14:paraId="5E61465B">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14:paraId="50A9FEC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14:paraId="0D765CE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14:paraId="1ABE3B4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3.因投资者理财资金被有权机关扣划等原因导致理财产品剩余资产无法满足相关法律法规规定、所投资市场要求或协议等相关法律文件约定，或者继续存续无法实现投资目标。</w:t>
      </w:r>
    </w:p>
    <w:p w14:paraId="6A31BF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14:paraId="07B3785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14:paraId="7475C01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14:paraId="6F1C934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14:paraId="769AE67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8</w:t>
      </w:r>
      <w:r>
        <w:rPr>
          <w:rFonts w:hint="eastAsia" w:ascii="仿宋_GB2312" w:hAnsi="宋体" w:cs="宋体"/>
          <w:bCs/>
          <w:color w:val="auto"/>
          <w:kern w:val="0"/>
          <w:szCs w:val="24"/>
          <w:highlight w:val="none"/>
        </w:rPr>
        <w:t>.遇国家政策出现重大调整并影响到本产品的正常运行。</w:t>
      </w:r>
    </w:p>
    <w:p w14:paraId="44AF59B2">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9</w:t>
      </w:r>
      <w:r>
        <w:rPr>
          <w:rFonts w:hint="eastAsia" w:ascii="仿宋_GB2312" w:hAnsi="宋体" w:cs="宋体"/>
          <w:bCs/>
          <w:color w:val="auto"/>
          <w:kern w:val="0"/>
          <w:szCs w:val="24"/>
          <w:highlight w:val="none"/>
        </w:rPr>
        <w:t>.因本产品投资的资产部分或全部提前终止或发生其他影响本产品正常投资运作的重大事件。</w:t>
      </w:r>
    </w:p>
    <w:p w14:paraId="6529EE9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.本产品存续期内，所投资资产种类已全部调整为现金资产且无其他投资安排。</w:t>
      </w:r>
    </w:p>
    <w:p w14:paraId="3B472AD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11</w:t>
      </w:r>
      <w:r>
        <w:rPr>
          <w:rFonts w:hint="eastAsia" w:ascii="仿宋_GB2312" w:hAnsi="宋体" w:cs="宋体"/>
          <w:bCs/>
          <w:color w:val="auto"/>
          <w:kern w:val="0"/>
          <w:szCs w:val="24"/>
          <w:highlight w:val="none"/>
        </w:rPr>
        <w:t>.管理人认为有必要提前终止本产品的其他情形。</w:t>
      </w:r>
    </w:p>
    <w:p w14:paraId="086EC3D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管理人将至少于提前终止日前</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2</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hint="eastAsia" w:ascii="仿宋_GB2312" w:hAnsi="宋体" w:cs="宋体"/>
          <w:bCs/>
          <w:color w:val="auto"/>
          <w:kern w:val="0"/>
          <w:szCs w:val="24"/>
          <w:highlight w:val="none"/>
        </w:rPr>
        <w:t>内通过销售机构将兑付理财资金划至投资者指定账户。</w:t>
      </w:r>
    </w:p>
    <w:p w14:paraId="198BD13C">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14:paraId="1834782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14:paraId="64CCA11C">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理人通过销售机构将投资者应得资金（如有，下同）划至投资者指定账户。本产品到期（含提前终止）时，如本产品项下财产全部变现，管理人将在产品到期后</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。本产品到期日（或提前/延期终止日）至资金到账日期间，投资者理财资金如因清算安排实际产生利息的，相关利息归投资者所有。</w:t>
      </w:r>
    </w:p>
    <w:p w14:paraId="2A9ABB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14:paraId="5AA8A18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14:paraId="7131A5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14:paraId="30037AD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14:paraId="714C2E7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14:paraId="5218113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14:paraId="5618DB7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14:paraId="1EB60E6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14:paraId="787C88D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ascii="仿宋_GB2312" w:hAnsi="宋体" w:cs="宋体"/>
          <w:bCs/>
          <w:color w:val="auto"/>
          <w:kern w:val="0"/>
          <w:szCs w:val="24"/>
          <w:highlight w:val="none"/>
        </w:rPr>
        <w:t>内或提前终止日后</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hint="eastAsia" w:ascii="仿宋_GB2312" w:hAnsi="宋体" w:cs="宋体"/>
          <w:bCs/>
          <w:color w:val="auto"/>
          <w:kern w:val="0"/>
          <w:szCs w:val="24"/>
          <w:highlight w:val="none"/>
        </w:rPr>
        <w:t>通过销售机构</w:t>
      </w:r>
      <w:r>
        <w:rPr>
          <w:rFonts w:ascii="仿宋_GB2312" w:hAnsi="宋体" w:cs="宋体"/>
          <w:bCs/>
          <w:color w:val="auto"/>
          <w:kern w:val="0"/>
          <w:szCs w:val="24"/>
          <w:highlight w:val="none"/>
        </w:rPr>
        <w:t>内将投资者应得资金划转投资者指定账户。计算公式如下：</w:t>
      </w:r>
    </w:p>
    <w:p w14:paraId="7131AED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14:paraId="55CDF52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其中，投资者到账金额计算公式如下：</w:t>
      </w:r>
    </w:p>
    <w:p w14:paraId="29F960D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14:paraId="4181BE5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于产品清算完毕后的</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5</w:t>
      </w:r>
      <w:r>
        <w:rPr>
          <w:rFonts w:hint="eastAsia" w:ascii="宋体" w:hAnsi="宋体"/>
          <w:color w:val="auto"/>
          <w:szCs w:val="24"/>
          <w:highlight w:val="none"/>
          <w:lang w:eastAsia="zh-CN"/>
        </w:rPr>
        <w:t>】个</w:t>
      </w:r>
      <w:r>
        <w:rPr>
          <w:rFonts w:hint="eastAsia" w:ascii="宋体" w:hAnsi="宋体"/>
          <w:color w:val="auto"/>
          <w:szCs w:val="24"/>
          <w:highlight w:val="none"/>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14:paraId="64B1B3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14:paraId="7B6CAE98">
      <w:pPr>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48A23CE9">
      <w:pPr>
        <w:pStyle w:val="2"/>
        <w:rPr>
          <w:color w:val="auto"/>
          <w:highlight w:val="none"/>
        </w:rPr>
      </w:pPr>
      <w:r>
        <w:rPr>
          <w:rFonts w:hint="eastAsia"/>
          <w:color w:val="auto"/>
          <w:highlight w:val="none"/>
        </w:rPr>
        <w:t>理财产品的信息披露</w:t>
      </w:r>
    </w:p>
    <w:p w14:paraId="54A93F0B">
      <w:pPr>
        <w:pStyle w:val="3"/>
        <w:ind w:firstLine="482"/>
        <w:rPr>
          <w:color w:val="auto"/>
          <w:highlight w:val="none"/>
        </w:rPr>
      </w:pPr>
      <w:r>
        <w:rPr>
          <w:rFonts w:hint="eastAsia"/>
          <w:color w:val="auto"/>
          <w:highlight w:val="none"/>
        </w:rPr>
        <w:t>信息披露方式</w:t>
      </w:r>
    </w:p>
    <w:p w14:paraId="7CA055B0">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w:t>
      </w:r>
      <w:r>
        <w:rPr>
          <w:rFonts w:hint="eastAsia"/>
          <w:color w:val="auto"/>
          <w:highlight w:val="none"/>
        </w:rPr>
        <w:t>、</w:t>
      </w:r>
      <w:r>
        <w:rPr>
          <w:rFonts w:hint="eastAsia" w:ascii="仿宋_GB2312" w:hAnsi="宋体" w:cs="宋体"/>
          <w:b/>
          <w:color w:val="auto"/>
          <w:kern w:val="0"/>
          <w:szCs w:val="24"/>
          <w:highlight w:val="none"/>
        </w:rPr>
        <w:t>销售机构官方网站、个人手机银行或其他约定的方式等</w:t>
      </w:r>
      <w:r>
        <w:rPr>
          <w:rFonts w:hint="eastAsia" w:cs="宋体" w:asciiTheme="minorEastAsia" w:hAnsiTheme="minorEastAsia"/>
          <w:b/>
          <w:color w:val="auto"/>
          <w:kern w:val="0"/>
          <w:szCs w:val="24"/>
          <w:highlight w:val="none"/>
        </w:rPr>
        <w:t>一种或多种渠道</w:t>
      </w:r>
      <w:r>
        <w:rPr>
          <w:rFonts w:hint="eastAsia" w:ascii="仿宋_GB2312" w:hAnsi="宋体" w:cs="宋体"/>
          <w:b/>
          <w:color w:val="auto"/>
          <w:kern w:val="0"/>
          <w:szCs w:val="24"/>
          <w:highlight w:val="none"/>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38B69F2A">
      <w:pPr>
        <w:pStyle w:val="3"/>
        <w:ind w:firstLine="482"/>
        <w:rPr>
          <w:color w:val="auto"/>
          <w:highlight w:val="none"/>
        </w:rPr>
      </w:pPr>
      <w:r>
        <w:rPr>
          <w:rFonts w:hint="eastAsia"/>
          <w:color w:val="auto"/>
          <w:highlight w:val="none"/>
        </w:rPr>
        <w:t>信息披露内容</w:t>
      </w:r>
    </w:p>
    <w:p w14:paraId="071406C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14:paraId="499176A5">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14:paraId="6589108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14:paraId="7B4D51E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14:paraId="4617FF2C">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2B0FF5D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6.其他影响本产品投资运作的重大事项、突发事件、临时性信息披露等。</w:t>
      </w:r>
    </w:p>
    <w:p w14:paraId="13A70990">
      <w:pPr>
        <w:pStyle w:val="3"/>
        <w:tabs>
          <w:tab w:val="left" w:pos="0"/>
          <w:tab w:val="left" w:pos="709"/>
        </w:tabs>
        <w:ind w:firstLine="480" w:firstLineChars="0"/>
        <w:rPr>
          <w:color w:val="auto"/>
          <w:highlight w:val="none"/>
        </w:rPr>
      </w:pPr>
      <w:r>
        <w:rPr>
          <w:rFonts w:hint="eastAsia"/>
          <w:color w:val="auto"/>
          <w:highlight w:val="none"/>
        </w:rPr>
        <w:t>信息披露频率</w:t>
      </w:r>
    </w:p>
    <w:p w14:paraId="50D05E29">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14:paraId="17C5DCD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2.定期公告：本产品在每个季度结束之日起15</w:t>
      </w:r>
      <w:r>
        <w:rPr>
          <w:rFonts w:hint="eastAsia" w:ascii="仿宋_GB2312" w:hAnsi="宋体" w:cs="宋体"/>
          <w:color w:val="auto"/>
          <w:kern w:val="0"/>
          <w:szCs w:val="24"/>
          <w:highlight w:val="none"/>
        </w:rPr>
        <w:t>个工作日内、上半年结束之日起</w:t>
      </w:r>
      <w:r>
        <w:rPr>
          <w:rFonts w:ascii="仿宋_GB2312" w:hAnsi="宋体" w:cs="宋体"/>
          <w:color w:val="auto"/>
          <w:kern w:val="0"/>
          <w:szCs w:val="24"/>
          <w:highlight w:val="none"/>
        </w:rPr>
        <w:t>60</w:t>
      </w:r>
      <w:r>
        <w:rPr>
          <w:rFonts w:hint="eastAsia" w:ascii="仿宋_GB2312" w:hAnsi="宋体" w:cs="宋体"/>
          <w:color w:val="auto"/>
          <w:kern w:val="0"/>
          <w:szCs w:val="24"/>
          <w:highlight w:val="none"/>
        </w:rPr>
        <w:t>个工作日内、每年结束之日起</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个工作日内，披露本产品季度、半年和年度报告等定期报告。产品成立不足</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个工作日或者剩余存续期不超过</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个工作日的，将不编制本产品当期的季度、半年和年度报告。定期报告将披露理财产品组合资产情况及其流动性风险分析等。</w:t>
      </w:r>
    </w:p>
    <w:p w14:paraId="676B6A27">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3.到期公告：本产品在终止后5</w:t>
      </w:r>
      <w:r>
        <w:rPr>
          <w:rFonts w:hint="eastAsia" w:ascii="仿宋_GB2312" w:hAnsi="宋体" w:cs="宋体"/>
          <w:color w:val="auto"/>
          <w:kern w:val="0"/>
          <w:szCs w:val="24"/>
          <w:highlight w:val="none"/>
        </w:rPr>
        <w:t>个工作日内，披露本产品到期公告，包括理财产品的存续期限、终止日期、收费情况和收益分配情况等信息。本产品终止后5个工作日内，产品管理人发布产品到期公告。</w:t>
      </w:r>
    </w:p>
    <w:p w14:paraId="45DA0357">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终止本产品，产品管理人将提前2个工作日进行公告。</w:t>
      </w:r>
    </w:p>
    <w:p w14:paraId="685E426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4.开放日</w:t>
      </w:r>
      <w:r>
        <w:rPr>
          <w:rFonts w:hint="eastAsia" w:ascii="仿宋_GB2312" w:hAnsi="宋体" w:cs="宋体"/>
          <w:color w:val="auto"/>
          <w:kern w:val="0"/>
          <w:szCs w:val="24"/>
          <w:highlight w:val="none"/>
        </w:rPr>
        <w:t>（估值日</w:t>
      </w:r>
      <w:r>
        <w:rPr>
          <w:rFonts w:ascii="仿宋_GB2312" w:hAnsi="宋体" w:cs="宋体"/>
          <w:color w:val="auto"/>
          <w:kern w:val="0"/>
          <w:szCs w:val="24"/>
          <w:highlight w:val="none"/>
        </w:rPr>
        <w:t>）公告：</w:t>
      </w:r>
      <w:r>
        <w:rPr>
          <w:rFonts w:hint="eastAsia" w:ascii="仿宋_GB2312" w:hAnsi="宋体" w:cs="宋体"/>
          <w:color w:val="auto"/>
          <w:kern w:val="0"/>
          <w:szCs w:val="24"/>
          <w:highlight w:val="none"/>
        </w:rPr>
        <w:t>产品管理人在申购日</w:t>
      </w:r>
      <w:r>
        <w:rPr>
          <w:rFonts w:ascii="仿宋_GB2312" w:hAnsi="宋体" w:cs="宋体"/>
          <w:color w:val="auto"/>
          <w:kern w:val="0"/>
          <w:szCs w:val="24"/>
          <w:highlight w:val="none"/>
        </w:rPr>
        <w:t>/赎回日结束后2</w:t>
      </w:r>
      <w:r>
        <w:rPr>
          <w:rFonts w:hint="eastAsia" w:ascii="仿宋_GB2312" w:hAnsi="宋体" w:cs="宋体"/>
          <w:color w:val="auto"/>
          <w:kern w:val="0"/>
          <w:szCs w:val="24"/>
          <w:highlight w:val="none"/>
        </w:rPr>
        <w:t>个工作日内披露开放日公告，公告内容包括申购日</w:t>
      </w:r>
      <w:r>
        <w:rPr>
          <w:rFonts w:ascii="仿宋_GB2312" w:hAnsi="宋体" w:cs="宋体"/>
          <w:color w:val="auto"/>
          <w:kern w:val="0"/>
          <w:szCs w:val="24"/>
          <w:highlight w:val="none"/>
        </w:rPr>
        <w:t>/赎回日的产品份额净值、产品份额累计净值、</w:t>
      </w:r>
      <w:r>
        <w:rPr>
          <w:rFonts w:hint="eastAsia" w:ascii="仿宋_GB2312" w:hAnsi="宋体" w:cs="宋体"/>
          <w:color w:val="auto"/>
          <w:kern w:val="0"/>
          <w:szCs w:val="24"/>
          <w:highlight w:val="none"/>
        </w:rPr>
        <w:t>申购/赎回</w:t>
      </w:r>
      <w:r>
        <w:rPr>
          <w:rFonts w:ascii="仿宋_GB2312" w:hAnsi="宋体" w:cs="宋体"/>
          <w:color w:val="auto"/>
          <w:kern w:val="0"/>
          <w:szCs w:val="24"/>
          <w:highlight w:val="none"/>
        </w:rPr>
        <w:t>价格</w:t>
      </w:r>
      <w:r>
        <w:rPr>
          <w:rFonts w:hint="eastAsia" w:ascii="仿宋_GB2312" w:hAnsi="宋体" w:cs="宋体"/>
          <w:color w:val="auto"/>
          <w:kern w:val="0"/>
          <w:szCs w:val="24"/>
          <w:highlight w:val="none"/>
        </w:rPr>
        <w:t>。如遇法定节假日顺延。如遇产品到期日、季度末、半年度末、年度末等时间节点，产品管理人将增加估值日。此外，如遇其他特殊情况，以产品管理人信息披露为准。</w:t>
      </w:r>
    </w:p>
    <w:p w14:paraId="2B02F73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5.</w:t>
      </w:r>
      <w:r>
        <w:rPr>
          <w:rFonts w:hint="eastAsia" w:ascii="仿宋_GB2312" w:hAnsi="宋体" w:cs="宋体"/>
          <w:b/>
          <w:color w:val="auto"/>
          <w:kern w:val="0"/>
          <w:szCs w:val="24"/>
          <w:highlight w:val="none"/>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14:paraId="22CC98C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6.</w:t>
      </w:r>
      <w:r>
        <w:rPr>
          <w:rFonts w:hint="eastAsia" w:ascii="仿宋_GB2312" w:hAnsi="宋体" w:cs="宋体"/>
          <w:color w:val="auto"/>
          <w:kern w:val="0"/>
          <w:szCs w:val="24"/>
          <w:highlight w:val="none"/>
        </w:rPr>
        <w:t>产品临时公告</w:t>
      </w:r>
    </w:p>
    <w:p w14:paraId="79BAE8B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1</w:t>
      </w:r>
      <w:r>
        <w:rPr>
          <w:rFonts w:hint="eastAsia" w:ascii="仿宋_GB2312" w:hAnsi="宋体" w:cs="宋体"/>
          <w:color w:val="auto"/>
          <w:kern w:val="0"/>
          <w:szCs w:val="24"/>
          <w:highlight w:val="none"/>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个工作日发布公告。</w:t>
      </w:r>
    </w:p>
    <w:p w14:paraId="0BEAAA9D">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2）在发生产品管理人拒绝或暂停接受投资者认购/申购申请、</w:t>
      </w:r>
      <w:r>
        <w:rPr>
          <w:rFonts w:hint="eastAsia" w:ascii="仿宋_GB2312" w:hAnsi="宋体" w:cs="宋体"/>
          <w:b/>
          <w:bCs/>
          <w:color w:val="auto"/>
          <w:kern w:val="0"/>
          <w:szCs w:val="24"/>
          <w:highlight w:val="none"/>
        </w:rPr>
        <w:t>延期办理巨额赎回申请、</w:t>
      </w:r>
      <w:r>
        <w:rPr>
          <w:rFonts w:ascii="仿宋_GB2312" w:hAnsi="宋体" w:cs="宋体"/>
          <w:b/>
          <w:bCs/>
          <w:color w:val="auto"/>
          <w:kern w:val="0"/>
          <w:szCs w:val="24"/>
          <w:highlight w:val="none"/>
        </w:rPr>
        <w:t>暂停接受投资者赎回申请、延缓支付赎回款项、暂停理财产品估值、采用摆动定价等情形时，产品管理人将于</w:t>
      </w:r>
      <w:r>
        <w:rPr>
          <w:rFonts w:hint="eastAsia" w:ascii="仿宋_GB2312" w:hAnsi="宋体" w:cs="宋体"/>
          <w:b/>
          <w:bCs/>
          <w:color w:val="auto"/>
          <w:kern w:val="0"/>
          <w:szCs w:val="24"/>
          <w:highlight w:val="none"/>
        </w:rPr>
        <w:t>情形发生</w:t>
      </w:r>
      <w:r>
        <w:rPr>
          <w:rFonts w:hint="eastAsia" w:ascii="仿宋_GB2312" w:hAnsi="宋体" w:cs="宋体"/>
          <w:b/>
          <w:bCs/>
          <w:color w:val="auto"/>
          <w:kern w:val="0"/>
          <w:szCs w:val="24"/>
          <w:highlight w:val="none"/>
          <w:lang w:val="en-US" w:eastAsia="zh-CN"/>
        </w:rPr>
        <w:t>后</w:t>
      </w:r>
      <w:r>
        <w:rPr>
          <w:rFonts w:ascii="仿宋_GB2312" w:hAnsi="宋体" w:cs="宋体"/>
          <w:b/>
          <w:bCs/>
          <w:color w:val="auto"/>
          <w:kern w:val="0"/>
          <w:szCs w:val="24"/>
          <w:highlight w:val="none"/>
        </w:rPr>
        <w:t>3</w:t>
      </w:r>
      <w:r>
        <w:rPr>
          <w:rFonts w:hint="eastAsia" w:ascii="仿宋_GB2312" w:hAnsi="宋体" w:cs="宋体"/>
          <w:b/>
          <w:bCs/>
          <w:color w:val="auto"/>
          <w:kern w:val="0"/>
          <w:szCs w:val="24"/>
          <w:highlight w:val="none"/>
        </w:rPr>
        <w:t>个</w:t>
      </w:r>
      <w:r>
        <w:rPr>
          <w:rFonts w:hint="eastAsia" w:ascii="仿宋_GB2312" w:hAnsi="宋体" w:cs="宋体"/>
          <w:b/>
          <w:bCs/>
          <w:color w:val="auto"/>
          <w:kern w:val="0"/>
          <w:szCs w:val="24"/>
          <w:highlight w:val="none"/>
          <w:lang w:val="en-US" w:eastAsia="zh-CN"/>
        </w:rPr>
        <w:t>交易</w:t>
      </w:r>
      <w:r>
        <w:rPr>
          <w:rFonts w:hint="eastAsia" w:ascii="仿宋_GB2312" w:hAnsi="宋体" w:cs="宋体"/>
          <w:b/>
          <w:bCs/>
          <w:color w:val="auto"/>
          <w:kern w:val="0"/>
          <w:szCs w:val="24"/>
          <w:highlight w:val="none"/>
        </w:rPr>
        <w:t>日内告知投资者，并说明运用相关措施的原因和拟采取的应对安排等。在发生涉及产品认购、申购或赎回事项调整或潜在影响投资者赎回等事项时，管理人将发布临时公告。</w:t>
      </w:r>
    </w:p>
    <w:p w14:paraId="410E7083">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3）理财产品清算期超过5</w:t>
      </w:r>
      <w:r>
        <w:rPr>
          <w:rFonts w:hint="eastAsia" w:ascii="仿宋_GB2312" w:hAnsi="宋体" w:cs="宋体"/>
          <w:color w:val="auto"/>
          <w:kern w:val="0"/>
          <w:szCs w:val="24"/>
          <w:highlight w:val="none"/>
        </w:rPr>
        <w:t>个工作日的，产品管理人应当在理财产品终止前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，根据与投资者约定的渠道向投资者进行信息披露。</w:t>
      </w:r>
    </w:p>
    <w:p w14:paraId="2EE78C3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在本产品存续期内，如因国家法律法规、监管规定发生变化，或是出于维护本产品正常运营的需要，在不损害投资者权益的前提下，产品管理人有权对理财产品销售文件进行修订，并提前2个工作日进行公告。</w:t>
      </w:r>
    </w:p>
    <w:p w14:paraId="441B5315">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5）其他临时性公告</w:t>
      </w:r>
    </w:p>
    <w:p w14:paraId="076DF600">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除前述事项外，如出现产品</w:t>
      </w:r>
      <w:r>
        <w:rPr>
          <w:rFonts w:ascii="仿宋_GB2312" w:hAnsi="宋体" w:cs="宋体"/>
          <w:color w:val="auto"/>
          <w:kern w:val="0"/>
          <w:szCs w:val="24"/>
          <w:highlight w:val="none"/>
        </w:rPr>
        <w:t>二次清算</w:t>
      </w:r>
      <w:r>
        <w:rPr>
          <w:rFonts w:hint="eastAsia" w:ascii="仿宋_GB2312" w:hAnsi="宋体" w:cs="宋体"/>
          <w:color w:val="auto"/>
          <w:kern w:val="0"/>
          <w:szCs w:val="24"/>
          <w:highlight w:val="none"/>
        </w:rPr>
        <w:t>等其他突发事件，需在事件发生后2个</w:t>
      </w:r>
      <w:r>
        <w:rPr>
          <w:rFonts w:ascii="仿宋_GB2312" w:hAnsi="宋体" w:cs="宋体"/>
          <w:color w:val="auto"/>
          <w:kern w:val="0"/>
          <w:szCs w:val="24"/>
          <w:highlight w:val="none"/>
        </w:rPr>
        <w:t>工作日内</w:t>
      </w:r>
      <w:r>
        <w:rPr>
          <w:rFonts w:hint="eastAsia" w:ascii="仿宋_GB2312" w:hAnsi="宋体" w:cs="宋体"/>
          <w:color w:val="auto"/>
          <w:kern w:val="0"/>
          <w:szCs w:val="24"/>
          <w:highlight w:val="none"/>
        </w:rPr>
        <w:t>及时进行披露。</w:t>
      </w:r>
    </w:p>
    <w:p w14:paraId="24D882C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4DF58CDD">
      <w:pPr>
        <w:widowControl/>
        <w:jc w:val="left"/>
        <w:rPr>
          <w:rFonts w:eastAsia="黑体"/>
          <w:color w:val="auto"/>
          <w:kern w:val="44"/>
          <w:sz w:val="28"/>
          <w:highlight w:val="none"/>
        </w:rPr>
      </w:pPr>
      <w:r>
        <w:rPr>
          <w:color w:val="auto"/>
          <w:highlight w:val="none"/>
        </w:rPr>
        <w:br w:type="page"/>
      </w:r>
    </w:p>
    <w:p w14:paraId="21997281">
      <w:pPr>
        <w:pStyle w:val="2"/>
        <w:rPr>
          <w:color w:val="auto"/>
          <w:highlight w:val="none"/>
        </w:rPr>
      </w:pPr>
      <w:r>
        <w:rPr>
          <w:rFonts w:hint="eastAsia"/>
          <w:color w:val="auto"/>
          <w:highlight w:val="none"/>
        </w:rPr>
        <w:t>特别提示</w:t>
      </w:r>
    </w:p>
    <w:p w14:paraId="23018854">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14:paraId="2C44B495">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22621A1B">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6FC8D4C0">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14:paraId="53D25ED6">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敬请联系您的销售服务机构，具体联系方式以《产品说明书》等销售文件的披露为准;或反馈至浙银理财，浙银理财服务电话：0571-57192881。</w:t>
      </w:r>
    </w:p>
    <w:p w14:paraId="6FF1588E">
      <w:pPr>
        <w:widowControl/>
        <w:tabs>
          <w:tab w:val="left" w:pos="709"/>
        </w:tabs>
        <w:snapToGrid w:val="0"/>
        <w:spacing w:line="360" w:lineRule="auto"/>
        <w:ind w:firstLine="480" w:firstLineChars="200"/>
        <w:rPr>
          <w:rFonts w:ascii="仿宋_GB2312" w:hAnsi="宋体" w:cs="宋体"/>
          <w:bCs/>
          <w:color w:val="auto"/>
          <w:kern w:val="0"/>
          <w:szCs w:val="24"/>
          <w:highlight w:val="none"/>
        </w:rPr>
      </w:pPr>
    </w:p>
    <w:p w14:paraId="7C8181D4">
      <w:pPr>
        <w:widowControl/>
        <w:jc w:val="left"/>
        <w:rPr>
          <w:color w:val="auto"/>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仿宋_GB2312">
    <w:panose1 w:val="02010609030101010101"/>
    <w:charset w:val="86"/>
    <w:family w:val="modern"/>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方正小标宋简体">
    <w:altName w:val="方正小标宋_GBK"/>
    <w:panose1 w:val="03000509000000000000"/>
    <w:charset w:val="86"/>
    <w:family w:val="auto"/>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5B05">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36</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95E6B">
    <w:pPr>
      <w:pStyle w:val="14"/>
      <w:jc w:val="left"/>
      <w:rPr>
        <w:rFonts w:asciiTheme="majorEastAsia" w:hAnsiTheme="majorEastAsia" w:eastAsiaTheme="majorEastAsia"/>
        <w:b/>
        <w:sz w:val="24"/>
      </w:rPr>
    </w:pPr>
    <w:r>
      <w:rPr>
        <w:rFonts w:hint="eastAsia" w:asciiTheme="majorEastAsia" w:hAnsiTheme="majorEastAsia" w:eastAsiaTheme="majorEastAsia"/>
        <w:b/>
        <w:sz w:val="24"/>
      </w:rPr>
      <w:t>理财非存款</w:t>
    </w:r>
    <w:r>
      <w:rPr>
        <w:rFonts w:asciiTheme="majorEastAsia" w:hAnsiTheme="majorEastAsia" w:eastAsiaTheme="majorEastAsia"/>
        <w:b/>
        <w:sz w:val="24"/>
      </w:rPr>
      <w:t xml:space="preserve"> </w:t>
    </w:r>
    <w:r>
      <w:rPr>
        <w:rFonts w:hint="eastAsia" w:asciiTheme="majorEastAsia" w:hAnsiTheme="majorEastAsia" w:eastAsiaTheme="majorEastAsia"/>
        <w:b/>
        <w:sz w:val="24"/>
      </w:rPr>
      <w:t>产品有风险</w:t>
    </w:r>
    <w:r>
      <w:rPr>
        <w:rFonts w:asciiTheme="majorEastAsia" w:hAnsiTheme="majorEastAsia" w:eastAsiaTheme="majorEastAsia"/>
        <w:b/>
        <w:sz w:val="24"/>
      </w:rPr>
      <w:t xml:space="preserve"> </w:t>
    </w:r>
    <w:r>
      <w:rPr>
        <w:rFonts w:hint="eastAsia" w:asciiTheme="majorEastAsia" w:hAnsiTheme="majorEastAsia" w:eastAsiaTheme="majorEastAsia"/>
        <w:b/>
        <w:sz w:val="24"/>
      </w:rPr>
      <w:t>投资须谨慎</w:t>
    </w:r>
    <w:r>
      <w:rPr>
        <w:rFonts w:asciiTheme="majorEastAsia" w:hAnsiTheme="majorEastAsia" w:eastAsiaTheme="majorEastAsia"/>
        <w:b/>
        <w:sz w:val="24"/>
      </w:rPr>
      <w:t xml:space="preserve">  </w:t>
    </w:r>
    <w:r>
      <w:rPr>
        <w:rFonts w:asciiTheme="majorEastAsia" w:hAnsiTheme="majorEastAsia" w:eastAsiaTheme="majorEastAsia"/>
        <w:b/>
        <w:sz w:val="21"/>
      </w:rPr>
      <w:t xml:space="preserve">                                                </w:t>
    </w:r>
    <w:r>
      <w:rPr>
        <w:rFonts w:hint="eastAsia" w:asciiTheme="majorEastAsia" w:hAnsiTheme="majorEastAsia" w:eastAsiaTheme="majorEastAsia"/>
        <w:b/>
        <w:sz w:val="24"/>
      </w:rPr>
      <w:t>浙银理财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8CE17C"/>
    <w:multiLevelType w:val="singleLevel"/>
    <w:tmpl w:val="F08CE17C"/>
    <w:lvl w:ilvl="0" w:tentative="0">
      <w:start w:val="1"/>
      <w:numFmt w:val="decimal"/>
      <w:lvlText w:val="%1."/>
      <w:lvlJc w:val="left"/>
      <w:pPr>
        <w:tabs>
          <w:tab w:val="left" w:pos="312"/>
        </w:tabs>
      </w:pPr>
    </w:lvl>
  </w:abstractNum>
  <w:abstractNum w:abstractNumId="1">
    <w:nsid w:val="F7DE153C"/>
    <w:multiLevelType w:val="singleLevel"/>
    <w:tmpl w:val="F7DE153C"/>
    <w:lvl w:ilvl="0" w:tentative="0">
      <w:start w:val="1"/>
      <w:numFmt w:val="decimal"/>
      <w:suff w:val="nothing"/>
      <w:lvlText w:val="（%1）"/>
      <w:lvlJc w:val="left"/>
    </w:lvl>
  </w:abstractNum>
  <w:abstractNum w:abstractNumId="2">
    <w:nsid w:val="72044557"/>
    <w:multiLevelType w:val="singleLevel"/>
    <w:tmpl w:val="72044557"/>
    <w:lvl w:ilvl="0" w:tentative="0">
      <w:start w:val="1"/>
      <w:numFmt w:val="decimal"/>
      <w:lvlText w:val="%1."/>
      <w:lvlJc w:val="left"/>
      <w:pPr>
        <w:tabs>
          <w:tab w:val="left" w:pos="312"/>
        </w:tabs>
      </w:pPr>
    </w:lvl>
  </w:abstractNum>
  <w:abstractNum w:abstractNumId="3">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hint="eastAsia" w:ascii="宋体" w:hAnsi="宋体" w:eastAsia="黑体" w:cs="宋体"/>
        <w:sz w:val="28"/>
      </w:rPr>
    </w:lvl>
    <w:lvl w:ilvl="1" w:tentative="0">
      <w:start w:val="1"/>
      <w:numFmt w:val="chineseCounting"/>
      <w:pStyle w:val="3"/>
      <w:suff w:val="nothing"/>
      <w:lvlText w:val="（%2）"/>
      <w:lvlJc w:val="left"/>
      <w:pPr>
        <w:tabs>
          <w:tab w:val="left" w:pos="3261"/>
        </w:tabs>
        <w:ind w:left="3261" w:firstLine="0"/>
      </w:pPr>
      <w:rPr>
        <w:rFonts w:hint="eastAsia" w:ascii="宋体" w:hAnsi="宋体" w:eastAsia="仿宋_GB2312" w:cs="宋体"/>
        <w:b/>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4">
    <w:nsid w:val="7D9B71BF"/>
    <w:multiLevelType w:val="singleLevel"/>
    <w:tmpl w:val="7D9B71BF"/>
    <w:lvl w:ilvl="0" w:tentative="0">
      <w:start w:val="1"/>
      <w:numFmt w:val="decimal"/>
      <w:lvlText w:val="%1."/>
      <w:lvlJc w:val="left"/>
      <w:pPr>
        <w:tabs>
          <w:tab w:val="left" w:pos="312"/>
        </w:tabs>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0000053F"/>
    <w:rsid w:val="00000932"/>
    <w:rsid w:val="00001A8A"/>
    <w:rsid w:val="00002202"/>
    <w:rsid w:val="00003465"/>
    <w:rsid w:val="000034B1"/>
    <w:rsid w:val="0000362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5ABD"/>
    <w:rsid w:val="00025FD7"/>
    <w:rsid w:val="00027B90"/>
    <w:rsid w:val="00027C68"/>
    <w:rsid w:val="00030944"/>
    <w:rsid w:val="00030BC9"/>
    <w:rsid w:val="000319BE"/>
    <w:rsid w:val="00035C1C"/>
    <w:rsid w:val="0003736A"/>
    <w:rsid w:val="00041252"/>
    <w:rsid w:val="0004142C"/>
    <w:rsid w:val="000415AA"/>
    <w:rsid w:val="00042BF7"/>
    <w:rsid w:val="000431E5"/>
    <w:rsid w:val="00044093"/>
    <w:rsid w:val="000446BA"/>
    <w:rsid w:val="000472B3"/>
    <w:rsid w:val="000475D1"/>
    <w:rsid w:val="00047AC5"/>
    <w:rsid w:val="00047E39"/>
    <w:rsid w:val="00050DF7"/>
    <w:rsid w:val="00050ED6"/>
    <w:rsid w:val="00051CBD"/>
    <w:rsid w:val="00051DBD"/>
    <w:rsid w:val="00052D3C"/>
    <w:rsid w:val="0005535C"/>
    <w:rsid w:val="00056882"/>
    <w:rsid w:val="00056AE1"/>
    <w:rsid w:val="000577A3"/>
    <w:rsid w:val="000618A3"/>
    <w:rsid w:val="00062D7A"/>
    <w:rsid w:val="00063F96"/>
    <w:rsid w:val="00064B7F"/>
    <w:rsid w:val="000652DC"/>
    <w:rsid w:val="00065662"/>
    <w:rsid w:val="00065679"/>
    <w:rsid w:val="00065A4A"/>
    <w:rsid w:val="00067F68"/>
    <w:rsid w:val="000723FC"/>
    <w:rsid w:val="00073ED7"/>
    <w:rsid w:val="0007490B"/>
    <w:rsid w:val="00074DFA"/>
    <w:rsid w:val="00077B11"/>
    <w:rsid w:val="00083F31"/>
    <w:rsid w:val="00084F65"/>
    <w:rsid w:val="00085066"/>
    <w:rsid w:val="00085E2A"/>
    <w:rsid w:val="000867B9"/>
    <w:rsid w:val="00086827"/>
    <w:rsid w:val="00086894"/>
    <w:rsid w:val="00086A79"/>
    <w:rsid w:val="00086C25"/>
    <w:rsid w:val="000909B2"/>
    <w:rsid w:val="00091670"/>
    <w:rsid w:val="00092597"/>
    <w:rsid w:val="00092682"/>
    <w:rsid w:val="00092B17"/>
    <w:rsid w:val="00093075"/>
    <w:rsid w:val="000947EB"/>
    <w:rsid w:val="00095515"/>
    <w:rsid w:val="000961AC"/>
    <w:rsid w:val="0009621A"/>
    <w:rsid w:val="0009704C"/>
    <w:rsid w:val="000970E2"/>
    <w:rsid w:val="00097EC1"/>
    <w:rsid w:val="000A0285"/>
    <w:rsid w:val="000A143B"/>
    <w:rsid w:val="000A3108"/>
    <w:rsid w:val="000A4117"/>
    <w:rsid w:val="000A7976"/>
    <w:rsid w:val="000B0E53"/>
    <w:rsid w:val="000B182A"/>
    <w:rsid w:val="000B1A0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2F57"/>
    <w:rsid w:val="00125C6F"/>
    <w:rsid w:val="00126288"/>
    <w:rsid w:val="0012661B"/>
    <w:rsid w:val="00126854"/>
    <w:rsid w:val="001275C1"/>
    <w:rsid w:val="00127AD3"/>
    <w:rsid w:val="00130DAD"/>
    <w:rsid w:val="00131B9D"/>
    <w:rsid w:val="00135510"/>
    <w:rsid w:val="00135B6B"/>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07A"/>
    <w:rsid w:val="00163B07"/>
    <w:rsid w:val="00163CF7"/>
    <w:rsid w:val="00163D84"/>
    <w:rsid w:val="0016633B"/>
    <w:rsid w:val="001678B7"/>
    <w:rsid w:val="00167FB3"/>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0AE"/>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793"/>
    <w:rsid w:val="001D5EDD"/>
    <w:rsid w:val="001D7336"/>
    <w:rsid w:val="001D74E5"/>
    <w:rsid w:val="001E0F2D"/>
    <w:rsid w:val="001E173C"/>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7360"/>
    <w:rsid w:val="002176CB"/>
    <w:rsid w:val="0022078A"/>
    <w:rsid w:val="00221D1B"/>
    <w:rsid w:val="00224AAA"/>
    <w:rsid w:val="00225F4A"/>
    <w:rsid w:val="00226024"/>
    <w:rsid w:val="002262BE"/>
    <w:rsid w:val="00230EBB"/>
    <w:rsid w:val="00232060"/>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F20"/>
    <w:rsid w:val="00261A46"/>
    <w:rsid w:val="00261E14"/>
    <w:rsid w:val="00265C42"/>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36EC"/>
    <w:rsid w:val="002B3DB9"/>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641"/>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A5A"/>
    <w:rsid w:val="0030318D"/>
    <w:rsid w:val="00304869"/>
    <w:rsid w:val="00304BB4"/>
    <w:rsid w:val="00305FDF"/>
    <w:rsid w:val="00307784"/>
    <w:rsid w:val="0031082D"/>
    <w:rsid w:val="00310C5A"/>
    <w:rsid w:val="00310DEF"/>
    <w:rsid w:val="00312406"/>
    <w:rsid w:val="00313AEA"/>
    <w:rsid w:val="003148C6"/>
    <w:rsid w:val="00314CE7"/>
    <w:rsid w:val="0031536E"/>
    <w:rsid w:val="00315DCB"/>
    <w:rsid w:val="00316364"/>
    <w:rsid w:val="0031681E"/>
    <w:rsid w:val="003177BE"/>
    <w:rsid w:val="00321F58"/>
    <w:rsid w:val="003235BC"/>
    <w:rsid w:val="003254A1"/>
    <w:rsid w:val="0032570D"/>
    <w:rsid w:val="003258AF"/>
    <w:rsid w:val="003258BD"/>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4DB9"/>
    <w:rsid w:val="003479A5"/>
    <w:rsid w:val="003518AC"/>
    <w:rsid w:val="003534C4"/>
    <w:rsid w:val="00353511"/>
    <w:rsid w:val="003543B2"/>
    <w:rsid w:val="00354D22"/>
    <w:rsid w:val="00356E19"/>
    <w:rsid w:val="00360768"/>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6279"/>
    <w:rsid w:val="003970C8"/>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E7682"/>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40E4"/>
    <w:rsid w:val="00414597"/>
    <w:rsid w:val="00414615"/>
    <w:rsid w:val="0041510C"/>
    <w:rsid w:val="0041551B"/>
    <w:rsid w:val="0041635B"/>
    <w:rsid w:val="0041719C"/>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46DF"/>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74C9"/>
    <w:rsid w:val="00507676"/>
    <w:rsid w:val="005077E3"/>
    <w:rsid w:val="00510731"/>
    <w:rsid w:val="005131A7"/>
    <w:rsid w:val="00513C12"/>
    <w:rsid w:val="00513CA2"/>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63EA"/>
    <w:rsid w:val="00536AEA"/>
    <w:rsid w:val="0054069F"/>
    <w:rsid w:val="0054118E"/>
    <w:rsid w:val="005447A4"/>
    <w:rsid w:val="00544AB9"/>
    <w:rsid w:val="00545202"/>
    <w:rsid w:val="00545569"/>
    <w:rsid w:val="00550A39"/>
    <w:rsid w:val="005513A8"/>
    <w:rsid w:val="005516CF"/>
    <w:rsid w:val="00551E0B"/>
    <w:rsid w:val="00551F45"/>
    <w:rsid w:val="00553A11"/>
    <w:rsid w:val="00553B19"/>
    <w:rsid w:val="005554F6"/>
    <w:rsid w:val="00555544"/>
    <w:rsid w:val="005576BE"/>
    <w:rsid w:val="00560382"/>
    <w:rsid w:val="00561732"/>
    <w:rsid w:val="0056216B"/>
    <w:rsid w:val="00563B60"/>
    <w:rsid w:val="0056412C"/>
    <w:rsid w:val="00564586"/>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4F9A"/>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672C"/>
    <w:rsid w:val="00636B51"/>
    <w:rsid w:val="006374E8"/>
    <w:rsid w:val="00637CAB"/>
    <w:rsid w:val="006405F7"/>
    <w:rsid w:val="00642649"/>
    <w:rsid w:val="00643BC6"/>
    <w:rsid w:val="00646CD3"/>
    <w:rsid w:val="0065016D"/>
    <w:rsid w:val="00651772"/>
    <w:rsid w:val="00652792"/>
    <w:rsid w:val="00652EDA"/>
    <w:rsid w:val="00654682"/>
    <w:rsid w:val="006564A9"/>
    <w:rsid w:val="00656E74"/>
    <w:rsid w:val="00664450"/>
    <w:rsid w:val="0066461D"/>
    <w:rsid w:val="00665015"/>
    <w:rsid w:val="00667D18"/>
    <w:rsid w:val="00670E0A"/>
    <w:rsid w:val="00670E9E"/>
    <w:rsid w:val="00670F2E"/>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F1B"/>
    <w:rsid w:val="00697ECF"/>
    <w:rsid w:val="006A227A"/>
    <w:rsid w:val="006A2683"/>
    <w:rsid w:val="006A406A"/>
    <w:rsid w:val="006A4877"/>
    <w:rsid w:val="006A685B"/>
    <w:rsid w:val="006A7E23"/>
    <w:rsid w:val="006B1607"/>
    <w:rsid w:val="006B1816"/>
    <w:rsid w:val="006B223D"/>
    <w:rsid w:val="006B2A9A"/>
    <w:rsid w:val="006B30F9"/>
    <w:rsid w:val="006B3E55"/>
    <w:rsid w:val="006B3F74"/>
    <w:rsid w:val="006B40C4"/>
    <w:rsid w:val="006B4170"/>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251"/>
    <w:rsid w:val="006E18DA"/>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D04FE"/>
    <w:rsid w:val="007D3170"/>
    <w:rsid w:val="007D32EC"/>
    <w:rsid w:val="007D4061"/>
    <w:rsid w:val="007D4F47"/>
    <w:rsid w:val="007D52D6"/>
    <w:rsid w:val="007D632C"/>
    <w:rsid w:val="007D7A46"/>
    <w:rsid w:val="007E074F"/>
    <w:rsid w:val="007E0AAD"/>
    <w:rsid w:val="007E1E00"/>
    <w:rsid w:val="007E58C1"/>
    <w:rsid w:val="007E61E7"/>
    <w:rsid w:val="007E6A77"/>
    <w:rsid w:val="007E6F4F"/>
    <w:rsid w:val="007E778F"/>
    <w:rsid w:val="007F0337"/>
    <w:rsid w:val="007F2341"/>
    <w:rsid w:val="007F2F05"/>
    <w:rsid w:val="007F5024"/>
    <w:rsid w:val="007F551B"/>
    <w:rsid w:val="007F757A"/>
    <w:rsid w:val="007F75E7"/>
    <w:rsid w:val="007F7DFB"/>
    <w:rsid w:val="00801407"/>
    <w:rsid w:val="00801E2E"/>
    <w:rsid w:val="008035BF"/>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546"/>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1456"/>
    <w:rsid w:val="00872725"/>
    <w:rsid w:val="00872A24"/>
    <w:rsid w:val="0087495B"/>
    <w:rsid w:val="00874D45"/>
    <w:rsid w:val="00875D4C"/>
    <w:rsid w:val="00875DA5"/>
    <w:rsid w:val="008764E2"/>
    <w:rsid w:val="00881F3E"/>
    <w:rsid w:val="00883404"/>
    <w:rsid w:val="00883BCD"/>
    <w:rsid w:val="0088424F"/>
    <w:rsid w:val="00886F6A"/>
    <w:rsid w:val="008901A5"/>
    <w:rsid w:val="008915DB"/>
    <w:rsid w:val="008916F5"/>
    <w:rsid w:val="00895EE3"/>
    <w:rsid w:val="008A1783"/>
    <w:rsid w:val="008A1FC5"/>
    <w:rsid w:val="008A2B7A"/>
    <w:rsid w:val="008A30F7"/>
    <w:rsid w:val="008A6C7A"/>
    <w:rsid w:val="008A7AF2"/>
    <w:rsid w:val="008B3D5D"/>
    <w:rsid w:val="008B4756"/>
    <w:rsid w:val="008B67A0"/>
    <w:rsid w:val="008B67FD"/>
    <w:rsid w:val="008C1A01"/>
    <w:rsid w:val="008C3F16"/>
    <w:rsid w:val="008C42FA"/>
    <w:rsid w:val="008C7AEA"/>
    <w:rsid w:val="008D1C34"/>
    <w:rsid w:val="008D1E4A"/>
    <w:rsid w:val="008D3D51"/>
    <w:rsid w:val="008D4821"/>
    <w:rsid w:val="008D5A25"/>
    <w:rsid w:val="008D6D30"/>
    <w:rsid w:val="008D6D48"/>
    <w:rsid w:val="008E02D8"/>
    <w:rsid w:val="008E0447"/>
    <w:rsid w:val="008E0712"/>
    <w:rsid w:val="008E2A3A"/>
    <w:rsid w:val="008E2BB6"/>
    <w:rsid w:val="008E4BC6"/>
    <w:rsid w:val="008E55C8"/>
    <w:rsid w:val="008E5D22"/>
    <w:rsid w:val="008E726B"/>
    <w:rsid w:val="008E774D"/>
    <w:rsid w:val="008F30F6"/>
    <w:rsid w:val="008F41FD"/>
    <w:rsid w:val="008F5475"/>
    <w:rsid w:val="008F768A"/>
    <w:rsid w:val="008F7D16"/>
    <w:rsid w:val="008F7EA3"/>
    <w:rsid w:val="009013FE"/>
    <w:rsid w:val="009016B0"/>
    <w:rsid w:val="00901C90"/>
    <w:rsid w:val="00902F23"/>
    <w:rsid w:val="00902F98"/>
    <w:rsid w:val="0090469C"/>
    <w:rsid w:val="00905705"/>
    <w:rsid w:val="009061B2"/>
    <w:rsid w:val="00906E11"/>
    <w:rsid w:val="009079CB"/>
    <w:rsid w:val="009109DB"/>
    <w:rsid w:val="00910E59"/>
    <w:rsid w:val="00911D45"/>
    <w:rsid w:val="009123C9"/>
    <w:rsid w:val="00913E26"/>
    <w:rsid w:val="00914163"/>
    <w:rsid w:val="00916000"/>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55F"/>
    <w:rsid w:val="009B6914"/>
    <w:rsid w:val="009C0CF4"/>
    <w:rsid w:val="009C2327"/>
    <w:rsid w:val="009C2999"/>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30DD"/>
    <w:rsid w:val="009F3122"/>
    <w:rsid w:val="009F3B8D"/>
    <w:rsid w:val="009F46F0"/>
    <w:rsid w:val="009F4D80"/>
    <w:rsid w:val="009F53E2"/>
    <w:rsid w:val="009F5DC6"/>
    <w:rsid w:val="009F7A1C"/>
    <w:rsid w:val="00A02005"/>
    <w:rsid w:val="00A030C7"/>
    <w:rsid w:val="00A03241"/>
    <w:rsid w:val="00A04871"/>
    <w:rsid w:val="00A0594E"/>
    <w:rsid w:val="00A06620"/>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60A3"/>
    <w:rsid w:val="00AA6534"/>
    <w:rsid w:val="00AB1014"/>
    <w:rsid w:val="00AB2BAC"/>
    <w:rsid w:val="00AC03E0"/>
    <w:rsid w:val="00AC06B4"/>
    <w:rsid w:val="00AC2DAE"/>
    <w:rsid w:val="00AC35B6"/>
    <w:rsid w:val="00AC3FF0"/>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6814"/>
    <w:rsid w:val="00BB682B"/>
    <w:rsid w:val="00BB6E63"/>
    <w:rsid w:val="00BB71F8"/>
    <w:rsid w:val="00BB7362"/>
    <w:rsid w:val="00BB75E2"/>
    <w:rsid w:val="00BB7A93"/>
    <w:rsid w:val="00BB7BDA"/>
    <w:rsid w:val="00BC0ED8"/>
    <w:rsid w:val="00BC2356"/>
    <w:rsid w:val="00BC259B"/>
    <w:rsid w:val="00BC338F"/>
    <w:rsid w:val="00BC44ED"/>
    <w:rsid w:val="00BC5294"/>
    <w:rsid w:val="00BC5329"/>
    <w:rsid w:val="00BC5CC6"/>
    <w:rsid w:val="00BC6CC5"/>
    <w:rsid w:val="00BC6F92"/>
    <w:rsid w:val="00BC7943"/>
    <w:rsid w:val="00BD003F"/>
    <w:rsid w:val="00BD107F"/>
    <w:rsid w:val="00BD1141"/>
    <w:rsid w:val="00BD1504"/>
    <w:rsid w:val="00BD6D6E"/>
    <w:rsid w:val="00BD7574"/>
    <w:rsid w:val="00BE0DE5"/>
    <w:rsid w:val="00BE1B1A"/>
    <w:rsid w:val="00BE3181"/>
    <w:rsid w:val="00BE39BF"/>
    <w:rsid w:val="00BE4749"/>
    <w:rsid w:val="00BE7842"/>
    <w:rsid w:val="00BF0B41"/>
    <w:rsid w:val="00BF1086"/>
    <w:rsid w:val="00BF18EE"/>
    <w:rsid w:val="00BF2AF5"/>
    <w:rsid w:val="00BF3DDC"/>
    <w:rsid w:val="00BF7164"/>
    <w:rsid w:val="00C00B92"/>
    <w:rsid w:val="00C014BB"/>
    <w:rsid w:val="00C022EB"/>
    <w:rsid w:val="00C024F9"/>
    <w:rsid w:val="00C03104"/>
    <w:rsid w:val="00C0365E"/>
    <w:rsid w:val="00C03F12"/>
    <w:rsid w:val="00C0420A"/>
    <w:rsid w:val="00C04766"/>
    <w:rsid w:val="00C05816"/>
    <w:rsid w:val="00C05BB0"/>
    <w:rsid w:val="00C05C6E"/>
    <w:rsid w:val="00C06057"/>
    <w:rsid w:val="00C0607A"/>
    <w:rsid w:val="00C06B6A"/>
    <w:rsid w:val="00C07454"/>
    <w:rsid w:val="00C0760A"/>
    <w:rsid w:val="00C116DD"/>
    <w:rsid w:val="00C11948"/>
    <w:rsid w:val="00C1198B"/>
    <w:rsid w:val="00C1205C"/>
    <w:rsid w:val="00C12B7F"/>
    <w:rsid w:val="00C14AAD"/>
    <w:rsid w:val="00C150C6"/>
    <w:rsid w:val="00C1529C"/>
    <w:rsid w:val="00C15E22"/>
    <w:rsid w:val="00C15EED"/>
    <w:rsid w:val="00C16703"/>
    <w:rsid w:val="00C1673F"/>
    <w:rsid w:val="00C20588"/>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66C8"/>
    <w:rsid w:val="00C36E3A"/>
    <w:rsid w:val="00C37589"/>
    <w:rsid w:val="00C37ADB"/>
    <w:rsid w:val="00C42889"/>
    <w:rsid w:val="00C43811"/>
    <w:rsid w:val="00C43CCC"/>
    <w:rsid w:val="00C44785"/>
    <w:rsid w:val="00C45496"/>
    <w:rsid w:val="00C47693"/>
    <w:rsid w:val="00C47EBC"/>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655"/>
    <w:rsid w:val="00C87AEC"/>
    <w:rsid w:val="00C87E60"/>
    <w:rsid w:val="00C900E7"/>
    <w:rsid w:val="00C902AF"/>
    <w:rsid w:val="00C939E9"/>
    <w:rsid w:val="00C958B1"/>
    <w:rsid w:val="00C96D04"/>
    <w:rsid w:val="00C96F28"/>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C0244"/>
    <w:rsid w:val="00CC0EE6"/>
    <w:rsid w:val="00CC14C2"/>
    <w:rsid w:val="00CC157E"/>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F142D"/>
    <w:rsid w:val="00CF3024"/>
    <w:rsid w:val="00CF332A"/>
    <w:rsid w:val="00CF39CA"/>
    <w:rsid w:val="00CF4394"/>
    <w:rsid w:val="00CF5C70"/>
    <w:rsid w:val="00CF68D9"/>
    <w:rsid w:val="00D034AE"/>
    <w:rsid w:val="00D05235"/>
    <w:rsid w:val="00D05287"/>
    <w:rsid w:val="00D05E61"/>
    <w:rsid w:val="00D10226"/>
    <w:rsid w:val="00D10946"/>
    <w:rsid w:val="00D11E88"/>
    <w:rsid w:val="00D11F70"/>
    <w:rsid w:val="00D1258A"/>
    <w:rsid w:val="00D127E8"/>
    <w:rsid w:val="00D12DCB"/>
    <w:rsid w:val="00D14388"/>
    <w:rsid w:val="00D14836"/>
    <w:rsid w:val="00D14D0E"/>
    <w:rsid w:val="00D16605"/>
    <w:rsid w:val="00D22C77"/>
    <w:rsid w:val="00D2479F"/>
    <w:rsid w:val="00D26F16"/>
    <w:rsid w:val="00D27B4E"/>
    <w:rsid w:val="00D27CAB"/>
    <w:rsid w:val="00D31120"/>
    <w:rsid w:val="00D312B6"/>
    <w:rsid w:val="00D32836"/>
    <w:rsid w:val="00D33EE3"/>
    <w:rsid w:val="00D34540"/>
    <w:rsid w:val="00D35C91"/>
    <w:rsid w:val="00D35E07"/>
    <w:rsid w:val="00D37CB2"/>
    <w:rsid w:val="00D40A69"/>
    <w:rsid w:val="00D41AE8"/>
    <w:rsid w:val="00D42376"/>
    <w:rsid w:val="00D42901"/>
    <w:rsid w:val="00D42E2D"/>
    <w:rsid w:val="00D46F29"/>
    <w:rsid w:val="00D47ACE"/>
    <w:rsid w:val="00D51D29"/>
    <w:rsid w:val="00D52030"/>
    <w:rsid w:val="00D526FA"/>
    <w:rsid w:val="00D527E5"/>
    <w:rsid w:val="00D52F95"/>
    <w:rsid w:val="00D53AAA"/>
    <w:rsid w:val="00D56625"/>
    <w:rsid w:val="00D60C21"/>
    <w:rsid w:val="00D62DBB"/>
    <w:rsid w:val="00D63782"/>
    <w:rsid w:val="00D64171"/>
    <w:rsid w:val="00D64637"/>
    <w:rsid w:val="00D650C4"/>
    <w:rsid w:val="00D65769"/>
    <w:rsid w:val="00D66F7D"/>
    <w:rsid w:val="00D6754B"/>
    <w:rsid w:val="00D67D00"/>
    <w:rsid w:val="00D67D5B"/>
    <w:rsid w:val="00D7089D"/>
    <w:rsid w:val="00D70D81"/>
    <w:rsid w:val="00D7362D"/>
    <w:rsid w:val="00D74895"/>
    <w:rsid w:val="00D76480"/>
    <w:rsid w:val="00D77000"/>
    <w:rsid w:val="00D814FA"/>
    <w:rsid w:val="00D82355"/>
    <w:rsid w:val="00D82A18"/>
    <w:rsid w:val="00D834E6"/>
    <w:rsid w:val="00D83F67"/>
    <w:rsid w:val="00D845D3"/>
    <w:rsid w:val="00D84DA3"/>
    <w:rsid w:val="00D8717A"/>
    <w:rsid w:val="00D8741C"/>
    <w:rsid w:val="00D876CC"/>
    <w:rsid w:val="00D87EAC"/>
    <w:rsid w:val="00D94209"/>
    <w:rsid w:val="00D94505"/>
    <w:rsid w:val="00D9498D"/>
    <w:rsid w:val="00D94BC3"/>
    <w:rsid w:val="00D94D9D"/>
    <w:rsid w:val="00D973C4"/>
    <w:rsid w:val="00D97D3A"/>
    <w:rsid w:val="00D97DF1"/>
    <w:rsid w:val="00DA08F0"/>
    <w:rsid w:val="00DA23FA"/>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6F6"/>
    <w:rsid w:val="00DE5A42"/>
    <w:rsid w:val="00DF111F"/>
    <w:rsid w:val="00DF1439"/>
    <w:rsid w:val="00DF57AF"/>
    <w:rsid w:val="00DF59D8"/>
    <w:rsid w:val="00DF5BA4"/>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6B6"/>
    <w:rsid w:val="00E13DD1"/>
    <w:rsid w:val="00E13F5F"/>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A36"/>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5633"/>
    <w:rsid w:val="00E96579"/>
    <w:rsid w:val="00E970A2"/>
    <w:rsid w:val="00E973A1"/>
    <w:rsid w:val="00EA09E3"/>
    <w:rsid w:val="00EA1B23"/>
    <w:rsid w:val="00EA5471"/>
    <w:rsid w:val="00EA558F"/>
    <w:rsid w:val="00EA5F66"/>
    <w:rsid w:val="00EA6822"/>
    <w:rsid w:val="00EA6A3E"/>
    <w:rsid w:val="00EA6CBD"/>
    <w:rsid w:val="00EB10FB"/>
    <w:rsid w:val="00EC1071"/>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7C33"/>
    <w:rsid w:val="00F108D7"/>
    <w:rsid w:val="00F128A8"/>
    <w:rsid w:val="00F12C38"/>
    <w:rsid w:val="00F13F48"/>
    <w:rsid w:val="00F160AD"/>
    <w:rsid w:val="00F16471"/>
    <w:rsid w:val="00F2121A"/>
    <w:rsid w:val="00F21582"/>
    <w:rsid w:val="00F21CB2"/>
    <w:rsid w:val="00F22C43"/>
    <w:rsid w:val="00F22D78"/>
    <w:rsid w:val="00F22EEF"/>
    <w:rsid w:val="00F2393F"/>
    <w:rsid w:val="00F246BE"/>
    <w:rsid w:val="00F254D9"/>
    <w:rsid w:val="00F25924"/>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405"/>
    <w:rsid w:val="00F5051E"/>
    <w:rsid w:val="00F51B92"/>
    <w:rsid w:val="00F51FEB"/>
    <w:rsid w:val="00F53808"/>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423E"/>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13D2"/>
    <w:rsid w:val="00FA417C"/>
    <w:rsid w:val="00FA42D3"/>
    <w:rsid w:val="00FA516B"/>
    <w:rsid w:val="00FA565B"/>
    <w:rsid w:val="00FA58B5"/>
    <w:rsid w:val="00FA744C"/>
    <w:rsid w:val="00FB3A1A"/>
    <w:rsid w:val="00FB4B81"/>
    <w:rsid w:val="00FB4F6E"/>
    <w:rsid w:val="00FB60E5"/>
    <w:rsid w:val="00FB61D0"/>
    <w:rsid w:val="00FB63FE"/>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721FFC"/>
    <w:rsid w:val="02A52C3A"/>
    <w:rsid w:val="02C37C16"/>
    <w:rsid w:val="04477A12"/>
    <w:rsid w:val="047113D7"/>
    <w:rsid w:val="04731B5B"/>
    <w:rsid w:val="048135F1"/>
    <w:rsid w:val="048900BC"/>
    <w:rsid w:val="04D0496F"/>
    <w:rsid w:val="04D63DFE"/>
    <w:rsid w:val="054961FD"/>
    <w:rsid w:val="054974F6"/>
    <w:rsid w:val="059D5867"/>
    <w:rsid w:val="05D168F6"/>
    <w:rsid w:val="062724A6"/>
    <w:rsid w:val="063365AC"/>
    <w:rsid w:val="064C13E1"/>
    <w:rsid w:val="06D923E6"/>
    <w:rsid w:val="07571860"/>
    <w:rsid w:val="07575A2A"/>
    <w:rsid w:val="07832762"/>
    <w:rsid w:val="079D43F6"/>
    <w:rsid w:val="088E3F19"/>
    <w:rsid w:val="08E030C0"/>
    <w:rsid w:val="095B0244"/>
    <w:rsid w:val="09675E55"/>
    <w:rsid w:val="096E5C63"/>
    <w:rsid w:val="09A9751C"/>
    <w:rsid w:val="0A411361"/>
    <w:rsid w:val="0A7F114B"/>
    <w:rsid w:val="0A954B17"/>
    <w:rsid w:val="0A954B61"/>
    <w:rsid w:val="0AB22B89"/>
    <w:rsid w:val="0AF5109D"/>
    <w:rsid w:val="0B04020E"/>
    <w:rsid w:val="0B206CE2"/>
    <w:rsid w:val="0C86158A"/>
    <w:rsid w:val="0CA93156"/>
    <w:rsid w:val="0D341471"/>
    <w:rsid w:val="0D422A7D"/>
    <w:rsid w:val="0DB65634"/>
    <w:rsid w:val="0EC15643"/>
    <w:rsid w:val="0EEF229D"/>
    <w:rsid w:val="0F5B6686"/>
    <w:rsid w:val="0F7F584B"/>
    <w:rsid w:val="0F8A4296"/>
    <w:rsid w:val="0FA70D6C"/>
    <w:rsid w:val="0FDD1292"/>
    <w:rsid w:val="0FF96E56"/>
    <w:rsid w:val="100506C1"/>
    <w:rsid w:val="102F69A3"/>
    <w:rsid w:val="10AA5342"/>
    <w:rsid w:val="10C33B0F"/>
    <w:rsid w:val="10F03177"/>
    <w:rsid w:val="10FB257E"/>
    <w:rsid w:val="11200625"/>
    <w:rsid w:val="11310FBB"/>
    <w:rsid w:val="118E0AC0"/>
    <w:rsid w:val="11AE585A"/>
    <w:rsid w:val="11C36205"/>
    <w:rsid w:val="11F84C47"/>
    <w:rsid w:val="12320CAD"/>
    <w:rsid w:val="12437AFC"/>
    <w:rsid w:val="12523281"/>
    <w:rsid w:val="130C5054"/>
    <w:rsid w:val="138401EB"/>
    <w:rsid w:val="13D1499F"/>
    <w:rsid w:val="13F81437"/>
    <w:rsid w:val="14011A1D"/>
    <w:rsid w:val="140E5DE0"/>
    <w:rsid w:val="141F6347"/>
    <w:rsid w:val="147045F0"/>
    <w:rsid w:val="14A53D07"/>
    <w:rsid w:val="14B60DBE"/>
    <w:rsid w:val="150A6991"/>
    <w:rsid w:val="150C4D2B"/>
    <w:rsid w:val="153E3968"/>
    <w:rsid w:val="166E3FEF"/>
    <w:rsid w:val="16BF1CB6"/>
    <w:rsid w:val="16C272FC"/>
    <w:rsid w:val="16F61981"/>
    <w:rsid w:val="17BA4E9E"/>
    <w:rsid w:val="17FA7E65"/>
    <w:rsid w:val="18427458"/>
    <w:rsid w:val="184E2D57"/>
    <w:rsid w:val="18577990"/>
    <w:rsid w:val="197CDDE6"/>
    <w:rsid w:val="197F1B0E"/>
    <w:rsid w:val="198D5B01"/>
    <w:rsid w:val="19983291"/>
    <w:rsid w:val="19A63761"/>
    <w:rsid w:val="19A91329"/>
    <w:rsid w:val="19C9339C"/>
    <w:rsid w:val="19C95A5B"/>
    <w:rsid w:val="19DF1D27"/>
    <w:rsid w:val="1A2B77F4"/>
    <w:rsid w:val="1A4C6DBB"/>
    <w:rsid w:val="1A5C0DCD"/>
    <w:rsid w:val="1A5D706A"/>
    <w:rsid w:val="1AAD10BF"/>
    <w:rsid w:val="1AAE3D5A"/>
    <w:rsid w:val="1B1464DA"/>
    <w:rsid w:val="1B9F38C9"/>
    <w:rsid w:val="1BCC1F28"/>
    <w:rsid w:val="1BE2366C"/>
    <w:rsid w:val="1BE5091B"/>
    <w:rsid w:val="1C864BDA"/>
    <w:rsid w:val="1C941E1E"/>
    <w:rsid w:val="1C9B4951"/>
    <w:rsid w:val="1CF55E97"/>
    <w:rsid w:val="1D4756AB"/>
    <w:rsid w:val="1D4D020A"/>
    <w:rsid w:val="1DEA6A1F"/>
    <w:rsid w:val="1E3412FF"/>
    <w:rsid w:val="1E6502AD"/>
    <w:rsid w:val="1E933BB9"/>
    <w:rsid w:val="1EAC654C"/>
    <w:rsid w:val="1EE16DEA"/>
    <w:rsid w:val="1F6116EF"/>
    <w:rsid w:val="1F780134"/>
    <w:rsid w:val="1F983263"/>
    <w:rsid w:val="1F9D5C31"/>
    <w:rsid w:val="1FFB03D5"/>
    <w:rsid w:val="203F2777"/>
    <w:rsid w:val="20421655"/>
    <w:rsid w:val="20432310"/>
    <w:rsid w:val="20633C30"/>
    <w:rsid w:val="207C0B93"/>
    <w:rsid w:val="21535467"/>
    <w:rsid w:val="216811B6"/>
    <w:rsid w:val="21BB1DAB"/>
    <w:rsid w:val="21F37F51"/>
    <w:rsid w:val="2207197B"/>
    <w:rsid w:val="2227090F"/>
    <w:rsid w:val="22B5691D"/>
    <w:rsid w:val="22DA750F"/>
    <w:rsid w:val="22DB5B2F"/>
    <w:rsid w:val="2311076F"/>
    <w:rsid w:val="23CE130B"/>
    <w:rsid w:val="243E1982"/>
    <w:rsid w:val="24535563"/>
    <w:rsid w:val="25A77F4A"/>
    <w:rsid w:val="25C603D0"/>
    <w:rsid w:val="25E77FB2"/>
    <w:rsid w:val="26082272"/>
    <w:rsid w:val="26771534"/>
    <w:rsid w:val="267D2A25"/>
    <w:rsid w:val="2698734A"/>
    <w:rsid w:val="26AA5F44"/>
    <w:rsid w:val="26AF0AB7"/>
    <w:rsid w:val="26F04483"/>
    <w:rsid w:val="27E04823"/>
    <w:rsid w:val="27E5DD26"/>
    <w:rsid w:val="2870455C"/>
    <w:rsid w:val="28706AC5"/>
    <w:rsid w:val="28B0474F"/>
    <w:rsid w:val="28C06F89"/>
    <w:rsid w:val="28FD0FCB"/>
    <w:rsid w:val="291678C1"/>
    <w:rsid w:val="293F7E11"/>
    <w:rsid w:val="29A0656A"/>
    <w:rsid w:val="2A0F0C91"/>
    <w:rsid w:val="2AEC7FE2"/>
    <w:rsid w:val="2AFE4323"/>
    <w:rsid w:val="2B05199B"/>
    <w:rsid w:val="2BAA7930"/>
    <w:rsid w:val="2C940BB2"/>
    <w:rsid w:val="2CDD5986"/>
    <w:rsid w:val="2D1D5A88"/>
    <w:rsid w:val="2D316120"/>
    <w:rsid w:val="2D386EE6"/>
    <w:rsid w:val="2D404F0C"/>
    <w:rsid w:val="2D8E6BA2"/>
    <w:rsid w:val="2E3C43E6"/>
    <w:rsid w:val="2E70277E"/>
    <w:rsid w:val="2E705A47"/>
    <w:rsid w:val="2F255A76"/>
    <w:rsid w:val="2F7B5F68"/>
    <w:rsid w:val="2FAF350F"/>
    <w:rsid w:val="2FEE0701"/>
    <w:rsid w:val="3014442E"/>
    <w:rsid w:val="3062519A"/>
    <w:rsid w:val="306F7D8F"/>
    <w:rsid w:val="30977539"/>
    <w:rsid w:val="30F53CD1"/>
    <w:rsid w:val="310630AA"/>
    <w:rsid w:val="310B4584"/>
    <w:rsid w:val="31693F42"/>
    <w:rsid w:val="31796C3F"/>
    <w:rsid w:val="319770C5"/>
    <w:rsid w:val="31A124F9"/>
    <w:rsid w:val="31CA58BC"/>
    <w:rsid w:val="31D077C5"/>
    <w:rsid w:val="31D37AED"/>
    <w:rsid w:val="31FC55F3"/>
    <w:rsid w:val="32BA5880"/>
    <w:rsid w:val="32D45CEA"/>
    <w:rsid w:val="33591224"/>
    <w:rsid w:val="3448001A"/>
    <w:rsid w:val="346936A8"/>
    <w:rsid w:val="34C75A4A"/>
    <w:rsid w:val="34E10969"/>
    <w:rsid w:val="34EC0511"/>
    <w:rsid w:val="34EC3BCC"/>
    <w:rsid w:val="35697251"/>
    <w:rsid w:val="35923A74"/>
    <w:rsid w:val="362A7476"/>
    <w:rsid w:val="36490DA2"/>
    <w:rsid w:val="365E5683"/>
    <w:rsid w:val="368F4C53"/>
    <w:rsid w:val="36A37DB9"/>
    <w:rsid w:val="36ED3360"/>
    <w:rsid w:val="370A2B41"/>
    <w:rsid w:val="37710351"/>
    <w:rsid w:val="37FCAA30"/>
    <w:rsid w:val="38031C25"/>
    <w:rsid w:val="38320438"/>
    <w:rsid w:val="38D330D8"/>
    <w:rsid w:val="39141265"/>
    <w:rsid w:val="39157E9B"/>
    <w:rsid w:val="39271051"/>
    <w:rsid w:val="397523E2"/>
    <w:rsid w:val="39CF6FE3"/>
    <w:rsid w:val="3A12314E"/>
    <w:rsid w:val="3A1569D4"/>
    <w:rsid w:val="3A410243"/>
    <w:rsid w:val="3A7F4945"/>
    <w:rsid w:val="3AA73640"/>
    <w:rsid w:val="3B54011B"/>
    <w:rsid w:val="3BCC45B7"/>
    <w:rsid w:val="3BCE5DAA"/>
    <w:rsid w:val="3C51E21A"/>
    <w:rsid w:val="3CF25BD7"/>
    <w:rsid w:val="3D2516CA"/>
    <w:rsid w:val="3D723258"/>
    <w:rsid w:val="3DC5127A"/>
    <w:rsid w:val="3DFD9977"/>
    <w:rsid w:val="3E180CC1"/>
    <w:rsid w:val="3E417F11"/>
    <w:rsid w:val="3EC204C9"/>
    <w:rsid w:val="3EE020AB"/>
    <w:rsid w:val="3F012742"/>
    <w:rsid w:val="3F1B3DD8"/>
    <w:rsid w:val="3F4555EE"/>
    <w:rsid w:val="3F59624C"/>
    <w:rsid w:val="3F5E2993"/>
    <w:rsid w:val="3FB989B7"/>
    <w:rsid w:val="3FEA37B6"/>
    <w:rsid w:val="3FEF1D80"/>
    <w:rsid w:val="400E0FA4"/>
    <w:rsid w:val="409277B7"/>
    <w:rsid w:val="40F869A3"/>
    <w:rsid w:val="416403A8"/>
    <w:rsid w:val="41A23A7A"/>
    <w:rsid w:val="424029A2"/>
    <w:rsid w:val="42592B22"/>
    <w:rsid w:val="42791B7A"/>
    <w:rsid w:val="42B04BFC"/>
    <w:rsid w:val="43182221"/>
    <w:rsid w:val="43635059"/>
    <w:rsid w:val="438B475E"/>
    <w:rsid w:val="439166FF"/>
    <w:rsid w:val="43B17DC4"/>
    <w:rsid w:val="44143AA3"/>
    <w:rsid w:val="446437DE"/>
    <w:rsid w:val="449C3A47"/>
    <w:rsid w:val="44B76C5C"/>
    <w:rsid w:val="44BE3F5B"/>
    <w:rsid w:val="44D51CBF"/>
    <w:rsid w:val="44D67180"/>
    <w:rsid w:val="44F3200D"/>
    <w:rsid w:val="455D3889"/>
    <w:rsid w:val="459F41C9"/>
    <w:rsid w:val="45F811E4"/>
    <w:rsid w:val="46217C1A"/>
    <w:rsid w:val="46300235"/>
    <w:rsid w:val="465E7A7F"/>
    <w:rsid w:val="46F6477A"/>
    <w:rsid w:val="472D60AA"/>
    <w:rsid w:val="476A7551"/>
    <w:rsid w:val="478A6475"/>
    <w:rsid w:val="48103286"/>
    <w:rsid w:val="481903DC"/>
    <w:rsid w:val="483E3549"/>
    <w:rsid w:val="489010DC"/>
    <w:rsid w:val="4898656F"/>
    <w:rsid w:val="48EC70FB"/>
    <w:rsid w:val="4910358D"/>
    <w:rsid w:val="492C219C"/>
    <w:rsid w:val="49D44AE5"/>
    <w:rsid w:val="49DE41BE"/>
    <w:rsid w:val="4A1A0DA4"/>
    <w:rsid w:val="4A1B1C83"/>
    <w:rsid w:val="4A1D4FBC"/>
    <w:rsid w:val="4A3E110C"/>
    <w:rsid w:val="4AD047B3"/>
    <w:rsid w:val="4AFD3FE5"/>
    <w:rsid w:val="4B075C92"/>
    <w:rsid w:val="4B257DED"/>
    <w:rsid w:val="4B5C462F"/>
    <w:rsid w:val="4BC1751C"/>
    <w:rsid w:val="4BE43E1D"/>
    <w:rsid w:val="4BF159DB"/>
    <w:rsid w:val="4BFD4B72"/>
    <w:rsid w:val="4C30370D"/>
    <w:rsid w:val="4CC308E1"/>
    <w:rsid w:val="4CFD3CE8"/>
    <w:rsid w:val="4DE12CEB"/>
    <w:rsid w:val="4DEF444E"/>
    <w:rsid w:val="4E3D697F"/>
    <w:rsid w:val="4EE317F6"/>
    <w:rsid w:val="4EFA3BA1"/>
    <w:rsid w:val="4F4E6605"/>
    <w:rsid w:val="4F837F5A"/>
    <w:rsid w:val="4FF71C33"/>
    <w:rsid w:val="4FFD30BF"/>
    <w:rsid w:val="50285660"/>
    <w:rsid w:val="503A7C83"/>
    <w:rsid w:val="50406436"/>
    <w:rsid w:val="504F169B"/>
    <w:rsid w:val="507022B3"/>
    <w:rsid w:val="509D2355"/>
    <w:rsid w:val="50BE26EA"/>
    <w:rsid w:val="50D61560"/>
    <w:rsid w:val="50ED3DFF"/>
    <w:rsid w:val="511D6E11"/>
    <w:rsid w:val="51415D3D"/>
    <w:rsid w:val="52262FCC"/>
    <w:rsid w:val="528C2CF5"/>
    <w:rsid w:val="52DC0984"/>
    <w:rsid w:val="5306650F"/>
    <w:rsid w:val="5347A943"/>
    <w:rsid w:val="53514ABF"/>
    <w:rsid w:val="53690FF8"/>
    <w:rsid w:val="53BC416F"/>
    <w:rsid w:val="53E915AA"/>
    <w:rsid w:val="541054C6"/>
    <w:rsid w:val="541F7680"/>
    <w:rsid w:val="545D78A2"/>
    <w:rsid w:val="5477043D"/>
    <w:rsid w:val="54C607BF"/>
    <w:rsid w:val="54F1676A"/>
    <w:rsid w:val="55307F0C"/>
    <w:rsid w:val="555C551E"/>
    <w:rsid w:val="55B318A1"/>
    <w:rsid w:val="56384043"/>
    <w:rsid w:val="567809C3"/>
    <w:rsid w:val="56AB1F48"/>
    <w:rsid w:val="56CF0F2B"/>
    <w:rsid w:val="56E70802"/>
    <w:rsid w:val="56F902DD"/>
    <w:rsid w:val="57287745"/>
    <w:rsid w:val="574C257C"/>
    <w:rsid w:val="57CC546B"/>
    <w:rsid w:val="57DE0CFA"/>
    <w:rsid w:val="5879605B"/>
    <w:rsid w:val="58925503"/>
    <w:rsid w:val="58E47B6E"/>
    <w:rsid w:val="59021383"/>
    <w:rsid w:val="590B76B5"/>
    <w:rsid w:val="59194FCA"/>
    <w:rsid w:val="592B0841"/>
    <w:rsid w:val="595B6AA6"/>
    <w:rsid w:val="59CE2DE5"/>
    <w:rsid w:val="5A5468C1"/>
    <w:rsid w:val="5AB9477F"/>
    <w:rsid w:val="5B2949C6"/>
    <w:rsid w:val="5B300DD1"/>
    <w:rsid w:val="5B7612E6"/>
    <w:rsid w:val="5B7D38BC"/>
    <w:rsid w:val="5BFB2DB5"/>
    <w:rsid w:val="5BFBEA0A"/>
    <w:rsid w:val="5D382BEB"/>
    <w:rsid w:val="5D3C274B"/>
    <w:rsid w:val="5D3E5728"/>
    <w:rsid w:val="5D71002C"/>
    <w:rsid w:val="5D752101"/>
    <w:rsid w:val="5DDA6229"/>
    <w:rsid w:val="5DF4376F"/>
    <w:rsid w:val="5DF7E468"/>
    <w:rsid w:val="5E5C65A1"/>
    <w:rsid w:val="5EA84E60"/>
    <w:rsid w:val="5EB05B8F"/>
    <w:rsid w:val="5EBE66D2"/>
    <w:rsid w:val="5ED66A25"/>
    <w:rsid w:val="5F4D0329"/>
    <w:rsid w:val="5F5111EC"/>
    <w:rsid w:val="5F583CD7"/>
    <w:rsid w:val="5F6176ED"/>
    <w:rsid w:val="5F857FB7"/>
    <w:rsid w:val="5FB273FD"/>
    <w:rsid w:val="5FC7CD58"/>
    <w:rsid w:val="5FCB663D"/>
    <w:rsid w:val="5FFFEBE2"/>
    <w:rsid w:val="60325507"/>
    <w:rsid w:val="6050574A"/>
    <w:rsid w:val="607D515C"/>
    <w:rsid w:val="607E67DA"/>
    <w:rsid w:val="614B38A4"/>
    <w:rsid w:val="614C3178"/>
    <w:rsid w:val="621511D8"/>
    <w:rsid w:val="621653BA"/>
    <w:rsid w:val="624F75D6"/>
    <w:rsid w:val="62BC6973"/>
    <w:rsid w:val="62F5139A"/>
    <w:rsid w:val="635D03E9"/>
    <w:rsid w:val="63BF1C96"/>
    <w:rsid w:val="63E26F87"/>
    <w:rsid w:val="6416752C"/>
    <w:rsid w:val="64387269"/>
    <w:rsid w:val="654D7EE0"/>
    <w:rsid w:val="658156F8"/>
    <w:rsid w:val="6586009D"/>
    <w:rsid w:val="67054DA9"/>
    <w:rsid w:val="671D4CBB"/>
    <w:rsid w:val="681A1E1C"/>
    <w:rsid w:val="68EF2F80"/>
    <w:rsid w:val="68F75C8D"/>
    <w:rsid w:val="69164CF6"/>
    <w:rsid w:val="691F3187"/>
    <w:rsid w:val="6A487CC5"/>
    <w:rsid w:val="6AA11FFE"/>
    <w:rsid w:val="6AA7500C"/>
    <w:rsid w:val="6BC00783"/>
    <w:rsid w:val="6BC51D04"/>
    <w:rsid w:val="6C4C2C69"/>
    <w:rsid w:val="6C573C4E"/>
    <w:rsid w:val="6D04082D"/>
    <w:rsid w:val="6D267BD4"/>
    <w:rsid w:val="6D4938B6"/>
    <w:rsid w:val="6DB06F56"/>
    <w:rsid w:val="6DFFDCC8"/>
    <w:rsid w:val="6E054C0E"/>
    <w:rsid w:val="6E391AF1"/>
    <w:rsid w:val="6E3A2388"/>
    <w:rsid w:val="6F260569"/>
    <w:rsid w:val="6F3A193D"/>
    <w:rsid w:val="6F7FD4E1"/>
    <w:rsid w:val="70075990"/>
    <w:rsid w:val="705E24F7"/>
    <w:rsid w:val="70666977"/>
    <w:rsid w:val="70786D99"/>
    <w:rsid w:val="70CF44A8"/>
    <w:rsid w:val="70DD6002"/>
    <w:rsid w:val="70E84159"/>
    <w:rsid w:val="70EE366D"/>
    <w:rsid w:val="71081C54"/>
    <w:rsid w:val="714317DD"/>
    <w:rsid w:val="71530A68"/>
    <w:rsid w:val="71A212BE"/>
    <w:rsid w:val="71A24435"/>
    <w:rsid w:val="72AE2191"/>
    <w:rsid w:val="73910128"/>
    <w:rsid w:val="73A870C0"/>
    <w:rsid w:val="740B089D"/>
    <w:rsid w:val="744503BC"/>
    <w:rsid w:val="749434A7"/>
    <w:rsid w:val="74AC6587"/>
    <w:rsid w:val="74D6127F"/>
    <w:rsid w:val="74DE40D0"/>
    <w:rsid w:val="755F161D"/>
    <w:rsid w:val="75657F9B"/>
    <w:rsid w:val="75966E65"/>
    <w:rsid w:val="75982A7C"/>
    <w:rsid w:val="75BE4EBA"/>
    <w:rsid w:val="75F6370F"/>
    <w:rsid w:val="7657199D"/>
    <w:rsid w:val="7690441B"/>
    <w:rsid w:val="76CB29FB"/>
    <w:rsid w:val="76FFC661"/>
    <w:rsid w:val="7750136A"/>
    <w:rsid w:val="777619C6"/>
    <w:rsid w:val="777F4F8D"/>
    <w:rsid w:val="77962542"/>
    <w:rsid w:val="77E71047"/>
    <w:rsid w:val="7800416F"/>
    <w:rsid w:val="78472389"/>
    <w:rsid w:val="78557619"/>
    <w:rsid w:val="78603F60"/>
    <w:rsid w:val="787466AD"/>
    <w:rsid w:val="78925C5D"/>
    <w:rsid w:val="78A02EAF"/>
    <w:rsid w:val="78F3605C"/>
    <w:rsid w:val="792A555B"/>
    <w:rsid w:val="79532E9E"/>
    <w:rsid w:val="797B578E"/>
    <w:rsid w:val="79E1494E"/>
    <w:rsid w:val="7A835A05"/>
    <w:rsid w:val="7ADF7AAB"/>
    <w:rsid w:val="7AF83E4D"/>
    <w:rsid w:val="7AFD02D5"/>
    <w:rsid w:val="7B8E093C"/>
    <w:rsid w:val="7C286368"/>
    <w:rsid w:val="7C792DD3"/>
    <w:rsid w:val="7CE36209"/>
    <w:rsid w:val="7D502CDB"/>
    <w:rsid w:val="7D846F08"/>
    <w:rsid w:val="7DCF489F"/>
    <w:rsid w:val="7DD60D82"/>
    <w:rsid w:val="7DDD18C6"/>
    <w:rsid w:val="7E014DE9"/>
    <w:rsid w:val="7E230E82"/>
    <w:rsid w:val="7E484C97"/>
    <w:rsid w:val="7E661541"/>
    <w:rsid w:val="7E7F654D"/>
    <w:rsid w:val="7EBE1A06"/>
    <w:rsid w:val="7EDDD954"/>
    <w:rsid w:val="7F0E20EC"/>
    <w:rsid w:val="7F51026F"/>
    <w:rsid w:val="7F5F508C"/>
    <w:rsid w:val="7F778BBE"/>
    <w:rsid w:val="7F7B44B5"/>
    <w:rsid w:val="7F7C442A"/>
    <w:rsid w:val="7F7F7FE8"/>
    <w:rsid w:val="7FFE5E09"/>
    <w:rsid w:val="8BBFE3E1"/>
    <w:rsid w:val="98FD4329"/>
    <w:rsid w:val="9F7F2574"/>
    <w:rsid w:val="AFE76705"/>
    <w:rsid w:val="B7DD19A8"/>
    <w:rsid w:val="B8FF097C"/>
    <w:rsid w:val="BA4A54F2"/>
    <w:rsid w:val="BBBF1853"/>
    <w:rsid w:val="BC6CFCA1"/>
    <w:rsid w:val="BFDEC38F"/>
    <w:rsid w:val="BFFF77AA"/>
    <w:rsid w:val="BFFFF86C"/>
    <w:rsid w:val="DC3F19CA"/>
    <w:rsid w:val="DDBF732A"/>
    <w:rsid w:val="DFEEA49C"/>
    <w:rsid w:val="E17F4431"/>
    <w:rsid w:val="E88FE03B"/>
    <w:rsid w:val="EB5D1D39"/>
    <w:rsid w:val="EDEFDD46"/>
    <w:rsid w:val="F3AF7508"/>
    <w:rsid w:val="F65F16A6"/>
    <w:rsid w:val="F749BF63"/>
    <w:rsid w:val="FE8FBF28"/>
    <w:rsid w:val="FEEF7B49"/>
    <w:rsid w:val="FF767351"/>
    <w:rsid w:val="FF7B3F6C"/>
    <w:rsid w:val="FF9F3805"/>
    <w:rsid w:val="FFBC8B96"/>
    <w:rsid w:val="FFBFCD20"/>
    <w:rsid w:val="FFF2E76A"/>
    <w:rsid w:val="FFFD1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8"/>
    <w:unhideWhenUsed/>
    <w:qFormat/>
    <w:uiPriority w:val="0"/>
    <w:pPr>
      <w:keepNext/>
      <w:keepLines/>
      <w:numPr>
        <w:ilvl w:val="1"/>
        <w:numId w:val="1"/>
      </w:numPr>
      <w:tabs>
        <w:tab w:val="left" w:pos="1134"/>
        <w:tab w:val="clear" w:pos="3261"/>
      </w:tabs>
      <w:spacing w:line="360" w:lineRule="auto"/>
      <w:ind w:left="0" w:firstLine="720" w:firstLineChars="200"/>
      <w:jc w:val="left"/>
      <w:outlineLvl w:val="1"/>
    </w:pPr>
    <w:rPr>
      <w:rFonts w:ascii="Arial" w:hAnsi="Arial"/>
      <w:b/>
    </w:rPr>
  </w:style>
  <w:style w:type="paragraph" w:styleId="4">
    <w:name w:val="heading 3"/>
    <w:basedOn w:val="1"/>
    <w:next w:val="1"/>
    <w:link w:val="30"/>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ascii="Calibri" w:hAnsi="Calibri" w:eastAsia="宋体" w:cs="Times New Roman"/>
    </w:rPr>
  </w:style>
  <w:style w:type="paragraph" w:styleId="12">
    <w:name w:val="Balloon Text"/>
    <w:basedOn w:val="1"/>
    <w:link w:val="22"/>
    <w:semiHidden/>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semiHidden/>
    <w:unhideWhenUsed/>
    <w:qFormat/>
    <w:uiPriority w:val="0"/>
    <w:rPr>
      <w:rFonts w:asciiTheme="minorHAnsi" w:hAnsiTheme="minorHAnsi" w:eastAsiaTheme="minorEastAsia" w:cstheme="minorBidi"/>
      <w:b/>
      <w:bCs/>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页眉 字符"/>
    <w:basedOn w:val="18"/>
    <w:link w:val="14"/>
    <w:qFormat/>
    <w:uiPriority w:val="0"/>
    <w:rPr>
      <w:kern w:val="2"/>
      <w:sz w:val="18"/>
      <w:szCs w:val="18"/>
    </w:rPr>
  </w:style>
  <w:style w:type="character" w:customStyle="1" w:styleId="22">
    <w:name w:val="批注框文本 字符"/>
    <w:basedOn w:val="18"/>
    <w:link w:val="12"/>
    <w:semiHidden/>
    <w:qFormat/>
    <w:uiPriority w:val="0"/>
    <w:rPr>
      <w:kern w:val="2"/>
      <w:sz w:val="18"/>
      <w:szCs w:val="18"/>
    </w:rPr>
  </w:style>
  <w:style w:type="paragraph" w:styleId="23">
    <w:name w:val="List Paragraph"/>
    <w:basedOn w:val="1"/>
    <w:unhideWhenUsed/>
    <w:qFormat/>
    <w:uiPriority w:val="99"/>
    <w:pPr>
      <w:ind w:firstLine="420" w:firstLineChars="200"/>
    </w:p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fontstyle01"/>
    <w:basedOn w:val="18"/>
    <w:qFormat/>
    <w:uiPriority w:val="0"/>
    <w:rPr>
      <w:rFonts w:hint="eastAsia" w:ascii="黑体" w:hAnsi="黑体" w:eastAsia="黑体"/>
      <w:color w:val="000000"/>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主题 字符"/>
    <w:basedOn w:val="24"/>
    <w:link w:val="15"/>
    <w:semiHidden/>
    <w:qFormat/>
    <w:uiPriority w:val="0"/>
    <w:rPr>
      <w:rFonts w:asciiTheme="minorHAnsi" w:hAnsiTheme="minorHAnsi" w:eastAsiaTheme="minorEastAsia" w:cstheme="minorBidi"/>
      <w:b/>
      <w:bCs/>
      <w:kern w:val="2"/>
      <w:sz w:val="21"/>
      <w:szCs w:val="22"/>
    </w:rPr>
  </w:style>
  <w:style w:type="character" w:customStyle="1" w:styleId="28">
    <w:name w:val="标题 2 字符"/>
    <w:link w:val="3"/>
    <w:qFormat/>
    <w:uiPriority w:val="0"/>
    <w:rPr>
      <w:rFonts w:ascii="Arial" w:hAnsi="Arial" w:eastAsia="仿宋_GB2312"/>
      <w:b/>
    </w:rPr>
  </w:style>
  <w:style w:type="character" w:customStyle="1" w:styleId="29">
    <w:name w:val="标题 1 字符"/>
    <w:link w:val="2"/>
    <w:qFormat/>
    <w:uiPriority w:val="0"/>
    <w:rPr>
      <w:rFonts w:eastAsia="黑体" w:asciiTheme="minorHAnsi" w:hAnsiTheme="minorHAnsi"/>
      <w:kern w:val="44"/>
      <w:sz w:val="28"/>
    </w:rPr>
  </w:style>
  <w:style w:type="character" w:customStyle="1" w:styleId="30">
    <w:name w:val="标题 3 字符"/>
    <w:link w:val="4"/>
    <w:qFormat/>
    <w:uiPriority w:val="0"/>
    <w:rPr>
      <w:b/>
      <w:sz w:val="32"/>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hidden/>
    <w:semiHidden/>
    <w:qFormat/>
    <w:uiPriority w:val="99"/>
    <w:rPr>
      <w:rFonts w:eastAsia="仿宋_GB2312" w:asciiTheme="minorHAnsi" w:hAnsiTheme="minorHAnsi" w:cstheme="minorBidi"/>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hidden/>
    <w:unhideWhenUsed/>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43</Pages>
  <Words>4042</Words>
  <Characters>23043</Characters>
  <Lines>192</Lines>
  <Paragraphs>54</Paragraphs>
  <TotalTime>1</TotalTime>
  <ScaleCrop>false</ScaleCrop>
  <LinksUpToDate>false</LinksUpToDate>
  <CharactersWithSpaces>27031</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2025-12-21T06:01:00Z</dcterms:created>
  <dc:creator>czbank</dc:creator>
  <cp:lastModifiedBy>叶淑珊</cp:lastModifiedBy>
  <cp:lastPrinted>2024-09-17T23:45:00Z</cp:lastPrinted>
  <dcterms:modified xsi:type="dcterms:W3CDTF">2026-08-13T16:29:11Z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2052-12.1.26046.26046</vt:lpwstr>
  </property>
  <property fmtid="{D5CDD505-2E9C-101B-9397-08002B2CF9AE}" pid="3" name="ICV">
    <vt:lpwstr>E9D4553AC666ADE557807D6AFED29D30_43</vt:lpwstr>
  </property>
  <property fmtid="{D5CDD505-2E9C-101B-9397-08002B2CF9AE}" pid="4" name="KSOTemplateDocerSaveRecord">
    <vt:lpwstr>eyJoZGlkIjoiYWNhOTE4NDNjODhjYzgxMjRkZjJkNjAwYTFhNjQxOWQiLCJ1c2VySWQiOiIzNDYyMDcwMDIifQ==</vt:lpwstr>
  </property>
</Properties>
</file>