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outlineLvl w:val="0"/>
        <w:rPr>
          <w:rStyle w:val="6"/>
          <w:rFonts w:ascii="黑体" w:hAnsi="黑体" w:eastAsia="黑体"/>
          <w:sz w:val="28"/>
          <w:szCs w:val="28"/>
        </w:rPr>
      </w:pPr>
      <w:r>
        <w:rPr>
          <w:rStyle w:val="6"/>
          <w:rFonts w:hint="eastAsia" w:ascii="黑体" w:hAnsi="黑体" w:eastAsia="黑体"/>
          <w:sz w:val="28"/>
          <w:szCs w:val="28"/>
        </w:rPr>
        <w:t>兴银理财</w:t>
      </w:r>
      <w:permStart w:id="0" w:edGrp="everyone"/>
      <w:r>
        <w:rPr>
          <w:rStyle w:val="6"/>
          <w:rFonts w:hint="eastAsia" w:ascii="黑体" w:hAnsi="黑体" w:eastAsia="黑体"/>
          <w:sz w:val="28"/>
          <w:szCs w:val="28"/>
        </w:rPr>
        <w:t>【稳添利日盈日开固收类】</w:t>
      </w:r>
      <w:permEnd w:id="0"/>
      <w:r>
        <w:rPr>
          <w:rStyle w:val="6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76" w:lineRule="auto"/>
        <w:jc w:val="center"/>
        <w:outlineLvl w:val="0"/>
        <w:rPr>
          <w:rStyle w:val="6"/>
          <w:rFonts w:ascii="黑体" w:hAnsi="黑体" w:eastAsia="黑体"/>
          <w:sz w:val="28"/>
          <w:szCs w:val="28"/>
        </w:rPr>
      </w:pPr>
      <w:r>
        <w:rPr>
          <w:rStyle w:val="6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9"/>
        <w:jc w:val="center"/>
        <w:outlineLvl w:val="0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直销：产品管理人销售/■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</w:t>
      </w:r>
      <w:r>
        <w:rPr>
          <w:rFonts w:ascii="宋体" w:hAnsi="宋体"/>
          <w:sz w:val="18"/>
          <w:szCs w:val="18"/>
        </w:rPr>
        <w:t>《风险揭示书》《投资者权益须知》以及其他有关文件（如有），确认已同意相关内容、充分了解相关风险并无疑问和异议后，签署相关销售文件，并办理购买手续。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bCs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【C1至C</w:t>
      </w:r>
      <w:r>
        <w:rPr>
          <w:rFonts w:hint="eastAsia" w:ascii="宋体" w:hAnsi="宋体"/>
          <w:sz w:val="18"/>
          <w:szCs w:val="18"/>
          <w:lang w:val="en-US" w:eastAsia="zh-CN"/>
        </w:rPr>
        <w:t>5五</w:t>
      </w:r>
      <w:r>
        <w:rPr>
          <w:rFonts w:hint="eastAsia" w:ascii="宋体" w:hAnsi="宋体"/>
          <w:sz w:val="18"/>
          <w:szCs w:val="18"/>
        </w:rPr>
        <w:t>个等级】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ascii="宋体" w:hAnsi="宋体"/>
          <w:sz w:val="18"/>
          <w:szCs w:val="18"/>
        </w:rPr>
        <w:t>C1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ascii="宋体" w:hAnsi="宋体"/>
          <w:sz w:val="18"/>
          <w:szCs w:val="18"/>
        </w:rPr>
        <w:t>C</w:t>
      </w:r>
      <w:r>
        <w:rPr>
          <w:rFonts w:hint="eastAsia" w:ascii="宋体" w:hAnsi="宋体"/>
          <w:sz w:val="18"/>
          <w:szCs w:val="18"/>
          <w:lang w:val="en-US" w:eastAsia="zh-CN"/>
        </w:rPr>
        <w:t>5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4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486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outlineLvl w:val="1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bookmarkEnd w:id="0"/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r>
        <w:rPr>
          <w:rFonts w:hint="eastAsia" w:ascii="宋体" w:hAnsi="宋体"/>
          <w:sz w:val="18"/>
          <w:szCs w:val="18"/>
        </w:rPr>
        <w:t>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7"/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outlineLvl w:val="0"/>
        <w:rPr>
          <w:rStyle w:val="6"/>
          <w:rFonts w:ascii="黑体" w:hAnsi="黑体" w:eastAsia="黑体"/>
          <w:sz w:val="28"/>
          <w:szCs w:val="28"/>
        </w:rPr>
      </w:pPr>
      <w:r>
        <w:rPr>
          <w:rStyle w:val="6"/>
          <w:rFonts w:hint="eastAsia" w:ascii="黑体" w:hAnsi="黑体" w:eastAsia="黑体"/>
          <w:sz w:val="28"/>
          <w:szCs w:val="28"/>
        </w:rPr>
        <w:t>兴银理财</w:t>
      </w:r>
      <w:permStart w:id="8" w:edGrp="everyone"/>
      <w:r>
        <w:rPr>
          <w:rStyle w:val="6"/>
          <w:rFonts w:hint="eastAsia" w:ascii="黑体" w:hAnsi="黑体" w:eastAsia="黑体"/>
          <w:sz w:val="28"/>
          <w:szCs w:val="28"/>
        </w:rPr>
        <w:t>【稳添利日盈日开固收类】</w:t>
      </w:r>
      <w:permEnd w:id="8"/>
      <w:r>
        <w:rPr>
          <w:rStyle w:val="6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80" w:lineRule="atLeast"/>
        <w:jc w:val="center"/>
        <w:outlineLvl w:val="0"/>
        <w:rPr>
          <w:rStyle w:val="6"/>
          <w:rFonts w:ascii="黑体" w:hAnsi="黑体" w:eastAsia="黑体"/>
          <w:sz w:val="28"/>
          <w:szCs w:val="28"/>
        </w:rPr>
      </w:pPr>
      <w:r>
        <w:rPr>
          <w:rStyle w:val="6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9"/>
        <w:spacing w:line="280" w:lineRule="atLeast"/>
        <w:jc w:val="center"/>
        <w:outlineLvl w:val="0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</w:t>
      </w:r>
      <w:permStart w:id="9" w:edGrp="everyone"/>
      <w:r>
        <w:rPr>
          <w:rFonts w:hint="eastAsia" w:hAnsi="宋体"/>
          <w:b/>
          <w:color w:val="auto"/>
          <w:sz w:val="28"/>
          <w:szCs w:val="28"/>
        </w:rPr>
        <w:t>机构投资者</w:t>
      </w:r>
      <w:permEnd w:id="9"/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0" w:edGrp="everyone"/>
      <w:r>
        <w:rPr>
          <w:rFonts w:hint="eastAsia" w:ascii="宋体" w:hAnsi="宋体"/>
          <w:sz w:val="18"/>
          <w:szCs w:val="18"/>
        </w:rPr>
        <w:t>【】</w:t>
      </w:r>
      <w:permEnd w:id="10"/>
      <w:r>
        <w:rPr>
          <w:rFonts w:hint="eastAsia" w:ascii="宋体" w:hAnsi="宋体"/>
          <w:sz w:val="18"/>
          <w:szCs w:val="18"/>
        </w:rPr>
        <w:t>以(</w:t>
      </w:r>
      <w:permStart w:id="11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1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outlineLvl w:val="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</w:t>
      </w:r>
      <w:r>
        <w:rPr>
          <w:rFonts w:ascii="宋体" w:hAnsi="宋体"/>
          <w:sz w:val="18"/>
          <w:szCs w:val="18"/>
        </w:rPr>
        <w:t>《风险揭示书》《投资者权益须知》以及其他有关文件（如有），确认已同意相关内容、充分了解相关风险并无疑问和异议后，签署相关销售文件，并办理购买手续。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outlineLvl w:val="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bCs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hint="eastAsia" w:ascii="宋体" w:hAnsi="宋体"/>
          <w:b/>
          <w:sz w:val="18"/>
          <w:szCs w:val="18"/>
        </w:rPr>
        <w:t>.投资者风险承受能力评级与理财产品风险评级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hint="eastAsia" w:ascii="宋体" w:hAnsi="宋体"/>
          <w:sz w:val="18"/>
          <w:szCs w:val="18"/>
        </w:rPr>
        <w:t>【】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4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15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permEnd w:id="15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spacing w:line="280" w:lineRule="atLeast"/>
        <w:ind w:firstLine="361" w:firstLineChars="200"/>
        <w:outlineLvl w:val="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1" w:firstLineChars="200"/>
        <w:outlineLvl w:val="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outlineLvl w:val="1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ind w:firstLine="360" w:firstLineChars="200"/>
        <w:outlineLvl w:val="1"/>
        <w:rPr>
          <w:rFonts w:ascii="宋体" w:hAnsi="宋体"/>
          <w:sz w:val="18"/>
          <w:szCs w:val="18"/>
        </w:rPr>
      </w:pPr>
      <w:permStart w:id="16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r>
        <w:rPr>
          <w:rFonts w:hint="eastAsia" w:ascii="宋体" w:hAnsi="宋体"/>
          <w:sz w:val="18"/>
          <w:szCs w:val="18"/>
        </w:rPr>
        <w:t>.销售机构：【 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16"/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spacing w:line="280" w:lineRule="atLeast"/>
        <w:jc w:val="left"/>
      </w:pPr>
    </w:p>
    <w:p>
      <w:bookmarkStart w:id="1" w:name="_GoBack"/>
      <w:bookmarkEnd w:id="1"/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3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dit="readOnly" w:enforcement="1" w:cryptProviderType="rsaAES" w:cryptAlgorithmClass="hash" w:cryptAlgorithmType="typeAny" w:cryptAlgorithmSid="14" w:cryptSpinCount="100000" w:hash="3lTXpawx85HUa5IViZ6M1BqRN7BSyIBBPQEqRtVWiSK0LnptoIW/A8d2ztSz9tFYyrPhEeTpzmkkqCKEgASkcQ==" w:salt="ihFY/Xd5hTr24Ip5FrERtQ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209"/>
    <w:rsid w:val="003D2920"/>
    <w:rsid w:val="00491E7C"/>
    <w:rsid w:val="00C16209"/>
    <w:rsid w:val="00CF737F"/>
    <w:rsid w:val="00DE450C"/>
    <w:rsid w:val="174D31F2"/>
    <w:rsid w:val="724E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qFormat/>
    <w:uiPriority w:val="22"/>
    <w:rPr>
      <w:b/>
      <w:bCs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kern w:val="0"/>
      <w:sz w:val="24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429</Words>
  <Characters>2448</Characters>
  <Lines>20</Lines>
  <Paragraphs>5</Paragraphs>
  <TotalTime>0</TotalTime>
  <ScaleCrop>false</ScaleCrop>
  <LinksUpToDate>false</LinksUpToDate>
  <CharactersWithSpaces>2872</CharactersWithSpaces>
  <Application>WPS Office_11.8.2.10164_F1E327BC-269C-435d-A152-05C5408002CA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2025-01-24T12:01:00Z</dcterms:created>
  <dc:creator>兴银理财法务002</dc:creator>
  <cp:lastModifiedBy>cib</cp:lastModifiedBy>
  <dcterms:modified xsi:type="dcterms:W3CDTF">2026-08-13T01:09:44Z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</Properties>
</file>