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“苏银理财恒源封闭债权367期</w:t>
      </w:r>
      <w:r>
        <w:rPr>
          <w:rFonts w:hint="eastAsia" w:ascii="楷体" w:hAnsi="楷体" w:eastAsia="楷体"/>
          <w:b/>
          <w:color w:val="auto"/>
          <w:sz w:val="28"/>
          <w:szCs w:val="28"/>
          <w:highlight w:val="none"/>
        </w:rPr>
        <w:t>”理财产品说明书</w:t>
      </w:r>
    </w:p>
    <w:p>
      <w:pPr>
        <w:jc w:val="center"/>
        <w:rPr>
          <w:rFonts w:hint="eastAsia" w:ascii="楷体" w:hAnsi="楷体" w:eastAsia="楷体" w:cs="宋体"/>
          <w:b/>
          <w:bCs/>
          <w:color w:val="auto"/>
          <w:sz w:val="24"/>
          <w:szCs w:val="24"/>
        </w:rPr>
      </w:pPr>
      <w:r>
        <w:rPr>
          <w:rFonts w:hint="eastAsia" w:ascii="楷体" w:hAnsi="楷体" w:eastAsia="楷体" w:cs="宋体"/>
          <w:b/>
          <w:color w:val="auto"/>
          <w:sz w:val="24"/>
          <w:szCs w:val="24"/>
        </w:rPr>
        <w:t>2026年8月版</w:t>
      </w:r>
    </w:p>
    <w:p>
      <w:pPr>
        <w:jc w:val="center"/>
        <w:rPr>
          <w:rFonts w:hint="eastAsia" w:ascii="楷体" w:hAnsi="楷体" w:eastAsia="楷体"/>
          <w:b/>
          <w:bCs/>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苏银理财恒源封闭债权367期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cs="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3"/>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苏银理财恒源封闭债权367期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Z7003126000371，投资者可依据该编码在中国理财网www.chinawealth.com.cn查询产品信息。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A份额：苏银理财恒源封闭债权367期13月A/J26967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B份额：苏银理财恒源封闭债权367期13月B/J26968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C份额：苏银理财恒源封闭债权367期13月C/J26969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D份额：苏银理财恒源封闭债权367期13月D/J26970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E份额：苏银理财恒源封闭债权367期13月E/J26971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F份额：苏银理财恒源封闭债权367期13月F/J26972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G份额：苏银理财恒源封闭债权367期13月G/J26973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I份额：苏银理财恒源封闭债权367期13月I/J26974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J份额：苏银理财恒源封闭债权367期13月J/J26975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K份额：苏银理财恒源封闭债权367期13月K（新客专属）/J26976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M份额：苏银理财恒源封闭债权367期13月M/J26977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N份额：苏银理财恒源封闭债权367期13月N/J26978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O份额：苏银理财恒源封闭债权367期13月O/J26979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P份额：苏银理财恒源封闭债权367期13月P/J26980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Q份额：苏银理财恒源封闭债权367期13月Q/J26981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R份额：苏银理财恒源封闭债权367期13月R/J26982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S份额：苏银理财恒源封闭债权367期13月S/J26983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U份额：苏银理财恒源封闭债权367期13月U/J26984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W份额：苏银理财恒源封闭债权367期13月W/J26986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JS份额：苏银理财恒源封闭债权367期13月JS鑫福款/J26987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Z份额：苏银理财恒源封闭债权367期13月Z/J26989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LS份额：苏银理财恒源封闭债权367期13月LS/J26990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T份额：苏银理财恒源封闭债权367期13月T（七夕臻享）/J26991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X份额：苏银理财恒源封闭债权367期13月X（恒盈财富专属）/J26992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WF份额：苏银理财恒源封闭债权367期13月WF/J26993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3"/>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C份额：面向个人和机构投资者销售，份额销售机构江苏银行仅限代发工资客户、新资金客户、新客户，具体以销售机构系统设置为准。新客户是指首次购买理财产品的客户；新资金的达标条件为“客户前一日资产时点余额”较“前一月末资产月日均余额”的新增额大于5万元；</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E份额：面向个人和机构投资者销售，份额销售机构江苏银行仅限财富客户、私行客户、企业高管客户，具体以销售机构系统设置为准。江苏银行财富客户指在江苏银行日均资产大于等于200万元的个人客户；江苏银行私行客户指在江苏银行日均资产大于等于600万元的个人客户；企业高管客户是指与江苏银行有业务来往的企业的高管客户；</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M份额：面向个人和机构投资者销售；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U份额：面向个人和机构投资者销售；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LS份额：面向个人和机构投资者销售；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T份额：面向个人和机构投资者销售；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X份额：面向个人和机构投资者销售；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default" w:ascii="楷体" w:hAnsi="楷体" w:eastAsia="楷体" w:cs="宋体"/>
                <w:color w:val="auto"/>
                <w:spacing w:val="-2"/>
                <w:sz w:val="18"/>
                <w:szCs w:val="18"/>
                <w:lang w:val="en-US" w:eastAsia="zh-CN"/>
              </w:rPr>
              <w:t>WF份额：面向个人和机构投资者销售。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A份额：1元/1元的整数倍；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B份额：1元/1元的整数倍；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C份额：1元/1元的整数倍；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D份额：1元/1元的整数倍；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E份额：300,000元/10,000元的整数倍；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F份额：1元/1元的整数倍；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G份额：1元/1元的整数倍；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I份额：1元/1元的整数倍；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K份额：1元/1元的整数倍；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M份额：1元/1元的整数倍；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N份额：1元/1元的整数倍；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O份额：1元/1元的整数倍；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P份额：300,000元/10,000元的整数倍；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Q份额：1元/1元的整数倍；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R份额：1元/1元的整数倍；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U份额：1元/1元的整数倍；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JS份额：1元/1元的整数倍；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Z份额：1元/1元的整数倍；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LS份额：1元/1元的整数倍；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T份额：1元/1元的整数倍；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X份额：1元/1元的整数倍；</w:t>
            </w:r>
            <w:r>
              <w:rPr>
                <w:rFonts w:hint="eastAsia" w:ascii="楷体" w:hAnsi="楷体" w:eastAsia="楷体"/>
                <w:sz w:val="18"/>
                <w:szCs w:val="18"/>
                <w:highlight w:val="none"/>
                <w:lang w:val="en-US" w:eastAsia="zh-CN"/>
              </w:rPr>
              <w:br w:type="textWrapping"/>
            </w:r>
            <w:r>
              <w:rPr>
                <w:rFonts w:hint="eastAsia" w:ascii="楷体" w:hAnsi="楷体" w:eastAsia="楷体"/>
                <w:sz w:val="18"/>
                <w:szCs w:val="18"/>
                <w:highlight w:val="none"/>
                <w:lang w:val="en-US" w:eastAsia="zh-CN"/>
              </w:rPr>
              <w:t>WF份额：1元/1元的整数倍。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2026年8月19日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2026年8月25日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2026年8月26日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2027年9月21日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2.35%-2.75%；B份额：2.35%-2.75%；C份额：2.45%-2.85%；D份额：2.45%-2.85%；E份额：2.45%-2.85%；F份额：2.40%-2.80%；G份额：2.30%-2.70%；I份额：2.35%-2.75%；J份额：2.30%-2.70%；K份额：2.55%-2.95%；M份额：2.25%-2.65%；N份额：2.35%-2.75%；O份额：2.37%-2.77%；P份额：2.45%-2.85%；Q份额：2.55%-2.95%；R份额：2.60%-3.00%；S份额：2.40%-2.80%；U份额：2.50%-2.90%；W份额：2.35%-2.75%；JS份额：2.35%-2.75%；Z份额：2.50%-2.90%；LS份额：2.50%-2.90%；T份额：2.60%-3.00%；X份额：2.60%-3.00%；WF份额：2.65%-3.05%。</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I份额：0.15%；J份额：0.20%；K份额：0.10%；M份额：0.35%；N份额：0.25%；O份额：0.30%；P份额：0.15%；Q份额：0.10%；R份额：0.05%；S份额：0.15%；U份额：0.20%；W份额：0.20%；JS份额：0.20%；Z份额：0.10%；LS份额：0.15%；T份额：0.05%；X份额：0.05%；WF份额：0.05%。其中D/K/M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0.10%；D份额：0.10%；E份额：0.10%；F份额：0.15%；G份额：0.15%；I份额：0.25%；J份额：0.25%；K份额：0.10%；M份额：0.15%；N份额：0.15%；O份额：0.08%；P份额：0.15%；Q份额：0.10%；R份额：0.10%；S份额：0.20%；U份额：0.05%；W份额：0.20%；JS份额：0.20%；Z份额：0.15%；LS份额：0.10%；T份额：0.10%；X份额：0.10%；WF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lang w:val="en-US" w:eastAsia="zh-CN"/>
        </w:rPr>
      </w:pPr>
      <w:r>
        <w:rPr>
          <w:rFonts w:hint="eastAsia" w:ascii="楷体" w:hAnsi="楷体" w:eastAsia="楷体" w:cs="Times New Roman"/>
          <w:b/>
          <w:color w:val="auto"/>
          <w:sz w:val="21"/>
          <w:szCs w:val="21"/>
          <w:highlight w:val="none"/>
          <w:lang w:val="en-US" w:eastAsia="zh-CN"/>
        </w:rPr>
        <w:t>三、产品托管人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中国工商银行股份有限公司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A份额：江苏高淳农村商业银行股份有限公司/江苏姜堰农村商业银行股份有限公司/江苏常熟农村商业银行股份有限公司/江苏银行股份有限公司/徽商银行股份有限公司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B份额：晋商银行股份有限公司/东莞农村商业银行股份有限公司/齐鲁银行股份有限公司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C份额：江苏银行股份有限公司/宁夏银行股份有限公司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D份额：武汉农村商业银行股份有限公司/浙江桐乡农村商业银行股份有限公司/宁波东海银行股份有限公司/浙江江山农村商业银行股份有限公司/浙江舟山定海海洋农村商业银行股份有限公司/浙江绍兴恒信农村商业银行股份有限公司/浙江义乌农村商业银行股份有限公司/浙江禾城农村商业银行股份有限公司/浙江温州瓯海农村商业银行股份有限公司/浙江岱山农村商业银行股份有限公司/重庆农村商业银行股份有限公司/浙江诸暨农村商业银行股份有限公司/浙江德清农村商业银行股份有限公司/浙江南浔农村商业银行股份有限公司/浙江松阳农村商业银行股份有限公司/浙江安吉农村商业银行股份有限公司/浙江平湖农村商业银行股份有限公司/浙江嘉善农村商业银行股份有限公司/浙江绍兴瑞丰农村商业银行股份有限公司/齐鲁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E份额：江苏银行股份有限公司/江苏常熟农村商业银行股份有限公司/江苏宜兴农村商业银行股份有限公司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F份额：莱商银行股份有限公司/威海银行股份有限公司/齐鲁银行股份有限公司/青岛银行股份有限公司/广州银行股份有限公司/江苏苏州农村商业银行股份有限公司/东营银行股份有限公司/秦皇岛银行股份有限公司/上海银行股份有限公司/广东华润银行股份有限公司/郑州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G份额：江苏苏州农村商业银行股份有限公司/江苏常熟农村商业银行股份有限公司/北京农村商业银行股份有限公司/山西银行股份有限公司/上海农村商业银行股份有限公司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I份额：杭州联合农村商业银行股份有限公司/浙江萧山农村商业银行股份有限公司/浙江杭州余杭农村商业银行股份有限公司/浙江临安农村商业银行股份有限公司/浙江桐庐农村商业银行股份有限公司/浙江富阳农村商业银行股份有限公司/浙江建德农村商业银行股份有限公司/宁波慈溪农村商业银行股份有限公司/宁波余姚农村商业银行股份有限公司/宁波镇海农村商业银行股份有限公司/宁波鄞州农村商业银行股份有限公司/宁波甬城农村商业银行股份有限公司/宁波宁海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J份额：杭州联合农村商业银行股份有限公司/浙江萧山农村商业银行股份有限公司/浙江杭州余杭农村商业银行股份有限公司/浙江临安农村商业银行股份有限公司/浙江桐庐农村商业银行股份有限公司/浙江富阳农村商业银行股份有限公司/浙江建德农村商业银行股份有限公司/宁波慈溪农村商业银行股份有限公司/宁波余姚农村商业银行股份有限公司/宁波镇海农村商业银行股份有限公司/宁波鄞州农村商业银行股份有限公司/宁波甬城农村商业银行股份有限公司/宁波宁海农村商业银行股份有限公司/浙江绍兴瑞丰农村商业银行股份有限公司/浙江绍兴恒信农村商业银行股份有限公司/苏银理财有限责任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K份额：武汉农村商业银行股份有限公司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M份额：重庆农村商业银行股份有限公司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N份额：青岛银行股份有限公司/上海银行股份有限公司/兴业银行股份有限公司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O份额：东莞农村商业银行股份有限公司/湖北银行股份有限公司/九江银行股份有限公司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P份额：东营银行股份有限公司/浙江杭州余杭农村商业银行股份有限公司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Q份额：浙江海宁农村商业银行股份有限公司/浙江平湖农村商业银行股份有限公司/浙江海盐农村商业银行股份有限公司/浙江桐乡农村商业银行股份有限公司/浙江嘉善农村商业银行股份有限公司/浙江瑞安农村商业银行股份有限公司/浙江绍兴瑞丰农村商业银行股份有限公司/浙江温州瓯海农村商业银行股份有限公司/浙江禾城农村商业银行股份有限公司/浙江上虞农村商业银行股份有限公司/浙江苍南农村商业银行股份有限公司/浙江温州龙湾农村商业银行股份有限公司/浙江永康农村商业银行股份有限公司/浙江温州鹿城农村商业银行股份有限公司/浙江永嘉农村商业银行股份有限公司/浙江德清农村商业银行股份有限公司/浙江乐清农村商业银行股份有限公司/浙江新昌农村商业银行股份有限公司/浙江武义农村商业银行股份有限公司/浙江嵊州农村商业银行股份有限公司/浙江东阳农村商业银行股份有限公司/浙江安吉农村商业银行股份有限公司/浙江岱山农村商业银行股份有限公司/浙江温岭农村商业银行股份有限公司/浙江青田农村商业银行股份有限公司/浙江临海农村商业银行股份有限公司/湖州吴兴农村商业银行股份有限公司/浙江舟山定海海洋农村商业银行股份有限公司/浙江义乌农村商业银行股份有限公司/浙江江山农村商业银行股份有限公司/浙江南浔农村商业银行股份有限公司/浙江兰溪农村商业银行股份有限公司/浙江舟山普陀农村商业银行股份有限公司/浙江衢州柯城农村商业银行股份有限公司/浙江天台农村商业银行股份有限公司/浙江台州路桥农村商业银行股份有限公司/浙江衢州衢江农村商业银行股份有限公司/浙江文成农村商业银行股份有限公司/浙江龙泉农村商业银行股份有限公司/浙江绍兴恒信农村商业银行股份有限公司/浙江金华成泰农村商业银行股份有限公司/浙江缙云农村商业银行股份有限公司/浙江浦江农村商业银行股份有限公司/浙江长兴农村商业银行股份有限公司/浙江开化农村商业银行股份有限公司/浙江仙居农村商业银行股份有限公司/浙江龙游农村商业银行股份有限公司/浙江台州黄岩农村商业银行股份有限公司/浙江泰顺农村商业银行股份有限公司/浙江遂昌农村商业银行股份有限公司/浙江诸暨农村商业银行股份有限公司/苏银理财有限责任公司/日照银行股份有限公司/青岛银行股份有限公司/广西北部湾银行股份有限公司/泰安银行股份有限公司/浙江淳安农村商业银行股份有限公司/齐鲁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R份额：浙江淳安农村商业银行股份有限公司/浙江嘉善农村商业银行股份有限公司/浙江海宁农村商业银行股份有限公司/浙江永康农村商业银行股份有限公司/浙江青田农村商业银行股份有限公司/浙江岱山农村商业银行股份有限公司/浙江海盐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S份额：浙江温州鹿城农村商业银行股份有限公司/浙江义乌农村商业银行股份有限公司/浙江乐清农村商业银行股份有限公司/浙江瑞安农村商业银行股份有限公司/浙江上虞农村商业银行股份有限公司/浙江温州瓯海农村商业银行股份有限公司/浙江海宁农村商业银行股份有限公司/浙江温州龙湾农村商业银行股份有限公司/浙江德清农村商业银行股份有限公司/浙江南浔农村商业银行股份有限公司/浙江禾城农村商业银行股份有限公司/浙江东阳农村商业银行股份有限公司/浙江诸暨农村商业银行股份有限公司/浙江桐乡农村商业银行股份有限公司/浙江温岭农村商业银行股份有限公司/浙江临海农村商业银行股份有限公司/浙江永康农村商业银行股份有限公司/浙江嘉善农村商业银行股份有限公司/浙江安吉农村商业银行股份有限公司/浙江长兴农村商业银行股份有限公司/浙江台州路桥农村商业银行股份有限公司/湖州吴兴农村商业银行股份有限公司/浙江嵊州农村商业银行股份有限公司/浙江平湖农村商业银行股份有限公司/浙江永嘉农村商业银行股份有限公司/浙江苍南农村商业银行股份有限公司/浙江金华成泰农村商业银行股份有限公司/浙江绍兴恒信农村商业银行股份有限公司/浙江台州黄岩农村商业银行股份有限公司/浙江江山农村商业银行股份有限公司/浙江海盐农村商业银行股份有限公司/浙江青田农村商业银行股份有限公司/浙江兰溪农村商业银行股份有限公司/浙江衢州柯城农村商业银行股份有限公司/浙江武义农村商业银行股份有限公司/浙江新昌农村商业银行股份有限公司/浙江舟山定海海洋农村商业银行股份有限公司/浙江舟山普陀农村商业银行股份有限公司/浙江天台农村商业银行股份有限公司/浙江仙居农村商业银行股份有限公司/浙江文成农村商业银行股份有限公司/浙江衢州衢江农村商业银行股份有限公司/浙江龙游农村商业银行股份有限公司/浙江泰顺农村商业银行股份有限公司/浙江浦江农村商业银行股份有限公司/浙江开化农村商业银行股份有限公司/浙江缙云农村商业银行股份有限公司/浙江岱山农村商业银行股份有限公司/浙江龙泉农村商业银行股份有限公司/浙江遂昌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U份额：嘉兴银行股份有限公司</w:t>
      </w:r>
    </w:p>
    <w:p>
      <w:pPr>
        <w:numPr>
          <w:ilvl w:val="0"/>
          <w:numId w:val="0"/>
        </w:numPr>
        <w:tabs>
          <w:tab w:val="left" w:pos="1134"/>
        </w:tabs>
        <w:ind w:left="0" w:firstLine="420"/>
        <w:rPr>
          <w:rFonts w:hint="eastAsia"/>
          <w:lang w:val="en-US" w:eastAsia="zh-CN"/>
        </w:rPr>
      </w:pPr>
      <w:r>
        <w:rPr>
          <w:rFonts w:hint="eastAsia" w:ascii="楷体" w:hAnsi="楷体" w:eastAsia="楷体"/>
          <w:sz w:val="21"/>
          <w:szCs w:val="21"/>
          <w:highlight w:val="none"/>
          <w:lang w:val="en-US" w:eastAsia="zh-CN"/>
        </w:rPr>
        <w:t>W份额：浙江绍兴瑞丰农村商业银行股份有限公司/苏银理财有限责任公司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JS份额：江苏东海农村商业银行股份有限公司/江苏赣榆农村商业银行股份有限公司/江苏射阳农村商业银行股份有限公司/江苏阜宁农村商业银行股份有限公司/江苏东台农村商业银行股份有限公司/江苏盐城农村商业银行股份有限公司/江苏高淳农村商业银行股份有限公司/江苏紫金农村商业银行股份有限公司/江苏溧水农村商业银行股份有限公司/江苏大丰农村商业银行股份有限公司/江苏扬州农村商业银行股份有限公司/江苏张家港农村商业银行股份有限公司/江苏如东农村商业银行股份有限公司/江苏泗阳农村商业银行股份有限公司/江苏沛县农村商业银行股份有限公司/江苏灌云农村商业银行股份有限公司/江苏灌南农村商业银行股份有限公司/江苏泰兴农村商业银行股份有限公司/江苏仪征农村商业银行股份有限公司/江苏靖江农村商业银行股份有限公司/江苏海门农村商业银行股份有限公司/江苏江都农村商业银行股份有限公司/江苏常熟农村商业银行股份有限公司/江苏新沂农村商业银行股份有限公司/江苏如皋农村商业银行股份有限公司/江苏启东农村商业银行股份有限公司/徐州农村商业银行股份有限公司/江苏高邮农村商业银行股份有限公司/江苏沭阳农村商业银行股份有限公司/江苏民丰农村商业银行股份有限公司/江苏镇江农村商业银行股份有限公司/江苏海安农村商业银行股份有限公司/江苏建湖农村商业银行股份有限公司/江苏淮安农村商业银行股份有限公司/江苏姜堰农村商业银行股份有限公司/江苏句容农村商业银行股份有限公司/江苏睢宁农村商业银行股份有限公司/江苏扬中农村商业银行股份有限公司/江苏丰县农村商业银行股份有限公司/江苏邳州农村商业银行股份有</w:t>
      </w:r>
      <w:bookmarkStart w:id="0" w:name="_GoBack"/>
      <w:bookmarkEnd w:id="0"/>
      <w:r>
        <w:rPr>
          <w:rFonts w:hint="eastAsia" w:ascii="楷体" w:hAnsi="楷体" w:eastAsia="楷体"/>
          <w:sz w:val="21"/>
          <w:szCs w:val="21"/>
          <w:highlight w:val="none"/>
          <w:lang w:val="en-US" w:eastAsia="zh-CN"/>
        </w:rPr>
        <w:t>限公司/江苏宜兴农村商业银行股份有限公司/连云港东方农村商业银行股份有限公司/江苏金湖农村商业银行股份有限公司/江苏响水农村商业银行股份有限公司/江苏泗洪农村商业银行股份有限公司/江苏太仓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Z份额：郑州银行股份有限公司/齐鲁银行股份有限公司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LS份额：莱商银行股份有限公司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T份额：浙江海宁农村商业银行股份有限公司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X份额：浙江绍兴恒信农村商业银行股份有限公司</w:t>
      </w:r>
    </w:p>
    <w:p>
      <w:pPr>
        <w:numPr>
          <w:ilvl w:val="0"/>
          <w:numId w:val="0"/>
        </w:numPr>
        <w:tabs>
          <w:tab w:val="left" w:pos="1134"/>
        </w:tabs>
        <w:ind w:left="0" w:firstLine="420"/>
        <w:rPr>
          <w:rFonts w:hint="eastAsia" w:ascii="楷体" w:hAnsi="楷体" w:eastAsia="楷体"/>
          <w:sz w:val="21"/>
          <w:szCs w:val="21"/>
          <w:highlight w:val="none"/>
          <w:lang w:val="en-US" w:eastAsia="zh-CN"/>
        </w:rPr>
      </w:pPr>
      <w:r>
        <w:rPr>
          <w:rFonts w:hint="eastAsia" w:ascii="楷体" w:hAnsi="楷体" w:eastAsia="楷体"/>
          <w:sz w:val="21"/>
          <w:szCs w:val="21"/>
          <w:highlight w:val="none"/>
          <w:lang w:val="en-US" w:eastAsia="zh-CN"/>
        </w:rPr>
        <w:t>WF份额：潍坊银行股份有限公司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ind w:firstLine="420"/>
        <w:rPr>
          <w:rFonts w:hint="default" w:ascii="楷体" w:hAnsi="楷体" w:eastAsia="楷体" w:cs="Times New Roman"/>
          <w:bCs/>
          <w:color w:val="auto"/>
          <w:sz w:val="21"/>
          <w:szCs w:val="21"/>
          <w:highlight w:val="none"/>
          <w:u w:val="none"/>
          <w:lang w:val="en-US" w:eastAsia="zh-CN"/>
        </w:rPr>
      </w:pPr>
      <w:r>
        <w:rPr>
          <w:rFonts w:hint="eastAsia" w:ascii="楷体" w:hAnsi="楷体" w:eastAsia="楷体" w:cs="楷体"/>
          <w:sz w:val="21"/>
          <w:szCs w:val="21"/>
          <w:lang w:eastAsia="zh-CN"/>
        </w:rPr>
        <w:t>(1)同业借款：融资人为中国中信金融资产管理股份有限公司。融资人经营正常，是依法成立的国有公司，主要股东为中国中信集团有限公司、财政局、中国融信私募基金有限公司，实际控制人为财政部。 (2)同业借款：融资人为中国东方资产管理股份有限公司。融资人经营正常，是依法成立的国有公司，主要股东为中央汇金投资有限责任公司、全国社会保障基金理事会、中国电信集团有限公司，实际控制人为国务院。 (3)同业借款：融资人为中国信达资产管理股份有限公司。融资人经营正常，是依法成立的国有公司，主要股东为中央汇金投资有限责任公司，实际控制人为国务院。 (4)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 (5)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 (6)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 (7)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 (8)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 (9)收益凭证：融资人为华泰证券股份有限公司。融资人经营正常，是依法设立的持牌金融机构，主要股东为江苏省国信集团有限公司、香港中央结算（代理人）有限公司、江苏交通控股有限公司，无实际控制人。 (10)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 (11)收益凭证：融资人为申万宏源证券有限公司。融资人经营正常，是依法设立的持牌金融机构，主要股东为申万宏源集团股份有限公司，实际控制人为中央汇金投资有限责任公司。 (12)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 (13)收益凭证：融资人为浙商证券股份有限公司。融资人经营正常，是依法设立的持牌金融机构，主要股东为浙江上三高速公路有限公司、台州市金融投资集团有限公司，实际控制人为浙江省交通投资集团有限公司。 (14)收益凭证：融资人为国投证券股份有限公司。融资人经营正常，是依法设立的持牌金融机构，主要股东为国投资本股份有限公司、上海毅胜投资有限公司，实际控制人为国家开发投资集团有限公司。 (15)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 (16)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 (17)收益凭证：融资人为兴业证券股份有限公司。融资人经营正常，是依法设立的持牌金融机构，主要股东为福建省财政厅、福建省投资开发集团有限责任公司、上海申新（集团）有限公司，实际控制人为福建省财政厅。 (18)收益凭证：融资人为财通证券股份有限公司。融资人经营正常，是依法设立的持牌金融机构，主要股东为浙江省创新投资集团有限公司、浙江省财开集团有限公司、台州市金融投资集团有限公司，实际控制人为浙江省财政厅。 (19)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 (20)收益凭证：融资人为东海证券股份有限公司。融资人经营正常，是依法设立的持牌金融机构，主要股东为常州投资集团有限公司、山东金控资本管理有限公司，实际控制人为常州投资集团有限公司。 (21)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 (22)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 (23)收益凭证：融资人为长城证券股份有限公司。融资人经营正常，是依法设立的持牌金融机构，主要股东为华能资本服务有限公司、深圳新江南投资有限公司、深圳能源集团股份有限公司，实际控制人为中央汇金投资有限责任公司。 (24)收益凭证：融资人为中国中金财富证券有限公司。融资人经营正常，是依法设立的持牌金融机构，主要股东为中国国际金融股份有限公司，实际控制人为中央汇金投资有限责任公司。 (25)收益凭证：融资人为山西证券股份有限公司。融资人经营正常，是依法设立的持牌金融机构，主要股东为山西金融投资控股集团有限公司、太原钢铁（集团）有限公司、山西国际电力集团有限公司，实际控制人为山西省财政厅。 (26)收益凭证：融资人为国都证券股份有限公司。融资人经营正常，是依法设立的持牌金融机构，主要股东为浙商证券股份有限公司、中诚信托有限责任公司、北京国际信托有限公司，实际控制人为浙江省交通投资集团有限公司。 (27)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 (28)收益凭证：融资人为华鑫证券有限责任公司。融资人经营正常，是依法设立的持牌金融机构，主要股东为上海华鑫股份有限公司，实际控制人为上海市国有资产监督管理委员会。 (29)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 (30)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 (31)收益凭证：融资人为广发证券股份有限公司。融资人经营正常，是依法设立的持牌金融机构，主要股东为香港中央结算（代理人）有限公司、吉林敖东药业集团股份有限公司、辽宁成大股份有限公司，无实际控制人。 (32)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 (33)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r>
        <w:rPr>
          <w:rFonts w:hint="default" w:ascii="Calibri" w:hAnsi="Calibri" w:eastAsia="楷体" w:cs="Calibri"/>
          <w:b w:val="0"/>
          <w:bCs w:val="0"/>
          <w:sz w:val="21"/>
          <w:szCs w:val="21"/>
        </w:rPr>
        <w:t>。</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15"/>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反映资产净值，确定理财产品资产净值，并为理财产品的申购、赎回和兑付提供计价依据。</w:t>
      </w:r>
    </w:p>
    <w:p>
      <w:pPr>
        <w:pStyle w:val="15"/>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不可抗力、及/或通讯故障、非产品管理人原因的系统故障等意外事件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jc w:val="left"/>
        <w:rPr>
          <w:rFonts w:ascii="楷体" w:hAnsi="楷体" w:eastAsia="楷体"/>
        </w:rPr>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78"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79"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77"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80"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b w:val="0"/>
        <w:bCs w:val="0"/>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353EA"/>
    <w:rsid w:val="111B7DD6"/>
    <w:rsid w:val="48FF4F1B"/>
    <w:rsid w:val="518018E1"/>
    <w:rsid w:val="605264D5"/>
    <w:rsid w:val="6C761D47"/>
    <w:rsid w:val="737C4A00"/>
    <w:rsid w:val="73B07C1C"/>
    <w:rsid w:val="77703B9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4">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5">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6">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7">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8">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9">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10">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2">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9">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2">
    <w:name w:val="Grid Table 4 - Accent 1"/>
    <w:basedOn w:val="3"/>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paragraph" w:styleId="13">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4">
    <w:name w:val="annotation text"/>
    <w:basedOn w:val="1"/>
    <w:unhideWhenUsed/>
    <w:qFormat/>
    <w:uiPriority w:val="99"/>
    <w:pPr>
      <w:jc w:val="left"/>
    </w:pPr>
  </w:style>
  <w:style w:type="paragraph" w:styleId="15">
    <w:name w:val="Body Text"/>
    <w:basedOn w:val="1"/>
    <w:next w:val="1"/>
    <w:qFormat/>
    <w:uiPriority w:val="1"/>
    <w:pPr>
      <w:spacing w:before="162"/>
      <w:ind w:left="120"/>
      <w:jc w:val="left"/>
    </w:pPr>
    <w:rPr>
      <w:rFonts w:ascii="宋体" w:hAnsi="Times New Roman"/>
      <w:sz w:val="20"/>
      <w:szCs w:val="21"/>
    </w:rPr>
  </w:style>
  <w:style w:type="paragraph" w:styleId="16">
    <w:name w:val="Date"/>
    <w:basedOn w:val="1"/>
    <w:next w:val="1"/>
    <w:unhideWhenUsed/>
    <w:qFormat/>
    <w:uiPriority w:val="99"/>
    <w:pPr>
      <w:ind w:left="100"/>
    </w:pPr>
  </w:style>
  <w:style w:type="paragraph" w:styleId="17">
    <w:name w:val="endnote text"/>
    <w:basedOn w:val="1"/>
    <w:semiHidden/>
    <w:unhideWhenUsed/>
    <w:qFormat/>
    <w:uiPriority w:val="99"/>
    <w:pPr>
      <w:spacing w:after="0" w:line="240" w:lineRule="auto"/>
    </w:pPr>
    <w:rPr>
      <w:sz w:val="20"/>
      <w:szCs w:val="20"/>
    </w:rPr>
  </w:style>
  <w:style w:type="paragraph" w:styleId="18">
    <w:name w:val="Balloon Text"/>
    <w:basedOn w:val="1"/>
    <w:unhideWhenUsed/>
    <w:qFormat/>
    <w:uiPriority w:val="99"/>
    <w:rPr>
      <w:sz w:val="18"/>
      <w:szCs w:val="18"/>
    </w:rPr>
  </w:style>
  <w:style w:type="paragraph" w:styleId="19">
    <w:name w:val="footer"/>
    <w:basedOn w:val="1"/>
    <w:unhideWhenUsed/>
    <w:qFormat/>
    <w:uiPriority w:val="99"/>
    <w:pPr>
      <w:tabs>
        <w:tab w:val="center" w:pos="4153"/>
        <w:tab w:val="right" w:pos="8306"/>
      </w:tabs>
      <w:jc w:val="left"/>
    </w:pPr>
    <w:rPr>
      <w:sz w:val="18"/>
      <w:szCs w:val="18"/>
    </w:rPr>
  </w:style>
  <w:style w:type="paragraph" w:styleId="20">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21">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2">
    <w:name w:val="footnote text"/>
    <w:basedOn w:val="1"/>
    <w:semiHidden/>
    <w:unhideWhenUsed/>
    <w:qFormat/>
    <w:uiPriority w:val="99"/>
    <w:pPr>
      <w:jc w:val="left"/>
    </w:pPr>
    <w:rPr>
      <w:sz w:val="18"/>
      <w:szCs w:val="18"/>
    </w:rPr>
  </w:style>
  <w:style w:type="paragraph" w:styleId="23">
    <w:name w:val="table of figures"/>
    <w:basedOn w:val="1"/>
    <w:next w:val="1"/>
    <w:unhideWhenUsed/>
    <w:qFormat/>
    <w:uiPriority w:val="99"/>
    <w:pPr>
      <w:spacing w:after="0" w:afterAutospacing="0"/>
    </w:pPr>
  </w:style>
  <w:style w:type="paragraph" w:styleId="24">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5">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6">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7">
    <w:name w:val="annotation subject"/>
    <w:basedOn w:val="14"/>
    <w:next w:val="14"/>
    <w:link w:val="196"/>
    <w:unhideWhenUsed/>
    <w:qFormat/>
    <w:uiPriority w:val="99"/>
    <w:rPr>
      <w:b/>
      <w:bCs/>
    </w:rPr>
  </w:style>
  <w:style w:type="table" w:styleId="28">
    <w:name w:val="Table Grid"/>
    <w:basedOn w:val="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30">
    <w:name w:val="Strong"/>
    <w:qFormat/>
    <w:uiPriority w:val="22"/>
    <w:rPr>
      <w:rFonts w:ascii="Times New Roman" w:hAnsi="Times New Roman" w:eastAsia="宋体" w:cs="Times New Roman"/>
      <w:b/>
      <w:bCs/>
    </w:rPr>
  </w:style>
  <w:style w:type="character" w:styleId="31">
    <w:name w:val="endnote reference"/>
    <w:basedOn w:val="29"/>
    <w:semiHidden/>
    <w:unhideWhenUsed/>
    <w:qFormat/>
    <w:uiPriority w:val="99"/>
    <w:rPr>
      <w:vertAlign w:val="superscript"/>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basedOn w:val="29"/>
    <w:qFormat/>
    <w:uiPriority w:val="20"/>
    <w:rPr>
      <w:i/>
      <w:iCs/>
    </w:rPr>
  </w:style>
  <w:style w:type="character" w:styleId="34">
    <w:name w:val="Hyperlink"/>
    <w:unhideWhenUsed/>
    <w:qFormat/>
    <w:uiPriority w:val="99"/>
    <w:rPr>
      <w:rFonts w:ascii="Times New Roman" w:hAnsi="Times New Roman" w:eastAsia="宋体" w:cs="Times New Roman"/>
      <w:color w:val="0000FF"/>
      <w:u w:val="single"/>
    </w:rPr>
  </w:style>
  <w:style w:type="character" w:styleId="35">
    <w:name w:val="annotation reference"/>
    <w:unhideWhenUsed/>
    <w:qFormat/>
    <w:uiPriority w:val="99"/>
    <w:rPr>
      <w:rFonts w:ascii="Times New Roman" w:hAnsi="Times New Roman" w:eastAsia="宋体" w:cs="Times New Roman"/>
      <w:sz w:val="21"/>
      <w:szCs w:val="21"/>
    </w:rPr>
  </w:style>
  <w:style w:type="character" w:styleId="36">
    <w:name w:val="footnote reference"/>
    <w:semiHidden/>
    <w:unhideWhenUsed/>
    <w:qFormat/>
    <w:uiPriority w:val="99"/>
    <w:rPr>
      <w:rFonts w:ascii="Times New Roman" w:hAnsi="Times New Roman" w:eastAsia="宋体" w:cs="Times New Roman"/>
      <w:vertAlign w:val="superscript"/>
    </w:rPr>
  </w:style>
  <w:style w:type="table" w:customStyle="1" w:styleId="37">
    <w:name w:val="Table Grid Light"/>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8">
    <w:name w:val="Plain Table 1"/>
    <w:basedOn w:val="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9">
    <w:name w:val="Plain Table 2"/>
    <w:basedOn w:val="3"/>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40">
    <w:name w:val="Plain Table 3"/>
    <w:basedOn w:val="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4"/>
    <w:basedOn w:val="3"/>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Plain Table 5"/>
    <w:basedOn w:val="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3">
    <w:name w:val="Grid Table 1 Light"/>
    <w:basedOn w:val="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4">
    <w:name w:val="Grid Table 1 Light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5">
    <w:name w:val="Grid Table 1 Light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6">
    <w:name w:val="Grid Table 1 Light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7">
    <w:name w:val="Grid Table 1 Light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8">
    <w:name w:val="Grid Table 1 Light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9">
    <w:name w:val="Grid Table 1 Light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50">
    <w:name w:val="Grid Table 2"/>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1">
    <w:name w:val="Grid Table 2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2">
    <w:name w:val="Grid Table 2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3">
    <w:name w:val="Grid Table 2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4">
    <w:name w:val="Grid Table 2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5">
    <w:name w:val="Grid Table 2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6">
    <w:name w:val="Grid Table 2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7">
    <w:name w:val="Grid Table 3"/>
    <w:basedOn w:val="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8">
    <w:name w:val="Grid Table 3 - Accent 1"/>
    <w:basedOn w:val="3"/>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9">
    <w:name w:val="Grid Table 3 - Accent 2"/>
    <w:basedOn w:val="3"/>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0">
    <w:name w:val="Grid Table 3 - Accent 3"/>
    <w:basedOn w:val="3"/>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1">
    <w:name w:val="Grid Table 3 - Accent 4"/>
    <w:basedOn w:val="3"/>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2">
    <w:name w:val="Grid Table 3 - Accent 5"/>
    <w:basedOn w:val="3"/>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3">
    <w:name w:val="Grid Table 3 - Accent 6"/>
    <w:basedOn w:val="3"/>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4">
    <w:name w:val="Grid Table 4"/>
    <w:basedOn w:val="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5">
    <w:name w:val="Grid Table 4 - Accent 2"/>
    <w:basedOn w:val="3"/>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3"/>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3"/>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3"/>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3"/>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3"/>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3"/>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3"/>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3"/>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3"/>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3"/>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3"/>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3"/>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3"/>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3"/>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3"/>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3"/>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3"/>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3"/>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3"/>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3"/>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3"/>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3"/>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3"/>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3"/>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3"/>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3"/>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3"/>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3"/>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3"/>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3"/>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3"/>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3"/>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3"/>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3"/>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3"/>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3"/>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3"/>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3"/>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3"/>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3"/>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3"/>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3"/>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3"/>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3"/>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3"/>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3"/>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3"/>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3"/>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3"/>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3"/>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3"/>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3"/>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3"/>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3"/>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3"/>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3"/>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3"/>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3"/>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3"/>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3"/>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3"/>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3"/>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3"/>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3"/>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3"/>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3"/>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3"/>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3"/>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3"/>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3"/>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3"/>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3"/>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3"/>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3"/>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3"/>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9"/>
    <w:qFormat/>
    <w:uiPriority w:val="9"/>
    <w:rPr>
      <w:rFonts w:ascii="Arial" w:hAnsi="Arial" w:eastAsia="Arial" w:cs="Arial"/>
      <w:color w:val="2E75B6" w:themeColor="accent1" w:themeShade="BF"/>
      <w:sz w:val="40"/>
      <w:szCs w:val="40"/>
    </w:rPr>
  </w:style>
  <w:style w:type="character" w:customStyle="1" w:styleId="162">
    <w:name w:val="Heading 2 Char"/>
    <w:basedOn w:val="29"/>
    <w:qFormat/>
    <w:uiPriority w:val="9"/>
    <w:rPr>
      <w:rFonts w:ascii="Arial" w:hAnsi="Arial" w:eastAsia="Arial" w:cs="Arial"/>
      <w:color w:val="2E75B6" w:themeColor="accent1" w:themeShade="BF"/>
      <w:sz w:val="32"/>
      <w:szCs w:val="32"/>
    </w:rPr>
  </w:style>
  <w:style w:type="character" w:customStyle="1" w:styleId="163">
    <w:name w:val="Heading 3 Char"/>
    <w:basedOn w:val="29"/>
    <w:qFormat/>
    <w:uiPriority w:val="9"/>
    <w:rPr>
      <w:rFonts w:ascii="Arial" w:hAnsi="Arial" w:eastAsia="Arial" w:cs="Arial"/>
      <w:color w:val="2E75B6" w:themeColor="accent1" w:themeShade="BF"/>
      <w:sz w:val="28"/>
      <w:szCs w:val="28"/>
    </w:rPr>
  </w:style>
  <w:style w:type="character" w:customStyle="1" w:styleId="164">
    <w:name w:val="Heading 4 Char"/>
    <w:basedOn w:val="29"/>
    <w:link w:val="7"/>
    <w:qFormat/>
    <w:uiPriority w:val="9"/>
    <w:rPr>
      <w:rFonts w:ascii="Arial" w:hAnsi="Arial" w:eastAsia="Arial" w:cs="Arial"/>
      <w:i/>
      <w:iCs/>
      <w:color w:val="2E75B6" w:themeColor="accent1" w:themeShade="BF"/>
    </w:rPr>
  </w:style>
  <w:style w:type="character" w:customStyle="1" w:styleId="165">
    <w:name w:val="Heading 5 Char"/>
    <w:basedOn w:val="29"/>
    <w:link w:val="8"/>
    <w:qFormat/>
    <w:uiPriority w:val="9"/>
    <w:rPr>
      <w:rFonts w:ascii="Arial" w:hAnsi="Arial" w:eastAsia="Arial" w:cs="Arial"/>
      <w:color w:val="2E75B6" w:themeColor="accent1" w:themeShade="BF"/>
    </w:rPr>
  </w:style>
  <w:style w:type="character" w:customStyle="1" w:styleId="166">
    <w:name w:val="Heading 6 Char"/>
    <w:basedOn w:val="29"/>
    <w:link w:val="9"/>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9"/>
    <w:link w:val="10"/>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9"/>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9"/>
    <w:link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9"/>
    <w:qFormat/>
    <w:uiPriority w:val="10"/>
    <w:rPr>
      <w:rFonts w:ascii="Arial" w:hAnsi="Arial" w:eastAsia="Arial" w:cs="Arial"/>
      <w:spacing w:val="-10"/>
      <w:sz w:val="56"/>
      <w:szCs w:val="56"/>
    </w:rPr>
  </w:style>
  <w:style w:type="character" w:customStyle="1" w:styleId="171">
    <w:name w:val="Subtitle Char"/>
    <w:basedOn w:val="29"/>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9"/>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9"/>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9"/>
    <w:qFormat/>
    <w:uiPriority w:val="30"/>
    <w:rPr>
      <w:i/>
      <w:iCs/>
      <w:color w:val="2E75B6" w:themeColor="accent1" w:themeShade="BF"/>
    </w:rPr>
  </w:style>
  <w:style w:type="character" w:customStyle="1" w:styleId="177">
    <w:name w:val="Intense Reference"/>
    <w:basedOn w:val="29"/>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9"/>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9"/>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9"/>
    <w:qFormat/>
    <w:uiPriority w:val="33"/>
    <w:rPr>
      <w:b/>
      <w:bCs/>
      <w:i/>
      <w:iCs/>
      <w:spacing w:val="5"/>
    </w:rPr>
  </w:style>
  <w:style w:type="character" w:customStyle="1" w:styleId="182">
    <w:name w:val="Header Char"/>
    <w:basedOn w:val="29"/>
    <w:qFormat/>
    <w:uiPriority w:val="99"/>
  </w:style>
  <w:style w:type="character" w:customStyle="1" w:styleId="183">
    <w:name w:val="Footer Char"/>
    <w:basedOn w:val="29"/>
    <w:qFormat/>
    <w:uiPriority w:val="99"/>
  </w:style>
  <w:style w:type="character" w:customStyle="1" w:styleId="184">
    <w:name w:val="Footnote Text Char"/>
    <w:basedOn w:val="29"/>
    <w:semiHidden/>
    <w:qFormat/>
    <w:uiPriority w:val="99"/>
    <w:rPr>
      <w:sz w:val="20"/>
      <w:szCs w:val="20"/>
    </w:rPr>
  </w:style>
  <w:style w:type="character" w:customStyle="1" w:styleId="185">
    <w:name w:val="Endnote Text Char"/>
    <w:basedOn w:val="29"/>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4"/>
    <w:qFormat/>
    <w:uiPriority w:val="1"/>
    <w:rPr>
      <w:rFonts w:ascii="黑体" w:hAnsi="Times New Roman" w:eastAsia="黑体" w:cs="Times New Roman"/>
      <w:b/>
      <w:bCs/>
      <w:sz w:val="36"/>
      <w:szCs w:val="36"/>
    </w:rPr>
  </w:style>
  <w:style w:type="character" w:customStyle="1" w:styleId="188">
    <w:name w:val="标题 2 Char"/>
    <w:link w:val="5"/>
    <w:qFormat/>
    <w:uiPriority w:val="9"/>
    <w:rPr>
      <w:rFonts w:ascii="Cambria" w:hAnsi="Cambria" w:eastAsia="宋体" w:cs="Times New Roman"/>
      <w:b/>
      <w:bCs/>
      <w:sz w:val="32"/>
      <w:szCs w:val="32"/>
    </w:rPr>
  </w:style>
  <w:style w:type="character" w:customStyle="1" w:styleId="189">
    <w:name w:val="标题 3 Char"/>
    <w:link w:val="6"/>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9"/>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7"/>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sylc</cp:lastModifiedBy>
  <dcterms:modified xsi:type="dcterms:W3CDTF">2026-08-05T03:44:38Z</dcterms:modified>
  <cp:revision>12</cp:revision>
</cp:coreProperties>
</file>

<file path=customXml/item3.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customXml/item4.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0f6080-870d-4f7a-ba2a-e7d6c701b3ad}">
  <ds:schemaRefs/>
</ds:datastoreItem>
</file>

<file path=customXml/itemProps3.xml><?xml version="1.0" encoding="utf-8"?>
<ds:datastoreItem xmlns:ds="http://schemas.openxmlformats.org/officeDocument/2006/customXml" ds:itemID="{0910e199-0894-40de-9ea0-1efb604297a4}">
  <ds:schemaRefs/>
</ds:datastoreItem>
</file>

<file path=customXml/itemProps4.xml><?xml version="1.0" encoding="utf-8"?>
<ds:datastoreItem xmlns:ds="http://schemas.openxmlformats.org/officeDocument/2006/customXml" ds:itemID="{a90c1149-599a-4f21-8d2a-26537432d8ad}">
  <ds:schemaRefs/>
</ds:datastoreItem>
</file>

<file path=docProps/app.xml><?xml version="1.0" encoding="utf-8"?>
<Properties xmlns="http://schemas.openxmlformats.org/officeDocument/2006/extended-properties" xmlns:vt="http://schemas.openxmlformats.org/officeDocument/2006/docPropsVTypes">
  <Template>Normal.dotm</Template>
  <Pages>12</Pages>
  <Words>19581</Words>
  <Characters>20835</Characters>
  <TotalTime>0</TotalTime>
  <ScaleCrop>false</ScaleCrop>
  <LinksUpToDate>false</LinksUpToDate>
  <CharactersWithSpaces>20867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jsyh</cp:lastModifiedBy>
  <dcterms:modified xsi:type="dcterms:W3CDTF">2026-08-13T06:39:25Z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