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“苏银理财恒源封闭债权384期优选2年</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2026年9月版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苏银理财恒源封闭债权384期优选2年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苏银理财恒源封闭债权384期优选2年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Z7003126000398，投资者可依据该编码在中国理财网www.chinawealth.com.cn查询产品信息。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A份额：苏银理财恒源封闭债权384期优选2年A/J27721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B份额：苏银理财恒源封闭债权384期优选2年B/J27722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C份额：苏银理财恒源封闭债权384期优选2年C/J27723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D份额：苏银理财恒源封闭债权384期优选2年D/J27724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E份额：苏银理财恒源封闭债权384期优选2年E/J27725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F份额：苏银理财恒源封闭债权384期优选2年F/J27726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H份额：苏银理财恒源封闭债权384期优选2年H/J27727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J份额：苏银理财恒源封闭债权384期优选2年J/J27728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K份额：苏银理财恒源封闭债权384期优选2年K/J27729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L份额：苏银理财恒源封闭债权384期优选2年L/J27730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N份额：苏银理财恒源封闭债权384期优选2年N/J27731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P份额：苏银理财恒源封闭债权384期优选2年P/J27732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Z份额：苏银理财恒源封闭债权384期优选2年Z/J27733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JS份额：苏银理财恒源封闭债权384期优选2年JS鑫福款/J27734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G份额：苏银理财恒源封闭债权384期优选2年G（童程筑梦）/J27735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I份额：苏银理财恒源封闭债权384期优选2年I/J27736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M份额：苏银理财恒源封闭债权384期优选2年M/J27737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3"/>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H份额：个人10,000元/10,000元的整数倍；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2026年8月28日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2026年9月2日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2028年9月27日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2.50%-2.90%；B份额：2.50%-2.90%；C份额：2.55%-2.95%；D份额：2.50%-2.90%；E份额：2.60%-3.00%；F份额：2.55%-2.95%；H份额：2.40%-2.80%；J份额：2.55%-2.95%；K份额：2.50%-2.90%；L份额：2.50%-2.90%；N份额：2.65%-3.05%；P份额：2.45%-2.85%；Z份额：2.65%-3.05%；JS份额：2.50%-2.90%；G份额：2.65%-3.0</w:t>
            </w:r>
            <w:bookmarkStart w:id="0" w:name="_GoBack"/>
            <w:bookmarkEnd w:id="0"/>
            <w:r>
              <w:rPr>
                <w:rFonts w:hint="eastAsia" w:ascii="楷体" w:hAnsi="楷体" w:eastAsia="楷体" w:cs="宋体"/>
                <w:b w:val="0"/>
                <w:bCs/>
                <w:spacing w:val="-2"/>
                <w:sz w:val="18"/>
                <w:szCs w:val="18"/>
                <w:highlight w:val="none"/>
                <w:u w:val="none"/>
                <w:lang w:val="en-US" w:eastAsia="zh-CN"/>
              </w:rPr>
              <w:t>5%；I份额：2.50%-2.90%；M份额：2.60%-3.00%。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本产品费用包括托管费、销售服务费、投资管理费、信息技术服务费、超额业绩报酬（如有）以及产品运作和清算中产生的其他费用等。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0.20%；C份额：0.20%；D份额：0.25%；E份额：0.20%；F份额：0.20%；H份额：0.35%；J份额：0.15%；K份额：0.20%；L份额：0.30%；N份额：0.05%；P份额：0.30%；Z份额：0.10%；JS份额：0.20%；G份额：0.05%；I份额：0.25%；M份额：0.20%。其中D/H/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0.20%；C份额：0.15%；D份额：0.15%；E份额：0.10%；F份额：0.15%；H份额：0.15%；J份额：0.20%；K份额：0.20%；L份额：0.10%；N份额：0.20%；P份额：0.15%；Z份额：0.15%；JS份额：0.20%；G份额：0.20%；I份额：0.15%；M份额：0.10%</w:t>
            </w:r>
          </w:p>
          <w:p>
            <w:pPr>
              <w:pStyle w:val="198"/>
              <w:keepNext w:val="0"/>
              <w:keepLines w:val="0"/>
              <w:pageBreakBefore w:val="0"/>
              <w:widowControl w:val="0"/>
              <w:bidi w:val="0"/>
              <w:spacing w:line="0" w:lineRule="atLeast"/>
              <w:ind w:right="0"/>
              <w:rPr>
                <w:rFonts w:hint="eastAsia" w:ascii="楷体" w:hAnsi="楷体" w:eastAsia="楷体" w:cs="宋体"/>
                <w:b w:val="0"/>
                <w:bCs w:val="0"/>
                <w:spacing w:val="-2"/>
                <w:sz w:val="18"/>
                <w:szCs w:val="18"/>
                <w:highlight w:val="none"/>
              </w:rPr>
            </w:pPr>
            <w:r>
              <w:rPr>
                <w:rFonts w:hint="eastAsia" w:ascii="楷体" w:hAnsi="楷体" w:eastAsia="楷体" w:cs="宋体"/>
                <w:b w:val="0"/>
                <w:bCs w:val="0"/>
                <w:spacing w:val="-2"/>
                <w:sz w:val="18"/>
                <w:szCs w:val="18"/>
                <w:highlight w:val="none"/>
                <w:lang w:val="en-US" w:eastAsia="zh-CN"/>
              </w:rPr>
              <w:t>4.信息技术服务费（年化）：0.002%</w:t>
            </w:r>
          </w:p>
          <w:p>
            <w:pPr>
              <w:keepNext w:val="0"/>
              <w:keepLines w:val="0"/>
              <w:pageBreakBefore w:val="0"/>
              <w:bidi w:val="0"/>
              <w:spacing w:line="0" w:lineRule="atLeast"/>
              <w:ind w:right="0"/>
              <w:rPr>
                <w:rFonts w:hint="eastAsia" w:ascii="楷体" w:hAnsi="楷体" w:eastAsia="楷体" w:cs="宋体"/>
                <w:b w:val="0"/>
                <w:bCs w:val="0"/>
                <w:color w:val="auto"/>
                <w:spacing w:val="-2"/>
                <w:sz w:val="18"/>
                <w:szCs w:val="18"/>
                <w:highlight w:val="none"/>
              </w:rPr>
            </w:pPr>
            <w:r>
              <w:rPr>
                <w:rFonts w:hint="eastAsia" w:ascii="楷体" w:hAnsi="楷体" w:eastAsia="楷体" w:cs="宋体"/>
                <w:b w:val="0"/>
                <w:bCs w:val="0"/>
                <w:color w:val="auto"/>
                <w:spacing w:val="-2"/>
                <w:sz w:val="18"/>
                <w:szCs w:val="18"/>
                <w:highlight w:val="none"/>
                <w:lang w:val="en-US" w:eastAsia="zh-CN"/>
              </w:rPr>
              <w:t>5</w:t>
            </w:r>
            <w:r>
              <w:rPr>
                <w:rFonts w:hint="eastAsia" w:ascii="楷体" w:hAnsi="楷体" w:eastAsia="楷体" w:cs="宋体"/>
                <w:b w:val="0"/>
                <w:bCs w:val="0"/>
                <w:color w:val="auto"/>
                <w:spacing w:val="-2"/>
                <w:sz w:val="18"/>
                <w:szCs w:val="18"/>
                <w:highlight w:val="none"/>
              </w:rPr>
              <w:t>.超额业绩报酬</w:t>
            </w:r>
            <w:r>
              <w:rPr>
                <w:rFonts w:hint="eastAsia" w:ascii="楷体" w:hAnsi="楷体" w:eastAsia="楷体" w:cs="宋体"/>
                <w:b w:val="0"/>
                <w:bCs w:val="0"/>
                <w:color w:val="auto"/>
                <w:spacing w:val="-2"/>
                <w:sz w:val="18"/>
                <w:szCs w:val="18"/>
                <w:highlight w:val="none"/>
                <w:lang w:eastAsia="zh-CN"/>
              </w:rPr>
              <w:t>（</w:t>
            </w:r>
            <w:r>
              <w:rPr>
                <w:rFonts w:hint="eastAsia" w:ascii="楷体" w:hAnsi="楷体" w:eastAsia="楷体" w:cs="宋体"/>
                <w:b w:val="0"/>
                <w:bCs w:val="0"/>
                <w:color w:val="auto"/>
                <w:spacing w:val="-2"/>
                <w:sz w:val="18"/>
                <w:szCs w:val="18"/>
                <w:highlight w:val="none"/>
                <w:lang w:val="en-US" w:eastAsia="zh-CN"/>
              </w:rPr>
              <w:t>如有）</w:t>
            </w:r>
            <w:r>
              <w:rPr>
                <w:rFonts w:hint="eastAsia" w:ascii="楷体" w:hAnsi="楷体" w:eastAsia="楷体" w:cs="宋体"/>
                <w:b w:val="0"/>
                <w:bCs w:val="0"/>
                <w:color w:val="auto"/>
                <w:spacing w:val="-2"/>
                <w:sz w:val="18"/>
                <w:szCs w:val="18"/>
                <w:highlight w:val="none"/>
              </w:rPr>
              <w:t>：</w:t>
            </w:r>
            <w:r>
              <w:rPr>
                <w:rFonts w:hint="eastAsia" w:ascii="楷体" w:hAnsi="楷体" w:eastAsia="楷体" w:cs="宋体"/>
                <w:b w:val="0"/>
                <w:bCs w:val="0"/>
                <w:color w:val="auto"/>
                <w:spacing w:val="-2"/>
                <w:sz w:val="18"/>
                <w:szCs w:val="18"/>
              </w:rPr>
              <w:t>若产品各份额实际投资收益在扣除托管费、销售服务费、投资管理费</w:t>
            </w:r>
            <w:r>
              <w:rPr>
                <w:rFonts w:hint="eastAsia" w:ascii="楷体" w:hAnsi="楷体" w:eastAsia="楷体" w:cs="宋体"/>
                <w:b w:val="0"/>
                <w:bCs w:val="0"/>
                <w:color w:val="auto"/>
                <w:spacing w:val="-2"/>
                <w:sz w:val="18"/>
                <w:szCs w:val="18"/>
                <w:lang w:eastAsia="zh-CN"/>
              </w:rPr>
              <w:t>、</w:t>
            </w:r>
            <w:r>
              <w:rPr>
                <w:rFonts w:hint="eastAsia" w:ascii="楷体" w:hAnsi="楷体" w:eastAsia="楷体" w:cs="宋体"/>
                <w:b w:val="0"/>
                <w:bCs w:val="0"/>
                <w:color w:val="auto"/>
                <w:spacing w:val="-2"/>
                <w:sz w:val="18"/>
                <w:szCs w:val="18"/>
                <w:lang w:val="en-US" w:eastAsia="zh-CN"/>
              </w:rPr>
              <w:t>信息技术服务费</w:t>
            </w:r>
            <w:r>
              <w:rPr>
                <w:rFonts w:hint="eastAsia" w:ascii="楷体" w:hAnsi="楷体" w:eastAsia="楷体" w:cs="宋体"/>
                <w:b w:val="0"/>
                <w:bCs w:val="0"/>
                <w:color w:val="auto"/>
                <w:spacing w:val="-2"/>
                <w:sz w:val="18"/>
                <w:szCs w:val="18"/>
              </w:rPr>
              <w:t>等费用后超过各份额业绩比较基准，产品管理人将按照超出部分的50%收取超额业绩报酬。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b w:val="0"/>
                <w:bCs w:val="0"/>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b w:val="0"/>
                <w:bCs w:val="0"/>
                <w:color w:val="auto"/>
                <w:spacing w:val="-2"/>
                <w:sz w:val="18"/>
                <w:szCs w:val="18"/>
                <w:lang w:val="en-US" w:eastAsia="zh-CN"/>
              </w:rPr>
              <w:t>收取</w:t>
            </w:r>
            <w:r>
              <w:rPr>
                <w:rFonts w:hint="eastAsia" w:ascii="楷体" w:hAnsi="楷体" w:eastAsia="楷体" w:cs="宋体"/>
                <w:b w:val="0"/>
                <w:bCs w:val="0"/>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印花税等</w:t>
            </w:r>
            <w:r>
              <w:rPr>
                <w:rFonts w:hint="eastAsia" w:ascii="楷体" w:hAnsi="楷体" w:eastAsia="楷体" w:cs="宋体"/>
                <w:color w:val="auto"/>
                <w:spacing w:val="-2"/>
                <w:sz w:val="18"/>
                <w:szCs w:val="18"/>
              </w:rPr>
              <w:t>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上海浦东发展银行股份有限公司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ind w:firstLine="420" w:firstLineChars="0"/>
        <w:rPr>
          <w:rFonts w:hint="default"/>
          <w:lang w:val="en-US" w:eastAsia="zh-CN"/>
        </w:rPr>
      </w:pPr>
      <w:r>
        <w:rPr>
          <w:rFonts w:hint="eastAsia" w:ascii="楷体" w:hAnsi="楷体" w:eastAsia="楷体"/>
          <w:b w:val="0"/>
          <w:bCs w:val="0"/>
          <w:sz w:val="21"/>
          <w:szCs w:val="21"/>
          <w:highlight w:val="none"/>
          <w:u w:val="none"/>
          <w:lang w:val="en-US" w:eastAsia="zh-CN"/>
        </w:rPr>
        <w:t>B份额：徽商银行股份有限公司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甘肃银行股份有限公司/嘉兴银行股份有限公司/莱商银行股份有限公司/宁夏银行股份有限公司/齐鲁银行股份有限公司/秦皇岛银行股份有限公司/青岛银行股份有限公司/威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湖州吴兴农村商业银行股份有限公司/浙江淳安农村商业银行股份有限公司/浙江德清农村商业银行股份有限公司/浙江杭州余杭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平湖农村商业银行股份有限公司/浙江青田农村商业银行股份有限公司/浙江上虞农村商业银行股份有限公司/浙江绍兴瑞丰农村商业银行股份有限公司/浙江台州黄岩农村商业银行股份有限公司/浙江桐庐农村商业银行股份有限公司/浙江桐乡农村商业银行股份有限公司/浙江温州龙湾农村商业银行股份有限公司/浙江温州鹿城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海盐农村商业银行股份有限公司/浙江兰溪农村商业银行股份有限公司/浙江龙游农村商业银行股份有限公司/浙江平湖农村商业银行股份有限公司/浙江浦江农村商业银行股份有限公司/浙江绍兴恒信农村商业银行股份有限公司/浙江绍兴瑞丰农村商业银行股份有限公司/浙江桐庐农村商业银行股份有限公司/浙江武义农村商业银行股份有限公司/浙江新昌农村商业银行股份有限公司/浙江永康农村商业银行股份有限公司/浙江舟山定海海洋农村商业银行股份有限公司/浙江衢州柯城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东莞农村商业银行股份有限公司/广州农村商业银行股份有限公司/湖北银行股份有限公司/江苏常熟农村商业银行股份有限公司/江苏苏州农村商业银行股份有限公司/晋商银行股份有限公司/九江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苏银理财有限责任公司/浙江海宁农村商业银行股份有限公司/浙江瑞安农村商业银行股份有限公司/浙江永康农村商业银行股份有限公司/浙江舟山定海海洋农村商业银行股份有限公司/浙江温岭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P份额：北京农村商业银行股份有限公司/广州农村商业银行股份有限公司/江门农村商业银行股份有限公司/山西银行股份有限公司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Z份额：广东华润银行股份有限公司/郑州银行股份有限公司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滨海农村商业银行股份有限公司/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太仓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G份额：苏银理财有限责任公司/浙江海宁农村商业银行股份有限公司/上海农村商业银行股份有限公司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M份额：武汉农村商业银行股份有限公司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w:t>
      </w:r>
      <w:r>
        <w:rPr>
          <w:rFonts w:hint="eastAsia" w:ascii="楷体" w:hAnsi="楷体" w:eastAsia="楷体" w:cs="Calibri"/>
          <w:color w:val="auto"/>
          <w:sz w:val="21"/>
          <w:szCs w:val="21"/>
          <w:highlight w:val="none"/>
          <w:lang w:val="en-US" w:eastAsia="zh-CN"/>
        </w:rPr>
        <w:t>信息技术服务费、</w:t>
      </w:r>
      <w:r>
        <w:rPr>
          <w:rFonts w:hint="eastAsia" w:ascii="楷体" w:hAnsi="楷体" w:eastAsia="楷体" w:cs="Calibri"/>
          <w:color w:val="auto"/>
          <w:sz w:val="21"/>
          <w:szCs w:val="21"/>
          <w:highlight w:val="none"/>
        </w:rPr>
        <w:t>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eastAsia" w:ascii="楷体" w:hAnsi="楷体" w:eastAsia="楷体" w:cs="Times New Roman"/>
          <w:bCs/>
          <w:color w:val="auto"/>
          <w:sz w:val="21"/>
          <w:szCs w:val="21"/>
          <w:highlight w:val="none"/>
          <w:u w:val="none"/>
          <w:lang w:eastAsia="zh-CN"/>
        </w:rPr>
      </w:pPr>
      <w:r>
        <w:rPr>
          <w:rFonts w:hint="eastAsia" w:ascii="楷体" w:hAnsi="楷体" w:eastAsia="楷体" w:cs="Times New Roman"/>
          <w:bCs/>
          <w:color w:val="auto"/>
          <w:sz w:val="21"/>
          <w:szCs w:val="21"/>
          <w:highlight w:val="none"/>
          <w:u w:val="none"/>
          <w:lang w:eastAsia="zh-CN"/>
        </w:rPr>
        <w:t>(1)同业借款：融资人为中国中信金融资产管理股份有限公司。融资人经营正常，是依法成立的国有公司，主要股东为中国中信集团有限公司、财政局、中国融信私募基金有限公司，实际控制人为财政部。 (2)同业借款：融资人为中国东方资产管理股份有限公司。融资人经营正常，是依法成立的国有公司，主要股东为中央汇金投资有限责任公司、全国社会保障基金理事会、中国电信集团有限公司，实际控制人为国务院。 (3)同业借款：融资人为中国信达资产管理股份有限公司。融资人经营正常，是依法成立的国有公司，主要股东为中央汇金投资有限责任公司，实际控制人为国务院。 (4)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 (6)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 (7)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 (8)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 (9)收益凭证：融资人为华泰证券股份有限公司。融资人经营正常，是依法设立的持牌金融机构，主要股东为江苏省国信集团有限公司、香港中央结算（代理人）有限公司、江苏交通控股有限公司，无实际控制人。 (10)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 (11)收益凭证：融资人为申万宏源证券有限公司。融资人经营正常，是依法设立的持牌金融机构，主要股东为申万宏源集团股份有限公司，实际控制人为中央汇金投资有限责任公司。 (12)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 (13)收益凭证：融资人为浙商证券股份有限公司。融资人经营正常，是依法设立的持牌金融机构，主要股东为浙江上三高速公路有限公司、台州市金融投资集团有限公司，实际控制人为浙江省交通投资集团有限公司。 (14)收益凭证：融资人为国投证券股份有限公司。融资人经营正常，是依法设立的持牌金融机构，主要股东为国投资本股份有限公司、上海毅胜投资有限公司，实际控制人为国家开发投资集团有限公司。 (15)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(16)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(17)收益凭证：融资人为兴业证券股份有限公司。融资人经营正常，是依法设立的持牌金融机构，主要股东为福建省财政厅、福建省投资开发集团有限责任公司、上海申新（集团）有限公司，实际控制人为福建省财政厅。 (18)收益凭证：融资人为财通证券股份有限公司。融资人经营正常，是依法设立的持牌金融机构，主要股东为浙江省创新投资集团有限公司、浙江省财开集团有限公司、台州市金融投资集团有限公司，实际控制人为浙江省财政厅。 (19)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(20)收益凭证：融资人为东海证券股份有限公司。融资人经营正常，是依法设立的持牌金融机构，主要股东为常州投资集团有限公司、山东金控资本管理有限公司，实际控制人为常州投资集团有限公司。 (21)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(22)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(24)收益凭证：融资人为中国中金财富证券有限公司。融资人经营正常，是依法设立的持牌金融机构，主要股东为中国国际金融股份有限公司，实际控制人为中央汇金投资有限责任公司。 (25)收益凭证：融资人为山西证券股份有限公司。融资人经营正常，是依法设立的持牌金融机构，主要股东为山西金融投资控股集团有限公司、太原钢铁（集团）有限公司、山西国际电力集团有限公司，实际控制人为山西省财政厅。 (26)收益凭证：融资人为国都证券股份有限公司。融资人经营正常，是依法设立的持牌金融机构，主要股东为浙商证券股份有限公司、中诚信托有限责任公司、北京国际信托有限公司，实际控制人为浙江省交通投资集团有限公司。 (27)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(28)收益凭证：融资人为华鑫证券有限责任公司。融资人经营正常，是依法设立的持牌金融机构，主要股东为上海华鑫股份有限公司，实际控制人为上海市国有资产监督管理委员会。 (29)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(30)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(31)收益凭证：融资人为广发证券股份有限公司。融资人经营正常，是依法设立的持牌金融机构，主要股东为香港中央结算（代理人）有限公司、吉林敖东药业集团股份有限公司、辽宁成大股份有限公司，无实际控制人。 (32)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(33)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9"/>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产品费用</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本产品费用包括托管费、销售服务费、投资管理费、信息技术服务费、超额业绩报酬（如有）以及产品运作和清算中产生的其他费用等。计提方法如下:</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1.托管费：每日计提，每日应计提的托管费＝前一日的产品资产净值×托管费率÷365</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2.销售服务费：</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①每日计提模式：每日计提，每日应计提的销售服务费＝前一日的产品资产净值×销售服务费率÷365。</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②一次性提取模式：成立日一次性提取，每日摊销，销售服务费＝产品成立日的产品份额数×销售服务费率×产品投资期限天数÷365。</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3.投资管理费：每日计提，每日应计提的投资管理费＝前一日的产品资产净值×投资管理费率÷365</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4.信息技术服务费：每日计提，每日应计提的信息技术服务费＝前一日的产品资产净值×信息技术服务费率÷365</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5.超额业绩报酬（如有）：管理人按产品存续期收取超额业绩报酬，超额业绩报酬计算详见“产品要素”。</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6.产品运作和清算中产生的交易手续费、注册登记费、账户服务费、审计费、及其他应由本产品承担的费用从产品中列支。</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7.本产品不收取认购费用、申购费用、赎回费用。</w:t>
      </w:r>
    </w:p>
    <w:p>
      <w:pPr>
        <w:ind w:firstLine="42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8.费用计算四舍五入保留至小数点后两位。</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5"/>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9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9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9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9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multilevel"/>
    <w:tmpl w:val="9288B902"/>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C8AC8EF"/>
    <w:multiLevelType w:val="multilevel"/>
    <w:tmpl w:val="9C8AC8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9E16A1F"/>
    <w:multiLevelType w:val="singleLevel"/>
    <w:tmpl w:val="B9E16A1F"/>
    <w:lvl w:ilvl="0" w:tentative="0">
      <w:start w:val="10"/>
      <w:numFmt w:val="chineseCounting"/>
      <w:suff w:val="nothing"/>
      <w:lvlText w:val="%1、"/>
      <w:lvlJc w:val="left"/>
      <w:rPr>
        <w:rFonts w:hint="eastAsia"/>
      </w:rPr>
    </w:lvl>
  </w:abstractNum>
  <w:abstractNum w:abstractNumId="3">
    <w:nsid w:val="BE923771"/>
    <w:multiLevelType w:val="multilevel"/>
    <w:tmpl w:val="BE92377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7F9FE59"/>
    <w:multiLevelType w:val="multilevel"/>
    <w:tmpl w:val="D7F9FE5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DCBA6B53"/>
    <w:multiLevelType w:val="multilevel"/>
    <w:tmpl w:val="DCBA6B53"/>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E640482"/>
    <w:multiLevelType w:val="multilevel"/>
    <w:tmpl w:val="0E64048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470EC97"/>
    <w:multiLevelType w:val="multilevel"/>
    <w:tmpl w:val="2470EC97"/>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8">
    <w:nsid w:val="39A0D9AC"/>
    <w:multiLevelType w:val="multilevel"/>
    <w:tmpl w:val="39A0D9A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6A08BB8"/>
    <w:multiLevelType w:val="multilevel"/>
    <w:tmpl w:val="46A08BB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1BAE26"/>
    <w:multiLevelType w:val="multilevel"/>
    <w:tmpl w:val="4C1BAE26"/>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0382F6E"/>
    <w:multiLevelType w:val="multilevel"/>
    <w:tmpl w:val="60382F6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29F7852"/>
    <w:multiLevelType w:val="multilevel"/>
    <w:tmpl w:val="629F7852"/>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7ECEA79"/>
    <w:multiLevelType w:val="multilevel"/>
    <w:tmpl w:val="77ECEA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246926"/>
    <w:multiLevelType w:val="multilevel"/>
    <w:tmpl w:val="7C24692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5"/>
  </w:num>
  <w:num w:numId="3">
    <w:abstractNumId w:val="4"/>
  </w:num>
  <w:num w:numId="4">
    <w:abstractNumId w:val="1"/>
  </w:num>
  <w:num w:numId="5">
    <w:abstractNumId w:val="10"/>
  </w:num>
  <w:num w:numId="6">
    <w:abstractNumId w:val="11"/>
  </w:num>
  <w:num w:numId="7">
    <w:abstractNumId w:val="6"/>
  </w:num>
  <w:num w:numId="8">
    <w:abstractNumId w:val="9"/>
  </w:num>
  <w:num w:numId="9">
    <w:abstractNumId w:val="2"/>
  </w:num>
  <w:num w:numId="10">
    <w:abstractNumId w:val="14"/>
  </w:num>
  <w:num w:numId="11">
    <w:abstractNumId w:val="13"/>
  </w:num>
  <w:num w:numId="12">
    <w:abstractNumId w:val="3"/>
  </w:num>
  <w:num w:numId="13">
    <w:abstractNumId w:val="12"/>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23D73"/>
    <w:rsid w:val="1B582330"/>
    <w:rsid w:val="235953D9"/>
    <w:rsid w:val="252D030B"/>
    <w:rsid w:val="3CDB54AA"/>
    <w:rsid w:val="3E200B79"/>
    <w:rsid w:val="42F81EA1"/>
    <w:rsid w:val="436A6096"/>
    <w:rsid w:val="4CA34BA6"/>
    <w:rsid w:val="50B14AF4"/>
    <w:rsid w:val="53731EB9"/>
    <w:rsid w:val="646312C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196"/>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semiHidden/>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4"/>
    <w:qFormat/>
    <w:uiPriority w:val="1"/>
    <w:rPr>
      <w:rFonts w:ascii="黑体" w:hAnsi="Times New Roman" w:eastAsia="黑体" w:cs="Times New Roman"/>
      <w:b/>
      <w:bCs/>
      <w:sz w:val="36"/>
      <w:szCs w:val="36"/>
    </w:rPr>
  </w:style>
  <w:style w:type="character" w:customStyle="1" w:styleId="188">
    <w:name w:val="标题 2 Char"/>
    <w:link w:val="5"/>
    <w:qFormat/>
    <w:uiPriority w:val="9"/>
    <w:rPr>
      <w:rFonts w:ascii="Cambria" w:hAnsi="Cambria" w:eastAsia="宋体" w:cs="Times New Roman"/>
      <w:b/>
      <w:bCs/>
      <w:sz w:val="32"/>
      <w:szCs w:val="32"/>
    </w:rPr>
  </w:style>
  <w:style w:type="character" w:customStyle="1" w:styleId="189">
    <w:name w:val="标题 3 Char"/>
    <w:link w:val="6"/>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9"/>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7"/>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2026-08-05T03:44:38Z</dcterms:modified>
  <cp:revision>12</cp:revision>
</cp:coreProperties>
</file>

<file path=customXml/item3.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0fae6a-c19d-43ab-a0e4-da52a9d5303d}">
  <ds:schemaRefs/>
</ds:datastoreItem>
</file>

<file path=customXml/itemProps3.xml><?xml version="1.0" encoding="utf-8"?>
<ds:datastoreItem xmlns:ds="http://schemas.openxmlformats.org/officeDocument/2006/customXml" ds:itemID="{f4084f8c-ea9b-4163-8823-3fabf99eef61}">
  <ds:schemaRefs/>
</ds:datastoreItem>
</file>

<file path=customXml/itemProps4.xml><?xml version="1.0" encoding="utf-8"?>
<ds:datastoreItem xmlns:ds="http://schemas.openxmlformats.org/officeDocument/2006/customXml" ds:itemID="{f21c09db-400e-4fbc-822a-7d7e3bb8936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jsyh</cp:lastModifiedBy>
  <dcterms:modified xsi:type="dcterms:W3CDTF">2026-08-19T11:19:02Z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