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苏银理财恒源1年定开16期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（2026年8月版）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等。请仔细阅读《“苏银理财恒源1年定开16期”理财产品风险揭示书》的“风险揭示”部分。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苏银理财恒源1年定开16期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Z7003121000107</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A份额:苏银理财恒源1年定开16期A/J00295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B份额:苏银理财恒源1年定开16期B/J00296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C份额:苏银理财恒源1年定开16期C/J05728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D份额:苏银理财恒源1年定开16期D/J02513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F份额:苏银理财恒源1年定开16期F/J02514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G份额:苏银理财恒源1年定开16期G/J02515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J份额:苏银理财恒源1年定开16期J/J02516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J2份额:苏银理财恒源1年定开16期J2/J27275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P份额:苏银理财恒源1年定开16期P/J05729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Q份额:苏银理财恒源1年定开16期Q/J05730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S份额:苏银理财恒源1年定开16期S/J05731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GS份额:苏银理财恒源1年定开16期GS/J27276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S1份额:苏银理财恒源1年定开16期S1（专享）/J27277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U份额:苏银理财恒源1年定开16期U/J27278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L份额:苏银理财恒源1年定开16期L/J27279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Z份额:苏银理财恒源1年定开16期Z/J27280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Z1份额:苏银理财恒源1年定开16期Z1/J27281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Z2份额:苏银理财恒源1年定开16期Z2/J27282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ZA份额:苏银理财恒源1年定开16期ZA鑫福款（自动赎回）/J02517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ZF份额:苏银理财恒源1年定开16期ZF（自动赎回）/J02518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ZF2份额:苏银理财恒源1年定开16期ZF2（自动赎回）/J27283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ZF3份额:苏银理财恒源1年定开16期ZF3（自动赎回）/J27284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ZF4份额:苏银理财恒源1年定开16期ZF4（自动赎回）/J27285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ZF5份额:苏银理财恒源1年定开16期ZF5（自动赎回）/J27286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ZJ份额:苏银理财恒源1年定开16期ZJ（自动赎回）/J27287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ZL份额:苏银理财恒源1年定开16期ZL（自动赎回）/J27288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天府·优选份额:苏银理财恒源1年定开16期（天府·优选）/J27289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芙蓉锦程·优选份额:苏银理财恒源1年定开16期（芙蓉锦程·优选）/J27290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芙蓉锦程·优选-尊享款份额:苏银理财恒源1年定开16期（芙蓉锦程·优选-尊享款）/J27291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ZN份额:苏银理财恒源1年定开16期ZN（自动赎回）/J05732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ZQ份额:苏银理财恒源1年定开16期ZQ（自动赎回）/J05733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ZC份额:苏银理财恒源1年定开16期ZC鑫福优享（自动赎回）/J27292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ZK份额:苏银理财恒源1年定开16期ZK鑫福尊享（自动赎回）/J27293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J2份额销售机构江苏银行仅限白名单客户。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J2份额:10,000元/1元的整数倍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S份额:200,000元/1元的整数倍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S1份额:100元/100元的整数倍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ZF3份额:100元/100元的整数倍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ZF4份额:1000元/1000元的整数倍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ZF5份额:100元/100元的整数倍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天府·优选份额:100元/100元的整数倍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芙蓉锦程·优选-尊享款份额:1元/1元的整数倍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2021年6月23日至2021年6月29日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2021年6月30日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2031年7月1日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最新投资周期（2026年9月2日-2027年9月23日）开放申购与赎回时间为：2026年8月24日至2026年9月1日</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val="0"/>
                <w:bCs w:val="0"/>
                <w:spacing w:val="-2"/>
                <w:sz w:val="18"/>
                <w:szCs w:val="18"/>
                <w:highlight w:val="none"/>
              </w:rPr>
              <w:t>以各销售机构设置的时间为准</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(其中ZA份额/ZF份额/ZF2份额/ZF3份额/ZF4份额/ZF5份额/ZJ份额/ZL份额/ZN份额/ZQ份额/ZC份额/ZK份额/</w:t>
            </w:r>
            <w:r>
              <w:rPr>
                <w:rFonts w:hint="eastAsia" w:ascii="楷体" w:hAnsi="楷体" w:eastAsia="楷体"/>
                <w:b/>
                <w:bCs/>
                <w:sz w:val="18"/>
                <w:szCs w:val="18"/>
                <w:highlight w:val="none"/>
                <w:lang w:val="en-US" w:eastAsia="zh-CN"/>
              </w:rPr>
              <w:t>天府·优选份额/芙蓉锦程·优选份额/芙蓉锦程·优选-尊享款份额</w:t>
            </w:r>
            <w:r>
              <w:rPr>
                <w:rFonts w:hint="eastAsia" w:ascii="楷体" w:hAnsi="楷体" w:eastAsia="楷体" w:cs="宋体"/>
                <w:b/>
                <w:bCs/>
                <w:color w:val="auto"/>
                <w:spacing w:val="-2"/>
                <w:sz w:val="18"/>
                <w:szCs w:val="18"/>
                <w:highlight w:val="none"/>
                <w:lang w:val="en-US" w:eastAsia="zh-CN"/>
              </w:rPr>
              <w:t>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numPr>
                <w:ilvl w:val="0"/>
                <w:numId w:val="0"/>
              </w:numPr>
              <w:wordWrap/>
              <w:topLinePunct w:val="0"/>
              <w:bidi w:val="0"/>
              <w:snapToGrid/>
              <w:spacing w:line="0" w:lineRule="atLeast"/>
              <w:ind w:right="0" w:rightChars="0"/>
              <w:textAlignment w:val="auto"/>
              <w:rPr>
                <w:rFonts w:hint="eastAsia" w:ascii="楷体" w:hAnsi="楷体" w:eastAsia="楷体" w:cs="宋体"/>
                <w:b/>
                <w:bCs w:val="0"/>
                <w:spacing w:val="-2"/>
                <w:sz w:val="18"/>
                <w:szCs w:val="18"/>
                <w:highlight w:val="none"/>
                <w:u w:val="single"/>
              </w:rPr>
            </w:pPr>
            <w:r>
              <w:rPr>
                <w:rFonts w:hint="eastAsia" w:ascii="楷体" w:hAnsi="楷体" w:eastAsia="楷体" w:cs="宋体"/>
                <w:b/>
                <w:bCs w:val="0"/>
                <w:spacing w:val="-2"/>
                <w:sz w:val="18"/>
                <w:szCs w:val="18"/>
                <w:highlight w:val="none"/>
                <w:u w:val="single"/>
              </w:rPr>
              <w:t>本产品单个开放日投资者净赎回额（赎回申请份额总数扣除申购申请份额总数）超过上一日日终份额10%时，即认为发生了巨额赎回。管理人可以根据本产品当时的资产组合状况决定采取全额赎回、部分赎回、延期办理巨额赎回等措施。</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当管理人认为兑付投资者的赎回申请可能会对产品的资产净值造成较大波动时，当日办理的赎回份额不得低于前一日日终理财产品总份额的10%，对其余赎回申请管理人有权暂停接受或延期办理。对该产品单个投资者的赎回申请，按照其申请占当日申请赎回总份额的比例，确定该投资者当日办理的赎回份额。（示例：某投资者当日申请赎回份额5万份，当日全部赎回申请10000万份，假设前一日日终总份额50000万份，发生巨额赎回，管理人当日办理的赎回份额5000万份，则该投资者当日确认办理的份额为5/10000*5000=2.5万份。）</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3.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4.延缓支付赎回款项：连续2个以上开放日发生巨额赎回的，管理人除有权选择全额赎回或部分赎回等措施外，对于已经接受的赎回申请，管理人可以延缓支付赎回款项，但延缓期限不得超过20个工作日。</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当采取非全额赎回措施时，管理人将在采取相关措施后3个工作日内进行信息披露。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各类份额最新投资周期（2026年9月2日-2027年9月23日）业绩比较基准如下：</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ascii="楷体" w:hAnsi="楷体" w:eastAsia="楷体"/>
                <w:sz w:val="18"/>
              </w:rPr>
              <w:t>A份额2.35%-2.95%</w:t>
            </w:r>
            <w:r>
              <w:rPr>
                <w:rFonts w:hint="eastAsia" w:ascii="楷体" w:hAnsi="楷体" w:eastAsia="楷体"/>
                <w:sz w:val="18"/>
                <w:lang w:eastAsia="zh-CN"/>
              </w:rPr>
              <w:t>；</w:t>
            </w:r>
            <w:r>
              <w:rPr>
                <w:rFonts w:ascii="楷体" w:hAnsi="楷体" w:eastAsia="楷体"/>
                <w:sz w:val="18"/>
              </w:rPr>
              <w:t>B份额2.38%-2.98%</w:t>
            </w:r>
            <w:r>
              <w:rPr>
                <w:rFonts w:hint="eastAsia" w:ascii="楷体" w:hAnsi="楷体" w:eastAsia="楷体"/>
                <w:sz w:val="18"/>
                <w:lang w:eastAsia="zh-CN"/>
              </w:rPr>
              <w:t>；</w:t>
            </w:r>
            <w:r>
              <w:rPr>
                <w:rFonts w:ascii="楷体" w:hAnsi="楷体" w:eastAsia="楷体"/>
                <w:sz w:val="18"/>
              </w:rPr>
              <w:t>C份额2.40%-3.00%</w:t>
            </w:r>
            <w:r>
              <w:rPr>
                <w:rFonts w:hint="eastAsia" w:ascii="楷体" w:hAnsi="楷体" w:eastAsia="楷体"/>
                <w:sz w:val="18"/>
                <w:lang w:eastAsia="zh-CN"/>
              </w:rPr>
              <w:t>；</w:t>
            </w:r>
            <w:r>
              <w:rPr>
                <w:rFonts w:ascii="楷体" w:hAnsi="楷体" w:eastAsia="楷体"/>
                <w:sz w:val="18"/>
              </w:rPr>
              <w:t>D份额2.50%-3.10%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F份额2.35%-2.95%</w:t>
            </w:r>
            <w:r>
              <w:rPr>
                <w:rFonts w:hint="eastAsia" w:ascii="楷体" w:hAnsi="楷体" w:eastAsia="楷体"/>
                <w:sz w:val="18"/>
                <w:lang w:eastAsia="zh-CN"/>
              </w:rPr>
              <w:t>；</w:t>
            </w:r>
            <w:r>
              <w:rPr>
                <w:rFonts w:ascii="楷体" w:hAnsi="楷体" w:eastAsia="楷体"/>
                <w:sz w:val="18"/>
              </w:rPr>
              <w:t>G份额2.38%-2.98%</w:t>
            </w:r>
            <w:r>
              <w:rPr>
                <w:rFonts w:hint="eastAsia" w:ascii="楷体" w:hAnsi="楷体" w:eastAsia="楷体"/>
                <w:sz w:val="18"/>
                <w:lang w:eastAsia="zh-CN"/>
              </w:rPr>
              <w:t>；</w:t>
            </w:r>
            <w:r>
              <w:rPr>
                <w:rFonts w:ascii="楷体" w:hAnsi="楷体" w:eastAsia="楷体"/>
                <w:sz w:val="18"/>
              </w:rPr>
              <w:t>J份额2.45%-3.05%</w:t>
            </w:r>
            <w:r>
              <w:rPr>
                <w:rFonts w:hint="eastAsia" w:ascii="楷体" w:hAnsi="楷体" w:eastAsia="楷体"/>
                <w:sz w:val="18"/>
                <w:lang w:eastAsia="zh-CN"/>
              </w:rPr>
              <w:t>；</w:t>
            </w:r>
            <w:r>
              <w:rPr>
                <w:rFonts w:ascii="楷体" w:hAnsi="楷体" w:eastAsia="楷体"/>
                <w:sz w:val="18"/>
              </w:rPr>
              <w:t>J2份额2.50%-3.10%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P份额2.60%-3.20%</w:t>
            </w:r>
            <w:r>
              <w:rPr>
                <w:rFonts w:hint="eastAsia" w:ascii="楷体" w:hAnsi="楷体" w:eastAsia="楷体"/>
                <w:sz w:val="18"/>
                <w:lang w:eastAsia="zh-CN"/>
              </w:rPr>
              <w:t>；</w:t>
            </w:r>
            <w:r>
              <w:rPr>
                <w:rFonts w:ascii="楷体" w:hAnsi="楷体" w:eastAsia="楷体"/>
                <w:sz w:val="18"/>
              </w:rPr>
              <w:t>Q份额2.50%-3.10%</w:t>
            </w:r>
            <w:r>
              <w:rPr>
                <w:rFonts w:hint="eastAsia" w:ascii="楷体" w:hAnsi="楷体" w:eastAsia="楷体"/>
                <w:sz w:val="18"/>
                <w:lang w:eastAsia="zh-CN"/>
              </w:rPr>
              <w:t>；</w:t>
            </w:r>
            <w:r>
              <w:rPr>
                <w:rFonts w:ascii="楷体" w:hAnsi="楷体" w:eastAsia="楷体"/>
                <w:sz w:val="18"/>
              </w:rPr>
              <w:t>S份额2.38%-2.98%</w:t>
            </w:r>
            <w:r>
              <w:rPr>
                <w:rFonts w:hint="eastAsia" w:ascii="楷体" w:hAnsi="楷体" w:eastAsia="楷体"/>
                <w:sz w:val="18"/>
                <w:lang w:eastAsia="zh-CN"/>
              </w:rPr>
              <w:t>；</w:t>
            </w:r>
            <w:r>
              <w:rPr>
                <w:rFonts w:ascii="楷体" w:hAnsi="楷体" w:eastAsia="楷体"/>
                <w:sz w:val="18"/>
              </w:rPr>
              <w:t>GS份额2.50%-3.10%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S1份额2.45%-3.05%</w:t>
            </w:r>
            <w:r>
              <w:rPr>
                <w:rFonts w:hint="eastAsia" w:ascii="楷体" w:hAnsi="楷体" w:eastAsia="楷体"/>
                <w:sz w:val="18"/>
                <w:lang w:eastAsia="zh-CN"/>
              </w:rPr>
              <w:t>；</w:t>
            </w:r>
            <w:r>
              <w:rPr>
                <w:rFonts w:ascii="楷体" w:hAnsi="楷体" w:eastAsia="楷体"/>
                <w:sz w:val="18"/>
              </w:rPr>
              <w:t>U份额2.35%-2.95%</w:t>
            </w:r>
            <w:r>
              <w:rPr>
                <w:rFonts w:hint="eastAsia" w:ascii="楷体" w:hAnsi="楷体" w:eastAsia="楷体"/>
                <w:sz w:val="18"/>
                <w:lang w:eastAsia="zh-CN"/>
              </w:rPr>
              <w:t>；</w:t>
            </w:r>
            <w:r>
              <w:rPr>
                <w:rFonts w:ascii="楷体" w:hAnsi="楷体" w:eastAsia="楷体"/>
                <w:sz w:val="18"/>
              </w:rPr>
              <w:t>L份额2.45%-3.05%</w:t>
            </w:r>
            <w:r>
              <w:rPr>
                <w:rFonts w:hint="eastAsia" w:ascii="楷体" w:hAnsi="楷体" w:eastAsia="楷体"/>
                <w:sz w:val="18"/>
                <w:lang w:eastAsia="zh-CN"/>
              </w:rPr>
              <w:t>；</w:t>
            </w:r>
            <w:r>
              <w:rPr>
                <w:rFonts w:ascii="楷体" w:hAnsi="楷体" w:eastAsia="楷体"/>
                <w:sz w:val="18"/>
              </w:rPr>
              <w:t>Z份额2.35%-2.95%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Z1份额2.45%-3.05%</w:t>
            </w:r>
            <w:r>
              <w:rPr>
                <w:rFonts w:hint="eastAsia" w:ascii="楷体" w:hAnsi="楷体" w:eastAsia="楷体"/>
                <w:sz w:val="18"/>
                <w:lang w:eastAsia="zh-CN"/>
              </w:rPr>
              <w:t>；</w:t>
            </w:r>
            <w:r>
              <w:rPr>
                <w:rFonts w:ascii="楷体" w:hAnsi="楷体" w:eastAsia="楷体"/>
                <w:sz w:val="18"/>
              </w:rPr>
              <w:t>Z2份额2.50%-3.10%</w:t>
            </w:r>
            <w:r>
              <w:rPr>
                <w:rFonts w:hint="eastAsia" w:ascii="楷体" w:hAnsi="楷体" w:eastAsia="楷体"/>
                <w:sz w:val="18"/>
                <w:lang w:eastAsia="zh-CN"/>
              </w:rPr>
              <w:t>；</w:t>
            </w:r>
            <w:r>
              <w:rPr>
                <w:rFonts w:ascii="楷体" w:hAnsi="楷体" w:eastAsia="楷体"/>
                <w:sz w:val="18"/>
              </w:rPr>
              <w:t>ZA份额2.35%-2.95%</w:t>
            </w:r>
            <w:r>
              <w:rPr>
                <w:rFonts w:hint="eastAsia" w:ascii="楷体" w:hAnsi="楷体" w:eastAsia="楷体"/>
                <w:sz w:val="18"/>
                <w:lang w:eastAsia="zh-CN"/>
              </w:rPr>
              <w:t>；</w:t>
            </w:r>
            <w:r>
              <w:rPr>
                <w:rFonts w:ascii="楷体" w:hAnsi="楷体" w:eastAsia="楷体"/>
                <w:sz w:val="18"/>
              </w:rPr>
              <w:t>ZF份额2.35%-2.95%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ZF2份额2.50%-3.10%</w:t>
            </w:r>
            <w:r>
              <w:rPr>
                <w:rFonts w:hint="eastAsia" w:ascii="楷体" w:hAnsi="楷体" w:eastAsia="楷体"/>
                <w:sz w:val="18"/>
                <w:lang w:eastAsia="zh-CN"/>
              </w:rPr>
              <w:t>；</w:t>
            </w:r>
            <w:r>
              <w:rPr>
                <w:rFonts w:ascii="楷体" w:hAnsi="楷体" w:eastAsia="楷体"/>
                <w:sz w:val="18"/>
              </w:rPr>
              <w:t>ZF3份额2.40%-3.00%</w:t>
            </w:r>
            <w:r>
              <w:rPr>
                <w:rFonts w:hint="eastAsia" w:ascii="楷体" w:hAnsi="楷体" w:eastAsia="楷体"/>
                <w:sz w:val="18"/>
                <w:lang w:eastAsia="zh-CN"/>
              </w:rPr>
              <w:t>；</w:t>
            </w:r>
            <w:r>
              <w:rPr>
                <w:rFonts w:ascii="楷体" w:hAnsi="楷体" w:eastAsia="楷体"/>
                <w:sz w:val="18"/>
              </w:rPr>
              <w:t>ZF4份额2.55%-3.15%</w:t>
            </w:r>
            <w:r>
              <w:rPr>
                <w:rFonts w:hint="eastAsia" w:ascii="楷体" w:hAnsi="楷体" w:eastAsia="楷体"/>
                <w:sz w:val="18"/>
                <w:lang w:eastAsia="zh-CN"/>
              </w:rPr>
              <w:t>；</w:t>
            </w:r>
            <w:r>
              <w:rPr>
                <w:rFonts w:ascii="楷体" w:hAnsi="楷体" w:eastAsia="楷体"/>
                <w:sz w:val="18"/>
              </w:rPr>
              <w:t>ZF5份额2.45%-3.05%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ZJ份额2.65%-3.25%</w:t>
            </w:r>
            <w:r>
              <w:rPr>
                <w:rFonts w:hint="eastAsia" w:ascii="楷体" w:hAnsi="楷体" w:eastAsia="楷体"/>
                <w:sz w:val="18"/>
                <w:lang w:eastAsia="zh-CN"/>
              </w:rPr>
              <w:t>；</w:t>
            </w:r>
            <w:r>
              <w:rPr>
                <w:rFonts w:ascii="楷体" w:hAnsi="楷体" w:eastAsia="楷体"/>
                <w:sz w:val="18"/>
              </w:rPr>
              <w:t>ZL份额2.50%-3.10%</w:t>
            </w:r>
            <w:r>
              <w:rPr>
                <w:rFonts w:hint="eastAsia" w:ascii="楷体" w:hAnsi="楷体" w:eastAsia="楷体"/>
                <w:sz w:val="18"/>
                <w:lang w:eastAsia="zh-CN"/>
              </w:rPr>
              <w:t>；</w:t>
            </w:r>
            <w:r>
              <w:rPr>
                <w:rFonts w:ascii="楷体" w:hAnsi="楷体" w:eastAsia="楷体"/>
                <w:sz w:val="18"/>
              </w:rPr>
              <w:t>天府·优选份额2.50%-3.10%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芙蓉锦程·优选份额2.65%-3.25%</w:t>
            </w:r>
            <w:r>
              <w:rPr>
                <w:rFonts w:hint="eastAsia" w:ascii="楷体" w:hAnsi="楷体" w:eastAsia="楷体"/>
                <w:sz w:val="18"/>
                <w:lang w:eastAsia="zh-CN"/>
              </w:rPr>
              <w:t>；</w:t>
            </w:r>
            <w:r>
              <w:rPr>
                <w:rFonts w:ascii="楷体" w:hAnsi="楷体" w:eastAsia="楷体"/>
                <w:sz w:val="18"/>
              </w:rPr>
              <w:t>芙蓉锦程·优选-尊享款份额2.75%-3.35%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ZN份额2.50%-3.10%</w:t>
            </w:r>
            <w:r>
              <w:rPr>
                <w:rFonts w:hint="eastAsia" w:ascii="楷体" w:hAnsi="楷体" w:eastAsia="楷体"/>
                <w:sz w:val="18"/>
                <w:lang w:eastAsia="zh-CN"/>
              </w:rPr>
              <w:t>；</w:t>
            </w:r>
            <w:r>
              <w:rPr>
                <w:rFonts w:ascii="楷体" w:hAnsi="楷体" w:eastAsia="楷体"/>
                <w:sz w:val="18"/>
              </w:rPr>
              <w:t>ZQ份额2.35%-2.95%</w:t>
            </w:r>
            <w:r>
              <w:rPr>
                <w:rFonts w:hint="eastAsia" w:ascii="楷体" w:hAnsi="楷体" w:eastAsia="楷体"/>
                <w:sz w:val="18"/>
                <w:lang w:eastAsia="zh-CN"/>
              </w:rPr>
              <w:t>；</w:t>
            </w:r>
            <w:r>
              <w:rPr>
                <w:rFonts w:ascii="楷体" w:hAnsi="楷体" w:eastAsia="楷体"/>
                <w:sz w:val="18"/>
              </w:rPr>
              <w:t>ZC份额2.40%-3.00%</w:t>
            </w:r>
            <w:r>
              <w:rPr>
                <w:rFonts w:hint="eastAsia" w:ascii="楷体" w:hAnsi="楷体" w:eastAsia="楷体"/>
                <w:sz w:val="18"/>
                <w:lang w:eastAsia="zh-CN"/>
              </w:rPr>
              <w:t>；</w:t>
            </w:r>
            <w:r>
              <w:rPr>
                <w:rFonts w:ascii="楷体" w:hAnsi="楷体" w:eastAsia="楷体"/>
                <w:sz w:val="18"/>
              </w:rPr>
              <w:t>ZK份额2.50%-3.10%</w:t>
            </w:r>
            <w:r>
              <w:rPr>
                <w:rFonts w:hint="eastAsia" w:ascii="楷体" w:hAnsi="楷体" w:eastAsia="楷体"/>
                <w:sz w:val="18"/>
                <w:lang w:eastAsia="zh-CN"/>
              </w:rPr>
              <w:t>。</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0.55%，B份额 0.55%，C份额 0.55%，D份额 0.55%，F份额 0.65%，G份额 0.55%，J份额 0.55%，J2份额 0.55%，P份额 0.45%，Q份额 0.55%，S份额 0.67%，GS份额 0.55%，S1份额 0.65%，U份额 0.60%，L份额 0.52%，Z份额 0.70%，Z1份额 0.60%，Z2份额 0.55%，ZA份额 0.65%，ZF份额 0.65%，ZF2份额 0.60%，ZF3份额 0.65%，ZF4份额 0.55%，ZF5份额 0.65%，ZJ份额 0.45%，ZL份额 0.50%，天府·优选份额 0.65%，芙蓉锦程·优选份额 0.50%，芙蓉锦程·优选-尊享款份额 0.40%，ZN份额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0.70%，G份额 0.77%，J份额 0.70%，J2份额 0.65%，P份额 0.65%，Q份额 0.65%，S份额 0.65%，GS份额 0.65%，S1份额 0.60%，U份额 0.75%，L份额 0.73%，Z份额 0.65%，Z1份额 0.65%，Z2份额 0.65%，ZA份额 0.70%，ZF份额 0.70%，ZF2份额 0.60%，ZF3份额 0.65%，ZF4份额 0.60%，ZF5份额 0.60%，ZJ份额 0.60%，ZL份额 0.70%，天府·优选份额 0.55%，芙蓉锦程·优选份额 0.55%，芙蓉锦程·优选-尊享款份额 0.55%，ZN份额 0.65%，ZQ份额 0.70%，ZC份额 0.70%，ZK份额 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银行股份有限公司/江苏邳州农村商业银行股份有限公司/江苏南通农村商业银行股份有限公司/江苏高邮农村商业银行股份有限公司/江苏淮安农村商业银行股份有限公司/江苏宜兴农村商业银行股份有限公司/江苏阜宁农村商业银行股份有限公司/江苏高淳农村商业银行股份有限公司/江苏如皋农村商业银行股份有限公司/江苏扬中农村商业银行股份有限公司/江苏溧水农村商业银行股份有限公司/江苏洪泽农村商业银行股份有限公司/江苏仪征农村商业银行股份有限公司/江苏新沂农村商业银行股份有限公司/江苏扬州农村商业银行股份有限公司/江苏丹阳农村商业银行股份有限公司/江苏紫金农村商业银行股份有限公司/江苏盱眙农村商业银行股份有限公司/江苏如东农村商业银行股份有限公司/江苏涟水农村商业银行股份有限公司/江苏句容农村商业银行股份有限公司/江苏东台农村商业银行股份有限公司/江苏海安农村商业银行股份有限公司/江苏沭阳农村商业银行股份有限公司/江苏江阴农村商业银行股份有限公司/江苏靖江农村商业银行股份有限公司/九江银行股份有限公司/江苏泰兴农村商业银行股份有限公司/宁波东海银行股份有限公司/齐鲁银行股份有限公司/苏银理财有限责任公司/上海银行股份有限公司/上海农村商业银行股份有限公司/威海银行股份有限公司/兴业银行股份有限公司/兴业银行股份有限公司钱大/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银行股份有限公司/江苏邳州农村商业银行股份有限公司/江苏南通农村商业银行股份有限公司/江苏高邮农村商业银行股份有限公司/江苏淮安农村商业银行股份有限公司/江苏常熟农村商业银行股份有限公司/江苏宜兴农村商业银行股份有限公司/江苏阜宁农村商业银行股份有限公司/江苏高淳农村商业银行股份有限公司/江苏如皋农村商业银行股份有限公司/江苏扬中农村商业银行股份有限公司/江苏溧水农村商业银行股份有限公司/江苏洪泽农村商业银行股份有限公司/江苏仪征农村商业银行股份有限公司/江苏新沂农村商业银行股份有限公司/江苏扬州农村商业银行股份有限公司/江苏苏州农村商业银行股份有限公司/江苏丹阳农村商业银行股份有限公司/江苏紫金农村商业银行股份有限公司/江苏盱眙农村商业银行股份有限公司/江苏如东农村商业银行股份有限公司/江苏涟水农村商业银行股份有限公司/江苏句容农村商业银行股份有限公司/江苏东台农村商业银行股份有限公司/江苏海安农村商业银行股份有限公司/江苏沭阳农村商业银行股份有限公司/江苏靖江农村商业银行股份有限公司/江苏泰兴农村商业银行股份有限公司/宁波东海银行股份有限公司/齐鲁银行股份有限公司/苏银理财有限责任公司/威海银行股份有限公司/兴业银行股份有限公司钱大/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C份额:江苏紫金农村商业银行股份有限公司/江苏银行股份有限公司/苏银理财有限责任公司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D份额:江苏江阴农村商业银行股份有限公司/江苏银行股份有限公司/上海银行股份有限公司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农村商业银行股份有限公司/甘肃银行股份有限公司/广州银行股份有限公司/杭州联合农村商业银行股份有限公司/华侨银行有限公司/交通银行股份有限公司/九江银行股份有限公司/宁波余姚农村商业银行股份有限公司/宁波慈溪农村商业银行股份有限公司/宁波镇海农村商业银行股份有限公司/宁波通商银行股份有限公司/苏州银行股份有限公司/山西银行股份有限公司/上海浦东发展银行股份有限公司/深圳农村商业银行股份有限公司/泰安银行股份有限公司/台州银行股份有限公司/天津滨海农村商业银行股份有限公司/潍坊银行股份有限公司/兴业银行股份有限公司/浙江温州瓯海农村商业银行股份有限公司/浙江开化农村商业银行股份有限公司/浙江青田农村商业银行股份有限公司/浙江舟山定海海洋农村商业银行股份有限公司/浙江上虞农村商业银行股份有限公司/浙江义乌农村商业银行股份有限公司/浙江乐清农村商业银行股份有限公司/浙江临海农村商业银行股份有限公司/浙江德清农村商业银行股份有限公司/浙江嘉善农村商业银行股份有限公司/中邮邮惠万家银行有限责任公司/浙江杭州余杭农村商业银行股份有限公司/浙江永康农村商业银行股份有限公司/浙江岱山农村商业银行股份有限公司/浙江海宁农村商业银行股份有限公司/浙江长兴农村商业银行股份有限公司/浙江泰顺农村商业银行股份有限公司/浙江绍兴瑞丰农村商业银行股份有限公司/浙商银行股份有限公司/浙江桐庐农村商业银行股份有限公司/浙江江山农村商业银行股份有限公司/浙江淳安农村商业银行股份有限公司/浙江永嘉农村商业银行股份有限公司/浙江萧山农村商业银行股份有限公司/浙江武义农村商业银行股份有限公司/浙江温州龙湾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杭州联合农村商业银行股份有限公司/徽商银行股份有限公司/宁波通商银行股份有限公司/深圳农村商业银行股份有限公司/山西银行股份有限公司/兴业银行股份有限公司/浙江嘉善农村商业银行股份有限公司/浙江温州瓯海农村商业银行股份有限公司/浙江杭州余杭农村商业银行股份有限公司/浙江萧山农村商业银行股份有限公司/浙江绍兴瑞丰农村商业银行股份有限公司/浙江海宁农村商业银行股份有限公司/浙商银行股份有限公司/浙江德清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J2份额:江苏银行股份有限公司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P份额:甘肃银行股份有限公司/徽商银行股份有限公司/泰安银行股份有限公司/郑州银行股份有限公司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Q份额:上海浦东发展银行股份有限公司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S份额:上海浦东发展银行股份有限公司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GS份额:甘肃银行股份有限公司/秦皇岛银行股份有限公司/日照银行股份有限公司/天津滨海农村商业银行股份有限公司/郑州银行股份有限公司</w:t>
      </w:r>
      <w:bookmarkStart w:id="0" w:name="_GoBack"/>
      <w:bookmarkEnd w:id="0"/>
      <w:r>
        <w:rPr>
          <w:rFonts w:hint="eastAsia" w:ascii="楷体" w:hAnsi="楷体" w:eastAsia="楷体" w:cs="楷体"/>
          <w:sz w:val="21"/>
          <w:szCs w:val="21"/>
          <w:highlight w:val="none"/>
          <w:lang w:val="en-US" w:eastAsia="zh-CN"/>
        </w:rPr>
        <w:t>/兰州银行股份有限公司/天津滨海农村商业银行股份有限公司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S1份额:晋商银行股份有限公司/山西银行股份有限公司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L份额:深圳农村商业银行股份有限公司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Z份额:江苏东台农村商业银行股份有限公司/上海农村商业银行股份有限公司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Z1份额:上海农村商业银行股份有限公司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Z2份额:上海农村商业银行股份有限公司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A份额:江苏建湖农村商业银行股份有限公司/江苏大丰农村商业银行股份有限公司/江苏启东农村商业银行股份有限公司/江苏邳州农村商业银行股份有限公司/江苏泗阳农村商业银行股份有限公司/江苏丰县农村商业银行股份有限公司/江苏南通农村商业银行股份有限公司/江苏高邮农村商业银行股份有限公司/江苏淮安农村商业银行股份有限公司/江苏民丰农村商业银行股份有限公司/江苏常熟农村商业银行股份有限公司/江苏盐城农村商业银行股份有限公司/江苏宜兴农村商业银行股份有限公司/江苏阜宁农村商业银行股份有限公司/江苏高淳农村商业银行股份有限公司/江苏如皋农村商业银行股份有限公司/江苏扬中农村商业银行股份有限公司/江苏溧水农村商业银行股份有限公司/江苏洪泽农村商业银行股份有限公司/江苏姜堰农村商业银行股份有限公司/江苏金湖农村商业银行股份有限公司/江苏东海农村商业银行股份有限公司/江苏镇江农村商业银行股份有限公司/江苏江都农村商业银行股份有限公司/江苏仪征农村商业银行股份有限公司/江苏新沂农村商业银行股份有限公司/江苏扬州农村商业银行股份有限公司/江苏苏州农村商业银行股份有限公司/江苏丹阳农村商业银行股份有限公司/江苏海门农村商业银行股份有限公司/江苏紫金农村商业银行股份有限公司/江苏盱眙农村商业银行股份有限公司/江苏灌南农村商业银行股份有限公司/江苏如东农村商业银行股份有限公司/江苏睢宁农村商业银行股份有限公司/江苏涟水农村商业银行股份有限公司/江苏句容农村商业银行股份有限公司/江苏响水农村商业银行股份有限公司/江苏东台农村商业银行股份有限公司/江苏海安农村商业银行股份有限公司/江苏沭阳农村商业银行股份有限公司/江苏靖江农村商业银行股份有限公司/江苏灌云农村商业银行股份有限公司/江苏泗洪农村商业银行股份有限公司/江苏泰兴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河北银行股份有限公司/汉口银行股份有限公司/江苏江南农村商业银行股份有限公司/嘉兴银行股份有限公司/江苏张家港农村商业银行股份有限公司/莱商银行股份有限公司/宁波余姚农村商业银行股份有限公司/宁波慈溪农村商业银行股份有限公司/宁波甬城农村商业银行股份有限公司/宁波镇海农村商业银行股份有限公司/苏州银行股份有限公司/厦门银行股份有限公司/兴业银行股份有限公司/浙江嵊州农村商业银行股份有限公司/浙江温州瓯海农村商业银行股份有限公司/浙江开化农村商业银行股份有限公司/浙江青田农村商业银行股份有限公司/浙江上虞农村商业银行股份有限公司/浙江义乌农村商业银行股份有限公司/浙江临海农村商业银行股份有限公司/浙江临安农村商业银行股份有限公司/浙江龙泉农村商业银行股份有限公司/浙江嘉善农村商业银行股份有限公司/浙江南浔农村商业银行股份有限公司/浙江杭州余杭农村商业银行股份有限公司/浙江永康农村商业银行股份有限公司/浙江岱山农村商业银行股份有限公司/浙江东阳农村商业银行股份有限公司/浙江泰顺农村商业银行股份有限公司/浙江衢州衢江农村商业银行股份有限公司/浙江兰溪农村商业银行股份有限公司/浙江民泰商业银行股份有限公司/浙江江山农村商业银行股份有限公司/浙江衢州柯城农村商业银行股份有限公司/浙江萧山农村商业银行股份有限公司/浙江武义农村商业银行股份有限公司/浙江浦江农村商业银行股份有限公司/浙江德清农村商业银行股份有限公司/浙江温州龙湾农村商业银行股份有限公司/浙江温岭农村商业银行股份有限公司/浙江新昌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3份额:江门农村商业银行股份有限公司/石嘴山银行股份有限公司/浙江嵊州农村商业银行股份有限公司/中山农村商业银行股份有限公司/浙江温州瓯海农村商业银行股份有限公司/浙江开化农村商业银行股份有限公司/浙江青田农村商业银行股份有限公司/浙江上虞农村商业银行股份有限公司/浙江临海农村商业银行股份有限公司/浙江龙泉农村商业银行股份有限公司/浙江嘉善农村商业银行股份有限公司/浙江南浔农村商业银行股份有限公司/浙江永康农村商业银行股份有限公司/浙江岱山农村商业银行股份有限公司/浙江东阳农村商业银行股份有限公司/浙江泰顺农村商业银行股份有限公司/浙江兰溪农村商业银行股份有限公司/浙江松阳农村商业银行股份有限公司/浙江衢州柯城农村商业银行股份有限公司/浙江武义农村商业银行股份有限公司/浙江浦江农村商业银行股份有限公司/浙江德清农村商业银行股份有限公司/浙江衢州衢江农村商业银行股份有限公司/浙江温岭农村商业银行股份有限公司/浙江新昌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ZF4份额:石嘴山银行股份有限公司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ZF5份额:嘉兴银行股份有限公司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宁波通商银行股份有限公司/苏银理财有限责任公司/泰安银行股份有限公司/浙江苍南农村商业银行股份有限公司/浙江嵊州农村商业银行股份有限公司/浙江温州瓯海农村商业银行股份有限公司/浙江龙游农村商业银行股份有限公司/浙江开化农村商业银行股份有限公司/浙江青田农村商业银行股份有限公司/浙江天台农村商业银行股份有限公司/浙江舟山定海海洋农村商业银行股份有限公司/浙江上虞农村商业银行股份有限公司/浙江义乌农村商业银行股份有限公司/浙江乐清农村商业银行股份有限公司/浙江临海农村商业银行股份有限公司/浙江平湖农村商业银行股份有限公司/浙江文成农村商业银行股份有限公司/浙江桐乡农村商业银行股份有限公司/浙江龙泉农村商业银行股份有限公司/浙江嘉善农村商业银行股份有限公司/浙江南浔农村商业银行股份有限公司/浙江永康农村商业银行股份有限公司/浙江舟山普陀农村商业银行股份有限公司/浙江岱山农村商业银行股份有限公司/浙江海宁农村商业银行股份有限公司/浙江诸暨农村商业银行股份有限公司/浙江禾城农村商业银行股份有限公司/浙江遂昌农村商业银行股份有限公司/浙江瑞安农村商业银行股份有限公司/浙江东阳农村商业银行股份有限公司/浙江金华成泰农村商业银行股份有限公司/浙江缙云农村商业银行股份有限公司/浙江泰顺农村商业银行股份有限公司/浙江绍兴恒信农村商业银行股份有限公司/浙江衢州衢江农村商业银行股份有限公司/浙江绍兴瑞丰农村商业银行股份有限公司/浙江温州鹿城农村商业银行股份有限公司/浙江兰溪农村商业银行股份有限公司/浙江江山农村商业银行股份有限公司/浙江安吉农村商业银行股份有限公司/浙江台州黄岩农村商业银行股份有限公司/浙江衢州柯城农村商业银行股份有限公司/浙江永嘉农村商业银行股份有限公司/浙江仙居农村商业银行股份有限公司/浙江武义农村商业银行股份有限公司/浙江台州路桥农村商业银行股份有限公司/浙江浦江农村商业银行股份有限公司/浙江海盐农村商业银行股份有限公司/浙江德清农村商业银行股份有限公司/浙江温州龙湾农村商业银行股份有限公司/浙江长兴农村商业银行股份有限公司/浙江温岭农村商业银行股份有限公司/浙江新昌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天府·优选份额:成都农村商业银行股份有限公司/苏银理财有限责任公司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芙蓉锦程·优选份额:成都银行股份有限公司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芙蓉锦程·优选-尊享款份额:成都银行股份有限公司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建湖农村商业银行股份有限公司/江苏大丰农村商业银行股份有限公司/江苏泗阳农村商业银行股份有限公司/江苏高邮农村商业银行股份有限公司/江苏民丰农村商业银行股份有限公司/江苏常熟农村商业银行股份有限公司/江苏兴化农村商业银行股份有限公司/江苏盐城农村商业银行股份有限公司/江苏宜兴农村商业银行股份有限公司/江苏阜宁农村商业银行股份有限公司/江苏沛县农村商业银行股份有限公司/江苏高淳农村商业银行股份有限公司/江苏如皋农村商业银行股份有限公司/江苏溧水农村商业银行股份有限公司/江苏姜堰农村商业银行股份有限公司/江苏东海农村商业银行股份有限公司/江苏江都农村商业银行股份有限公司/江苏仪征农村商业银行股份有限公司/江苏新沂农村商业银行股份有限公司/江苏扬州农村商业银行股份有限公司/江苏丹阳农村商业银行股份有限公司/江苏紫金农村商业银行股份有限公司/江苏灌南农村商业银行股份有限公司/江苏如东农村商业银行股份有限公司/江苏响水农村商业银行股份有限公司/江苏东台农村商业银行股份有限公司/江苏海安农村商业银行股份有限公司/江苏滨海农村商业银行股份有限公司/江苏泰兴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建湖农村商业银行股份有限公司/江苏大丰农村商业银行股份有限公司/江苏泗阳农村商业银行股份有限公司/江苏南通农村商业银行股份有限公司/江苏高邮农村商业银行股份有限公司/江苏民丰农村商业银行股份有限公司/江苏常熟农村商业银行股份有限公司/江苏兴化农村商业银行股份有限公司/江苏盐城农村商业银行股份有限公司/江苏宜兴农村商业银行股份有限公司/江苏阜宁农村商业银行股份有限公司/江苏沛县农村商业银行股份有限公司/江苏高淳农村商业银行股份有限公司/江苏如皋农村商业银行股份有限公司/江苏溧水农村商业银行股份有限公司/江苏姜堰农村商业银行股份有限公司/江苏江都农村商业银行股份有限公司/江苏仪征农村商业银行股份有限公司/江苏新沂农村商业银行股份有限公司/江苏扬州农村商业银行股份有限公司/江苏丹阳农村商业银行股份有限公司/江苏紫金农村商业银行股份有限公司/江苏灌南农村商业银行股份有限公司/江苏如东农村商业银行股份有限公司/江苏响水农村商业银行股份有限公司/江苏东台农村商业银行股份有限公司/江苏海安农村商业银行股份有限公司/江苏滨海农村商业银行股份有限公司/江苏泰兴农村商业银行股份有限公司/连云港东方农村商业银行股份有限公司/江苏东海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非标准化债权类资产：融资人为泰兴市城市投资发展集团有限公司。融资人经营正常，是依法设立的国有公司，主要股东为江苏平仲科技发展集团有限公司，实际控制人为泰兴市人民政府国有资产监督管理办公室。（2）非标准化债权类资产：融资人为湖州经开投资发展集团有限公司。融资人经营正常，是依法设立的国有公司，主要股东为湖州南太湖国有控股集团有限公司，实际控制人为湖州市人民政府国有资产监督管理委员会。（3）非标准化债权类资产：融资人为湖州吴兴城市投资发展集团有限公司。融资人经营正常，是依法设立的国有公司，主要股东为湖州吴兴国控投资运营发展集团有限公司，实际控制人为湖州市吴兴区财政局。（4）非标准化债权类资产：融资人为江苏皋开投资发展集团有限公司。融资人经营正常，是依法设立的国有公司，主要股东为如皋市人民政府，实际控制人为如皋市人民政府。（5）非标准化债权类资产：融资人为燕舞集团有限公司。融资人经营正常，是依法设立的国有公司，主要股东为盐城市人民政府、盐城市城市资产投资集团有限公司、江苏悦达集团有限公司，实际控制人为盐城市人民政府。（6）非标准化债权类资产：融资人为兰溪市城市投资集团有限公司。融资人经营正常，是依法设立的国有公司，主要股东为兰溪市城市发展集团有限公司，实际控制人为兰溪市人民政府国有资产监督管理办公室。（7）非标准化债权类资产：融资人为绍兴市越城区城市发展建设集团有限公司。融资人经营正常，是依法设立的国有公司，主要股东为绍兴市越城区财政局，实际控制人为绍兴市越城区财政局。（8）非标准化债权类资产：融资人为桐庐县城市建设投资集团有限公司。融资人经营正常，是依法设立的国有公司，主要股东为桐庐投资建设发展集团有限公司，实际控制人为桐庐县人民政府国有资产监督管理委员会。（9）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10）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11）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12）非标准化债权类资产：融资人为海安市城建开发投资集团有限公司。融资人经营正常，是依法设立的国有公司，主要股东为海安市政府国有资产监督管理办公室，实际控制人为海安市政府国有资产监督管理办公室。（13）非标准化债权类资产：融资人为徐州金龙湖控股集团有限公司。融资人经营正常，是依法设立的国有公司，主要股东为徐州市产业发展控股集团有限公司，实际控制人为徐州市人民政府国有资产监督管理委员会。（14）非标准化债权类资产：融资人为杭州富阳城市建设投资集团有限公司。融资人经营正常，是依法设立的国有公司，主要股东为杭州市富阳区人民政府国有资产监督管理办公室，实际控制人为杭州市富阳区人民政府国有资产监督管理办公室。（15）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16）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17）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18）非标准化债权类资产：融资人为扬州江淮建设发展有限公司。融资人经营正常，是依法设立的国有公司，主要股东为扬州市国联控股集团有限公司，实际控制人为扬州市人民政府。（19）非标准化债权类资产：融资人为高邮市交通产业投资集团有限公司。融资人经营正常，是依法设立的国有公司，主要股东为高邮市国有资产投资管理控股(集团)有限公司，实际控制人为高邮市财政局(高邮市政府国有资产监督管理办公室)。（20）非标准化债权类资产：融资人为无锡市高发投资发展集团有限公司。融资人经营正常，是依法设立的国有公司，主要股东为江苏省无锡市新吴区人民政府，实际控制人为江苏省无锡市新吴区人民政府。（21）同业借款：融资人为中国中信金融资产管理股份有限公司。融资人经营正常，是依法成立的国有公司，主要股东为中国中信集团有限公司、财政局、中国融信私募基金有限公司，实际控制人为财政部。（22）同业借款：融资人为中国东方资产管理股份有限公司。融资人经营正常，是依法成立的国有公司，主要股东为中央汇金投资有限责任公司、全国社会保障基金理事会、中国电信集团有限公司，实际控制人为国务院。（23）同业借款：融资人为中国信达资产管理股份有限公司。融资人经营正常，是依法成立的国有公司，主要股东为中央汇金投资有限责任公司，实际控制人为国务院。（24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28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29）收益凭证：融资人为华泰证券股份有限公司。融资人经营正常，是依法设立的持牌金融机构，主要股东为江苏省国信集团有限公司、香港中央结算（代理人）有限公司、江苏交通控股有限公司，无实际控制人。（30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31）收益凭证：融资人为申万宏源证券有限公司。融资人经营正常，是依法设立的持牌金融机构，主要股东为申万宏源集团股份有限公司，实际控制人为中央汇金投资有限责任公司。（32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33）收益凭证：融资人为浙商证券股份有限公司。融资人经营正常，是依法设立的持牌金融机构，主要股东为浙江上三高速公路有限公司、台州市金融投资集团有限公司，实际控制人为浙江省交通投资集团有限公司。（34）收益凭证：融资人为国投证券股份有限公司。融资人经营正常，是依法设立的持牌金融机构，主要股东为国投资本股份有限公司、上海毅胜投资有限公司，实际控制人为国家开发投资集团有限公司。（35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37）收益凭证：融资人为兴业证券股份有限公司。融资人经营正常，是依法设立的持牌金融机构，主要股东为福建省财政厅、福建省投资开发集团有限责任公司、上海申新（集团）有限公司，实际控制人为福建省财政厅。（38）收益凭证：融资人为财通证券股份有限公司。融资人经营正常，是依法设立的持牌金融机构，主要股东为浙江省创新投资集团有限公司、浙江省财开集团有限公司、台州市金融投资集团有限公司，实际控制人为浙江省财政厅。（39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40）收</w:t>
      </w:r>
      <w:r>
        <w:rPr>
          <w:rFonts w:hint="eastAsia" w:ascii="楷体" w:hAnsi="楷体" w:eastAsia="楷体" w:cs="楷体"/>
          <w:color w:val="auto"/>
          <w:kern w:val="2"/>
          <w:sz w:val="21"/>
          <w:szCs w:val="21"/>
          <w:highlight w:val="none"/>
          <w:lang w:val="en-US" w:eastAsia="zh-CN" w:bidi="ar-SA"/>
        </w:rPr>
        <w:t>益凭证：融资人为东海证券股份有限公司。融资人经营正常，是依法设立的持牌金融机构，主要股东为常州投资集团有限公司、山东金控资本管理有限公司，实际控制人为常州投资集团有限公司。（41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44）收益凭证：融资人为中国中金财富证券有限公司。融资人经营正常，是依法设立的持牌金融机构，主要股东为中国国际金融股份有限公司，实际控制人为中央汇金投资有限责任公司。（45）收益凭证：融资人为山西证券股份有限公司。融资人经营正常，是依法设立的持牌金融机构，主要股东为山西金融投资控股集团有限公司、太原钢铁（集团）有限公司、山西国际电力集团有限公司，实际控制人为山西省财政厅。（46）收益凭证：融资人为国都证券股份有限公司。融资人经营正常，是依法设立的持牌金融机构，主要股东为浙商证券股份有限公司、中诚信托有限责任公司、北京国际信托有限公司，实际控制人为浙江省交通投资集团有限公司。（47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48）收益凭证：融资人为华鑫证券有限责任公司。融资人经营正常，是依法设立的持牌金融机构，主要股东为上海华鑫股份有限公司，实际控制人为上海市国有资产监督管理委员会。（49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51）收益凭证：融资人为广发证券股份有限公司。融资人经营正常，是依法设立的持牌金融机构，主要股东为香港中央结算（代理人）有限公司、吉林敖东药业集团股份有限公司、辽宁成大股份有限公司，无实际控制人。（52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（1）-（24）各资产到期日不超过理财产品投资周期终止日，定期付息、到期一次性还本；（25）-（53）各资产到期日不超过理财产品投资周期终止日，到期一次性还本付息。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B4D4F12E"/>
    <w:multiLevelType w:val="singleLevel"/>
    <w:tmpl w:val="B4D4F12E"/>
    <w:lvl w:ilvl="0" w:tentative="0">
      <w:start w:val="1"/>
      <w:numFmt w:val="decimal"/>
      <w:suff w:val="nothing"/>
      <w:lvlText w:val="（%1）"/>
      <w:lvlJc w:val="left"/>
    </w:lvl>
  </w:abstractNum>
  <w:abstractNum w:abstractNumId="4">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10">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3">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8"/>
  </w:num>
  <w:num w:numId="3">
    <w:abstractNumId w:val="16"/>
  </w:num>
  <w:num w:numId="4">
    <w:abstractNumId w:val="17"/>
  </w:num>
  <w:num w:numId="5">
    <w:abstractNumId w:val="19"/>
  </w:num>
  <w:num w:numId="6">
    <w:abstractNumId w:val="18"/>
  </w:num>
  <w:num w:numId="7">
    <w:abstractNumId w:val="3"/>
  </w:num>
  <w:num w:numId="8">
    <w:abstractNumId w:val="12"/>
  </w:num>
  <w:num w:numId="9">
    <w:abstractNumId w:val="11"/>
  </w:num>
  <w:num w:numId="10">
    <w:abstractNumId w:val="7"/>
  </w:num>
  <w:num w:numId="11">
    <w:abstractNumId w:val="2"/>
  </w:num>
  <w:num w:numId="12">
    <w:abstractNumId w:val="5"/>
  </w:num>
  <w:num w:numId="13">
    <w:abstractNumId w:val="0"/>
  </w:num>
  <w:num w:numId="14">
    <w:abstractNumId w:val="15"/>
  </w:num>
  <w:num w:numId="15">
    <w:abstractNumId w:val="13"/>
  </w:num>
  <w:num w:numId="16">
    <w:abstractNumId w:val="6"/>
  </w:num>
  <w:num w:numId="17">
    <w:abstractNumId w:val="14"/>
  </w:num>
  <w:num w:numId="18">
    <w:abstractNumId w:val="1"/>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54BB9"/>
    <w:rsid w:val="02BB217A"/>
    <w:rsid w:val="02E47F25"/>
    <w:rsid w:val="02EE64DC"/>
    <w:rsid w:val="030516AD"/>
    <w:rsid w:val="03B26B31"/>
    <w:rsid w:val="03E91BF7"/>
    <w:rsid w:val="03FC3F39"/>
    <w:rsid w:val="04351FFD"/>
    <w:rsid w:val="049E6222"/>
    <w:rsid w:val="04A92EE3"/>
    <w:rsid w:val="05120775"/>
    <w:rsid w:val="05213D83"/>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EF4322"/>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A91541"/>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252A9E"/>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422C2A"/>
    <w:rsid w:val="3C565716"/>
    <w:rsid w:val="3C6C38E1"/>
    <w:rsid w:val="3CA73211"/>
    <w:rsid w:val="3CC938CE"/>
    <w:rsid w:val="3CD97263"/>
    <w:rsid w:val="3D0A03EB"/>
    <w:rsid w:val="3D19224B"/>
    <w:rsid w:val="3D5742AE"/>
    <w:rsid w:val="3DC06319"/>
    <w:rsid w:val="3E294607"/>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0F3251B"/>
    <w:rsid w:val="4126543E"/>
    <w:rsid w:val="41670A1F"/>
    <w:rsid w:val="420B0DEA"/>
    <w:rsid w:val="423A0CFF"/>
    <w:rsid w:val="42414BD8"/>
    <w:rsid w:val="427B00CF"/>
    <w:rsid w:val="429162B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95405"/>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3326AC"/>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6CD205B"/>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E4D57CD"/>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7</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陈哲琨</cp:lastModifiedBy>
  <cp:lastPrinted>2026-01-27T02:32:00Z</cp:lastPrinted>
  <dcterms:modified xsi:type="dcterms:W3CDTF">2026-08-19T07:53:02Z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