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“苏银理财恒源封闭债权368期</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2026年9月版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苏银理财恒源封闭债权368期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苏银理财恒源封闭债权368期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Z7003126000382，投资者可依据该编码在中国理财网www.chinawealth.com.cn查询产品信息。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A份额：苏银理财恒源封闭债权368期13月A/J27157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B份额：苏银理财恒源封闭债权368期13月B/J27158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C份额：苏银理财恒源封闭债权368期13月C/J27159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D份额：苏银理财恒源封闭债权368期13月D/J27160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E份额：苏银理财恒源封闭债权368期13月E/J27161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F份额：苏银理财恒源封闭债权368期13月F/J27162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G份额：苏银理财恒源封闭债权368期13月G/J27163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I份额：苏银理财恒源封闭债权368期13月I/J27164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J份额：苏银理财恒源封闭债权368期13月J/J27165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K份额：苏银理财恒源封闭债权368期13月K（新客专属）/J27166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M份额：苏银理财恒源封闭债权368期13月M/J27167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N份额：苏银理财恒源封闭债权368期13月N/J27168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O份额：苏银理财恒源封闭债权368期13月O/J27169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P份额：苏银理财恒源封闭债权368期13月P/J27170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Q份额：苏银理财恒源封闭债权368期13月Q/J27171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R份额：苏银理财恒源封闭债权368期13月R/J27172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S份额：苏银理财恒源封闭债权368期13月S/J27173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U份额：苏银理财恒源封闭债权368期13月U/J27174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W份额：苏银理财恒源封闭债权368期13月W/J27176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JS份额：苏银理财恒源封闭债权368期13月JS鑫福款/J27177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Z份额：苏银理财恒源封闭债权368期13月Z/J27178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LS份额：苏银理财恒源封闭债权368期13月LS/J27179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X份额：苏银理财恒源封闭债权368期13月X（恒盈财富专属）/J27180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WF份额：苏银理财恒源封闭债权368期13月WF/J27181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B1份额：苏银理财恒源封闭债权368期13月B1（大同专享）/J27182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3"/>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X份额：面向个人和机构投资者销售；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B1份额：面向个人和机构投资者销售。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O份额：1元/1元的整数倍；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R份额：1元/1元的整数倍；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X份额：1元/1元的整数倍；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B1份额：1元/1元的整数倍。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2026年8月26日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2026年9月1日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2026年9月2日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2027年9月28日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A份额：2.35%-2.75%；B份额：2.35%-2.75%；C份额：2.45%-2.85%；D份额：2.45%-2.85%；E份额：2.45%-2.85%；F份额：</w:t>
            </w:r>
            <w:bookmarkStart w:id="0" w:name="_GoBack"/>
            <w:bookmarkEnd w:id="0"/>
            <w:r>
              <w:rPr>
                <w:rFonts w:hint="eastAsia" w:ascii="楷体" w:hAnsi="楷体" w:eastAsia="楷体" w:cs="宋体"/>
                <w:b w:val="0"/>
                <w:bCs/>
                <w:spacing w:val="-2"/>
                <w:sz w:val="18"/>
                <w:szCs w:val="18"/>
                <w:highlight w:val="none"/>
                <w:u w:val="none"/>
                <w:lang w:val="en-US" w:eastAsia="zh-CN"/>
              </w:rPr>
              <w:t>2.40%-2.80%；G份额：2.30%-2.70%；I份额：2.35%-2.75%；J份额：2.30%-2.70%；K份额：2.55%-2.95%；M份额：2.25%-2.65%；N份额：2.35%-2.75%；O份额：2.37%-2.77%；P份额：2.45%-2.85%；Q份额：2.55%-2.95%；R份额：2.60%-3.00%；S份额：2.40%-2.80%；U份额：2.50%-2.90%；W份额：2.35%-2.75%；JS份额：2.35%-2.75%；Z份额：2.50%-2.90%；LS份额：2.50%-2.90%；X份额：2.60%-3.00%；WF份额：2.65%-3.05%；B1份额：2.50%-2.90%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本产品费用包括托管费、销售服务费、投资管理费、信息技术服务费、超额业绩报酬（如有）以及产品运作和清算中产生的其他费用等。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I份额：0.15%；J份额：0.20%；K份额：0.10%；M份额：0.35%；N份额：0.25%；O份额：0.30%；P份额：0.15%；Q份额：0.10%；R份额：0.05%；S份额：0.15%；U份额：0.20%；W份额：0.20%；JS份额：0.20%；Z份额：0.10%；LS份额：0.15%；X份额：0.05%；WF份额：0.05%；B1份额：0.15%。其中D/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I份额：0.25%；J份额：0.25%；K份额：0.10%；M份额：0.15%；N份额：0.15%；O份额：0.08%；P份额：0.15%；Q份额：0.10%；R份额：0.10%；S份额：0.20%；U份额：0.05%；W份额：0.20%；JS份额：0.20%；Z份额：0.15%；LS份额：0.10%；X份额：0.10%；WF份额：0.05%；B1份额：0.10%</w:t>
            </w:r>
          </w:p>
          <w:p>
            <w:pPr>
              <w:pStyle w:val="198"/>
              <w:keepNext w:val="0"/>
              <w:keepLines w:val="0"/>
              <w:pageBreakBefore w:val="0"/>
              <w:widowControl w:val="0"/>
              <w:bidi w:val="0"/>
              <w:spacing w:line="0" w:lineRule="atLeast"/>
              <w:ind w:right="0"/>
              <w:rPr>
                <w:rFonts w:hint="eastAsia" w:ascii="楷体" w:hAnsi="楷体" w:eastAsia="楷体" w:cs="宋体"/>
                <w:b w:val="0"/>
                <w:bCs w:val="0"/>
                <w:spacing w:val="-2"/>
                <w:sz w:val="18"/>
                <w:szCs w:val="18"/>
                <w:highlight w:val="none"/>
              </w:rPr>
            </w:pPr>
            <w:r>
              <w:rPr>
                <w:rFonts w:hint="eastAsia" w:ascii="楷体" w:hAnsi="楷体" w:eastAsia="楷体" w:cs="宋体"/>
                <w:b w:val="0"/>
                <w:bCs w:val="0"/>
                <w:spacing w:val="-2"/>
                <w:sz w:val="18"/>
                <w:szCs w:val="18"/>
                <w:highlight w:val="none"/>
                <w:lang w:val="en-US" w:eastAsia="zh-CN"/>
              </w:rPr>
              <w:t>4.信息技术服务费（年化）：0.002%</w:t>
            </w:r>
          </w:p>
          <w:p>
            <w:pPr>
              <w:keepNext w:val="0"/>
              <w:keepLines w:val="0"/>
              <w:pageBreakBefore w:val="0"/>
              <w:bidi w:val="0"/>
              <w:spacing w:line="0" w:lineRule="atLeast"/>
              <w:ind w:right="0"/>
              <w:rPr>
                <w:rFonts w:hint="eastAsia" w:ascii="楷体" w:hAnsi="楷体" w:eastAsia="楷体" w:cs="宋体"/>
                <w:b w:val="0"/>
                <w:bCs w:val="0"/>
                <w:color w:val="auto"/>
                <w:spacing w:val="-2"/>
                <w:sz w:val="18"/>
                <w:szCs w:val="18"/>
                <w:highlight w:val="none"/>
              </w:rPr>
            </w:pPr>
            <w:r>
              <w:rPr>
                <w:rFonts w:hint="eastAsia" w:ascii="楷体" w:hAnsi="楷体" w:eastAsia="楷体" w:cs="宋体"/>
                <w:b w:val="0"/>
                <w:bCs w:val="0"/>
                <w:color w:val="auto"/>
                <w:spacing w:val="-2"/>
                <w:sz w:val="18"/>
                <w:szCs w:val="18"/>
                <w:highlight w:val="none"/>
                <w:lang w:val="en-US" w:eastAsia="zh-CN"/>
              </w:rPr>
              <w:t>5</w:t>
            </w:r>
            <w:r>
              <w:rPr>
                <w:rFonts w:hint="eastAsia" w:ascii="楷体" w:hAnsi="楷体" w:eastAsia="楷体" w:cs="宋体"/>
                <w:b w:val="0"/>
                <w:bCs w:val="0"/>
                <w:color w:val="auto"/>
                <w:spacing w:val="-2"/>
                <w:sz w:val="18"/>
                <w:szCs w:val="18"/>
                <w:highlight w:val="none"/>
              </w:rPr>
              <w:t>.超额业绩报酬</w:t>
            </w:r>
            <w:r>
              <w:rPr>
                <w:rFonts w:hint="eastAsia" w:ascii="楷体" w:hAnsi="楷体" w:eastAsia="楷体" w:cs="宋体"/>
                <w:b w:val="0"/>
                <w:bCs w:val="0"/>
                <w:color w:val="auto"/>
                <w:spacing w:val="-2"/>
                <w:sz w:val="18"/>
                <w:szCs w:val="18"/>
                <w:highlight w:val="none"/>
                <w:lang w:eastAsia="zh-CN"/>
              </w:rPr>
              <w:t>（</w:t>
            </w:r>
            <w:r>
              <w:rPr>
                <w:rFonts w:hint="eastAsia" w:ascii="楷体" w:hAnsi="楷体" w:eastAsia="楷体" w:cs="宋体"/>
                <w:b w:val="0"/>
                <w:bCs w:val="0"/>
                <w:color w:val="auto"/>
                <w:spacing w:val="-2"/>
                <w:sz w:val="18"/>
                <w:szCs w:val="18"/>
                <w:highlight w:val="none"/>
                <w:lang w:val="en-US" w:eastAsia="zh-CN"/>
              </w:rPr>
              <w:t>如有）</w:t>
            </w:r>
            <w:r>
              <w:rPr>
                <w:rFonts w:hint="eastAsia" w:ascii="楷体" w:hAnsi="楷体" w:eastAsia="楷体" w:cs="宋体"/>
                <w:b w:val="0"/>
                <w:bCs w:val="0"/>
                <w:color w:val="auto"/>
                <w:spacing w:val="-2"/>
                <w:sz w:val="18"/>
                <w:szCs w:val="18"/>
                <w:highlight w:val="none"/>
              </w:rPr>
              <w:t>：</w:t>
            </w:r>
            <w:r>
              <w:rPr>
                <w:rFonts w:hint="eastAsia" w:ascii="楷体" w:hAnsi="楷体" w:eastAsia="楷体" w:cs="宋体"/>
                <w:b w:val="0"/>
                <w:bCs w:val="0"/>
                <w:color w:val="auto"/>
                <w:spacing w:val="-2"/>
                <w:sz w:val="18"/>
                <w:szCs w:val="18"/>
              </w:rPr>
              <w:t>若产品各份额实际投资收益在扣除托管费、销售服务费、投资管理费</w:t>
            </w:r>
            <w:r>
              <w:rPr>
                <w:rFonts w:hint="eastAsia" w:ascii="楷体" w:hAnsi="楷体" w:eastAsia="楷体" w:cs="宋体"/>
                <w:b w:val="0"/>
                <w:bCs w:val="0"/>
                <w:color w:val="auto"/>
                <w:spacing w:val="-2"/>
                <w:sz w:val="18"/>
                <w:szCs w:val="18"/>
                <w:lang w:eastAsia="zh-CN"/>
              </w:rPr>
              <w:t>、</w:t>
            </w:r>
            <w:r>
              <w:rPr>
                <w:rFonts w:hint="eastAsia" w:ascii="楷体" w:hAnsi="楷体" w:eastAsia="楷体" w:cs="宋体"/>
                <w:b w:val="0"/>
                <w:bCs w:val="0"/>
                <w:color w:val="auto"/>
                <w:spacing w:val="-2"/>
                <w:sz w:val="18"/>
                <w:szCs w:val="18"/>
                <w:lang w:val="en-US" w:eastAsia="zh-CN"/>
              </w:rPr>
              <w:t>信息技术服务费</w:t>
            </w:r>
            <w:r>
              <w:rPr>
                <w:rFonts w:hint="eastAsia" w:ascii="楷体" w:hAnsi="楷体" w:eastAsia="楷体" w:cs="宋体"/>
                <w:b w:val="0"/>
                <w:bCs w:val="0"/>
                <w:color w:val="auto"/>
                <w:spacing w:val="-2"/>
                <w:sz w:val="18"/>
                <w:szCs w:val="18"/>
              </w:rPr>
              <w:t>等费用后超过各份额业绩比较基准，产品管理人将按照超出部分的50%收取超额业绩报酬。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b w:val="0"/>
                <w:bCs w:val="0"/>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b w:val="0"/>
                <w:bCs w:val="0"/>
                <w:color w:val="auto"/>
                <w:spacing w:val="-2"/>
                <w:sz w:val="18"/>
                <w:szCs w:val="18"/>
                <w:lang w:val="en-US" w:eastAsia="zh-CN"/>
              </w:rPr>
              <w:t>收取</w:t>
            </w:r>
            <w:r>
              <w:rPr>
                <w:rFonts w:hint="eastAsia" w:ascii="楷体" w:hAnsi="楷体" w:eastAsia="楷体" w:cs="宋体"/>
                <w:b w:val="0"/>
                <w:bCs w:val="0"/>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印花税等</w:t>
            </w:r>
            <w:r>
              <w:rPr>
                <w:rFonts w:hint="eastAsia" w:ascii="楷体" w:hAnsi="楷体" w:eastAsia="楷体" w:cs="宋体"/>
                <w:color w:val="auto"/>
                <w:spacing w:val="-2"/>
                <w:sz w:val="18"/>
                <w:szCs w:val="18"/>
              </w:rPr>
              <w:t>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中国工商银行股份有限公司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B份额：东莞农村商业银行股份有限公司/晋商银行股份有限公司/齐鲁银行股份有限公司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C份额：江苏银行股份有限公司/宁夏银行股份有限公司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齐鲁银行股份有限公司/武汉农村商业银行股份有限公司/浙江安吉农村商业银行股份有限公司/浙江德清农村商业银行股份有限公司/浙江禾城农村商业银行股份有限公司/浙江嘉善农村商业银行股份有限公司/浙江江山农村商业银行股份有限公司/浙江南浔农村商业银行股份有限公司/浙江平湖农村商业银行股份有限公司/浙江绍兴恒信农村商业银行股份有限公司/浙江绍兴瑞丰农村商业银行股份有限公司/浙江松阳农村商业银行股份有限公司/浙江桐乡农村商业银行股份有限公司/浙江温州瓯海农村商业银行股份有限公司/浙江义乌农村商业银行股份有限公司/浙江舟山定海海洋农村商业银行股份有限公司/浙江诸暨农村商业银行股份有限公司/浙江岱山农村商业银行股份有限公司/重庆农村商业银行股份有限公司/浙江青田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E份额：江苏常熟农村商业银行股份有限公司/江苏宜兴农村商业银行股份有限公司/江苏银行股份有限公司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广东华润银行股份有限公司/广州银行股份有限公司/江苏苏州农村商业银行股份有限公司/莱商银行股份有限公司/齐鲁银行股份有限公司/秦皇岛银行股份有限公司/青岛银行股份有限公司/上海银行股份有限公司/威海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G份额：北京农村商业银行股份有限公司/江苏常熟农村商业银行股份有限公司/江苏苏州农村商业银行股份有限公司/山西银行股份有限公司/上海农村商业银行股份有限公司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浙江富阳农村商业银行股份有限公司/浙江杭州余杭农村商业银行股份有限公司/浙江建德农村商业银行股份有限公司/浙江临安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苏银理财有限责任公司/浙江富阳农村商业银行股份有限公司/浙江杭州余杭农村商业银行股份有限公司/浙江建德农村商业银行股份有限公司/浙江临安农村商业银行股份有限公司/浙江绍兴恒信农村商业银行股份有限公司/浙江绍兴瑞丰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O份额：东莞农村商业银行股份有限公司/湖北银行股份有限公司/九江银行股份有限公司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P份额：东营银行股份有限公司/上海银行股份有限公司/浙江杭州余杭农村商业银行股份有限公司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西北部湾银行股份有限公司/湖州吴兴农村商业银行股份有限公司/齐鲁银行股份有限公司/青岛银行股份有限公司/日照银行股份有限公司/苏银理财有限责任公司/泰安银行股份有限公司/浙江安吉农村商业银行股份有限公司/浙江苍南农村商业银行股份有限公司/浙江长兴农村商业银行股份有限公司/浙江淳安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建德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绍兴瑞丰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浙江淳安农村商业银行股份有限公司/浙江海宁农村商业银行股份有限公司/浙江海盐农村商业银行股份有限公司/浙江嘉善农村商业银行股份有限公司/浙江青田农村商业银行股份有限公司/浙江绍兴瑞丰农村商业银行股份有限公司/浙江永康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湖州吴兴农村商业银行股份有限公司/浙江安吉农村商业银行股份有限公司/浙江苍南农村商业银行股份有限公司/浙江长兴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建德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U份额：嘉兴银行股份有限公司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W份额：苏银理财有限责任公司/浙江绍兴瑞丰农村商业银行股份有限公司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淮安农村商业银行股份有限公司/江苏建湖农村商业银行股份有限公司/江苏姜堰农村商业银行股份有限公司/江苏江都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江苏太仓农村商业银行股份有限公司</w:t>
      </w:r>
    </w:p>
    <w:p>
      <w:pPr>
        <w:ind w:firstLine="420" w:firstLineChars="0"/>
        <w:rPr>
          <w:rFonts w:hint="eastAsia"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Z份额：郑州银行股份有限公司/齐鲁银行股份有限公司</w:t>
      </w:r>
    </w:p>
    <w:p>
      <w:pPr>
        <w:ind w:firstLine="420" w:firstLineChars="0"/>
        <w:rPr>
          <w:rFonts w:hint="eastAsia"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LS份额：莱商银行股份有限公司</w:t>
      </w:r>
    </w:p>
    <w:p>
      <w:pPr>
        <w:ind w:firstLine="420" w:firstLineChars="0"/>
        <w:rPr>
          <w:rFonts w:hint="eastAsia"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X份额：浙江绍兴恒信农村商业银行股份有限公司</w:t>
      </w:r>
    </w:p>
    <w:p>
      <w:pPr>
        <w:ind w:firstLine="420" w:firstLineChars="0"/>
        <w:rPr>
          <w:rFonts w:hint="eastAsia"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WF份额：潍坊银行股份有限公司</w:t>
      </w:r>
    </w:p>
    <w:p>
      <w:pPr>
        <w:ind w:firstLine="420" w:firstLineChars="0"/>
        <w:rPr>
          <w:rFonts w:hint="default"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B1份额：晋商银行股份有限公司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w:t>
      </w:r>
      <w:r>
        <w:rPr>
          <w:rFonts w:hint="eastAsia" w:ascii="楷体" w:hAnsi="楷体" w:eastAsia="楷体" w:cs="Calibri"/>
          <w:color w:val="auto"/>
          <w:sz w:val="21"/>
          <w:szCs w:val="21"/>
          <w:highlight w:val="none"/>
          <w:lang w:val="en-US" w:eastAsia="zh-CN"/>
        </w:rPr>
        <w:t>信息技术服务费、</w:t>
      </w:r>
      <w:r>
        <w:rPr>
          <w:rFonts w:hint="eastAsia" w:ascii="楷体" w:hAnsi="楷体" w:eastAsia="楷体" w:cs="Calibri"/>
          <w:color w:val="auto"/>
          <w:sz w:val="21"/>
          <w:szCs w:val="21"/>
          <w:highlight w:val="none"/>
        </w:rPr>
        <w:t>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default" w:ascii="楷体" w:hAnsi="楷体" w:eastAsia="楷体" w:cs="Times New Roman"/>
          <w:bCs/>
          <w:color w:val="auto"/>
          <w:sz w:val="21"/>
          <w:szCs w:val="21"/>
          <w:highlight w:val="none"/>
          <w:u w:val="none"/>
          <w:lang w:val="en-US" w:eastAsia="zh-CN"/>
        </w:rPr>
      </w:pPr>
      <w:r>
        <w:rPr>
          <w:rFonts w:hint="eastAsia" w:ascii="楷体" w:hAnsi="楷体" w:eastAsia="楷体" w:cs="楷体"/>
          <w:sz w:val="21"/>
          <w:szCs w:val="21"/>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w:t>
      </w:r>
      <w:r>
        <w:rPr>
          <w:rFonts w:hint="eastAsia" w:ascii="楷体" w:hAnsi="楷体" w:eastAsia="楷体"/>
          <w:color w:val="auto"/>
          <w:sz w:val="21"/>
          <w:szCs w:val="21"/>
          <w:lang w:val="en-US" w:eastAsia="zh-CN"/>
        </w:rPr>
        <w:t>信息技术服务费、</w:t>
      </w:r>
      <w:r>
        <w:rPr>
          <w:rFonts w:hint="eastAsia" w:ascii="楷体" w:hAnsi="楷体" w:eastAsia="楷体"/>
          <w:color w:val="auto"/>
          <w:sz w:val="21"/>
          <w:szCs w:val="21"/>
        </w:rPr>
        <w:t>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olor w:val="auto"/>
          <w:sz w:val="21"/>
          <w:szCs w:val="21"/>
          <w:lang w:val="en-US" w:eastAsia="zh-CN"/>
        </w:rPr>
        <w:t>信息技术服务费：</w:t>
      </w:r>
      <w:r>
        <w:rPr>
          <w:rFonts w:hint="eastAsia" w:ascii="楷体" w:hAnsi="楷体" w:eastAsia="楷体" w:cs="Calibri"/>
          <w:color w:val="auto"/>
          <w:sz w:val="21"/>
          <w:szCs w:val="21"/>
        </w:rPr>
        <w:t>每日计提，</w:t>
      </w:r>
      <w:r>
        <w:rPr>
          <w:rFonts w:hint="eastAsia" w:ascii="楷体" w:hAnsi="楷体" w:eastAsia="楷体"/>
          <w:sz w:val="21"/>
          <w:szCs w:val="21"/>
        </w:rPr>
        <w:t>每日应计提的</w:t>
      </w:r>
      <w:r>
        <w:rPr>
          <w:rFonts w:hint="eastAsia" w:ascii="楷体" w:hAnsi="楷体" w:eastAsia="楷体"/>
          <w:color w:val="auto"/>
          <w:sz w:val="21"/>
          <w:szCs w:val="21"/>
          <w:lang w:val="en-US" w:eastAsia="zh-CN"/>
        </w:rPr>
        <w:t>信息技术服务费</w:t>
      </w:r>
      <w:r>
        <w:rPr>
          <w:rFonts w:hint="eastAsia" w:ascii="楷体" w:hAnsi="楷体" w:eastAsia="楷体"/>
          <w:sz w:val="21"/>
          <w:szCs w:val="21"/>
        </w:rPr>
        <w:t>＝前一日的产品资产净值×</w:t>
      </w:r>
      <w:r>
        <w:rPr>
          <w:rFonts w:hint="eastAsia" w:ascii="楷体" w:hAnsi="楷体" w:eastAsia="楷体"/>
          <w:color w:val="auto"/>
          <w:sz w:val="21"/>
          <w:szCs w:val="21"/>
          <w:lang w:val="en-US" w:eastAsia="zh-CN"/>
        </w:rPr>
        <w:t>信息技术服务费</w:t>
      </w:r>
      <w:r>
        <w:rPr>
          <w:rFonts w:hint="eastAsia" w:ascii="楷体" w:hAnsi="楷体" w:eastAsia="楷体"/>
          <w:sz w:val="21"/>
          <w:szCs w:val="21"/>
        </w:rPr>
        <w:t>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5"/>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66"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67"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65"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68"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246926"/>
    <w:multiLevelType w:val="multilevel"/>
    <w:tmpl w:val="7C246926"/>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14"/>
  </w:num>
  <w:num w:numId="10">
    <w:abstractNumId w:val="0"/>
  </w:num>
  <w:num w:numId="11">
    <w:abstractNumId w:val="9"/>
  </w:num>
  <w:num w:numId="12">
    <w:abstractNumId w:val="12"/>
  </w:num>
  <w:num w:numId="13">
    <w:abstractNumId w:val="3"/>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86882"/>
    <w:rsid w:val="0F726A64"/>
    <w:rsid w:val="13DD5A71"/>
    <w:rsid w:val="14236909"/>
    <w:rsid w:val="28031BBE"/>
    <w:rsid w:val="2AC53EBC"/>
    <w:rsid w:val="3FAA38E3"/>
    <w:rsid w:val="439978BE"/>
    <w:rsid w:val="54C342FC"/>
    <w:rsid w:val="57A76408"/>
    <w:rsid w:val="7C251C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196"/>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semiHidden/>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4"/>
    <w:qFormat/>
    <w:uiPriority w:val="1"/>
    <w:rPr>
      <w:rFonts w:ascii="黑体" w:hAnsi="Times New Roman" w:eastAsia="黑体" w:cs="Times New Roman"/>
      <w:b/>
      <w:bCs/>
      <w:sz w:val="36"/>
      <w:szCs w:val="36"/>
    </w:rPr>
  </w:style>
  <w:style w:type="character" w:customStyle="1" w:styleId="188">
    <w:name w:val="标题 2 Char"/>
    <w:link w:val="5"/>
    <w:qFormat/>
    <w:uiPriority w:val="9"/>
    <w:rPr>
      <w:rFonts w:ascii="Cambria" w:hAnsi="Cambria" w:eastAsia="宋体" w:cs="Times New Roman"/>
      <w:b/>
      <w:bCs/>
      <w:sz w:val="32"/>
      <w:szCs w:val="32"/>
    </w:rPr>
  </w:style>
  <w:style w:type="character" w:customStyle="1" w:styleId="189">
    <w:name w:val="标题 3 Char"/>
    <w:link w:val="6"/>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9"/>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7"/>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2026-08-05T03:44:38Z</dcterms:modified>
  <cp:revision>12</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ce0d2-32c1-4032-90b6-168ef2d8c0a9}">
  <ds:schemaRefs/>
</ds:datastoreItem>
</file>

<file path=customXml/itemProps3.xml><?xml version="1.0" encoding="utf-8"?>
<ds:datastoreItem xmlns:ds="http://schemas.openxmlformats.org/officeDocument/2006/customXml" ds:itemID="{bc55673d-b0ff-4c27-a411-ca29da451969}">
  <ds:schemaRefs/>
</ds:datastoreItem>
</file>

<file path=customXml/itemProps4.xml><?xml version="1.0" encoding="utf-8"?>
<ds:datastoreItem xmlns:ds="http://schemas.openxmlformats.org/officeDocument/2006/customXml" ds:itemID="{2055b5f2-f13f-4a63-bbea-e5eec447a32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jsyh</cp:lastModifiedBy>
  <dcterms:modified xsi:type="dcterms:W3CDTF">2026-08-19T11:19:03Z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