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3DAF0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lang w:val="en-US" w:eastAsia="zh-CN"/>
        </w:rPr>
        <w:t>关于调整部分理财产品销售文件的公告</w:t>
      </w:r>
    </w:p>
    <w:p w14:paraId="504466B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p>
    <w:p w14:paraId="49F8575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sz w:val="32"/>
          <w:szCs w:val="32"/>
        </w:rPr>
        <w:t>尊敬的投资者：</w:t>
      </w:r>
    </w:p>
    <w:p w14:paraId="16051CAF">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val="0"/>
          <w:i w:val="0"/>
          <w:iCs w:val="0"/>
          <w:caps w:val="0"/>
          <w:color w:val="FF0000"/>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rPr>
        <w:t>为充分保护投资者利益</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向</w:t>
      </w:r>
      <w:r>
        <w:rPr>
          <w:rFonts w:hint="eastAsia" w:ascii="仿宋_GB2312" w:hAnsi="仿宋_GB2312" w:eastAsia="仿宋_GB2312" w:cs="仿宋_GB2312"/>
          <w:i w:val="0"/>
          <w:iCs w:val="0"/>
          <w:caps w:val="0"/>
          <w:color w:val="auto"/>
          <w:spacing w:val="0"/>
          <w:sz w:val="32"/>
          <w:szCs w:val="32"/>
          <w:shd w:val="clear" w:fill="FFFFFF"/>
          <w:lang w:eastAsia="zh-CN"/>
        </w:rPr>
        <w:t>投资者</w:t>
      </w:r>
      <w:r>
        <w:rPr>
          <w:rFonts w:hint="eastAsia" w:ascii="仿宋_GB2312" w:hAnsi="仿宋_GB2312" w:eastAsia="仿宋_GB2312" w:cs="仿宋_GB2312"/>
          <w:i w:val="0"/>
          <w:iCs w:val="0"/>
          <w:caps w:val="0"/>
          <w:color w:val="auto"/>
          <w:spacing w:val="0"/>
          <w:sz w:val="32"/>
          <w:szCs w:val="32"/>
          <w:shd w:val="clear" w:fill="FFFFFF"/>
        </w:rPr>
        <w:t>提供更好的服务，</w:t>
      </w:r>
      <w:r>
        <w:rPr>
          <w:rFonts w:hint="eastAsia" w:ascii="仿宋_GB2312" w:hAnsi="仿宋_GB2312" w:eastAsia="仿宋_GB2312" w:cs="仿宋_GB2312"/>
          <w:i w:val="0"/>
          <w:iCs w:val="0"/>
          <w:caps w:val="0"/>
          <w:color w:val="auto"/>
          <w:spacing w:val="0"/>
          <w:sz w:val="32"/>
          <w:szCs w:val="32"/>
          <w:shd w:val="clear" w:fill="FFFFFF"/>
          <w:lang w:eastAsia="zh-CN"/>
        </w:rPr>
        <w:t>浙银理财</w:t>
      </w:r>
      <w:r>
        <w:rPr>
          <w:rFonts w:hint="eastAsia" w:ascii="仿宋_GB2312" w:hAnsi="仿宋_GB2312" w:eastAsia="仿宋_GB2312" w:cs="仿宋_GB2312"/>
          <w:i w:val="0"/>
          <w:iCs w:val="0"/>
          <w:caps w:val="0"/>
          <w:color w:val="auto"/>
          <w:spacing w:val="0"/>
          <w:sz w:val="32"/>
          <w:szCs w:val="32"/>
          <w:shd w:val="clear" w:fill="FFFFFF"/>
          <w:lang w:val="en-US" w:eastAsia="zh-CN"/>
        </w:rPr>
        <w:t>将</w:t>
      </w:r>
      <w:r>
        <w:rPr>
          <w:rFonts w:hint="eastAsia" w:ascii="仿宋_GB2312" w:hAnsi="仿宋_GB2312" w:eastAsia="仿宋_GB2312" w:cs="仿宋_GB2312"/>
          <w:i w:val="0"/>
          <w:iCs w:val="0"/>
          <w:caps w:val="0"/>
          <w:color w:val="auto"/>
          <w:spacing w:val="0"/>
          <w:sz w:val="32"/>
          <w:szCs w:val="32"/>
          <w:shd w:val="clear" w:fill="FFFFFF"/>
        </w:rPr>
        <w:t>对部分理财</w:t>
      </w:r>
      <w:r>
        <w:rPr>
          <w:rFonts w:hint="eastAsia" w:ascii="仿宋_GB2312" w:hAnsi="仿宋_GB2312" w:eastAsia="仿宋_GB2312" w:cs="仿宋_GB2312"/>
          <w:i w:val="0"/>
          <w:iCs w:val="0"/>
          <w:caps w:val="0"/>
          <w:color w:val="auto"/>
          <w:spacing w:val="0"/>
          <w:sz w:val="32"/>
          <w:szCs w:val="32"/>
          <w:shd w:val="clear" w:fill="FFFFFF"/>
          <w:lang w:eastAsia="zh-CN"/>
        </w:rPr>
        <w:t>销售文件</w:t>
      </w:r>
      <w:r>
        <w:rPr>
          <w:rFonts w:hint="eastAsia" w:ascii="仿宋_GB2312" w:hAnsi="仿宋_GB2312" w:eastAsia="仿宋_GB2312" w:cs="仿宋_GB2312"/>
          <w:i w:val="0"/>
          <w:iCs w:val="0"/>
          <w:caps w:val="0"/>
          <w:color w:val="auto"/>
          <w:spacing w:val="0"/>
          <w:sz w:val="32"/>
          <w:szCs w:val="32"/>
          <w:shd w:val="clear" w:fill="FFFFFF"/>
        </w:rPr>
        <w:t>进行统一修订（所涉及的理财产品详见</w:t>
      </w:r>
      <w:r>
        <w:rPr>
          <w:rFonts w:hint="eastAsia" w:ascii="仿宋_GB2312" w:hAnsi="仿宋_GB2312" w:eastAsia="仿宋_GB2312" w:cs="仿宋_GB2312"/>
          <w:i w:val="0"/>
          <w:iCs w:val="0"/>
          <w:caps w:val="0"/>
          <w:color w:val="auto"/>
          <w:spacing w:val="0"/>
          <w:sz w:val="32"/>
          <w:szCs w:val="32"/>
          <w:shd w:val="clear" w:fill="FFFFFF"/>
          <w:lang w:val="en-US" w:eastAsia="zh-CN"/>
        </w:rPr>
        <w:t>本公告正文中理财产品</w:t>
      </w:r>
      <w:r>
        <w:rPr>
          <w:rFonts w:hint="eastAsia" w:ascii="仿宋_GB2312" w:hAnsi="仿宋_GB2312" w:eastAsia="仿宋_GB2312" w:cs="仿宋_GB2312"/>
          <w:i w:val="0"/>
          <w:iCs w:val="0"/>
          <w:caps w:val="0"/>
          <w:color w:val="auto"/>
          <w:spacing w:val="0"/>
          <w:sz w:val="32"/>
          <w:szCs w:val="32"/>
          <w:shd w:val="clear" w:fill="FFFFFF"/>
        </w:rPr>
        <w:t>清单），调整内容</w:t>
      </w:r>
      <w:r>
        <w:rPr>
          <w:rFonts w:hint="eastAsia" w:ascii="仿宋_GB2312" w:hAnsi="仿宋_GB2312" w:eastAsia="仿宋_GB2312" w:cs="仿宋_GB2312"/>
          <w:i w:val="0"/>
          <w:iCs w:val="0"/>
          <w:caps w:val="0"/>
          <w:color w:val="auto"/>
          <w:spacing w:val="0"/>
          <w:sz w:val="32"/>
          <w:szCs w:val="32"/>
          <w:shd w:val="clear" w:fill="FFFFFF"/>
          <w:lang w:val="en-US" w:eastAsia="zh-CN"/>
        </w:rPr>
        <w:t>概要</w:t>
      </w:r>
      <w:r>
        <w:rPr>
          <w:rFonts w:hint="eastAsia" w:ascii="仿宋_GB2312" w:hAnsi="仿宋_GB2312" w:eastAsia="仿宋_GB2312" w:cs="仿宋_GB2312"/>
          <w:i w:val="0"/>
          <w:iCs w:val="0"/>
          <w:caps w:val="0"/>
          <w:color w:val="auto"/>
          <w:spacing w:val="0"/>
          <w:sz w:val="32"/>
          <w:szCs w:val="32"/>
          <w:shd w:val="clear" w:fill="FFFFFF"/>
        </w:rPr>
        <w:t>如下：</w:t>
      </w:r>
    </w:p>
    <w:p w14:paraId="5B8B9027">
      <w:pPr>
        <w:keepNext w:val="0"/>
        <w:keepLines w:val="0"/>
        <w:widowControl/>
        <w:suppressLineNumbers w:val="0"/>
        <w:shd w:val="clear" w:fill="FFFFFF"/>
        <w:spacing w:before="0" w:beforeAutospacing="0" w:after="0" w:afterAutospacing="0" w:line="23" w:lineRule="atLeast"/>
        <w:ind w:left="0" w:right="0" w:firstLine="640"/>
        <w:jc w:val="both"/>
        <w:rPr>
          <w:rFonts w:hint="default" w:ascii="Calibri" w:hAnsi="Calibri" w:cs="Calibri"/>
          <w:i w:val="0"/>
          <w:iCs w:val="0"/>
          <w:caps w:val="0"/>
          <w:color w:val="606266"/>
          <w:spacing w:val="0"/>
          <w:sz w:val="21"/>
          <w:szCs w:val="21"/>
        </w:rPr>
      </w:pPr>
      <w:r>
        <w:rPr>
          <w:rFonts w:ascii="楷体_GB2312" w:hAnsi="Calibri" w:eastAsia="楷体_GB2312" w:cs="楷体_GB2312"/>
          <w:i w:val="0"/>
          <w:iCs w:val="0"/>
          <w:caps w:val="0"/>
          <w:color w:val="000000"/>
          <w:spacing w:val="0"/>
          <w:kern w:val="0"/>
          <w:sz w:val="32"/>
          <w:szCs w:val="32"/>
          <w:shd w:val="clear" w:fill="FFFFFF"/>
          <w:lang w:val="en-US" w:eastAsia="zh-CN" w:bidi="ar"/>
        </w:rPr>
        <w:t>（一）产品说明书</w:t>
      </w:r>
    </w:p>
    <w:p w14:paraId="666410DC">
      <w:pPr>
        <w:keepNext w:val="0"/>
        <w:keepLines w:val="0"/>
        <w:widowControl/>
        <w:numPr>
          <w:ilvl w:val="0"/>
          <w:numId w:val="0"/>
        </w:numPr>
        <w:suppressLineNumbers w:val="0"/>
        <w:shd w:val="clear" w:fill="FFFFFF"/>
        <w:spacing w:before="0" w:beforeAutospacing="0" w:after="0" w:afterAutospacing="0" w:line="23" w:lineRule="atLeast"/>
        <w:ind w:right="0" w:rightChars="0" w:firstLine="640" w:firstLineChars="200"/>
        <w:jc w:val="both"/>
        <w:rPr>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1.原</w:t>
      </w:r>
      <w:r>
        <w:rPr>
          <w:rFonts w:hint="eastAsia" w:ascii="仿宋_GB2312" w:hAnsi="仿宋_GB2312" w:eastAsia="仿宋_GB2312" w:cs="仿宋_GB2312"/>
          <w:b w:val="0"/>
          <w:bCs w:val="0"/>
          <w:i w:val="0"/>
          <w:iCs w:val="0"/>
          <w:caps w:val="0"/>
          <w:color w:val="auto"/>
          <w:spacing w:val="0"/>
          <w:sz w:val="32"/>
          <w:szCs w:val="32"/>
          <w:shd w:val="clear" w:fill="FFFFFF"/>
        </w:rPr>
        <w:t>《产品说明书》</w:t>
      </w:r>
      <w:r>
        <w:rPr>
          <w:rFonts w:hint="eastAsia" w:ascii="仿宋_GB2312" w:hAnsi="仿宋_GB2312" w:eastAsia="仿宋_GB2312" w:cs="仿宋_GB2312"/>
          <w:b w:val="0"/>
          <w:bCs w:val="0"/>
          <w:i w:val="0"/>
          <w:iCs w:val="0"/>
          <w:caps w:val="0"/>
          <w:color w:val="auto"/>
          <w:spacing w:val="0"/>
          <w:sz w:val="32"/>
          <w:szCs w:val="32"/>
          <w:shd w:val="clear" w:fill="FFFFFF"/>
          <w:lang w:eastAsia="zh-CN"/>
        </w:rPr>
        <w:t>“理财产品的基本情况</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”章节改为</w:t>
      </w:r>
      <w:r>
        <w:rPr>
          <w:rFonts w:hint="eastAsia" w:ascii="仿宋_GB2312" w:hAnsi="仿宋_GB2312" w:eastAsia="仿宋_GB2312" w:cs="仿宋_GB2312"/>
          <w:b w:val="0"/>
          <w:bCs w:val="0"/>
          <w:i w:val="0"/>
          <w:iCs w:val="0"/>
          <w:caps w:val="0"/>
          <w:color w:val="auto"/>
          <w:spacing w:val="0"/>
          <w:sz w:val="32"/>
          <w:szCs w:val="32"/>
          <w:shd w:val="clear" w:fill="FFFFFF"/>
          <w:lang w:eastAsia="zh-CN"/>
        </w:rPr>
        <w:t>“理财产品说明书关键要素</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”章节，并对部分要素进行补充。</w:t>
      </w:r>
    </w:p>
    <w:p w14:paraId="68FE8683">
      <w:pPr>
        <w:keepNext w:val="0"/>
        <w:keepLines w:val="0"/>
        <w:widowControl/>
        <w:numPr>
          <w:ilvl w:val="0"/>
          <w:numId w:val="0"/>
        </w:numPr>
        <w:suppressLineNumbers w:val="0"/>
        <w:shd w:val="clear" w:fill="FFFFFF"/>
        <w:spacing w:before="0" w:beforeAutospacing="0" w:after="0" w:afterAutospacing="0" w:line="23" w:lineRule="atLeast"/>
        <w:ind w:right="0" w:rightChars="0" w:firstLine="640" w:firstLineChars="200"/>
        <w:jc w:val="both"/>
        <w:rPr>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仿宋_GB2312" w:hAnsi="Calibri" w:eastAsia="仿宋_GB2312" w:cs="仿宋_GB2312"/>
          <w:i w:val="0"/>
          <w:iCs w:val="0"/>
          <w:caps w:val="0"/>
          <w:color w:val="000000"/>
          <w:spacing w:val="0"/>
          <w:kern w:val="0"/>
          <w:sz w:val="32"/>
          <w:szCs w:val="32"/>
          <w:shd w:val="clear" w:fill="FFFFFF"/>
          <w:lang w:val="en-US" w:eastAsia="zh-CN" w:bidi="ar"/>
        </w:rPr>
        <w:t>2.开放式产品（除现金管理类产品）根据理财产品流动性风险管理有关规定在“释义”</w:t>
      </w:r>
      <w:r>
        <w:rPr>
          <w:rFonts w:hint="eastAsia" w:ascii="仿宋_GB2312" w:hAnsi="仿宋_GB2312" w:eastAsia="仿宋_GB2312" w:cs="仿宋_GB2312"/>
          <w:b w:val="0"/>
          <w:bCs w:val="0"/>
          <w:i w:val="0"/>
          <w:iCs w:val="0"/>
          <w:caps w:val="0"/>
          <w:color w:val="auto"/>
          <w:spacing w:val="0"/>
          <w:sz w:val="32"/>
          <w:szCs w:val="32"/>
          <w:shd w:val="clear" w:fill="FFFFFF"/>
          <w:lang w:eastAsia="zh-CN"/>
        </w:rPr>
        <w:t>“理财产品说明书关键要素</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w:t>
      </w:r>
      <w:r>
        <w:rPr>
          <w:rFonts w:hint="eastAsia" w:ascii="仿宋_GB2312" w:hAnsi="Calibri" w:eastAsia="仿宋_GB2312" w:cs="仿宋_GB2312"/>
          <w:i w:val="0"/>
          <w:iCs w:val="0"/>
          <w:caps w:val="0"/>
          <w:color w:val="000000"/>
          <w:spacing w:val="0"/>
          <w:kern w:val="0"/>
          <w:sz w:val="32"/>
          <w:szCs w:val="32"/>
          <w:shd w:val="clear" w:fill="FFFFFF"/>
          <w:lang w:val="en-US" w:eastAsia="zh-CN" w:bidi="ar"/>
        </w:rPr>
        <w:t>“风险揭示”章节明确收取短期赎回费的处理方法、程序和对投资者的影响等。</w:t>
      </w:r>
    </w:p>
    <w:p w14:paraId="50D4533D">
      <w:pPr>
        <w:keepNext w:val="0"/>
        <w:keepLines w:val="0"/>
        <w:widowControl/>
        <w:numPr>
          <w:ilvl w:val="0"/>
          <w:numId w:val="0"/>
        </w:numPr>
        <w:suppressLineNumbers w:val="0"/>
        <w:shd w:val="clear" w:fill="FFFFFF"/>
        <w:spacing w:before="0" w:beforeAutospacing="0" w:after="0" w:afterAutospacing="0" w:line="23" w:lineRule="atLeast"/>
        <w:ind w:right="0" w:rightChars="0" w:firstLine="640" w:firstLineChars="200"/>
        <w:jc w:val="both"/>
        <w:rPr>
          <w:rFonts w:hint="eastAsia" w:ascii="仿宋_GB2312" w:hAnsi="Calibri"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3.修改“理财产品的信息披露”章节，主要对临时公告、事后公告、定期公告等事项</w:t>
      </w:r>
      <w:r>
        <w:rPr>
          <w:rFonts w:hint="eastAsia" w:ascii="仿宋_GB2312" w:hAnsi="Calibri" w:eastAsia="仿宋_GB2312" w:cs="仿宋_GB2312"/>
          <w:i w:val="0"/>
          <w:iCs w:val="0"/>
          <w:caps w:val="0"/>
          <w:color w:val="000000"/>
          <w:spacing w:val="0"/>
          <w:kern w:val="0"/>
          <w:sz w:val="32"/>
          <w:szCs w:val="32"/>
          <w:shd w:val="clear" w:fill="FFFFFF"/>
          <w:lang w:val="en-US" w:eastAsia="zh-CN" w:bidi="ar"/>
        </w:rPr>
        <w:t>调整信息披露时间和频率。</w:t>
      </w:r>
    </w:p>
    <w:p w14:paraId="16FCD0A4">
      <w:pPr>
        <w:keepNext w:val="0"/>
        <w:keepLines w:val="0"/>
        <w:widowControl/>
        <w:numPr>
          <w:ilvl w:val="0"/>
          <w:numId w:val="0"/>
        </w:numPr>
        <w:suppressLineNumbers w:val="0"/>
        <w:shd w:val="clear" w:fill="FFFFFF"/>
        <w:spacing w:before="0" w:beforeAutospacing="0" w:after="0" w:afterAutospacing="0" w:line="23" w:lineRule="atLeast"/>
        <w:ind w:right="0" w:rightChars="0" w:firstLine="640" w:firstLineChars="200"/>
        <w:jc w:val="both"/>
        <w:rPr>
          <w:rFonts w:hint="eastAsia" w:ascii="仿宋_GB2312" w:hAnsi="Calibri" w:eastAsia="仿宋_GB2312" w:cs="仿宋_GB2312"/>
          <w:i w:val="0"/>
          <w:iCs w:val="0"/>
          <w:caps w:val="0"/>
          <w:color w:val="000000"/>
          <w:spacing w:val="0"/>
          <w:kern w:val="0"/>
          <w:sz w:val="32"/>
          <w:szCs w:val="32"/>
          <w:shd w:val="clear" w:fill="FFFFFF"/>
          <w:lang w:val="en-US" w:eastAsia="zh-CN" w:bidi="ar"/>
        </w:rPr>
      </w:pPr>
      <w:r>
        <w:rPr>
          <w:rFonts w:hint="eastAsia" w:ascii="仿宋_GB2312" w:hAnsi="Calibri" w:eastAsia="仿宋_GB2312" w:cs="仿宋_GB2312"/>
          <w:i w:val="0"/>
          <w:iCs w:val="0"/>
          <w:caps w:val="0"/>
          <w:color w:val="000000"/>
          <w:spacing w:val="0"/>
          <w:kern w:val="0"/>
          <w:sz w:val="32"/>
          <w:szCs w:val="32"/>
          <w:shd w:val="clear" w:fill="FFFFFF"/>
          <w:lang w:val="en-US" w:eastAsia="zh-CN" w:bidi="ar"/>
        </w:rPr>
        <w:t>4.增加“风险揭示”章节。</w:t>
      </w:r>
    </w:p>
    <w:p w14:paraId="6874BBBC">
      <w:pPr>
        <w:keepNext w:val="0"/>
        <w:keepLines w:val="0"/>
        <w:widowControl/>
        <w:numPr>
          <w:ilvl w:val="0"/>
          <w:numId w:val="0"/>
        </w:numPr>
        <w:suppressLineNumbers w:val="0"/>
        <w:shd w:val="clear" w:fill="FFFFFF"/>
        <w:spacing w:before="0" w:beforeAutospacing="0" w:after="0" w:afterAutospacing="0" w:line="23" w:lineRule="atLeast"/>
        <w:ind w:right="0" w:rightChars="0" w:firstLine="640" w:firstLineChars="200"/>
        <w:jc w:val="both"/>
        <w:rPr>
          <w:rFonts w:hint="eastAsia" w:ascii="仿宋_GB2312" w:hAnsi="Calibri" w:eastAsia="仿宋_GB2312" w:cs="仿宋_GB2312"/>
          <w:i w:val="0"/>
          <w:iCs w:val="0"/>
          <w:caps w:val="0"/>
          <w:color w:val="000000"/>
          <w:spacing w:val="0"/>
          <w:kern w:val="0"/>
          <w:sz w:val="32"/>
          <w:szCs w:val="32"/>
          <w:shd w:val="clear" w:fill="FFFFFF"/>
          <w:lang w:val="en-US" w:eastAsia="zh-CN" w:bidi="ar"/>
        </w:rPr>
      </w:pPr>
      <w:r>
        <w:rPr>
          <w:rFonts w:hint="eastAsia" w:ascii="仿宋_GB2312" w:hAnsi="Calibri" w:eastAsia="仿宋_GB2312" w:cs="仿宋_GB2312"/>
          <w:i w:val="0"/>
          <w:iCs w:val="0"/>
          <w:caps w:val="0"/>
          <w:color w:val="000000"/>
          <w:spacing w:val="0"/>
          <w:kern w:val="0"/>
          <w:sz w:val="32"/>
          <w:szCs w:val="32"/>
          <w:shd w:val="clear" w:fill="FFFFFF"/>
          <w:lang w:val="en-US" w:eastAsia="zh-CN" w:bidi="ar"/>
        </w:rPr>
        <w:t>5.在“理财产品的申购与赎回”完善理财产品子份额赎回金额计算规则描述。</w:t>
      </w:r>
    </w:p>
    <w:p w14:paraId="0E72D844">
      <w:pPr>
        <w:keepNext w:val="0"/>
        <w:keepLines w:val="0"/>
        <w:widowControl/>
        <w:numPr>
          <w:ilvl w:val="0"/>
          <w:numId w:val="0"/>
        </w:numPr>
        <w:suppressLineNumbers w:val="0"/>
        <w:shd w:val="clear" w:fill="FFFFFF"/>
        <w:spacing w:before="0" w:beforeAutospacing="0" w:after="0" w:afterAutospacing="0" w:line="23" w:lineRule="atLeast"/>
        <w:ind w:right="0" w:rightChars="0" w:firstLine="640" w:firstLineChars="200"/>
        <w:jc w:val="both"/>
        <w:rPr>
          <w:rFonts w:hint="eastAsia" w:ascii="仿宋_GB2312" w:hAnsi="Calibri" w:eastAsia="仿宋_GB2312" w:cs="仿宋_GB2312"/>
          <w:i w:val="0"/>
          <w:iCs w:val="0"/>
          <w:caps w:val="0"/>
          <w:color w:val="000000"/>
          <w:spacing w:val="0"/>
          <w:kern w:val="0"/>
          <w:sz w:val="32"/>
          <w:szCs w:val="32"/>
          <w:shd w:val="clear" w:fill="FFFFFF"/>
          <w:lang w:val="en-US" w:eastAsia="zh-CN" w:bidi="ar"/>
        </w:rPr>
      </w:pPr>
      <w:r>
        <w:rPr>
          <w:rFonts w:hint="eastAsia" w:ascii="仿宋_GB2312" w:hAnsi="Calibri" w:eastAsia="仿宋_GB2312" w:cs="仿宋_GB2312"/>
          <w:i w:val="0"/>
          <w:iCs w:val="0"/>
          <w:caps w:val="0"/>
          <w:color w:val="000000"/>
          <w:spacing w:val="0"/>
          <w:kern w:val="0"/>
          <w:sz w:val="32"/>
          <w:szCs w:val="32"/>
          <w:shd w:val="clear" w:fill="FFFFFF"/>
          <w:lang w:val="en-US" w:eastAsia="zh-CN" w:bidi="ar"/>
        </w:rPr>
        <w:t>6.现金管理类产品中增加未结转收益等相关表述。</w:t>
      </w:r>
    </w:p>
    <w:p w14:paraId="4587A466">
      <w:pPr>
        <w:keepNext w:val="0"/>
        <w:keepLines w:val="0"/>
        <w:widowControl/>
        <w:numPr>
          <w:ilvl w:val="0"/>
          <w:numId w:val="0"/>
        </w:numPr>
        <w:suppressLineNumbers w:val="0"/>
        <w:shd w:val="clear" w:fill="FFFFFF"/>
        <w:spacing w:before="0" w:beforeAutospacing="0" w:after="0" w:afterAutospacing="0" w:line="23" w:lineRule="atLeast"/>
        <w:ind w:right="0" w:rightChars="0" w:firstLine="640" w:firstLineChars="200"/>
        <w:jc w:val="both"/>
        <w:rPr>
          <w:rFonts w:hint="eastAsia" w:ascii="仿宋_GB2312" w:hAnsi="Calibri" w:eastAsia="仿宋_GB2312" w:cs="仿宋_GB2312"/>
          <w:i w:val="0"/>
          <w:iCs w:val="0"/>
          <w:caps w:val="0"/>
          <w:color w:val="000000"/>
          <w:spacing w:val="0"/>
          <w:kern w:val="0"/>
          <w:sz w:val="32"/>
          <w:szCs w:val="32"/>
          <w:shd w:val="clear" w:fill="FFFFFF"/>
          <w:lang w:val="en-US" w:eastAsia="zh-CN" w:bidi="ar"/>
        </w:rPr>
      </w:pPr>
      <w:r>
        <w:rPr>
          <w:rFonts w:hint="eastAsia" w:ascii="仿宋_GB2312" w:hAnsi="Calibri" w:eastAsia="仿宋_GB2312" w:cs="仿宋_GB2312"/>
          <w:i w:val="0"/>
          <w:iCs w:val="0"/>
          <w:caps w:val="0"/>
          <w:color w:val="000000"/>
          <w:spacing w:val="0"/>
          <w:kern w:val="0"/>
          <w:sz w:val="32"/>
          <w:szCs w:val="32"/>
          <w:shd w:val="clear" w:fill="FFFFFF"/>
          <w:lang w:val="en-US" w:eastAsia="zh-CN" w:bidi="ar"/>
        </w:rPr>
        <w:t>7.增加投资者签署页。</w:t>
      </w:r>
    </w:p>
    <w:p w14:paraId="301072CE">
      <w:pPr>
        <w:keepNext w:val="0"/>
        <w:keepLines w:val="0"/>
        <w:widowControl/>
        <w:numPr>
          <w:ilvl w:val="0"/>
          <w:numId w:val="0"/>
        </w:numPr>
        <w:suppressLineNumbers w:val="0"/>
        <w:shd w:val="clear" w:fill="FFFFFF"/>
        <w:spacing w:before="0" w:beforeAutospacing="0" w:after="0" w:afterAutospacing="0" w:line="23" w:lineRule="atLeast"/>
        <w:ind w:right="0" w:rightChars="0" w:firstLine="640" w:firstLineChars="200"/>
        <w:jc w:val="both"/>
        <w:rPr>
          <w:rFonts w:hint="eastAsia" w:ascii="仿宋_GB2312" w:hAnsi="Calibri" w:eastAsia="仿宋_GB2312" w:cs="仿宋_GB2312"/>
          <w:i w:val="0"/>
          <w:iCs w:val="0"/>
          <w:caps w:val="0"/>
          <w:color w:val="000000"/>
          <w:spacing w:val="0"/>
          <w:kern w:val="0"/>
          <w:sz w:val="32"/>
          <w:szCs w:val="32"/>
          <w:shd w:val="clear" w:fill="FFFFFF"/>
          <w:lang w:val="en-US" w:eastAsia="zh-CN" w:bidi="ar"/>
        </w:rPr>
      </w:pPr>
      <w:r>
        <w:rPr>
          <w:rFonts w:hint="eastAsia" w:ascii="仿宋_GB2312" w:hAnsi="Calibri" w:eastAsia="仿宋_GB2312" w:cs="仿宋_GB2312"/>
          <w:i w:val="0"/>
          <w:iCs w:val="0"/>
          <w:caps w:val="0"/>
          <w:color w:val="000000"/>
          <w:spacing w:val="0"/>
          <w:kern w:val="0"/>
          <w:sz w:val="32"/>
          <w:szCs w:val="32"/>
          <w:shd w:val="clear" w:fill="FFFFFF"/>
          <w:lang w:val="en-US" w:eastAsia="zh-CN" w:bidi="ar"/>
        </w:rPr>
        <w:t>8.完善部分文字表述。</w:t>
      </w:r>
    </w:p>
    <w:p w14:paraId="53310C08">
      <w:pPr>
        <w:keepNext w:val="0"/>
        <w:keepLines w:val="0"/>
        <w:widowControl/>
        <w:numPr>
          <w:ilvl w:val="0"/>
          <w:numId w:val="0"/>
        </w:numPr>
        <w:suppressLineNumbers w:val="0"/>
        <w:shd w:val="clear" w:fill="FFFFFF"/>
        <w:spacing w:before="0" w:beforeAutospacing="0" w:after="0" w:afterAutospacing="0" w:line="23" w:lineRule="atLeast"/>
        <w:ind w:right="0" w:rightChars="0" w:firstLine="640" w:firstLineChars="200"/>
        <w:jc w:val="both"/>
        <w:rPr>
          <w:rFonts w:hint="eastAsia" w:ascii="仿宋_GB2312" w:hAnsi="Calibri" w:eastAsia="仿宋_GB2312" w:cs="仿宋_GB2312"/>
          <w:i w:val="0"/>
          <w:iCs w:val="0"/>
          <w:caps w:val="0"/>
          <w:color w:val="000000"/>
          <w:spacing w:val="0"/>
          <w:kern w:val="0"/>
          <w:sz w:val="32"/>
          <w:szCs w:val="32"/>
          <w:shd w:val="clear" w:fill="FFFFFF"/>
          <w:lang w:val="en-US" w:eastAsia="zh-CN" w:bidi="ar"/>
        </w:rPr>
      </w:pPr>
      <w:r>
        <w:rPr>
          <w:rFonts w:hint="eastAsia" w:ascii="仿宋_GB2312" w:hAnsi="Calibri" w:eastAsia="仿宋_GB2312" w:cs="仿宋_GB2312"/>
          <w:i w:val="0"/>
          <w:iCs w:val="0"/>
          <w:caps w:val="0"/>
          <w:color w:val="000000"/>
          <w:spacing w:val="0"/>
          <w:kern w:val="0"/>
          <w:sz w:val="32"/>
          <w:szCs w:val="32"/>
          <w:shd w:val="clear" w:fill="FFFFFF"/>
          <w:lang w:val="en-US" w:eastAsia="zh-CN" w:bidi="ar"/>
        </w:rPr>
        <w:t>9.对部分专有名词称谓进行变更，包括但不限于以下称谓：</w:t>
      </w:r>
    </w:p>
    <w:tbl>
      <w:tblPr>
        <w:tblStyle w:val="7"/>
        <w:tblW w:w="3886" w:type="dxa"/>
        <w:tblCellSpacing w:w="0" w:type="dxa"/>
        <w:tblInd w:w="239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056"/>
        <w:gridCol w:w="1830"/>
      </w:tblGrid>
      <w:tr w14:paraId="2E39A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blCellSpacing w:w="0" w:type="dxa"/>
        </w:trPr>
        <w:tc>
          <w:tcPr>
            <w:tcW w:w="20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91CE46">
            <w:pPr>
              <w:keepNext w:val="0"/>
              <w:keepLines w:val="0"/>
              <w:widowControl/>
              <w:suppressLineNumbers w:val="0"/>
              <w:ind w:left="-199" w:leftChars="-95" w:firstLine="198" w:firstLineChars="90"/>
              <w:jc w:val="left"/>
              <w:textAlignment w:val="center"/>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lang w:val="en-US" w:eastAsia="zh-CN" w:bidi="ar"/>
              </w:rPr>
              <w:t>变更前</w:t>
            </w:r>
          </w:p>
        </w:tc>
        <w:tc>
          <w:tcPr>
            <w:tcW w:w="18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9EF588">
            <w:pPr>
              <w:keepNext w:val="0"/>
              <w:keepLines w:val="0"/>
              <w:widowControl/>
              <w:suppressLineNumbers w:val="0"/>
              <w:jc w:val="left"/>
              <w:textAlignment w:val="center"/>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lang w:val="en-US" w:eastAsia="zh-CN" w:bidi="ar"/>
              </w:rPr>
              <w:t>变更后</w:t>
            </w:r>
          </w:p>
        </w:tc>
      </w:tr>
      <w:tr w14:paraId="07C36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blCellSpacing w:w="0" w:type="dxa"/>
        </w:trPr>
        <w:tc>
          <w:tcPr>
            <w:tcW w:w="20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5486AF">
            <w:pPr>
              <w:keepNext w:val="0"/>
              <w:keepLines w:val="0"/>
              <w:widowControl/>
              <w:suppressLineNumbers w:val="0"/>
              <w:jc w:val="left"/>
              <w:textAlignment w:val="center"/>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lang w:val="en-US" w:eastAsia="zh-CN" w:bidi="ar"/>
              </w:rPr>
              <w:t>理财产品登记编码</w:t>
            </w:r>
          </w:p>
        </w:tc>
        <w:tc>
          <w:tcPr>
            <w:tcW w:w="18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BF9B0C">
            <w:pPr>
              <w:keepNext w:val="0"/>
              <w:keepLines w:val="0"/>
              <w:widowControl/>
              <w:suppressLineNumbers w:val="0"/>
              <w:jc w:val="left"/>
              <w:textAlignment w:val="center"/>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lang w:val="en-US" w:eastAsia="zh-CN" w:bidi="ar"/>
              </w:rPr>
              <w:t>产品登记编码</w:t>
            </w:r>
          </w:p>
        </w:tc>
      </w:tr>
      <w:tr w14:paraId="1C37A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blCellSpacing w:w="0" w:type="dxa"/>
        </w:trPr>
        <w:tc>
          <w:tcPr>
            <w:tcW w:w="20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7D4F87">
            <w:pPr>
              <w:keepNext w:val="0"/>
              <w:keepLines w:val="0"/>
              <w:widowControl/>
              <w:suppressLineNumbers w:val="0"/>
              <w:jc w:val="left"/>
              <w:textAlignment w:val="center"/>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lang w:val="en-US" w:eastAsia="zh-CN" w:bidi="ar"/>
              </w:rPr>
              <w:t>销售客群</w:t>
            </w:r>
          </w:p>
        </w:tc>
        <w:tc>
          <w:tcPr>
            <w:tcW w:w="18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5C3E21">
            <w:pPr>
              <w:keepNext w:val="0"/>
              <w:keepLines w:val="0"/>
              <w:widowControl/>
              <w:suppressLineNumbers w:val="0"/>
              <w:jc w:val="left"/>
              <w:textAlignment w:val="center"/>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lang w:val="en-US" w:eastAsia="zh-CN" w:bidi="ar"/>
              </w:rPr>
              <w:t>销售对象</w:t>
            </w:r>
          </w:p>
        </w:tc>
      </w:tr>
      <w:tr w14:paraId="0B9E6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blCellSpacing w:w="0" w:type="dxa"/>
        </w:trPr>
        <w:tc>
          <w:tcPr>
            <w:tcW w:w="20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66677A">
            <w:pPr>
              <w:keepNext w:val="0"/>
              <w:keepLines w:val="0"/>
              <w:widowControl/>
              <w:suppressLineNumbers w:val="0"/>
              <w:jc w:val="left"/>
              <w:textAlignment w:val="center"/>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lang w:val="en-US" w:eastAsia="zh-CN" w:bidi="ar"/>
              </w:rPr>
              <w:t>销售代码</w:t>
            </w:r>
          </w:p>
        </w:tc>
        <w:tc>
          <w:tcPr>
            <w:tcW w:w="18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B994D7">
            <w:pPr>
              <w:keepNext w:val="0"/>
              <w:keepLines w:val="0"/>
              <w:widowControl/>
              <w:suppressLineNumbers w:val="0"/>
              <w:jc w:val="left"/>
              <w:textAlignment w:val="center"/>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lang w:val="en-US" w:eastAsia="zh-CN" w:bidi="ar"/>
              </w:rPr>
              <w:t>份额代码</w:t>
            </w:r>
          </w:p>
        </w:tc>
      </w:tr>
      <w:tr w14:paraId="3D0F2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blCellSpacing w:w="0" w:type="dxa"/>
        </w:trPr>
        <w:tc>
          <w:tcPr>
            <w:tcW w:w="20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063B49">
            <w:pPr>
              <w:keepNext w:val="0"/>
              <w:keepLines w:val="0"/>
              <w:widowControl/>
              <w:suppressLineNumbers w:val="0"/>
              <w:jc w:val="left"/>
              <w:textAlignment w:val="center"/>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lang w:val="en-US" w:eastAsia="zh-CN" w:bidi="ar"/>
              </w:rPr>
              <w:t>认/申购起点金额</w:t>
            </w:r>
          </w:p>
        </w:tc>
        <w:tc>
          <w:tcPr>
            <w:tcW w:w="18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0BAD02">
            <w:pPr>
              <w:keepNext w:val="0"/>
              <w:keepLines w:val="0"/>
              <w:widowControl/>
              <w:suppressLineNumbers w:val="0"/>
              <w:jc w:val="left"/>
              <w:textAlignment w:val="center"/>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lang w:val="en-US" w:eastAsia="zh-CN" w:bidi="ar"/>
              </w:rPr>
              <w:t>起点销售金额</w:t>
            </w:r>
          </w:p>
        </w:tc>
      </w:tr>
      <w:tr w14:paraId="1D53E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blCellSpacing w:w="0" w:type="dxa"/>
        </w:trPr>
        <w:tc>
          <w:tcPr>
            <w:tcW w:w="20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966B6E">
            <w:pPr>
              <w:keepNext w:val="0"/>
              <w:keepLines w:val="0"/>
              <w:widowControl/>
              <w:suppressLineNumbers w:val="0"/>
              <w:jc w:val="left"/>
              <w:textAlignment w:val="center"/>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lang w:val="en-US" w:eastAsia="zh-CN" w:bidi="ar"/>
              </w:rPr>
              <w:t>递增金额</w:t>
            </w:r>
          </w:p>
        </w:tc>
        <w:tc>
          <w:tcPr>
            <w:tcW w:w="18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54EA98">
            <w:pPr>
              <w:keepNext w:val="0"/>
              <w:keepLines w:val="0"/>
              <w:widowControl/>
              <w:suppressLineNumbers w:val="0"/>
              <w:jc w:val="left"/>
              <w:textAlignment w:val="center"/>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lang w:val="en-US" w:eastAsia="zh-CN" w:bidi="ar"/>
              </w:rPr>
              <w:t>追加递增金额</w:t>
            </w:r>
          </w:p>
        </w:tc>
      </w:tr>
      <w:tr w14:paraId="15B41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blCellSpacing w:w="0" w:type="dxa"/>
        </w:trPr>
        <w:tc>
          <w:tcPr>
            <w:tcW w:w="20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597BB3">
            <w:pPr>
              <w:keepNext w:val="0"/>
              <w:keepLines w:val="0"/>
              <w:widowControl/>
              <w:suppressLineNumbers w:val="0"/>
              <w:jc w:val="left"/>
              <w:textAlignment w:val="center"/>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lang w:val="en-US" w:eastAsia="zh-CN" w:bidi="ar"/>
              </w:rPr>
              <w:t>投资管理费</w:t>
            </w:r>
          </w:p>
        </w:tc>
        <w:tc>
          <w:tcPr>
            <w:tcW w:w="18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8DECD5">
            <w:pPr>
              <w:keepNext w:val="0"/>
              <w:keepLines w:val="0"/>
              <w:widowControl/>
              <w:suppressLineNumbers w:val="0"/>
              <w:jc w:val="left"/>
              <w:textAlignment w:val="center"/>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lang w:val="en-US" w:eastAsia="zh-CN" w:bidi="ar"/>
              </w:rPr>
              <w:t>固定管理费</w:t>
            </w:r>
          </w:p>
        </w:tc>
      </w:tr>
      <w:tr w14:paraId="4D8D4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blCellSpacing w:w="0" w:type="dxa"/>
        </w:trPr>
        <w:tc>
          <w:tcPr>
            <w:tcW w:w="20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1F3E92">
            <w:pPr>
              <w:keepNext w:val="0"/>
              <w:keepLines w:val="0"/>
              <w:widowControl/>
              <w:suppressLineNumbers w:val="0"/>
              <w:jc w:val="left"/>
              <w:textAlignment w:val="center"/>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lang w:val="en-US" w:eastAsia="zh-CN" w:bidi="ar"/>
              </w:rPr>
              <w:t>（超额）业绩报酬</w:t>
            </w:r>
          </w:p>
        </w:tc>
        <w:tc>
          <w:tcPr>
            <w:tcW w:w="18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C6D757">
            <w:pPr>
              <w:keepNext w:val="0"/>
              <w:keepLines w:val="0"/>
              <w:widowControl/>
              <w:suppressLineNumbers w:val="0"/>
              <w:jc w:val="left"/>
              <w:textAlignment w:val="center"/>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lang w:val="en-US" w:eastAsia="zh-CN" w:bidi="ar"/>
              </w:rPr>
              <w:t>浮动管理费</w:t>
            </w:r>
          </w:p>
        </w:tc>
      </w:tr>
      <w:tr w14:paraId="014EB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blCellSpacing w:w="0" w:type="dxa"/>
        </w:trPr>
        <w:tc>
          <w:tcPr>
            <w:tcW w:w="20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41730D">
            <w:pPr>
              <w:keepNext w:val="0"/>
              <w:keepLines w:val="0"/>
              <w:widowControl/>
              <w:suppressLineNumbers w:val="0"/>
              <w:jc w:val="left"/>
              <w:textAlignment w:val="center"/>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lang w:val="en-US" w:eastAsia="zh-CN" w:bidi="ar"/>
              </w:rPr>
              <w:t>产品托管费</w:t>
            </w:r>
          </w:p>
        </w:tc>
        <w:tc>
          <w:tcPr>
            <w:tcW w:w="18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585C93">
            <w:pPr>
              <w:keepNext w:val="0"/>
              <w:keepLines w:val="0"/>
              <w:widowControl/>
              <w:suppressLineNumbers w:val="0"/>
              <w:jc w:val="left"/>
              <w:textAlignment w:val="center"/>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lang w:val="en-US" w:eastAsia="zh-CN" w:bidi="ar"/>
              </w:rPr>
              <w:t>托管费</w:t>
            </w:r>
          </w:p>
        </w:tc>
      </w:tr>
      <w:tr w14:paraId="199F5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blCellSpacing w:w="0" w:type="dxa"/>
        </w:trPr>
        <w:tc>
          <w:tcPr>
            <w:tcW w:w="205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6C6CBD">
            <w:pPr>
              <w:keepNext w:val="0"/>
              <w:keepLines w:val="0"/>
              <w:widowControl/>
              <w:suppressLineNumbers w:val="0"/>
              <w:jc w:val="left"/>
              <w:textAlignment w:val="center"/>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lang w:val="en-US" w:eastAsia="zh-CN" w:bidi="ar"/>
              </w:rPr>
              <w:t>理财利益</w:t>
            </w:r>
          </w:p>
        </w:tc>
        <w:tc>
          <w:tcPr>
            <w:tcW w:w="18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3D541E">
            <w:pPr>
              <w:keepNext w:val="0"/>
              <w:keepLines w:val="0"/>
              <w:widowControl/>
              <w:suppressLineNumbers w:val="0"/>
              <w:jc w:val="left"/>
              <w:textAlignment w:val="center"/>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lang w:val="en-US" w:eastAsia="zh-CN" w:bidi="ar"/>
              </w:rPr>
              <w:t>理财收益</w:t>
            </w:r>
          </w:p>
        </w:tc>
      </w:tr>
    </w:tbl>
    <w:p w14:paraId="2EF63B39">
      <w:pPr>
        <w:keepNext w:val="0"/>
        <w:keepLines w:val="0"/>
        <w:widowControl/>
        <w:numPr>
          <w:ilvl w:val="0"/>
          <w:numId w:val="2"/>
        </w:numPr>
        <w:suppressLineNumbers w:val="0"/>
        <w:shd w:val="clear" w:fill="FFFFFF"/>
        <w:spacing w:before="0" w:beforeAutospacing="0" w:after="0" w:afterAutospacing="0" w:line="23" w:lineRule="atLeast"/>
        <w:ind w:left="0" w:right="0" w:firstLine="640"/>
        <w:jc w:val="both"/>
        <w:rPr>
          <w:rFonts w:hint="eastAsia" w:ascii="楷体_GB2312" w:hAnsi="Calibri" w:eastAsia="楷体_GB2312" w:cs="楷体_GB2312"/>
          <w:i w:val="0"/>
          <w:iCs w:val="0"/>
          <w:caps w:val="0"/>
          <w:color w:val="000000"/>
          <w:spacing w:val="0"/>
          <w:kern w:val="0"/>
          <w:sz w:val="32"/>
          <w:szCs w:val="32"/>
          <w:shd w:val="clear" w:fill="FFFFFF"/>
          <w:lang w:val="en-US" w:eastAsia="zh-CN" w:bidi="ar"/>
        </w:rPr>
      </w:pPr>
      <w:r>
        <w:rPr>
          <w:rFonts w:hint="eastAsia" w:ascii="楷体_GB2312" w:hAnsi="Calibri" w:eastAsia="楷体_GB2312" w:cs="楷体_GB2312"/>
          <w:i w:val="0"/>
          <w:iCs w:val="0"/>
          <w:caps w:val="0"/>
          <w:color w:val="000000"/>
          <w:spacing w:val="0"/>
          <w:kern w:val="0"/>
          <w:sz w:val="32"/>
          <w:szCs w:val="32"/>
          <w:shd w:val="clear" w:fill="FFFFFF"/>
          <w:lang w:val="en-US" w:eastAsia="zh-CN" w:bidi="ar"/>
        </w:rPr>
        <w:t>风险揭示书</w:t>
      </w:r>
    </w:p>
    <w:p w14:paraId="6C587759">
      <w:pPr>
        <w:keepNext w:val="0"/>
        <w:keepLines w:val="0"/>
        <w:widowControl/>
        <w:numPr>
          <w:ilvl w:val="0"/>
          <w:numId w:val="0"/>
        </w:numPr>
        <w:suppressLineNumbers w:val="0"/>
        <w:shd w:val="clear" w:fill="FFFFFF"/>
        <w:spacing w:before="0" w:beforeAutospacing="0" w:after="0" w:afterAutospacing="0" w:line="23" w:lineRule="atLeast"/>
        <w:ind w:right="0" w:rightChars="0" w:firstLine="640" w:firstLineChars="200"/>
        <w:jc w:val="both"/>
        <w:rPr>
          <w:rFonts w:hint="eastAsia" w:ascii="仿宋_GB2312" w:hAnsi="Calibri" w:eastAsia="仿宋_GB2312" w:cs="仿宋_GB2312"/>
          <w:i w:val="0"/>
          <w:iCs w:val="0"/>
          <w:caps w:val="0"/>
          <w:color w:val="000000"/>
          <w:spacing w:val="0"/>
          <w:kern w:val="0"/>
          <w:sz w:val="32"/>
          <w:szCs w:val="32"/>
          <w:shd w:val="clear" w:fill="FFFFFF"/>
          <w:lang w:val="en-US" w:eastAsia="zh-CN" w:bidi="ar"/>
        </w:rPr>
      </w:pPr>
      <w:r>
        <w:rPr>
          <w:rFonts w:hint="eastAsia" w:ascii="仿宋_GB2312" w:hAnsi="Calibri" w:eastAsia="仿宋_GB2312" w:cs="仿宋_GB2312"/>
          <w:i w:val="0"/>
          <w:iCs w:val="0"/>
          <w:caps w:val="0"/>
          <w:color w:val="000000"/>
          <w:spacing w:val="0"/>
          <w:kern w:val="0"/>
          <w:sz w:val="32"/>
          <w:szCs w:val="32"/>
          <w:shd w:val="clear" w:fill="FFFFFF"/>
          <w:lang w:val="en-US" w:eastAsia="zh-CN" w:bidi="ar"/>
        </w:rPr>
        <w:t>1.增加投资者</w:t>
      </w:r>
      <w:r>
        <w:rPr>
          <w:rFonts w:hint="default" w:ascii="仿宋_GB2312" w:hAnsi="Calibri" w:eastAsia="仿宋_GB2312" w:cs="仿宋_GB2312"/>
          <w:i w:val="0"/>
          <w:iCs w:val="0"/>
          <w:caps w:val="0"/>
          <w:color w:val="000000"/>
          <w:spacing w:val="0"/>
          <w:kern w:val="0"/>
          <w:sz w:val="32"/>
          <w:szCs w:val="32"/>
          <w:shd w:val="clear" w:fill="FFFFFF"/>
          <w:lang w:val="en-US" w:eastAsia="zh-CN" w:bidi="ar"/>
        </w:rPr>
        <w:t>因市场变动等而蒙受损失的程度</w:t>
      </w:r>
      <w:r>
        <w:rPr>
          <w:rFonts w:hint="eastAsia" w:ascii="仿宋_GB2312" w:hAnsi="Calibri" w:eastAsia="仿宋_GB2312" w:cs="仿宋_GB2312"/>
          <w:i w:val="0"/>
          <w:iCs w:val="0"/>
          <w:caps w:val="0"/>
          <w:color w:val="000000"/>
          <w:spacing w:val="0"/>
          <w:kern w:val="0"/>
          <w:sz w:val="32"/>
          <w:szCs w:val="32"/>
          <w:shd w:val="clear" w:fill="FFFFFF"/>
          <w:lang w:val="en-US" w:eastAsia="zh-CN" w:bidi="ar"/>
        </w:rPr>
        <w:t>说明。</w:t>
      </w:r>
    </w:p>
    <w:p w14:paraId="52AF94D8">
      <w:pPr>
        <w:keepNext w:val="0"/>
        <w:keepLines w:val="0"/>
        <w:widowControl/>
        <w:numPr>
          <w:ilvl w:val="0"/>
          <w:numId w:val="0"/>
        </w:numPr>
        <w:suppressLineNumbers w:val="0"/>
        <w:shd w:val="clear" w:fill="FFFFFF"/>
        <w:spacing w:before="0" w:beforeAutospacing="0" w:after="0" w:afterAutospacing="0" w:line="23" w:lineRule="atLeast"/>
        <w:ind w:right="0" w:rightChars="0" w:firstLine="640" w:firstLineChars="200"/>
        <w:jc w:val="both"/>
        <w:rPr>
          <w:rFonts w:hint="eastAsia" w:ascii="仿宋_GB2312" w:hAnsi="Calibri" w:eastAsia="仿宋_GB2312" w:cs="仿宋_GB2312"/>
          <w:i w:val="0"/>
          <w:iCs w:val="0"/>
          <w:caps w:val="0"/>
          <w:color w:val="000000"/>
          <w:spacing w:val="0"/>
          <w:kern w:val="0"/>
          <w:sz w:val="32"/>
          <w:szCs w:val="32"/>
          <w:shd w:val="clear" w:fill="FFFFFF"/>
          <w:lang w:val="en-US" w:eastAsia="zh-CN" w:bidi="ar"/>
        </w:rPr>
      </w:pPr>
      <w:r>
        <w:rPr>
          <w:rFonts w:hint="eastAsia" w:ascii="仿宋_GB2312" w:hAnsi="Calibri" w:eastAsia="仿宋_GB2312" w:cs="仿宋_GB2312"/>
          <w:i w:val="0"/>
          <w:iCs w:val="0"/>
          <w:caps w:val="0"/>
          <w:color w:val="000000"/>
          <w:spacing w:val="0"/>
          <w:kern w:val="0"/>
          <w:sz w:val="32"/>
          <w:szCs w:val="32"/>
          <w:shd w:val="clear" w:fill="FFFFFF"/>
          <w:lang w:val="en-US" w:eastAsia="zh-CN" w:bidi="ar"/>
        </w:rPr>
        <w:t>2.增加“投资特定风险”的风险揭示。</w:t>
      </w:r>
    </w:p>
    <w:p w14:paraId="68F46BA4">
      <w:pPr>
        <w:keepNext w:val="0"/>
        <w:keepLines w:val="0"/>
        <w:widowControl/>
        <w:numPr>
          <w:ilvl w:val="0"/>
          <w:numId w:val="0"/>
        </w:numPr>
        <w:suppressLineNumbers w:val="0"/>
        <w:shd w:val="clear" w:fill="FFFFFF"/>
        <w:spacing w:before="0" w:beforeAutospacing="0" w:after="0" w:afterAutospacing="0" w:line="23" w:lineRule="atLeast"/>
        <w:ind w:right="0" w:rightChars="0" w:firstLine="640" w:firstLineChars="200"/>
        <w:jc w:val="both"/>
        <w:rPr>
          <w:rFonts w:hint="eastAsia" w:ascii="仿宋_GB2312" w:hAnsi="Calibri" w:eastAsia="仿宋_GB2312" w:cs="仿宋_GB2312"/>
          <w:i w:val="0"/>
          <w:iCs w:val="0"/>
          <w:caps w:val="0"/>
          <w:color w:val="000000"/>
          <w:spacing w:val="0"/>
          <w:kern w:val="0"/>
          <w:sz w:val="32"/>
          <w:szCs w:val="32"/>
          <w:shd w:val="clear" w:fill="FFFFFF"/>
          <w:lang w:val="en-US" w:eastAsia="zh-CN" w:bidi="ar"/>
        </w:rPr>
      </w:pPr>
      <w:r>
        <w:rPr>
          <w:rFonts w:hint="eastAsia" w:ascii="仿宋_GB2312" w:hAnsi="Calibri" w:eastAsia="仿宋_GB2312" w:cs="仿宋_GB2312"/>
          <w:i w:val="0"/>
          <w:iCs w:val="0"/>
          <w:caps w:val="0"/>
          <w:color w:val="000000"/>
          <w:spacing w:val="0"/>
          <w:kern w:val="0"/>
          <w:sz w:val="32"/>
          <w:szCs w:val="32"/>
          <w:shd w:val="clear" w:fill="FFFFFF"/>
          <w:lang w:val="en-US" w:eastAsia="zh-CN" w:bidi="ar"/>
        </w:rPr>
        <w:t>3.增加收取短期赎回费相关的风险揭示。</w:t>
      </w:r>
    </w:p>
    <w:p w14:paraId="0E8CF23A">
      <w:pPr>
        <w:keepNext w:val="0"/>
        <w:keepLines w:val="0"/>
        <w:widowControl/>
        <w:numPr>
          <w:ilvl w:val="0"/>
          <w:numId w:val="0"/>
        </w:numPr>
        <w:suppressLineNumbers w:val="0"/>
        <w:shd w:val="clear" w:fill="FFFFFF"/>
        <w:spacing w:before="0" w:beforeAutospacing="0" w:after="0" w:afterAutospacing="0" w:line="23" w:lineRule="atLeast"/>
        <w:ind w:right="0" w:rightChars="0" w:firstLine="640" w:firstLineChars="200"/>
        <w:jc w:val="both"/>
        <w:rPr>
          <w:rFonts w:hint="default" w:ascii="仿宋_GB2312" w:hAnsi="Calibri" w:eastAsia="仿宋_GB2312" w:cs="仿宋_GB2312"/>
          <w:i w:val="0"/>
          <w:iCs w:val="0"/>
          <w:caps w:val="0"/>
          <w:color w:val="000000"/>
          <w:spacing w:val="0"/>
          <w:kern w:val="0"/>
          <w:sz w:val="32"/>
          <w:szCs w:val="32"/>
          <w:shd w:val="clear" w:fill="FFFFFF"/>
          <w:lang w:val="en-US" w:eastAsia="zh-CN" w:bidi="ar"/>
        </w:rPr>
      </w:pPr>
      <w:r>
        <w:rPr>
          <w:rFonts w:hint="eastAsia" w:ascii="仿宋_GB2312" w:hAnsi="Calibri" w:eastAsia="仿宋_GB2312" w:cs="仿宋_GB2312"/>
          <w:i w:val="0"/>
          <w:iCs w:val="0"/>
          <w:caps w:val="0"/>
          <w:color w:val="000000"/>
          <w:spacing w:val="0"/>
          <w:kern w:val="0"/>
          <w:sz w:val="32"/>
          <w:szCs w:val="32"/>
          <w:shd w:val="clear" w:fill="FFFFFF"/>
          <w:lang w:val="en-US" w:eastAsia="zh-CN" w:bidi="ar"/>
        </w:rPr>
        <w:t>具体请参见附件1（非现管通用版）和附件2（现金管理类版）。</w:t>
      </w:r>
    </w:p>
    <w:p w14:paraId="36630AE6">
      <w:pPr>
        <w:keepNext w:val="0"/>
        <w:keepLines w:val="0"/>
        <w:widowControl/>
        <w:numPr>
          <w:ilvl w:val="0"/>
          <w:numId w:val="2"/>
        </w:numPr>
        <w:suppressLineNumbers w:val="0"/>
        <w:shd w:val="clear" w:fill="FFFFFF"/>
        <w:spacing w:before="0" w:beforeAutospacing="0" w:after="0" w:afterAutospacing="0" w:line="23" w:lineRule="atLeast"/>
        <w:ind w:left="0" w:right="0" w:firstLine="640"/>
        <w:jc w:val="both"/>
        <w:rPr>
          <w:rFonts w:hint="default" w:ascii="楷体_GB2312" w:hAnsi="Calibri" w:eastAsia="楷体_GB2312" w:cs="楷体_GB2312"/>
          <w:i w:val="0"/>
          <w:iCs w:val="0"/>
          <w:caps w:val="0"/>
          <w:color w:val="000000"/>
          <w:spacing w:val="0"/>
          <w:kern w:val="0"/>
          <w:sz w:val="32"/>
          <w:szCs w:val="32"/>
          <w:shd w:val="clear" w:fill="FFFFFF"/>
          <w:lang w:val="en-US" w:eastAsia="zh-CN" w:bidi="ar"/>
        </w:rPr>
      </w:pPr>
      <w:r>
        <w:rPr>
          <w:rFonts w:hint="eastAsia" w:ascii="楷体_GB2312" w:hAnsi="Calibri" w:eastAsia="楷体_GB2312" w:cs="楷体_GB2312"/>
          <w:i w:val="0"/>
          <w:iCs w:val="0"/>
          <w:caps w:val="0"/>
          <w:color w:val="000000"/>
          <w:spacing w:val="0"/>
          <w:kern w:val="0"/>
          <w:sz w:val="32"/>
          <w:szCs w:val="32"/>
          <w:shd w:val="clear" w:fill="FFFFFF"/>
          <w:lang w:val="en-US" w:eastAsia="zh-CN" w:bidi="ar"/>
        </w:rPr>
        <w:t>投资协议书</w:t>
      </w:r>
    </w:p>
    <w:p w14:paraId="1E450C4D">
      <w:pPr>
        <w:keepNext w:val="0"/>
        <w:keepLines w:val="0"/>
        <w:widowControl/>
        <w:numPr>
          <w:ilvl w:val="0"/>
          <w:numId w:val="0"/>
        </w:numPr>
        <w:suppressLineNumbers w:val="0"/>
        <w:shd w:val="clear" w:fill="FFFFFF"/>
        <w:spacing w:before="0" w:beforeAutospacing="0" w:after="0" w:afterAutospacing="0" w:line="23" w:lineRule="atLeast"/>
        <w:ind w:left="640" w:leftChars="0" w:right="0" w:rightChars="0"/>
        <w:jc w:val="both"/>
        <w:rPr>
          <w:rFonts w:hint="eastAsia" w:ascii="仿宋_GB2312" w:hAnsi="Calibri" w:eastAsia="仿宋_GB2312" w:cs="仿宋_GB2312"/>
          <w:i w:val="0"/>
          <w:iCs w:val="0"/>
          <w:caps w:val="0"/>
          <w:color w:val="000000"/>
          <w:spacing w:val="0"/>
          <w:kern w:val="0"/>
          <w:sz w:val="32"/>
          <w:szCs w:val="32"/>
          <w:shd w:val="clear" w:fill="FFFFFF"/>
          <w:lang w:val="en-US" w:eastAsia="zh-CN" w:bidi="ar"/>
        </w:rPr>
      </w:pPr>
      <w:r>
        <w:rPr>
          <w:rFonts w:hint="eastAsia" w:ascii="仿宋_GB2312" w:hAnsi="Calibri" w:eastAsia="仿宋_GB2312" w:cs="仿宋_GB2312"/>
          <w:i w:val="0"/>
          <w:iCs w:val="0"/>
          <w:caps w:val="0"/>
          <w:color w:val="000000"/>
          <w:spacing w:val="0"/>
          <w:kern w:val="0"/>
          <w:sz w:val="32"/>
          <w:szCs w:val="32"/>
          <w:shd w:val="clear" w:fill="FFFFFF"/>
          <w:lang w:val="en-US" w:eastAsia="zh-CN" w:bidi="ar"/>
        </w:rPr>
        <w:t>1.删除签字材料保留方式的相关表述。</w:t>
      </w:r>
    </w:p>
    <w:p w14:paraId="22DAD0EE">
      <w:pPr>
        <w:keepNext w:val="0"/>
        <w:keepLines w:val="0"/>
        <w:widowControl/>
        <w:numPr>
          <w:ilvl w:val="0"/>
          <w:numId w:val="0"/>
        </w:numPr>
        <w:suppressLineNumbers w:val="0"/>
        <w:shd w:val="clear" w:fill="FFFFFF"/>
        <w:spacing w:before="0" w:beforeAutospacing="0" w:after="0" w:afterAutospacing="0" w:line="23" w:lineRule="atLeast"/>
        <w:ind w:right="0" w:rightChars="0" w:firstLine="640" w:firstLineChars="200"/>
        <w:jc w:val="both"/>
        <w:rPr>
          <w:rFonts w:hint="eastAsia" w:ascii="仿宋_GB2312" w:hAnsi="Calibri" w:eastAsia="仿宋_GB2312" w:cs="仿宋_GB2312"/>
          <w:i w:val="0"/>
          <w:iCs w:val="0"/>
          <w:caps w:val="0"/>
          <w:color w:val="000000"/>
          <w:spacing w:val="0"/>
          <w:kern w:val="0"/>
          <w:sz w:val="32"/>
          <w:szCs w:val="32"/>
          <w:shd w:val="clear" w:fill="FFFFFF"/>
          <w:lang w:val="en-US" w:eastAsia="zh-CN" w:bidi="ar"/>
        </w:rPr>
      </w:pPr>
      <w:r>
        <w:rPr>
          <w:rFonts w:hint="eastAsia" w:ascii="仿宋_GB2312" w:hAnsi="Calibri" w:eastAsia="仿宋_GB2312" w:cs="仿宋_GB2312"/>
          <w:i w:val="0"/>
          <w:iCs w:val="0"/>
          <w:caps w:val="0"/>
          <w:color w:val="000000"/>
          <w:spacing w:val="0"/>
          <w:kern w:val="0"/>
          <w:sz w:val="32"/>
          <w:szCs w:val="32"/>
          <w:shd w:val="clear" w:fill="FFFFFF"/>
          <w:lang w:val="en-US" w:eastAsia="zh-CN" w:bidi="ar"/>
        </w:rPr>
        <w:t>2.增加投资者签署页。</w:t>
      </w:r>
    </w:p>
    <w:p w14:paraId="147B257B">
      <w:pPr>
        <w:keepNext w:val="0"/>
        <w:keepLines w:val="0"/>
        <w:widowControl/>
        <w:numPr>
          <w:ilvl w:val="0"/>
          <w:numId w:val="0"/>
        </w:numPr>
        <w:suppressLineNumbers w:val="0"/>
        <w:shd w:val="clear" w:fill="FFFFFF"/>
        <w:spacing w:before="0" w:beforeAutospacing="0" w:after="0" w:afterAutospacing="0" w:line="23" w:lineRule="atLeast"/>
        <w:ind w:right="0" w:rightChars="0" w:firstLine="640" w:firstLineChars="200"/>
        <w:jc w:val="both"/>
        <w:rPr>
          <w:rFonts w:hint="default" w:ascii="仿宋_GB2312" w:hAnsi="Calibri" w:eastAsia="仿宋_GB2312" w:cs="仿宋_GB2312"/>
          <w:i w:val="0"/>
          <w:iCs w:val="0"/>
          <w:caps w:val="0"/>
          <w:color w:val="000000"/>
          <w:spacing w:val="0"/>
          <w:kern w:val="0"/>
          <w:sz w:val="32"/>
          <w:szCs w:val="32"/>
          <w:shd w:val="clear" w:fill="FFFFFF"/>
          <w:lang w:val="en-US" w:eastAsia="zh-CN" w:bidi="ar"/>
        </w:rPr>
      </w:pPr>
      <w:r>
        <w:rPr>
          <w:rFonts w:hint="eastAsia" w:ascii="仿宋_GB2312" w:hAnsi="Calibri" w:eastAsia="仿宋_GB2312" w:cs="仿宋_GB2312"/>
          <w:i w:val="0"/>
          <w:iCs w:val="0"/>
          <w:caps w:val="0"/>
          <w:color w:val="000000"/>
          <w:spacing w:val="0"/>
          <w:kern w:val="0"/>
          <w:sz w:val="32"/>
          <w:szCs w:val="32"/>
          <w:shd w:val="clear" w:fill="FFFFFF"/>
          <w:lang w:val="en-US" w:eastAsia="zh-CN" w:bidi="ar"/>
        </w:rPr>
        <w:t>具体请参见附件3。</w:t>
      </w:r>
    </w:p>
    <w:p w14:paraId="448ACF7C">
      <w:pPr>
        <w:keepNext w:val="0"/>
        <w:keepLines w:val="0"/>
        <w:widowControl/>
        <w:numPr>
          <w:ilvl w:val="0"/>
          <w:numId w:val="2"/>
        </w:numPr>
        <w:suppressLineNumbers w:val="0"/>
        <w:shd w:val="clear" w:fill="FFFFFF"/>
        <w:spacing w:before="0" w:beforeAutospacing="0" w:after="0" w:afterAutospacing="0" w:line="23" w:lineRule="atLeast"/>
        <w:ind w:left="0" w:right="0" w:firstLine="640"/>
        <w:jc w:val="both"/>
        <w:rPr>
          <w:rFonts w:hint="default" w:ascii="楷体_GB2312" w:hAnsi="Calibri" w:eastAsia="楷体_GB2312" w:cs="楷体_GB2312"/>
          <w:i w:val="0"/>
          <w:iCs w:val="0"/>
          <w:caps w:val="0"/>
          <w:color w:val="000000"/>
          <w:spacing w:val="0"/>
          <w:kern w:val="0"/>
          <w:sz w:val="32"/>
          <w:szCs w:val="32"/>
          <w:shd w:val="clear" w:fill="FFFFFF"/>
          <w:lang w:val="en-US" w:eastAsia="zh-CN" w:bidi="ar"/>
        </w:rPr>
      </w:pPr>
      <w:r>
        <w:rPr>
          <w:rFonts w:hint="eastAsia" w:ascii="楷体_GB2312" w:hAnsi="Calibri" w:eastAsia="楷体_GB2312" w:cs="楷体_GB2312"/>
          <w:i w:val="0"/>
          <w:iCs w:val="0"/>
          <w:caps w:val="0"/>
          <w:color w:val="000000"/>
          <w:spacing w:val="0"/>
          <w:kern w:val="0"/>
          <w:sz w:val="32"/>
          <w:szCs w:val="32"/>
          <w:shd w:val="clear" w:fill="FFFFFF"/>
          <w:lang w:val="en-US" w:eastAsia="zh-CN" w:bidi="ar"/>
        </w:rPr>
        <w:t>投资者权益须知</w:t>
      </w:r>
    </w:p>
    <w:p w14:paraId="0B908C2B">
      <w:pPr>
        <w:keepNext w:val="0"/>
        <w:keepLines w:val="0"/>
        <w:widowControl/>
        <w:numPr>
          <w:ilvl w:val="0"/>
          <w:numId w:val="0"/>
        </w:numPr>
        <w:suppressLineNumbers w:val="0"/>
        <w:shd w:val="clear" w:fill="FFFFFF"/>
        <w:spacing w:before="0" w:beforeAutospacing="0" w:after="0" w:afterAutospacing="0" w:line="23" w:lineRule="atLeast"/>
        <w:ind w:right="0" w:rightChars="0" w:firstLine="640" w:firstLineChars="200"/>
        <w:jc w:val="both"/>
        <w:rPr>
          <w:rFonts w:hint="eastAsia" w:ascii="仿宋_GB2312" w:hAnsi="Calibri" w:eastAsia="仿宋_GB2312" w:cs="仿宋_GB2312"/>
          <w:i w:val="0"/>
          <w:iCs w:val="0"/>
          <w:caps w:val="0"/>
          <w:color w:val="000000"/>
          <w:spacing w:val="0"/>
          <w:kern w:val="0"/>
          <w:sz w:val="32"/>
          <w:szCs w:val="32"/>
          <w:shd w:val="clear" w:fill="FFFFFF"/>
          <w:lang w:val="en-US" w:eastAsia="zh-CN" w:bidi="ar"/>
        </w:rPr>
      </w:pPr>
      <w:r>
        <w:rPr>
          <w:rFonts w:hint="eastAsia" w:ascii="仿宋_GB2312" w:hAnsi="Calibri" w:eastAsia="仿宋_GB2312" w:cs="仿宋_GB2312"/>
          <w:i w:val="0"/>
          <w:iCs w:val="0"/>
          <w:caps w:val="0"/>
          <w:color w:val="000000"/>
          <w:spacing w:val="0"/>
          <w:kern w:val="0"/>
          <w:sz w:val="32"/>
          <w:szCs w:val="32"/>
          <w:shd w:val="clear" w:fill="FFFFFF"/>
          <w:lang w:val="en-US" w:eastAsia="zh-CN" w:bidi="ar"/>
        </w:rPr>
        <w:t>1.优化文字表述：“</w:t>
      </w:r>
      <w:r>
        <w:rPr>
          <w:rFonts w:hint="default" w:ascii="仿宋_GB2312" w:hAnsi="Calibri" w:eastAsia="仿宋_GB2312" w:cs="仿宋_GB2312"/>
          <w:i w:val="0"/>
          <w:iCs w:val="0"/>
          <w:caps w:val="0"/>
          <w:color w:val="000000"/>
          <w:spacing w:val="0"/>
          <w:kern w:val="0"/>
          <w:sz w:val="32"/>
          <w:szCs w:val="32"/>
          <w:shd w:val="clear" w:fill="FFFFFF"/>
          <w:lang w:val="en-US" w:eastAsia="zh-CN" w:bidi="ar"/>
        </w:rPr>
        <w:t>风险承受能力评级越高适合购买的理财产品风险评级越高，适合购买的理财产品类型越丰富，风险承受能力评估结果将作为评价普通投资者是否适合购买理财产品的重要因素</w:t>
      </w:r>
      <w:r>
        <w:rPr>
          <w:rFonts w:hint="eastAsia" w:ascii="仿宋_GB2312" w:hAnsi="Calibri" w:eastAsia="仿宋_GB2312" w:cs="仿宋_GB2312"/>
          <w:i w:val="0"/>
          <w:iCs w:val="0"/>
          <w:caps w:val="0"/>
          <w:color w:val="000000"/>
          <w:spacing w:val="0"/>
          <w:kern w:val="0"/>
          <w:sz w:val="32"/>
          <w:szCs w:val="32"/>
          <w:shd w:val="clear" w:fill="FFFFFF"/>
          <w:lang w:val="en-US" w:eastAsia="zh-CN" w:bidi="ar"/>
        </w:rPr>
        <w:t>”改为“</w:t>
      </w:r>
      <w:r>
        <w:rPr>
          <w:rFonts w:hint="default" w:ascii="仿宋_GB2312" w:hAnsi="Calibri" w:eastAsia="仿宋_GB2312" w:cs="仿宋_GB2312"/>
          <w:i w:val="0"/>
          <w:iCs w:val="0"/>
          <w:caps w:val="0"/>
          <w:color w:val="000000"/>
          <w:spacing w:val="0"/>
          <w:kern w:val="0"/>
          <w:sz w:val="32"/>
          <w:szCs w:val="32"/>
          <w:shd w:val="clear" w:fill="FFFFFF"/>
          <w:lang w:val="en-US" w:eastAsia="zh-CN" w:bidi="ar"/>
        </w:rPr>
        <w:t>风险承受能力评估结果将作为评价普通投资者是否适合购买理财产品的重要因素，普通投资者仅能购买风险等级等于或低于其风险承受能力等级的理财产品</w:t>
      </w:r>
      <w:r>
        <w:rPr>
          <w:rFonts w:hint="eastAsia" w:ascii="仿宋_GB2312" w:hAnsi="Calibri" w:eastAsia="仿宋_GB2312" w:cs="仿宋_GB2312"/>
          <w:i w:val="0"/>
          <w:iCs w:val="0"/>
          <w:caps w:val="0"/>
          <w:color w:val="000000"/>
          <w:spacing w:val="0"/>
          <w:kern w:val="0"/>
          <w:sz w:val="32"/>
          <w:szCs w:val="32"/>
          <w:shd w:val="clear" w:fill="FFFFFF"/>
          <w:lang w:val="en-US" w:eastAsia="zh-CN" w:bidi="ar"/>
        </w:rPr>
        <w:t>”。</w:t>
      </w:r>
    </w:p>
    <w:p w14:paraId="0F388216">
      <w:pPr>
        <w:keepNext w:val="0"/>
        <w:keepLines w:val="0"/>
        <w:widowControl/>
        <w:numPr>
          <w:ilvl w:val="0"/>
          <w:numId w:val="0"/>
        </w:numPr>
        <w:suppressLineNumbers w:val="0"/>
        <w:shd w:val="clear" w:fill="FFFFFF"/>
        <w:spacing w:before="0" w:beforeAutospacing="0" w:after="0" w:afterAutospacing="0" w:line="23" w:lineRule="atLeast"/>
        <w:ind w:right="0" w:rightChars="0" w:firstLine="640" w:firstLineChars="200"/>
        <w:jc w:val="both"/>
        <w:rPr>
          <w:rFonts w:hint="eastAsia" w:ascii="仿宋_GB2312" w:hAnsi="Calibri" w:eastAsia="仿宋_GB2312" w:cs="仿宋_GB2312"/>
          <w:i w:val="0"/>
          <w:iCs w:val="0"/>
          <w:caps w:val="0"/>
          <w:color w:val="000000"/>
          <w:spacing w:val="0"/>
          <w:kern w:val="0"/>
          <w:sz w:val="32"/>
          <w:szCs w:val="32"/>
          <w:shd w:val="clear" w:fill="FFFFFF"/>
          <w:lang w:val="en-US" w:eastAsia="zh-CN" w:bidi="ar"/>
        </w:rPr>
      </w:pPr>
      <w:r>
        <w:rPr>
          <w:rFonts w:hint="eastAsia" w:ascii="仿宋_GB2312" w:hAnsi="Calibri" w:eastAsia="仿宋_GB2312" w:cs="仿宋_GB2312"/>
          <w:i w:val="0"/>
          <w:iCs w:val="0"/>
          <w:caps w:val="0"/>
          <w:color w:val="000000"/>
          <w:spacing w:val="0"/>
          <w:kern w:val="0"/>
          <w:sz w:val="32"/>
          <w:szCs w:val="32"/>
          <w:shd w:val="clear" w:fill="FFFFFF"/>
          <w:lang w:val="en-US" w:eastAsia="zh-CN" w:bidi="ar"/>
        </w:rPr>
        <w:t>2.增加投资者签署页。</w:t>
      </w:r>
    </w:p>
    <w:p w14:paraId="0826553E">
      <w:pPr>
        <w:keepNext w:val="0"/>
        <w:keepLines w:val="0"/>
        <w:widowControl/>
        <w:numPr>
          <w:ilvl w:val="0"/>
          <w:numId w:val="0"/>
        </w:numPr>
        <w:suppressLineNumbers w:val="0"/>
        <w:shd w:val="clear" w:fill="FFFFFF"/>
        <w:spacing w:before="0" w:beforeAutospacing="0" w:after="0" w:afterAutospacing="0" w:line="23" w:lineRule="atLeast"/>
        <w:ind w:right="0" w:rightChars="0" w:firstLine="640" w:firstLineChars="200"/>
        <w:jc w:val="both"/>
        <w:rPr>
          <w:rFonts w:hint="eastAsia" w:ascii="仿宋_GB2312" w:hAnsi="Calibri" w:eastAsia="仿宋_GB2312" w:cs="仿宋_GB2312"/>
          <w:i w:val="0"/>
          <w:iCs w:val="0"/>
          <w:caps w:val="0"/>
          <w:color w:val="000000"/>
          <w:spacing w:val="0"/>
          <w:kern w:val="0"/>
          <w:sz w:val="32"/>
          <w:szCs w:val="32"/>
          <w:shd w:val="clear" w:fill="FFFFFF"/>
          <w:lang w:val="en-US" w:eastAsia="zh-CN" w:bidi="ar"/>
        </w:rPr>
      </w:pPr>
      <w:r>
        <w:rPr>
          <w:rFonts w:hint="eastAsia" w:ascii="仿宋_GB2312" w:hAnsi="Calibri" w:eastAsia="仿宋_GB2312" w:cs="仿宋_GB2312"/>
          <w:i w:val="0"/>
          <w:iCs w:val="0"/>
          <w:caps w:val="0"/>
          <w:color w:val="000000"/>
          <w:spacing w:val="0"/>
          <w:kern w:val="0"/>
          <w:sz w:val="32"/>
          <w:szCs w:val="32"/>
          <w:shd w:val="clear" w:fill="FFFFFF"/>
          <w:lang w:val="en-US" w:eastAsia="zh-CN" w:bidi="ar"/>
        </w:rPr>
        <w:t>具体请参见附件4。</w:t>
      </w:r>
    </w:p>
    <w:p w14:paraId="244C27A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i w:val="0"/>
          <w:iCs w:val="0"/>
          <w:caps w:val="0"/>
          <w:color w:val="auto"/>
          <w:spacing w:val="0"/>
          <w:sz w:val="32"/>
          <w:szCs w:val="32"/>
          <w:shd w:val="clear" w:fill="FFFFFF"/>
          <w:lang w:val="en-US" w:eastAsia="zh-CN"/>
        </w:rPr>
      </w:pP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涉及以上条款变更的产品清单如下，各个产品类型的产品说明书通用模板见附件：</w:t>
      </w:r>
    </w:p>
    <w:tbl>
      <w:tblPr>
        <w:tblStyle w:val="7"/>
        <w:tblW w:w="9393" w:type="dxa"/>
        <w:tblInd w:w="-42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00"/>
        <w:gridCol w:w="1405"/>
        <w:gridCol w:w="3375"/>
        <w:gridCol w:w="1538"/>
        <w:gridCol w:w="1275"/>
      </w:tblGrid>
      <w:tr w14:paraId="522B3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7757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登记编码</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9B70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产品代码</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CD7D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产品全称</w:t>
            </w:r>
          </w:p>
        </w:tc>
        <w:tc>
          <w:tcPr>
            <w:tcW w:w="1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9343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产品类型</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6F35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产品说明书通用模板</w:t>
            </w:r>
          </w:p>
        </w:tc>
      </w:tr>
      <w:tr w14:paraId="6C180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511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Z7011825000125</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8D0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JXYA6M1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9A8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浙银理财琮简涌金聚鑫赢A半年定开1号人民币理财产品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1BA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定开型产品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2B4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参见附件5</w:t>
            </w:r>
          </w:p>
        </w:tc>
      </w:tr>
      <w:tr w14:paraId="58964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9F6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Z7011825000145</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620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JXYA1M1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568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浙银理财琮简涌金聚鑫赢A一月定开1号人民币理财产品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7BB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定开型产品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573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参见附件5</w:t>
            </w:r>
          </w:p>
        </w:tc>
      </w:tr>
      <w:tr w14:paraId="724E0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707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Z7011825000151</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0BA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JXYA1M2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89F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浙银理财琮简涌金聚鑫赢A一月定开2号人民币理财产品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C81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定开型产品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7CA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参见附件5</w:t>
            </w:r>
          </w:p>
        </w:tc>
      </w:tr>
      <w:tr w14:paraId="2EBC6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3D4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Z7011825000152</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004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JXYA1M3</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035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浙银理财琮简涌金聚鑫赢A一月定开3号人民币理财产品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328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定开型产品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4D1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参见附件5</w:t>
            </w:r>
          </w:p>
        </w:tc>
      </w:tr>
      <w:tr w14:paraId="2738C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B79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Z7011825000162</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D2A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JXYA1M5</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538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浙银理财琮简涌金聚鑫赢A一月定开5号人民币理财产品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8ED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定开型产品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54A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参见附件5</w:t>
            </w:r>
          </w:p>
        </w:tc>
      </w:tr>
      <w:tr w14:paraId="78518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869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Z7011825000128</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C50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JXYA1M6</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DDD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浙银理财琮简涌金聚鑫赢A一月定开6号人民币理财产品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5AB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定开型产品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C40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参见附件5</w:t>
            </w:r>
          </w:p>
        </w:tc>
      </w:tr>
      <w:tr w14:paraId="54B33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6B4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Z7011825000123</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3E9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JXYA13M10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178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浙银理财琮融九溪聚鑫赢A十三月定开10号人民币理财产品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EBC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定开型产品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3B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参见附件5</w:t>
            </w:r>
          </w:p>
        </w:tc>
      </w:tr>
      <w:tr w14:paraId="1FE4E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904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Z7011825000110</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F9F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JXYA6M3</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058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浙银理财琮融九曜聚鑫赢A半年定开3号人民币理财产品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54F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定开型产品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EEA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参见附件5</w:t>
            </w:r>
          </w:p>
        </w:tc>
      </w:tr>
      <w:tr w14:paraId="197D9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F31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Z7011825000149</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76C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JXYA2Y6</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B4C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浙银理财琮融九曜聚鑫赢A两年定开6号人民币理财产品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28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定开型产品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F66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参见附件5</w:t>
            </w:r>
          </w:p>
        </w:tc>
      </w:tr>
      <w:tr w14:paraId="1EEB2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1A0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Z7011825000161</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723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JXYA18M2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EAA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浙银理财琮融九曜聚鑫赢A十八月定开2号人民币理财产品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2A7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定开型产品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32D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参见附件5</w:t>
            </w:r>
          </w:p>
        </w:tc>
      </w:tr>
      <w:tr w14:paraId="2898F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2D1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Z7011825000117</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5EE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JXYA13M1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4AC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浙银理财琮融九曜聚鑫赢A十三月定开1号人民币理财产品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5EE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定开型产品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634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参见附件5</w:t>
            </w:r>
          </w:p>
        </w:tc>
      </w:tr>
      <w:tr w14:paraId="6205A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6A8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Z7011825000142</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079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JXYA13M2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76C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浙银理财琮融九曜聚鑫赢A十三月定开2号人民币理财产品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9DC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定开型产品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6F4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参见附件5</w:t>
            </w:r>
          </w:p>
        </w:tc>
      </w:tr>
      <w:tr w14:paraId="39B2A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9A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Z7011825000135</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C69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JXYA13M3</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39E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浙银理财琮融九曜聚鑫赢A十三月定开3号人民币理财产品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2A4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定开型产品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544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参见附件5</w:t>
            </w:r>
          </w:p>
        </w:tc>
      </w:tr>
      <w:tr w14:paraId="29086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E5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Z7011825000144</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AEC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JXYA7D1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B14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浙银理财琮简涌金聚鑫赢A周周开1号人民币理财产品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519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定开型产品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1EA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参见附件5</w:t>
            </w:r>
          </w:p>
        </w:tc>
      </w:tr>
      <w:tr w14:paraId="5BDED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02E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Z7011825000154</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0DA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JXYB180D1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749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浙银理财琮简涌金聚鑫赢B-180天型1号人民币理财产品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455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客户周期型自动到期产品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1C6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参见附件6</w:t>
            </w:r>
          </w:p>
        </w:tc>
      </w:tr>
      <w:tr w14:paraId="1BAD1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36E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Z7011825000114</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067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JXYB180D2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450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浙银理财琮简涌金聚鑫赢B-180天型2号人民币理财产品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5D0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客户周期型自动到期产品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D48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参见附件6</w:t>
            </w:r>
          </w:p>
        </w:tc>
      </w:tr>
      <w:tr w14:paraId="20C33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31C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Z7011825000160</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AAD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JXYB270D1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AEE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浙银理财琮简涌金聚鑫赢B-270天型1号人民币理财产品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B2A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客户周期型自动到期产品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857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参见附件6</w:t>
            </w:r>
          </w:p>
        </w:tc>
      </w:tr>
      <w:tr w14:paraId="2C3A6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66B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Z7011825000141</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FCE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JXYB360D1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720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浙银理财琮简涌金聚鑫赢B-360天型1号人民币理财产品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D24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客户周期型自动到期产品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CFF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参见附件6</w:t>
            </w:r>
          </w:p>
        </w:tc>
      </w:tr>
      <w:tr w14:paraId="212DF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3DD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Z7011825000159</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C5B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JXYB90D1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18C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浙银理财琮简涌金聚鑫赢B-90天型1号人民币理财产品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14A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客户周期型自动到期产品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DBE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参见附件6</w:t>
            </w:r>
          </w:p>
        </w:tc>
      </w:tr>
      <w:tr w14:paraId="4AB83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408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Z7011825000140</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CFB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JXYB90D2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8BB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浙银理财琮简涌金聚鑫赢B-90天型2号人民币理财产品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F60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客户周期型自动到期产品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761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参见附件6</w:t>
            </w:r>
          </w:p>
        </w:tc>
      </w:tr>
      <w:tr w14:paraId="6282D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DF4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Z7011825000120</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136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GPK4011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06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浙银理财琮简涌金鸣泉稳健同享11号可转债增强(270天续投)人民币理财产品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782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客户周期型自动续投产品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3B0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参见附件7</w:t>
            </w:r>
          </w:p>
        </w:tc>
      </w:tr>
      <w:tr w14:paraId="04880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F74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Z7011825000119</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716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GGK2002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9AF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浙银理财琮简涌金鸣泉稳健同享2号(低波60天续投)人民币理财产品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9BD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客户周期型自动续投产品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4B1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参见附件7</w:t>
            </w:r>
          </w:p>
        </w:tc>
      </w:tr>
      <w:tr w14:paraId="33B19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4D4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Z7011825000133</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C19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GGK3003</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B25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浙银理财琮简涌金鸣泉稳健同享3号(120天续投)人民币理财产品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B91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客户周期型自动续投产品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A35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参见附件7</w:t>
            </w:r>
          </w:p>
        </w:tc>
      </w:tr>
      <w:tr w14:paraId="45FBE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12B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Z7011825000115</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20C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GGK2004</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250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浙银理财琮简涌金鸣泉稳健同享5号(90天续投)人民币理财产品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C30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客户周期型自动续投产品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DFE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参见附件7</w:t>
            </w:r>
          </w:p>
        </w:tc>
      </w:tr>
      <w:tr w14:paraId="24186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5C1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Z7011825000121</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DEC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GGK3005</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F7E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浙银理财琮简涌金鸣泉稳健同享6号(180天续投)人民币理财产品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EDC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客户周期型自动续投产品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624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参见附件7</w:t>
            </w:r>
          </w:p>
        </w:tc>
      </w:tr>
      <w:tr w14:paraId="3DCA4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21B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Z7011825000116</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FAE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GPK4009</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551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浙银理财琮融九曜鸣泉稳健同享9号红利策略(360天续投)人民币理财产品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C2A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客户周期型自动续投产品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3B9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参见附件7</w:t>
            </w:r>
          </w:p>
        </w:tc>
      </w:tr>
      <w:tr w14:paraId="28B05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667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Z7011825000201</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DB5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ZYYJG00130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862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浙银理财琮简涌金丰收日开2号理财产品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B05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日开型产品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F7B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参见附件8</w:t>
            </w:r>
          </w:p>
        </w:tc>
      </w:tr>
      <w:tr w14:paraId="60347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DB8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Z7011825000109</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466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JXYCTL1D1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3C1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浙银理财琮简涌金聚鑫赢C日开添利1号人民币理财产品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E28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日开型产品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50F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参见附件8</w:t>
            </w:r>
          </w:p>
        </w:tc>
      </w:tr>
      <w:tr w14:paraId="304DC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E8E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Z7011825000148</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F93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JXYCTL1D2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E43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浙银理财琮简涌金聚鑫赢C日开添利2号人民币理财产品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909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日开型产品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CBE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参见附件8</w:t>
            </w:r>
          </w:p>
        </w:tc>
      </w:tr>
      <w:tr w14:paraId="09331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47E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Z7011825000106</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C8C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JXYCTL1D3</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017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浙银理财琮简涌金聚鑫赢C日开添利3号人民币理财产品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1AF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日开型产品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95F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参见附件8</w:t>
            </w:r>
          </w:p>
        </w:tc>
      </w:tr>
      <w:tr w14:paraId="1E297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0B7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Z7011825000047</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BDE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ZYYJG00060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A20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浙银理财琮简涌金日开1号理财产品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991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日开型产品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8F9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参见附件8</w:t>
            </w:r>
          </w:p>
        </w:tc>
      </w:tr>
      <w:tr w14:paraId="62462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773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Z7011825000265</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628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ZYYJG00240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616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浙银理财琮简涌金日开5号理财产品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C70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日开型产品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6E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参见附件8</w:t>
            </w:r>
          </w:p>
        </w:tc>
      </w:tr>
      <w:tr w14:paraId="5927F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C04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Z7011826000034</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E46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ZYYJG00400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60D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浙银理财琮简涌金日开6号理财产品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662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日开型产品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123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参见附件8</w:t>
            </w:r>
          </w:p>
        </w:tc>
      </w:tr>
      <w:tr w14:paraId="7C077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06C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Z7011826000102</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AAD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ZYYJG00430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A51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浙银理财琮简涌金日开8号理财产品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E58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日开型产品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6F3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参见附件8</w:t>
            </w:r>
          </w:p>
        </w:tc>
      </w:tr>
      <w:tr w14:paraId="591FC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EA3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Z7011825000129</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0C6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JXYC1D1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B66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浙银理财琮善金沙聚鑫赢C日开1号人民币理财产品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E4C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日开型产品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C29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参见附件8</w:t>
            </w:r>
          </w:p>
        </w:tc>
      </w:tr>
      <w:tr w14:paraId="53865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FA9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Z7011825000105</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8A9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JXYC1D2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4F4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浙银理财琮善金沙聚鑫赢C日开2号人民币理财产品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500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日开型产品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9DB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参见附件8</w:t>
            </w:r>
          </w:p>
        </w:tc>
      </w:tr>
      <w:tr w14:paraId="0C141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CF4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Z7011825000111</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298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JXYC1D3</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290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浙银理财琮善金沙聚鑫赢C日开3号人民币理财产品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35C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日开型产品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24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参见附件8</w:t>
            </w:r>
          </w:p>
        </w:tc>
      </w:tr>
      <w:tr w14:paraId="44E40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6DD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Z7011825000033</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351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ZYJSG00010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ECB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浙银理财琮善金沙日开1号理财产品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3BD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日开型产品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4E5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参见附件8</w:t>
            </w:r>
          </w:p>
        </w:tc>
      </w:tr>
      <w:tr w14:paraId="401BA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5DC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Z7011825000163</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8EB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MQ6M01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555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浙银理财琮简涌金鸣泉半年定开1号人民币理财产品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B97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申赎分离型产品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EC9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参见附件9</w:t>
            </w:r>
          </w:p>
        </w:tc>
      </w:tr>
      <w:tr w14:paraId="0800D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AF4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Z7011825000299</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3F4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ZYYQG00040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9D7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浙银理财琮善玉泉8号理财产品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CC1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现金管理类产品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A3E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参见附件10</w:t>
            </w:r>
          </w:p>
        </w:tc>
      </w:tr>
      <w:tr w14:paraId="45DAD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422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Z7011825000137</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69E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SXYA1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229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浙银理财琮善玉泉升鑫赢A-1号人民币理财产品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055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现金管理类产品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922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参见附件10</w:t>
            </w:r>
          </w:p>
        </w:tc>
      </w:tr>
      <w:tr w14:paraId="115D9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FE2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Z7011825000138</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8C4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SXYB1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0C0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浙银理财琮善玉泉升鑫赢B-1号人民币理财产品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612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现金管理类产品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996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参见附件10</w:t>
            </w:r>
          </w:p>
        </w:tc>
      </w:tr>
      <w:tr w14:paraId="7E8A4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FEB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Z7011825000130</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7CD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SXYC1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CA8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浙银理财琮善玉泉升鑫赢C-1号人民币理财产品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DED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现金管理类产品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5FE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参见附件10</w:t>
            </w:r>
          </w:p>
        </w:tc>
      </w:tr>
      <w:tr w14:paraId="0CA0E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C92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Z7011825000107</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603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SXYC2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065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浙银理财琮善玉泉升鑫赢C-2号人民币理财产品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725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现金管理类产品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ADD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参见附件10</w:t>
            </w:r>
          </w:p>
        </w:tc>
      </w:tr>
      <w:tr w14:paraId="57CFF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1B9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Z7011825000146</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F60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SXYC3</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0D6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浙银理财琮善玉泉升鑫赢C-3号人民币理财产品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31B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现金管理类产品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62A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参见附件10</w:t>
            </w:r>
          </w:p>
        </w:tc>
      </w:tr>
      <w:tr w14:paraId="299B6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F6A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Z7011825000104</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EB6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SXYC5</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13E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浙银理财琮善玉泉升鑫赢C-5号人民币理财产品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FC9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现金管理类产品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ECF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参见附件10</w:t>
            </w:r>
          </w:p>
        </w:tc>
      </w:tr>
      <w:tr w14:paraId="1779A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EB0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Z7011825000131</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F38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SXYD1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B38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浙银理财琮善玉泉升鑫赢D-1号人民币理财产品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C28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现金管理类产品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52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参见附件10</w:t>
            </w:r>
          </w:p>
        </w:tc>
      </w:tr>
      <w:tr w14:paraId="1F9A3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952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Z7011825000108</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5D2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SXYD2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17F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浙银理财琮善玉泉升鑫赢D-2号人民币理财产品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3AF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现金管理类产品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E6F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参见附件10</w:t>
            </w:r>
          </w:p>
        </w:tc>
      </w:tr>
      <w:tr w14:paraId="02E33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0B6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Z7011825000147</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432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SXYD3</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B54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浙银理财琮善玉泉升鑫赢D-3号人民币理财产品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A07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现金管理类产品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D17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参见附件10</w:t>
            </w:r>
          </w:p>
        </w:tc>
      </w:tr>
      <w:tr w14:paraId="01247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3A9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Z7011826000172</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870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ZYBSG01050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254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浙银理财琮简宝石60天持有1号理财产品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A5A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752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17F5B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899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Z7011826000166</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970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ZYBSG01060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906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浙银理财琮简宝石90天持有1号理财产品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691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CF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61111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B35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Z7011825000224</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EAE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ZYYJG00170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4D8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浙银理财琮简涌金120天持有1号理财产品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C4B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362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56DB9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D67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Z7011826000098</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F29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ZYYJG00470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94E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浙银理财琮简涌金120天持有2号理财产品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728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0DB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0C721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1F8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Z7011825000102</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6AB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ZYYJG00090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277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浙银理财琮简涌金14天持有1号理财产品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B90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E19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27E63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186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Z7011825000206</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FB4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ZYYJG00140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025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浙银理财琮简涌金14天持有2号理财产品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47E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44F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21D40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C5F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Z7011825000301</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034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ZYYJG00310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6FF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浙银理财琮简涌金14天持有5号理财产品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E59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2EF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64CEC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BFE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Z7011825000045</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511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ZYYJG00040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C38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浙银理财琮简涌金180天持有1号理财产品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0E6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37E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1CB88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A54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Z7011825000250</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F20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ZYYJG00200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37E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浙银理财琮简涌金180天持有2号理财产品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A51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38F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3C94A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C23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Z7011825000010</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346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JYJ52G00010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4F5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浙银理财琮简涌金270天持有1号可转债增强理财产品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58F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677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0E937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DA8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Z7011825000048</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C45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ZYYJG00030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E01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浙银理财琮简涌金270天持有2号理财产品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789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098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1A47C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D34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Z7011825000249</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662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ZYYJG00180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C97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浙银理财琮简涌金270天持有3号智能制造理财产品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BFE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EA7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6CCE4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05F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Z7011825000251</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423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ZYYJG00210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0FC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浙银理财琮简涌金270天持有5号理财产品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903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E06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74E62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1F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Z7011825000303</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3D0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ZYYJG00320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E11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浙银理财琮简涌金30天持有10号理财产品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118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9DD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5DC6D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CF9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Z7011826000031</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7FE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ZYYJG00370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5A1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浙银理财琮简涌金30天持有11号理财产品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AB9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001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0AF84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271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Z7011826000092</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69E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ZYYJG00410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455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浙银理财琮简涌金30天持有12号理财产品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0D8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F89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12FC4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C0A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Z7011826000146</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7B5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ZYYJG00570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383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浙银理财琮简涌金30天持有15号理财产品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EF0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299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1F56F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A76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Z7011826000231</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05F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ZYYJG00610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ABE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浙银理财琮简涌金30天持有16号理财产品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B58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595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672B6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945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Z7011825000018</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16E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ZYYJG00010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6EF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浙银理财琮简涌金30天持有1号理财产品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D42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5F1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4A219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440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Z7011825000082</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A12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ZYYJG00070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AC4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浙银理财琮简涌金30天持有2号理财产品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52F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D9B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7CBF0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DD0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Z7011825000099</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DC6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ZYYJG00110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598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浙银理财琮简涌金30天持有5号理财产品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B3A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8B1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66A3B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F97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Z7011825000298</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9B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ZYYJG00280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C5B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浙银理财琮简涌金30天持有7号理财产品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085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09B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6EAD2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BAB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Z7011825000046</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5E2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ZYYJG00050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098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浙银理财琮简涌金360天持有1号理财产品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293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6F8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6F22E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65C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Z7011825000253</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0D5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ZYYJG00220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32E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浙银理财琮简涌金360天持有2号理财产品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8DF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BAB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0E274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383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Z7011826000015</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956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ZYYJG00340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7F7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浙银理财琮简涌金360天持有3号理财产品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285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7C4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2E622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BFB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Z7011825000207</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9EC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ZYYJG00150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CC8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浙银理财琮简涌金60天持有1号理财产品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C76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3E7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4840B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B08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Z7011826000033</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9ED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ZYYJG00380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3EF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浙银理财琮简涌金60天持有2号理财产品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C77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9E4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6870A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120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Z7011826000093</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DCC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ZYYJG00420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2D1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浙银理财琮简涌金60天持有3号理财产品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184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B42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70879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3FB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Z7011825000080</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F33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ZYYJG00080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1C0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浙银理财琮简涌金7天持有1号理财产品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72B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095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68205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9F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Z7011825000015</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EC2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JYJ53G00020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93D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浙银理财琮简涌金7天持有2号理财产品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47C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8B2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48368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E64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Z7011825000304</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2A9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ZYYJG00330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01F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浙银理财琮简涌金7天持有5号理财产品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01E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A8A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3B32A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2DD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Z7011825000024</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C12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ZYYJG00020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453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浙银理财琮简涌金90天持有1号理财产品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CC8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701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7069E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275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Z7011825000223</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30C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ZYYJG00160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0AB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浙银理财琮简涌金90天持有2号科创数智理财产品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EF8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281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0B3F4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2E7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Z7011825000259</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525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ZYYJG00190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1B0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浙银理财琮简涌金90天持有3号理财产品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255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043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0A3BB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6E4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Z7011825000269</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BE7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ZYYJG00260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79F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浙银理财琮简涌金90天持有5号普惠金融理财产品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99A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96B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1C9EB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946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Z7011826000036</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852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ZYYJG00390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9E0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浙银理财琮简涌金90天持有7号理财产品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4D9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D9C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7D535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61A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Z7011826000234</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6C8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ZYYJG00620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E38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浙银理财琮简涌金90天持有9号理财产品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C7F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8F6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5F0B4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63B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Z7011825000134</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498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GPZ4002A</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A1B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浙银理财琮简涌金昕泽稳健同享11号(最短持有360天)人民币理财产品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5A0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387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323D6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12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Z7011825000112</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C78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GPZ1000A</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E60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浙银理财琮简涌金昕泽稳健同享1号(最短持有7天)人民币理财产品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55D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3EA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62F92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1E6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Z7011825000113</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E0C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GPZ3000A</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7A7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浙银理财琮简涌金昕泽稳健同享2号(最短持有180天)人民币理财产品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B6D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49D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4A743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495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Z7011825000158</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952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GPZ1007A</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85F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浙银理财琮简涌金昕泽稳健同享7号(最短持有14天)人民币理财产品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A6C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0A0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1F0D2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89F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Z7011825000139</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EEF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GPZ1008A</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737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浙银理财琮简涌金昕泽稳健同享8号(最短持有30天)人民币理财产品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E8F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3AA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59599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C87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Z7011825000153</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3A5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GPZ2001A</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EF1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浙银理财琮简涌金昕泽稳健同享9号(最短持有90天)人民币理财产品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C1C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E3B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107F9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7ED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Z7011826000119</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ECE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ZYJXG00440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D9F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浙银理财琮融九溪添利180天持有10号全天候策略增强理财产品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90B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C2C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47355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331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Z7011825000044</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D31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ZYJXG00030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7C3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浙银理财琮融九溪添利180天持有1号多策略增强理财产品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D7A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862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1F342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C5E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Z7011825000049</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D52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ZYJXG00020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F94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浙银理财琮融九溪添利180天持有2号黄金策略增强理财产品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D1B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798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3B4DE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25E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Z7011826000105</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6EA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ZYJXG00420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31C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浙银理财琮融九溪添利180天持有6号双利增强理财产品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079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AED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33C7A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872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Z7011826000104</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B71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ZYJXG00410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AE8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浙银理财琮融九溪添利180天持有7号FOF策略增强理财产品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EC1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CDA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7DA12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6BD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Z7011826000137</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3DF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ZYJXG00450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82B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浙银理财琮融九溪添利180天持有8号固收增益理财产品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8F5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63C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7B86C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179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Z7011826000195</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815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ZYJXG00600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47C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浙银理财琮融九溪添利270天持有2号双利增强理财产品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60B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5FB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6A8F8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E4A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Z7011825000176</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D44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ZYJXG00060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E4A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浙银理财琮融九溪添利360天持有1号双利增强理财产品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793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051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74674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045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Z7011825000178</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86A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ZYJXG00080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FB4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浙银理财琮融九溪添利360天持有2号全天候策略增强理财产品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D53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C47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64B6C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AB3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Z7011825000218</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016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ZYJXG00120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937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浙银理财琮融九溪添利360天持有3号FOF策略增强理财产品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A41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2F8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77D5C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73B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Z7011825000252</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E90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ZYJXG00210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FFF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浙银理财琮融九溪添利360天持有5号双利增强理财产品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034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2D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779E1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05E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Z7011826000136</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686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ZYJXG00460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B44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浙银理财琮融九溪添利360天持有7号固收增益理财产品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65B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86B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219A1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681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Z7011825000122</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F92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GPZ4003A</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DBD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浙银理财琮融九溪昕泽稳健同享12号(最短持有360天)人民币理财产品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DDF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3E4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46F70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405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Z7011825000012</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C4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RJX54G00030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10B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浙银理财琮融九溪增利180天持有3号FOF策略增强理财产品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166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C7E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17A07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949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Z7011825000257</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9A2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ZYJXG00200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863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浙银理财琮融九溪增利270天持有1号双利增强理财产品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459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CF4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02E91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BC9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Z7011825000231</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54C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ZYJXG00140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F5B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浙银理财琮融九溪增利360天持有2号双利增强理财产品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B09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0FA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5FD4F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6CE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Z7011825000226</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2E2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ZYJXG00180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016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浙银理财琮融九溪增利360天持有3号全天候策略增强理财产品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CF8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F80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3C1A8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85D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Z7011825000230</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549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ZYJXG00190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183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浙银理财琮融九溪增利360天持有5号FOF策略增强理财产品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63E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A21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581EE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D7B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Z7011825000302</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057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ZYJXG00240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BFA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浙银理财琮融九溪增利360天持有6号转债多策略增强理财产品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82F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51C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7A2AF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8C8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Z7011826000186</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8FE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ZYJXG00590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905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浙银理财琮融九溪增利360天持有9号黄金策略增强理财产品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18D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A31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52500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6E0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Z7011826000295</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88B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ZYJYG00660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FE9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浙银理财琮融九曜丰收添利270天持有10号行业精选增强理财产品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3F7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D72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716CB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F36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Z7011825000026</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0DE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ZYJYG00020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0CE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浙银理财琮融九曜添利180天持有1号军工策略增强理财产品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E45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7B8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1CFD8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5C3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Z7011825000095</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DE1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ZYJYG00060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01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浙银理财琮融九曜添利180天持有2号ETF轮动策略增强理财产品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50A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CE6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33CF6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9C3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Z7011826000222</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8F1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ZYJYG00450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788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浙银理财琮融九曜添利180天持有4号行业精选增强理财产品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6CC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F7A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39251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199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Z7011826000238</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64C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ZYJYG00530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43F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浙银理财琮融九曜添利180天持有6号行业精选增强理财产品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F28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BBF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640B9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804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Z7011825000021</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F00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ZYJYG00010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9F4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浙银理财琮融九曜添利270天持有1号科创轮动策略增强理财产品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B30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644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37E30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40E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Z7011825000165</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040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ZYJYG00050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E32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浙银理财琮融九曜添利270天持有2号红利策略增强理财产品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F5C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E72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5EF64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6CB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Z7011825000013</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11B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RJY53G00030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533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浙银理财琮融九曜添利270天持有3号价值精选增强理财产品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3AD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158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0BAE8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B49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Z7011825000255</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3D7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ZYJYG00190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36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浙银理财琮融九曜添利270天持有5号ETF轮动策略增强理财产品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DDD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9CD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74671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369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Z7011825000271</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BAD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ZYJYG00210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4BD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浙银理财琮融九曜添利270天持有6号现金流优选增强理财产品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47A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335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36E44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0DA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Z7011826000299</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028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ZYJYG00680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850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浙银理财琮融九曜添利30天持有1号轮动策略增强理财产品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82B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37E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37201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8BC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Z7011825000191</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508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ZYJYG00120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257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浙银理财琮融九曜添利360天持有1号碳中和策略增强理财产品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425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5CF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6FA71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7E3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Z7011825000014</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5AF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RJY53G00020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D7F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浙银理财琮融九曜添利360天持有2号红利策略增强理财产品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A2A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DF7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6AA41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783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Z7011825000256</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67B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ZYJYG00160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2EE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浙银理财琮融九曜添利360天持有3号先进制造理财产品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A6A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DCA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79B9C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7CA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Z7011825000011</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6B9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RJY53G00040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5F2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浙银理财琮融九曜添利360天持有4号价值成长增强理财产品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420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C54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0BD24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71F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Z7011825000254</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C41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ZYJYG00180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C9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浙银理财琮融九曜添利360天持有5号科创轮动策略增强理财产品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3AB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2C9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36FAD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3B0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Z7011825000274</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35C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ZYJYG00200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F6F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浙银理财琮融九曜添利360天持有6号低碳能源增强理财产品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C8F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BE1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638B8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2D8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Z7011826000037</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3E4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ZYJYG00250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BB2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浙银理财琮融九曜添利360天持有7号轮动策略增强理财产品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0B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BA2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7BA66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956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Z7011826000298</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454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ZYJYG00690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015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浙银理财琮融九曜添利60天持有1号轮动策略增强理财产品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CC7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CBF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164A9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971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Z7011825000051</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E0D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ZYJYG00040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CD2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浙银理财琮融九曜添利90天持有1号轮动策略增强理财产品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0B8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3F8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52793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3B3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Z7011826000219</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56F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ZYJYG00440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850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浙银理财琮融九曜添利90天持有2号行业精选增强理财产品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BB1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98D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370E0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982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Z7011826000236</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2CC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ZYJYG00520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4E9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浙银理财琮融九曜添利90天持有3号行业精选增益理财产品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4FF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0A1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3F0AB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51F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Z7011825000155</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C7C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GPZ4000A</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7F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浙银理财琮融九曜昕泽稳健同享3号(最短持有360天)人民币理财产品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6C7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FEE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113A4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7C1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Z7011825000157</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E05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GPZ4005A</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0E3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浙银理财琮融九曜昕泽稳健同享5号(最短持有270天)人民币理财产品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E60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A4A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03E00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14E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Z7011825000126</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5A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GPZ3006A</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0B1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浙银理财琮融九曜昕泽稳健同享6号固收增强(最短持有180天)人民币理财产品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D4A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EAB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0D172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FDF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Z7011826000220</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3C8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ZYJYG00430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A3B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浙银理财琮融九曜增利180天持有1号行业优选策略增强理财产品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C4C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B66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4ACA2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5E0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Z7011825000050</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83A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ZYJYG00030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EA3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浙银理财琮融九曜增利270天持有1号价值精选增强理财产品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5AF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AF7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4B41A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312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Z7011825000179</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3E1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ZYJYG00090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E50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浙银理财琮融九曜增利360天持有1号均衡配置增强理财产品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AD6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138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47811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124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Z7011825000193</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B2D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ZYJYG00130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D6E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浙银理财琮融九曜增利360天持有2号行业优选策略增强理财产品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1D6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70A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6575C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A78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Z7011825000195</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EDF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ZYJYG00140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9AC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浙银理财琮融九曜增利360天持有3号灵活成长策略增强理财产品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A75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EA0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0F000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767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Z7011825000282</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E41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ZYJYG00230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520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浙银理财琮融九曜增利360天持有5号人工智能增强理财产品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6AD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70C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2A937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146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Z7011825000285</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DF4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ZYJYG00220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C8C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浙银理财琮融九曜增利360天持有6号消费优选增强理财产品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89F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1A8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47EDC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74A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Z7011826000111</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626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ZYJYG00320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99D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浙银理财琮融九曜增利360天持有8号现金流优选增强理财产品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0C7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4FC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r w14:paraId="17E18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911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Z7011825000103</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027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ZYFQG00020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808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浙银理财琮心凤起增利180天持有1号全天候策略混合类理财产品</w:t>
            </w:r>
          </w:p>
        </w:tc>
        <w:tc>
          <w:tcPr>
            <w:tcW w:w="15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6E1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最短持有期产品</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385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参见附件11</w:t>
            </w:r>
          </w:p>
        </w:tc>
      </w:tr>
    </w:tbl>
    <w:p w14:paraId="0D7976F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i w:val="0"/>
          <w:iCs w:val="0"/>
          <w:caps w:val="0"/>
          <w:color w:val="auto"/>
          <w:spacing w:val="0"/>
          <w:sz w:val="32"/>
          <w:szCs w:val="32"/>
          <w:shd w:val="clear" w:fill="FFFFFF"/>
          <w:lang w:val="en-US" w:eastAsia="zh-CN"/>
        </w:rPr>
      </w:pPr>
    </w:p>
    <w:p w14:paraId="4D2414F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本</w:t>
      </w:r>
      <w:r>
        <w:rPr>
          <w:rFonts w:hint="eastAsia" w:ascii="仿宋_GB2312" w:hAnsi="仿宋_GB2312" w:eastAsia="仿宋_GB2312" w:cs="仿宋_GB2312"/>
          <w:i w:val="0"/>
          <w:iCs w:val="0"/>
          <w:caps w:val="0"/>
          <w:color w:val="auto"/>
          <w:spacing w:val="0"/>
          <w:sz w:val="32"/>
          <w:szCs w:val="32"/>
          <w:shd w:val="clear" w:fill="FFFFFF"/>
        </w:rPr>
        <w:t>次条款调整不涉及产品投资策略变化，不会对产品的投资运作造成不利影响，具体表述调整内容以浙银理财更新后的产品说明书等销售文件为准</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highlight w:val="none"/>
          <w:shd w:val="clear" w:fill="FFFFFF"/>
          <w:lang w:val="en-US" w:eastAsia="zh-CN"/>
        </w:rPr>
        <w:t>本次产品说明书的调整</w:t>
      </w:r>
      <w:r>
        <w:rPr>
          <w:rFonts w:hint="eastAsia" w:ascii="仿宋_GB2312" w:hAnsi="仿宋_GB2312" w:eastAsia="仿宋_GB2312" w:cs="仿宋_GB2312"/>
          <w:i w:val="0"/>
          <w:iCs w:val="0"/>
          <w:caps w:val="0"/>
          <w:color w:val="auto"/>
          <w:spacing w:val="0"/>
          <w:sz w:val="32"/>
          <w:szCs w:val="32"/>
          <w:shd w:val="clear" w:fill="FFFFFF"/>
        </w:rPr>
        <w:t>自</w:t>
      </w:r>
      <w:r>
        <w:rPr>
          <w:rFonts w:hint="eastAsia" w:ascii="Times New Roman" w:hAnsi="Times New Roman" w:eastAsia="仿宋_GB2312" w:cs="仿宋_GB2312"/>
          <w:i w:val="0"/>
          <w:iCs w:val="0"/>
          <w:caps w:val="0"/>
          <w:color w:val="auto"/>
          <w:spacing w:val="0"/>
          <w:sz w:val="32"/>
          <w:szCs w:val="32"/>
          <w:shd w:val="clear" w:fill="FFFFFF"/>
          <w:lang w:val="en-US" w:eastAsia="zh-CN"/>
        </w:rPr>
        <w:t>2026</w:t>
      </w:r>
      <w:r>
        <w:rPr>
          <w:rFonts w:hint="eastAsia" w:ascii="仿宋_GB2312" w:hAnsi="仿宋_GB2312" w:eastAsia="仿宋_GB2312" w:cs="仿宋_GB2312"/>
          <w:i w:val="0"/>
          <w:iCs w:val="0"/>
          <w:caps w:val="0"/>
          <w:color w:val="auto"/>
          <w:spacing w:val="0"/>
          <w:sz w:val="32"/>
          <w:szCs w:val="32"/>
          <w:shd w:val="clear" w:fill="FFFFFF"/>
        </w:rPr>
        <w:t>年</w:t>
      </w:r>
      <w:r>
        <w:rPr>
          <w:rFonts w:hint="eastAsia" w:ascii="Times New Roman" w:hAnsi="Times New Roman" w:eastAsia="仿宋_GB2312" w:cs="仿宋_GB2312"/>
          <w:i w:val="0"/>
          <w:iCs w:val="0"/>
          <w:caps w:val="0"/>
          <w:color w:val="auto"/>
          <w:spacing w:val="0"/>
          <w:sz w:val="32"/>
          <w:szCs w:val="32"/>
          <w:shd w:val="clear" w:fill="FFFFFF"/>
          <w:lang w:val="en-US" w:eastAsia="zh-CN"/>
        </w:rPr>
        <w:t>9</w:t>
      </w:r>
      <w:r>
        <w:rPr>
          <w:rFonts w:hint="eastAsia" w:ascii="仿宋_GB2312" w:hAnsi="仿宋_GB2312" w:eastAsia="仿宋_GB2312" w:cs="仿宋_GB2312"/>
          <w:i w:val="0"/>
          <w:iCs w:val="0"/>
          <w:caps w:val="0"/>
          <w:color w:val="auto"/>
          <w:spacing w:val="0"/>
          <w:sz w:val="32"/>
          <w:szCs w:val="32"/>
          <w:shd w:val="clear" w:fill="FFFFFF"/>
        </w:rPr>
        <w:t>月</w:t>
      </w:r>
      <w:r>
        <w:rPr>
          <w:rFonts w:hint="eastAsia" w:ascii="Times New Roman" w:hAnsi="Times New Roman" w:eastAsia="仿宋_GB2312" w:cs="仿宋_GB2312"/>
          <w:i w:val="0"/>
          <w:iCs w:val="0"/>
          <w:caps w:val="0"/>
          <w:color w:val="auto"/>
          <w:spacing w:val="0"/>
          <w:sz w:val="32"/>
          <w:szCs w:val="32"/>
          <w:shd w:val="clear" w:fill="FFFFFF"/>
          <w:lang w:val="en-US" w:eastAsia="zh-CN"/>
        </w:rPr>
        <w:t>1</w:t>
      </w:r>
      <w:r>
        <w:rPr>
          <w:rFonts w:hint="eastAsia" w:ascii="仿宋_GB2312" w:hAnsi="仿宋_GB2312" w:eastAsia="仿宋_GB2312" w:cs="仿宋_GB2312"/>
          <w:i w:val="0"/>
          <w:iCs w:val="0"/>
          <w:caps w:val="0"/>
          <w:color w:val="auto"/>
          <w:spacing w:val="0"/>
          <w:sz w:val="32"/>
          <w:szCs w:val="32"/>
          <w:shd w:val="clear" w:fill="FFFFFF"/>
        </w:rPr>
        <w:t>日（含）起</w:t>
      </w:r>
      <w:r>
        <w:rPr>
          <w:rFonts w:hint="eastAsia" w:ascii="仿宋_GB2312" w:hAnsi="仿宋_GB2312" w:eastAsia="仿宋_GB2312" w:cs="仿宋_GB2312"/>
          <w:i w:val="0"/>
          <w:iCs w:val="0"/>
          <w:caps w:val="0"/>
          <w:color w:val="auto"/>
          <w:spacing w:val="0"/>
          <w:sz w:val="32"/>
          <w:szCs w:val="32"/>
          <w:highlight w:val="none"/>
          <w:shd w:val="clear" w:fill="FFFFFF"/>
        </w:rPr>
        <w:t>生效</w:t>
      </w:r>
      <w:r>
        <w:rPr>
          <w:rFonts w:hint="eastAsia" w:ascii="仿宋_GB2312" w:hAnsi="仿宋_GB2312" w:eastAsia="仿宋_GB2312" w:cs="仿宋_GB2312"/>
          <w:i w:val="0"/>
          <w:iCs w:val="0"/>
          <w:caps w:val="0"/>
          <w:color w:val="auto"/>
          <w:spacing w:val="0"/>
          <w:sz w:val="32"/>
          <w:szCs w:val="32"/>
          <w:highlight w:val="none"/>
          <w:shd w:val="clear" w:fill="FFFFFF"/>
          <w:lang w:eastAsia="zh-CN"/>
        </w:rPr>
        <w:t>，</w:t>
      </w:r>
      <w:r>
        <w:rPr>
          <w:rFonts w:hint="eastAsia" w:ascii="仿宋_GB2312" w:hAnsi="仿宋_GB2312" w:eastAsia="仿宋_GB2312" w:cs="仿宋_GB2312"/>
          <w:i w:val="0"/>
          <w:iCs w:val="0"/>
          <w:caps w:val="0"/>
          <w:color w:val="auto"/>
          <w:spacing w:val="0"/>
          <w:sz w:val="32"/>
          <w:szCs w:val="32"/>
          <w:highlight w:val="none"/>
          <w:shd w:val="clear" w:fill="FFFFFF"/>
        </w:rPr>
        <w:t>如后续有其</w:t>
      </w:r>
      <w:r>
        <w:rPr>
          <w:rFonts w:hint="eastAsia" w:ascii="仿宋_GB2312" w:hAnsi="仿宋_GB2312" w:eastAsia="仿宋_GB2312" w:cs="仿宋_GB2312"/>
          <w:i w:val="0"/>
          <w:iCs w:val="0"/>
          <w:caps w:val="0"/>
          <w:color w:val="auto"/>
          <w:spacing w:val="0"/>
          <w:sz w:val="32"/>
          <w:szCs w:val="32"/>
          <w:shd w:val="clear" w:fill="FFFFFF"/>
        </w:rPr>
        <w:t>它调整事项，以产品管理人公告为准。</w:t>
      </w:r>
    </w:p>
    <w:p w14:paraId="3E6DC0D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lang w:val="en-US" w:eastAsia="zh-CN"/>
        </w:rPr>
        <w:t>每只理财产品的产品说明书</w:t>
      </w:r>
      <w:r>
        <w:rPr>
          <w:rFonts w:hint="eastAsia" w:ascii="仿宋_GB2312" w:hAnsi="仿宋_GB2312" w:eastAsia="仿宋_GB2312" w:cs="仿宋_GB2312"/>
          <w:i w:val="0"/>
          <w:iCs w:val="0"/>
          <w:caps w:val="0"/>
          <w:color w:val="auto"/>
          <w:spacing w:val="0"/>
          <w:sz w:val="32"/>
          <w:szCs w:val="32"/>
          <w:shd w:val="clear" w:fill="FFFFFF"/>
        </w:rPr>
        <w:t>详情请见更新后的理财产品销售文件，您可通过约定的信息披露渠道查询最新销售文件。</w:t>
      </w:r>
    </w:p>
    <w:p w14:paraId="0F23C8C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感谢您一直以来对浙银理财的信赖与支持！浙银理财将继续为您提供更优质的理财服务。</w:t>
      </w:r>
    </w:p>
    <w:p w14:paraId="1D7B692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特此公告。</w:t>
      </w:r>
    </w:p>
    <w:p w14:paraId="3CAC29E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i w:val="0"/>
          <w:iCs w:val="0"/>
          <w:caps w:val="0"/>
          <w:color w:val="auto"/>
          <w:spacing w:val="0"/>
          <w:sz w:val="32"/>
          <w:szCs w:val="32"/>
          <w:shd w:val="clear" w:fill="FFFFFF"/>
        </w:rPr>
      </w:pPr>
    </w:p>
    <w:p w14:paraId="0C5DA23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right"/>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仿宋_GB2312" w:hAnsi="仿宋_GB2312" w:eastAsia="仿宋_GB2312" w:cs="仿宋_GB2312"/>
          <w:i w:val="0"/>
          <w:iCs w:val="0"/>
          <w:caps w:val="0"/>
          <w:color w:val="auto"/>
          <w:spacing w:val="0"/>
          <w:sz w:val="32"/>
          <w:szCs w:val="32"/>
          <w:shd w:val="clear" w:fill="FFFFFF"/>
        </w:rPr>
        <w:t>浙银理财有限责任公司</w:t>
      </w:r>
    </w:p>
    <w:p w14:paraId="3170D9A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right"/>
        <w:textAlignment w:val="auto"/>
        <w:rPr>
          <w:rFonts w:hint="eastAsia" w:ascii="仿宋_GB2312" w:hAnsi="仿宋_GB2312" w:eastAsia="仿宋_GB2312" w:cs="仿宋_GB2312"/>
          <w:i w:val="0"/>
          <w:iCs w:val="0"/>
          <w:caps w:val="0"/>
          <w:color w:val="auto"/>
          <w:spacing w:val="0"/>
          <w:sz w:val="32"/>
          <w:szCs w:val="32"/>
          <w:shd w:val="clear" w:fill="FFFFFF"/>
        </w:rPr>
      </w:pPr>
      <w:r>
        <w:rPr>
          <w:rFonts w:hint="eastAsia" w:ascii="Times New Roman" w:hAnsi="Times New Roman" w:eastAsia="仿宋_GB2312" w:cs="仿宋_GB2312"/>
          <w:i w:val="0"/>
          <w:iCs w:val="0"/>
          <w:caps w:val="0"/>
          <w:color w:val="auto"/>
          <w:spacing w:val="0"/>
          <w:sz w:val="32"/>
          <w:szCs w:val="32"/>
          <w:shd w:val="clear" w:fill="FFFFFF"/>
          <w:lang w:val="en-US" w:eastAsia="zh-CN"/>
        </w:rPr>
        <w:t xml:space="preserve">   2026</w:t>
      </w:r>
      <w:r>
        <w:rPr>
          <w:rFonts w:hint="eastAsia" w:ascii="仿宋_GB2312" w:hAnsi="仿宋_GB2312" w:eastAsia="仿宋_GB2312" w:cs="仿宋_GB2312"/>
          <w:i w:val="0"/>
          <w:iCs w:val="0"/>
          <w:caps w:val="0"/>
          <w:color w:val="auto"/>
          <w:spacing w:val="0"/>
          <w:sz w:val="32"/>
          <w:szCs w:val="32"/>
          <w:shd w:val="clear" w:fill="FFFFFF"/>
        </w:rPr>
        <w:t>年</w:t>
      </w:r>
      <w:r>
        <w:rPr>
          <w:rFonts w:hint="eastAsia" w:ascii="仿宋_GB2312" w:hAnsi="仿宋_GB2312" w:eastAsia="仿宋_GB2312" w:cs="仿宋_GB2312"/>
          <w:i w:val="0"/>
          <w:iCs w:val="0"/>
          <w:caps w:val="0"/>
          <w:color w:val="auto"/>
          <w:spacing w:val="0"/>
          <w:sz w:val="32"/>
          <w:szCs w:val="32"/>
          <w:shd w:val="clear" w:fill="FFFFFF"/>
          <w:lang w:val="en-US" w:eastAsia="zh-CN"/>
        </w:rPr>
        <w:t>8</w:t>
      </w:r>
      <w:r>
        <w:rPr>
          <w:rFonts w:hint="eastAsia" w:ascii="仿宋_GB2312" w:hAnsi="仿宋_GB2312" w:eastAsia="仿宋_GB2312" w:cs="仿宋_GB2312"/>
          <w:i w:val="0"/>
          <w:iCs w:val="0"/>
          <w:caps w:val="0"/>
          <w:color w:val="auto"/>
          <w:spacing w:val="0"/>
          <w:sz w:val="32"/>
          <w:szCs w:val="32"/>
          <w:shd w:val="clear" w:fill="FFFFFF"/>
        </w:rPr>
        <w:t>月</w:t>
      </w:r>
      <w:r>
        <w:rPr>
          <w:rFonts w:hint="eastAsia" w:ascii="Times New Roman" w:hAnsi="Times New Roman" w:eastAsia="仿宋_GB2312" w:cs="仿宋_GB2312"/>
          <w:i w:val="0"/>
          <w:iCs w:val="0"/>
          <w:caps w:val="0"/>
          <w:color w:val="auto"/>
          <w:spacing w:val="0"/>
          <w:sz w:val="32"/>
          <w:szCs w:val="32"/>
          <w:shd w:val="clear" w:fill="FFFFFF"/>
          <w:lang w:val="en-US" w:eastAsia="zh-CN"/>
        </w:rPr>
        <w:t>27</w:t>
      </w:r>
      <w:r>
        <w:rPr>
          <w:rFonts w:hint="eastAsia" w:ascii="仿宋_GB2312" w:hAnsi="仿宋_GB2312" w:eastAsia="仿宋_GB2312" w:cs="仿宋_GB2312"/>
          <w:i w:val="0"/>
          <w:iCs w:val="0"/>
          <w:caps w:val="0"/>
          <w:color w:val="auto"/>
          <w:spacing w:val="0"/>
          <w:sz w:val="32"/>
          <w:szCs w:val="32"/>
          <w:shd w:val="clear" w:fill="FFFFFF"/>
        </w:rPr>
        <w:t>日</w:t>
      </w:r>
    </w:p>
    <w:p w14:paraId="1C5F456D">
      <w:pPr>
        <w:ind w:firstLine="640" w:firstLineChars="200"/>
        <w:jc w:val="right"/>
        <w:rPr>
          <w:rFonts w:hint="eastAsia" w:ascii="仿宋_GB2312" w:hAnsi="仿宋_GB2312" w:eastAsia="仿宋_GB2312" w:cs="仿宋_GB2312"/>
          <w:i w:val="0"/>
          <w:iCs w:val="0"/>
          <w:caps w:val="0"/>
          <w:color w:val="auto"/>
          <w:spacing w:val="0"/>
          <w:sz w:val="32"/>
          <w:szCs w:val="32"/>
          <w:shd w:val="clear" w:fill="FFFFFF"/>
        </w:rPr>
      </w:pPr>
    </w:p>
    <w:p w14:paraId="32FA6F93">
      <w:pPr>
        <w:ind w:firstLine="640" w:firstLineChars="200"/>
        <w:jc w:val="right"/>
        <w:rPr>
          <w:rFonts w:hint="eastAsia" w:ascii="仿宋_GB2312" w:hAnsi="仿宋_GB2312" w:eastAsia="仿宋_GB2312" w:cs="仿宋_GB2312"/>
          <w:i w:val="0"/>
          <w:iCs w:val="0"/>
          <w:caps w:val="0"/>
          <w:color w:val="auto"/>
          <w:spacing w:val="0"/>
          <w:sz w:val="32"/>
          <w:szCs w:val="32"/>
          <w:shd w:val="clear" w:fill="FFFFFF"/>
        </w:rPr>
      </w:pPr>
    </w:p>
    <w:p w14:paraId="66B46FF6">
      <w:pPr>
        <w:ind w:firstLine="640" w:firstLineChars="200"/>
        <w:jc w:val="right"/>
        <w:rPr>
          <w:rFonts w:hint="eastAsia" w:ascii="仿宋_GB2312" w:hAnsi="仿宋_GB2312" w:eastAsia="仿宋_GB2312" w:cs="仿宋_GB2312"/>
          <w:i w:val="0"/>
          <w:iCs w:val="0"/>
          <w:caps w:val="0"/>
          <w:color w:val="auto"/>
          <w:spacing w:val="0"/>
          <w:sz w:val="32"/>
          <w:szCs w:val="32"/>
          <w:shd w:val="clear" w:fill="FFFFFF"/>
        </w:rPr>
      </w:pPr>
    </w:p>
    <w:p w14:paraId="23DA2354">
      <w:pPr>
        <w:ind w:firstLine="640" w:firstLineChars="200"/>
        <w:jc w:val="right"/>
        <w:rPr>
          <w:rFonts w:hint="eastAsia" w:ascii="仿宋_GB2312" w:hAnsi="仿宋_GB2312" w:eastAsia="仿宋_GB2312" w:cs="仿宋_GB2312"/>
          <w:i w:val="0"/>
          <w:iCs w:val="0"/>
          <w:caps w:val="0"/>
          <w:color w:val="auto"/>
          <w:spacing w:val="0"/>
          <w:sz w:val="32"/>
          <w:szCs w:val="32"/>
          <w:shd w:val="clear" w:fill="FFFFFF"/>
        </w:rPr>
      </w:pPr>
    </w:p>
    <w:p w14:paraId="43C92CAE">
      <w:pPr>
        <w:ind w:firstLine="640" w:firstLineChars="200"/>
        <w:jc w:val="right"/>
        <w:rPr>
          <w:rFonts w:hint="eastAsia" w:ascii="仿宋_GB2312" w:hAnsi="仿宋_GB2312" w:eastAsia="仿宋_GB2312" w:cs="仿宋_GB2312"/>
          <w:i w:val="0"/>
          <w:iCs w:val="0"/>
          <w:caps w:val="0"/>
          <w:color w:val="auto"/>
          <w:spacing w:val="0"/>
          <w:sz w:val="32"/>
          <w:szCs w:val="32"/>
          <w:shd w:val="clear" w:fill="FFFFFF"/>
        </w:rPr>
      </w:pPr>
    </w:p>
    <w:p w14:paraId="792828D6">
      <w:pPr>
        <w:ind w:firstLine="640" w:firstLineChars="200"/>
        <w:jc w:val="right"/>
        <w:rPr>
          <w:rFonts w:hint="eastAsia" w:ascii="仿宋_GB2312" w:hAnsi="仿宋_GB2312" w:eastAsia="仿宋_GB2312" w:cs="仿宋_GB2312"/>
          <w:i w:val="0"/>
          <w:iCs w:val="0"/>
          <w:caps w:val="0"/>
          <w:color w:val="auto"/>
          <w:spacing w:val="0"/>
          <w:sz w:val="32"/>
          <w:szCs w:val="32"/>
          <w:shd w:val="clear" w:fill="FFFFFF"/>
        </w:rPr>
      </w:pPr>
    </w:p>
    <w:p w14:paraId="0E8E2834">
      <w:pPr>
        <w:ind w:firstLine="640" w:firstLineChars="200"/>
        <w:jc w:val="right"/>
        <w:rPr>
          <w:rFonts w:hint="eastAsia" w:ascii="仿宋_GB2312" w:hAnsi="仿宋_GB2312" w:eastAsia="仿宋_GB2312" w:cs="仿宋_GB2312"/>
          <w:i w:val="0"/>
          <w:iCs w:val="0"/>
          <w:caps w:val="0"/>
          <w:color w:val="auto"/>
          <w:spacing w:val="0"/>
          <w:sz w:val="32"/>
          <w:szCs w:val="32"/>
          <w:shd w:val="clear" w:fill="FFFFFF"/>
        </w:rPr>
      </w:pPr>
    </w:p>
    <w:p w14:paraId="304E0209">
      <w:pPr>
        <w:ind w:firstLine="640" w:firstLineChars="200"/>
        <w:jc w:val="right"/>
        <w:rPr>
          <w:rFonts w:hint="eastAsia" w:ascii="仿宋_GB2312" w:hAnsi="仿宋_GB2312" w:eastAsia="仿宋_GB2312" w:cs="仿宋_GB2312"/>
          <w:i w:val="0"/>
          <w:iCs w:val="0"/>
          <w:caps w:val="0"/>
          <w:color w:val="auto"/>
          <w:spacing w:val="0"/>
          <w:sz w:val="32"/>
          <w:szCs w:val="32"/>
          <w:shd w:val="clear" w:fill="FFFFFF"/>
        </w:rPr>
      </w:pPr>
    </w:p>
    <w:p w14:paraId="09CB9CDA">
      <w:pPr>
        <w:ind w:firstLine="640" w:firstLineChars="200"/>
        <w:jc w:val="right"/>
        <w:rPr>
          <w:rFonts w:hint="eastAsia" w:ascii="仿宋_GB2312" w:hAnsi="仿宋_GB2312" w:eastAsia="仿宋_GB2312" w:cs="仿宋_GB2312"/>
          <w:i w:val="0"/>
          <w:iCs w:val="0"/>
          <w:caps w:val="0"/>
          <w:color w:val="auto"/>
          <w:spacing w:val="0"/>
          <w:sz w:val="32"/>
          <w:szCs w:val="32"/>
          <w:shd w:val="clear" w:fill="FFFFFF"/>
        </w:rPr>
      </w:pPr>
    </w:p>
    <w:p w14:paraId="4A6876EF">
      <w:pPr>
        <w:ind w:firstLine="640" w:firstLineChars="200"/>
        <w:jc w:val="right"/>
        <w:rPr>
          <w:rFonts w:hint="eastAsia" w:ascii="仿宋_GB2312" w:hAnsi="仿宋_GB2312" w:eastAsia="仿宋_GB2312" w:cs="仿宋_GB2312"/>
          <w:i w:val="0"/>
          <w:iCs w:val="0"/>
          <w:caps w:val="0"/>
          <w:color w:val="auto"/>
          <w:spacing w:val="0"/>
          <w:sz w:val="32"/>
          <w:szCs w:val="32"/>
          <w:shd w:val="clear" w:fill="FFFFFF"/>
        </w:rPr>
      </w:pPr>
    </w:p>
    <w:p w14:paraId="2CB9EB80">
      <w:pPr>
        <w:ind w:firstLine="640" w:firstLineChars="200"/>
        <w:jc w:val="right"/>
        <w:rPr>
          <w:rFonts w:hint="eastAsia" w:ascii="仿宋_GB2312" w:hAnsi="仿宋_GB2312" w:eastAsia="仿宋_GB2312" w:cs="仿宋_GB2312"/>
          <w:i w:val="0"/>
          <w:iCs w:val="0"/>
          <w:caps w:val="0"/>
          <w:color w:val="auto"/>
          <w:spacing w:val="0"/>
          <w:sz w:val="32"/>
          <w:szCs w:val="32"/>
          <w:shd w:val="clear" w:fill="FFFFFF"/>
        </w:rPr>
      </w:pPr>
    </w:p>
    <w:p w14:paraId="15F8045F">
      <w:pPr>
        <w:ind w:firstLine="640" w:firstLineChars="200"/>
        <w:jc w:val="right"/>
        <w:rPr>
          <w:rFonts w:hint="eastAsia" w:ascii="仿宋_GB2312" w:hAnsi="仿宋_GB2312" w:eastAsia="仿宋_GB2312" w:cs="仿宋_GB2312"/>
          <w:i w:val="0"/>
          <w:iCs w:val="0"/>
          <w:caps w:val="0"/>
          <w:color w:val="auto"/>
          <w:spacing w:val="0"/>
          <w:sz w:val="32"/>
          <w:szCs w:val="32"/>
          <w:shd w:val="clear" w:fill="FFFFFF"/>
        </w:rPr>
      </w:pPr>
    </w:p>
    <w:p w14:paraId="20F2A145">
      <w:pPr>
        <w:ind w:firstLine="640" w:firstLineChars="200"/>
        <w:jc w:val="right"/>
        <w:rPr>
          <w:rFonts w:hint="eastAsia" w:ascii="仿宋_GB2312" w:hAnsi="仿宋_GB2312" w:eastAsia="仿宋_GB2312" w:cs="仿宋_GB2312"/>
          <w:i w:val="0"/>
          <w:iCs w:val="0"/>
          <w:caps w:val="0"/>
          <w:color w:val="auto"/>
          <w:spacing w:val="0"/>
          <w:sz w:val="32"/>
          <w:szCs w:val="32"/>
          <w:shd w:val="clear" w:fill="FFFFFF"/>
        </w:rPr>
      </w:pPr>
    </w:p>
    <w:p w14:paraId="1EB80987">
      <w:pPr>
        <w:ind w:firstLine="640" w:firstLineChars="200"/>
        <w:jc w:val="right"/>
        <w:rPr>
          <w:rFonts w:hint="eastAsia" w:ascii="仿宋_GB2312" w:hAnsi="仿宋_GB2312" w:eastAsia="仿宋_GB2312" w:cs="仿宋_GB2312"/>
          <w:i w:val="0"/>
          <w:iCs w:val="0"/>
          <w:caps w:val="0"/>
          <w:color w:val="auto"/>
          <w:spacing w:val="0"/>
          <w:sz w:val="32"/>
          <w:szCs w:val="32"/>
          <w:shd w:val="clear" w:fill="FFFFFF"/>
        </w:rPr>
      </w:pPr>
    </w:p>
    <w:p w14:paraId="252407F8">
      <w:pPr>
        <w:ind w:firstLine="640" w:firstLineChars="200"/>
        <w:jc w:val="right"/>
        <w:rPr>
          <w:rFonts w:hint="eastAsia" w:ascii="仿宋_GB2312" w:hAnsi="仿宋_GB2312" w:eastAsia="仿宋_GB2312" w:cs="仿宋_GB2312"/>
          <w:i w:val="0"/>
          <w:iCs w:val="0"/>
          <w:caps w:val="0"/>
          <w:color w:val="auto"/>
          <w:spacing w:val="0"/>
          <w:sz w:val="32"/>
          <w:szCs w:val="32"/>
          <w:shd w:val="clear" w:fill="FFFFFF"/>
        </w:rPr>
      </w:pPr>
    </w:p>
    <w:p w14:paraId="73A42F70">
      <w:pPr>
        <w:ind w:firstLine="640" w:firstLineChars="200"/>
        <w:jc w:val="right"/>
        <w:rPr>
          <w:rFonts w:hint="eastAsia" w:ascii="仿宋_GB2312" w:hAnsi="仿宋_GB2312" w:eastAsia="仿宋_GB2312" w:cs="仿宋_GB2312"/>
          <w:i w:val="0"/>
          <w:iCs w:val="0"/>
          <w:caps w:val="0"/>
          <w:color w:val="auto"/>
          <w:spacing w:val="0"/>
          <w:sz w:val="32"/>
          <w:szCs w:val="32"/>
          <w:shd w:val="clear" w:fill="FFFFFF"/>
        </w:rPr>
      </w:pPr>
    </w:p>
    <w:p w14:paraId="7D3640E9">
      <w:pPr>
        <w:ind w:firstLine="640" w:firstLineChars="200"/>
        <w:jc w:val="right"/>
        <w:rPr>
          <w:rFonts w:hint="eastAsia" w:ascii="仿宋_GB2312" w:hAnsi="仿宋_GB2312" w:eastAsia="仿宋_GB2312" w:cs="仿宋_GB2312"/>
          <w:i w:val="0"/>
          <w:iCs w:val="0"/>
          <w:caps w:val="0"/>
          <w:color w:val="auto"/>
          <w:spacing w:val="0"/>
          <w:sz w:val="32"/>
          <w:szCs w:val="32"/>
          <w:shd w:val="clear" w:fill="FFFFFF"/>
          <w:lang w:val="en-US" w:eastAsia="zh-CN"/>
        </w:rPr>
      </w:pPr>
    </w:p>
    <w:p w14:paraId="2991ABB0">
      <w:pPr>
        <w:jc w:val="left"/>
        <w:rPr>
          <w:rFonts w:hint="eastAsia"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t>附件1：</w:t>
      </w:r>
    </w:p>
    <w:p w14:paraId="0C74779E">
      <w:pPr>
        <w:spacing w:before="156" w:beforeLines="50"/>
        <w:jc w:val="center"/>
        <w:rPr>
          <w:rFonts w:ascii="方正小标宋简体" w:eastAsia="方正小标宋简体"/>
          <w:color w:val="auto"/>
          <w:sz w:val="36"/>
          <w:szCs w:val="36"/>
          <w:highlight w:val="none"/>
        </w:rPr>
      </w:pPr>
      <w:r>
        <w:rPr>
          <w:rFonts w:hint="eastAsia" w:ascii="方正小标宋简体" w:eastAsia="方正小标宋简体"/>
          <w:color w:val="auto"/>
          <w:sz w:val="36"/>
          <w:szCs w:val="36"/>
          <w:highlight w:val="none"/>
        </w:rPr>
        <w:t>浙银理财</w:t>
      </w:r>
      <w:r>
        <w:rPr>
          <w:rFonts w:hint="eastAsia" w:ascii="方正小标宋简体" w:eastAsia="方正小标宋简体"/>
          <w:color w:val="auto"/>
          <w:sz w:val="36"/>
          <w:szCs w:val="36"/>
          <w:highlight w:val="yellow"/>
          <w:lang w:eastAsia="zh-CN"/>
        </w:rPr>
        <w:t>【】</w:t>
      </w:r>
      <w:r>
        <w:rPr>
          <w:rFonts w:hint="eastAsia" w:ascii="方正小标宋简体" w:eastAsia="方正小标宋简体"/>
          <w:color w:val="auto"/>
          <w:sz w:val="36"/>
          <w:szCs w:val="36"/>
          <w:highlight w:val="none"/>
        </w:rPr>
        <w:t>理财产品</w:t>
      </w:r>
    </w:p>
    <w:p w14:paraId="0154BF54">
      <w:pPr>
        <w:spacing w:before="156" w:beforeLines="50"/>
        <w:jc w:val="center"/>
        <w:rPr>
          <w:rFonts w:ascii="方正小标宋简体" w:eastAsia="方正小标宋简体"/>
          <w:color w:val="auto"/>
          <w:sz w:val="36"/>
          <w:szCs w:val="36"/>
          <w:highlight w:val="none"/>
        </w:rPr>
      </w:pPr>
      <w:r>
        <w:rPr>
          <w:rFonts w:hint="eastAsia" w:ascii="方正小标宋简体" w:eastAsia="方正小标宋简体"/>
          <w:color w:val="auto"/>
          <w:sz w:val="36"/>
          <w:szCs w:val="36"/>
          <w:highlight w:val="none"/>
        </w:rPr>
        <w:t>风险揭示书</w:t>
      </w:r>
      <w:r>
        <w:rPr>
          <w:rFonts w:hint="eastAsia" w:ascii="方正小标宋简体" w:eastAsia="方正小标宋简体"/>
          <w:color w:val="auto"/>
          <w:sz w:val="28"/>
          <w:szCs w:val="36"/>
          <w:highlight w:val="none"/>
        </w:rPr>
        <w:t>（202</w:t>
      </w:r>
      <w:r>
        <w:rPr>
          <w:rFonts w:hint="eastAsia" w:ascii="方正小标宋简体" w:eastAsia="方正小标宋简体"/>
          <w:color w:val="auto"/>
          <w:sz w:val="28"/>
          <w:szCs w:val="36"/>
          <w:highlight w:val="none"/>
          <w:lang w:val="en-US" w:eastAsia="zh-CN"/>
        </w:rPr>
        <w:t>608</w:t>
      </w:r>
      <w:r>
        <w:rPr>
          <w:rFonts w:hint="eastAsia" w:ascii="方正小标宋简体" w:eastAsia="方正小标宋简体"/>
          <w:color w:val="auto"/>
          <w:sz w:val="28"/>
          <w:szCs w:val="36"/>
          <w:highlight w:val="none"/>
        </w:rPr>
        <w:t>版</w:t>
      </w:r>
      <w:r>
        <w:rPr>
          <w:rFonts w:ascii="方正小标宋简体" w:eastAsia="方正小标宋简体"/>
          <w:color w:val="auto"/>
          <w:sz w:val="28"/>
          <w:szCs w:val="36"/>
          <w:highlight w:val="none"/>
        </w:rPr>
        <w:t>）</w:t>
      </w:r>
    </w:p>
    <w:p w14:paraId="7070E300">
      <w:pPr>
        <w:spacing w:after="312" w:afterLines="100"/>
        <w:jc w:val="center"/>
        <w:rPr>
          <w:rFonts w:ascii="方正小标宋简体" w:hAnsi="宋体" w:eastAsia="方正小标宋简体"/>
          <w:color w:val="auto"/>
          <w:sz w:val="40"/>
          <w:szCs w:val="44"/>
          <w:highlight w:val="none"/>
        </w:rPr>
      </w:pPr>
      <w:r>
        <w:rPr>
          <w:rFonts w:hint="eastAsia" w:ascii="方正小标宋简体" w:hAnsi="宋体" w:eastAsia="方正小标宋简体"/>
          <w:color w:val="auto"/>
          <w:sz w:val="28"/>
          <w:szCs w:val="30"/>
          <w:highlight w:val="none"/>
        </w:rPr>
        <w:t>理财非存款、产品有风险、投资须谨慎</w:t>
      </w:r>
    </w:p>
    <w:p w14:paraId="04E63BD7">
      <w:pPr>
        <w:jc w:val="left"/>
        <w:rPr>
          <w:rFonts w:ascii="仿宋_GB2312" w:eastAsia="仿宋_GB2312"/>
          <w:color w:val="auto"/>
          <w:sz w:val="24"/>
          <w:szCs w:val="24"/>
          <w:highlight w:val="none"/>
        </w:rPr>
      </w:pPr>
      <w:r>
        <w:rPr>
          <w:rFonts w:hint="eastAsia" w:ascii="仿宋_GB2312" w:eastAsia="仿宋_GB2312"/>
          <w:color w:val="auto"/>
          <w:sz w:val="24"/>
          <w:szCs w:val="24"/>
          <w:highlight w:val="none"/>
        </w:rPr>
        <w:t>尊敬的投资者：</w:t>
      </w:r>
    </w:p>
    <w:p w14:paraId="32F9BB5F">
      <w:pPr>
        <w:ind w:firstLine="480" w:firstLineChars="200"/>
        <w:rPr>
          <w:rFonts w:ascii="仿宋_GB2312" w:eastAsia="仿宋_GB2312"/>
          <w:b/>
          <w:color w:val="auto"/>
          <w:sz w:val="24"/>
          <w:szCs w:val="24"/>
          <w:highlight w:val="none"/>
        </w:rPr>
      </w:pPr>
      <w:r>
        <w:rPr>
          <w:rFonts w:hint="eastAsia" w:ascii="仿宋_GB2312" w:eastAsia="仿宋_GB2312"/>
          <w:color w:val="auto"/>
          <w:sz w:val="24"/>
          <w:szCs w:val="24"/>
          <w:highlight w:val="none"/>
        </w:rPr>
        <w:t>由于本理财产品在投资运作管理中可能面临各种风险因素，根据监管部门要求和投资者权益保护需要，</w:t>
      </w:r>
      <w:r>
        <w:rPr>
          <w:rFonts w:hint="eastAsia" w:ascii="仿宋_GB2312" w:eastAsia="仿宋_GB2312"/>
          <w:b/>
          <w:color w:val="auto"/>
          <w:sz w:val="24"/>
          <w:szCs w:val="24"/>
          <w:highlight w:val="none"/>
        </w:rPr>
        <w:t>浙银理财有限责任公司（以下简称“浙银</w:t>
      </w:r>
      <w:r>
        <w:rPr>
          <w:rFonts w:ascii="仿宋_GB2312" w:eastAsia="仿宋_GB2312"/>
          <w:b/>
          <w:color w:val="auto"/>
          <w:sz w:val="24"/>
          <w:szCs w:val="24"/>
          <w:highlight w:val="none"/>
        </w:rPr>
        <w:t>理财</w:t>
      </w:r>
      <w:r>
        <w:rPr>
          <w:rFonts w:hint="eastAsia" w:ascii="仿宋_GB2312" w:eastAsia="仿宋_GB2312"/>
          <w:b/>
          <w:color w:val="auto"/>
          <w:sz w:val="24"/>
          <w:szCs w:val="24"/>
          <w:highlight w:val="none"/>
        </w:rPr>
        <w:t>”）作为本理财产品的产品管理人郑重提示您：您在选择投资本理财产品前,请务必仔细阅读本理财产品完整销售文件 (包括本</w:t>
      </w:r>
      <w:r>
        <w:rPr>
          <w:rFonts w:ascii="仿宋_GB2312" w:eastAsia="仿宋_GB2312"/>
          <w:b/>
          <w:color w:val="auto"/>
          <w:sz w:val="24"/>
          <w:szCs w:val="24"/>
          <w:highlight w:val="none"/>
        </w:rPr>
        <w:t>《</w:t>
      </w:r>
      <w:r>
        <w:rPr>
          <w:rFonts w:hint="eastAsia" w:ascii="仿宋_GB2312" w:eastAsia="仿宋_GB2312"/>
          <w:b/>
          <w:color w:val="auto"/>
          <w:sz w:val="24"/>
          <w:szCs w:val="24"/>
          <w:highlight w:val="none"/>
        </w:rPr>
        <w:t>风险揭示书</w:t>
      </w:r>
      <w:r>
        <w:rPr>
          <w:rFonts w:ascii="仿宋_GB2312" w:eastAsia="仿宋_GB2312"/>
          <w:b/>
          <w:color w:val="auto"/>
          <w:sz w:val="24"/>
          <w:szCs w:val="24"/>
          <w:highlight w:val="none"/>
        </w:rPr>
        <w:t>》</w:t>
      </w:r>
      <w:r>
        <w:rPr>
          <w:rFonts w:hint="eastAsia" w:ascii="仿宋_GB2312" w:eastAsia="仿宋_GB2312"/>
          <w:b/>
          <w:color w:val="auto"/>
          <w:sz w:val="24"/>
          <w:szCs w:val="24"/>
          <w:highlight w:val="none"/>
        </w:rPr>
        <w:t>《产品说明书》《投资</w:t>
      </w:r>
      <w:r>
        <w:rPr>
          <w:rFonts w:ascii="仿宋_GB2312" w:eastAsia="仿宋_GB2312"/>
          <w:b/>
          <w:color w:val="auto"/>
          <w:sz w:val="24"/>
          <w:szCs w:val="24"/>
          <w:highlight w:val="none"/>
        </w:rPr>
        <w:t>协议书</w:t>
      </w:r>
      <w:r>
        <w:rPr>
          <w:rFonts w:hint="eastAsia" w:ascii="仿宋_GB2312" w:eastAsia="仿宋_GB2312"/>
          <w:b/>
          <w:color w:val="auto"/>
          <w:sz w:val="24"/>
          <w:szCs w:val="24"/>
          <w:highlight w:val="none"/>
        </w:rPr>
        <w:t>》《投资者权益须知》《</w:t>
      </w:r>
      <w:r>
        <w:rPr>
          <w:rFonts w:ascii="仿宋_GB2312" w:eastAsia="仿宋_GB2312"/>
          <w:b/>
          <w:color w:val="auto"/>
          <w:sz w:val="24"/>
          <w:szCs w:val="24"/>
          <w:highlight w:val="none"/>
        </w:rPr>
        <w:t>（代理）销售协议书</w:t>
      </w:r>
      <w:r>
        <w:rPr>
          <w:rFonts w:hint="eastAsia" w:ascii="仿宋_GB2312" w:eastAsia="仿宋_GB2312"/>
          <w:b/>
          <w:color w:val="auto"/>
          <w:sz w:val="24"/>
          <w:szCs w:val="24"/>
          <w:highlight w:val="none"/>
        </w:rPr>
        <w:t>》等)，充分了解本理财产品销售服务规则、资金投资方向、投资风险等具体情况，并在审慎评估自身理财投资目标、投资损失风险承受能力、资产管理需求、资金使用需求等因素的基础上，独立作出是否投资本理财产品的决定。在您投资本理财产品后，请关注本理财产品的信息披露，及时获取相关信息；如影响您风险承受能力的因素发生变化，请及时</w:t>
      </w:r>
      <w:r>
        <w:rPr>
          <w:rFonts w:hint="eastAsia" w:ascii="仿宋_GB2312" w:eastAsia="仿宋_GB2312"/>
          <w:b/>
          <w:color w:val="auto"/>
          <w:sz w:val="24"/>
          <w:szCs w:val="24"/>
          <w:highlight w:val="none"/>
          <w:lang w:eastAsia="zh-CN"/>
        </w:rPr>
        <w:t>完成</w:t>
      </w:r>
      <w:r>
        <w:rPr>
          <w:rFonts w:hint="eastAsia" w:ascii="仿宋_GB2312" w:eastAsia="仿宋_GB2312"/>
          <w:b/>
          <w:color w:val="auto"/>
          <w:sz w:val="24"/>
          <w:szCs w:val="24"/>
          <w:highlight w:val="none"/>
        </w:rPr>
        <w:t>风险承受能力评估。</w:t>
      </w:r>
    </w:p>
    <w:p w14:paraId="56297367">
      <w:pPr>
        <w:spacing w:before="240" w:after="240"/>
        <w:ind w:firstLine="480" w:firstLineChars="200"/>
        <w:rPr>
          <w:rFonts w:ascii="黑体" w:hAnsi="黑体" w:eastAsia="黑体"/>
          <w:color w:val="auto"/>
          <w:sz w:val="24"/>
          <w:szCs w:val="24"/>
          <w:highlight w:val="none"/>
        </w:rPr>
      </w:pPr>
      <w:r>
        <w:rPr>
          <w:rFonts w:hint="eastAsia" w:ascii="黑体" w:hAnsi="黑体" w:eastAsia="黑体"/>
          <w:color w:val="auto"/>
          <w:sz w:val="24"/>
          <w:szCs w:val="24"/>
          <w:highlight w:val="none"/>
        </w:rPr>
        <w:t>一、产品风险揭示</w:t>
      </w:r>
    </w:p>
    <w:p w14:paraId="47739C4A">
      <w:pPr>
        <w:ind w:firstLine="480" w:firstLineChars="200"/>
        <w:rPr>
          <w:rFonts w:ascii="仿宋_GB2312" w:hAnsi="宋体" w:eastAsia="仿宋_GB2312" w:cs="宋体"/>
          <w:bCs/>
          <w:color w:val="auto"/>
          <w:kern w:val="0"/>
          <w:sz w:val="24"/>
          <w:szCs w:val="24"/>
          <w:highlight w:val="none"/>
        </w:rPr>
      </w:pPr>
      <w:r>
        <w:rPr>
          <w:rFonts w:hint="eastAsia" w:ascii="仿宋_GB2312" w:hAnsi="宋体" w:eastAsia="仿宋_GB2312" w:cs="宋体"/>
          <w:bCs/>
          <w:color w:val="auto"/>
          <w:kern w:val="0"/>
          <w:sz w:val="24"/>
          <w:szCs w:val="24"/>
          <w:highlight w:val="none"/>
        </w:rPr>
        <w:t>本风险揭示书列示的风险指理财产品可能涉及的风险，包括但不限于：</w:t>
      </w:r>
    </w:p>
    <w:p w14:paraId="3C9F36FE">
      <w:pPr>
        <w:ind w:firstLine="482" w:firstLineChars="200"/>
        <w:rPr>
          <w:rFonts w:ascii="仿宋_GB2312" w:eastAsia="仿宋_GB2312"/>
          <w:b/>
          <w:color w:val="auto"/>
          <w:sz w:val="24"/>
          <w:szCs w:val="24"/>
          <w:highlight w:val="none"/>
        </w:rPr>
      </w:pPr>
      <w:r>
        <w:rPr>
          <w:rFonts w:hint="eastAsia" w:ascii="仿宋_GB2312" w:hAnsi="宋体" w:eastAsia="仿宋_GB2312" w:cs="宋体"/>
          <w:b/>
          <w:bCs/>
          <w:color w:val="auto"/>
          <w:kern w:val="0"/>
          <w:sz w:val="24"/>
          <w:szCs w:val="24"/>
          <w:highlight w:val="none"/>
        </w:rPr>
        <w:t>（一）政策风险</w:t>
      </w:r>
    </w:p>
    <w:p w14:paraId="55D925AA">
      <w:pPr>
        <w:ind w:firstLine="480" w:firstLineChars="200"/>
        <w:rPr>
          <w:rFonts w:ascii="仿宋_GB2312" w:eastAsia="仿宋_GB2312"/>
          <w:color w:val="auto"/>
          <w:sz w:val="24"/>
          <w:szCs w:val="24"/>
          <w:highlight w:val="none"/>
        </w:rPr>
      </w:pPr>
      <w:r>
        <w:rPr>
          <w:rFonts w:hint="eastAsia" w:ascii="仿宋_GB2312" w:hAnsi="宋体" w:eastAsia="仿宋_GB2312" w:cs="宋体"/>
          <w:bCs/>
          <w:color w:val="auto"/>
          <w:kern w:val="0"/>
          <w:sz w:val="24"/>
          <w:szCs w:val="24"/>
          <w:highlight w:val="none"/>
        </w:rPr>
        <w:t>本理财产品是根据当前相关法律法规、监管规定和国家政策设计的。如国家宏观政策以及市场相关法律法规、监管规定发生变化，可能影响本理财产品的发行、交易、投资、兑付等工作流程的正常进行，从而影响本理财产品的投资运作，则投资者可能面临本金和收益遭受部分甚至全部损失的风险。</w:t>
      </w:r>
    </w:p>
    <w:p w14:paraId="37028EDC">
      <w:pPr>
        <w:ind w:firstLine="482" w:firstLineChars="200"/>
        <w:rPr>
          <w:rFonts w:ascii="仿宋_GB2312" w:eastAsia="仿宋_GB2312"/>
          <w:b/>
          <w:color w:val="auto"/>
          <w:sz w:val="24"/>
          <w:szCs w:val="24"/>
          <w:highlight w:val="none"/>
        </w:rPr>
      </w:pPr>
      <w:r>
        <w:rPr>
          <w:rFonts w:hint="eastAsia" w:ascii="仿宋_GB2312" w:hAnsi="宋体" w:eastAsia="仿宋_GB2312" w:cs="宋体"/>
          <w:b/>
          <w:bCs/>
          <w:color w:val="auto"/>
          <w:kern w:val="0"/>
          <w:sz w:val="24"/>
          <w:szCs w:val="24"/>
          <w:highlight w:val="none"/>
        </w:rPr>
        <w:t>（二）信用风险</w:t>
      </w:r>
    </w:p>
    <w:p w14:paraId="2FFF8851">
      <w:pPr>
        <w:ind w:firstLine="480" w:firstLineChars="200"/>
        <w:rPr>
          <w:rFonts w:ascii="仿宋_GB2312" w:hAnsi="宋体" w:eastAsia="仿宋_GB2312" w:cs="宋体"/>
          <w:bCs/>
          <w:color w:val="auto"/>
          <w:kern w:val="0"/>
          <w:sz w:val="24"/>
          <w:szCs w:val="24"/>
          <w:highlight w:val="none"/>
        </w:rPr>
      </w:pPr>
      <w:r>
        <w:rPr>
          <w:rFonts w:hint="eastAsia" w:ascii="仿宋_GB2312" w:hAnsi="宋体" w:eastAsia="仿宋_GB2312" w:cs="宋体"/>
          <w:bCs/>
          <w:color w:val="auto"/>
          <w:kern w:val="0"/>
          <w:sz w:val="24"/>
          <w:szCs w:val="24"/>
          <w:highlight w:val="none"/>
        </w:rPr>
        <w:t>本理财产品所投资的资产或资产组合项下义务人可能出现信用违约情形，无法如期偿付融资本金与利息，则投资者可能面临本金和收益遭受部分甚至全部损失的风险。</w:t>
      </w:r>
    </w:p>
    <w:p w14:paraId="36811922">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（三）市场风险</w:t>
      </w:r>
    </w:p>
    <w:p w14:paraId="7DAFD93C">
      <w:pPr>
        <w:ind w:firstLine="480" w:firstLineChars="200"/>
        <w:rPr>
          <w:rFonts w:ascii="仿宋_GB2312" w:hAnsi="宋体" w:eastAsia="仿宋_GB2312" w:cs="宋体"/>
          <w:bCs/>
          <w:color w:val="auto"/>
          <w:kern w:val="0"/>
          <w:sz w:val="24"/>
          <w:szCs w:val="24"/>
          <w:highlight w:val="none"/>
        </w:rPr>
      </w:pPr>
      <w:r>
        <w:rPr>
          <w:rFonts w:hint="eastAsia" w:ascii="仿宋_GB2312" w:hAnsi="宋体" w:eastAsia="仿宋_GB2312" w:cs="宋体"/>
          <w:bCs/>
          <w:color w:val="auto"/>
          <w:kern w:val="0"/>
          <w:sz w:val="24"/>
          <w:szCs w:val="24"/>
          <w:highlight w:val="none"/>
        </w:rPr>
        <w:t>本理财产品存续期内，由于市场利率、汇率变化，债券、股票等投资品市场价格波动，以及市场已出现或未来可能出现的其他重要因素影响，将导致本理财产品所投资的资产或资产组合出现估值波动，从而影响本理财产品的净值，投资者可能面临投资本金和收益遭受部分甚至全部损失的风险。</w:t>
      </w:r>
    </w:p>
    <w:p w14:paraId="794D07CF">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（四）流动性风险</w:t>
      </w:r>
    </w:p>
    <w:p w14:paraId="0D67E64A">
      <w:pPr>
        <w:ind w:firstLine="480" w:firstLineChars="200"/>
        <w:rPr>
          <w:rFonts w:ascii="仿宋_GB2312" w:hAnsi="宋体" w:eastAsia="仿宋_GB2312" w:cs="宋体"/>
          <w:bCs/>
          <w:color w:val="auto"/>
          <w:kern w:val="0"/>
          <w:sz w:val="24"/>
          <w:szCs w:val="24"/>
          <w:highlight w:val="none"/>
        </w:rPr>
      </w:pPr>
      <w:r>
        <w:rPr>
          <w:rFonts w:hint="eastAsia" w:ascii="仿宋_GB2312" w:hAnsi="宋体" w:eastAsia="仿宋_GB2312" w:cs="宋体"/>
          <w:bCs/>
          <w:color w:val="auto"/>
          <w:kern w:val="0"/>
          <w:sz w:val="24"/>
          <w:szCs w:val="24"/>
          <w:highlight w:val="none"/>
        </w:rPr>
        <w:t>当市场出现极端情况或开放式</w:t>
      </w:r>
      <w:r>
        <w:rPr>
          <w:rFonts w:ascii="仿宋_GB2312" w:hAnsi="宋体" w:eastAsia="仿宋_GB2312" w:cs="宋体"/>
          <w:bCs/>
          <w:color w:val="auto"/>
          <w:kern w:val="0"/>
          <w:sz w:val="24"/>
          <w:szCs w:val="24"/>
          <w:highlight w:val="none"/>
        </w:rPr>
        <w:t>产品</w:t>
      </w:r>
      <w:r>
        <w:rPr>
          <w:rFonts w:hint="eastAsia" w:ascii="仿宋_GB2312" w:hAnsi="宋体" w:eastAsia="仿宋_GB2312" w:cs="宋体"/>
          <w:bCs/>
          <w:color w:val="auto"/>
          <w:kern w:val="0"/>
          <w:sz w:val="24"/>
          <w:szCs w:val="24"/>
          <w:highlight w:val="none"/>
        </w:rPr>
        <w:t>投资者集中、大额赎回等情形下，理财产品可能因持有现金头寸不足或所投资的资产无法及时变现，导致无法按约定向投资者及时兑付理财资金，投资者可能面临理财资金无法及时到账及/或持有的本理财产品整体损益出现不利情形的风险。</w:t>
      </w:r>
    </w:p>
    <w:p w14:paraId="56045C7A">
      <w:pPr>
        <w:ind w:firstLine="482" w:firstLineChars="200"/>
        <w:rPr>
          <w:rFonts w:ascii="仿宋_GB2312" w:hAnsi="宋体" w:eastAsia="仿宋_GB2312" w:cs="宋体"/>
          <w:bCs/>
          <w:color w:val="auto"/>
          <w:kern w:val="0"/>
          <w:sz w:val="24"/>
          <w:szCs w:val="24"/>
          <w:highlight w:val="none"/>
        </w:rPr>
      </w:pPr>
      <w:r>
        <w:rPr>
          <w:rFonts w:hint="eastAsia" w:ascii="仿宋_GB2312" w:hAnsi="宋体" w:eastAsia="仿宋_GB2312" w:cs="宋体"/>
          <w:b/>
          <w:bCs/>
          <w:color w:val="auto"/>
          <w:kern w:val="0"/>
          <w:sz w:val="24"/>
          <w:szCs w:val="24"/>
          <w:highlight w:val="none"/>
        </w:rPr>
        <w:t>投资者在本理财产品说明书约定的封闭期、最短持有期及</w:t>
      </w:r>
      <w:r>
        <w:rPr>
          <w:rFonts w:ascii="仿宋_GB2312" w:hAnsi="宋体" w:eastAsia="仿宋_GB2312" w:cs="宋体"/>
          <w:b/>
          <w:bCs/>
          <w:color w:val="auto"/>
          <w:kern w:val="0"/>
          <w:sz w:val="24"/>
          <w:szCs w:val="24"/>
          <w:highlight w:val="none"/>
        </w:rPr>
        <w:t>/或其他不可赎回时段内不享有提前赎回权。</w:t>
      </w:r>
      <w:r>
        <w:rPr>
          <w:rFonts w:hint="eastAsia" w:ascii="仿宋_GB2312" w:hAnsi="宋体" w:eastAsia="仿宋_GB2312" w:cs="宋体"/>
          <w:bCs/>
          <w:color w:val="auto"/>
          <w:kern w:val="0"/>
          <w:sz w:val="24"/>
          <w:szCs w:val="24"/>
          <w:highlight w:val="none"/>
        </w:rPr>
        <w:t>如果投资者面临用款需求与其他投资机会，可能因所持有的理财产品不能随时赎回或变现，存在用款需求无法满足或错过其他投资机会的风险。</w:t>
      </w:r>
    </w:p>
    <w:p w14:paraId="7FFFFDEE">
      <w:pPr>
        <w:ind w:firstLine="482" w:firstLineChars="200"/>
        <w:rPr>
          <w:rFonts w:hint="eastAsia" w:ascii="仿宋_GB2312" w:hAnsi="宋体" w:eastAsia="仿宋_GB2312" w:cs="宋体"/>
          <w:b/>
          <w:bCs/>
          <w:color w:val="auto"/>
          <w:kern w:val="0"/>
          <w:sz w:val="24"/>
          <w:szCs w:val="24"/>
          <w:highlight w:val="yellow"/>
          <w:lang w:eastAsia="zh-CN"/>
        </w:rPr>
      </w:pPr>
      <w:r>
        <w:rPr>
          <w:rFonts w:hint="eastAsia" w:ascii="仿宋_GB2312" w:hAnsi="宋体" w:eastAsia="仿宋_GB2312" w:cs="宋体"/>
          <w:b/>
          <w:bCs/>
          <w:color w:val="auto"/>
          <w:kern w:val="0"/>
          <w:sz w:val="24"/>
          <w:szCs w:val="24"/>
          <w:highlight w:val="yellow"/>
          <w:lang w:eastAsia="zh-CN"/>
        </w:rPr>
        <w:t>【</w:t>
      </w:r>
      <w:r>
        <w:rPr>
          <w:rFonts w:hint="eastAsia" w:ascii="仿宋_GB2312" w:hAnsi="宋体" w:eastAsia="仿宋_GB2312" w:cs="宋体"/>
          <w:b/>
          <w:bCs/>
          <w:color w:val="auto"/>
          <w:kern w:val="0"/>
          <w:sz w:val="24"/>
          <w:szCs w:val="24"/>
          <w:highlight w:val="yellow"/>
        </w:rPr>
        <w:t>拟投资市场、资产的流动性风险评估：</w:t>
      </w:r>
      <w:r>
        <w:rPr>
          <w:rFonts w:hint="eastAsia" w:ascii="仿宋_GB2312" w:hAnsi="宋体" w:eastAsia="仿宋_GB2312" w:cs="宋体"/>
          <w:b/>
          <w:bCs/>
          <w:color w:val="auto"/>
          <w:kern w:val="0"/>
          <w:sz w:val="24"/>
          <w:szCs w:val="24"/>
          <w:highlight w:val="yellow"/>
          <w:lang w:eastAsia="zh-CN"/>
        </w:rPr>
        <w:t>】</w:t>
      </w:r>
    </w:p>
    <w:p w14:paraId="4CD5C89F">
      <w:pPr>
        <w:ind w:firstLine="480" w:firstLineChars="200"/>
        <w:rPr>
          <w:rFonts w:ascii="仿宋_GB2312" w:hAnsi="宋体" w:eastAsia="仿宋_GB2312" w:cs="宋体"/>
          <w:bCs/>
          <w:color w:val="auto"/>
          <w:kern w:val="0"/>
          <w:sz w:val="24"/>
          <w:szCs w:val="24"/>
          <w:highlight w:val="none"/>
        </w:rPr>
      </w:pPr>
      <w:r>
        <w:rPr>
          <w:rFonts w:hint="eastAsia" w:ascii="仿宋_GB2312" w:hAnsi="宋体" w:eastAsia="仿宋_GB2312" w:cs="宋体"/>
          <w:bCs/>
          <w:color w:val="auto"/>
          <w:kern w:val="0"/>
          <w:sz w:val="24"/>
          <w:szCs w:val="24"/>
          <w:highlight w:val="none"/>
        </w:rPr>
        <w:t>本理财产品投资范围包括</w:t>
      </w:r>
      <w:r>
        <w:rPr>
          <w:rFonts w:hint="eastAsia" w:ascii="仿宋_GB2312" w:hAnsi="宋体" w:eastAsia="仿宋_GB2312" w:cs="宋体"/>
          <w:bCs/>
          <w:color w:val="auto"/>
          <w:kern w:val="0"/>
          <w:sz w:val="24"/>
          <w:szCs w:val="24"/>
          <w:highlight w:val="yellow"/>
          <w:lang w:eastAsia="zh-CN"/>
        </w:rPr>
        <w:t>【】</w:t>
      </w:r>
      <w:r>
        <w:rPr>
          <w:rFonts w:hint="eastAsia" w:ascii="仿宋_GB2312" w:hAnsi="宋体" w:eastAsia="仿宋_GB2312" w:cs="宋体"/>
          <w:bCs/>
          <w:color w:val="auto"/>
          <w:kern w:val="0"/>
          <w:sz w:val="24"/>
          <w:szCs w:val="24"/>
          <w:highlight w:val="none"/>
        </w:rPr>
        <w:t>标的资产主要为标准化债券金融工具，一般情况下具有较好的流动性，同时，本理财产品严格控制开放期内投资于流动性受限资产的投资品种比例。本理财产品管理人会进行标的的分散化投资并结合对各类标的资产的预期流动性状况进行合理配置，以防范流动性风险。</w:t>
      </w:r>
    </w:p>
    <w:p w14:paraId="2CAB8C6F">
      <w:pPr>
        <w:ind w:firstLine="482" w:firstLineChars="200"/>
        <w:rPr>
          <w:rFonts w:hint="eastAsia" w:ascii="仿宋_GB2312" w:hAnsi="宋体" w:eastAsia="仿宋_GB2312" w:cs="宋体"/>
          <w:b/>
          <w:bCs/>
          <w:color w:val="auto"/>
          <w:kern w:val="0"/>
          <w:sz w:val="24"/>
          <w:szCs w:val="24"/>
          <w:highlight w:val="yellow"/>
          <w:lang w:eastAsia="zh-CN"/>
        </w:rPr>
      </w:pPr>
      <w:r>
        <w:rPr>
          <w:rFonts w:hint="eastAsia" w:ascii="仿宋_GB2312" w:hAnsi="宋体" w:eastAsia="仿宋_GB2312" w:cs="宋体"/>
          <w:b/>
          <w:bCs/>
          <w:color w:val="auto"/>
          <w:kern w:val="0"/>
          <w:sz w:val="24"/>
          <w:szCs w:val="24"/>
          <w:highlight w:val="yellow"/>
          <w:lang w:eastAsia="zh-CN"/>
        </w:rPr>
        <w:t>【</w:t>
      </w:r>
      <w:r>
        <w:rPr>
          <w:rFonts w:hint="eastAsia" w:ascii="仿宋_GB2312" w:hAnsi="宋体" w:eastAsia="仿宋_GB2312" w:cs="宋体"/>
          <w:b/>
          <w:bCs/>
          <w:color w:val="auto"/>
          <w:kern w:val="0"/>
          <w:sz w:val="24"/>
          <w:szCs w:val="24"/>
          <w:highlight w:val="yellow"/>
        </w:rPr>
        <w:t>流动性应对措施及对投资者的潜在影响：</w:t>
      </w:r>
      <w:r>
        <w:rPr>
          <w:rFonts w:hint="eastAsia" w:ascii="仿宋_GB2312" w:hAnsi="宋体" w:eastAsia="仿宋_GB2312" w:cs="宋体"/>
          <w:b/>
          <w:bCs/>
          <w:color w:val="auto"/>
          <w:kern w:val="0"/>
          <w:sz w:val="24"/>
          <w:szCs w:val="24"/>
          <w:highlight w:val="yellow"/>
          <w:lang w:eastAsia="zh-CN"/>
        </w:rPr>
        <w:t>】</w:t>
      </w:r>
    </w:p>
    <w:p w14:paraId="0A3336E3">
      <w:pPr>
        <w:ind w:firstLine="480" w:firstLineChars="200"/>
        <w:rPr>
          <w:rFonts w:ascii="仿宋_GB2312" w:hAnsi="宋体" w:eastAsia="仿宋_GB2312" w:cs="宋体"/>
          <w:bCs/>
          <w:color w:val="auto"/>
          <w:kern w:val="0"/>
          <w:sz w:val="24"/>
          <w:szCs w:val="24"/>
          <w:highlight w:val="none"/>
        </w:rPr>
      </w:pPr>
      <w:r>
        <w:rPr>
          <w:rFonts w:hint="eastAsia" w:ascii="仿宋_GB2312" w:hAnsi="宋体" w:eastAsia="仿宋_GB2312" w:cs="宋体"/>
          <w:bCs/>
          <w:color w:val="auto"/>
          <w:kern w:val="0"/>
          <w:sz w:val="24"/>
          <w:szCs w:val="24"/>
          <w:highlight w:val="none"/>
        </w:rPr>
        <w:t>本理财产品管理人将合理安排组合流动性，统筹考虑产品期限、各类标的资产的预期流动性，</w:t>
      </w:r>
      <w:r>
        <w:rPr>
          <w:rFonts w:ascii="仿宋_GB2312" w:hAnsi="宋体" w:eastAsia="仿宋_GB2312" w:cs="宋体"/>
          <w:bCs/>
          <w:color w:val="auto"/>
          <w:kern w:val="0"/>
          <w:sz w:val="24"/>
          <w:szCs w:val="24"/>
          <w:highlight w:val="none"/>
        </w:rPr>
        <w:t>合理进行资产配置</w:t>
      </w:r>
      <w:r>
        <w:rPr>
          <w:rFonts w:hint="eastAsia" w:ascii="仿宋_GB2312" w:hAnsi="宋体" w:eastAsia="仿宋_GB2312" w:cs="宋体"/>
          <w:bCs/>
          <w:color w:val="auto"/>
          <w:kern w:val="0"/>
          <w:sz w:val="24"/>
          <w:szCs w:val="24"/>
          <w:highlight w:val="none"/>
        </w:rPr>
        <w:t>，</w:t>
      </w:r>
      <w:r>
        <w:rPr>
          <w:rFonts w:ascii="仿宋_GB2312" w:hAnsi="宋体" w:eastAsia="仿宋_GB2312" w:cs="宋体"/>
          <w:bCs/>
          <w:color w:val="auto"/>
          <w:kern w:val="0"/>
          <w:sz w:val="24"/>
          <w:szCs w:val="24"/>
          <w:highlight w:val="none"/>
        </w:rPr>
        <w:t>最大程度防范流动性风险。</w:t>
      </w:r>
    </w:p>
    <w:p w14:paraId="09032D96">
      <w:pPr>
        <w:ind w:firstLine="480" w:firstLineChars="200"/>
        <w:rPr>
          <w:rFonts w:ascii="仿宋_GB2312" w:hAnsi="宋体" w:eastAsia="仿宋_GB2312" w:cs="宋体"/>
          <w:bCs/>
          <w:color w:val="auto"/>
          <w:kern w:val="0"/>
          <w:sz w:val="24"/>
          <w:szCs w:val="24"/>
          <w:highlight w:val="none"/>
        </w:rPr>
      </w:pPr>
      <w:r>
        <w:rPr>
          <w:rFonts w:hint="eastAsia" w:ascii="仿宋_GB2312" w:hAnsi="宋体" w:eastAsia="仿宋_GB2312" w:cs="宋体"/>
          <w:bCs/>
          <w:color w:val="auto"/>
          <w:kern w:val="0"/>
          <w:sz w:val="24"/>
          <w:szCs w:val="24"/>
          <w:highlight w:val="none"/>
        </w:rPr>
        <w:t>产品管理人可依照法律法规及理财产品销售文件的约定，综合运用各类流动性应对措施，作为特定情形下流动性风险管理的辅助手段，包括但不限于：</w:t>
      </w:r>
    </w:p>
    <w:p w14:paraId="225923D0">
      <w:pPr>
        <w:ind w:firstLine="480" w:firstLineChars="200"/>
        <w:rPr>
          <w:rFonts w:ascii="仿宋_GB2312" w:hAnsi="宋体" w:eastAsia="仿宋_GB2312" w:cs="宋体"/>
          <w:bCs/>
          <w:color w:val="auto"/>
          <w:kern w:val="0"/>
          <w:sz w:val="24"/>
          <w:szCs w:val="24"/>
          <w:highlight w:val="none"/>
        </w:rPr>
      </w:pPr>
      <w:r>
        <w:rPr>
          <w:rFonts w:hint="eastAsia" w:ascii="仿宋_GB2312" w:hAnsi="宋体" w:eastAsia="仿宋_GB2312" w:cs="宋体"/>
          <w:bCs/>
          <w:color w:val="auto"/>
          <w:kern w:val="0"/>
          <w:sz w:val="24"/>
          <w:szCs w:val="24"/>
          <w:highlight w:val="none"/>
        </w:rPr>
        <w:t>（1）认购/申购风险应对措施，包括:设定单一投资者认购/申购金额上限、设定本理财产品单日净认购/申购比例上限、拒绝大额认购/申购、暂停认购/申购，以及国家金融监督管理总局规定的其他措施。</w:t>
      </w:r>
    </w:p>
    <w:p w14:paraId="4086B34A">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（2）赎回风险应对措施，包括：设置赎回上限、延期办理巨额赎回申请、暂停接受赎回申请、延缓支付赎回款项、收取短期赎回费、暂停理财产品估值、摆动定价，以及国家金融监督管理总局规定的其他措施。</w:t>
      </w:r>
    </w:p>
    <w:p w14:paraId="0C7771B7">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1</w:t>
      </w:r>
      <w:r>
        <w:rPr>
          <w:rFonts w:hint="eastAsia" w:ascii="仿宋_GB2312" w:hAnsi="宋体" w:eastAsia="仿宋_GB2312" w:cs="宋体"/>
          <w:b/>
          <w:bCs/>
          <w:color w:val="auto"/>
          <w:kern w:val="0"/>
          <w:sz w:val="24"/>
          <w:szCs w:val="24"/>
          <w:highlight w:val="none"/>
          <w:lang w:eastAsia="zh-CN"/>
        </w:rPr>
        <w:t>）</w:t>
      </w:r>
      <w:r>
        <w:rPr>
          <w:rFonts w:hint="eastAsia" w:ascii="仿宋_GB2312" w:hAnsi="宋体" w:eastAsia="仿宋_GB2312" w:cs="宋体"/>
          <w:b/>
          <w:bCs/>
          <w:color w:val="auto"/>
          <w:kern w:val="0"/>
          <w:sz w:val="24"/>
          <w:szCs w:val="24"/>
          <w:highlight w:val="none"/>
        </w:rPr>
        <w:t>延期办理巨额赎回申请</w:t>
      </w:r>
    </w:p>
    <w:p w14:paraId="752DE567">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若理财产品管理人采用延期办理巨额赎回申请的流动性风险应对措施，投资者的赎回申请将无法按时全额获得确认，投资者自身的流动性可能受到影响，并将额外承担市场波动对本理财产品净值的影响。</w:t>
      </w:r>
    </w:p>
    <w:p w14:paraId="305910AE">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2）暂停接受赎回申请或延缓支付赎回款项</w:t>
      </w:r>
    </w:p>
    <w:p w14:paraId="11A6197C">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若理财产品管理人采用暂停接受赎回申请或延缓支付赎回款项的流动性风险应对措施，投资者面临在暂停赎回期间将无法赎回其持有的产品份额的风险，接收赎回款项的时间将可能比一般正常情形下有所延迟。</w:t>
      </w:r>
    </w:p>
    <w:p w14:paraId="176559F0">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3</w:t>
      </w:r>
      <w:r>
        <w:rPr>
          <w:rFonts w:hint="eastAsia" w:ascii="仿宋_GB2312" w:hAnsi="宋体" w:eastAsia="仿宋_GB2312" w:cs="宋体"/>
          <w:b/>
          <w:bCs/>
          <w:color w:val="auto"/>
          <w:kern w:val="0"/>
          <w:sz w:val="24"/>
          <w:szCs w:val="24"/>
          <w:highlight w:val="none"/>
          <w:lang w:eastAsia="zh-CN"/>
        </w:rPr>
        <w:t>）</w:t>
      </w:r>
      <w:r>
        <w:rPr>
          <w:rFonts w:hint="eastAsia" w:ascii="仿宋_GB2312" w:hAnsi="宋体" w:eastAsia="仿宋_GB2312" w:cs="宋体"/>
          <w:b/>
          <w:bCs/>
          <w:color w:val="auto"/>
          <w:kern w:val="0"/>
          <w:sz w:val="24"/>
          <w:szCs w:val="24"/>
          <w:highlight w:val="none"/>
        </w:rPr>
        <w:t>暂停理财产品估值</w:t>
      </w:r>
    </w:p>
    <w:p w14:paraId="3ACD1453">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若理财产品管理人采用暂停理财产品估值的流动性风险应对措施，投资人没有可供参考的产品份额净值，同时赎回申请可能被暂停接受，或被延缓支付赎回款项。</w:t>
      </w:r>
    </w:p>
    <w:p w14:paraId="59906912">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4</w:t>
      </w:r>
      <w:r>
        <w:rPr>
          <w:rFonts w:hint="eastAsia" w:ascii="仿宋_GB2312" w:hAnsi="宋体" w:eastAsia="仿宋_GB2312" w:cs="宋体"/>
          <w:b/>
          <w:bCs/>
          <w:color w:val="auto"/>
          <w:kern w:val="0"/>
          <w:sz w:val="24"/>
          <w:szCs w:val="24"/>
          <w:highlight w:val="none"/>
          <w:lang w:eastAsia="zh-CN"/>
        </w:rPr>
        <w:t>）</w:t>
      </w:r>
      <w:r>
        <w:rPr>
          <w:rFonts w:hint="eastAsia" w:ascii="仿宋_GB2312" w:hAnsi="宋体" w:eastAsia="仿宋_GB2312" w:cs="宋体"/>
          <w:b/>
          <w:bCs/>
          <w:color w:val="auto"/>
          <w:kern w:val="0"/>
          <w:sz w:val="24"/>
          <w:szCs w:val="24"/>
          <w:highlight w:val="none"/>
        </w:rPr>
        <w:t>摆动定价</w:t>
      </w:r>
    </w:p>
    <w:p w14:paraId="62DD3A7D">
      <w:pPr>
        <w:ind w:firstLine="482" w:firstLineChars="200"/>
        <w:rPr>
          <w:rFonts w:hint="eastAsia"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若理财产品管理人采用摆动定价机制的流动性风险应对措施，则通过调整理财产品份额净值的方式，将理财产品调整投资组合的市场冲击成本分配给实际申购、赎回的投资者，以期减少对存量投资者利益的不利影响。</w:t>
      </w:r>
    </w:p>
    <w:p w14:paraId="29F02C5F">
      <w:pPr>
        <w:ind w:firstLine="482" w:firstLineChars="200"/>
        <w:rPr>
          <w:rFonts w:hint="default" w:ascii="仿宋_GB2312" w:hAnsi="宋体" w:eastAsia="仿宋_GB2312" w:cs="宋体"/>
          <w:b/>
          <w:bCs/>
          <w:color w:val="auto"/>
          <w:kern w:val="0"/>
          <w:sz w:val="24"/>
          <w:szCs w:val="24"/>
          <w:highlight w:val="none"/>
          <w:lang w:val="en-US" w:eastAsia="zh-CN"/>
        </w:rPr>
      </w:pPr>
      <w:r>
        <w:rPr>
          <w:rFonts w:hint="eastAsia" w:ascii="仿宋_GB2312" w:hAnsi="宋体" w:eastAsia="仿宋_GB2312" w:cs="宋体"/>
          <w:b/>
          <w:bCs/>
          <w:color w:val="auto"/>
          <w:kern w:val="0"/>
          <w:sz w:val="24"/>
          <w:szCs w:val="24"/>
          <w:highlight w:val="none"/>
          <w:lang w:val="en-US" w:eastAsia="zh-CN"/>
        </w:rPr>
        <w:t>5）</w:t>
      </w:r>
      <w:r>
        <w:rPr>
          <w:rFonts w:hint="default" w:ascii="仿宋_GB2312" w:hAnsi="宋体" w:eastAsia="仿宋_GB2312" w:cs="宋体"/>
          <w:b/>
          <w:bCs/>
          <w:color w:val="auto"/>
          <w:kern w:val="0"/>
          <w:sz w:val="24"/>
          <w:szCs w:val="24"/>
          <w:highlight w:val="none"/>
          <w:lang w:val="en-US" w:eastAsia="zh-CN"/>
        </w:rPr>
        <w:t>收取短期赎回费</w:t>
      </w:r>
    </w:p>
    <w:p w14:paraId="0B973ACF">
      <w:pPr>
        <w:ind w:firstLine="482" w:firstLineChars="200"/>
        <w:rPr>
          <w:rFonts w:hint="default" w:ascii="仿宋_GB2312" w:hAnsi="宋体" w:eastAsia="仿宋_GB2312" w:cs="宋体"/>
          <w:b/>
          <w:bCs/>
          <w:color w:val="auto"/>
          <w:kern w:val="0"/>
          <w:sz w:val="24"/>
          <w:szCs w:val="24"/>
          <w:highlight w:val="none"/>
        </w:rPr>
      </w:pPr>
      <w:r>
        <w:rPr>
          <w:rFonts w:hint="default" w:ascii="仿宋_GB2312" w:hAnsi="宋体" w:eastAsia="仿宋_GB2312" w:cs="宋体"/>
          <w:b/>
          <w:bCs/>
          <w:color w:val="auto"/>
          <w:kern w:val="0"/>
          <w:sz w:val="24"/>
          <w:szCs w:val="24"/>
          <w:highlight w:val="none"/>
          <w:lang w:val="en-US" w:eastAsia="zh-CN"/>
        </w:rPr>
        <w:t>对持续持有期少于</w:t>
      </w:r>
      <w:r>
        <w:rPr>
          <w:rFonts w:hint="eastAsia" w:ascii="仿宋_GB2312" w:hAnsi="宋体" w:eastAsia="仿宋_GB2312" w:cs="宋体"/>
          <w:b/>
          <w:bCs/>
          <w:color w:val="auto"/>
          <w:kern w:val="0"/>
          <w:sz w:val="24"/>
          <w:szCs w:val="24"/>
          <w:highlight w:val="none"/>
          <w:lang w:val="en-US" w:eastAsia="zh-CN"/>
        </w:rPr>
        <w:t>【】</w:t>
      </w:r>
      <w:r>
        <w:rPr>
          <w:rFonts w:hint="default" w:ascii="仿宋_GB2312" w:hAnsi="宋体" w:eastAsia="仿宋_GB2312" w:cs="宋体"/>
          <w:b/>
          <w:bCs/>
          <w:color w:val="auto"/>
          <w:kern w:val="0"/>
          <w:sz w:val="24"/>
          <w:szCs w:val="24"/>
          <w:highlight w:val="none"/>
          <w:lang w:val="en-US" w:eastAsia="zh-CN"/>
        </w:rPr>
        <w:t>日的投资者收取一定比例的赎回费，并全额计入理财财产。在此情形下，投资者在提交赎回申请时，实际赎回金额可能少于按照赎回申请当日理财产品份额净值计算出的赎回金额。若实施收取短期赎回费措施，管理人应于3个交易日内告知本理财产品的相关投资者。</w:t>
      </w:r>
    </w:p>
    <w:p w14:paraId="174D1A60">
      <w:pPr>
        <w:ind w:firstLine="482" w:firstLineChars="200"/>
        <w:rPr>
          <w:rFonts w:ascii="仿宋_GB2312" w:hAnsi="宋体" w:eastAsia="仿宋_GB2312" w:cs="宋体"/>
          <w:b/>
          <w:bCs/>
          <w:color w:val="auto"/>
          <w:kern w:val="0"/>
          <w:sz w:val="24"/>
          <w:szCs w:val="24"/>
          <w:highlight w:val="none"/>
          <w:u w:val="single"/>
        </w:rPr>
      </w:pPr>
      <w:r>
        <w:rPr>
          <w:rFonts w:hint="eastAsia" w:ascii="仿宋_GB2312" w:hAnsi="宋体" w:eastAsia="仿宋_GB2312" w:cs="宋体"/>
          <w:b/>
          <w:bCs/>
          <w:color w:val="auto"/>
          <w:kern w:val="0"/>
          <w:sz w:val="24"/>
          <w:szCs w:val="24"/>
          <w:highlight w:val="none"/>
          <w:u w:val="single"/>
        </w:rPr>
        <w:t>具体应对措施使用情形及程序详见《产品说明书》。敬请投资者留意管理人运用上述流动性风险应对措施的相关风险。</w:t>
      </w:r>
    </w:p>
    <w:p w14:paraId="1B9EF67D">
      <w:pPr>
        <w:ind w:firstLine="482" w:firstLineChars="200"/>
        <w:rPr>
          <w:rFonts w:ascii="仿宋_GB2312" w:eastAsia="仿宋_GB2312"/>
          <w:b/>
          <w:color w:val="auto"/>
          <w:sz w:val="24"/>
          <w:szCs w:val="24"/>
          <w:highlight w:val="none"/>
        </w:rPr>
      </w:pPr>
      <w:r>
        <w:rPr>
          <w:rFonts w:hint="eastAsia" w:ascii="仿宋_GB2312" w:hAnsi="宋体" w:eastAsia="仿宋_GB2312" w:cs="宋体"/>
          <w:b/>
          <w:bCs/>
          <w:color w:val="auto"/>
          <w:kern w:val="0"/>
          <w:sz w:val="24"/>
          <w:szCs w:val="24"/>
          <w:highlight w:val="none"/>
        </w:rPr>
        <w:t>（五）经营管理风险</w:t>
      </w:r>
    </w:p>
    <w:p w14:paraId="5ADC74E3">
      <w:pPr>
        <w:ind w:firstLine="480" w:firstLineChars="200"/>
        <w:rPr>
          <w:rFonts w:ascii="仿宋_GB2312" w:hAnsi="宋体" w:eastAsia="仿宋_GB2312" w:cs="宋体"/>
          <w:bCs/>
          <w:color w:val="auto"/>
          <w:kern w:val="0"/>
          <w:sz w:val="24"/>
          <w:szCs w:val="24"/>
          <w:highlight w:val="none"/>
        </w:rPr>
      </w:pPr>
      <w:r>
        <w:rPr>
          <w:rFonts w:hint="eastAsia" w:ascii="仿宋_GB2312" w:hAnsi="仿宋_GB2312" w:eastAsia="仿宋_GB2312" w:cs="仿宋_GB2312"/>
          <w:color w:val="auto"/>
          <w:sz w:val="24"/>
          <w:szCs w:val="24"/>
          <w:highlight w:val="none"/>
        </w:rPr>
        <w:t>在本理财产品运作过程中，投资管理各方受经验、技能、判断力</w:t>
      </w:r>
      <w:r>
        <w:rPr>
          <w:rFonts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rPr>
        <w:t>执行力等综合因素的限制，可能对本理财产品的运作与管理形成一定影响，</w:t>
      </w:r>
      <w:r>
        <w:rPr>
          <w:rFonts w:hint="eastAsia" w:ascii="仿宋_GB2312" w:hAnsi="宋体" w:eastAsia="仿宋_GB2312" w:cs="宋体"/>
          <w:bCs/>
          <w:color w:val="auto"/>
          <w:kern w:val="0"/>
          <w:sz w:val="24"/>
          <w:szCs w:val="24"/>
          <w:highlight w:val="none"/>
        </w:rPr>
        <w:t>投资者可能面临本金和收益遭受部分甚至全部损失的风险。</w:t>
      </w:r>
    </w:p>
    <w:p w14:paraId="64746355">
      <w:pPr>
        <w:ind w:firstLine="482" w:firstLineChars="200"/>
        <w:rPr>
          <w:rFonts w:ascii="仿宋_GB2312" w:eastAsia="仿宋_GB2312"/>
          <w:b/>
          <w:color w:val="auto"/>
          <w:sz w:val="24"/>
          <w:szCs w:val="24"/>
          <w:highlight w:val="none"/>
        </w:rPr>
      </w:pPr>
      <w:r>
        <w:rPr>
          <w:rFonts w:hint="eastAsia" w:ascii="仿宋_GB2312" w:hAnsi="宋体" w:eastAsia="仿宋_GB2312" w:cs="宋体"/>
          <w:b/>
          <w:bCs/>
          <w:color w:val="auto"/>
          <w:kern w:val="0"/>
          <w:sz w:val="24"/>
          <w:szCs w:val="24"/>
          <w:highlight w:val="none"/>
        </w:rPr>
        <w:t>（六）交易对手风险</w:t>
      </w:r>
    </w:p>
    <w:p w14:paraId="7E736B05">
      <w:pPr>
        <w:ind w:firstLine="480" w:firstLineChars="200"/>
        <w:rPr>
          <w:rFonts w:ascii="仿宋_GB2312" w:hAnsi="宋体" w:eastAsia="仿宋_GB2312" w:cs="宋体"/>
          <w:bCs/>
          <w:color w:val="auto"/>
          <w:kern w:val="0"/>
          <w:sz w:val="24"/>
          <w:szCs w:val="24"/>
          <w:highlight w:val="none"/>
        </w:rPr>
      </w:pPr>
      <w:r>
        <w:rPr>
          <w:rFonts w:hint="eastAsia" w:ascii="仿宋_GB2312" w:hAnsi="仿宋_GB2312" w:eastAsia="仿宋_GB2312" w:cs="仿宋_GB2312"/>
          <w:color w:val="auto"/>
          <w:sz w:val="24"/>
          <w:szCs w:val="24"/>
          <w:highlight w:val="none"/>
        </w:rPr>
        <w:t>由于交易对手受偿付能力、流动性管理能力以及及时履约意愿等因素影响，导致交易对手不履约，可能影响本理财产品的投资管理，则</w:t>
      </w:r>
      <w:r>
        <w:rPr>
          <w:rFonts w:hint="eastAsia" w:ascii="仿宋_GB2312" w:hAnsi="宋体" w:eastAsia="仿宋_GB2312" w:cs="宋体"/>
          <w:bCs/>
          <w:color w:val="auto"/>
          <w:kern w:val="0"/>
          <w:sz w:val="24"/>
          <w:szCs w:val="24"/>
          <w:highlight w:val="none"/>
        </w:rPr>
        <w:t>投资者可能面临本金和收益遭受部分甚至全部损失的风险。</w:t>
      </w:r>
    </w:p>
    <w:p w14:paraId="386DB6E4">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（七）操作风险</w:t>
      </w:r>
    </w:p>
    <w:p w14:paraId="44B3D93C">
      <w:pPr>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产品运作过程中，由于理财产品管理人及理财合作机构因技术系统故障、内部控制存在缺陷或人为因素，导致</w:t>
      </w:r>
      <w:r>
        <w:rPr>
          <w:rFonts w:ascii="仿宋_GB2312" w:hAnsi="仿宋_GB2312" w:eastAsia="仿宋_GB2312" w:cs="仿宋_GB2312"/>
          <w:color w:val="auto"/>
          <w:sz w:val="24"/>
          <w:szCs w:val="24"/>
          <w:highlight w:val="none"/>
        </w:rPr>
        <w:t>操作失误</w:t>
      </w:r>
      <w:r>
        <w:rPr>
          <w:rFonts w:hint="eastAsia" w:ascii="仿宋_GB2312" w:hAnsi="仿宋_GB2312" w:eastAsia="仿宋_GB2312" w:cs="仿宋_GB2312"/>
          <w:color w:val="auto"/>
          <w:sz w:val="24"/>
          <w:szCs w:val="24"/>
          <w:highlight w:val="none"/>
        </w:rPr>
        <w:t>或</w:t>
      </w:r>
      <w:r>
        <w:rPr>
          <w:rFonts w:ascii="仿宋_GB2312" w:hAnsi="仿宋_GB2312" w:eastAsia="仿宋_GB2312" w:cs="仿宋_GB2312"/>
          <w:color w:val="auto"/>
          <w:sz w:val="24"/>
          <w:szCs w:val="24"/>
          <w:highlight w:val="none"/>
        </w:rPr>
        <w:t>违反操作规程等引起的风险，</w:t>
      </w:r>
      <w:r>
        <w:rPr>
          <w:rFonts w:hint="eastAsia" w:ascii="仿宋_GB2312" w:hAnsi="仿宋_GB2312" w:eastAsia="仿宋_GB2312" w:cs="仿宋_GB2312"/>
          <w:color w:val="auto"/>
          <w:sz w:val="24"/>
          <w:szCs w:val="24"/>
          <w:highlight w:val="none"/>
        </w:rPr>
        <w:t>如内部作业、人员管理、系统操作及事务处理不当或失误等，则投资者可能面临本金和收益遭受部分甚至全部损失的风险。</w:t>
      </w:r>
    </w:p>
    <w:p w14:paraId="03E89C30">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（八）代销风险（如有）</w:t>
      </w:r>
    </w:p>
    <w:p w14:paraId="59098CFF">
      <w:pPr>
        <w:ind w:firstLine="480" w:firstLineChars="200"/>
        <w:rPr>
          <w:rFonts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如本理财产品通过代理销售渠道销售，投资者购买理财产品的资金将由销售机构从投资者清算账户扣收并划付产品管理人，产品到期</w:t>
      </w:r>
      <w:r>
        <w:rPr>
          <w:rFonts w:ascii="仿宋_GB2312" w:hAnsi="仿宋_GB2312" w:eastAsia="仿宋_GB2312" w:cs="仿宋_GB2312"/>
          <w:color w:val="auto"/>
          <w:sz w:val="24"/>
          <w:szCs w:val="24"/>
          <w:highlight w:val="none"/>
        </w:rPr>
        <w:t>/终止</w:t>
      </w:r>
      <w:r>
        <w:rPr>
          <w:rFonts w:hint="eastAsia" w:ascii="仿宋_GB2312" w:hAnsi="仿宋_GB2312" w:eastAsia="仿宋_GB2312" w:cs="仿宋_GB2312"/>
          <w:color w:val="auto"/>
          <w:sz w:val="24"/>
          <w:szCs w:val="24"/>
          <w:highlight w:val="none"/>
        </w:rPr>
        <w:t>/赎回</w:t>
      </w:r>
      <w:r>
        <w:rPr>
          <w:rFonts w:ascii="仿宋_GB2312" w:hAnsi="仿宋_GB2312" w:eastAsia="仿宋_GB2312" w:cs="仿宋_GB2312"/>
          <w:color w:val="auto"/>
          <w:sz w:val="24"/>
          <w:szCs w:val="24"/>
          <w:highlight w:val="none"/>
        </w:rPr>
        <w:t>时理财本金及收益相应款项由产品管理人按理财产品销售文件约定划付至</w:t>
      </w:r>
      <w:r>
        <w:rPr>
          <w:rFonts w:hint="eastAsia" w:ascii="仿宋_GB2312" w:hAnsi="仿宋_GB2312" w:eastAsia="仿宋_GB2312" w:cs="仿宋_GB2312"/>
          <w:color w:val="auto"/>
          <w:sz w:val="24"/>
          <w:szCs w:val="24"/>
          <w:highlight w:val="none"/>
        </w:rPr>
        <w:t>销售机构清算账户，并由销售机构向投资者支付投资者应得理财本金及收益。如因销售机构清算账户余额不足，或销售机构未及时足额划付资金，或销售机构清算账户内资金被依法冻结或扣划、账户处于被挂失、冻结、注销或其他非正常状态等原因而导致交易失败，由销售机构与投资者依法协商解决，产品管理人对此不承担责任，但前述约定不免除因产品管理人过错依法应由产品管理人承担的责任。</w:t>
      </w:r>
    </w:p>
    <w:p w14:paraId="7C898428">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（九）募集期延长</w:t>
      </w:r>
      <w:r>
        <w:rPr>
          <w:rFonts w:ascii="仿宋_GB2312" w:hAnsi="宋体" w:eastAsia="仿宋_GB2312" w:cs="宋体"/>
          <w:b/>
          <w:bCs/>
          <w:color w:val="auto"/>
          <w:kern w:val="0"/>
          <w:sz w:val="24"/>
          <w:szCs w:val="24"/>
          <w:highlight w:val="none"/>
        </w:rPr>
        <w:t>/缩短</w:t>
      </w:r>
      <w:r>
        <w:rPr>
          <w:rFonts w:hint="eastAsia" w:ascii="仿宋_GB2312" w:hAnsi="宋体" w:eastAsia="仿宋_GB2312" w:cs="宋体"/>
          <w:b/>
          <w:bCs/>
          <w:color w:val="auto"/>
          <w:kern w:val="0"/>
          <w:sz w:val="24"/>
          <w:szCs w:val="24"/>
          <w:highlight w:val="none"/>
        </w:rPr>
        <w:t>风险</w:t>
      </w:r>
    </w:p>
    <w:p w14:paraId="22ED8E4B">
      <w:pPr>
        <w:ind w:firstLine="480" w:firstLineChars="200"/>
        <w:rPr>
          <w:rFonts w:ascii="仿宋_GB2312" w:eastAsia="仿宋_GB2312"/>
          <w:color w:val="auto"/>
          <w:sz w:val="24"/>
          <w:szCs w:val="24"/>
          <w:highlight w:val="none"/>
        </w:rPr>
      </w:pPr>
      <w:r>
        <w:rPr>
          <w:rFonts w:hint="eastAsia" w:ascii="仿宋_GB2312" w:hAnsi="宋体" w:eastAsia="仿宋_GB2312" w:cs="宋体"/>
          <w:bCs/>
          <w:color w:val="auto"/>
          <w:kern w:val="0"/>
          <w:sz w:val="24"/>
          <w:szCs w:val="24"/>
          <w:highlight w:val="none"/>
        </w:rPr>
        <w:t>在本理财产品募集期内，国家宏观政策以及市场相关法律法规政策发生变化、产品募集状况未达到/已达到产品说明书约定的成立条件，或其他经理财产品管理人合理判断需延长</w:t>
      </w:r>
      <w:r>
        <w:rPr>
          <w:rFonts w:ascii="仿宋_GB2312" w:hAnsi="宋体" w:eastAsia="仿宋_GB2312" w:cs="宋体"/>
          <w:bCs/>
          <w:color w:val="auto"/>
          <w:kern w:val="0"/>
          <w:sz w:val="24"/>
          <w:szCs w:val="24"/>
          <w:highlight w:val="none"/>
        </w:rPr>
        <w:t>/缩短</w:t>
      </w:r>
      <w:r>
        <w:rPr>
          <w:rFonts w:hint="eastAsia" w:ascii="仿宋_GB2312" w:hAnsi="宋体" w:eastAsia="仿宋_GB2312" w:cs="宋体"/>
          <w:bCs/>
          <w:color w:val="auto"/>
          <w:kern w:val="0"/>
          <w:sz w:val="24"/>
          <w:szCs w:val="24"/>
          <w:highlight w:val="none"/>
        </w:rPr>
        <w:t>募集期的情形，产品管理人有权宣布本理财产品募集期延长</w:t>
      </w:r>
      <w:r>
        <w:rPr>
          <w:rFonts w:ascii="仿宋_GB2312" w:hAnsi="宋体" w:eastAsia="仿宋_GB2312" w:cs="宋体"/>
          <w:bCs/>
          <w:color w:val="auto"/>
          <w:kern w:val="0"/>
          <w:sz w:val="24"/>
          <w:szCs w:val="24"/>
          <w:highlight w:val="none"/>
        </w:rPr>
        <w:t>/缩短</w:t>
      </w:r>
      <w:r>
        <w:rPr>
          <w:rFonts w:hint="eastAsia" w:ascii="仿宋_GB2312" w:hAnsi="宋体" w:eastAsia="仿宋_GB2312" w:cs="宋体"/>
          <w:bCs/>
          <w:color w:val="auto"/>
          <w:kern w:val="0"/>
          <w:sz w:val="24"/>
          <w:szCs w:val="24"/>
          <w:highlight w:val="none"/>
        </w:rPr>
        <w:t>，本理财产品可能延后/提前成立。</w:t>
      </w:r>
    </w:p>
    <w:p w14:paraId="20CB9D86">
      <w:pPr>
        <w:ind w:firstLine="482" w:firstLineChars="200"/>
        <w:rPr>
          <w:rFonts w:ascii="仿宋_GB2312" w:eastAsia="仿宋_GB2312"/>
          <w:b/>
          <w:color w:val="auto"/>
          <w:sz w:val="24"/>
          <w:szCs w:val="24"/>
          <w:highlight w:val="none"/>
        </w:rPr>
      </w:pPr>
      <w:r>
        <w:rPr>
          <w:rFonts w:hint="eastAsia" w:ascii="仿宋_GB2312" w:hAnsi="宋体" w:eastAsia="仿宋_GB2312" w:cs="宋体"/>
          <w:b/>
          <w:bCs/>
          <w:color w:val="auto"/>
          <w:kern w:val="0"/>
          <w:sz w:val="24"/>
          <w:szCs w:val="24"/>
          <w:highlight w:val="none"/>
        </w:rPr>
        <w:t>（十）产品不成立风险</w:t>
      </w:r>
    </w:p>
    <w:p w14:paraId="43FB1F48">
      <w:pPr>
        <w:ind w:firstLine="480" w:firstLineChars="200"/>
        <w:rPr>
          <w:rFonts w:ascii="仿宋_GB2312" w:hAnsi="宋体" w:eastAsia="仿宋_GB2312" w:cs="宋体"/>
          <w:bCs/>
          <w:color w:val="auto"/>
          <w:kern w:val="0"/>
          <w:sz w:val="24"/>
          <w:szCs w:val="24"/>
          <w:highlight w:val="none"/>
        </w:rPr>
      </w:pPr>
      <w:r>
        <w:rPr>
          <w:rFonts w:hint="eastAsia" w:ascii="仿宋_GB2312" w:hAnsi="宋体" w:eastAsia="仿宋_GB2312" w:cs="宋体"/>
          <w:bCs/>
          <w:color w:val="auto"/>
          <w:kern w:val="0"/>
          <w:sz w:val="24"/>
          <w:szCs w:val="24"/>
          <w:highlight w:val="none"/>
        </w:rPr>
        <w:t>如果本理财产品因募集规模低于《产品说明书》约定的本理财产品最低成立规模，或出现政策、法规、市场或其他因素导致本理财产品不能成立的情形，理财产品管理人有权宣布本理财产品不成立，投资者将面临再投资的风险。</w:t>
      </w:r>
    </w:p>
    <w:p w14:paraId="5860233D">
      <w:pPr>
        <w:ind w:firstLine="482" w:firstLineChars="200"/>
        <w:rPr>
          <w:rFonts w:ascii="仿宋_GB2312" w:eastAsia="仿宋_GB2312"/>
          <w:b/>
          <w:color w:val="auto"/>
          <w:sz w:val="24"/>
          <w:szCs w:val="24"/>
          <w:highlight w:val="none"/>
        </w:rPr>
      </w:pPr>
      <w:r>
        <w:rPr>
          <w:rFonts w:hint="eastAsia" w:ascii="仿宋_GB2312" w:hAnsi="宋体" w:eastAsia="仿宋_GB2312" w:cs="宋体"/>
          <w:b/>
          <w:bCs/>
          <w:color w:val="auto"/>
          <w:kern w:val="0"/>
          <w:sz w:val="24"/>
          <w:szCs w:val="24"/>
          <w:highlight w:val="none"/>
        </w:rPr>
        <w:t>（十一）提前终止风险</w:t>
      </w:r>
    </w:p>
    <w:p w14:paraId="763D113D">
      <w:pPr>
        <w:ind w:firstLine="480" w:firstLineChars="200"/>
        <w:rPr>
          <w:rFonts w:ascii="仿宋_GB2312" w:hAnsi="宋体" w:eastAsia="仿宋_GB2312" w:cs="宋体"/>
          <w:bCs/>
          <w:color w:val="auto"/>
          <w:kern w:val="0"/>
          <w:sz w:val="24"/>
          <w:szCs w:val="24"/>
          <w:highlight w:val="none"/>
        </w:rPr>
      </w:pPr>
      <w:r>
        <w:rPr>
          <w:rFonts w:hint="eastAsia" w:ascii="仿宋_GB2312" w:hAnsi="宋体" w:eastAsia="仿宋_GB2312" w:cs="宋体"/>
          <w:bCs/>
          <w:color w:val="auto"/>
          <w:kern w:val="0"/>
          <w:sz w:val="24"/>
          <w:szCs w:val="24"/>
          <w:highlight w:val="none"/>
        </w:rPr>
        <w:t>本理财产品存续期间，由于国家宏观政策变化、市场相关法律法规及政策变化、本理财产品所投资资产提前结清、意外事件、不可抗力（包括但不限于政府行为、自然灾害、疫情等）以及其他可能导致理财产品管理人无法继续履行本理财产品投资管理义务或经理财产品管理人合理评估且审慎判断不适宜本理财产品继续存续运作的情形，为保护投资者权益，理财产品管理人有权按照理财产品销售文件的约定部分/全部提前终止本理财产品，投资者可能面临本理财产品部分/全部提前终止后再投资的风险。</w:t>
      </w:r>
    </w:p>
    <w:p w14:paraId="51973CF2">
      <w:pPr>
        <w:ind w:firstLine="482" w:firstLineChars="200"/>
        <w:rPr>
          <w:rFonts w:ascii="仿宋_GB2312" w:eastAsia="仿宋_GB2312"/>
          <w:b/>
          <w:color w:val="auto"/>
          <w:sz w:val="24"/>
          <w:szCs w:val="24"/>
          <w:highlight w:val="none"/>
        </w:rPr>
      </w:pPr>
      <w:r>
        <w:rPr>
          <w:rFonts w:hint="eastAsia" w:ascii="仿宋_GB2312" w:hAnsi="宋体" w:eastAsia="仿宋_GB2312" w:cs="宋体"/>
          <w:b/>
          <w:bCs/>
          <w:color w:val="auto"/>
          <w:kern w:val="0"/>
          <w:sz w:val="24"/>
          <w:szCs w:val="24"/>
          <w:highlight w:val="none"/>
        </w:rPr>
        <w:t>（十二）延期分配风险</w:t>
      </w:r>
    </w:p>
    <w:p w14:paraId="6B025BE5">
      <w:pPr>
        <w:ind w:firstLine="480" w:firstLineChars="200"/>
        <w:rPr>
          <w:rFonts w:ascii="仿宋_GB2312" w:hAnsi="宋体" w:eastAsia="仿宋_GB2312" w:cs="宋体"/>
          <w:bCs/>
          <w:color w:val="auto"/>
          <w:kern w:val="0"/>
          <w:sz w:val="24"/>
          <w:szCs w:val="24"/>
          <w:highlight w:val="none"/>
        </w:rPr>
      </w:pPr>
      <w:r>
        <w:rPr>
          <w:rFonts w:hint="eastAsia" w:ascii="仿宋_GB2312" w:hAnsi="宋体" w:eastAsia="仿宋_GB2312" w:cs="宋体"/>
          <w:bCs/>
          <w:color w:val="auto"/>
          <w:kern w:val="0"/>
          <w:sz w:val="24"/>
          <w:szCs w:val="24"/>
          <w:highlight w:val="none"/>
        </w:rPr>
        <w:t>因缺乏交易对手、市场成交量不足、资产限制赎回、暂停交易、所投资产发生风险或不能及时变现、发生不可抗力（包括但不限于政府行为、自然灾害、疫情等）及其他理财产品管理人认为需要延期分配的情形，可能导致理财产品管理人无法在理财产品销售文件约定的清算期内完成理财资金的清算与分配，投资者可能面临理财产品资金延期分配、分配方案调整等风险，投资者由此可能面临投资本金和收益遭受部分甚至全部损失的风险。</w:t>
      </w:r>
    </w:p>
    <w:p w14:paraId="55437260">
      <w:pPr>
        <w:ind w:firstLine="482" w:firstLineChars="200"/>
        <w:rPr>
          <w:rFonts w:ascii="仿宋_GB2312" w:eastAsia="仿宋_GB2312"/>
          <w:b/>
          <w:color w:val="auto"/>
          <w:sz w:val="24"/>
          <w:szCs w:val="24"/>
          <w:highlight w:val="none"/>
        </w:rPr>
      </w:pPr>
      <w:r>
        <w:rPr>
          <w:rFonts w:hint="eastAsia" w:ascii="仿宋_GB2312" w:hAnsi="宋体" w:eastAsia="仿宋_GB2312" w:cs="宋体"/>
          <w:b/>
          <w:bCs/>
          <w:color w:val="auto"/>
          <w:kern w:val="0"/>
          <w:sz w:val="24"/>
          <w:szCs w:val="24"/>
          <w:highlight w:val="none"/>
        </w:rPr>
        <w:t>（十三）信息传递风险</w:t>
      </w:r>
    </w:p>
    <w:p w14:paraId="6DFC4524">
      <w:pPr>
        <w:ind w:firstLine="480"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Cs/>
          <w:color w:val="auto"/>
          <w:kern w:val="0"/>
          <w:sz w:val="24"/>
          <w:szCs w:val="24"/>
          <w:highlight w:val="none"/>
        </w:rPr>
        <w:t>理财产品管理人将按照理财产品销售文件中约定的信息披露方式、披露途径向投资者披露涉及本理财产品的各类信息和重大事件，投资者应及时查询了解。</w:t>
      </w:r>
      <w:r>
        <w:rPr>
          <w:rFonts w:hint="eastAsia" w:ascii="仿宋_GB2312" w:hAnsi="宋体" w:eastAsia="仿宋_GB2312" w:cs="宋体"/>
          <w:b/>
          <w:bCs/>
          <w:color w:val="auto"/>
          <w:kern w:val="0"/>
          <w:sz w:val="24"/>
          <w:szCs w:val="24"/>
          <w:highlight w:val="none"/>
        </w:rPr>
        <w:t>如投资者未及时查询相关信息或由于不可抗力</w:t>
      </w:r>
      <w:r>
        <w:rPr>
          <w:rFonts w:hint="eastAsia" w:ascii="仿宋_GB2312" w:hAnsi="宋体" w:eastAsia="仿宋_GB2312" w:cs="宋体"/>
          <w:bCs/>
          <w:color w:val="auto"/>
          <w:kern w:val="0"/>
          <w:sz w:val="24"/>
          <w:szCs w:val="24"/>
          <w:highlight w:val="none"/>
        </w:rPr>
        <w:t>（包括但不限于政府行为、自然灾害、疫情等）</w:t>
      </w:r>
      <w:r>
        <w:rPr>
          <w:rFonts w:hint="eastAsia" w:ascii="仿宋_GB2312" w:hAnsi="宋体" w:eastAsia="仿宋_GB2312" w:cs="宋体"/>
          <w:b/>
          <w:bCs/>
          <w:color w:val="auto"/>
          <w:kern w:val="0"/>
          <w:sz w:val="24"/>
          <w:szCs w:val="24"/>
          <w:highlight w:val="none"/>
        </w:rPr>
        <w:t>或意外事件的影响使得投资者无法及时了解本理财产品信息，进而影响投资者的投资决策行为，因此而产生的责任和风险由投资者承担。如投资者未及时告知理财产品管理人联系方式变更或理财产品管理人在其认为需要时无法及时联系到投资者，使得投资者无法及时获知本理财产品信息，进而影响投资者的投资决策行为，因此而产生的责任和风险由投资者承担。</w:t>
      </w:r>
    </w:p>
    <w:p w14:paraId="08303806">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（十四）关联关系及关联交易风险</w:t>
      </w:r>
    </w:p>
    <w:p w14:paraId="2FC81FC8">
      <w:pPr>
        <w:ind w:firstLine="480"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Cs/>
          <w:color w:val="auto"/>
          <w:kern w:val="0"/>
          <w:sz w:val="24"/>
          <w:szCs w:val="24"/>
          <w:highlight w:val="none"/>
        </w:rPr>
        <w:t>浙银理财作为本理财产品的发行人、管理人，独立履行产品管理职责；浙银理财委托托管机构托管理财产品或委托销售机构销售理财产品的，可能涉及委托浙商银行股份有限公司（以下简称“浙商银行”）担任理财产品的托管机构或销售机构，负责理财产品的托管或代理销售工作。浙银理财是浙商银行控股的子公司，</w:t>
      </w:r>
      <w:r>
        <w:rPr>
          <w:rFonts w:hint="eastAsia" w:ascii="仿宋_GB2312" w:hAnsi="宋体" w:eastAsia="仿宋_GB2312" w:cs="宋体"/>
          <w:b/>
          <w:bCs/>
          <w:color w:val="auto"/>
          <w:kern w:val="0"/>
          <w:sz w:val="24"/>
          <w:szCs w:val="24"/>
          <w:highlight w:val="none"/>
        </w:rPr>
        <w:t>双方存在关联关系。</w:t>
      </w:r>
    </w:p>
    <w:p w14:paraId="5A601969">
      <w:pPr>
        <w:ind w:firstLine="480"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Cs/>
          <w:color w:val="auto"/>
          <w:kern w:val="0"/>
          <w:sz w:val="24"/>
          <w:szCs w:val="24"/>
          <w:highlight w:val="none"/>
        </w:rPr>
        <w:t>本理财产品可能投资于管理人、个别销售机构或托管人的主要股东、实际控制人、一致行动人、最终受益人，托管人，同一股东或托管人控股的机构，或者与管理人或托管人有重大利害关系的机构发行或承销的证券，或者从事其他关联交易，本理财产品也可能由管理人的关联方进行托管或代理销售。上述各方在业务执行及实施上具有隔离机制，并符合相关法律法规要求，且上述各方将依照恪尽职守、诚实信用、谨慎勤勉的原则按照市场公允定价进行公平交易，但仍可能存在利益冲突。</w:t>
      </w:r>
      <w:r>
        <w:rPr>
          <w:rFonts w:hint="eastAsia" w:ascii="仿宋_GB2312" w:hAnsi="宋体" w:eastAsia="仿宋_GB2312" w:cs="宋体"/>
          <w:b/>
          <w:bCs/>
          <w:color w:val="auto"/>
          <w:kern w:val="0"/>
          <w:sz w:val="24"/>
          <w:szCs w:val="24"/>
          <w:highlight w:val="none"/>
        </w:rPr>
        <w:t>提请投资者充分知悉、关注本理财产品关联关系和关联交易风险，投资者签署本理财产品销售文件即代表投资者认可且同意上述可能发生的关联交易并自愿承担相关风险。</w:t>
      </w:r>
    </w:p>
    <w:p w14:paraId="438F50CA">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（十五）再投资风险</w:t>
      </w:r>
    </w:p>
    <w:p w14:paraId="2D571433">
      <w:pPr>
        <w:ind w:firstLine="480" w:firstLineChars="200"/>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由于浙银理财有权根据市场状况和产品余额情况提前终止本理财产品，因市场利率下滑，投资者可能面临本金和收益再投资收益率降低的风险。</w:t>
      </w:r>
    </w:p>
    <w:p w14:paraId="7FD72544">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（十六）估值风险</w:t>
      </w:r>
    </w:p>
    <w:p w14:paraId="73E2FC43">
      <w:pPr>
        <w:ind w:firstLine="480" w:firstLineChars="200"/>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本理财产品按《产品说明书》的估值方法进行估值，理财产品估值与实际变现价值可能发生偏离，投资者应知晓该风险。本理财产品管理人估值仅作为参考，本理财产品管理人不承担第三方再次使用该估值引发的其他风险。本理财产品所投资的资产管理产品以其估值日截止时点能够取得的最新份额净值进行估值。因此，在前述情况下可能会出现本理财产品净值不能完全反映所投资资产管理计划或基金等资产管理产品估值日当日净值的情形。</w:t>
      </w:r>
    </w:p>
    <w:p w14:paraId="5B6B2A15">
      <w:pPr>
        <w:ind w:firstLine="480" w:firstLineChars="200"/>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本理财产品可能投资符合监管要求的资产管理产品（包括但不限于信托计划、公募基金、基金公司或子公司资产管理计划、证券公司资产管理计划、期货资产管理计划、保险资产管理计划等，具体以《产品说明书》或理财产品定期报告披露为准），前述资产管理产品的管理人可能收取业绩报酬，当前述资产管理产品计提业绩报酬时，本理财产品的产品份额净值存在下跌风险。</w:t>
      </w:r>
    </w:p>
    <w:p w14:paraId="5BFCEBA6">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（十七）托管及清算风险</w:t>
      </w:r>
    </w:p>
    <w:p w14:paraId="3DB95AF8">
      <w:pPr>
        <w:ind w:firstLine="480" w:firstLineChars="200"/>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本理财产品存在托管人，若因托管人操作失误或因任何原因未能按约履行托管人职责，或丧失进行托管的能力或法定资格，均可能给本理财产品带来风险。</w:t>
      </w:r>
    </w:p>
    <w:p w14:paraId="4F528DBF">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（十八）税务风险</w:t>
      </w:r>
    </w:p>
    <w:p w14:paraId="26477163">
      <w:pPr>
        <w:ind w:firstLine="480" w:firstLineChars="200"/>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根据国家相关法律法规，理财产品运营过程中发生的应由理财产品承担的增值税应税行为，由产品管理人申报和缴纳增值税及附加税费。该等税款将直接从理财产品中扣付缴纳，本理财产品将因为前述增值税等税负承担导致税费支出增加、理财产品净值或实际收益降低，从而降低投资者的收益水平。</w:t>
      </w:r>
    </w:p>
    <w:p w14:paraId="57E4B7A2">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（十九）不同理财产品份额类别存在差异的风险</w:t>
      </w:r>
    </w:p>
    <w:p w14:paraId="2F65D0C9">
      <w:pPr>
        <w:ind w:firstLine="480" w:firstLineChars="200"/>
        <w:rPr>
          <w:rFonts w:hint="eastAsia"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管理人有权根据投资者购买理财产品的金额、销售渠道、客户类型等因素，对投资者所持有的理财产品份额设置不同的理财产品份额类别。不同类别的理财产品份额可能在产品销售名称、产品销售代码、销售渠道、销售客群、销售服务费率、托管费率、收费方式、业绩比较基准、认购/申购起点金额及递增金额、认/申购上限金额、认/申购和赎回数量限制、持有金额上/下限、单一投资者持有份额</w:t>
      </w:r>
      <w:r>
        <w:rPr>
          <w:rFonts w:ascii="仿宋_GB2312" w:hAnsi="宋体" w:eastAsia="仿宋_GB2312" w:cs="宋体"/>
          <w:color w:val="auto"/>
          <w:kern w:val="0"/>
          <w:sz w:val="24"/>
          <w:szCs w:val="24"/>
          <w:highlight w:val="none"/>
        </w:rPr>
        <w:t>占比</w:t>
      </w:r>
      <w:r>
        <w:rPr>
          <w:rFonts w:hint="eastAsia" w:ascii="仿宋_GB2312" w:hAnsi="宋体" w:eastAsia="仿宋_GB2312" w:cs="宋体"/>
          <w:color w:val="auto"/>
          <w:kern w:val="0"/>
          <w:sz w:val="24"/>
          <w:szCs w:val="24"/>
          <w:highlight w:val="none"/>
        </w:rPr>
        <w:t>上限、产品规模上限、产品份额净值的计算结果及信息披露等方面存在差异。</w:t>
      </w:r>
    </w:p>
    <w:p w14:paraId="185C3FFC">
      <w:pPr>
        <w:ind w:firstLine="482" w:firstLineChars="200"/>
        <w:rPr>
          <w:rFonts w:hint="eastAsia" w:ascii="仿宋_GB2312" w:hAnsi="宋体" w:eastAsia="仿宋_GB2312" w:cs="宋体"/>
          <w:b/>
          <w:bCs/>
          <w:kern w:val="0"/>
          <w:sz w:val="24"/>
          <w:highlight w:val="yellow"/>
        </w:rPr>
      </w:pPr>
      <w:r>
        <w:rPr>
          <w:rFonts w:hint="eastAsia" w:ascii="仿宋_GB2312" w:hAnsi="宋体" w:eastAsia="仿宋_GB2312" w:cs="宋体"/>
          <w:b/>
          <w:bCs/>
          <w:kern w:val="0"/>
          <w:sz w:val="24"/>
          <w:highlight w:val="yellow"/>
        </w:rPr>
        <w:t>（二十）</w:t>
      </w:r>
      <w:r>
        <w:rPr>
          <w:rFonts w:hint="eastAsia" w:ascii="仿宋_GB2312" w:hAnsi="宋体" w:eastAsia="仿宋_GB2312" w:cs="宋体"/>
          <w:b/>
          <w:bCs/>
          <w:kern w:val="0"/>
          <w:sz w:val="24"/>
          <w:highlight w:val="yellow"/>
          <w:lang w:eastAsia="zh-CN"/>
        </w:rPr>
        <w:t>投资特定</w:t>
      </w:r>
      <w:r>
        <w:rPr>
          <w:rFonts w:hint="eastAsia" w:ascii="仿宋_GB2312" w:hAnsi="宋体" w:eastAsia="仿宋_GB2312" w:cs="宋体"/>
          <w:b/>
          <w:bCs/>
          <w:kern w:val="0"/>
          <w:sz w:val="24"/>
          <w:highlight w:val="yellow"/>
        </w:rPr>
        <w:t>风险</w:t>
      </w:r>
    </w:p>
    <w:p w14:paraId="5A610B73">
      <w:pPr>
        <w:numPr>
          <w:ilvl w:val="0"/>
          <w:numId w:val="0"/>
        </w:numPr>
        <w:ind w:firstLine="482" w:firstLineChars="200"/>
        <w:rPr>
          <w:rFonts w:hint="eastAsia" w:ascii="仿宋_GB2312" w:hAnsi="宋体" w:eastAsia="仿宋_GB2312" w:cs="宋体"/>
          <w:b/>
          <w:bCs/>
          <w:color w:val="000000"/>
          <w:kern w:val="0"/>
          <w:sz w:val="24"/>
          <w:highlight w:val="yellow"/>
        </w:rPr>
      </w:pPr>
      <w:r>
        <w:rPr>
          <w:rFonts w:hint="eastAsia" w:ascii="仿宋_GB2312" w:hAnsi="宋体" w:eastAsia="仿宋_GB2312" w:cs="宋体"/>
          <w:b/>
          <w:bCs/>
          <w:color w:val="000000"/>
          <w:kern w:val="0"/>
          <w:sz w:val="24"/>
          <w:highlight w:val="yellow"/>
        </w:rPr>
        <w:t>本</w:t>
      </w:r>
      <w:r>
        <w:rPr>
          <w:rFonts w:hint="eastAsia" w:ascii="仿宋_GB2312" w:hAnsi="宋体" w:eastAsia="仿宋_GB2312" w:cs="宋体"/>
          <w:b/>
          <w:bCs/>
          <w:color w:val="000000"/>
          <w:kern w:val="0"/>
          <w:sz w:val="24"/>
          <w:highlight w:val="yellow"/>
          <w:lang w:eastAsia="zh-CN"/>
        </w:rPr>
        <w:t>理财产品因</w:t>
      </w:r>
      <w:r>
        <w:rPr>
          <w:rFonts w:hint="eastAsia" w:ascii="仿宋_GB2312" w:hAnsi="宋体" w:eastAsia="仿宋_GB2312" w:cs="宋体"/>
          <w:b/>
          <w:bCs/>
          <w:color w:val="000000"/>
          <w:kern w:val="0"/>
          <w:sz w:val="24"/>
          <w:highlight w:val="yellow"/>
        </w:rPr>
        <w:t>拟投资市场</w:t>
      </w:r>
      <w:r>
        <w:rPr>
          <w:rFonts w:hint="eastAsia" w:ascii="仿宋_GB2312" w:hAnsi="宋体" w:eastAsia="仿宋_GB2312" w:cs="宋体"/>
          <w:b/>
          <w:bCs/>
          <w:color w:val="000000"/>
          <w:kern w:val="0"/>
          <w:sz w:val="24"/>
          <w:highlight w:val="yellow"/>
          <w:lang w:eastAsia="zh-CN"/>
        </w:rPr>
        <w:t>和资产类别</w:t>
      </w:r>
      <w:r>
        <w:rPr>
          <w:rFonts w:hint="eastAsia" w:ascii="仿宋_GB2312" w:hAnsi="宋体" w:eastAsia="仿宋_GB2312" w:cs="宋体"/>
          <w:b/>
          <w:bCs/>
          <w:color w:val="000000"/>
          <w:kern w:val="0"/>
          <w:sz w:val="24"/>
          <w:highlight w:val="yellow"/>
        </w:rPr>
        <w:t>可能面临的</w:t>
      </w:r>
      <w:r>
        <w:rPr>
          <w:rFonts w:hint="eastAsia" w:ascii="仿宋_GB2312" w:hAnsi="宋体" w:eastAsia="仿宋_GB2312" w:cs="宋体"/>
          <w:b/>
          <w:bCs/>
          <w:color w:val="000000"/>
          <w:kern w:val="0"/>
          <w:sz w:val="24"/>
          <w:highlight w:val="yellow"/>
          <w:lang w:eastAsia="zh-CN"/>
        </w:rPr>
        <w:t>特定</w:t>
      </w:r>
      <w:r>
        <w:rPr>
          <w:rFonts w:hint="eastAsia" w:ascii="仿宋_GB2312" w:hAnsi="宋体" w:eastAsia="仿宋_GB2312" w:cs="宋体"/>
          <w:b/>
          <w:bCs/>
          <w:color w:val="000000"/>
          <w:kern w:val="0"/>
          <w:sz w:val="24"/>
          <w:highlight w:val="yellow"/>
        </w:rPr>
        <w:t>风险如下：</w:t>
      </w:r>
    </w:p>
    <w:p w14:paraId="4D6E632C">
      <w:pPr>
        <w:numPr>
          <w:ilvl w:val="0"/>
          <w:numId w:val="0"/>
        </w:numPr>
        <w:ind w:firstLine="482" w:firstLineChars="200"/>
        <w:rPr>
          <w:rFonts w:hint="eastAsia" w:ascii="仿宋_GB2312" w:hAnsi="宋体" w:eastAsia="仿宋_GB2312" w:cs="宋体"/>
          <w:b/>
          <w:bCs/>
          <w:color w:val="000000"/>
          <w:kern w:val="0"/>
          <w:sz w:val="24"/>
          <w:highlight w:val="yellow"/>
        </w:rPr>
      </w:pPr>
      <w:r>
        <w:rPr>
          <w:rFonts w:hint="eastAsia" w:ascii="仿宋_GB2312" w:hAnsi="宋体" w:eastAsia="仿宋_GB2312" w:cs="宋体"/>
          <w:b/>
          <w:bCs/>
          <w:color w:val="000000"/>
          <w:kern w:val="0"/>
          <w:sz w:val="24"/>
          <w:highlight w:val="yellow"/>
          <w:lang w:val="en-US" w:eastAsia="zh-CN"/>
        </w:rPr>
        <w:t>1.</w:t>
      </w:r>
      <w:r>
        <w:rPr>
          <w:rFonts w:hint="eastAsia" w:ascii="仿宋_GB2312" w:hAnsi="宋体" w:eastAsia="仿宋_GB2312" w:cs="宋体"/>
          <w:b/>
          <w:bCs/>
          <w:color w:val="000000"/>
          <w:kern w:val="0"/>
          <w:sz w:val="24"/>
          <w:highlight w:val="yellow"/>
        </w:rPr>
        <w:t>投资于固定收益类资产</w:t>
      </w:r>
      <w:r>
        <w:rPr>
          <w:rFonts w:hint="eastAsia" w:ascii="仿宋_GB2312" w:hAnsi="宋体" w:eastAsia="仿宋_GB2312" w:cs="宋体"/>
          <w:b/>
          <w:bCs/>
          <w:color w:val="000000"/>
          <w:kern w:val="0"/>
          <w:sz w:val="24"/>
          <w:highlight w:val="yellow"/>
          <w:lang w:eastAsia="zh-CN"/>
        </w:rPr>
        <w:t>（如有）</w:t>
      </w:r>
      <w:r>
        <w:rPr>
          <w:rFonts w:hint="eastAsia" w:ascii="仿宋_GB2312" w:hAnsi="宋体" w:eastAsia="仿宋_GB2312" w:cs="宋体"/>
          <w:b/>
          <w:bCs/>
          <w:color w:val="000000"/>
          <w:kern w:val="0"/>
          <w:sz w:val="24"/>
          <w:highlight w:val="yellow"/>
        </w:rPr>
        <w:t>的可能风险：</w:t>
      </w:r>
    </w:p>
    <w:p w14:paraId="0676A321">
      <w:pPr>
        <w:numPr>
          <w:ilvl w:val="0"/>
          <w:numId w:val="0"/>
        </w:numPr>
        <w:ind w:firstLine="482" w:firstLineChars="200"/>
        <w:rPr>
          <w:rFonts w:hint="eastAsia" w:ascii="仿宋_GB2312" w:hAnsi="宋体" w:eastAsia="仿宋_GB2312" w:cs="宋体"/>
          <w:b/>
          <w:bCs/>
          <w:color w:val="000000"/>
          <w:kern w:val="0"/>
          <w:sz w:val="24"/>
          <w:highlight w:val="yellow"/>
        </w:rPr>
      </w:pPr>
      <w:r>
        <w:rPr>
          <w:rFonts w:hint="eastAsia" w:ascii="仿宋_GB2312" w:hAnsi="宋体" w:eastAsia="仿宋_GB2312" w:cs="宋体"/>
          <w:b/>
          <w:bCs/>
          <w:color w:val="000000"/>
          <w:kern w:val="0"/>
          <w:sz w:val="24"/>
          <w:highlight w:val="yellow"/>
          <w:lang w:eastAsia="zh-CN"/>
        </w:rPr>
        <w:t>（</w:t>
      </w:r>
      <w:r>
        <w:rPr>
          <w:rFonts w:hint="eastAsia" w:ascii="仿宋_GB2312" w:hAnsi="宋体" w:eastAsia="仿宋_GB2312" w:cs="宋体"/>
          <w:b/>
          <w:bCs/>
          <w:color w:val="000000"/>
          <w:kern w:val="0"/>
          <w:sz w:val="24"/>
          <w:highlight w:val="yellow"/>
        </w:rPr>
        <w:t>1）国家政策、经济周期、利率、汇率等因素可能发生的变化导致的市场风险。（2）债券发行人、担保人的经营状况、信用质量降低等可能发生的变化导致的信用风险。（3）债券发行人、担保人信用等级降低导致债券价格下降，可能影响投资者收益，甚至使产品本金遭受损失。（4）非公开定向债务融资工具的流通和转让限制导致的流动性风险。（5）债券市场出现整体下跌，导致债券市场的系统性风险等。（6）可转/交换债券投资风险（如有）：可转/交换债券收益与对应标的股票股价直接挂钩，债券价格可能受之影响；转股期内，对应标的股票价格可能低于转股价格，若选择转股，产品将承受标的股票价格低于转股价格之间的价差；转股价格向下修正条款触发时，存在发行方不同意修正转股价格的风险；赎回条款可能导致债券提前兑付或转股期缩短而影响投资收益的风险；存在因政策限制导致无法转股的风险，可转/交换债券投资受到包括但不限于上述因素影响时，可能影响投资者收益，甚至使产品本金遭受损失。（7）永续债投资风险（如有）：永续债发行人可能延期支付利息，且永续债无到期日，可能因流动性差无法变现、无法收回本金，使产品出现流动性风险；永续债附加的回售或赎回权，可能会导致管理人以不利价格出售永续债，从而影响投资者收益。</w:t>
      </w:r>
    </w:p>
    <w:p w14:paraId="3DD9E6DE">
      <w:pPr>
        <w:numPr>
          <w:ilvl w:val="0"/>
          <w:numId w:val="0"/>
        </w:numPr>
        <w:ind w:firstLine="482" w:firstLineChars="200"/>
        <w:rPr>
          <w:rFonts w:hint="eastAsia" w:ascii="仿宋_GB2312" w:hAnsi="宋体" w:eastAsia="仿宋_GB2312" w:cs="宋体"/>
          <w:b/>
          <w:bCs/>
          <w:color w:val="000000"/>
          <w:kern w:val="0"/>
          <w:sz w:val="24"/>
          <w:highlight w:val="yellow"/>
          <w:lang w:eastAsia="zh-CN"/>
        </w:rPr>
      </w:pPr>
      <w:r>
        <w:rPr>
          <w:rFonts w:hint="eastAsia" w:ascii="仿宋_GB2312" w:hAnsi="宋体" w:eastAsia="仿宋_GB2312" w:cs="宋体"/>
          <w:b/>
          <w:bCs/>
          <w:color w:val="000000"/>
          <w:kern w:val="0"/>
          <w:sz w:val="24"/>
          <w:highlight w:val="yellow"/>
          <w:lang w:val="en-US" w:eastAsia="zh-CN"/>
        </w:rPr>
        <w:t>2.</w:t>
      </w:r>
      <w:r>
        <w:rPr>
          <w:rFonts w:hint="eastAsia" w:ascii="仿宋_GB2312" w:hAnsi="宋体" w:eastAsia="仿宋_GB2312" w:cs="宋体"/>
          <w:b/>
          <w:bCs/>
          <w:color w:val="000000"/>
          <w:kern w:val="0"/>
          <w:sz w:val="24"/>
          <w:highlight w:val="yellow"/>
        </w:rPr>
        <w:t>投资于</w:t>
      </w:r>
      <w:r>
        <w:rPr>
          <w:rFonts w:hint="eastAsia" w:ascii="仿宋_GB2312" w:hAnsi="宋体" w:eastAsia="仿宋_GB2312" w:cs="宋体"/>
          <w:b/>
          <w:bCs/>
          <w:color w:val="000000"/>
          <w:kern w:val="0"/>
          <w:sz w:val="24"/>
          <w:highlight w:val="yellow"/>
          <w:lang w:eastAsia="zh-CN"/>
        </w:rPr>
        <w:t>股票等权益</w:t>
      </w:r>
      <w:r>
        <w:rPr>
          <w:rFonts w:hint="eastAsia" w:ascii="仿宋_GB2312" w:hAnsi="宋体" w:eastAsia="仿宋_GB2312" w:cs="宋体"/>
          <w:b/>
          <w:bCs/>
          <w:color w:val="000000"/>
          <w:kern w:val="0"/>
          <w:sz w:val="24"/>
          <w:highlight w:val="yellow"/>
        </w:rPr>
        <w:t>类资产（如有）的可能风险</w:t>
      </w:r>
      <w:r>
        <w:rPr>
          <w:rFonts w:hint="eastAsia" w:ascii="仿宋_GB2312" w:hAnsi="宋体" w:eastAsia="仿宋_GB2312" w:cs="宋体"/>
          <w:b/>
          <w:bCs/>
          <w:color w:val="000000"/>
          <w:kern w:val="0"/>
          <w:sz w:val="24"/>
          <w:highlight w:val="yellow"/>
          <w:lang w:eastAsia="zh-CN"/>
        </w:rPr>
        <w:t>：</w:t>
      </w:r>
    </w:p>
    <w:p w14:paraId="3E5867D6">
      <w:pPr>
        <w:numPr>
          <w:ilvl w:val="0"/>
          <w:numId w:val="0"/>
        </w:numPr>
        <w:ind w:firstLine="482" w:firstLineChars="200"/>
        <w:rPr>
          <w:rFonts w:hint="eastAsia" w:ascii="仿宋_GB2312" w:hAnsi="宋体" w:eastAsia="仿宋_GB2312" w:cs="宋体"/>
          <w:b/>
          <w:bCs/>
          <w:color w:val="000000"/>
          <w:kern w:val="0"/>
          <w:sz w:val="24"/>
          <w:highlight w:val="yellow"/>
        </w:rPr>
      </w:pPr>
      <w:r>
        <w:rPr>
          <w:rFonts w:hint="eastAsia" w:ascii="仿宋_GB2312" w:hAnsi="宋体" w:eastAsia="仿宋_GB2312" w:cs="宋体"/>
          <w:b/>
          <w:bCs/>
          <w:color w:val="000000"/>
          <w:kern w:val="0"/>
          <w:sz w:val="24"/>
          <w:highlight w:val="yellow"/>
        </w:rPr>
        <w:t>国家货币、财政、产业等政策变化对证券市场产生一定的影响，导致市场价格水平波动的风险；宏观经济运行周期性波动，对股票市场的收益水平产生影响的风险；上市公司的经营状况受多种因素影响，如市场、技术、竞争、管理、财务等都可能导致公司盈利发生变化，从而导致股票价格下跌，影响投资者收益，甚至使产品本金遭受损失；股票遭流通和转让限制导致的流动性风险；投资于不同板块、不同市场股票，如投资科创板、创业板、港股通股票等，可能面临因投资标的、市场制度、交易规则、监管法规等差异造成的风险等。</w:t>
      </w:r>
    </w:p>
    <w:p w14:paraId="0A3C486E">
      <w:pPr>
        <w:numPr>
          <w:ilvl w:val="0"/>
          <w:numId w:val="0"/>
        </w:numPr>
        <w:ind w:firstLine="482" w:firstLineChars="200"/>
        <w:rPr>
          <w:rFonts w:hint="eastAsia" w:ascii="仿宋_GB2312" w:hAnsi="宋体" w:eastAsia="仿宋_GB2312" w:cs="宋体"/>
          <w:b/>
          <w:bCs/>
          <w:color w:val="000000"/>
          <w:kern w:val="0"/>
          <w:sz w:val="24"/>
          <w:highlight w:val="yellow"/>
        </w:rPr>
      </w:pPr>
      <w:r>
        <w:rPr>
          <w:rFonts w:hint="eastAsia" w:ascii="仿宋_GB2312" w:hAnsi="宋体" w:eastAsia="仿宋_GB2312" w:cs="宋体"/>
          <w:b/>
          <w:bCs/>
          <w:color w:val="000000"/>
          <w:kern w:val="0"/>
          <w:sz w:val="24"/>
          <w:highlight w:val="yellow"/>
        </w:rPr>
        <w:t>优先股具有固定收益证券的特征，但优先股发行方无到期归还本金的义务，可能发生发行人经营状况恶化、无法足额支付股息的风险，从而影响产品和投资者收益；优先股属于权益类资产，价格受国家各类政策、宏观经济、行业发展等多种因素影响，可能发生波动从而影响产品收益，甚至使产品本金遭受损失。</w:t>
      </w:r>
    </w:p>
    <w:p w14:paraId="7B973444">
      <w:pPr>
        <w:ind w:firstLine="482" w:firstLineChars="200"/>
        <w:rPr>
          <w:rFonts w:hint="eastAsia" w:ascii="仿宋_GB2312" w:hAnsi="宋体" w:eastAsia="仿宋_GB2312" w:cs="宋体"/>
          <w:b/>
          <w:bCs/>
          <w:color w:val="000000"/>
          <w:kern w:val="0"/>
          <w:sz w:val="24"/>
          <w:highlight w:val="yellow"/>
          <w:lang w:eastAsia="zh-CN"/>
        </w:rPr>
      </w:pPr>
      <w:r>
        <w:rPr>
          <w:rFonts w:hint="eastAsia" w:ascii="仿宋_GB2312" w:hAnsi="宋体" w:eastAsia="仿宋_GB2312" w:cs="宋体"/>
          <w:b/>
          <w:bCs/>
          <w:color w:val="000000"/>
          <w:kern w:val="0"/>
          <w:sz w:val="24"/>
          <w:highlight w:val="yellow"/>
          <w:lang w:val="en-US" w:eastAsia="zh-CN"/>
        </w:rPr>
        <w:t>3</w:t>
      </w:r>
      <w:r>
        <w:rPr>
          <w:rFonts w:hint="eastAsia" w:ascii="仿宋_GB2312" w:hAnsi="宋体" w:eastAsia="仿宋_GB2312" w:cs="宋体"/>
          <w:b/>
          <w:bCs/>
          <w:color w:val="000000"/>
          <w:kern w:val="0"/>
          <w:sz w:val="24"/>
          <w:highlight w:val="yellow"/>
        </w:rPr>
        <w:t>.投资于商品及金融衍生品类资产（如有）的可能风险</w:t>
      </w:r>
      <w:r>
        <w:rPr>
          <w:rFonts w:hint="eastAsia" w:ascii="仿宋_GB2312" w:hAnsi="宋体" w:eastAsia="仿宋_GB2312" w:cs="宋体"/>
          <w:b/>
          <w:bCs/>
          <w:color w:val="000000"/>
          <w:kern w:val="0"/>
          <w:sz w:val="24"/>
          <w:highlight w:val="yellow"/>
          <w:lang w:eastAsia="zh-CN"/>
        </w:rPr>
        <w:t>：</w:t>
      </w:r>
    </w:p>
    <w:p w14:paraId="100E0A42">
      <w:pPr>
        <w:ind w:firstLine="482" w:firstLineChars="200"/>
        <w:rPr>
          <w:rFonts w:hint="eastAsia" w:ascii="仿宋_GB2312" w:hAnsi="宋体" w:eastAsia="仿宋_GB2312" w:cs="宋体"/>
          <w:b/>
          <w:bCs/>
          <w:color w:val="000000"/>
          <w:kern w:val="0"/>
          <w:sz w:val="24"/>
          <w:highlight w:val="yellow"/>
          <w:lang w:eastAsia="zh-CN"/>
        </w:rPr>
      </w:pPr>
      <w:r>
        <w:rPr>
          <w:rFonts w:hint="eastAsia" w:ascii="仿宋_GB2312" w:hAnsi="宋体" w:eastAsia="仿宋_GB2312" w:cs="宋体"/>
          <w:b/>
          <w:bCs/>
          <w:color w:val="000000"/>
          <w:kern w:val="0"/>
          <w:sz w:val="24"/>
          <w:highlight w:val="yellow"/>
        </w:rPr>
        <w:t>基础产品价格波动造成衍生品价格波动，高杠杆和跨期交易可能加剧衍生品价格波动的市场风险；衍生品发行方或交易对手方违约或不履行合约的导致的信用风险；缺乏交易对手导致无法平仓/变现、流动资金不足或无法追加保证金导致被迫平仓造成亏损的风险；因内部程序、人员、系统操作不当或因外部事件导致损失的操作风险；部分衍生品操作相关法律法规的滞后，交易合约在法律范围内无效而无法履约或交易合约订立不当产生的法律风险。由于期货与现货间的价差的波动，影响套期保值或套利效果，使之发生意外损益的</w:t>
      </w:r>
      <w:r>
        <w:rPr>
          <w:rFonts w:hint="eastAsia" w:ascii="仿宋_GB2312" w:hAnsi="宋体" w:eastAsia="仿宋_GB2312" w:cs="宋体"/>
          <w:b/>
          <w:bCs/>
          <w:color w:val="000000"/>
          <w:kern w:val="0"/>
          <w:sz w:val="24"/>
          <w:highlight w:val="yellow"/>
          <w:lang w:eastAsia="zh-CN"/>
        </w:rPr>
        <w:t>基差</w:t>
      </w:r>
      <w:r>
        <w:rPr>
          <w:rFonts w:hint="eastAsia" w:ascii="仿宋_GB2312" w:hAnsi="宋体" w:eastAsia="仿宋_GB2312" w:cs="宋体"/>
          <w:b/>
          <w:bCs/>
          <w:color w:val="000000"/>
          <w:kern w:val="0"/>
          <w:sz w:val="24"/>
          <w:highlight w:val="yellow"/>
        </w:rPr>
        <w:t>风险</w:t>
      </w:r>
      <w:r>
        <w:rPr>
          <w:rFonts w:hint="eastAsia" w:ascii="仿宋_GB2312" w:hAnsi="宋体" w:eastAsia="仿宋_GB2312" w:cs="宋体"/>
          <w:b/>
          <w:bCs/>
          <w:color w:val="000000"/>
          <w:kern w:val="0"/>
          <w:sz w:val="24"/>
          <w:highlight w:val="yellow"/>
          <w:lang w:eastAsia="zh-CN"/>
        </w:rPr>
        <w:t>。</w:t>
      </w:r>
    </w:p>
    <w:p w14:paraId="212930B9">
      <w:pPr>
        <w:ind w:firstLine="482" w:firstLineChars="200"/>
        <w:rPr>
          <w:rFonts w:ascii="仿宋_GB2312" w:eastAsia="仿宋_GB2312"/>
          <w:b/>
          <w:color w:val="auto"/>
          <w:sz w:val="24"/>
          <w:szCs w:val="24"/>
          <w:highlight w:val="none"/>
        </w:rPr>
      </w:pPr>
      <w:r>
        <w:rPr>
          <w:rFonts w:hint="eastAsia" w:ascii="仿宋_GB2312" w:hAnsi="宋体" w:eastAsia="仿宋_GB2312" w:cs="宋体"/>
          <w:b/>
          <w:bCs/>
          <w:color w:val="auto"/>
          <w:kern w:val="0"/>
          <w:sz w:val="24"/>
          <w:szCs w:val="24"/>
          <w:highlight w:val="none"/>
        </w:rPr>
        <w:t>（二十</w:t>
      </w:r>
      <w:r>
        <w:rPr>
          <w:rFonts w:hint="eastAsia" w:ascii="仿宋_GB2312" w:hAnsi="宋体" w:eastAsia="仿宋_GB2312" w:cs="宋体"/>
          <w:b/>
          <w:bCs/>
          <w:color w:val="auto"/>
          <w:kern w:val="0"/>
          <w:sz w:val="24"/>
          <w:szCs w:val="24"/>
          <w:highlight w:val="none"/>
          <w:lang w:eastAsia="zh-CN"/>
        </w:rPr>
        <w:t>一</w:t>
      </w:r>
      <w:r>
        <w:rPr>
          <w:rFonts w:hint="eastAsia" w:ascii="仿宋_GB2312" w:hAnsi="宋体" w:eastAsia="仿宋_GB2312" w:cs="宋体"/>
          <w:b/>
          <w:bCs/>
          <w:color w:val="auto"/>
          <w:kern w:val="0"/>
          <w:sz w:val="24"/>
          <w:szCs w:val="24"/>
          <w:highlight w:val="none"/>
        </w:rPr>
        <w:t>）其他风险</w:t>
      </w:r>
    </w:p>
    <w:p w14:paraId="7056975D">
      <w:pPr>
        <w:ind w:firstLine="480" w:firstLineChars="200"/>
        <w:rPr>
          <w:rFonts w:ascii="仿宋_GB2312" w:eastAsia="仿宋_GB2312"/>
          <w:color w:val="auto"/>
          <w:sz w:val="24"/>
          <w:szCs w:val="24"/>
          <w:highlight w:val="none"/>
        </w:rPr>
      </w:pPr>
      <w:r>
        <w:rPr>
          <w:rFonts w:hint="eastAsia" w:ascii="仿宋_GB2312" w:hAnsi="宋体" w:eastAsia="仿宋_GB2312" w:cs="宋体"/>
          <w:bCs/>
          <w:color w:val="auto"/>
          <w:kern w:val="0"/>
          <w:sz w:val="24"/>
          <w:szCs w:val="24"/>
          <w:highlight w:val="none"/>
        </w:rPr>
        <w:t>自然灾害、疫情、战争、金融危机等不能预见、不能避免、不能克服的不可抗力因素的出现，或系统故障、通讯故障、投资市场停止交易等意外事件的发生，可能对本理财产品的受理、成立、投资运作、资金返还、信息披露等造成影响，甚至可能导致本理财产品本金和收益的降低或损失，以及本金和收益延迟支付。对于由不可抗力及意外事件风险导致的任何损失和延迟支付，须投资者承担。</w:t>
      </w:r>
    </w:p>
    <w:p w14:paraId="1144F86F">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以上所揭示事项仅为列举性质，未能尽述列明投资者投资本理财产品所面临的全部风险和可能导致投资者资产损失的所有因素。投资者应充分认识投资风险，谨慎投资。</w:t>
      </w:r>
    </w:p>
    <w:p w14:paraId="2DC94312">
      <w:pPr>
        <w:spacing w:before="240" w:after="240"/>
        <w:ind w:firstLine="480" w:firstLineChars="200"/>
        <w:rPr>
          <w:rFonts w:ascii="黑体" w:hAnsi="黑体" w:eastAsia="黑体" w:cs="宋体"/>
          <w:bCs/>
          <w:color w:val="auto"/>
          <w:kern w:val="0"/>
          <w:sz w:val="24"/>
          <w:szCs w:val="24"/>
          <w:highlight w:val="none"/>
        </w:rPr>
      </w:pPr>
      <w:r>
        <w:rPr>
          <w:rFonts w:hint="eastAsia" w:ascii="黑体" w:hAnsi="黑体" w:eastAsia="黑体" w:cs="宋体"/>
          <w:bCs/>
          <w:color w:val="auto"/>
          <w:kern w:val="0"/>
          <w:sz w:val="24"/>
          <w:szCs w:val="24"/>
          <w:highlight w:val="none"/>
        </w:rPr>
        <w:t>二、投资者提示</w:t>
      </w:r>
    </w:p>
    <w:p w14:paraId="54045A5E">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（一）理财非存款、产品有风险、投资须谨慎。</w:t>
      </w:r>
    </w:p>
    <w:p w14:paraId="5960F4F5">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（二）本理财产品不受存款保险及其他保障机制的保障。</w:t>
      </w:r>
    </w:p>
    <w:p w14:paraId="49D57B11">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（三）本理财产品不保证本金及收益，您的本金可能因为市场变动而蒙受相应损失。投资者应充分认识投资风险。</w:t>
      </w:r>
    </w:p>
    <w:p w14:paraId="58B4F749">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（四）本理财产品业绩比较基准（如有）、过往历史业绩均不代表其业绩承诺或未来表现，不等于投资本理财产品未来实际收益，投资须谨慎。</w:t>
      </w:r>
    </w:p>
    <w:p w14:paraId="61C28BDB">
      <w:pPr>
        <w:ind w:firstLine="482"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（五）本理财产品信息</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3"/>
        <w:gridCol w:w="6789"/>
      </w:tblGrid>
      <w:tr w14:paraId="3A89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9" w:type="dxa"/>
            <w:noWrap w:val="0"/>
            <w:vAlign w:val="center"/>
          </w:tcPr>
          <w:p w14:paraId="6D518195">
            <w:pPr>
              <w:jc w:val="center"/>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产品类型</w:t>
            </w:r>
          </w:p>
        </w:tc>
        <w:tc>
          <w:tcPr>
            <w:tcW w:w="7654" w:type="dxa"/>
            <w:noWrap w:val="0"/>
            <w:vAlign w:val="top"/>
          </w:tcPr>
          <w:p w14:paraId="1112C9A8">
            <w:pPr>
              <w:rPr>
                <w:rFonts w:hint="eastAsia" w:ascii="仿宋_GB2312" w:hAnsi="宋体" w:eastAsia="仿宋_GB2312" w:cs="宋体"/>
                <w:b/>
                <w:bCs/>
                <w:color w:val="auto"/>
                <w:kern w:val="0"/>
                <w:sz w:val="24"/>
                <w:szCs w:val="24"/>
                <w:highlight w:val="none"/>
                <w:lang w:eastAsia="zh-CN"/>
              </w:rPr>
            </w:pPr>
            <w:r>
              <w:rPr>
                <w:rFonts w:hint="eastAsia" w:ascii="仿宋_GB2312" w:hAnsi="宋体" w:eastAsia="仿宋_GB2312" w:cs="宋体"/>
                <w:b/>
                <w:bCs/>
                <w:color w:val="auto"/>
                <w:kern w:val="0"/>
                <w:sz w:val="24"/>
                <w:szCs w:val="24"/>
                <w:highlight w:val="none"/>
              </w:rPr>
              <w:t>非保本浮动收益、净值型、</w:t>
            </w:r>
            <w:r>
              <w:rPr>
                <w:rFonts w:hint="eastAsia" w:ascii="仿宋_GB2312" w:hAnsi="宋体" w:eastAsia="仿宋_GB2312" w:cs="宋体"/>
                <w:b/>
                <w:bCs/>
                <w:color w:val="000000"/>
                <w:kern w:val="0"/>
                <w:sz w:val="24"/>
                <w:highlight w:val="yellow"/>
              </w:rPr>
              <w:t>【公募/私募】、【开放式/封闭式】、【固定收益类/混合类/权益类/商品及衍生品类】</w:t>
            </w:r>
            <w:bookmarkStart w:id="3" w:name="_GoBack"/>
            <w:bookmarkEnd w:id="3"/>
          </w:p>
        </w:tc>
      </w:tr>
      <w:tr w14:paraId="3C492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9" w:type="dxa"/>
            <w:noWrap w:val="0"/>
            <w:vAlign w:val="center"/>
          </w:tcPr>
          <w:p w14:paraId="41D2E076">
            <w:pPr>
              <w:jc w:val="center"/>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产品期限</w:t>
            </w:r>
          </w:p>
        </w:tc>
        <w:tc>
          <w:tcPr>
            <w:tcW w:w="7654" w:type="dxa"/>
            <w:noWrap w:val="0"/>
            <w:vAlign w:val="top"/>
          </w:tcPr>
          <w:p w14:paraId="326D5E27">
            <w:pPr>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yellow"/>
                <w:lang w:eastAsia="zh-CN"/>
              </w:rPr>
              <w:t>【</w:t>
            </w:r>
            <w:r>
              <w:rPr>
                <w:rFonts w:hint="eastAsia" w:ascii="仿宋_GB2312" w:hAnsi="宋体" w:eastAsia="仿宋_GB2312" w:cs="宋体"/>
                <w:b/>
                <w:bCs/>
                <w:color w:val="auto"/>
                <w:kern w:val="0"/>
                <w:sz w:val="24"/>
                <w:szCs w:val="24"/>
                <w:highlight w:val="yellow"/>
              </w:rPr>
              <w:t>无固定期限</w:t>
            </w:r>
            <w:r>
              <w:rPr>
                <w:rFonts w:hint="eastAsia" w:ascii="仿宋_GB2312" w:hAnsi="宋体" w:eastAsia="仿宋_GB2312" w:cs="宋体"/>
                <w:b/>
                <w:bCs/>
                <w:color w:val="auto"/>
                <w:kern w:val="0"/>
                <w:sz w:val="24"/>
                <w:szCs w:val="24"/>
                <w:highlight w:val="yellow"/>
                <w:lang w:eastAsia="zh-CN"/>
              </w:rPr>
              <w:t>】</w:t>
            </w:r>
            <w:r>
              <w:rPr>
                <w:rFonts w:hint="eastAsia" w:ascii="仿宋_GB2312" w:hAnsi="宋体" w:eastAsia="仿宋_GB2312" w:cs="宋体"/>
                <w:b/>
                <w:bCs/>
                <w:color w:val="auto"/>
                <w:kern w:val="0"/>
                <w:sz w:val="24"/>
                <w:szCs w:val="24"/>
                <w:highlight w:val="none"/>
              </w:rPr>
              <w:t>（若本理财产品提前终止或延期终止，以实际到期日计算持有天数）；</w:t>
            </w:r>
            <w:r>
              <w:rPr>
                <w:rFonts w:hint="eastAsia" w:ascii="仿宋_GB2312" w:hAnsi="宋体" w:eastAsia="仿宋_GB2312" w:cs="宋体"/>
                <w:bCs/>
                <w:color w:val="auto"/>
                <w:kern w:val="0"/>
                <w:sz w:val="24"/>
                <w:szCs w:val="24"/>
                <w:highlight w:val="none"/>
              </w:rPr>
              <w:t>本理财产品其他信息详见《产品说明书》。</w:t>
            </w:r>
          </w:p>
        </w:tc>
      </w:tr>
      <w:tr w14:paraId="0A75F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9" w:type="dxa"/>
            <w:noWrap w:val="0"/>
            <w:vAlign w:val="center"/>
          </w:tcPr>
          <w:p w14:paraId="74761127">
            <w:pPr>
              <w:jc w:val="center"/>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风险等级</w:t>
            </w:r>
          </w:p>
        </w:tc>
        <w:tc>
          <w:tcPr>
            <w:tcW w:w="7654" w:type="dxa"/>
            <w:noWrap w:val="0"/>
            <w:vAlign w:val="top"/>
          </w:tcPr>
          <w:p w14:paraId="6EFB2BC3">
            <w:pPr>
              <w:rPr>
                <w:rFonts w:ascii="仿宋_GB2312" w:hAnsi="宋体" w:eastAsia="仿宋_GB2312" w:cs="宋体"/>
                <w:b/>
                <w:bCs/>
                <w:color w:val="auto"/>
                <w:kern w:val="0"/>
                <w:sz w:val="24"/>
                <w:szCs w:val="24"/>
                <w:highlight w:val="none"/>
              </w:rPr>
            </w:pPr>
            <w:r>
              <w:rPr>
                <w:rFonts w:hint="eastAsia" w:ascii="仿宋_GB2312" w:hAnsi="宋体" w:eastAsia="仿宋_GB2312" w:cs="宋体"/>
                <w:bCs/>
                <w:color w:val="auto"/>
                <w:kern w:val="0"/>
                <w:sz w:val="24"/>
                <w:szCs w:val="24"/>
                <w:highlight w:val="none"/>
              </w:rPr>
              <w:t>浙银理财内部风险等级为</w:t>
            </w:r>
            <w:r>
              <w:rPr>
                <w:rFonts w:hint="eastAsia" w:ascii="仿宋_GB2312" w:hAnsi="宋体" w:eastAsia="仿宋_GB2312" w:cs="宋体"/>
                <w:bCs/>
                <w:color w:val="auto"/>
                <w:kern w:val="0"/>
                <w:sz w:val="24"/>
                <w:szCs w:val="24"/>
                <w:highlight w:val="yellow"/>
              </w:rPr>
              <w:t>【</w:t>
            </w:r>
            <w:r>
              <w:rPr>
                <w:rFonts w:hint="eastAsia" w:ascii="仿宋_GB2312" w:hAnsi="宋体" w:eastAsia="仿宋_GB2312" w:cs="宋体"/>
                <w:b/>
                <w:bCs w:val="0"/>
                <w:color w:val="auto"/>
                <w:kern w:val="0"/>
                <w:sz w:val="24"/>
                <w:szCs w:val="24"/>
                <w:highlight w:val="yellow"/>
                <w:lang w:val="en-US" w:eastAsia="zh-CN"/>
              </w:rPr>
              <w:t>中</w:t>
            </w:r>
            <w:r>
              <w:rPr>
                <w:rFonts w:ascii="仿宋_GB2312" w:hAnsi="宋体" w:eastAsia="仿宋_GB2312" w:cs="宋体"/>
                <w:bCs/>
                <w:color w:val="auto"/>
                <w:kern w:val="0"/>
                <w:sz w:val="24"/>
                <w:szCs w:val="24"/>
                <w:highlight w:val="yellow"/>
              </w:rPr>
              <w:t>】</w:t>
            </w:r>
            <w:r>
              <w:rPr>
                <w:rFonts w:hint="eastAsia" w:ascii="仿宋_GB2312" w:hAnsi="宋体" w:eastAsia="仿宋_GB2312" w:cs="宋体"/>
                <w:b/>
                <w:bCs/>
                <w:color w:val="auto"/>
                <w:kern w:val="0"/>
                <w:sz w:val="24"/>
                <w:szCs w:val="24"/>
                <w:highlight w:val="none"/>
              </w:rPr>
              <w:t>风险</w:t>
            </w:r>
            <w:r>
              <w:rPr>
                <w:rFonts w:hint="eastAsia" w:ascii="仿宋_GB2312" w:hAnsi="宋体" w:eastAsia="仿宋_GB2312" w:cs="宋体"/>
                <w:b/>
                <w:bCs/>
                <w:color w:val="auto"/>
                <w:kern w:val="0"/>
                <w:sz w:val="24"/>
                <w:szCs w:val="24"/>
                <w:highlight w:val="yellow"/>
              </w:rPr>
              <w:t>【</w:t>
            </w:r>
            <w:r>
              <w:rPr>
                <w:rFonts w:hint="eastAsia" w:ascii="仿宋_GB2312" w:hAnsi="宋体" w:eastAsia="仿宋_GB2312" w:cs="宋体"/>
                <w:b/>
                <w:bCs/>
                <w:color w:val="auto"/>
                <w:kern w:val="0"/>
                <w:sz w:val="24"/>
                <w:szCs w:val="24"/>
                <w:highlight w:val="yellow"/>
                <w:lang w:val="en-US" w:eastAsia="zh-CN"/>
              </w:rPr>
              <w:t>R3</w:t>
            </w:r>
            <w:r>
              <w:rPr>
                <w:rFonts w:hint="eastAsia" w:ascii="仿宋_GB2312" w:hAnsi="宋体" w:eastAsia="仿宋_GB2312" w:cs="宋体"/>
                <w:b/>
                <w:bCs/>
                <w:color w:val="auto"/>
                <w:kern w:val="0"/>
                <w:sz w:val="24"/>
                <w:szCs w:val="24"/>
                <w:highlight w:val="yellow"/>
              </w:rPr>
              <w:t>】</w:t>
            </w:r>
          </w:p>
          <w:p w14:paraId="1FF84937">
            <w:pPr>
              <w:rPr>
                <w:rFonts w:ascii="仿宋_GB2312" w:hAnsi="宋体" w:eastAsia="仿宋_GB2312" w:cs="宋体"/>
                <w:b/>
                <w:bCs/>
                <w:color w:val="auto"/>
                <w:kern w:val="0"/>
                <w:sz w:val="24"/>
                <w:szCs w:val="24"/>
                <w:highlight w:val="none"/>
              </w:rPr>
            </w:pPr>
            <w:r>
              <w:rPr>
                <w:rFonts w:hint="eastAsia" w:ascii="仿宋_GB2312" w:hAnsi="宋体" w:eastAsia="仿宋_GB2312" w:cs="宋体"/>
                <w:bCs/>
                <w:color w:val="auto"/>
                <w:kern w:val="0"/>
                <w:sz w:val="24"/>
                <w:szCs w:val="24"/>
                <w:highlight w:val="none"/>
              </w:rPr>
              <w:t>（</w:t>
            </w:r>
            <w:r>
              <w:rPr>
                <w:rFonts w:hint="eastAsia" w:ascii="仿宋_GB2312" w:hAnsi="宋体" w:eastAsia="仿宋_GB2312" w:cs="宋体"/>
                <w:b/>
                <w:color w:val="auto"/>
                <w:kern w:val="0"/>
                <w:sz w:val="24"/>
                <w:szCs w:val="24"/>
                <w:highlight w:val="none"/>
              </w:rPr>
              <w:t>本风险等级为管理人内部风险评级结果，仅供参考</w:t>
            </w:r>
            <w:r>
              <w:rPr>
                <w:rFonts w:ascii="仿宋_GB2312" w:hAnsi="宋体" w:eastAsia="仿宋_GB2312" w:cs="宋体"/>
                <w:b/>
                <w:color w:val="auto"/>
                <w:kern w:val="0"/>
                <w:sz w:val="24"/>
                <w:szCs w:val="24"/>
                <w:highlight w:val="none"/>
              </w:rPr>
              <w:t>,</w:t>
            </w:r>
            <w:r>
              <w:rPr>
                <w:rFonts w:ascii="宋体" w:hAnsi="宋体"/>
                <w:b/>
                <w:color w:val="auto"/>
                <w:sz w:val="24"/>
                <w:szCs w:val="24"/>
                <w:highlight w:val="none"/>
              </w:rPr>
              <w:t xml:space="preserve"> </w:t>
            </w:r>
            <w:r>
              <w:rPr>
                <w:rFonts w:hint="eastAsia" w:ascii="仿宋_GB2312" w:hAnsi="宋体" w:eastAsia="仿宋_GB2312" w:cs="宋体"/>
                <w:b/>
                <w:color w:val="auto"/>
                <w:kern w:val="0"/>
                <w:sz w:val="24"/>
                <w:szCs w:val="24"/>
                <w:highlight w:val="none"/>
              </w:rPr>
              <w:t>本产品通过代理销售机构渠道销售的，理财产品评级应当以代理销售机构最终披露的评级结果为准。代理销售机构如与管理人理财产品风险评级结果不一致，应当采用对应较高风险等级的评级结果。</w:t>
            </w:r>
            <w:r>
              <w:rPr>
                <w:rFonts w:hint="eastAsia" w:ascii="仿宋_GB2312" w:hAnsi="宋体" w:eastAsia="仿宋_GB2312" w:cs="宋体"/>
                <w:bCs/>
                <w:color w:val="auto"/>
                <w:kern w:val="0"/>
                <w:sz w:val="24"/>
                <w:szCs w:val="24"/>
                <w:highlight w:val="none"/>
              </w:rPr>
              <w:t>）产品管理人在符合监管政策的前提下可对产品风险评级进行动态管理，如产品风险等级发生调整，将提前通过本《产品说明书》“信息披露”约定的方式通知投资者。</w:t>
            </w:r>
          </w:p>
        </w:tc>
      </w:tr>
      <w:tr w14:paraId="5B38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9" w:type="dxa"/>
            <w:noWrap w:val="0"/>
            <w:vAlign w:val="center"/>
          </w:tcPr>
          <w:p w14:paraId="399EB693">
            <w:pPr>
              <w:jc w:val="center"/>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适合购买的</w:t>
            </w:r>
          </w:p>
          <w:p w14:paraId="7E0AD84E">
            <w:pPr>
              <w:jc w:val="center"/>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投资者</w:t>
            </w:r>
          </w:p>
        </w:tc>
        <w:tc>
          <w:tcPr>
            <w:tcW w:w="7654" w:type="dxa"/>
            <w:noWrap w:val="0"/>
            <w:vAlign w:val="top"/>
          </w:tcPr>
          <w:p w14:paraId="4E19116B">
            <w:pPr>
              <w:snapToGrid w:val="0"/>
              <w:rPr>
                <w:rFonts w:ascii="仿宋_GB2312" w:hAnsi="宋体" w:eastAsia="仿宋_GB2312" w:cs="宋体"/>
                <w:bCs/>
                <w:color w:val="auto"/>
                <w:kern w:val="0"/>
                <w:sz w:val="24"/>
                <w:szCs w:val="24"/>
                <w:highlight w:val="none"/>
              </w:rPr>
            </w:pPr>
            <w:r>
              <w:rPr>
                <w:rFonts w:hint="eastAsia" w:ascii="仿宋_GB2312" w:hAnsi="宋体" w:eastAsia="仿宋_GB2312" w:cs="宋体"/>
                <w:bCs/>
                <w:color w:val="auto"/>
                <w:kern w:val="0"/>
                <w:sz w:val="24"/>
                <w:szCs w:val="24"/>
                <w:highlight w:val="none"/>
              </w:rPr>
              <w:t>不特定社会公众（个人、机构投资者）；其中，普通投资者应符合相关法律法规、监管规定，经销售机构评估评定投资者风险承受能力与本产品风险等级相适应。</w:t>
            </w:r>
          </w:p>
          <w:p w14:paraId="7F0C87A3">
            <w:pPr>
              <w:rPr>
                <w:rFonts w:ascii="仿宋_GB2312" w:hAnsi="宋体" w:eastAsia="仿宋_GB2312" w:cs="宋体"/>
                <w:b/>
                <w:bCs/>
                <w:color w:val="auto"/>
                <w:kern w:val="0"/>
                <w:sz w:val="24"/>
                <w:szCs w:val="24"/>
                <w:highlight w:val="none"/>
              </w:rPr>
            </w:pPr>
            <w:r>
              <w:rPr>
                <w:rFonts w:hint="eastAsia" w:ascii="仿宋_GB2312" w:hAnsi="宋体" w:eastAsia="仿宋_GB2312" w:cs="宋体"/>
                <w:bCs/>
                <w:color w:val="auto"/>
                <w:kern w:val="0"/>
                <w:sz w:val="24"/>
                <w:szCs w:val="24"/>
                <w:highlight w:val="none"/>
              </w:rPr>
              <w:t>本产品通过销售机构销售的，产品风险等级应当以销售机构最终披露的评级结果为准。</w:t>
            </w:r>
          </w:p>
        </w:tc>
      </w:tr>
      <w:tr w14:paraId="40B4C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9" w:type="dxa"/>
            <w:noWrap w:val="0"/>
            <w:vAlign w:val="center"/>
          </w:tcPr>
          <w:p w14:paraId="7412D55D">
            <w:pPr>
              <w:jc w:val="center"/>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最不利情形下的投资结果示例</w:t>
            </w:r>
          </w:p>
        </w:tc>
        <w:tc>
          <w:tcPr>
            <w:tcW w:w="7654" w:type="dxa"/>
            <w:noWrap w:val="0"/>
            <w:vAlign w:val="top"/>
          </w:tcPr>
          <w:p w14:paraId="1CB0E7B2">
            <w:pPr>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例如，假设投资者投资本理财产品的本金为</w:t>
            </w:r>
            <w:r>
              <w:rPr>
                <w:rFonts w:hint="eastAsia" w:ascii="仿宋_GB2312" w:hAnsi="宋体" w:eastAsia="仿宋_GB2312" w:cs="宋体"/>
                <w:b/>
                <w:bCs/>
                <w:color w:val="auto"/>
                <w:kern w:val="0"/>
                <w:sz w:val="24"/>
                <w:szCs w:val="24"/>
                <w:highlight w:val="yellow"/>
              </w:rPr>
              <w:t>【10</w:t>
            </w:r>
            <w:r>
              <w:rPr>
                <w:rFonts w:hint="eastAsia" w:ascii="仿宋_GB2312" w:hAnsi="宋体" w:eastAsia="仿宋_GB2312" w:cs="宋体"/>
                <w:b/>
                <w:bCs/>
                <w:color w:val="auto"/>
                <w:kern w:val="0"/>
                <w:sz w:val="24"/>
                <w:szCs w:val="24"/>
                <w:highlight w:val="yellow"/>
                <w:lang w:val="en-US" w:eastAsia="zh-CN"/>
              </w:rPr>
              <w:t>/100</w:t>
            </w:r>
            <w:r>
              <w:rPr>
                <w:rFonts w:hint="eastAsia" w:ascii="仿宋_GB2312" w:hAnsi="宋体" w:eastAsia="仿宋_GB2312" w:cs="宋体"/>
                <w:b/>
                <w:bCs/>
                <w:color w:val="auto"/>
                <w:kern w:val="0"/>
                <w:sz w:val="24"/>
                <w:szCs w:val="24"/>
                <w:highlight w:val="yellow"/>
              </w:rPr>
              <w:t>】</w:t>
            </w:r>
            <w:r>
              <w:rPr>
                <w:rFonts w:hint="eastAsia" w:ascii="仿宋_GB2312" w:hAnsi="宋体" w:eastAsia="仿宋_GB2312" w:cs="宋体"/>
                <w:b/>
                <w:bCs/>
                <w:color w:val="auto"/>
                <w:kern w:val="0"/>
                <w:sz w:val="24"/>
                <w:szCs w:val="24"/>
                <w:highlight w:val="none"/>
              </w:rPr>
              <w:t>万元人民币，如本理财产品投资资产出现市场价格剧烈波动或发行人违约等情形，在最不利的情况下，本理财产品投资组合全部亏损的，本理财产品收益为</w:t>
            </w:r>
            <w:r>
              <w:rPr>
                <w:rFonts w:ascii="仿宋_GB2312" w:hAnsi="宋体" w:eastAsia="仿宋_GB2312" w:cs="宋体"/>
                <w:b/>
                <w:bCs/>
                <w:color w:val="auto"/>
                <w:kern w:val="0"/>
                <w:sz w:val="24"/>
                <w:szCs w:val="24"/>
                <w:highlight w:val="none"/>
              </w:rPr>
              <w:t>0，本金全部损失。</w:t>
            </w:r>
          </w:p>
        </w:tc>
      </w:tr>
      <w:tr w14:paraId="3857A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9" w:type="dxa"/>
            <w:noWrap w:val="0"/>
            <w:vAlign w:val="center"/>
          </w:tcPr>
          <w:p w14:paraId="23FED937">
            <w:pPr>
              <w:jc w:val="center"/>
              <w:rPr>
                <w:rFonts w:hint="eastAsia"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因市场变动</w:t>
            </w:r>
            <w:r>
              <w:rPr>
                <w:rFonts w:hint="eastAsia" w:ascii="仿宋_GB2312" w:hAnsi="宋体" w:eastAsia="仿宋_GB2312" w:cs="宋体"/>
                <w:b/>
                <w:bCs/>
                <w:color w:val="auto"/>
                <w:kern w:val="0"/>
                <w:sz w:val="24"/>
                <w:szCs w:val="24"/>
                <w:highlight w:val="none"/>
                <w:lang w:eastAsia="zh-CN"/>
              </w:rPr>
              <w:t>等</w:t>
            </w:r>
            <w:r>
              <w:rPr>
                <w:rFonts w:hint="eastAsia" w:ascii="仿宋_GB2312" w:hAnsi="宋体" w:eastAsia="仿宋_GB2312" w:cs="宋体"/>
                <w:b/>
                <w:bCs/>
                <w:color w:val="auto"/>
                <w:kern w:val="0"/>
                <w:sz w:val="24"/>
                <w:szCs w:val="24"/>
                <w:highlight w:val="none"/>
              </w:rPr>
              <w:t>而蒙受损失的程度</w:t>
            </w:r>
          </w:p>
        </w:tc>
        <w:tc>
          <w:tcPr>
            <w:tcW w:w="7654" w:type="dxa"/>
            <w:noWrap w:val="0"/>
            <w:vAlign w:val="top"/>
          </w:tcPr>
          <w:p w14:paraId="1F80FC65">
            <w:pPr>
              <w:pStyle w:val="13"/>
              <w:widowControl/>
              <w:numPr>
                <w:ilvl w:val="0"/>
                <w:numId w:val="0"/>
              </w:numPr>
              <w:tabs>
                <w:tab w:val="left" w:pos="1080"/>
              </w:tabs>
              <w:snapToGrid w:val="0"/>
              <w:spacing w:line="240" w:lineRule="auto"/>
              <w:ind w:firstLine="0" w:firstLineChars="0"/>
              <w:jc w:val="left"/>
              <w:outlineLvl w:val="0"/>
              <w:rPr>
                <w:rFonts w:hint="eastAsia" w:ascii="仿宋_GB2312" w:hAnsi="宋体" w:eastAsia="仿宋_GB2312" w:cs="宋体"/>
                <w:b/>
                <w:color w:val="000000" w:themeColor="text1"/>
                <w:kern w:val="0"/>
                <w:sz w:val="24"/>
                <w:szCs w:val="24"/>
                <w:highlight w:val="yellow"/>
                <w14:textFill>
                  <w14:solidFill>
                    <w14:schemeClr w14:val="tx1"/>
                  </w14:solidFill>
                </w14:textFill>
              </w:rPr>
            </w:pPr>
            <w:r>
              <w:rPr>
                <w:rFonts w:hint="eastAsia" w:ascii="仿宋_GB2312" w:hAnsi="宋体" w:eastAsia="仿宋_GB2312" w:cs="宋体"/>
                <w:b/>
                <w:color w:val="000000" w:themeColor="text1"/>
                <w:kern w:val="0"/>
                <w:sz w:val="24"/>
                <w:szCs w:val="24"/>
                <w:highlight w:val="yellow"/>
                <w14:textFill>
                  <w14:solidFill>
                    <w14:schemeClr w14:val="tx1"/>
                  </w14:solidFill>
                </w14:textFill>
              </w:rPr>
              <w:t>管理人根据理财产品投资范围、投资资产和投资比例等因素，对理财产品进行内部风险评级，仅供投资者参考，不具有任何法律约束力，</w:t>
            </w:r>
            <w:r>
              <w:rPr>
                <w:rFonts w:hint="eastAsia" w:ascii="仿宋_GB2312" w:hAnsi="宋体" w:eastAsia="仿宋_GB2312" w:cs="宋体"/>
                <w:b/>
                <w:color w:val="000000" w:themeColor="text1"/>
                <w:kern w:val="0"/>
                <w:sz w:val="24"/>
                <w:szCs w:val="24"/>
                <w:highlight w:val="yellow"/>
                <w:lang w:eastAsia="zh-CN"/>
                <w14:textFill>
                  <w14:solidFill>
                    <w14:schemeClr w14:val="tx1"/>
                  </w14:solidFill>
                </w14:textFill>
              </w:rPr>
              <w:t>投资者可能因本《风险揭示书》揭示的市场风险等风险而蒙受损失，</w:t>
            </w:r>
            <w:r>
              <w:rPr>
                <w:rFonts w:hint="eastAsia" w:ascii="仿宋_GB2312" w:hAnsi="宋体" w:eastAsia="仿宋_GB2312" w:cs="宋体"/>
                <w:b/>
                <w:color w:val="000000" w:themeColor="text1"/>
                <w:kern w:val="0"/>
                <w:sz w:val="24"/>
                <w:szCs w:val="24"/>
                <w:highlight w:val="yellow"/>
                <w14:textFill>
                  <w14:solidFill>
                    <w14:schemeClr w14:val="tx1"/>
                  </w14:solidFill>
                </w14:textFill>
              </w:rPr>
              <w:t>风险评级由低到高分为以下五级：</w:t>
            </w:r>
          </w:p>
          <w:p w14:paraId="42155DB7">
            <w:pPr>
              <w:pStyle w:val="13"/>
              <w:widowControl/>
              <w:numPr>
                <w:ilvl w:val="-1"/>
                <w:numId w:val="0"/>
              </w:numPr>
              <w:tabs>
                <w:tab w:val="left" w:pos="1080"/>
              </w:tabs>
              <w:snapToGrid w:val="0"/>
              <w:spacing w:line="240" w:lineRule="auto"/>
              <w:ind w:firstLine="0" w:firstLineChars="0"/>
              <w:jc w:val="left"/>
              <w:outlineLvl w:val="0"/>
              <w:rPr>
                <w:rFonts w:hint="eastAsia" w:ascii="仿宋_GB2312" w:hAnsi="宋体" w:eastAsia="仿宋_GB2312" w:cs="宋体"/>
                <w:b/>
                <w:color w:val="000000" w:themeColor="text1"/>
                <w:kern w:val="0"/>
                <w:sz w:val="24"/>
                <w:szCs w:val="24"/>
                <w:highlight w:val="yellow"/>
                <w14:textFill>
                  <w14:solidFill>
                    <w14:schemeClr w14:val="tx1"/>
                  </w14:solidFill>
                </w14:textFill>
              </w:rPr>
            </w:pPr>
            <w:r>
              <w:rPr>
                <w:rFonts w:hint="eastAsia" w:ascii="仿宋_GB2312" w:hAnsi="宋体" w:eastAsia="仿宋_GB2312" w:cs="宋体"/>
                <w:b/>
                <w:color w:val="000000" w:themeColor="text1"/>
                <w:kern w:val="0"/>
                <w:sz w:val="24"/>
                <w:szCs w:val="24"/>
                <w:highlight w:val="yellow"/>
                <w:lang w:val="en-US" w:eastAsia="zh-CN"/>
                <w14:textFill>
                  <w14:solidFill>
                    <w14:schemeClr w14:val="tx1"/>
                  </w14:solidFill>
                </w14:textFill>
              </w:rPr>
              <w:t>1.</w:t>
            </w:r>
            <w:r>
              <w:rPr>
                <w:rFonts w:hint="eastAsia" w:ascii="仿宋_GB2312" w:hAnsi="宋体" w:eastAsia="仿宋_GB2312" w:cs="宋体"/>
                <w:b/>
                <w:color w:val="000000" w:themeColor="text1"/>
                <w:kern w:val="0"/>
                <w:sz w:val="24"/>
                <w:szCs w:val="24"/>
                <w:highlight w:val="yellow"/>
                <w14:textFill>
                  <w14:solidFill>
                    <w14:schemeClr w14:val="tx1"/>
                  </w14:solidFill>
                </w14:textFill>
              </w:rPr>
              <w:t xml:space="preserve">低风险产品（R1级）：产品总体风险程度低，本金及收益受风险因素影响很小，有很大可能达到业绩比较基准（如有）的产品。 </w:t>
            </w:r>
          </w:p>
          <w:p w14:paraId="12DD658B">
            <w:pPr>
              <w:pStyle w:val="13"/>
              <w:widowControl/>
              <w:numPr>
                <w:ilvl w:val="-1"/>
                <w:numId w:val="0"/>
              </w:numPr>
              <w:tabs>
                <w:tab w:val="left" w:pos="1080"/>
              </w:tabs>
              <w:snapToGrid w:val="0"/>
              <w:spacing w:line="240" w:lineRule="auto"/>
              <w:ind w:firstLine="0" w:firstLineChars="0"/>
              <w:jc w:val="left"/>
              <w:outlineLvl w:val="0"/>
              <w:rPr>
                <w:rFonts w:hint="eastAsia" w:ascii="仿宋_GB2312" w:hAnsi="宋体" w:eastAsia="仿宋_GB2312" w:cs="宋体"/>
                <w:b/>
                <w:color w:val="000000" w:themeColor="text1"/>
                <w:kern w:val="0"/>
                <w:sz w:val="24"/>
                <w:szCs w:val="24"/>
                <w:highlight w:val="yellow"/>
                <w:lang w:eastAsia="zh-CN"/>
                <w14:textFill>
                  <w14:solidFill>
                    <w14:schemeClr w14:val="tx1"/>
                  </w14:solidFill>
                </w14:textFill>
              </w:rPr>
            </w:pPr>
            <w:r>
              <w:rPr>
                <w:rFonts w:hint="eastAsia" w:ascii="仿宋_GB2312" w:hAnsi="宋体" w:eastAsia="仿宋_GB2312" w:cs="宋体"/>
                <w:b/>
                <w:color w:val="000000" w:themeColor="text1"/>
                <w:kern w:val="0"/>
                <w:sz w:val="24"/>
                <w:szCs w:val="24"/>
                <w:highlight w:val="yellow"/>
                <w:lang w:val="en-US" w:eastAsia="zh-CN"/>
                <w14:textFill>
                  <w14:solidFill>
                    <w14:schemeClr w14:val="tx1"/>
                  </w14:solidFill>
                </w14:textFill>
              </w:rPr>
              <w:t>2.</w:t>
            </w:r>
            <w:r>
              <w:rPr>
                <w:rFonts w:hint="eastAsia" w:ascii="仿宋_GB2312" w:hAnsi="宋体" w:eastAsia="仿宋_GB2312" w:cs="宋体"/>
                <w:b/>
                <w:color w:val="000000" w:themeColor="text1"/>
                <w:kern w:val="0"/>
                <w:sz w:val="24"/>
                <w:szCs w:val="24"/>
                <w:highlight w:val="yellow"/>
                <w14:textFill>
                  <w14:solidFill>
                    <w14:schemeClr w14:val="tx1"/>
                  </w14:solidFill>
                </w14:textFill>
              </w:rPr>
              <w:t>中低风险产品（R2级）：产品总体风险程度较低，本金损失的可能性小，业绩比较基准（如有）不能实现的概率较低的产品</w:t>
            </w:r>
            <w:r>
              <w:rPr>
                <w:rFonts w:hint="eastAsia" w:ascii="仿宋_GB2312" w:hAnsi="宋体" w:eastAsia="仿宋_GB2312" w:cs="宋体"/>
                <w:b/>
                <w:color w:val="000000" w:themeColor="text1"/>
                <w:kern w:val="0"/>
                <w:sz w:val="24"/>
                <w:szCs w:val="24"/>
                <w:highlight w:val="yellow"/>
                <w:lang w:eastAsia="zh-CN"/>
                <w14:textFill>
                  <w14:solidFill>
                    <w14:schemeClr w14:val="tx1"/>
                  </w14:solidFill>
                </w14:textFill>
              </w:rPr>
              <w:t>。</w:t>
            </w:r>
          </w:p>
          <w:p w14:paraId="6B6D81AA">
            <w:pPr>
              <w:pStyle w:val="13"/>
              <w:widowControl/>
              <w:numPr>
                <w:ilvl w:val="-1"/>
                <w:numId w:val="0"/>
              </w:numPr>
              <w:tabs>
                <w:tab w:val="left" w:pos="1080"/>
              </w:tabs>
              <w:snapToGrid w:val="0"/>
              <w:spacing w:line="240" w:lineRule="auto"/>
              <w:ind w:firstLine="0" w:firstLineChars="0"/>
              <w:jc w:val="left"/>
              <w:outlineLvl w:val="0"/>
              <w:rPr>
                <w:rFonts w:hint="eastAsia" w:ascii="仿宋_GB2312" w:hAnsi="宋体" w:eastAsia="仿宋_GB2312" w:cs="宋体"/>
                <w:b/>
                <w:color w:val="000000" w:themeColor="text1"/>
                <w:kern w:val="0"/>
                <w:sz w:val="24"/>
                <w:szCs w:val="24"/>
                <w:highlight w:val="yellow"/>
                <w14:textFill>
                  <w14:solidFill>
                    <w14:schemeClr w14:val="tx1"/>
                  </w14:solidFill>
                </w14:textFill>
              </w:rPr>
            </w:pPr>
            <w:r>
              <w:rPr>
                <w:rFonts w:hint="eastAsia" w:ascii="仿宋_GB2312" w:hAnsi="宋体" w:eastAsia="仿宋_GB2312" w:cs="宋体"/>
                <w:b/>
                <w:color w:val="000000" w:themeColor="text1"/>
                <w:kern w:val="0"/>
                <w:sz w:val="24"/>
                <w:szCs w:val="24"/>
                <w:highlight w:val="yellow"/>
                <w:lang w:val="en-US" w:eastAsia="zh-CN"/>
                <w14:textFill>
                  <w14:solidFill>
                    <w14:schemeClr w14:val="tx1"/>
                  </w14:solidFill>
                </w14:textFill>
              </w:rPr>
              <w:t>3.</w:t>
            </w:r>
            <w:r>
              <w:rPr>
                <w:rFonts w:hint="eastAsia" w:ascii="仿宋_GB2312" w:hAnsi="宋体" w:eastAsia="仿宋_GB2312" w:cs="宋体"/>
                <w:b/>
                <w:color w:val="000000" w:themeColor="text1"/>
                <w:kern w:val="0"/>
                <w:sz w:val="24"/>
                <w:szCs w:val="24"/>
                <w:highlight w:val="yellow"/>
                <w14:textFill>
                  <w14:solidFill>
                    <w14:schemeClr w14:val="tx1"/>
                  </w14:solidFill>
                </w14:textFill>
              </w:rPr>
              <w:t>中风险产品（R3级）：产品总体风险程度适中，本金亏损的可能性较小，风险因素对本金及收益会产生一定影响的产品。</w:t>
            </w:r>
          </w:p>
          <w:p w14:paraId="5A1F37ED">
            <w:pPr>
              <w:pStyle w:val="13"/>
              <w:widowControl/>
              <w:numPr>
                <w:ilvl w:val="-1"/>
                <w:numId w:val="0"/>
              </w:numPr>
              <w:tabs>
                <w:tab w:val="left" w:pos="1080"/>
              </w:tabs>
              <w:snapToGrid w:val="0"/>
              <w:spacing w:line="240" w:lineRule="auto"/>
              <w:ind w:firstLine="0" w:firstLineChars="0"/>
              <w:jc w:val="left"/>
              <w:outlineLvl w:val="0"/>
              <w:rPr>
                <w:rFonts w:hint="eastAsia" w:ascii="仿宋_GB2312" w:hAnsi="宋体" w:eastAsia="仿宋_GB2312" w:cs="宋体"/>
                <w:b/>
                <w:color w:val="000000" w:themeColor="text1"/>
                <w:kern w:val="0"/>
                <w:sz w:val="24"/>
                <w:szCs w:val="24"/>
                <w:highlight w:val="yellow"/>
                <w14:textFill>
                  <w14:solidFill>
                    <w14:schemeClr w14:val="tx1"/>
                  </w14:solidFill>
                </w14:textFill>
              </w:rPr>
            </w:pPr>
            <w:r>
              <w:rPr>
                <w:rFonts w:hint="eastAsia" w:ascii="仿宋_GB2312" w:hAnsi="宋体" w:eastAsia="仿宋_GB2312" w:cs="宋体"/>
                <w:b/>
                <w:color w:val="000000" w:themeColor="text1"/>
                <w:kern w:val="0"/>
                <w:sz w:val="24"/>
                <w:szCs w:val="24"/>
                <w:highlight w:val="yellow"/>
                <w:lang w:val="en-US" w:eastAsia="zh-CN"/>
                <w14:textFill>
                  <w14:solidFill>
                    <w14:schemeClr w14:val="tx1"/>
                  </w14:solidFill>
                </w14:textFill>
              </w:rPr>
              <w:t>4.</w:t>
            </w:r>
            <w:r>
              <w:rPr>
                <w:rFonts w:hint="eastAsia" w:ascii="仿宋_GB2312" w:hAnsi="宋体" w:eastAsia="仿宋_GB2312" w:cs="宋体"/>
                <w:b/>
                <w:color w:val="000000" w:themeColor="text1"/>
                <w:kern w:val="0"/>
                <w:sz w:val="24"/>
                <w:szCs w:val="24"/>
                <w:highlight w:val="yellow"/>
                <w14:textFill>
                  <w14:solidFill>
                    <w14:schemeClr w14:val="tx1"/>
                  </w14:solidFill>
                </w14:textFill>
              </w:rPr>
              <w:t>中高风险产品（R4级）：产品总体风险程度较高，本金可能存在损失风险，产品收益随投资表现波动的产品。</w:t>
            </w:r>
          </w:p>
          <w:p w14:paraId="50716DBD">
            <w:pPr>
              <w:pStyle w:val="13"/>
              <w:widowControl/>
              <w:numPr>
                <w:ilvl w:val="0"/>
                <w:numId w:val="0"/>
              </w:numPr>
              <w:tabs>
                <w:tab w:val="left" w:pos="1080"/>
              </w:tabs>
              <w:snapToGrid w:val="0"/>
              <w:spacing w:line="240" w:lineRule="auto"/>
              <w:ind w:left="0" w:leftChars="0" w:firstLine="0" w:firstLineChars="0"/>
              <w:jc w:val="left"/>
              <w:outlineLvl w:val="0"/>
              <w:rPr>
                <w:rFonts w:hint="eastAsia" w:ascii="仿宋_GB2312" w:hAnsi="宋体" w:eastAsia="仿宋_GB2312" w:cs="宋体"/>
                <w:b/>
                <w:bCs/>
                <w:color w:val="auto"/>
                <w:kern w:val="0"/>
                <w:sz w:val="24"/>
                <w:szCs w:val="24"/>
                <w:highlight w:val="none"/>
              </w:rPr>
            </w:pPr>
            <w:r>
              <w:rPr>
                <w:rFonts w:hint="eastAsia" w:ascii="仿宋_GB2312" w:hAnsi="宋体" w:eastAsia="仿宋_GB2312" w:cs="宋体"/>
                <w:b/>
                <w:color w:val="000000" w:themeColor="text1"/>
                <w:kern w:val="0"/>
                <w:sz w:val="24"/>
                <w:szCs w:val="24"/>
                <w:highlight w:val="yellow"/>
                <w:lang w:val="en-US" w:eastAsia="zh-CN"/>
                <w14:textFill>
                  <w14:solidFill>
                    <w14:schemeClr w14:val="tx1"/>
                  </w14:solidFill>
                </w14:textFill>
              </w:rPr>
              <w:t>5.</w:t>
            </w:r>
            <w:r>
              <w:rPr>
                <w:rFonts w:hint="eastAsia" w:ascii="仿宋_GB2312" w:hAnsi="宋体" w:eastAsia="仿宋_GB2312" w:cs="宋体"/>
                <w:b/>
                <w:color w:val="000000" w:themeColor="text1"/>
                <w:kern w:val="0"/>
                <w:sz w:val="24"/>
                <w:szCs w:val="24"/>
                <w:highlight w:val="yellow"/>
                <w14:textFill>
                  <w14:solidFill>
                    <w14:schemeClr w14:val="tx1"/>
                  </w14:solidFill>
                </w14:textFill>
              </w:rPr>
              <w:t>高风险产品（R5级）：产品总体风险程度高，本金损失风险较高，产品收益随投资表现波动的产品。</w:t>
            </w:r>
          </w:p>
        </w:tc>
      </w:tr>
    </w:tbl>
    <w:p w14:paraId="00B109FF">
      <w:pPr>
        <w:spacing w:before="240"/>
        <w:ind w:firstLine="480" w:firstLineChars="200"/>
        <w:rPr>
          <w:rFonts w:ascii="仿宋_GB2312" w:hAnsi="宋体" w:eastAsia="仿宋_GB2312" w:cs="宋体"/>
          <w:b/>
          <w:bCs/>
          <w:color w:val="auto"/>
          <w:kern w:val="0"/>
          <w:sz w:val="24"/>
          <w:szCs w:val="24"/>
          <w:highlight w:val="none"/>
          <w:u w:val="single"/>
        </w:rPr>
      </w:pPr>
      <w:r>
        <w:rPr>
          <w:rFonts w:hint="eastAsia" w:ascii="仿宋_GB2312" w:hAnsi="宋体" w:eastAsia="仿宋_GB2312" w:cs="宋体"/>
          <w:bCs/>
          <w:color w:val="auto"/>
          <w:kern w:val="0"/>
          <w:sz w:val="24"/>
          <w:szCs w:val="24"/>
          <w:highlight w:val="none"/>
        </w:rPr>
        <w:t>（六）</w:t>
      </w:r>
      <w:r>
        <w:rPr>
          <w:rFonts w:hint="eastAsia" w:ascii="仿宋_GB2312" w:hAnsi="宋体" w:eastAsia="仿宋_GB2312" w:cs="宋体"/>
          <w:b/>
          <w:bCs/>
          <w:color w:val="auto"/>
          <w:kern w:val="0"/>
          <w:sz w:val="24"/>
          <w:szCs w:val="24"/>
          <w:highlight w:val="none"/>
        </w:rPr>
        <w:t>普通投资者应确保其风险承受能力评估结果由投资者自行填写，且风险承受能力等级不低于本理财产品风险评级。</w:t>
      </w:r>
      <w:r>
        <w:rPr>
          <w:rFonts w:hint="eastAsia" w:ascii="仿宋_GB2312" w:hAnsi="宋体" w:eastAsia="仿宋_GB2312" w:cs="宋体"/>
          <w:b/>
          <w:bCs/>
          <w:color w:val="auto"/>
          <w:kern w:val="0"/>
          <w:sz w:val="24"/>
          <w:szCs w:val="24"/>
          <w:highlight w:val="none"/>
          <w:u w:val="single"/>
        </w:rPr>
        <w:t>如普通投资者的风险承受能力评估已超过一年，或影响风险承受能力的因素发生变化，请及时完成风险承受能力的重新评估，并对评估结果签字确认。</w:t>
      </w:r>
    </w:p>
    <w:p w14:paraId="3E9831FB">
      <w:pPr>
        <w:ind w:firstLine="480"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Cs/>
          <w:color w:val="auto"/>
          <w:kern w:val="0"/>
          <w:sz w:val="24"/>
          <w:szCs w:val="24"/>
          <w:highlight w:val="none"/>
        </w:rPr>
        <w:t>（七）本理财产品的销售文件包括《风险揭示书》《产品说明书》《投资协议书》《投资者权益须知》《（代理）销售协议书》等，</w:t>
      </w:r>
      <w:r>
        <w:rPr>
          <w:rFonts w:hint="eastAsia" w:ascii="仿宋_GB2312" w:hAnsi="宋体" w:eastAsia="仿宋_GB2312" w:cs="宋体"/>
          <w:b/>
          <w:bCs/>
          <w:color w:val="auto"/>
          <w:kern w:val="0"/>
          <w:sz w:val="24"/>
          <w:szCs w:val="24"/>
          <w:highlight w:val="none"/>
        </w:rPr>
        <w:t>投资者通过销售机构线上</w:t>
      </w:r>
      <w:r>
        <w:rPr>
          <w:rFonts w:ascii="仿宋_GB2312" w:hAnsi="宋体" w:eastAsia="仿宋_GB2312" w:cs="宋体"/>
          <w:b/>
          <w:bCs/>
          <w:color w:val="auto"/>
          <w:kern w:val="0"/>
          <w:sz w:val="24"/>
          <w:szCs w:val="24"/>
          <w:highlight w:val="none"/>
        </w:rPr>
        <w:t>/线下渠道成功认购/申购/投资本理财产品，即同意本理财产品销售文件的约定并将资金委托浙银理财投资运作，是投资者真实意愿的充分表达。</w:t>
      </w:r>
    </w:p>
    <w:p w14:paraId="67313105">
      <w:pPr>
        <w:ind w:firstLine="480" w:firstLineChars="200"/>
        <w:rPr>
          <w:rFonts w:ascii="仿宋_GB2312" w:hAnsi="宋体" w:eastAsia="仿宋_GB2312" w:cs="宋体"/>
          <w:b/>
          <w:bCs/>
          <w:color w:val="auto"/>
          <w:kern w:val="0"/>
          <w:sz w:val="24"/>
          <w:szCs w:val="24"/>
          <w:highlight w:val="none"/>
        </w:rPr>
      </w:pPr>
      <w:r>
        <w:rPr>
          <w:rFonts w:hint="eastAsia" w:ascii="仿宋_GB2312" w:hAnsi="宋体" w:eastAsia="仿宋_GB2312" w:cs="宋体"/>
          <w:bCs/>
          <w:color w:val="auto"/>
          <w:kern w:val="0"/>
          <w:sz w:val="24"/>
          <w:szCs w:val="24"/>
          <w:highlight w:val="none"/>
        </w:rPr>
        <w:t>（八）浙银理财将根据相关法律、法规严格履行投资者信息保密责任，不得无故向其他组织、个人提供或者泄露与投资者有关的业务资料及信息。</w:t>
      </w:r>
      <w:r>
        <w:rPr>
          <w:rFonts w:hint="eastAsia" w:ascii="仿宋_GB2312" w:hAnsi="宋体" w:eastAsia="仿宋_GB2312" w:cs="宋体"/>
          <w:b/>
          <w:bCs/>
          <w:color w:val="auto"/>
          <w:kern w:val="0"/>
          <w:sz w:val="24"/>
          <w:szCs w:val="24"/>
          <w:highlight w:val="none"/>
        </w:rPr>
        <w:t>浙银理财向确有知悉必要的雇员提供投资者信息，或按照有关法律、法规、监管要求向司法机关、行政机关等有关政府部门、投资合作机构及第三方专业机构提供的，不视为对保密义务的违反。</w:t>
      </w:r>
    </w:p>
    <w:p w14:paraId="46D5FE45">
      <w:pPr>
        <w:ind w:firstLine="480" w:firstLineChars="200"/>
        <w:jc w:val="right"/>
        <w:rPr>
          <w:rFonts w:ascii="仿宋_GB2312" w:hAnsi="宋体" w:eastAsia="仿宋_GB2312" w:cs="宋体"/>
          <w:bCs/>
          <w:color w:val="auto"/>
          <w:kern w:val="0"/>
          <w:sz w:val="24"/>
          <w:szCs w:val="24"/>
          <w:highlight w:val="none"/>
        </w:rPr>
      </w:pPr>
    </w:p>
    <w:p w14:paraId="4C0BCCDD">
      <w:pPr>
        <w:ind w:firstLine="480" w:firstLineChars="200"/>
        <w:rPr>
          <w:rFonts w:ascii="仿宋_GB2312" w:hAnsi="宋体" w:eastAsia="仿宋_GB2312" w:cs="宋体"/>
          <w:bCs/>
          <w:color w:val="auto"/>
          <w:kern w:val="0"/>
          <w:sz w:val="24"/>
          <w:szCs w:val="24"/>
          <w:highlight w:val="none"/>
        </w:rPr>
      </w:pPr>
    </w:p>
    <w:p w14:paraId="4157B0EB">
      <w:pPr>
        <w:rPr>
          <w:rFonts w:ascii="仿宋_GB2312" w:hAnsi="宋体" w:eastAsia="仿宋_GB2312" w:cs="宋体"/>
          <w:bCs/>
          <w:color w:val="auto"/>
          <w:kern w:val="0"/>
          <w:sz w:val="24"/>
          <w:szCs w:val="24"/>
          <w:highlight w:val="none"/>
        </w:rPr>
      </w:pPr>
    </w:p>
    <w:p w14:paraId="631C68C7">
      <w:pPr>
        <w:ind w:firstLine="480" w:firstLineChars="200"/>
        <w:jc w:val="right"/>
        <w:rPr>
          <w:rFonts w:ascii="仿宋_GB2312" w:hAnsi="宋体" w:eastAsia="仿宋_GB2312" w:cs="宋体"/>
          <w:bCs/>
          <w:color w:val="auto"/>
          <w:kern w:val="0"/>
          <w:sz w:val="24"/>
          <w:szCs w:val="24"/>
          <w:highlight w:val="none"/>
        </w:rPr>
      </w:pPr>
      <w:r>
        <w:rPr>
          <w:rFonts w:hint="eastAsia" w:ascii="仿宋_GB2312" w:hAnsi="宋体" w:eastAsia="仿宋_GB2312" w:cs="宋体"/>
          <w:bCs/>
          <w:color w:val="auto"/>
          <w:kern w:val="0"/>
          <w:sz w:val="24"/>
          <w:szCs w:val="24"/>
          <w:highlight w:val="none"/>
        </w:rPr>
        <w:t>风险揭示方：浙银理财有限责任公司</w:t>
      </w:r>
    </w:p>
    <w:p w14:paraId="41DE3D28">
      <w:pPr>
        <w:ind w:firstLine="480" w:firstLineChars="200"/>
        <w:jc w:val="right"/>
        <w:rPr>
          <w:rFonts w:ascii="仿宋_GB2312" w:hAnsi="宋体" w:eastAsia="仿宋_GB2312" w:cs="宋体"/>
          <w:bCs/>
          <w:color w:val="auto"/>
          <w:kern w:val="0"/>
          <w:sz w:val="24"/>
          <w:szCs w:val="24"/>
          <w:highlight w:val="none"/>
        </w:rPr>
      </w:pPr>
    </w:p>
    <w:p w14:paraId="3C7812E9">
      <w:pPr>
        <w:ind w:firstLine="480" w:firstLineChars="200"/>
        <w:rPr>
          <w:rFonts w:ascii="仿宋_GB2312" w:hAnsi="宋体" w:eastAsia="仿宋_GB2312" w:cs="宋体"/>
          <w:bCs/>
          <w:color w:val="auto"/>
          <w:kern w:val="0"/>
          <w:sz w:val="24"/>
          <w:szCs w:val="24"/>
          <w:highlight w:val="none"/>
        </w:rPr>
      </w:pPr>
    </w:p>
    <w:p w14:paraId="6E6A66A9">
      <w:pPr>
        <w:ind w:firstLine="480" w:firstLineChars="200"/>
        <w:rPr>
          <w:rFonts w:ascii="仿宋_GB2312" w:hAnsi="宋体" w:eastAsia="仿宋_GB2312" w:cs="宋体"/>
          <w:bCs/>
          <w:color w:val="auto"/>
          <w:kern w:val="0"/>
          <w:sz w:val="28"/>
          <w:szCs w:val="30"/>
          <w:highlight w:val="none"/>
        </w:rPr>
      </w:pPr>
      <w:r>
        <w:rPr>
          <w:rFonts w:ascii="仿宋_GB2312" w:hAnsi="宋体" w:eastAsia="仿宋_GB2312" w:cs="宋体"/>
          <w:bCs/>
          <w:color w:val="auto"/>
          <w:kern w:val="0"/>
          <w:sz w:val="24"/>
          <w:szCs w:val="24"/>
          <w:highlight w:val="none"/>
        </w:rPr>
        <w:t>(投资者签字与盖章见下一页)</w:t>
      </w:r>
      <w:r>
        <w:rPr>
          <w:rFonts w:ascii="仿宋_GB2312" w:hAnsi="宋体" w:eastAsia="仿宋_GB2312" w:cs="宋体"/>
          <w:bCs/>
          <w:color w:val="auto"/>
          <w:kern w:val="0"/>
          <w:sz w:val="28"/>
          <w:szCs w:val="30"/>
          <w:highlight w:val="none"/>
        </w:rPr>
        <w:br w:type="page"/>
      </w:r>
    </w:p>
    <w:p w14:paraId="199F4B20">
      <w:pPr>
        <w:spacing w:after="156" w:afterLines="50" w:line="360" w:lineRule="auto"/>
        <w:jc w:val="center"/>
        <w:rPr>
          <w:rFonts w:ascii="宋体" w:hAnsi="宋体" w:eastAsia="宋体"/>
          <w:color w:val="auto"/>
          <w:sz w:val="36"/>
          <w:szCs w:val="44"/>
          <w:highlight w:val="none"/>
        </w:rPr>
      </w:pPr>
      <w:r>
        <w:rPr>
          <w:rFonts w:hint="eastAsia" w:ascii="宋体" w:hAnsi="宋体" w:eastAsia="宋体"/>
          <w:color w:val="auto"/>
          <w:sz w:val="36"/>
          <w:szCs w:val="44"/>
          <w:highlight w:val="none"/>
        </w:rPr>
        <w:t>投资者确认函</w:t>
      </w:r>
    </w:p>
    <w:p w14:paraId="4221C580">
      <w:pPr>
        <w:spacing w:line="360" w:lineRule="auto"/>
        <w:ind w:firstLine="480" w:firstLineChars="200"/>
        <w:rPr>
          <w:rFonts w:ascii="仿宋_GB2312" w:eastAsia="仿宋_GB2312"/>
          <w:b/>
          <w:color w:val="auto"/>
          <w:sz w:val="24"/>
          <w:highlight w:val="none"/>
        </w:rPr>
      </w:pPr>
      <w:r>
        <w:rPr>
          <w:rFonts w:hint="eastAsia" w:ascii="仿宋_GB2312" w:hAnsi="宋体" w:eastAsia="仿宋_GB2312"/>
          <w:color w:val="auto"/>
          <w:sz w:val="24"/>
          <w:szCs w:val="44"/>
          <w:highlight w:val="none"/>
        </w:rPr>
        <w:t>本人</w:t>
      </w:r>
      <w:r>
        <w:rPr>
          <w:rFonts w:ascii="仿宋_GB2312" w:hAnsi="宋体" w:eastAsia="仿宋_GB2312"/>
          <w:color w:val="auto"/>
          <w:sz w:val="24"/>
          <w:szCs w:val="44"/>
          <w:highlight w:val="none"/>
        </w:rPr>
        <w:t>/</w:t>
      </w:r>
      <w:r>
        <w:rPr>
          <w:rFonts w:hint="eastAsia" w:ascii="仿宋_GB2312" w:hAnsi="宋体" w:eastAsia="仿宋_GB2312"/>
          <w:color w:val="auto"/>
          <w:sz w:val="24"/>
          <w:szCs w:val="44"/>
          <w:highlight w:val="none"/>
        </w:rPr>
        <w:t>本公司确认已经收到本理财产品的风险揭示书，且已经认真阅读</w:t>
      </w:r>
      <w:r>
        <w:rPr>
          <w:rFonts w:hint="eastAsia" w:ascii="仿宋_GB2312" w:hAnsi="宋体" w:eastAsia="仿宋_GB2312"/>
          <w:b/>
          <w:color w:val="auto"/>
          <w:sz w:val="24"/>
          <w:szCs w:val="44"/>
          <w:highlight w:val="none"/>
        </w:rPr>
        <w:t>本理财产品完整销售文件包括：《风险揭示书》《产品说明书》《投资协议书》《投资者权益须知》《（代理）销售协议书》等</w:t>
      </w:r>
      <w:r>
        <w:rPr>
          <w:rFonts w:hint="eastAsia" w:ascii="仿宋_GB2312" w:hAnsi="宋体" w:eastAsia="仿宋_GB2312"/>
          <w:color w:val="auto"/>
          <w:sz w:val="24"/>
          <w:szCs w:val="44"/>
          <w:highlight w:val="none"/>
        </w:rPr>
        <w:t>，充分了解并清楚知晓本理财产品的风险，愿意承担相关风险，接受本理财产品销售文件的全部约定。本人</w:t>
      </w:r>
      <w:r>
        <w:rPr>
          <w:rFonts w:ascii="仿宋_GB2312" w:hAnsi="宋体" w:eastAsia="仿宋_GB2312"/>
          <w:color w:val="auto"/>
          <w:sz w:val="24"/>
          <w:szCs w:val="44"/>
          <w:highlight w:val="none"/>
        </w:rPr>
        <w:t>/本公司确认本理财产品完全适合本人/本公司的投资目标</w:t>
      </w:r>
      <w:r>
        <w:rPr>
          <w:rFonts w:hint="eastAsia" w:ascii="仿宋_GB2312" w:hAnsi="宋体" w:eastAsia="仿宋_GB2312"/>
          <w:color w:val="auto"/>
          <w:sz w:val="24"/>
          <w:szCs w:val="44"/>
          <w:highlight w:val="none"/>
        </w:rPr>
        <w:t>、投资预期、风险承受能力及投资经验。本人</w:t>
      </w:r>
      <w:r>
        <w:rPr>
          <w:rFonts w:ascii="仿宋_GB2312" w:hAnsi="宋体" w:eastAsia="仿宋_GB2312"/>
          <w:color w:val="auto"/>
          <w:sz w:val="24"/>
          <w:szCs w:val="44"/>
          <w:highlight w:val="none"/>
        </w:rPr>
        <w:t>/</w:t>
      </w:r>
      <w:r>
        <w:rPr>
          <w:rFonts w:hint="eastAsia" w:ascii="仿宋_GB2312" w:hAnsi="宋体" w:eastAsia="仿宋_GB2312"/>
          <w:color w:val="auto"/>
          <w:sz w:val="24"/>
          <w:szCs w:val="44"/>
          <w:highlight w:val="none"/>
        </w:rPr>
        <w:t>本公司承诺购买本理财产品的投资资金为自有或有权处分的合法资金（包括合法受托管理的资金）。</w:t>
      </w:r>
      <w:r>
        <w:rPr>
          <w:rFonts w:hint="eastAsia" w:ascii="仿宋_GB2312" w:hAnsi="宋体" w:eastAsia="仿宋_GB2312"/>
          <w:b/>
          <w:bCs/>
          <w:color w:val="auto"/>
          <w:sz w:val="24"/>
          <w:szCs w:val="44"/>
          <w:highlight w:val="none"/>
        </w:rPr>
        <w:t>本人</w:t>
      </w:r>
      <w:r>
        <w:rPr>
          <w:rFonts w:ascii="仿宋_GB2312" w:hAnsi="宋体" w:eastAsia="仿宋_GB2312"/>
          <w:b/>
          <w:bCs/>
          <w:color w:val="auto"/>
          <w:sz w:val="24"/>
          <w:szCs w:val="44"/>
          <w:highlight w:val="none"/>
        </w:rPr>
        <w:t>/</w:t>
      </w:r>
      <w:r>
        <w:rPr>
          <w:rFonts w:hint="eastAsia" w:ascii="仿宋_GB2312" w:hAnsi="宋体" w:eastAsia="仿宋_GB2312"/>
          <w:b/>
          <w:bCs/>
          <w:color w:val="auto"/>
          <w:sz w:val="24"/>
          <w:szCs w:val="44"/>
          <w:highlight w:val="none"/>
        </w:rPr>
        <w:t>本公司承诺购买本理财产品的投资资金来源及用途符合法律法规和相关政策要求，不存在使用贷款、发行债券等违反相关法律法规要求筹集的非自有资金购买本理财产品的情形（受托管理的资管产品除外）。</w:t>
      </w:r>
      <w:r>
        <w:rPr>
          <w:rFonts w:hint="eastAsia" w:ascii="仿宋_GB2312" w:hAnsi="宋体" w:eastAsia="仿宋_GB2312"/>
          <w:color w:val="auto"/>
          <w:sz w:val="24"/>
          <w:szCs w:val="44"/>
          <w:highlight w:val="none"/>
        </w:rPr>
        <w:t>（机构投资者）</w:t>
      </w:r>
      <w:r>
        <w:rPr>
          <w:rFonts w:hint="eastAsia" w:ascii="仿宋_GB2312" w:eastAsia="仿宋_GB2312"/>
          <w:b/>
          <w:bCs/>
          <w:color w:val="auto"/>
          <w:sz w:val="24"/>
          <w:highlight w:val="none"/>
        </w:rPr>
        <w:t>本公司进一步承诺，以自有资金或</w:t>
      </w:r>
      <w:r>
        <w:rPr>
          <w:rFonts w:hint="eastAsia" w:ascii="仿宋_GB2312" w:hAnsi="宋体" w:eastAsia="仿宋_GB2312"/>
          <w:b/>
          <w:bCs/>
          <w:color w:val="auto"/>
          <w:sz w:val="24"/>
          <w:szCs w:val="44"/>
          <w:highlight w:val="none"/>
        </w:rPr>
        <w:t>受托管理的资管产品</w:t>
      </w:r>
      <w:r>
        <w:rPr>
          <w:rFonts w:hint="eastAsia" w:ascii="仿宋_GB2312" w:eastAsia="仿宋_GB2312"/>
          <w:b/>
          <w:bCs/>
          <w:color w:val="auto"/>
          <w:sz w:val="24"/>
          <w:highlight w:val="none"/>
        </w:rPr>
        <w:t>购买本理财产品的，已完全知悉并接受本理财产品的投资范围，并确保自有资金或</w:t>
      </w:r>
      <w:r>
        <w:rPr>
          <w:rFonts w:hint="eastAsia" w:ascii="仿宋_GB2312" w:hAnsi="宋体" w:eastAsia="仿宋_GB2312"/>
          <w:b/>
          <w:bCs/>
          <w:color w:val="auto"/>
          <w:sz w:val="24"/>
          <w:szCs w:val="44"/>
          <w:highlight w:val="none"/>
        </w:rPr>
        <w:t>受托管理的资管产品</w:t>
      </w:r>
      <w:r>
        <w:rPr>
          <w:rFonts w:hint="eastAsia" w:ascii="仿宋_GB2312" w:eastAsia="仿宋_GB2312"/>
          <w:b/>
          <w:bCs/>
          <w:color w:val="auto"/>
          <w:sz w:val="24"/>
          <w:highlight w:val="none"/>
        </w:rPr>
        <w:t>投资本理财产品符合相关法律法规、监管规定及受托管理</w:t>
      </w:r>
      <w:r>
        <w:rPr>
          <w:rFonts w:hint="eastAsia" w:ascii="仿宋_GB2312" w:hAnsi="宋体" w:eastAsia="仿宋_GB2312"/>
          <w:b/>
          <w:bCs/>
          <w:color w:val="auto"/>
          <w:sz w:val="24"/>
          <w:szCs w:val="44"/>
          <w:highlight w:val="none"/>
        </w:rPr>
        <w:t>资管产品</w:t>
      </w:r>
      <w:r>
        <w:rPr>
          <w:rFonts w:hint="eastAsia" w:ascii="仿宋_GB2312" w:eastAsia="仿宋_GB2312"/>
          <w:b/>
          <w:bCs/>
          <w:color w:val="auto"/>
          <w:sz w:val="24"/>
          <w:highlight w:val="none"/>
        </w:rPr>
        <w:t>的投资范围，不存在违反监管要求的产品嵌套、以投资本理财产品规避投资范围或杠杆约束等违规行为。</w:t>
      </w:r>
      <w:r>
        <w:rPr>
          <w:rFonts w:hint="eastAsia" w:ascii="仿宋_GB2312" w:eastAsia="仿宋_GB2312"/>
          <w:b/>
          <w:color w:val="auto"/>
          <w:sz w:val="24"/>
          <w:highlight w:val="none"/>
        </w:rPr>
        <w:t>投资本理财产品是经过本人/本公司独立判断之后所做出的符合本人/本公司意愿的决定。</w:t>
      </w:r>
    </w:p>
    <w:p w14:paraId="2EB7DA69">
      <w:pPr>
        <w:spacing w:line="360" w:lineRule="auto"/>
        <w:ind w:firstLine="482" w:firstLineChars="200"/>
        <w:rPr>
          <w:rFonts w:ascii="仿宋_GB2312" w:eastAsia="仿宋_GB2312"/>
          <w:b/>
          <w:color w:val="auto"/>
          <w:sz w:val="24"/>
          <w:highlight w:val="none"/>
        </w:rPr>
      </w:pPr>
      <w:r>
        <w:rPr>
          <w:rFonts w:hint="eastAsia" w:ascii="仿宋_GB2312" w:hAnsi="宋体" w:eastAsia="仿宋_GB2312"/>
          <w:b/>
          <w:color w:val="auto"/>
          <w:sz w:val="24"/>
          <w:szCs w:val="44"/>
          <w:highlight w:val="none"/>
        </w:rPr>
        <w:t>本</w:t>
      </w:r>
      <w:r>
        <w:rPr>
          <w:rFonts w:ascii="仿宋_GB2312" w:hAnsi="宋体" w:eastAsia="仿宋_GB2312"/>
          <w:b/>
          <w:color w:val="auto"/>
          <w:sz w:val="24"/>
          <w:szCs w:val="44"/>
          <w:highlight w:val="none"/>
        </w:rPr>
        <w:t>理财产品可能委托</w:t>
      </w:r>
      <w:r>
        <w:rPr>
          <w:rFonts w:hint="eastAsia" w:ascii="仿宋_GB2312" w:hAnsi="宋体" w:eastAsia="仿宋_GB2312"/>
          <w:b/>
          <w:color w:val="auto"/>
          <w:sz w:val="24"/>
          <w:szCs w:val="44"/>
          <w:highlight w:val="none"/>
        </w:rPr>
        <w:t>浙银</w:t>
      </w:r>
      <w:r>
        <w:rPr>
          <w:rFonts w:ascii="仿宋_GB2312" w:hAnsi="宋体" w:eastAsia="仿宋_GB2312"/>
          <w:b/>
          <w:color w:val="auto"/>
          <w:sz w:val="24"/>
          <w:szCs w:val="44"/>
          <w:highlight w:val="none"/>
        </w:rPr>
        <w:t>理财</w:t>
      </w:r>
      <w:r>
        <w:rPr>
          <w:rFonts w:hint="eastAsia" w:ascii="仿宋_GB2312" w:hAnsi="宋体" w:eastAsia="仿宋_GB2312"/>
          <w:b/>
          <w:color w:val="auto"/>
          <w:sz w:val="24"/>
          <w:szCs w:val="44"/>
          <w:highlight w:val="none"/>
        </w:rPr>
        <w:t>的</w:t>
      </w:r>
      <w:r>
        <w:rPr>
          <w:rFonts w:ascii="仿宋_GB2312" w:hAnsi="宋体" w:eastAsia="仿宋_GB2312"/>
          <w:b/>
          <w:color w:val="auto"/>
          <w:sz w:val="24"/>
          <w:szCs w:val="44"/>
          <w:highlight w:val="none"/>
        </w:rPr>
        <w:t>关联方【</w:t>
      </w:r>
      <w:r>
        <w:rPr>
          <w:rFonts w:hint="eastAsia" w:ascii="仿宋_GB2312" w:hAnsi="宋体" w:eastAsia="仿宋_GB2312"/>
          <w:b/>
          <w:color w:val="auto"/>
          <w:sz w:val="24"/>
          <w:szCs w:val="44"/>
          <w:highlight w:val="none"/>
        </w:rPr>
        <w:t>浙商</w:t>
      </w:r>
      <w:r>
        <w:rPr>
          <w:rFonts w:ascii="仿宋_GB2312" w:hAnsi="宋体" w:eastAsia="仿宋_GB2312"/>
          <w:b/>
          <w:color w:val="auto"/>
          <w:sz w:val="24"/>
          <w:szCs w:val="44"/>
          <w:highlight w:val="none"/>
        </w:rPr>
        <w:t>银行】</w:t>
      </w:r>
      <w:r>
        <w:rPr>
          <w:rFonts w:hint="eastAsia" w:ascii="仿宋_GB2312" w:hAnsi="宋体" w:eastAsia="仿宋_GB2312"/>
          <w:b/>
          <w:color w:val="auto"/>
          <w:sz w:val="24"/>
          <w:szCs w:val="44"/>
          <w:highlight w:val="none"/>
        </w:rPr>
        <w:t>进行托管或销售</w:t>
      </w:r>
      <w:r>
        <w:rPr>
          <w:rFonts w:ascii="仿宋_GB2312" w:hAnsi="宋体" w:eastAsia="仿宋_GB2312"/>
          <w:b/>
          <w:color w:val="auto"/>
          <w:sz w:val="24"/>
          <w:szCs w:val="44"/>
          <w:highlight w:val="none"/>
        </w:rPr>
        <w:t>，</w:t>
      </w:r>
      <w:r>
        <w:rPr>
          <w:rFonts w:hint="eastAsia" w:ascii="仿宋_GB2312" w:hAnsi="宋体" w:eastAsia="仿宋_GB2312"/>
          <w:b/>
          <w:color w:val="auto"/>
          <w:sz w:val="24"/>
          <w:szCs w:val="44"/>
          <w:highlight w:val="none"/>
        </w:rPr>
        <w:t>【浙商</w:t>
      </w:r>
      <w:r>
        <w:rPr>
          <w:rFonts w:ascii="仿宋_GB2312" w:hAnsi="宋体" w:eastAsia="仿宋_GB2312"/>
          <w:b/>
          <w:color w:val="auto"/>
          <w:sz w:val="24"/>
          <w:szCs w:val="44"/>
          <w:highlight w:val="none"/>
        </w:rPr>
        <w:t>银行】</w:t>
      </w:r>
      <w:r>
        <w:rPr>
          <w:rFonts w:hint="eastAsia" w:ascii="仿宋_GB2312" w:hAnsi="宋体" w:eastAsia="仿宋_GB2312"/>
          <w:b/>
          <w:color w:val="auto"/>
          <w:sz w:val="24"/>
          <w:szCs w:val="44"/>
          <w:highlight w:val="none"/>
        </w:rPr>
        <w:t>系</w:t>
      </w:r>
      <w:r>
        <w:rPr>
          <w:rFonts w:ascii="仿宋_GB2312" w:hAnsi="宋体" w:eastAsia="仿宋_GB2312"/>
          <w:b/>
          <w:color w:val="auto"/>
          <w:sz w:val="24"/>
          <w:szCs w:val="44"/>
          <w:highlight w:val="none"/>
        </w:rPr>
        <w:t>浙银理财的</w:t>
      </w:r>
      <w:r>
        <w:rPr>
          <w:rFonts w:hint="eastAsia" w:ascii="仿宋_GB2312" w:hAnsi="宋体" w:eastAsia="仿宋_GB2312"/>
          <w:b/>
          <w:color w:val="auto"/>
          <w:sz w:val="24"/>
          <w:szCs w:val="44"/>
          <w:highlight w:val="none"/>
        </w:rPr>
        <w:t>【</w:t>
      </w:r>
      <w:r>
        <w:rPr>
          <w:rFonts w:ascii="仿宋_GB2312" w:hAnsi="宋体" w:eastAsia="仿宋_GB2312"/>
          <w:b/>
          <w:color w:val="auto"/>
          <w:sz w:val="24"/>
          <w:szCs w:val="44"/>
          <w:highlight w:val="none"/>
        </w:rPr>
        <w:t>唯一股东</w:t>
      </w:r>
      <w:r>
        <w:rPr>
          <w:rFonts w:hint="eastAsia" w:ascii="仿宋_GB2312" w:hAnsi="宋体" w:eastAsia="仿宋_GB2312"/>
          <w:b/>
          <w:color w:val="auto"/>
          <w:sz w:val="24"/>
          <w:szCs w:val="44"/>
          <w:highlight w:val="none"/>
        </w:rPr>
        <w:t>】，与浙银</w:t>
      </w:r>
      <w:r>
        <w:rPr>
          <w:rFonts w:ascii="仿宋_GB2312" w:hAnsi="宋体" w:eastAsia="仿宋_GB2312"/>
          <w:b/>
          <w:color w:val="auto"/>
          <w:sz w:val="24"/>
          <w:szCs w:val="44"/>
          <w:highlight w:val="none"/>
        </w:rPr>
        <w:t>理财</w:t>
      </w:r>
      <w:r>
        <w:rPr>
          <w:rFonts w:hint="eastAsia" w:ascii="仿宋_GB2312" w:hAnsi="宋体" w:eastAsia="仿宋_GB2312"/>
          <w:b/>
          <w:color w:val="auto"/>
          <w:sz w:val="24"/>
          <w:szCs w:val="44"/>
          <w:highlight w:val="none"/>
        </w:rPr>
        <w:t>具有</w:t>
      </w:r>
      <w:r>
        <w:rPr>
          <w:rFonts w:ascii="仿宋_GB2312" w:hAnsi="宋体" w:eastAsia="仿宋_GB2312"/>
          <w:b/>
          <w:color w:val="auto"/>
          <w:sz w:val="24"/>
          <w:szCs w:val="44"/>
          <w:highlight w:val="none"/>
        </w:rPr>
        <w:t>关联关系。</w:t>
      </w:r>
      <w:r>
        <w:rPr>
          <w:rFonts w:hint="eastAsia" w:ascii="仿宋_GB2312" w:hAnsi="宋体" w:eastAsia="仿宋_GB2312"/>
          <w:b/>
          <w:color w:val="auto"/>
          <w:sz w:val="24"/>
          <w:szCs w:val="44"/>
          <w:highlight w:val="none"/>
        </w:rPr>
        <w:t>如浙银</w:t>
      </w:r>
      <w:r>
        <w:rPr>
          <w:rFonts w:ascii="仿宋_GB2312" w:hAnsi="宋体" w:eastAsia="仿宋_GB2312"/>
          <w:b/>
          <w:color w:val="auto"/>
          <w:sz w:val="24"/>
          <w:szCs w:val="44"/>
          <w:highlight w:val="none"/>
        </w:rPr>
        <w:t>理财委托【</w:t>
      </w:r>
      <w:r>
        <w:rPr>
          <w:rFonts w:hint="eastAsia" w:ascii="仿宋_GB2312" w:hAnsi="宋体" w:eastAsia="仿宋_GB2312"/>
          <w:b/>
          <w:color w:val="auto"/>
          <w:sz w:val="24"/>
          <w:szCs w:val="44"/>
          <w:highlight w:val="none"/>
        </w:rPr>
        <w:t>浙商</w:t>
      </w:r>
      <w:r>
        <w:rPr>
          <w:rFonts w:ascii="仿宋_GB2312" w:hAnsi="宋体" w:eastAsia="仿宋_GB2312"/>
          <w:b/>
          <w:color w:val="auto"/>
          <w:sz w:val="24"/>
          <w:szCs w:val="44"/>
          <w:highlight w:val="none"/>
        </w:rPr>
        <w:t>银行】</w:t>
      </w:r>
      <w:r>
        <w:rPr>
          <w:rFonts w:hint="eastAsia" w:ascii="仿宋_GB2312" w:hAnsi="宋体" w:eastAsia="仿宋_GB2312"/>
          <w:b/>
          <w:color w:val="auto"/>
          <w:sz w:val="24"/>
          <w:szCs w:val="44"/>
          <w:highlight w:val="none"/>
        </w:rPr>
        <w:t>托管或销售</w:t>
      </w:r>
      <w:r>
        <w:rPr>
          <w:rFonts w:ascii="仿宋_GB2312" w:hAnsi="宋体" w:eastAsia="仿宋_GB2312"/>
          <w:b/>
          <w:color w:val="auto"/>
          <w:sz w:val="24"/>
          <w:szCs w:val="44"/>
          <w:highlight w:val="none"/>
        </w:rPr>
        <w:t>本理财产品</w:t>
      </w:r>
      <w:r>
        <w:rPr>
          <w:rFonts w:hint="eastAsia" w:ascii="仿宋_GB2312" w:hAnsi="宋体" w:eastAsia="仿宋_GB2312"/>
          <w:b/>
          <w:color w:val="auto"/>
          <w:sz w:val="24"/>
          <w:szCs w:val="44"/>
          <w:highlight w:val="none"/>
        </w:rPr>
        <w:t>，将</w:t>
      </w:r>
      <w:r>
        <w:rPr>
          <w:rFonts w:ascii="仿宋_GB2312" w:hAnsi="宋体" w:eastAsia="仿宋_GB2312"/>
          <w:b/>
          <w:color w:val="auto"/>
          <w:sz w:val="24"/>
          <w:szCs w:val="44"/>
          <w:highlight w:val="none"/>
        </w:rPr>
        <w:t>存在</w:t>
      </w:r>
      <w:r>
        <w:rPr>
          <w:rFonts w:hint="eastAsia" w:ascii="仿宋_GB2312" w:hAnsi="宋体" w:eastAsia="仿宋_GB2312"/>
          <w:b/>
          <w:color w:val="auto"/>
          <w:sz w:val="24"/>
          <w:szCs w:val="44"/>
          <w:highlight w:val="none"/>
        </w:rPr>
        <w:t>关联</w:t>
      </w:r>
      <w:r>
        <w:rPr>
          <w:rFonts w:ascii="仿宋_GB2312" w:hAnsi="宋体" w:eastAsia="仿宋_GB2312"/>
          <w:b/>
          <w:color w:val="auto"/>
          <w:sz w:val="24"/>
          <w:szCs w:val="44"/>
          <w:highlight w:val="none"/>
        </w:rPr>
        <w:t>交易风险</w:t>
      </w:r>
      <w:r>
        <w:rPr>
          <w:rFonts w:hint="eastAsia" w:ascii="仿宋_GB2312" w:hAnsi="宋体" w:eastAsia="仿宋_GB2312"/>
          <w:b/>
          <w:color w:val="auto"/>
          <w:sz w:val="24"/>
          <w:szCs w:val="44"/>
          <w:highlight w:val="none"/>
        </w:rPr>
        <w:t>，本人</w:t>
      </w:r>
      <w:r>
        <w:rPr>
          <w:rFonts w:ascii="仿宋_GB2312" w:hAnsi="宋体" w:eastAsia="仿宋_GB2312"/>
          <w:b/>
          <w:color w:val="auto"/>
          <w:sz w:val="24"/>
          <w:szCs w:val="44"/>
          <w:highlight w:val="none"/>
        </w:rPr>
        <w:t>/</w:t>
      </w:r>
      <w:r>
        <w:rPr>
          <w:rFonts w:hint="eastAsia" w:ascii="仿宋_GB2312" w:hAnsi="宋体" w:eastAsia="仿宋_GB2312"/>
          <w:b/>
          <w:color w:val="auto"/>
          <w:sz w:val="24"/>
          <w:szCs w:val="44"/>
          <w:highlight w:val="none"/>
        </w:rPr>
        <w:t>本公司确认已充分知悉前述关联关系及关联交易风险的存在，并接受理财产品由销售机构代理销售、托管机构托管，自愿承担相关投资风险。</w:t>
      </w:r>
    </w:p>
    <w:p w14:paraId="72C7AEC7">
      <w:pPr>
        <w:spacing w:line="360" w:lineRule="auto"/>
        <w:rPr>
          <w:rFonts w:ascii="仿宋_GB2312" w:hAnsi="宋体" w:eastAsia="仿宋_GB2312"/>
          <w:color w:val="auto"/>
          <w:sz w:val="24"/>
          <w:szCs w:val="44"/>
          <w:highlight w:val="none"/>
        </w:rPr>
      </w:pPr>
    </w:p>
    <w:p w14:paraId="67C66484">
      <w:pPr>
        <w:spacing w:line="360" w:lineRule="auto"/>
        <w:ind w:firstLine="480" w:firstLineChars="200"/>
        <w:jc w:val="left"/>
        <w:rPr>
          <w:rFonts w:ascii="仿宋_GB2312" w:hAnsi="宋体" w:eastAsia="仿宋_GB2312"/>
          <w:b/>
          <w:color w:val="auto"/>
          <w:sz w:val="24"/>
          <w:szCs w:val="44"/>
          <w:highlight w:val="none"/>
        </w:rPr>
      </w:pPr>
      <w:r>
        <w:rPr>
          <w:rFonts w:hint="eastAsia" w:ascii="仿宋_GB2312" w:hAnsi="宋体" w:eastAsia="仿宋_GB2312"/>
          <w:color w:val="auto"/>
          <w:sz w:val="24"/>
          <w:szCs w:val="44"/>
          <w:highlight w:val="none"/>
        </w:rPr>
        <w:t>★经销售机构评估，本人/本公司的风险承受能力评估结果为（普通投资者自行填写）：【</w:t>
      </w:r>
      <w:r>
        <w:rPr>
          <w:rFonts w:ascii="仿宋_GB2312" w:hAnsi="宋体" w:eastAsia="仿宋_GB2312"/>
          <w:color w:val="auto"/>
          <w:sz w:val="24"/>
          <w:szCs w:val="44"/>
          <w:highlight w:val="none"/>
        </w:rPr>
        <w:t xml:space="preserve">              </w:t>
      </w:r>
      <w:r>
        <w:rPr>
          <w:rFonts w:hint="eastAsia" w:ascii="仿宋_GB2312" w:hAnsi="宋体" w:eastAsia="仿宋_GB2312"/>
          <w:color w:val="auto"/>
          <w:sz w:val="24"/>
          <w:szCs w:val="44"/>
          <w:highlight w:val="none"/>
        </w:rPr>
        <w:t>】。</w:t>
      </w:r>
      <w:r>
        <w:rPr>
          <w:rFonts w:hint="eastAsia" w:ascii="仿宋_GB2312" w:hAnsi="宋体" w:eastAsia="仿宋_GB2312"/>
          <w:b/>
          <w:color w:val="auto"/>
          <w:sz w:val="24"/>
          <w:szCs w:val="44"/>
          <w:highlight w:val="none"/>
        </w:rPr>
        <w:t>如影响自身风险承受的能力的因素发生变化，本人/本公司将及时完成风险承受能力的重新评估。</w:t>
      </w:r>
    </w:p>
    <w:p w14:paraId="26B3BDA4">
      <w:pPr>
        <w:ind w:firstLine="420"/>
        <w:jc w:val="left"/>
        <w:rPr>
          <w:rFonts w:ascii="仿宋_GB2312" w:hAnsi="宋体" w:eastAsia="仿宋_GB2312"/>
          <w:color w:val="auto"/>
          <w:sz w:val="24"/>
          <w:szCs w:val="44"/>
          <w:highlight w:val="none"/>
        </w:rPr>
      </w:pPr>
      <w:r>
        <w:rPr>
          <w:rFonts w:ascii="仿宋_GB2312" w:hAnsi="宋体" w:eastAsia="仿宋_GB2312"/>
          <w:color w:val="auto"/>
          <w:sz w:val="24"/>
          <w:szCs w:val="44"/>
          <w:highlight w:val="none"/>
        </w:rPr>
        <mc:AlternateContent>
          <mc:Choice Requires="wps">
            <w:drawing>
              <wp:anchor distT="0" distB="0" distL="114300" distR="114300" simplePos="0" relativeHeight="251659264" behindDoc="0" locked="0" layoutInCell="1" allowOverlap="1">
                <wp:simplePos x="0" y="0"/>
                <wp:positionH relativeFrom="column">
                  <wp:posOffset>37465</wp:posOffset>
                </wp:positionH>
                <wp:positionV relativeFrom="paragraph">
                  <wp:posOffset>167640</wp:posOffset>
                </wp:positionV>
                <wp:extent cx="5305425" cy="9525"/>
                <wp:effectExtent l="0" t="0" r="0" b="0"/>
                <wp:wrapNone/>
                <wp:docPr id="4" name="直接连接符 4"/>
                <wp:cNvGraphicFramePr/>
                <a:graphic xmlns:a="http://schemas.openxmlformats.org/drawingml/2006/main">
                  <a:graphicData uri="http://schemas.microsoft.com/office/word/2010/wordprocessingShape">
                    <wps:wsp>
                      <wps:cNvCnPr/>
                      <wps:spPr>
                        <a:xfrm>
                          <a:off x="0" y="0"/>
                          <a:ext cx="5305425" cy="9525"/>
                        </a:xfrm>
                        <a:prstGeom prst="line">
                          <a:avLst/>
                        </a:prstGeom>
                        <a:noFill/>
                        <a:ln w="19050" cap="flat" cmpd="sng" algn="ctr">
                          <a:solidFill>
                            <a:srgbClr val="808080">
                              <a:lumMod val="50000"/>
                            </a:srgbClr>
                          </a:solidFill>
                          <a:prstDash val="lgDashDot"/>
                          <a:miter lim="800000"/>
                        </a:ln>
                        <a:effectLst/>
                      </wps:spPr>
                      <wps:bodyPr/>
                    </wps:wsp>
                  </a:graphicData>
                </a:graphic>
              </wp:anchor>
            </w:drawing>
          </mc:Choice>
          <mc:Fallback>
            <w:pict>
              <v:line id="_x0000_s1026" o:spid="_x0000_s1026" o:spt="20" style="position:absolute;left:0pt;margin-left:2.95pt;margin-top:13.2pt;height:0.75pt;width:417.75pt;z-index:251659264;mso-width-relative:page;mso-height-relative:page;" filled="f" stroked="t" coordsize="21600,21600" o:gfxdata="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0Ox9o1gAAAAcBAAAPAAAAAAAAAAEAIAAAACIAAABkcnMvZG93bnJl&#10;di54bWxQSwECFAAUAAAACACHTuJA0sPXYP8BAADpAwAADgAAAAAAAAABACAAAAAlAQAAZHJzL2Uy&#10;b0RvYy54bWxQSwUGAAAAAAYABgBZAQAAlgUAAAAA&#10;">
                <v:fill on="f" focussize="0,0"/>
                <v:stroke weight="1.5pt" color="#404040" miterlimit="8" joinstyle="miter" dashstyle="longDashDot"/>
                <v:imagedata o:title=""/>
                <o:lock v:ext="edit" aspectratio="f"/>
              </v:line>
            </w:pict>
          </mc:Fallback>
        </mc:AlternateContent>
      </w:r>
    </w:p>
    <w:p w14:paraId="23C6578D">
      <w:pPr>
        <w:ind w:firstLine="480" w:firstLineChars="200"/>
        <w:jc w:val="left"/>
        <w:rPr>
          <w:rFonts w:ascii="仿宋_GB2312" w:hAnsi="宋体" w:eastAsia="仿宋_GB2312"/>
          <w:color w:val="auto"/>
          <w:sz w:val="24"/>
          <w:szCs w:val="44"/>
          <w:highlight w:val="none"/>
        </w:rPr>
      </w:pPr>
    </w:p>
    <w:p w14:paraId="730383B0">
      <w:pPr>
        <w:ind w:firstLine="480" w:firstLineChars="200"/>
        <w:jc w:val="left"/>
        <w:rPr>
          <w:rFonts w:ascii="仿宋_GB2312" w:hAnsi="宋体" w:eastAsia="仿宋_GB2312"/>
          <w:b/>
          <w:color w:val="auto"/>
          <w:sz w:val="24"/>
          <w:szCs w:val="44"/>
          <w:highlight w:val="none"/>
        </w:rPr>
      </w:pPr>
      <w:r>
        <w:rPr>
          <w:rFonts w:hint="eastAsia" w:ascii="仿宋_GB2312" w:hAnsi="宋体" w:eastAsia="仿宋_GB2312"/>
          <w:color w:val="auto"/>
          <w:sz w:val="24"/>
          <w:szCs w:val="44"/>
          <w:highlight w:val="none"/>
        </w:rPr>
        <w:t>★个人投资者须亲笔抄录以下内容：</w:t>
      </w:r>
      <w:r>
        <w:rPr>
          <w:rFonts w:hint="eastAsia" w:ascii="仿宋_GB2312" w:hAnsi="宋体" w:eastAsia="仿宋_GB2312"/>
          <w:b/>
          <w:color w:val="auto"/>
          <w:sz w:val="24"/>
          <w:szCs w:val="44"/>
          <w:highlight w:val="none"/>
        </w:rPr>
        <w:t>“本人已经阅读风险揭示，愿意承担投资风险。”</w:t>
      </w:r>
      <w:r>
        <w:rPr>
          <w:rFonts w:ascii="仿宋_GB2312" w:hAnsi="宋体" w:eastAsia="仿宋_GB2312"/>
          <w:color w:val="auto"/>
          <w:sz w:val="24"/>
          <w:szCs w:val="44"/>
          <w:highlight w:val="none"/>
        </w:rPr>
        <w:t xml:space="preserve"> </w:t>
      </w:r>
    </w:p>
    <w:p w14:paraId="1E8182A3">
      <w:pPr>
        <w:ind w:firstLine="480" w:firstLineChars="200"/>
        <w:jc w:val="left"/>
        <w:rPr>
          <w:rFonts w:ascii="仿宋_GB2312" w:hAnsi="宋体" w:eastAsia="仿宋_GB2312"/>
          <w:color w:val="auto"/>
          <w:sz w:val="24"/>
          <w:szCs w:val="44"/>
          <w:highlight w:val="none"/>
        </w:rPr>
      </w:pPr>
    </w:p>
    <w:p w14:paraId="652568BC">
      <w:pPr>
        <w:ind w:firstLine="480" w:firstLineChars="200"/>
        <w:jc w:val="left"/>
        <w:rPr>
          <w:rFonts w:ascii="仿宋_GB2312" w:hAnsi="宋体" w:eastAsia="仿宋_GB2312"/>
          <w:color w:val="auto"/>
          <w:sz w:val="24"/>
          <w:szCs w:val="44"/>
          <w:highlight w:val="none"/>
        </w:rPr>
      </w:pPr>
    </w:p>
    <w:p w14:paraId="51B4DFB8">
      <w:pPr>
        <w:jc w:val="left"/>
        <w:rPr>
          <w:rFonts w:ascii="仿宋_GB2312" w:hAnsi="宋体" w:eastAsia="仿宋_GB2312"/>
          <w:color w:val="auto"/>
          <w:sz w:val="24"/>
          <w:szCs w:val="44"/>
          <w:highlight w:val="none"/>
        </w:rPr>
      </w:pPr>
      <w:r>
        <w:rPr>
          <w:rFonts w:hint="eastAsia" w:ascii="仿宋_GB2312" w:hAnsi="宋体" w:eastAsia="仿宋_GB2312"/>
          <w:color w:val="auto"/>
          <w:sz w:val="24"/>
          <w:szCs w:val="44"/>
          <w:highlight w:val="none"/>
        </w:rPr>
        <w:t>投资者确认（抄录）：</w:t>
      </w:r>
      <w:r>
        <w:rPr>
          <w:rFonts w:ascii="仿宋_GB2312" w:hAnsi="宋体" w:eastAsia="仿宋_GB2312"/>
          <w:color w:val="auto"/>
          <w:sz w:val="24"/>
          <w:szCs w:val="44"/>
          <w:highlight w:val="none"/>
          <w:u w:val="single"/>
        </w:rPr>
        <w:t xml:space="preserve">                                                   </w:t>
      </w:r>
      <w:r>
        <w:rPr>
          <w:rFonts w:ascii="仿宋_GB2312" w:hAnsi="宋体" w:eastAsia="仿宋_GB2312"/>
          <w:color w:val="auto"/>
          <w:sz w:val="24"/>
          <w:szCs w:val="44"/>
          <w:highlight w:val="none"/>
        </w:rPr>
        <w:t xml:space="preserve"> </w:t>
      </w:r>
    </w:p>
    <w:p w14:paraId="265B5E55">
      <w:pPr>
        <w:jc w:val="left"/>
        <w:rPr>
          <w:rFonts w:ascii="仿宋_GB2312" w:hAnsi="宋体" w:eastAsia="仿宋_GB2312"/>
          <w:color w:val="auto"/>
          <w:sz w:val="24"/>
          <w:szCs w:val="44"/>
          <w:highlight w:val="none"/>
        </w:rPr>
      </w:pPr>
    </w:p>
    <w:p w14:paraId="6A4903C7">
      <w:pPr>
        <w:jc w:val="left"/>
        <w:rPr>
          <w:rFonts w:ascii="仿宋_GB2312" w:hAnsi="宋体" w:eastAsia="仿宋_GB2312"/>
          <w:color w:val="auto"/>
          <w:sz w:val="24"/>
          <w:szCs w:val="44"/>
          <w:highlight w:val="none"/>
        </w:rPr>
      </w:pPr>
    </w:p>
    <w:p w14:paraId="63EC8CAC">
      <w:pPr>
        <w:jc w:val="right"/>
        <w:rPr>
          <w:rFonts w:ascii="仿宋_GB2312" w:hAnsi="宋体" w:eastAsia="仿宋_GB2312"/>
          <w:color w:val="auto"/>
          <w:sz w:val="24"/>
          <w:szCs w:val="44"/>
          <w:highlight w:val="none"/>
        </w:rPr>
      </w:pPr>
      <w:r>
        <w:rPr>
          <w:rFonts w:hint="eastAsia" w:ascii="仿宋_GB2312" w:hAnsi="宋体" w:eastAsia="仿宋_GB2312"/>
          <w:color w:val="auto"/>
          <w:sz w:val="24"/>
          <w:szCs w:val="44"/>
          <w:highlight w:val="none"/>
        </w:rPr>
        <w:t>个人投资者签名：                                日期：   年   月   日</w:t>
      </w:r>
    </w:p>
    <w:p w14:paraId="299B0406">
      <w:pPr>
        <w:jc w:val="left"/>
        <w:rPr>
          <w:rFonts w:ascii="仿宋_GB2312" w:hAnsi="宋体" w:eastAsia="仿宋_GB2312"/>
          <w:color w:val="auto"/>
          <w:sz w:val="24"/>
          <w:szCs w:val="44"/>
          <w:highlight w:val="none"/>
        </w:rPr>
      </w:pPr>
      <w:r>
        <w:rPr>
          <w:rFonts w:ascii="仿宋_GB2312" w:hAnsi="宋体" w:eastAsia="仿宋_GB2312"/>
          <w:color w:val="auto"/>
          <w:sz w:val="24"/>
          <w:szCs w:val="44"/>
          <w:highlight w:val="none"/>
        </w:rPr>
        <mc:AlternateContent>
          <mc:Choice Requires="wps">
            <w:drawing>
              <wp:anchor distT="0" distB="0" distL="114300" distR="114300" simplePos="0" relativeHeight="251660288" behindDoc="0" locked="0" layoutInCell="1" allowOverlap="1">
                <wp:simplePos x="0" y="0"/>
                <wp:positionH relativeFrom="column">
                  <wp:posOffset>37465</wp:posOffset>
                </wp:positionH>
                <wp:positionV relativeFrom="paragraph">
                  <wp:posOffset>169545</wp:posOffset>
                </wp:positionV>
                <wp:extent cx="5305425" cy="9525"/>
                <wp:effectExtent l="0" t="0" r="0" b="0"/>
                <wp:wrapNone/>
                <wp:docPr id="5" name="直接连接符 5"/>
                <wp:cNvGraphicFramePr/>
                <a:graphic xmlns:a="http://schemas.openxmlformats.org/drawingml/2006/main">
                  <a:graphicData uri="http://schemas.microsoft.com/office/word/2010/wordprocessingShape">
                    <wps:wsp>
                      <wps:cNvCnPr/>
                      <wps:spPr>
                        <a:xfrm>
                          <a:off x="0" y="0"/>
                          <a:ext cx="5305425" cy="9525"/>
                        </a:xfrm>
                        <a:prstGeom prst="line">
                          <a:avLst/>
                        </a:prstGeom>
                        <a:noFill/>
                        <a:ln w="19050" cap="flat" cmpd="sng" algn="ctr">
                          <a:solidFill>
                            <a:srgbClr val="808080">
                              <a:lumMod val="50000"/>
                            </a:srgbClr>
                          </a:solidFill>
                          <a:prstDash val="lgDashDot"/>
                          <a:miter lim="800000"/>
                        </a:ln>
                        <a:effectLst/>
                      </wps:spPr>
                      <wps:bodyPr/>
                    </wps:wsp>
                  </a:graphicData>
                </a:graphic>
              </wp:anchor>
            </w:drawing>
          </mc:Choice>
          <mc:Fallback>
            <w:pict>
              <v:line id="_x0000_s1026" o:spid="_x0000_s1026" o:spt="20" style="position:absolute;left:0pt;margin-left:2.95pt;margin-top:13.35pt;height:0.75pt;width:417.75pt;z-index:251660288;mso-width-relative:page;mso-height-relative:page;" filled="f" stroked="t" coordsize="21600,21600" o:gfxdata="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h6uX2tUAAAAHAQAADwAAAAAAAAABACAAAAAiAAAAZHJzL2Rvd25yZXYu&#10;eG1sUEsBAhQAFAAAAAgAh07iQPR7/U7+AQAA6QMAAA4AAAAAAAAAAQAgAAAAJAEAAGRycy9lMm9E&#10;b2MueG1sUEsFBgAAAAAGAAYAWQEAAJQFAAAAAA==&#10;">
                <v:fill on="f" focussize="0,0"/>
                <v:stroke weight="1.5pt" color="#404040" miterlimit="8" joinstyle="miter" dashstyle="longDashDot"/>
                <v:imagedata o:title=""/>
                <o:lock v:ext="edit" aspectratio="f"/>
              </v:line>
            </w:pict>
          </mc:Fallback>
        </mc:AlternateContent>
      </w:r>
    </w:p>
    <w:p w14:paraId="50DF37A5">
      <w:pPr>
        <w:ind w:firstLine="480" w:firstLineChars="200"/>
        <w:jc w:val="left"/>
        <w:rPr>
          <w:rFonts w:ascii="仿宋_GB2312" w:hAnsi="宋体" w:eastAsia="仿宋_GB2312"/>
          <w:color w:val="auto"/>
          <w:sz w:val="24"/>
          <w:szCs w:val="44"/>
          <w:highlight w:val="none"/>
        </w:rPr>
      </w:pPr>
    </w:p>
    <w:p w14:paraId="4D9230D5">
      <w:pPr>
        <w:ind w:firstLine="480" w:firstLineChars="200"/>
        <w:jc w:val="left"/>
        <w:rPr>
          <w:rFonts w:ascii="仿宋_GB2312" w:hAnsi="宋体" w:eastAsia="仿宋_GB2312"/>
          <w:b/>
          <w:color w:val="auto"/>
          <w:sz w:val="24"/>
          <w:szCs w:val="44"/>
          <w:highlight w:val="none"/>
        </w:rPr>
      </w:pPr>
      <w:r>
        <w:rPr>
          <w:rFonts w:hint="eastAsia" w:ascii="仿宋_GB2312" w:hAnsi="宋体" w:eastAsia="仿宋_GB2312"/>
          <w:color w:val="auto"/>
          <w:sz w:val="24"/>
          <w:szCs w:val="44"/>
          <w:highlight w:val="none"/>
        </w:rPr>
        <w:t>★机构投资者须亲笔抄录以下内容：</w:t>
      </w:r>
      <w:r>
        <w:rPr>
          <w:rFonts w:hint="eastAsia" w:ascii="仿宋_GB2312" w:hAnsi="宋体" w:eastAsia="仿宋_GB2312"/>
          <w:b/>
          <w:color w:val="auto"/>
          <w:sz w:val="24"/>
          <w:szCs w:val="44"/>
          <w:highlight w:val="none"/>
        </w:rPr>
        <w:t>“我司已经阅读风险揭示，愿意承担投资风险。”</w:t>
      </w:r>
      <w:r>
        <w:rPr>
          <w:rFonts w:ascii="仿宋_GB2312" w:hAnsi="宋体" w:eastAsia="仿宋_GB2312"/>
          <w:color w:val="auto"/>
          <w:sz w:val="24"/>
          <w:szCs w:val="44"/>
          <w:highlight w:val="none"/>
        </w:rPr>
        <w:t xml:space="preserve"> </w:t>
      </w:r>
    </w:p>
    <w:p w14:paraId="36FF6408">
      <w:pPr>
        <w:ind w:firstLine="480" w:firstLineChars="200"/>
        <w:jc w:val="left"/>
        <w:rPr>
          <w:rFonts w:ascii="仿宋_GB2312" w:hAnsi="宋体" w:eastAsia="仿宋_GB2312"/>
          <w:color w:val="auto"/>
          <w:sz w:val="24"/>
          <w:szCs w:val="44"/>
          <w:highlight w:val="none"/>
        </w:rPr>
      </w:pPr>
    </w:p>
    <w:p w14:paraId="5DFCFDFA">
      <w:pPr>
        <w:jc w:val="left"/>
        <w:rPr>
          <w:rFonts w:ascii="仿宋_GB2312" w:hAnsi="宋体" w:eastAsia="仿宋_GB2312"/>
          <w:color w:val="auto"/>
          <w:sz w:val="24"/>
          <w:szCs w:val="44"/>
          <w:highlight w:val="none"/>
        </w:rPr>
      </w:pPr>
      <w:r>
        <w:rPr>
          <w:rFonts w:hint="eastAsia" w:ascii="仿宋_GB2312" w:hAnsi="宋体" w:eastAsia="仿宋_GB2312"/>
          <w:color w:val="auto"/>
          <w:sz w:val="24"/>
          <w:szCs w:val="44"/>
          <w:highlight w:val="none"/>
        </w:rPr>
        <w:t>投资者确认（抄录）：</w:t>
      </w:r>
      <w:r>
        <w:rPr>
          <w:rFonts w:ascii="仿宋_GB2312" w:hAnsi="宋体" w:eastAsia="仿宋_GB2312"/>
          <w:color w:val="auto"/>
          <w:sz w:val="24"/>
          <w:szCs w:val="44"/>
          <w:highlight w:val="none"/>
          <w:u w:val="single"/>
        </w:rPr>
        <w:t xml:space="preserve">                                                   </w:t>
      </w:r>
    </w:p>
    <w:p w14:paraId="40AE1844">
      <w:pPr>
        <w:jc w:val="left"/>
        <w:rPr>
          <w:rFonts w:ascii="仿宋_GB2312" w:hAnsi="宋体" w:eastAsia="仿宋_GB2312"/>
          <w:color w:val="auto"/>
          <w:sz w:val="24"/>
          <w:szCs w:val="44"/>
          <w:highlight w:val="none"/>
        </w:rPr>
      </w:pPr>
    </w:p>
    <w:p w14:paraId="3F397C02">
      <w:pPr>
        <w:jc w:val="left"/>
        <w:rPr>
          <w:rFonts w:ascii="仿宋_GB2312" w:hAnsi="宋体" w:eastAsia="仿宋_GB2312"/>
          <w:color w:val="auto"/>
          <w:sz w:val="24"/>
          <w:szCs w:val="44"/>
          <w:highlight w:val="none"/>
        </w:rPr>
      </w:pPr>
    </w:p>
    <w:p w14:paraId="2BED580B">
      <w:pPr>
        <w:jc w:val="right"/>
        <w:rPr>
          <w:rFonts w:ascii="仿宋_GB2312" w:hAnsi="宋体" w:eastAsia="仿宋_GB2312"/>
          <w:color w:val="auto"/>
          <w:sz w:val="24"/>
          <w:szCs w:val="44"/>
          <w:highlight w:val="none"/>
        </w:rPr>
      </w:pPr>
      <w:r>
        <w:rPr>
          <w:rFonts w:hint="eastAsia" w:ascii="仿宋_GB2312" w:hAnsi="宋体" w:eastAsia="仿宋_GB2312"/>
          <w:color w:val="auto"/>
          <w:sz w:val="24"/>
          <w:szCs w:val="44"/>
          <w:highlight w:val="none"/>
        </w:rPr>
        <w:t>机构投资者（盖章）：                            日期：   年   月   日</w:t>
      </w:r>
    </w:p>
    <w:p w14:paraId="10B54915">
      <w:pPr>
        <w:jc w:val="left"/>
        <w:rPr>
          <w:rFonts w:ascii="仿宋_GB2312" w:hAnsi="宋体" w:eastAsia="仿宋_GB2312"/>
          <w:color w:val="auto"/>
          <w:sz w:val="24"/>
          <w:szCs w:val="44"/>
          <w:highlight w:val="none"/>
        </w:rPr>
      </w:pPr>
    </w:p>
    <w:p w14:paraId="78252A75">
      <w:pPr>
        <w:rPr>
          <w:rFonts w:ascii="方正小标宋简体" w:eastAsia="方正小标宋简体"/>
          <w:color w:val="auto"/>
          <w:sz w:val="36"/>
          <w:szCs w:val="36"/>
          <w:highlight w:val="none"/>
        </w:rPr>
      </w:pPr>
      <w:r>
        <w:rPr>
          <w:rFonts w:hint="eastAsia" w:ascii="仿宋_GB2312" w:hAnsi="宋体" w:eastAsia="仿宋_GB2312"/>
          <w:color w:val="auto"/>
          <w:sz w:val="24"/>
          <w:szCs w:val="44"/>
          <w:highlight w:val="none"/>
        </w:rPr>
        <w:t>机构投资者法定代表人或授权代表（签字或盖章）</w:t>
      </w:r>
    </w:p>
    <w:p w14:paraId="72C58141">
      <w:pPr>
        <w:rPr>
          <w:color w:val="auto"/>
          <w:sz w:val="24"/>
          <w:szCs w:val="24"/>
          <w:highlight w:val="none"/>
        </w:rPr>
      </w:pPr>
    </w:p>
    <w:p w14:paraId="306DCEE8">
      <w:pPr>
        <w:jc w:val="left"/>
        <w:rPr>
          <w:rFonts w:hint="eastAsia" w:ascii="黑体" w:hAnsi="黑体" w:eastAsia="黑体" w:cs="黑体"/>
          <w:i w:val="0"/>
          <w:iCs w:val="0"/>
          <w:caps w:val="0"/>
          <w:color w:val="auto"/>
          <w:spacing w:val="0"/>
          <w:sz w:val="32"/>
          <w:szCs w:val="32"/>
          <w:shd w:val="clear" w:fill="FFFFFF"/>
          <w:lang w:val="en-US" w:eastAsia="zh-CN"/>
        </w:rPr>
      </w:pPr>
    </w:p>
    <w:p w14:paraId="73D4DD29">
      <w:pPr>
        <w:jc w:val="left"/>
        <w:rPr>
          <w:rFonts w:hint="eastAsia" w:ascii="黑体" w:hAnsi="黑体" w:eastAsia="黑体" w:cs="黑体"/>
          <w:i w:val="0"/>
          <w:iCs w:val="0"/>
          <w:caps w:val="0"/>
          <w:color w:val="auto"/>
          <w:spacing w:val="0"/>
          <w:sz w:val="32"/>
          <w:szCs w:val="32"/>
          <w:shd w:val="clear" w:fill="FFFFFF"/>
          <w:lang w:val="en-US" w:eastAsia="zh-CN"/>
        </w:rPr>
      </w:pPr>
    </w:p>
    <w:p w14:paraId="7B1FA1D6">
      <w:pPr>
        <w:jc w:val="left"/>
        <w:rPr>
          <w:rFonts w:hint="eastAsia" w:ascii="黑体" w:hAnsi="黑体" w:eastAsia="黑体" w:cs="黑体"/>
          <w:i w:val="0"/>
          <w:iCs w:val="0"/>
          <w:caps w:val="0"/>
          <w:color w:val="auto"/>
          <w:spacing w:val="0"/>
          <w:sz w:val="32"/>
          <w:szCs w:val="32"/>
          <w:shd w:val="clear" w:fill="FFFFFF"/>
          <w:lang w:val="en-US" w:eastAsia="zh-CN"/>
        </w:rPr>
      </w:pPr>
    </w:p>
    <w:p w14:paraId="3750C9F3">
      <w:pPr>
        <w:jc w:val="left"/>
        <w:rPr>
          <w:rFonts w:hint="eastAsia" w:ascii="黑体" w:hAnsi="黑体" w:eastAsia="黑体" w:cs="黑体"/>
          <w:i w:val="0"/>
          <w:iCs w:val="0"/>
          <w:caps w:val="0"/>
          <w:color w:val="auto"/>
          <w:spacing w:val="0"/>
          <w:sz w:val="32"/>
          <w:szCs w:val="32"/>
          <w:shd w:val="clear" w:fill="FFFFFF"/>
          <w:lang w:val="en-US" w:eastAsia="zh-CN"/>
        </w:rPr>
      </w:pPr>
    </w:p>
    <w:p w14:paraId="152DFDEC">
      <w:pPr>
        <w:jc w:val="left"/>
        <w:rPr>
          <w:rFonts w:hint="eastAsia" w:ascii="黑体" w:hAnsi="黑体" w:eastAsia="黑体" w:cs="黑体"/>
          <w:i w:val="0"/>
          <w:iCs w:val="0"/>
          <w:caps w:val="0"/>
          <w:color w:val="auto"/>
          <w:spacing w:val="0"/>
          <w:sz w:val="32"/>
          <w:szCs w:val="32"/>
          <w:shd w:val="clear" w:fill="FFFFFF"/>
          <w:lang w:val="en-US" w:eastAsia="zh-CN"/>
        </w:rPr>
      </w:pPr>
    </w:p>
    <w:p w14:paraId="380A69ED">
      <w:pPr>
        <w:jc w:val="left"/>
        <w:rPr>
          <w:rFonts w:hint="eastAsia" w:ascii="黑体" w:hAnsi="黑体" w:eastAsia="黑体" w:cs="黑体"/>
          <w:i w:val="0"/>
          <w:iCs w:val="0"/>
          <w:caps w:val="0"/>
          <w:color w:val="auto"/>
          <w:spacing w:val="0"/>
          <w:sz w:val="32"/>
          <w:szCs w:val="32"/>
          <w:shd w:val="clear" w:fill="FFFFFF"/>
          <w:lang w:val="en-US" w:eastAsia="zh-CN"/>
        </w:rPr>
      </w:pPr>
    </w:p>
    <w:p w14:paraId="22312258">
      <w:pPr>
        <w:jc w:val="left"/>
        <w:rPr>
          <w:rFonts w:hint="eastAsia" w:ascii="黑体" w:hAnsi="黑体" w:eastAsia="黑体" w:cs="黑体"/>
          <w:i w:val="0"/>
          <w:iCs w:val="0"/>
          <w:caps w:val="0"/>
          <w:color w:val="auto"/>
          <w:spacing w:val="0"/>
          <w:sz w:val="32"/>
          <w:szCs w:val="32"/>
          <w:shd w:val="clear" w:fill="FFFFFF"/>
          <w:lang w:val="en-US" w:eastAsia="zh-CN"/>
        </w:rPr>
      </w:pPr>
    </w:p>
    <w:p w14:paraId="26A48699">
      <w:pPr>
        <w:jc w:val="left"/>
        <w:rPr>
          <w:rFonts w:hint="eastAsia" w:ascii="黑体" w:hAnsi="黑体" w:eastAsia="黑体" w:cs="黑体"/>
          <w:i w:val="0"/>
          <w:iCs w:val="0"/>
          <w:caps w:val="0"/>
          <w:color w:val="auto"/>
          <w:spacing w:val="0"/>
          <w:sz w:val="32"/>
          <w:szCs w:val="32"/>
          <w:shd w:val="clear" w:fill="FFFFFF"/>
          <w:lang w:val="en-US" w:eastAsia="zh-CN"/>
        </w:rPr>
      </w:pPr>
    </w:p>
    <w:p w14:paraId="54CC8A19">
      <w:pPr>
        <w:jc w:val="left"/>
        <w:rPr>
          <w:rFonts w:hint="eastAsia" w:ascii="黑体" w:hAnsi="黑体" w:eastAsia="黑体" w:cs="黑体"/>
          <w:i w:val="0"/>
          <w:iCs w:val="0"/>
          <w:caps w:val="0"/>
          <w:color w:val="auto"/>
          <w:spacing w:val="0"/>
          <w:sz w:val="32"/>
          <w:szCs w:val="32"/>
          <w:shd w:val="clear" w:fill="FFFFFF"/>
          <w:lang w:val="en-US" w:eastAsia="zh-CN"/>
        </w:rPr>
      </w:pPr>
    </w:p>
    <w:p w14:paraId="4AC85738">
      <w:pPr>
        <w:jc w:val="left"/>
        <w:rPr>
          <w:rFonts w:hint="eastAsia" w:ascii="黑体" w:hAnsi="黑体" w:eastAsia="黑体" w:cs="黑体"/>
          <w:i w:val="0"/>
          <w:iCs w:val="0"/>
          <w:caps w:val="0"/>
          <w:color w:val="auto"/>
          <w:spacing w:val="0"/>
          <w:sz w:val="32"/>
          <w:szCs w:val="32"/>
          <w:shd w:val="clear" w:fill="FFFFFF"/>
          <w:lang w:val="en-US" w:eastAsia="zh-CN"/>
        </w:rPr>
      </w:pPr>
    </w:p>
    <w:p w14:paraId="41DCA0F9">
      <w:pPr>
        <w:jc w:val="left"/>
        <w:rPr>
          <w:rFonts w:hint="eastAsia" w:ascii="黑体" w:hAnsi="黑体" w:eastAsia="黑体" w:cs="黑体"/>
          <w:i w:val="0"/>
          <w:iCs w:val="0"/>
          <w:caps w:val="0"/>
          <w:color w:val="auto"/>
          <w:spacing w:val="0"/>
          <w:sz w:val="32"/>
          <w:szCs w:val="32"/>
          <w:shd w:val="clear" w:fill="FFFFFF"/>
          <w:lang w:val="en-US" w:eastAsia="zh-CN"/>
        </w:rPr>
      </w:pPr>
    </w:p>
    <w:p w14:paraId="601304FB">
      <w:pPr>
        <w:jc w:val="left"/>
        <w:rPr>
          <w:rFonts w:hint="eastAsia" w:ascii="黑体" w:hAnsi="黑体" w:eastAsia="黑体" w:cs="黑体"/>
          <w:i w:val="0"/>
          <w:iCs w:val="0"/>
          <w:caps w:val="0"/>
          <w:color w:val="auto"/>
          <w:spacing w:val="0"/>
          <w:sz w:val="32"/>
          <w:szCs w:val="32"/>
          <w:shd w:val="clear" w:fill="FFFFFF"/>
          <w:lang w:val="en-US" w:eastAsia="zh-CN"/>
        </w:rPr>
      </w:pPr>
    </w:p>
    <w:p w14:paraId="033D1285">
      <w:pPr>
        <w:jc w:val="left"/>
        <w:rPr>
          <w:rFonts w:hint="eastAsia" w:ascii="黑体" w:hAnsi="黑体" w:eastAsia="黑体" w:cs="黑体"/>
          <w:i w:val="0"/>
          <w:iCs w:val="0"/>
          <w:caps w:val="0"/>
          <w:color w:val="auto"/>
          <w:spacing w:val="0"/>
          <w:sz w:val="32"/>
          <w:szCs w:val="32"/>
          <w:shd w:val="clear" w:fill="FFFFFF"/>
          <w:lang w:val="en-US" w:eastAsia="zh-CN"/>
        </w:rPr>
      </w:pPr>
    </w:p>
    <w:p w14:paraId="28E60BEA">
      <w:pPr>
        <w:jc w:val="left"/>
        <w:rPr>
          <w:rFonts w:hint="eastAsia" w:ascii="黑体" w:hAnsi="黑体" w:eastAsia="黑体" w:cs="黑体"/>
          <w:i w:val="0"/>
          <w:iCs w:val="0"/>
          <w:caps w:val="0"/>
          <w:color w:val="auto"/>
          <w:spacing w:val="0"/>
          <w:sz w:val="32"/>
          <w:szCs w:val="32"/>
          <w:shd w:val="clear" w:fill="FFFFFF"/>
          <w:lang w:val="en-US" w:eastAsia="zh-CN"/>
        </w:rPr>
      </w:pPr>
    </w:p>
    <w:p w14:paraId="270CC6C7">
      <w:pPr>
        <w:jc w:val="left"/>
        <w:rPr>
          <w:rFonts w:hint="eastAsia"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t>附件2：</w:t>
      </w:r>
    </w:p>
    <w:p w14:paraId="54B2D58E">
      <w:pPr>
        <w:spacing w:before="156" w:beforeLines="50"/>
        <w:jc w:val="center"/>
        <w:rPr>
          <w:rFonts w:hint="eastAsia" w:ascii="方正小标宋简体" w:eastAsia="方正小标宋简体"/>
          <w:sz w:val="36"/>
          <w:szCs w:val="36"/>
          <w:lang w:eastAsia="zh-CN"/>
        </w:rPr>
      </w:pPr>
      <w:r>
        <w:rPr>
          <w:rFonts w:hint="eastAsia" w:ascii="方正小标宋简体" w:eastAsia="方正小标宋简体"/>
          <w:sz w:val="36"/>
          <w:szCs w:val="36"/>
        </w:rPr>
        <w:t>浙银理财</w:t>
      </w:r>
      <w:r>
        <w:rPr>
          <w:rFonts w:hint="eastAsia" w:ascii="方正小标宋简体" w:eastAsia="方正小标宋简体"/>
          <w:sz w:val="36"/>
          <w:szCs w:val="36"/>
          <w:highlight w:val="yellow"/>
          <w:lang w:eastAsia="zh-CN"/>
        </w:rPr>
        <w:t>【】</w:t>
      </w:r>
      <w:r>
        <w:rPr>
          <w:rFonts w:hint="eastAsia" w:ascii="方正小标宋简体" w:eastAsia="方正小标宋简体"/>
          <w:color w:val="auto"/>
          <w:sz w:val="36"/>
          <w:szCs w:val="36"/>
          <w:highlight w:val="none"/>
        </w:rPr>
        <w:t>理财产品</w:t>
      </w:r>
    </w:p>
    <w:p w14:paraId="01E64374">
      <w:pPr>
        <w:spacing w:before="156" w:beforeLines="50"/>
        <w:jc w:val="center"/>
        <w:rPr>
          <w:rFonts w:ascii="方正小标宋简体" w:eastAsia="方正小标宋简体"/>
          <w:sz w:val="36"/>
          <w:szCs w:val="36"/>
        </w:rPr>
      </w:pPr>
      <w:r>
        <w:rPr>
          <w:rFonts w:hint="eastAsia" w:ascii="方正小标宋简体" w:eastAsia="方正小标宋简体"/>
          <w:sz w:val="36"/>
          <w:szCs w:val="36"/>
        </w:rPr>
        <w:t>风险揭示书</w:t>
      </w:r>
      <w:r>
        <w:rPr>
          <w:rFonts w:hint="eastAsia" w:ascii="方正小标宋简体" w:eastAsia="方正小标宋简体"/>
          <w:sz w:val="28"/>
          <w:szCs w:val="36"/>
        </w:rPr>
        <w:t>（现金管理类202</w:t>
      </w:r>
      <w:r>
        <w:rPr>
          <w:rFonts w:hint="eastAsia" w:ascii="方正小标宋简体" w:eastAsia="方正小标宋简体"/>
          <w:sz w:val="28"/>
          <w:szCs w:val="36"/>
          <w:lang w:val="en-US" w:eastAsia="zh-CN"/>
        </w:rPr>
        <w:t>608</w:t>
      </w:r>
      <w:r>
        <w:rPr>
          <w:rFonts w:hint="eastAsia" w:ascii="方正小标宋简体" w:eastAsia="方正小标宋简体"/>
          <w:sz w:val="28"/>
          <w:szCs w:val="36"/>
        </w:rPr>
        <w:t>版</w:t>
      </w:r>
      <w:r>
        <w:rPr>
          <w:rFonts w:ascii="方正小标宋简体" w:eastAsia="方正小标宋简体"/>
          <w:sz w:val="28"/>
          <w:szCs w:val="36"/>
        </w:rPr>
        <w:t>）</w:t>
      </w:r>
    </w:p>
    <w:p w14:paraId="313FBCC9">
      <w:pPr>
        <w:spacing w:after="312" w:afterLines="100"/>
        <w:jc w:val="center"/>
        <w:rPr>
          <w:rFonts w:ascii="方正小标宋简体" w:eastAsia="方正小标宋简体" w:hAnsiTheme="minorEastAsia"/>
          <w:sz w:val="40"/>
          <w:szCs w:val="44"/>
        </w:rPr>
      </w:pPr>
      <w:r>
        <w:rPr>
          <w:rFonts w:hint="eastAsia" w:ascii="方正小标宋简体" w:eastAsia="方正小标宋简体" w:hAnsiTheme="minorEastAsia"/>
          <w:sz w:val="28"/>
          <w:szCs w:val="30"/>
        </w:rPr>
        <w:t>理财非存款、产品有风险、投资须谨慎</w:t>
      </w:r>
    </w:p>
    <w:p w14:paraId="0620E78B">
      <w:pPr>
        <w:jc w:val="left"/>
        <w:rPr>
          <w:rFonts w:ascii="仿宋_GB2312" w:eastAsia="仿宋_GB2312"/>
          <w:sz w:val="24"/>
          <w:szCs w:val="24"/>
        </w:rPr>
      </w:pPr>
      <w:r>
        <w:rPr>
          <w:rFonts w:hint="eastAsia" w:ascii="仿宋_GB2312" w:eastAsia="仿宋_GB2312"/>
          <w:sz w:val="24"/>
          <w:szCs w:val="24"/>
        </w:rPr>
        <w:t>尊敬的投资者：</w:t>
      </w:r>
    </w:p>
    <w:p w14:paraId="442AE437">
      <w:pPr>
        <w:ind w:firstLine="480" w:firstLineChars="200"/>
        <w:rPr>
          <w:rFonts w:ascii="仿宋_GB2312" w:eastAsia="仿宋_GB2312"/>
          <w:b/>
          <w:sz w:val="24"/>
          <w:szCs w:val="24"/>
        </w:rPr>
      </w:pPr>
      <w:r>
        <w:rPr>
          <w:rFonts w:hint="eastAsia" w:ascii="仿宋_GB2312" w:eastAsia="仿宋_GB2312"/>
          <w:sz w:val="24"/>
          <w:szCs w:val="24"/>
        </w:rPr>
        <w:t>由于本理财产品在投资运作管理中可能面临各种风险因素，根据监管部门要求和投资者权益保护需要，</w:t>
      </w:r>
      <w:r>
        <w:rPr>
          <w:rFonts w:hint="eastAsia" w:ascii="仿宋_GB2312" w:eastAsia="仿宋_GB2312"/>
          <w:b/>
          <w:sz w:val="24"/>
          <w:szCs w:val="24"/>
        </w:rPr>
        <w:t>浙银理财有限责任公司（以下简称“浙银</w:t>
      </w:r>
      <w:r>
        <w:rPr>
          <w:rFonts w:ascii="仿宋_GB2312" w:eastAsia="仿宋_GB2312"/>
          <w:b/>
          <w:sz w:val="24"/>
          <w:szCs w:val="24"/>
        </w:rPr>
        <w:t>理财</w:t>
      </w:r>
      <w:r>
        <w:rPr>
          <w:rFonts w:hint="eastAsia" w:ascii="仿宋_GB2312" w:eastAsia="仿宋_GB2312"/>
          <w:b/>
          <w:sz w:val="24"/>
          <w:szCs w:val="24"/>
        </w:rPr>
        <w:t>”）作为本理财产品的产品管理人郑重提示您：您在选择投资本理财产品前,请务必仔细阅读本理财产品完整销售文件 (包括本</w:t>
      </w:r>
      <w:r>
        <w:rPr>
          <w:rFonts w:ascii="仿宋_GB2312" w:eastAsia="仿宋_GB2312"/>
          <w:b/>
          <w:sz w:val="24"/>
          <w:szCs w:val="24"/>
        </w:rPr>
        <w:t>《</w:t>
      </w:r>
      <w:r>
        <w:rPr>
          <w:rFonts w:hint="eastAsia" w:ascii="仿宋_GB2312" w:eastAsia="仿宋_GB2312"/>
          <w:b/>
          <w:sz w:val="24"/>
          <w:szCs w:val="24"/>
        </w:rPr>
        <w:t>风险揭示书</w:t>
      </w:r>
      <w:r>
        <w:rPr>
          <w:rFonts w:ascii="仿宋_GB2312" w:eastAsia="仿宋_GB2312"/>
          <w:b/>
          <w:sz w:val="24"/>
          <w:szCs w:val="24"/>
        </w:rPr>
        <w:t>》</w:t>
      </w:r>
      <w:r>
        <w:rPr>
          <w:rFonts w:hint="eastAsia" w:ascii="仿宋_GB2312" w:eastAsia="仿宋_GB2312"/>
          <w:b/>
          <w:sz w:val="24"/>
          <w:szCs w:val="24"/>
        </w:rPr>
        <w:t>《产品说明书》《投资</w:t>
      </w:r>
      <w:r>
        <w:rPr>
          <w:rFonts w:ascii="仿宋_GB2312" w:eastAsia="仿宋_GB2312"/>
          <w:b/>
          <w:sz w:val="24"/>
          <w:szCs w:val="24"/>
        </w:rPr>
        <w:t>协议书</w:t>
      </w:r>
      <w:r>
        <w:rPr>
          <w:rFonts w:hint="eastAsia" w:ascii="仿宋_GB2312" w:eastAsia="仿宋_GB2312"/>
          <w:b/>
          <w:sz w:val="24"/>
          <w:szCs w:val="24"/>
        </w:rPr>
        <w:t>》《投资者权益须知》《</w:t>
      </w:r>
      <w:r>
        <w:rPr>
          <w:rFonts w:ascii="仿宋_GB2312" w:eastAsia="仿宋_GB2312"/>
          <w:b/>
          <w:sz w:val="24"/>
          <w:szCs w:val="24"/>
        </w:rPr>
        <w:t>（代理）销售协议书</w:t>
      </w:r>
      <w:r>
        <w:rPr>
          <w:rFonts w:hint="eastAsia" w:ascii="仿宋_GB2312" w:eastAsia="仿宋_GB2312"/>
          <w:b/>
          <w:sz w:val="24"/>
          <w:szCs w:val="24"/>
        </w:rPr>
        <w:t>》等)，充分了解本理财产品销售服务规则、资金投资方向、投资风险等具体情况，并在审慎评估自身理财投资目标、投资损失风险承受能力、资产管理需求、资金使用需求等因素的基础上，独立作出是否投资本理财产品的决定。在您投资本理财产品后，请关注本理财产品的信息披露，及时获取相关信息；如影响您风险承受能力的因素发生变化，请及时</w:t>
      </w:r>
      <w:r>
        <w:rPr>
          <w:rFonts w:hint="eastAsia" w:ascii="仿宋_GB2312" w:eastAsia="仿宋_GB2312"/>
          <w:b/>
          <w:sz w:val="24"/>
          <w:szCs w:val="24"/>
          <w:lang w:eastAsia="zh-CN"/>
        </w:rPr>
        <w:t>完成</w:t>
      </w:r>
      <w:r>
        <w:rPr>
          <w:rFonts w:hint="eastAsia" w:ascii="仿宋_GB2312" w:eastAsia="仿宋_GB2312"/>
          <w:b/>
          <w:sz w:val="24"/>
          <w:szCs w:val="24"/>
        </w:rPr>
        <w:t>风险承受能力评估。</w:t>
      </w:r>
    </w:p>
    <w:p w14:paraId="2819EBF5">
      <w:pPr>
        <w:spacing w:before="240" w:after="240"/>
        <w:ind w:firstLine="480" w:firstLineChars="200"/>
        <w:rPr>
          <w:rFonts w:ascii="黑体" w:hAnsi="黑体" w:eastAsia="黑体"/>
          <w:sz w:val="24"/>
          <w:szCs w:val="24"/>
        </w:rPr>
      </w:pPr>
      <w:r>
        <w:rPr>
          <w:rFonts w:hint="eastAsia" w:ascii="黑体" w:hAnsi="黑体" w:eastAsia="黑体"/>
          <w:sz w:val="24"/>
          <w:szCs w:val="24"/>
        </w:rPr>
        <w:t>一、产品风险揭示</w:t>
      </w:r>
    </w:p>
    <w:p w14:paraId="0992D187">
      <w:pPr>
        <w:ind w:firstLine="480" w:firstLineChars="200"/>
        <w:rPr>
          <w:rFonts w:ascii="仿宋_GB2312" w:hAnsi="宋体" w:eastAsia="仿宋_GB2312" w:cs="宋体"/>
          <w:bCs/>
          <w:kern w:val="0"/>
          <w:sz w:val="24"/>
          <w:szCs w:val="24"/>
        </w:rPr>
      </w:pPr>
      <w:r>
        <w:rPr>
          <w:rFonts w:hint="eastAsia" w:ascii="仿宋_GB2312" w:hAnsi="宋体" w:eastAsia="仿宋_GB2312" w:cs="宋体"/>
          <w:bCs/>
          <w:kern w:val="0"/>
          <w:sz w:val="24"/>
          <w:szCs w:val="24"/>
        </w:rPr>
        <w:t>本风险揭示书列示的风险指理财产品可能涉及的风险，包括但不限于：</w:t>
      </w:r>
    </w:p>
    <w:p w14:paraId="2150255C">
      <w:pPr>
        <w:ind w:firstLine="482" w:firstLineChars="200"/>
        <w:rPr>
          <w:rFonts w:ascii="仿宋_GB2312" w:eastAsia="仿宋_GB2312"/>
          <w:b/>
          <w:sz w:val="24"/>
          <w:szCs w:val="24"/>
        </w:rPr>
      </w:pPr>
      <w:r>
        <w:rPr>
          <w:rFonts w:hint="eastAsia" w:ascii="仿宋_GB2312" w:hAnsi="宋体" w:eastAsia="仿宋_GB2312" w:cs="宋体"/>
          <w:b/>
          <w:bCs/>
          <w:kern w:val="0"/>
          <w:sz w:val="24"/>
          <w:szCs w:val="24"/>
        </w:rPr>
        <w:t>（一）政策风险</w:t>
      </w:r>
    </w:p>
    <w:p w14:paraId="39736902">
      <w:pPr>
        <w:ind w:firstLine="480" w:firstLineChars="200"/>
        <w:rPr>
          <w:rFonts w:ascii="仿宋_GB2312" w:eastAsia="仿宋_GB2312"/>
          <w:color w:val="000000" w:themeColor="text1"/>
          <w:sz w:val="24"/>
          <w:szCs w:val="24"/>
          <w14:textFill>
            <w14:solidFill>
              <w14:schemeClr w14:val="tx1"/>
            </w14:solidFill>
          </w14:textFill>
        </w:rPr>
      </w:pPr>
      <w:r>
        <w:rPr>
          <w:rFonts w:hint="eastAsia" w:ascii="仿宋_GB2312" w:hAnsi="宋体" w:eastAsia="仿宋_GB2312" w:cs="宋体"/>
          <w:bCs/>
          <w:color w:val="000000" w:themeColor="text1"/>
          <w:kern w:val="0"/>
          <w:sz w:val="24"/>
          <w:szCs w:val="24"/>
          <w14:textFill>
            <w14:solidFill>
              <w14:schemeClr w14:val="tx1"/>
            </w14:solidFill>
          </w14:textFill>
        </w:rPr>
        <w:t>本理财产品是根据当前相关法律法规、监管规定和国家政策设计的。如国家宏观政策以及市场相关法律法规、监管规定发生变化，可能影响本理财产品的发行、交易、投资、兑付等工作流程的正常进行，从而影响本理财产品的投资运作，则投资者可能面临本金和收益遭受部分甚至全部损失的风险。</w:t>
      </w:r>
    </w:p>
    <w:p w14:paraId="01510DE3">
      <w:pPr>
        <w:ind w:firstLine="482" w:firstLineChars="200"/>
        <w:rPr>
          <w:rFonts w:ascii="仿宋_GB2312" w:eastAsia="仿宋_GB2312"/>
          <w:b/>
          <w:sz w:val="24"/>
          <w:szCs w:val="24"/>
        </w:rPr>
      </w:pPr>
      <w:r>
        <w:rPr>
          <w:rFonts w:hint="eastAsia" w:ascii="仿宋_GB2312" w:hAnsi="宋体" w:eastAsia="仿宋_GB2312" w:cs="宋体"/>
          <w:b/>
          <w:bCs/>
          <w:kern w:val="0"/>
          <w:sz w:val="24"/>
          <w:szCs w:val="24"/>
        </w:rPr>
        <w:t>（二）信用风险</w:t>
      </w:r>
    </w:p>
    <w:p w14:paraId="5B6BCA6C">
      <w:pPr>
        <w:ind w:firstLine="480" w:firstLineChars="200"/>
        <w:rPr>
          <w:rFonts w:ascii="仿宋_GB2312" w:hAnsi="宋体" w:eastAsia="仿宋_GB2312" w:cs="宋体"/>
          <w:bCs/>
          <w:kern w:val="0"/>
          <w:sz w:val="24"/>
          <w:szCs w:val="24"/>
        </w:rPr>
      </w:pPr>
      <w:r>
        <w:rPr>
          <w:rFonts w:hint="eastAsia" w:ascii="仿宋_GB2312" w:hAnsi="宋体" w:eastAsia="仿宋_GB2312" w:cs="宋体"/>
          <w:bCs/>
          <w:kern w:val="0"/>
          <w:sz w:val="24"/>
          <w:szCs w:val="24"/>
        </w:rPr>
        <w:t>本理财产品所投资的资产或资产组合项下义务人可能出现信用违约情形，无法如期偿付融资本金与利息，则投资者可能面临本金和收益遭受部分甚至全部损失的风险。</w:t>
      </w:r>
    </w:p>
    <w:p w14:paraId="75B1182A">
      <w:pPr>
        <w:ind w:firstLine="482" w:firstLineChars="200"/>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（三）市场风险</w:t>
      </w:r>
    </w:p>
    <w:p w14:paraId="53DEB138">
      <w:pPr>
        <w:ind w:firstLine="480" w:firstLineChars="200"/>
        <w:rPr>
          <w:rFonts w:ascii="仿宋_GB2312" w:hAnsi="宋体" w:eastAsia="仿宋_GB2312" w:cs="宋体"/>
          <w:bCs/>
          <w:kern w:val="0"/>
          <w:sz w:val="24"/>
          <w:szCs w:val="24"/>
        </w:rPr>
      </w:pPr>
      <w:r>
        <w:rPr>
          <w:rFonts w:hint="eastAsia" w:ascii="仿宋_GB2312" w:hAnsi="宋体" w:eastAsia="仿宋_GB2312" w:cs="宋体"/>
          <w:bCs/>
          <w:kern w:val="0"/>
          <w:sz w:val="24"/>
          <w:szCs w:val="24"/>
        </w:rPr>
        <w:t>本理财产品存续期内，由于市场利率、汇率变化，债券、股票等投资品市场价格波动，以及市场已出现或未来可能出现的其他重要因素影响，将导致本理财产品所投资的资产或资产组合出现估值波动，从而影响本理财产品的净值，投资者可能面临投资本金和收益遭受部分甚至全部损失的风险。</w:t>
      </w:r>
    </w:p>
    <w:p w14:paraId="55A9A077">
      <w:pPr>
        <w:ind w:firstLine="482" w:firstLineChars="200"/>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（四）流动性风险</w:t>
      </w:r>
    </w:p>
    <w:p w14:paraId="516B7AB3">
      <w:pPr>
        <w:ind w:firstLine="480" w:firstLineChars="200"/>
        <w:rPr>
          <w:rFonts w:ascii="仿宋_GB2312" w:hAnsi="宋体" w:eastAsia="仿宋_GB2312" w:cs="宋体"/>
          <w:bCs/>
          <w:kern w:val="0"/>
          <w:sz w:val="24"/>
          <w:szCs w:val="24"/>
        </w:rPr>
      </w:pPr>
      <w:r>
        <w:rPr>
          <w:rFonts w:hint="eastAsia" w:ascii="仿宋_GB2312" w:hAnsi="宋体" w:eastAsia="仿宋_GB2312" w:cs="宋体"/>
          <w:bCs/>
          <w:kern w:val="0"/>
          <w:sz w:val="24"/>
          <w:szCs w:val="24"/>
        </w:rPr>
        <w:t>当市场出现极端情况或开放式</w:t>
      </w:r>
      <w:r>
        <w:rPr>
          <w:rFonts w:ascii="仿宋_GB2312" w:hAnsi="宋体" w:eastAsia="仿宋_GB2312" w:cs="宋体"/>
          <w:bCs/>
          <w:kern w:val="0"/>
          <w:sz w:val="24"/>
          <w:szCs w:val="24"/>
        </w:rPr>
        <w:t>产品</w:t>
      </w:r>
      <w:r>
        <w:rPr>
          <w:rFonts w:hint="eastAsia" w:ascii="仿宋_GB2312" w:hAnsi="宋体" w:eastAsia="仿宋_GB2312" w:cs="宋体"/>
          <w:bCs/>
          <w:kern w:val="0"/>
          <w:sz w:val="24"/>
          <w:szCs w:val="24"/>
        </w:rPr>
        <w:t>投资者集中、大额赎回等情形下，理财产品可能因持有现金头寸不足或所投资的资产无法及时变现，导致无法按约定向投资者及时兑付理财资金，投资者可能面临理财资金无法及时到账及/或持有的本理财产品整体损益出现不利情形的风险。</w:t>
      </w:r>
    </w:p>
    <w:p w14:paraId="2ABA5FB7">
      <w:pPr>
        <w:ind w:firstLine="482" w:firstLineChars="200"/>
        <w:rPr>
          <w:rFonts w:ascii="仿宋_GB2312" w:hAnsi="宋体" w:eastAsia="仿宋_GB2312" w:cs="宋体"/>
          <w:bCs/>
          <w:kern w:val="0"/>
          <w:sz w:val="24"/>
          <w:szCs w:val="24"/>
        </w:rPr>
      </w:pPr>
      <w:r>
        <w:rPr>
          <w:rFonts w:hint="eastAsia" w:ascii="仿宋_GB2312" w:hAnsi="宋体" w:eastAsia="仿宋_GB2312" w:cs="宋体"/>
          <w:b/>
          <w:bCs/>
          <w:kern w:val="0"/>
          <w:sz w:val="24"/>
          <w:szCs w:val="24"/>
        </w:rPr>
        <w:t>投资者在本理财产品说明书约定的封闭期、最短持有期及</w:t>
      </w:r>
      <w:r>
        <w:rPr>
          <w:rFonts w:ascii="仿宋_GB2312" w:hAnsi="宋体" w:eastAsia="仿宋_GB2312" w:cs="宋体"/>
          <w:b/>
          <w:bCs/>
          <w:kern w:val="0"/>
          <w:sz w:val="24"/>
          <w:szCs w:val="24"/>
        </w:rPr>
        <w:t>/或其他不可赎回时段内不享有提前赎回权。</w:t>
      </w:r>
      <w:r>
        <w:rPr>
          <w:rFonts w:hint="eastAsia" w:ascii="仿宋_GB2312" w:hAnsi="宋体" w:eastAsia="仿宋_GB2312" w:cs="宋体"/>
          <w:bCs/>
          <w:kern w:val="0"/>
          <w:sz w:val="24"/>
          <w:szCs w:val="24"/>
        </w:rPr>
        <w:t>如果投资者面临用款需求与其他投资机会，可能因所持有的理财产品不能随时赎回或变现，存在用款需求无法满足或错过其他投资机会的风险。</w:t>
      </w:r>
    </w:p>
    <w:p w14:paraId="7A9912FB">
      <w:pPr>
        <w:ind w:firstLine="482" w:firstLineChars="200"/>
        <w:rPr>
          <w:rFonts w:hint="eastAsia" w:ascii="仿宋_GB2312" w:hAnsi="宋体" w:eastAsia="仿宋_GB2312" w:cs="宋体"/>
          <w:b/>
          <w:bCs/>
          <w:kern w:val="0"/>
          <w:sz w:val="24"/>
          <w:szCs w:val="24"/>
          <w:highlight w:val="yellow"/>
          <w:lang w:eastAsia="zh-CN"/>
        </w:rPr>
      </w:pPr>
      <w:r>
        <w:rPr>
          <w:rFonts w:hint="eastAsia" w:ascii="仿宋_GB2312" w:hAnsi="宋体" w:eastAsia="仿宋_GB2312" w:cs="宋体"/>
          <w:b/>
          <w:bCs/>
          <w:kern w:val="0"/>
          <w:sz w:val="24"/>
          <w:szCs w:val="24"/>
          <w:highlight w:val="yellow"/>
          <w:lang w:eastAsia="zh-CN"/>
        </w:rPr>
        <w:t>【</w:t>
      </w:r>
      <w:r>
        <w:rPr>
          <w:rFonts w:hint="eastAsia" w:ascii="仿宋_GB2312" w:hAnsi="宋体" w:eastAsia="仿宋_GB2312" w:cs="宋体"/>
          <w:b/>
          <w:bCs/>
          <w:kern w:val="0"/>
          <w:sz w:val="24"/>
          <w:szCs w:val="24"/>
          <w:highlight w:val="yellow"/>
        </w:rPr>
        <w:t>拟投资市场、资产的流动性风险评估：</w:t>
      </w:r>
      <w:r>
        <w:rPr>
          <w:rFonts w:hint="eastAsia" w:ascii="仿宋_GB2312" w:hAnsi="宋体" w:eastAsia="仿宋_GB2312" w:cs="宋体"/>
          <w:b/>
          <w:bCs/>
          <w:kern w:val="0"/>
          <w:sz w:val="24"/>
          <w:szCs w:val="24"/>
          <w:highlight w:val="yellow"/>
          <w:lang w:eastAsia="zh-CN"/>
        </w:rPr>
        <w:t>】</w:t>
      </w:r>
    </w:p>
    <w:p w14:paraId="13DE9FB6">
      <w:pPr>
        <w:shd w:val="clear"/>
        <w:ind w:firstLine="480" w:firstLineChars="200"/>
        <w:rPr>
          <w:rFonts w:hint="eastAsia" w:ascii="仿宋_GB2312" w:hAnsi="宋体" w:eastAsia="仿宋_GB2312" w:cs="宋体"/>
          <w:bCs/>
          <w:kern w:val="0"/>
          <w:sz w:val="24"/>
          <w:szCs w:val="24"/>
          <w:highlight w:val="none"/>
        </w:rPr>
      </w:pPr>
      <w:r>
        <w:rPr>
          <w:rFonts w:hint="eastAsia" w:ascii="仿宋_GB2312" w:hAnsi="宋体" w:eastAsia="仿宋_GB2312" w:cs="宋体"/>
          <w:bCs/>
          <w:kern w:val="0"/>
          <w:sz w:val="24"/>
          <w:szCs w:val="24"/>
          <w:highlight w:val="none"/>
        </w:rPr>
        <w:t>本理财产品投资范围包括</w:t>
      </w:r>
      <w:r>
        <w:rPr>
          <w:rFonts w:hint="eastAsia" w:ascii="仿宋_GB2312" w:hAnsi="宋体" w:eastAsia="仿宋_GB2312" w:cs="宋体"/>
          <w:bCs/>
          <w:kern w:val="0"/>
          <w:sz w:val="24"/>
          <w:szCs w:val="24"/>
          <w:highlight w:val="yellow"/>
          <w:lang w:eastAsia="zh-CN"/>
        </w:rPr>
        <w:t>【】。</w:t>
      </w:r>
      <w:r>
        <w:rPr>
          <w:rFonts w:hint="eastAsia" w:ascii="仿宋_GB2312" w:hAnsi="宋体" w:eastAsia="仿宋_GB2312" w:cs="宋体"/>
          <w:bCs/>
          <w:kern w:val="0"/>
          <w:sz w:val="24"/>
          <w:szCs w:val="24"/>
        </w:rPr>
        <w:t>上述资产均存在规范的交易场所，运作时间长，市场透明度较高，运作方式规范，历史流动性状况良好，同时，本理财产品严格控制开放期内投资于流动性受限资产的投资品种比例。本理财产品管理人会进行标的的分散化投资并结合对各类标的资产的预期流动性状况进行合理配置，以防范流动性风险。</w:t>
      </w:r>
    </w:p>
    <w:p w14:paraId="1F867011">
      <w:pPr>
        <w:ind w:firstLine="482" w:firstLineChars="200"/>
        <w:rPr>
          <w:rFonts w:hint="eastAsia" w:ascii="仿宋_GB2312" w:hAnsi="宋体" w:eastAsia="仿宋_GB2312" w:cs="宋体"/>
          <w:b/>
          <w:bCs/>
          <w:kern w:val="0"/>
          <w:sz w:val="24"/>
          <w:szCs w:val="24"/>
          <w:highlight w:val="yellow"/>
          <w:lang w:eastAsia="zh-CN"/>
        </w:rPr>
      </w:pPr>
      <w:r>
        <w:rPr>
          <w:rFonts w:hint="eastAsia" w:ascii="仿宋_GB2312" w:hAnsi="宋体" w:eastAsia="仿宋_GB2312" w:cs="宋体"/>
          <w:b/>
          <w:bCs/>
          <w:kern w:val="0"/>
          <w:sz w:val="24"/>
          <w:szCs w:val="24"/>
          <w:highlight w:val="yellow"/>
          <w:lang w:eastAsia="zh-CN"/>
        </w:rPr>
        <w:t>【</w:t>
      </w:r>
      <w:r>
        <w:rPr>
          <w:rFonts w:hint="eastAsia" w:ascii="仿宋_GB2312" w:hAnsi="宋体" w:eastAsia="仿宋_GB2312" w:cs="宋体"/>
          <w:b/>
          <w:bCs/>
          <w:kern w:val="0"/>
          <w:sz w:val="24"/>
          <w:szCs w:val="24"/>
          <w:highlight w:val="yellow"/>
        </w:rPr>
        <w:t>流动性应对措施及对投资者的潜在影响：</w:t>
      </w:r>
      <w:r>
        <w:rPr>
          <w:rFonts w:hint="eastAsia" w:ascii="仿宋_GB2312" w:hAnsi="宋体" w:eastAsia="仿宋_GB2312" w:cs="宋体"/>
          <w:b/>
          <w:bCs/>
          <w:kern w:val="0"/>
          <w:sz w:val="24"/>
          <w:szCs w:val="24"/>
          <w:highlight w:val="yellow"/>
          <w:lang w:eastAsia="zh-CN"/>
        </w:rPr>
        <w:t>】</w:t>
      </w:r>
    </w:p>
    <w:p w14:paraId="07641B00">
      <w:pPr>
        <w:ind w:firstLine="480" w:firstLineChars="200"/>
        <w:rPr>
          <w:rFonts w:ascii="仿宋_GB2312" w:hAnsi="宋体" w:eastAsia="仿宋_GB2312" w:cs="宋体"/>
          <w:bCs/>
          <w:kern w:val="0"/>
          <w:sz w:val="24"/>
          <w:szCs w:val="24"/>
        </w:rPr>
      </w:pPr>
      <w:r>
        <w:rPr>
          <w:rFonts w:hint="eastAsia" w:ascii="仿宋_GB2312" w:hAnsi="宋体" w:eastAsia="仿宋_GB2312" w:cs="宋体"/>
          <w:bCs/>
          <w:kern w:val="0"/>
          <w:sz w:val="24"/>
          <w:szCs w:val="24"/>
        </w:rPr>
        <w:t>本理财产品管理人将合理安排组合流动性，统筹考虑产品期限、各类标的资产的预期流动性，</w:t>
      </w:r>
      <w:r>
        <w:rPr>
          <w:rFonts w:ascii="仿宋_GB2312" w:hAnsi="宋体" w:eastAsia="仿宋_GB2312" w:cs="宋体"/>
          <w:bCs/>
          <w:kern w:val="0"/>
          <w:sz w:val="24"/>
          <w:szCs w:val="24"/>
        </w:rPr>
        <w:t>合理进行资产配置</w:t>
      </w:r>
      <w:r>
        <w:rPr>
          <w:rFonts w:hint="eastAsia" w:ascii="仿宋_GB2312" w:hAnsi="宋体" w:eastAsia="仿宋_GB2312" w:cs="宋体"/>
          <w:bCs/>
          <w:kern w:val="0"/>
          <w:sz w:val="24"/>
          <w:szCs w:val="24"/>
        </w:rPr>
        <w:t>，</w:t>
      </w:r>
      <w:r>
        <w:rPr>
          <w:rFonts w:ascii="仿宋_GB2312" w:hAnsi="宋体" w:eastAsia="仿宋_GB2312" w:cs="宋体"/>
          <w:bCs/>
          <w:kern w:val="0"/>
          <w:sz w:val="24"/>
          <w:szCs w:val="24"/>
        </w:rPr>
        <w:t>防范流动性风险。</w:t>
      </w:r>
    </w:p>
    <w:p w14:paraId="79719ABD">
      <w:pPr>
        <w:ind w:firstLine="480" w:firstLineChars="200"/>
        <w:rPr>
          <w:rFonts w:ascii="仿宋_GB2312" w:hAnsi="宋体" w:eastAsia="仿宋_GB2312" w:cs="宋体"/>
          <w:bCs/>
          <w:kern w:val="0"/>
          <w:sz w:val="24"/>
          <w:szCs w:val="24"/>
        </w:rPr>
      </w:pPr>
      <w:r>
        <w:rPr>
          <w:rFonts w:hint="eastAsia" w:ascii="仿宋_GB2312" w:hAnsi="宋体" w:eastAsia="仿宋_GB2312" w:cs="宋体"/>
          <w:bCs/>
          <w:kern w:val="0"/>
          <w:sz w:val="24"/>
          <w:szCs w:val="24"/>
        </w:rPr>
        <w:t>产品管理人可依照法律法规及理财产品销售文件的约定，综合运用各类流动性应对措施，作为特定情形下流动性风险管理的辅助手段，包括但不限于：</w:t>
      </w:r>
    </w:p>
    <w:p w14:paraId="7FD2E815">
      <w:pPr>
        <w:ind w:firstLine="480" w:firstLineChars="200"/>
        <w:rPr>
          <w:rFonts w:ascii="仿宋_GB2312" w:hAnsi="宋体" w:eastAsia="仿宋_GB2312" w:cs="宋体"/>
          <w:bCs/>
          <w:kern w:val="0"/>
          <w:sz w:val="24"/>
          <w:szCs w:val="24"/>
        </w:rPr>
      </w:pPr>
      <w:r>
        <w:rPr>
          <w:rFonts w:hint="eastAsia" w:ascii="仿宋_GB2312" w:hAnsi="宋体" w:eastAsia="仿宋_GB2312" w:cs="宋体"/>
          <w:bCs/>
          <w:kern w:val="0"/>
          <w:sz w:val="24"/>
          <w:szCs w:val="24"/>
        </w:rPr>
        <w:t>（1）认购/申购风险应对措施，包括:设定单一投资者认购/申购金额上限、设定本理财产品单日净认购/申购比例上限、拒绝大额认购/申购、暂停认购/申购，以及国家金融监督管理总局规定的其他措施。</w:t>
      </w:r>
    </w:p>
    <w:p w14:paraId="7C56235C">
      <w:pPr>
        <w:ind w:firstLine="482" w:firstLineChars="200"/>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（2）赎回风险应对措施，包括：设置赎回上限、延期办理巨额赎回申请、暂停接受赎回申请、延缓支付赎回款项、收取短期赎回费、暂停理财产品估值，以及国家金融监督管理总局规定的其他措施。</w:t>
      </w:r>
    </w:p>
    <w:p w14:paraId="4A45BD45">
      <w:pPr>
        <w:ind w:firstLine="482" w:firstLineChars="200"/>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1)延期办理巨额赎回申请</w:t>
      </w:r>
    </w:p>
    <w:p w14:paraId="79C91CFA">
      <w:pPr>
        <w:ind w:firstLine="482" w:firstLineChars="200"/>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若理财产品管理人采用延期办理巨额赎回申请的流动性风险应对措施，投资者的赎回申请将无法按时全额获得确认，投资者自身的流动性可能受到影响，并将额外承担市场波动对本理财产品净值的影响。</w:t>
      </w:r>
    </w:p>
    <w:p w14:paraId="2F4F766B">
      <w:pPr>
        <w:ind w:firstLine="482" w:firstLineChars="200"/>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2）暂停接受赎回申请或延缓支付赎回款项</w:t>
      </w:r>
    </w:p>
    <w:p w14:paraId="48CA474B">
      <w:pPr>
        <w:ind w:firstLine="482" w:firstLineChars="200"/>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若理财产品管理人采用暂停接受赎回申请或延缓支付赎回款项的流动性风险应对措施，投资者面临在暂停赎回期间将无法赎回其持有的产品份额的风险，接收赎回款项的时间将可能比一般正常情形下有所延迟。</w:t>
      </w:r>
    </w:p>
    <w:p w14:paraId="1B9A1307">
      <w:pPr>
        <w:ind w:firstLine="482" w:firstLineChars="200"/>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3)暂停理财产品估值</w:t>
      </w:r>
    </w:p>
    <w:p w14:paraId="62963DA2">
      <w:pPr>
        <w:ind w:firstLine="482" w:firstLineChars="200"/>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若理财产品管理人采用暂停理财产品估值的流动性风险应对措施，投资人没有可供参考的产品份额净值，同时赎回申请可能被暂停接受，或被延缓支付赎回款项。</w:t>
      </w:r>
    </w:p>
    <w:p w14:paraId="70C25563">
      <w:pPr>
        <w:ind w:firstLine="482" w:firstLineChars="200"/>
        <w:rPr>
          <w:rFonts w:ascii="仿宋_GB2312" w:eastAsia="仿宋_GB2312"/>
          <w:b/>
          <w:sz w:val="24"/>
          <w:szCs w:val="24"/>
        </w:rPr>
      </w:pPr>
      <w:r>
        <w:rPr>
          <w:rFonts w:hint="eastAsia" w:ascii="仿宋_GB2312" w:hAnsi="宋体" w:eastAsia="仿宋_GB2312" w:cs="宋体"/>
          <w:b/>
          <w:bCs/>
          <w:kern w:val="0"/>
          <w:sz w:val="24"/>
          <w:szCs w:val="24"/>
        </w:rPr>
        <w:t>（五）经营管理风险</w:t>
      </w:r>
    </w:p>
    <w:p w14:paraId="32D190C2">
      <w:pPr>
        <w:ind w:firstLine="480" w:firstLineChars="200"/>
        <w:rPr>
          <w:rFonts w:ascii="仿宋_GB2312" w:hAnsi="宋体" w:eastAsia="仿宋_GB2312" w:cs="宋体"/>
          <w:bCs/>
          <w:kern w:val="0"/>
          <w:sz w:val="24"/>
          <w:szCs w:val="24"/>
        </w:rPr>
      </w:pPr>
      <w:r>
        <w:rPr>
          <w:rFonts w:hint="eastAsia" w:ascii="仿宋_GB2312" w:hAnsi="仿宋_GB2312" w:eastAsia="仿宋_GB2312" w:cs="仿宋_GB2312"/>
          <w:sz w:val="24"/>
          <w:szCs w:val="24"/>
        </w:rPr>
        <w:t>在本理财产品运作过程中，投资管理各方受经验、技能、判断力</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执行力等综合因素的限制，可能对本理财产品的运作与管理形成一定影响，</w:t>
      </w:r>
      <w:r>
        <w:rPr>
          <w:rFonts w:hint="eastAsia" w:ascii="仿宋_GB2312" w:hAnsi="宋体" w:eastAsia="仿宋_GB2312" w:cs="宋体"/>
          <w:bCs/>
          <w:kern w:val="0"/>
          <w:sz w:val="24"/>
          <w:szCs w:val="24"/>
        </w:rPr>
        <w:t>投资者可能面临本金和收益遭受部分甚至全部损失的风险。</w:t>
      </w:r>
    </w:p>
    <w:p w14:paraId="7045EA5C">
      <w:pPr>
        <w:ind w:firstLine="482" w:firstLineChars="200"/>
        <w:rPr>
          <w:rFonts w:ascii="仿宋_GB2312" w:eastAsia="仿宋_GB2312"/>
          <w:b/>
          <w:sz w:val="24"/>
          <w:szCs w:val="24"/>
        </w:rPr>
      </w:pPr>
      <w:r>
        <w:rPr>
          <w:rFonts w:hint="eastAsia" w:ascii="仿宋_GB2312" w:hAnsi="宋体" w:eastAsia="仿宋_GB2312" w:cs="宋体"/>
          <w:b/>
          <w:bCs/>
          <w:kern w:val="0"/>
          <w:sz w:val="24"/>
          <w:szCs w:val="24"/>
        </w:rPr>
        <w:t>（六）交易对手风险</w:t>
      </w:r>
    </w:p>
    <w:p w14:paraId="18E5289B">
      <w:pPr>
        <w:ind w:firstLine="480" w:firstLineChars="200"/>
        <w:rPr>
          <w:rFonts w:ascii="仿宋_GB2312" w:hAnsi="宋体" w:eastAsia="仿宋_GB2312" w:cs="宋体"/>
          <w:bCs/>
          <w:kern w:val="0"/>
          <w:sz w:val="24"/>
          <w:szCs w:val="24"/>
        </w:rPr>
      </w:pPr>
      <w:r>
        <w:rPr>
          <w:rFonts w:hint="eastAsia" w:ascii="仿宋_GB2312" w:hAnsi="仿宋_GB2312" w:eastAsia="仿宋_GB2312" w:cs="仿宋_GB2312"/>
          <w:sz w:val="24"/>
          <w:szCs w:val="24"/>
        </w:rPr>
        <w:t>由于交易对手受偿付能力、流动性管理能力以及及时履约意愿等因素影响，导致交易对手不履约，可能影响本理财产品的投资管理，则</w:t>
      </w:r>
      <w:r>
        <w:rPr>
          <w:rFonts w:hint="eastAsia" w:ascii="仿宋_GB2312" w:hAnsi="宋体" w:eastAsia="仿宋_GB2312" w:cs="宋体"/>
          <w:bCs/>
          <w:kern w:val="0"/>
          <w:sz w:val="24"/>
          <w:szCs w:val="24"/>
        </w:rPr>
        <w:t>投资者可能面临本金和收益遭受部分甚至全部损失的风险。</w:t>
      </w:r>
    </w:p>
    <w:p w14:paraId="59503FFC">
      <w:pPr>
        <w:ind w:firstLine="482" w:firstLineChars="200"/>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（七）操作风险</w:t>
      </w:r>
    </w:p>
    <w:p w14:paraId="73AD377B">
      <w:pPr>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产品运作过程中，由于理财产品管理人及理财合作机构因技术系统故障、内部控制存在缺陷或人为因素，导致</w:t>
      </w:r>
      <w:r>
        <w:rPr>
          <w:rFonts w:ascii="仿宋_GB2312" w:hAnsi="仿宋_GB2312" w:eastAsia="仿宋_GB2312" w:cs="仿宋_GB2312"/>
          <w:sz w:val="24"/>
          <w:szCs w:val="24"/>
        </w:rPr>
        <w:t>操作失误</w:t>
      </w:r>
      <w:r>
        <w:rPr>
          <w:rFonts w:hint="eastAsia" w:ascii="仿宋_GB2312" w:hAnsi="仿宋_GB2312" w:eastAsia="仿宋_GB2312" w:cs="仿宋_GB2312"/>
          <w:sz w:val="24"/>
          <w:szCs w:val="24"/>
        </w:rPr>
        <w:t>或</w:t>
      </w:r>
      <w:r>
        <w:rPr>
          <w:rFonts w:ascii="仿宋_GB2312" w:hAnsi="仿宋_GB2312" w:eastAsia="仿宋_GB2312" w:cs="仿宋_GB2312"/>
          <w:sz w:val="24"/>
          <w:szCs w:val="24"/>
        </w:rPr>
        <w:t>违反操作规程等引起的风险，</w:t>
      </w:r>
      <w:r>
        <w:rPr>
          <w:rFonts w:hint="eastAsia" w:ascii="仿宋_GB2312" w:hAnsi="仿宋_GB2312" w:eastAsia="仿宋_GB2312" w:cs="仿宋_GB2312"/>
          <w:sz w:val="24"/>
          <w:szCs w:val="24"/>
        </w:rPr>
        <w:t>如内部作业、人员管理、系统操作及事务处理不当或失误等，则投资者可能面临本金和收益遭受部分甚至全部损失的风险。</w:t>
      </w:r>
    </w:p>
    <w:p w14:paraId="68923FA1">
      <w:pPr>
        <w:ind w:firstLine="482" w:firstLineChars="200"/>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（八）代销风险（如有）</w:t>
      </w:r>
    </w:p>
    <w:p w14:paraId="78AED78A">
      <w:pPr>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如本理财产品通过代理销售渠道销售，投资者购买理财产品的资金将由销售机构从投资者清算账户扣收并划付产品管理人，产品到期</w:t>
      </w:r>
      <w:r>
        <w:rPr>
          <w:rFonts w:ascii="仿宋_GB2312" w:hAnsi="仿宋_GB2312" w:eastAsia="仿宋_GB2312" w:cs="仿宋_GB2312"/>
          <w:sz w:val="24"/>
          <w:szCs w:val="24"/>
        </w:rPr>
        <w:t>/终止</w:t>
      </w:r>
      <w:r>
        <w:rPr>
          <w:rFonts w:hint="eastAsia" w:ascii="仿宋_GB2312" w:hAnsi="仿宋_GB2312" w:eastAsia="仿宋_GB2312" w:cs="仿宋_GB2312"/>
          <w:sz w:val="24"/>
          <w:szCs w:val="24"/>
        </w:rPr>
        <w:t>/赎回</w:t>
      </w:r>
      <w:r>
        <w:rPr>
          <w:rFonts w:ascii="仿宋_GB2312" w:hAnsi="仿宋_GB2312" w:eastAsia="仿宋_GB2312" w:cs="仿宋_GB2312"/>
          <w:sz w:val="24"/>
          <w:szCs w:val="24"/>
        </w:rPr>
        <w:t>时理财本金及收益相应款项由产品管理人按理财产品销售文件约定划付至</w:t>
      </w:r>
      <w:r>
        <w:rPr>
          <w:rFonts w:hint="eastAsia" w:ascii="仿宋_GB2312" w:hAnsi="仿宋_GB2312" w:eastAsia="仿宋_GB2312" w:cs="仿宋_GB2312"/>
          <w:sz w:val="24"/>
          <w:szCs w:val="24"/>
        </w:rPr>
        <w:t>销售机构清算账户，并由销售机构向投资者支付投资者应得理财本金及收益。如因销售机构清算账户余额不足，或销售机构未及时足额划付资金，或销售机构清算账户内资金被依法冻结或扣划、账户处于被挂失、冻结、注销或其他非正常状态等原因而导致交易失败，由销售机构与投资者依法协商解决，产品管理人对此不承担责任，但前述约定不免除因产品管理人过错依法应由产品管理人承担的责任。</w:t>
      </w:r>
    </w:p>
    <w:p w14:paraId="1E90F15C">
      <w:pPr>
        <w:ind w:firstLine="482" w:firstLineChars="200"/>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（九）募集期延长</w:t>
      </w:r>
      <w:r>
        <w:rPr>
          <w:rFonts w:ascii="仿宋_GB2312" w:hAnsi="宋体" w:eastAsia="仿宋_GB2312" w:cs="宋体"/>
          <w:b/>
          <w:bCs/>
          <w:kern w:val="0"/>
          <w:sz w:val="24"/>
          <w:szCs w:val="24"/>
        </w:rPr>
        <w:t>/缩短</w:t>
      </w:r>
      <w:r>
        <w:rPr>
          <w:rFonts w:hint="eastAsia" w:ascii="仿宋_GB2312" w:hAnsi="宋体" w:eastAsia="仿宋_GB2312" w:cs="宋体"/>
          <w:b/>
          <w:bCs/>
          <w:kern w:val="0"/>
          <w:sz w:val="24"/>
          <w:szCs w:val="24"/>
        </w:rPr>
        <w:t>风险</w:t>
      </w:r>
    </w:p>
    <w:p w14:paraId="07E4C494">
      <w:pPr>
        <w:ind w:firstLine="480" w:firstLineChars="200"/>
        <w:rPr>
          <w:rFonts w:ascii="仿宋_GB2312" w:eastAsia="仿宋_GB2312"/>
          <w:sz w:val="24"/>
          <w:szCs w:val="24"/>
        </w:rPr>
      </w:pPr>
      <w:r>
        <w:rPr>
          <w:rFonts w:hint="eastAsia" w:ascii="仿宋_GB2312" w:hAnsi="宋体" w:eastAsia="仿宋_GB2312" w:cs="宋体"/>
          <w:bCs/>
          <w:kern w:val="0"/>
          <w:sz w:val="24"/>
          <w:szCs w:val="24"/>
        </w:rPr>
        <w:t>在本理财产品募集期内，国家宏观政策以及市场相关法律法规政策发生变化、产品募集状况未达到/已达到产品说明书约定的成立条件，或其他经理财产品管理人合理判断需延长</w:t>
      </w:r>
      <w:r>
        <w:rPr>
          <w:rFonts w:ascii="仿宋_GB2312" w:hAnsi="宋体" w:eastAsia="仿宋_GB2312" w:cs="宋体"/>
          <w:bCs/>
          <w:kern w:val="0"/>
          <w:sz w:val="24"/>
          <w:szCs w:val="24"/>
        </w:rPr>
        <w:t>/缩短</w:t>
      </w:r>
      <w:r>
        <w:rPr>
          <w:rFonts w:hint="eastAsia" w:ascii="仿宋_GB2312" w:hAnsi="宋体" w:eastAsia="仿宋_GB2312" w:cs="宋体"/>
          <w:bCs/>
          <w:kern w:val="0"/>
          <w:sz w:val="24"/>
          <w:szCs w:val="24"/>
        </w:rPr>
        <w:t>募集期的情形，产品管理人有权宣布本理财产品募集期延长</w:t>
      </w:r>
      <w:r>
        <w:rPr>
          <w:rFonts w:ascii="仿宋_GB2312" w:hAnsi="宋体" w:eastAsia="仿宋_GB2312" w:cs="宋体"/>
          <w:bCs/>
          <w:kern w:val="0"/>
          <w:sz w:val="24"/>
          <w:szCs w:val="24"/>
        </w:rPr>
        <w:t>/缩短</w:t>
      </w:r>
      <w:r>
        <w:rPr>
          <w:rFonts w:hint="eastAsia" w:ascii="仿宋_GB2312" w:hAnsi="宋体" w:eastAsia="仿宋_GB2312" w:cs="宋体"/>
          <w:bCs/>
          <w:kern w:val="0"/>
          <w:sz w:val="24"/>
          <w:szCs w:val="24"/>
        </w:rPr>
        <w:t>，本理财产品可能延后/提前成立。</w:t>
      </w:r>
    </w:p>
    <w:p w14:paraId="7305C5E5">
      <w:pPr>
        <w:ind w:firstLine="482" w:firstLineChars="200"/>
        <w:rPr>
          <w:rFonts w:ascii="仿宋_GB2312" w:eastAsia="仿宋_GB2312"/>
          <w:b/>
          <w:sz w:val="24"/>
          <w:szCs w:val="24"/>
        </w:rPr>
      </w:pPr>
      <w:r>
        <w:rPr>
          <w:rFonts w:hint="eastAsia" w:ascii="仿宋_GB2312" w:hAnsi="宋体" w:eastAsia="仿宋_GB2312" w:cs="宋体"/>
          <w:b/>
          <w:bCs/>
          <w:kern w:val="0"/>
          <w:sz w:val="24"/>
          <w:szCs w:val="24"/>
        </w:rPr>
        <w:t>（十）产品不成立风险</w:t>
      </w:r>
    </w:p>
    <w:p w14:paraId="0CA6955D">
      <w:pPr>
        <w:ind w:firstLine="480" w:firstLineChars="200"/>
        <w:rPr>
          <w:rFonts w:ascii="仿宋_GB2312" w:hAnsi="宋体" w:eastAsia="仿宋_GB2312" w:cs="宋体"/>
          <w:bCs/>
          <w:kern w:val="0"/>
          <w:sz w:val="24"/>
          <w:szCs w:val="24"/>
        </w:rPr>
      </w:pPr>
      <w:r>
        <w:rPr>
          <w:rFonts w:hint="eastAsia" w:ascii="仿宋_GB2312" w:hAnsi="宋体" w:eastAsia="仿宋_GB2312" w:cs="宋体"/>
          <w:bCs/>
          <w:kern w:val="0"/>
          <w:sz w:val="24"/>
          <w:szCs w:val="24"/>
        </w:rPr>
        <w:t>如果本理财产品因募集规模低于《产品说明书》约定的本理财产品最低成立规模，或出现政策、法规、市场或其他因素导致本理财产品不能成立的情形，理财产品管理人有权宣布本理财产品不成立，投资者将面临再投资的风险。</w:t>
      </w:r>
    </w:p>
    <w:p w14:paraId="7892DC35">
      <w:pPr>
        <w:ind w:firstLine="482" w:firstLineChars="200"/>
        <w:rPr>
          <w:rFonts w:ascii="仿宋_GB2312" w:eastAsia="仿宋_GB2312"/>
          <w:b/>
          <w:sz w:val="24"/>
          <w:szCs w:val="24"/>
        </w:rPr>
      </w:pPr>
      <w:r>
        <w:rPr>
          <w:rFonts w:hint="eastAsia" w:ascii="仿宋_GB2312" w:hAnsi="宋体" w:eastAsia="仿宋_GB2312" w:cs="宋体"/>
          <w:b/>
          <w:bCs/>
          <w:kern w:val="0"/>
          <w:sz w:val="24"/>
          <w:szCs w:val="24"/>
        </w:rPr>
        <w:t>（十一）提前终止风险</w:t>
      </w:r>
    </w:p>
    <w:p w14:paraId="55AA30ED">
      <w:pPr>
        <w:ind w:firstLine="480" w:firstLineChars="200"/>
        <w:rPr>
          <w:rFonts w:ascii="仿宋_GB2312" w:hAnsi="宋体" w:eastAsia="仿宋_GB2312" w:cs="宋体"/>
          <w:bCs/>
          <w:kern w:val="0"/>
          <w:sz w:val="24"/>
          <w:szCs w:val="24"/>
        </w:rPr>
      </w:pPr>
      <w:r>
        <w:rPr>
          <w:rFonts w:hint="eastAsia" w:ascii="仿宋_GB2312" w:hAnsi="宋体" w:eastAsia="仿宋_GB2312" w:cs="宋体"/>
          <w:bCs/>
          <w:kern w:val="0"/>
          <w:sz w:val="24"/>
          <w:szCs w:val="24"/>
        </w:rPr>
        <w:t>本理财产品存续期间，由于国家宏观政策变化、市场相关法律法规及政策变化、本理财产品所投资资产提前结清、意外事件、不可抗力（包括但不限于政府行为、自然灾害、疫情等）以及其他可能导致理财产品管理人无法继续履行本理财产品投资管理义务或经理财产品管理人合理评估且审慎判断不适宜本理财产品继续存续运作的情形，为保护投资者权益，理财产品管理人有权按照理财产品销售文件的约定部分/全部提前终止本理财产品，投资者可能面临本理财产品部分/全部提前终止后再投资的风险。</w:t>
      </w:r>
    </w:p>
    <w:p w14:paraId="33D96B11">
      <w:pPr>
        <w:ind w:firstLine="482" w:firstLineChars="200"/>
        <w:rPr>
          <w:rFonts w:ascii="仿宋_GB2312" w:eastAsia="仿宋_GB2312"/>
          <w:b/>
          <w:sz w:val="24"/>
          <w:szCs w:val="24"/>
        </w:rPr>
      </w:pPr>
      <w:r>
        <w:rPr>
          <w:rFonts w:hint="eastAsia" w:ascii="仿宋_GB2312" w:hAnsi="宋体" w:eastAsia="仿宋_GB2312" w:cs="宋体"/>
          <w:b/>
          <w:bCs/>
          <w:kern w:val="0"/>
          <w:sz w:val="24"/>
          <w:szCs w:val="24"/>
        </w:rPr>
        <w:t>（十二）延期分配风险</w:t>
      </w:r>
    </w:p>
    <w:p w14:paraId="53FE493B">
      <w:pPr>
        <w:ind w:firstLine="480" w:firstLineChars="200"/>
        <w:rPr>
          <w:rFonts w:ascii="仿宋_GB2312" w:hAnsi="宋体" w:eastAsia="仿宋_GB2312" w:cs="宋体"/>
          <w:bCs/>
          <w:kern w:val="0"/>
          <w:sz w:val="24"/>
          <w:szCs w:val="24"/>
        </w:rPr>
      </w:pPr>
      <w:r>
        <w:rPr>
          <w:rFonts w:hint="eastAsia" w:ascii="仿宋_GB2312" w:hAnsi="宋体" w:eastAsia="仿宋_GB2312" w:cs="宋体"/>
          <w:bCs/>
          <w:kern w:val="0"/>
          <w:sz w:val="24"/>
          <w:szCs w:val="24"/>
        </w:rPr>
        <w:t>因缺乏交易对手、市场成交量不足、资产限制赎回、暂停交易、所投资产发生风险或不能及时变现、发生不可抗力（包括但不限于政府行为、自然灾害、疫情等）及其他理财产品管理人认为需要延期分配的情形，可能导致理财产品管理人无法在理财产品销售文件约定的清算期内完成理财资金的清算与分配，投资者可能面临理财产品资金延期分配、分配方案调整等风险，投资者由此可能面临投资本金和收益遭受部分甚至全部损失的风险。</w:t>
      </w:r>
    </w:p>
    <w:p w14:paraId="30991B13">
      <w:pPr>
        <w:ind w:firstLine="482" w:firstLineChars="200"/>
        <w:rPr>
          <w:rFonts w:ascii="仿宋_GB2312" w:eastAsia="仿宋_GB2312"/>
          <w:b/>
          <w:sz w:val="24"/>
          <w:szCs w:val="24"/>
        </w:rPr>
      </w:pPr>
      <w:r>
        <w:rPr>
          <w:rFonts w:hint="eastAsia" w:ascii="仿宋_GB2312" w:hAnsi="宋体" w:eastAsia="仿宋_GB2312" w:cs="宋体"/>
          <w:b/>
          <w:bCs/>
          <w:kern w:val="0"/>
          <w:sz w:val="24"/>
          <w:szCs w:val="24"/>
        </w:rPr>
        <w:t>（十三）信息传递风险</w:t>
      </w:r>
    </w:p>
    <w:p w14:paraId="65D4F9ED">
      <w:pPr>
        <w:ind w:firstLine="480" w:firstLineChars="200"/>
        <w:rPr>
          <w:rFonts w:ascii="仿宋_GB2312" w:hAnsi="宋体" w:eastAsia="仿宋_GB2312" w:cs="宋体"/>
          <w:b/>
          <w:bCs/>
          <w:color w:val="000000" w:themeColor="text1"/>
          <w:kern w:val="0"/>
          <w:sz w:val="24"/>
          <w:szCs w:val="24"/>
          <w14:textFill>
            <w14:solidFill>
              <w14:schemeClr w14:val="tx1"/>
            </w14:solidFill>
          </w14:textFill>
        </w:rPr>
      </w:pPr>
      <w:r>
        <w:rPr>
          <w:rFonts w:hint="eastAsia" w:ascii="仿宋_GB2312" w:hAnsi="宋体" w:eastAsia="仿宋_GB2312" w:cs="宋体"/>
          <w:bCs/>
          <w:color w:val="000000" w:themeColor="text1"/>
          <w:kern w:val="0"/>
          <w:sz w:val="24"/>
          <w:szCs w:val="24"/>
          <w14:textFill>
            <w14:solidFill>
              <w14:schemeClr w14:val="tx1"/>
            </w14:solidFill>
          </w14:textFill>
        </w:rPr>
        <w:t>理财产品管理人将按照理财产品销售文件中约定的信息披露方式、披露途径向投资者披露涉及本理财产品的各类信息和重大事件，投资者应及时查询了解。</w:t>
      </w:r>
      <w:r>
        <w:rPr>
          <w:rFonts w:hint="eastAsia" w:ascii="仿宋_GB2312" w:hAnsi="宋体" w:eastAsia="仿宋_GB2312" w:cs="宋体"/>
          <w:b/>
          <w:bCs/>
          <w:color w:val="000000" w:themeColor="text1"/>
          <w:kern w:val="0"/>
          <w:sz w:val="24"/>
          <w:szCs w:val="24"/>
          <w14:textFill>
            <w14:solidFill>
              <w14:schemeClr w14:val="tx1"/>
            </w14:solidFill>
          </w14:textFill>
        </w:rPr>
        <w:t>如投资者未及时查询相关信息或由于不可抗力</w:t>
      </w:r>
      <w:r>
        <w:rPr>
          <w:rFonts w:hint="eastAsia" w:ascii="仿宋_GB2312" w:hAnsi="宋体" w:eastAsia="仿宋_GB2312" w:cs="宋体"/>
          <w:bCs/>
          <w:kern w:val="0"/>
          <w:sz w:val="24"/>
          <w:szCs w:val="24"/>
        </w:rPr>
        <w:t>（包括但不限于政府行为、自然灾害、疫情等）</w:t>
      </w:r>
      <w:r>
        <w:rPr>
          <w:rFonts w:hint="eastAsia" w:ascii="仿宋_GB2312" w:hAnsi="宋体" w:eastAsia="仿宋_GB2312" w:cs="宋体"/>
          <w:b/>
          <w:bCs/>
          <w:color w:val="000000" w:themeColor="text1"/>
          <w:kern w:val="0"/>
          <w:sz w:val="24"/>
          <w:szCs w:val="24"/>
          <w14:textFill>
            <w14:solidFill>
              <w14:schemeClr w14:val="tx1"/>
            </w14:solidFill>
          </w14:textFill>
        </w:rPr>
        <w:t>或意外事件的影响使得投资者无法及时了解本理财产品信息，进而影响投资者的投资决策行为，因此而产生的责任和风险由投资者承担。如投资者未及时告知理财产品管理人联系方式变更或理财产品管理人在其认为需要时无法及时联系到投资者，使得投资者无法及时获知本理财产品信息，进而影响投资者的投资决策行为，因此而产生的责任和风险由投资者承担。</w:t>
      </w:r>
    </w:p>
    <w:p w14:paraId="385C0C32">
      <w:pPr>
        <w:ind w:firstLine="482" w:firstLineChars="200"/>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（十四）关联关系及关联交易风险</w:t>
      </w:r>
    </w:p>
    <w:p w14:paraId="38EF9948">
      <w:pPr>
        <w:ind w:firstLine="480" w:firstLineChars="200"/>
        <w:rPr>
          <w:rFonts w:ascii="仿宋_GB2312" w:hAnsi="宋体" w:eastAsia="仿宋_GB2312" w:cs="宋体"/>
          <w:b/>
          <w:bCs/>
          <w:color w:val="000000" w:themeColor="text1"/>
          <w:kern w:val="0"/>
          <w:sz w:val="24"/>
          <w:szCs w:val="24"/>
          <w14:textFill>
            <w14:solidFill>
              <w14:schemeClr w14:val="tx1"/>
            </w14:solidFill>
          </w14:textFill>
        </w:rPr>
      </w:pPr>
      <w:r>
        <w:rPr>
          <w:rFonts w:hint="eastAsia" w:ascii="仿宋_GB2312" w:hAnsi="宋体" w:eastAsia="仿宋_GB2312" w:cs="宋体"/>
          <w:bCs/>
          <w:color w:val="000000" w:themeColor="text1"/>
          <w:kern w:val="0"/>
          <w:sz w:val="24"/>
          <w:szCs w:val="24"/>
          <w14:textFill>
            <w14:solidFill>
              <w14:schemeClr w14:val="tx1"/>
            </w14:solidFill>
          </w14:textFill>
        </w:rPr>
        <w:t>浙银理财作为本理财产品的发行人、管理人，独立履行产品管理职责；浙银理财委托托管机构托管理财产品或委托销售机构销售理财产品的，可能涉及委托浙商银行股份有限公司（以下简称“浙商银行”）担任理财产品的托管机构或销售机构，负责理财产品的托管或代理销售工作。浙银理财是浙商银行控股的子公司，</w:t>
      </w:r>
      <w:r>
        <w:rPr>
          <w:rFonts w:hint="eastAsia" w:ascii="仿宋_GB2312" w:hAnsi="宋体" w:eastAsia="仿宋_GB2312" w:cs="宋体"/>
          <w:b/>
          <w:bCs/>
          <w:color w:val="000000" w:themeColor="text1"/>
          <w:kern w:val="0"/>
          <w:sz w:val="24"/>
          <w:szCs w:val="24"/>
          <w14:textFill>
            <w14:solidFill>
              <w14:schemeClr w14:val="tx1"/>
            </w14:solidFill>
          </w14:textFill>
        </w:rPr>
        <w:t>双方存在关联关系。</w:t>
      </w:r>
    </w:p>
    <w:p w14:paraId="39161465">
      <w:pPr>
        <w:ind w:firstLine="480" w:firstLineChars="200"/>
        <w:rPr>
          <w:rFonts w:ascii="仿宋_GB2312" w:hAnsi="宋体" w:eastAsia="仿宋_GB2312" w:cs="宋体"/>
          <w:b/>
          <w:bCs/>
          <w:color w:val="000000" w:themeColor="text1"/>
          <w:kern w:val="0"/>
          <w:sz w:val="24"/>
          <w:szCs w:val="24"/>
          <w14:textFill>
            <w14:solidFill>
              <w14:schemeClr w14:val="tx1"/>
            </w14:solidFill>
          </w14:textFill>
        </w:rPr>
      </w:pPr>
      <w:r>
        <w:rPr>
          <w:rFonts w:hint="eastAsia" w:ascii="仿宋_GB2312" w:hAnsi="宋体" w:eastAsia="仿宋_GB2312" w:cs="宋体"/>
          <w:bCs/>
          <w:color w:val="000000" w:themeColor="text1"/>
          <w:kern w:val="0"/>
          <w:sz w:val="24"/>
          <w:szCs w:val="24"/>
          <w14:textFill>
            <w14:solidFill>
              <w14:schemeClr w14:val="tx1"/>
            </w14:solidFill>
          </w14:textFill>
        </w:rPr>
        <w:t>本理财产品可能投资于管理人、个别销售机构或托管</w:t>
      </w:r>
      <w:r>
        <w:rPr>
          <w:rFonts w:ascii="仿宋_GB2312" w:hAnsi="宋体" w:eastAsia="仿宋_GB2312" w:cs="宋体"/>
          <w:bCs/>
          <w:color w:val="000000" w:themeColor="text1"/>
          <w:kern w:val="0"/>
          <w:sz w:val="24"/>
          <w:szCs w:val="24"/>
          <w14:textFill>
            <w14:solidFill>
              <w14:schemeClr w14:val="tx1"/>
            </w14:solidFill>
          </w14:textFill>
        </w:rPr>
        <w:t>人</w:t>
      </w:r>
      <w:r>
        <w:rPr>
          <w:rFonts w:hint="eastAsia" w:ascii="仿宋_GB2312" w:hAnsi="宋体" w:eastAsia="仿宋_GB2312" w:cs="宋体"/>
          <w:bCs/>
          <w:color w:val="000000" w:themeColor="text1"/>
          <w:kern w:val="0"/>
          <w:sz w:val="24"/>
          <w:szCs w:val="24"/>
          <w14:textFill>
            <w14:solidFill>
              <w14:schemeClr w14:val="tx1"/>
            </w14:solidFill>
          </w14:textFill>
        </w:rPr>
        <w:t>的主要股东、实际控制人、一致行动人、最终受益人，托管</w:t>
      </w:r>
      <w:r>
        <w:rPr>
          <w:rFonts w:ascii="仿宋_GB2312" w:hAnsi="宋体" w:eastAsia="仿宋_GB2312" w:cs="宋体"/>
          <w:bCs/>
          <w:color w:val="000000" w:themeColor="text1"/>
          <w:kern w:val="0"/>
          <w:sz w:val="24"/>
          <w:szCs w:val="24"/>
          <w14:textFill>
            <w14:solidFill>
              <w14:schemeClr w14:val="tx1"/>
            </w14:solidFill>
          </w14:textFill>
        </w:rPr>
        <w:t>人</w:t>
      </w:r>
      <w:r>
        <w:rPr>
          <w:rFonts w:hint="eastAsia" w:ascii="仿宋_GB2312" w:hAnsi="宋体" w:eastAsia="仿宋_GB2312" w:cs="宋体"/>
          <w:bCs/>
          <w:color w:val="000000" w:themeColor="text1"/>
          <w:kern w:val="0"/>
          <w:sz w:val="24"/>
          <w:szCs w:val="24"/>
          <w14:textFill>
            <w14:solidFill>
              <w14:schemeClr w14:val="tx1"/>
            </w14:solidFill>
          </w14:textFill>
        </w:rPr>
        <w:t>，同一股东或托管人控股的机构，或者与管理人或托管</w:t>
      </w:r>
      <w:r>
        <w:rPr>
          <w:rFonts w:ascii="仿宋_GB2312" w:hAnsi="宋体" w:eastAsia="仿宋_GB2312" w:cs="宋体"/>
          <w:bCs/>
          <w:color w:val="000000" w:themeColor="text1"/>
          <w:kern w:val="0"/>
          <w:sz w:val="24"/>
          <w:szCs w:val="24"/>
          <w14:textFill>
            <w14:solidFill>
              <w14:schemeClr w14:val="tx1"/>
            </w14:solidFill>
          </w14:textFill>
        </w:rPr>
        <w:t>人</w:t>
      </w:r>
      <w:r>
        <w:rPr>
          <w:rFonts w:hint="eastAsia" w:ascii="仿宋_GB2312" w:hAnsi="宋体" w:eastAsia="仿宋_GB2312" w:cs="宋体"/>
          <w:bCs/>
          <w:color w:val="000000" w:themeColor="text1"/>
          <w:kern w:val="0"/>
          <w:sz w:val="24"/>
          <w:szCs w:val="24"/>
          <w14:textFill>
            <w14:solidFill>
              <w14:schemeClr w14:val="tx1"/>
            </w14:solidFill>
          </w14:textFill>
        </w:rPr>
        <w:t>有重大利害关系的机构发行或承销的证券，或者从事其他关联交易，本理财产品也可能由管理人的关联方进行托管或代理销售。上述各方在业务执行及实施上具有隔离机制，并符合相关法律法规要求，且上述各方将依照恪尽职守、诚实信用、谨慎勤勉的原则按照市场公允定价进行公平交易，但仍可能存在利益冲突。</w:t>
      </w:r>
      <w:r>
        <w:rPr>
          <w:rFonts w:hint="eastAsia" w:ascii="仿宋_GB2312" w:hAnsi="宋体" w:eastAsia="仿宋_GB2312" w:cs="宋体"/>
          <w:b/>
          <w:bCs/>
          <w:color w:val="000000" w:themeColor="text1"/>
          <w:kern w:val="0"/>
          <w:sz w:val="24"/>
          <w:szCs w:val="24"/>
          <w14:textFill>
            <w14:solidFill>
              <w14:schemeClr w14:val="tx1"/>
            </w14:solidFill>
          </w14:textFill>
        </w:rPr>
        <w:t>提请投资者充分知悉、关注本理财产品关联关系和关联交易风险，投资者签署本理财产品销售文件即代表投资者认可且同意上述可能发生的关联交易并自愿承担相关风险。</w:t>
      </w:r>
    </w:p>
    <w:p w14:paraId="15C1FE58">
      <w:pPr>
        <w:ind w:firstLine="482" w:firstLineChars="200"/>
        <w:rPr>
          <w:rFonts w:ascii="仿宋_GB2312" w:hAnsi="宋体" w:eastAsia="仿宋_GB2312" w:cs="宋体"/>
          <w:b/>
          <w:bCs/>
          <w:color w:val="000000" w:themeColor="text1"/>
          <w:kern w:val="0"/>
          <w:sz w:val="24"/>
          <w:szCs w:val="24"/>
          <w14:textFill>
            <w14:solidFill>
              <w14:schemeClr w14:val="tx1"/>
            </w14:solidFill>
          </w14:textFill>
        </w:rPr>
      </w:pPr>
      <w:r>
        <w:rPr>
          <w:rFonts w:hint="eastAsia" w:ascii="仿宋_GB2312" w:hAnsi="宋体" w:eastAsia="仿宋_GB2312" w:cs="宋体"/>
          <w:b/>
          <w:bCs/>
          <w:color w:val="000000" w:themeColor="text1"/>
          <w:kern w:val="0"/>
          <w:sz w:val="24"/>
          <w:szCs w:val="24"/>
          <w14:textFill>
            <w14:solidFill>
              <w14:schemeClr w14:val="tx1"/>
            </w14:solidFill>
          </w14:textFill>
        </w:rPr>
        <w:t>（十五）再投资风险</w:t>
      </w:r>
    </w:p>
    <w:p w14:paraId="0F994DD8">
      <w:pPr>
        <w:ind w:firstLine="480" w:firstLineChars="200"/>
        <w:rPr>
          <w:rFonts w:ascii="仿宋_GB2312" w:hAnsi="宋体" w:eastAsia="仿宋_GB2312" w:cs="宋体"/>
          <w:color w:val="000000" w:themeColor="text1"/>
          <w:kern w:val="0"/>
          <w:sz w:val="24"/>
          <w:szCs w:val="24"/>
          <w14:textFill>
            <w14:solidFill>
              <w14:schemeClr w14:val="tx1"/>
            </w14:solidFill>
          </w14:textFill>
        </w:rPr>
      </w:pPr>
      <w:r>
        <w:rPr>
          <w:rFonts w:hint="eastAsia" w:ascii="仿宋_GB2312" w:hAnsi="宋体" w:eastAsia="仿宋_GB2312" w:cs="宋体"/>
          <w:color w:val="000000" w:themeColor="text1"/>
          <w:kern w:val="0"/>
          <w:sz w:val="24"/>
          <w:szCs w:val="24"/>
          <w14:textFill>
            <w14:solidFill>
              <w14:schemeClr w14:val="tx1"/>
            </w14:solidFill>
          </w14:textFill>
        </w:rPr>
        <w:t>由于浙银理财有权根据市场状况和产品余额情况提前终止本理财产品，因市场利率下滑，投资者可能面临本金和收益再投资收益率降低的风险。</w:t>
      </w:r>
    </w:p>
    <w:p w14:paraId="0F82F9B3">
      <w:pPr>
        <w:ind w:firstLine="482" w:firstLineChars="200"/>
        <w:rPr>
          <w:rFonts w:ascii="仿宋_GB2312" w:hAnsi="宋体" w:eastAsia="仿宋_GB2312" w:cs="宋体"/>
          <w:b/>
          <w:bCs/>
          <w:color w:val="000000" w:themeColor="text1"/>
          <w:kern w:val="0"/>
          <w:sz w:val="24"/>
          <w:szCs w:val="24"/>
          <w14:textFill>
            <w14:solidFill>
              <w14:schemeClr w14:val="tx1"/>
            </w14:solidFill>
          </w14:textFill>
        </w:rPr>
      </w:pPr>
      <w:r>
        <w:rPr>
          <w:rFonts w:hint="eastAsia" w:ascii="仿宋_GB2312" w:hAnsi="宋体" w:eastAsia="仿宋_GB2312" w:cs="宋体"/>
          <w:b/>
          <w:bCs/>
          <w:color w:val="000000" w:themeColor="text1"/>
          <w:kern w:val="0"/>
          <w:sz w:val="24"/>
          <w:szCs w:val="24"/>
          <w14:textFill>
            <w14:solidFill>
              <w14:schemeClr w14:val="tx1"/>
            </w14:solidFill>
          </w14:textFill>
        </w:rPr>
        <w:t>（十六）估值风险</w:t>
      </w:r>
    </w:p>
    <w:p w14:paraId="56F77607">
      <w:pPr>
        <w:ind w:firstLine="480" w:firstLineChars="200"/>
        <w:rPr>
          <w:rFonts w:ascii="仿宋_GB2312" w:hAnsi="宋体" w:eastAsia="仿宋_GB2312" w:cs="宋体"/>
          <w:color w:val="000000" w:themeColor="text1"/>
          <w:kern w:val="0"/>
          <w:sz w:val="24"/>
          <w:szCs w:val="24"/>
          <w14:textFill>
            <w14:solidFill>
              <w14:schemeClr w14:val="tx1"/>
            </w14:solidFill>
          </w14:textFill>
        </w:rPr>
      </w:pPr>
      <w:r>
        <w:rPr>
          <w:rFonts w:hint="eastAsia" w:ascii="仿宋_GB2312" w:hAnsi="宋体" w:eastAsia="仿宋_GB2312" w:cs="宋体"/>
          <w:color w:val="000000" w:themeColor="text1"/>
          <w:kern w:val="0"/>
          <w:sz w:val="24"/>
          <w:szCs w:val="24"/>
          <w14:textFill>
            <w14:solidFill>
              <w14:schemeClr w14:val="tx1"/>
            </w14:solidFill>
          </w14:textFill>
        </w:rPr>
        <w:t>本理财产品按《产品说明书》的估值方法进行估值，理财产品估值与实际变现价值可能发生偏离，投资者应知晓该风险。本理财产品管理人估值仅作为参考，本理财产品管理人不承担第三方再次使用该估值引发的其他风险。本理财产品所投资的资产管理产品以其估值日截止时点能够取得的最新份额净值进行估值。因此，在前述情况下可能会出现本理财产品净值不能完全反映所投资资产管理计划或基金等资产管理产品估值日当日净值的情形。</w:t>
      </w:r>
    </w:p>
    <w:p w14:paraId="48789C8F">
      <w:pPr>
        <w:ind w:firstLine="480" w:firstLineChars="200"/>
        <w:rPr>
          <w:rFonts w:ascii="仿宋_GB2312" w:hAnsi="宋体" w:eastAsia="仿宋_GB2312" w:cs="宋体"/>
          <w:color w:val="000000" w:themeColor="text1"/>
          <w:kern w:val="0"/>
          <w:sz w:val="24"/>
          <w:szCs w:val="24"/>
          <w14:textFill>
            <w14:solidFill>
              <w14:schemeClr w14:val="tx1"/>
            </w14:solidFill>
          </w14:textFill>
        </w:rPr>
      </w:pPr>
      <w:r>
        <w:rPr>
          <w:rFonts w:hint="eastAsia" w:ascii="仿宋_GB2312" w:hAnsi="宋体" w:eastAsia="仿宋_GB2312" w:cs="宋体"/>
          <w:color w:val="000000" w:themeColor="text1"/>
          <w:kern w:val="0"/>
          <w:sz w:val="24"/>
          <w:szCs w:val="24"/>
          <w14:textFill>
            <w14:solidFill>
              <w14:schemeClr w14:val="tx1"/>
            </w14:solidFill>
          </w14:textFill>
        </w:rPr>
        <w:t>本理财产品可能投资符合监管要求的资产管理产品（包括但不限于信托计划、公募基金、基金公司或子公司资产管理计划、证券公司资产管理计划、期货资产管理计划、保险资产管理计划等，具体以《产品说明书》或理财产品定期报告披露为准），前述资产管理产品的管理人可能收取业绩报酬，当前述资产管理产品计提业绩报酬时，本理财产品的产品份额净值存在下跌风险。</w:t>
      </w:r>
    </w:p>
    <w:p w14:paraId="37ED7428">
      <w:pPr>
        <w:ind w:firstLine="482" w:firstLineChars="200"/>
        <w:rPr>
          <w:rFonts w:ascii="仿宋_GB2312" w:hAnsi="宋体" w:eastAsia="仿宋_GB2312" w:cs="宋体"/>
          <w:b/>
          <w:bCs/>
          <w:color w:val="000000" w:themeColor="text1"/>
          <w:kern w:val="0"/>
          <w:sz w:val="24"/>
          <w:szCs w:val="24"/>
          <w14:textFill>
            <w14:solidFill>
              <w14:schemeClr w14:val="tx1"/>
            </w14:solidFill>
          </w14:textFill>
        </w:rPr>
      </w:pPr>
      <w:r>
        <w:rPr>
          <w:rFonts w:hint="eastAsia" w:ascii="仿宋_GB2312" w:hAnsi="宋体" w:eastAsia="仿宋_GB2312" w:cs="宋体"/>
          <w:b/>
          <w:bCs/>
          <w:color w:val="000000" w:themeColor="text1"/>
          <w:kern w:val="0"/>
          <w:sz w:val="24"/>
          <w:szCs w:val="24"/>
          <w14:textFill>
            <w14:solidFill>
              <w14:schemeClr w14:val="tx1"/>
            </w14:solidFill>
          </w14:textFill>
        </w:rPr>
        <w:t>（十七）托管及清算风险</w:t>
      </w:r>
    </w:p>
    <w:p w14:paraId="778FF9F3">
      <w:pPr>
        <w:ind w:firstLine="480" w:firstLineChars="200"/>
        <w:rPr>
          <w:rFonts w:ascii="仿宋_GB2312" w:hAnsi="宋体" w:eastAsia="仿宋_GB2312" w:cs="宋体"/>
          <w:color w:val="000000" w:themeColor="text1"/>
          <w:kern w:val="0"/>
          <w:sz w:val="24"/>
          <w:szCs w:val="24"/>
          <w14:textFill>
            <w14:solidFill>
              <w14:schemeClr w14:val="tx1"/>
            </w14:solidFill>
          </w14:textFill>
        </w:rPr>
      </w:pPr>
      <w:r>
        <w:rPr>
          <w:rFonts w:hint="eastAsia" w:ascii="仿宋_GB2312" w:hAnsi="宋体" w:eastAsia="仿宋_GB2312" w:cs="宋体"/>
          <w:color w:val="000000" w:themeColor="text1"/>
          <w:kern w:val="0"/>
          <w:sz w:val="24"/>
          <w:szCs w:val="24"/>
          <w14:textFill>
            <w14:solidFill>
              <w14:schemeClr w14:val="tx1"/>
            </w14:solidFill>
          </w14:textFill>
        </w:rPr>
        <w:t>本理财产品存在托管人，若因托管人操作失误或因任何原因未能按约履行托管人职责，或丧失进行托管的能力或法定资格，均可能给本理财产品带来风险。</w:t>
      </w:r>
    </w:p>
    <w:p w14:paraId="4E5D5960">
      <w:pPr>
        <w:ind w:firstLine="482" w:firstLineChars="200"/>
        <w:rPr>
          <w:rFonts w:ascii="仿宋_GB2312" w:hAnsi="宋体" w:eastAsia="仿宋_GB2312" w:cs="宋体"/>
          <w:b/>
          <w:bCs/>
          <w:color w:val="000000" w:themeColor="text1"/>
          <w:kern w:val="0"/>
          <w:sz w:val="24"/>
          <w:szCs w:val="24"/>
          <w14:textFill>
            <w14:solidFill>
              <w14:schemeClr w14:val="tx1"/>
            </w14:solidFill>
          </w14:textFill>
        </w:rPr>
      </w:pPr>
      <w:r>
        <w:rPr>
          <w:rFonts w:hint="eastAsia" w:ascii="仿宋_GB2312" w:hAnsi="宋体" w:eastAsia="仿宋_GB2312" w:cs="宋体"/>
          <w:b/>
          <w:bCs/>
          <w:color w:val="000000" w:themeColor="text1"/>
          <w:kern w:val="0"/>
          <w:sz w:val="24"/>
          <w:szCs w:val="24"/>
          <w14:textFill>
            <w14:solidFill>
              <w14:schemeClr w14:val="tx1"/>
            </w14:solidFill>
          </w14:textFill>
        </w:rPr>
        <w:t>（十八）税务风险</w:t>
      </w:r>
    </w:p>
    <w:p w14:paraId="64B4F384">
      <w:pPr>
        <w:ind w:firstLine="480" w:firstLineChars="200"/>
        <w:rPr>
          <w:rFonts w:ascii="仿宋_GB2312" w:hAnsi="宋体" w:eastAsia="仿宋_GB2312" w:cs="宋体"/>
          <w:color w:val="000000" w:themeColor="text1"/>
          <w:kern w:val="0"/>
          <w:sz w:val="24"/>
          <w:szCs w:val="24"/>
          <w14:textFill>
            <w14:solidFill>
              <w14:schemeClr w14:val="tx1"/>
            </w14:solidFill>
          </w14:textFill>
        </w:rPr>
      </w:pPr>
      <w:r>
        <w:rPr>
          <w:rFonts w:hint="eastAsia" w:ascii="仿宋_GB2312" w:hAnsi="宋体" w:eastAsia="仿宋_GB2312" w:cs="宋体"/>
          <w:color w:val="000000" w:themeColor="text1"/>
          <w:kern w:val="0"/>
          <w:sz w:val="24"/>
          <w:szCs w:val="24"/>
          <w14:textFill>
            <w14:solidFill>
              <w14:schemeClr w14:val="tx1"/>
            </w14:solidFill>
          </w14:textFill>
        </w:rPr>
        <w:t>根据国家相关法律法规，理财产品运营过程中发生的应由理财产品承担的增值税应税行为，由产品管理人申报和缴纳增值税及附加税费。该等税款将直接从理财产品中扣付缴纳，本理财产品将因为前述增值税等税负承担导致税费支出增加、理财产品净值或实际收益降低，从而降低投资者的收益水平。</w:t>
      </w:r>
    </w:p>
    <w:p w14:paraId="7FB241AF">
      <w:pPr>
        <w:ind w:firstLine="482" w:firstLineChars="200"/>
        <w:rPr>
          <w:rFonts w:ascii="仿宋_GB2312" w:hAnsi="宋体" w:eastAsia="仿宋_GB2312" w:cs="宋体"/>
          <w:b/>
          <w:bCs/>
          <w:color w:val="000000" w:themeColor="text1"/>
          <w:kern w:val="0"/>
          <w:sz w:val="24"/>
          <w:szCs w:val="24"/>
          <w14:textFill>
            <w14:solidFill>
              <w14:schemeClr w14:val="tx1"/>
            </w14:solidFill>
          </w14:textFill>
        </w:rPr>
      </w:pPr>
      <w:r>
        <w:rPr>
          <w:rFonts w:hint="eastAsia" w:ascii="仿宋_GB2312" w:hAnsi="宋体" w:eastAsia="仿宋_GB2312" w:cs="宋体"/>
          <w:b/>
          <w:bCs/>
          <w:color w:val="000000" w:themeColor="text1"/>
          <w:kern w:val="0"/>
          <w:sz w:val="24"/>
          <w:szCs w:val="24"/>
          <w14:textFill>
            <w14:solidFill>
              <w14:schemeClr w14:val="tx1"/>
            </w14:solidFill>
          </w14:textFill>
        </w:rPr>
        <w:t>（十九）不同理财产品份额类别存在差异的风险</w:t>
      </w:r>
    </w:p>
    <w:p w14:paraId="568D71CF">
      <w:pPr>
        <w:ind w:firstLine="480" w:firstLineChars="200"/>
        <w:rPr>
          <w:rFonts w:ascii="仿宋_GB2312" w:hAnsi="宋体" w:eastAsia="仿宋_GB2312" w:cs="宋体"/>
          <w:color w:val="000000" w:themeColor="text1"/>
          <w:kern w:val="0"/>
          <w:sz w:val="24"/>
          <w:szCs w:val="24"/>
          <w14:textFill>
            <w14:solidFill>
              <w14:schemeClr w14:val="tx1"/>
            </w14:solidFill>
          </w14:textFill>
        </w:rPr>
      </w:pPr>
      <w:r>
        <w:rPr>
          <w:rFonts w:hint="eastAsia" w:ascii="仿宋_GB2312" w:hAnsi="宋体" w:eastAsia="仿宋_GB2312" w:cs="宋体"/>
          <w:color w:val="000000" w:themeColor="text1"/>
          <w:kern w:val="0"/>
          <w:sz w:val="24"/>
          <w:szCs w:val="24"/>
          <w14:textFill>
            <w14:solidFill>
              <w14:schemeClr w14:val="tx1"/>
            </w14:solidFill>
          </w14:textFill>
        </w:rPr>
        <w:t>管理人有权根据投资者购买理财产品的金额、销售渠道、客户类型等因素，对投资者所持有的理财产品份额设置不同的理财产品份额类别。不同类别的理财产品份额可能在产品销售名称、产品销售代码、销售渠道、销售客群、销售服务费率、托管费率、收费方式、业绩比较基准、认购/申购起点金额及递增金额、认/申购上限金额、认/申购和赎回数量限制、持有金额上/下限、单一投资者持有份额</w:t>
      </w:r>
      <w:r>
        <w:rPr>
          <w:rFonts w:ascii="仿宋_GB2312" w:hAnsi="宋体" w:eastAsia="仿宋_GB2312" w:cs="宋体"/>
          <w:color w:val="000000" w:themeColor="text1"/>
          <w:kern w:val="0"/>
          <w:sz w:val="24"/>
          <w:szCs w:val="24"/>
          <w14:textFill>
            <w14:solidFill>
              <w14:schemeClr w14:val="tx1"/>
            </w14:solidFill>
          </w14:textFill>
        </w:rPr>
        <w:t>占比</w:t>
      </w:r>
      <w:r>
        <w:rPr>
          <w:rFonts w:hint="eastAsia" w:ascii="仿宋_GB2312" w:hAnsi="宋体" w:eastAsia="仿宋_GB2312" w:cs="宋体"/>
          <w:color w:val="000000" w:themeColor="text1"/>
          <w:kern w:val="0"/>
          <w:sz w:val="24"/>
          <w:szCs w:val="24"/>
          <w14:textFill>
            <w14:solidFill>
              <w14:schemeClr w14:val="tx1"/>
            </w14:solidFill>
          </w14:textFill>
        </w:rPr>
        <w:t>上限、产品规模上限、产品份额净值的计算结果及信息披露等方面存在差异。</w:t>
      </w:r>
    </w:p>
    <w:p w14:paraId="391EE4E6">
      <w:pPr>
        <w:ind w:firstLine="482" w:firstLineChars="200"/>
        <w:rPr>
          <w:rFonts w:hint="eastAsia"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（二十）</w:t>
      </w:r>
      <w:r>
        <w:rPr>
          <w:rFonts w:hint="eastAsia" w:ascii="仿宋_GB2312" w:hAnsi="宋体" w:eastAsia="仿宋_GB2312" w:cs="宋体"/>
          <w:b/>
          <w:bCs/>
          <w:kern w:val="0"/>
          <w:sz w:val="24"/>
          <w:highlight w:val="none"/>
          <w:lang w:eastAsia="zh-CN"/>
        </w:rPr>
        <w:t>投资特定</w:t>
      </w:r>
      <w:r>
        <w:rPr>
          <w:rFonts w:hint="eastAsia" w:ascii="仿宋_GB2312" w:hAnsi="宋体" w:eastAsia="仿宋_GB2312" w:cs="宋体"/>
          <w:b/>
          <w:bCs/>
          <w:kern w:val="0"/>
          <w:sz w:val="24"/>
          <w:highlight w:val="none"/>
        </w:rPr>
        <w:t>风险</w:t>
      </w:r>
    </w:p>
    <w:p w14:paraId="306A81B0">
      <w:pPr>
        <w:numPr>
          <w:ilvl w:val="0"/>
          <w:numId w:val="0"/>
        </w:numPr>
        <w:ind w:firstLine="482" w:firstLineChars="200"/>
        <w:rPr>
          <w:rFonts w:hint="eastAsia" w:ascii="仿宋_GB2312" w:hAnsi="宋体" w:eastAsia="仿宋_GB2312" w:cs="宋体"/>
          <w:b/>
          <w:bCs/>
          <w:color w:val="000000"/>
          <w:kern w:val="0"/>
          <w:sz w:val="24"/>
          <w:highlight w:val="yellow"/>
        </w:rPr>
      </w:pPr>
      <w:r>
        <w:rPr>
          <w:rFonts w:hint="eastAsia" w:ascii="仿宋_GB2312" w:hAnsi="宋体" w:eastAsia="仿宋_GB2312" w:cs="宋体"/>
          <w:b/>
          <w:bCs/>
          <w:color w:val="000000"/>
          <w:kern w:val="0"/>
          <w:sz w:val="24"/>
          <w:highlight w:val="yellow"/>
        </w:rPr>
        <w:t>本</w:t>
      </w:r>
      <w:r>
        <w:rPr>
          <w:rFonts w:hint="eastAsia" w:ascii="仿宋_GB2312" w:hAnsi="宋体" w:eastAsia="仿宋_GB2312" w:cs="宋体"/>
          <w:b/>
          <w:bCs/>
          <w:color w:val="000000"/>
          <w:kern w:val="0"/>
          <w:sz w:val="24"/>
          <w:highlight w:val="yellow"/>
          <w:lang w:eastAsia="zh-CN"/>
        </w:rPr>
        <w:t>理财产品因</w:t>
      </w:r>
      <w:r>
        <w:rPr>
          <w:rFonts w:hint="eastAsia" w:ascii="仿宋_GB2312" w:hAnsi="宋体" w:eastAsia="仿宋_GB2312" w:cs="宋体"/>
          <w:b/>
          <w:bCs/>
          <w:color w:val="000000"/>
          <w:kern w:val="0"/>
          <w:sz w:val="24"/>
          <w:highlight w:val="yellow"/>
        </w:rPr>
        <w:t>拟投资市场</w:t>
      </w:r>
      <w:r>
        <w:rPr>
          <w:rFonts w:hint="eastAsia" w:ascii="仿宋_GB2312" w:hAnsi="宋体" w:eastAsia="仿宋_GB2312" w:cs="宋体"/>
          <w:b/>
          <w:bCs/>
          <w:color w:val="000000"/>
          <w:kern w:val="0"/>
          <w:sz w:val="24"/>
          <w:highlight w:val="yellow"/>
          <w:lang w:eastAsia="zh-CN"/>
        </w:rPr>
        <w:t>和资产类别</w:t>
      </w:r>
      <w:r>
        <w:rPr>
          <w:rFonts w:hint="eastAsia" w:ascii="仿宋_GB2312" w:hAnsi="宋体" w:eastAsia="仿宋_GB2312" w:cs="宋体"/>
          <w:b/>
          <w:bCs/>
          <w:color w:val="000000"/>
          <w:kern w:val="0"/>
          <w:sz w:val="24"/>
          <w:highlight w:val="yellow"/>
        </w:rPr>
        <w:t>可能面临的</w:t>
      </w:r>
      <w:r>
        <w:rPr>
          <w:rFonts w:hint="eastAsia" w:ascii="仿宋_GB2312" w:hAnsi="宋体" w:eastAsia="仿宋_GB2312" w:cs="宋体"/>
          <w:b/>
          <w:bCs/>
          <w:color w:val="000000"/>
          <w:kern w:val="0"/>
          <w:sz w:val="24"/>
          <w:highlight w:val="yellow"/>
          <w:lang w:eastAsia="zh-CN"/>
        </w:rPr>
        <w:t>特定</w:t>
      </w:r>
      <w:r>
        <w:rPr>
          <w:rFonts w:hint="eastAsia" w:ascii="仿宋_GB2312" w:hAnsi="宋体" w:eastAsia="仿宋_GB2312" w:cs="宋体"/>
          <w:b/>
          <w:bCs/>
          <w:color w:val="000000"/>
          <w:kern w:val="0"/>
          <w:sz w:val="24"/>
          <w:highlight w:val="yellow"/>
        </w:rPr>
        <w:t>风险如下：</w:t>
      </w:r>
    </w:p>
    <w:p w14:paraId="6B548782">
      <w:pPr>
        <w:numPr>
          <w:ilvl w:val="0"/>
          <w:numId w:val="0"/>
        </w:numPr>
        <w:ind w:firstLine="482" w:firstLineChars="200"/>
        <w:rPr>
          <w:rFonts w:hint="eastAsia" w:ascii="仿宋_GB2312" w:hAnsi="宋体" w:eastAsia="仿宋_GB2312" w:cs="宋体"/>
          <w:b/>
          <w:bCs/>
          <w:color w:val="000000"/>
          <w:kern w:val="0"/>
          <w:sz w:val="24"/>
          <w:highlight w:val="yellow"/>
        </w:rPr>
      </w:pPr>
      <w:r>
        <w:rPr>
          <w:rFonts w:hint="eastAsia" w:ascii="仿宋_GB2312" w:hAnsi="宋体" w:eastAsia="仿宋_GB2312" w:cs="宋体"/>
          <w:b/>
          <w:bCs/>
          <w:color w:val="000000"/>
          <w:kern w:val="0"/>
          <w:sz w:val="24"/>
          <w:highlight w:val="yellow"/>
          <w:lang w:val="en-US" w:eastAsia="zh-CN"/>
        </w:rPr>
        <w:t>1.</w:t>
      </w:r>
      <w:r>
        <w:rPr>
          <w:rFonts w:hint="eastAsia" w:ascii="仿宋_GB2312" w:hAnsi="宋体" w:eastAsia="仿宋_GB2312" w:cs="宋体"/>
          <w:b/>
          <w:bCs/>
          <w:color w:val="000000"/>
          <w:kern w:val="0"/>
          <w:sz w:val="24"/>
          <w:highlight w:val="yellow"/>
        </w:rPr>
        <w:t>投资于固定收益类资产</w:t>
      </w:r>
      <w:r>
        <w:rPr>
          <w:rFonts w:hint="eastAsia" w:ascii="仿宋_GB2312" w:hAnsi="宋体" w:eastAsia="仿宋_GB2312" w:cs="宋体"/>
          <w:b/>
          <w:bCs/>
          <w:color w:val="000000"/>
          <w:kern w:val="0"/>
          <w:sz w:val="24"/>
          <w:highlight w:val="yellow"/>
          <w:lang w:eastAsia="zh-CN"/>
        </w:rPr>
        <w:t>（如有）</w:t>
      </w:r>
      <w:r>
        <w:rPr>
          <w:rFonts w:hint="eastAsia" w:ascii="仿宋_GB2312" w:hAnsi="宋体" w:eastAsia="仿宋_GB2312" w:cs="宋体"/>
          <w:b/>
          <w:bCs/>
          <w:color w:val="000000"/>
          <w:kern w:val="0"/>
          <w:sz w:val="24"/>
          <w:highlight w:val="yellow"/>
        </w:rPr>
        <w:t>的可能风险：</w:t>
      </w:r>
    </w:p>
    <w:p w14:paraId="5B18AEA0">
      <w:pPr>
        <w:numPr>
          <w:ilvl w:val="0"/>
          <w:numId w:val="0"/>
        </w:numPr>
        <w:ind w:firstLine="482" w:firstLineChars="200"/>
        <w:rPr>
          <w:rFonts w:hint="eastAsia" w:ascii="仿宋_GB2312" w:hAnsi="宋体" w:eastAsia="仿宋_GB2312" w:cs="宋体"/>
          <w:b/>
          <w:bCs/>
          <w:color w:val="000000"/>
          <w:kern w:val="0"/>
          <w:sz w:val="24"/>
          <w:highlight w:val="yellow"/>
        </w:rPr>
      </w:pPr>
      <w:r>
        <w:rPr>
          <w:rFonts w:hint="eastAsia" w:ascii="仿宋_GB2312" w:hAnsi="宋体" w:eastAsia="仿宋_GB2312" w:cs="宋体"/>
          <w:b/>
          <w:bCs/>
          <w:color w:val="000000"/>
          <w:kern w:val="0"/>
          <w:sz w:val="24"/>
          <w:highlight w:val="yellow"/>
          <w:lang w:eastAsia="zh-CN"/>
        </w:rPr>
        <w:t>（</w:t>
      </w:r>
      <w:r>
        <w:rPr>
          <w:rFonts w:hint="eastAsia" w:ascii="仿宋_GB2312" w:hAnsi="宋体" w:eastAsia="仿宋_GB2312" w:cs="宋体"/>
          <w:b/>
          <w:bCs/>
          <w:color w:val="000000"/>
          <w:kern w:val="0"/>
          <w:sz w:val="24"/>
          <w:highlight w:val="yellow"/>
        </w:rPr>
        <w:t>1）国家政策、经济周期、利率、汇率等因素可能发生的变化导致的市场风险。（2）债券发行人、担保人的经营状况、信用质量降低等可能发生的变化导致的信用风险。（3）债券发行人、担保人信用等级降低导致债券价格下降，可能影响投资者收益，甚至使产品本金遭受损失。（4）非公开定向债务融资工具的流通和转让限制导致的流动性风险。（5）债券市场出现整体下跌，导致债券市场的系统性风险等。（6）可转/交换债券投资风险（如有）：可转/交换债券收益与对应标的股票股价直接挂钩，债券价格可能受之影响；转股期内，对应标的股票价格可能低于转股价格，若选择转股，产品将承受标的股票价格低于转股价格之间的价差；转股价格向下修正条款触发时，存在发行方不同意修正转股价格的风险；赎回条款可能导致债券提前兑付或转股期缩短而影响投资收益的风险；存在因政策限制导致无法转股的风险，可转/交换债券投资受到包括但不限于上述因素影响时，可能影响投资者收益，甚至使产品本金遭受损失。（7）永续债投资风险（如有）：永续债发行人可能延期支付利息，且永续债无到期日，可能因流动性差无法变现、无法收回本金，使产品出现流动性风险；永续债附加的回售或赎回权，可能会导致管理人以不利价格出售永续债，从而影响投资者收益。</w:t>
      </w:r>
    </w:p>
    <w:p w14:paraId="0FAE31C3">
      <w:pPr>
        <w:numPr>
          <w:ilvl w:val="0"/>
          <w:numId w:val="0"/>
        </w:numPr>
        <w:ind w:firstLine="482" w:firstLineChars="200"/>
        <w:rPr>
          <w:rFonts w:hint="eastAsia" w:ascii="仿宋_GB2312" w:hAnsi="宋体" w:eastAsia="仿宋_GB2312" w:cs="宋体"/>
          <w:b/>
          <w:bCs/>
          <w:color w:val="000000"/>
          <w:kern w:val="0"/>
          <w:sz w:val="24"/>
          <w:highlight w:val="yellow"/>
          <w:lang w:eastAsia="zh-CN"/>
        </w:rPr>
      </w:pPr>
      <w:r>
        <w:rPr>
          <w:rFonts w:hint="eastAsia" w:ascii="仿宋_GB2312" w:hAnsi="宋体" w:eastAsia="仿宋_GB2312" w:cs="宋体"/>
          <w:b/>
          <w:bCs/>
          <w:color w:val="000000"/>
          <w:kern w:val="0"/>
          <w:sz w:val="24"/>
          <w:highlight w:val="yellow"/>
          <w:lang w:val="en-US" w:eastAsia="zh-CN"/>
        </w:rPr>
        <w:t>2.</w:t>
      </w:r>
      <w:r>
        <w:rPr>
          <w:rFonts w:hint="eastAsia" w:ascii="仿宋_GB2312" w:hAnsi="宋体" w:eastAsia="仿宋_GB2312" w:cs="宋体"/>
          <w:b/>
          <w:bCs/>
          <w:color w:val="000000"/>
          <w:kern w:val="0"/>
          <w:sz w:val="24"/>
          <w:highlight w:val="yellow"/>
        </w:rPr>
        <w:t>投资于</w:t>
      </w:r>
      <w:r>
        <w:rPr>
          <w:rFonts w:hint="eastAsia" w:ascii="仿宋_GB2312" w:hAnsi="宋体" w:eastAsia="仿宋_GB2312" w:cs="宋体"/>
          <w:b/>
          <w:bCs/>
          <w:color w:val="000000"/>
          <w:kern w:val="0"/>
          <w:sz w:val="24"/>
          <w:highlight w:val="yellow"/>
          <w:lang w:eastAsia="zh-CN"/>
        </w:rPr>
        <w:t>股票等权益</w:t>
      </w:r>
      <w:r>
        <w:rPr>
          <w:rFonts w:hint="eastAsia" w:ascii="仿宋_GB2312" w:hAnsi="宋体" w:eastAsia="仿宋_GB2312" w:cs="宋体"/>
          <w:b/>
          <w:bCs/>
          <w:color w:val="000000"/>
          <w:kern w:val="0"/>
          <w:sz w:val="24"/>
          <w:highlight w:val="yellow"/>
        </w:rPr>
        <w:t>类资产（如有）的可能风险</w:t>
      </w:r>
      <w:r>
        <w:rPr>
          <w:rFonts w:hint="eastAsia" w:ascii="仿宋_GB2312" w:hAnsi="宋体" w:eastAsia="仿宋_GB2312" w:cs="宋体"/>
          <w:b/>
          <w:bCs/>
          <w:color w:val="000000"/>
          <w:kern w:val="0"/>
          <w:sz w:val="24"/>
          <w:highlight w:val="yellow"/>
          <w:lang w:eastAsia="zh-CN"/>
        </w:rPr>
        <w:t>：</w:t>
      </w:r>
    </w:p>
    <w:p w14:paraId="62281910">
      <w:pPr>
        <w:numPr>
          <w:ilvl w:val="0"/>
          <w:numId w:val="0"/>
        </w:numPr>
        <w:ind w:firstLine="482" w:firstLineChars="200"/>
        <w:rPr>
          <w:rFonts w:hint="eastAsia" w:ascii="仿宋_GB2312" w:hAnsi="宋体" w:eastAsia="仿宋_GB2312" w:cs="宋体"/>
          <w:b/>
          <w:bCs/>
          <w:color w:val="000000"/>
          <w:kern w:val="0"/>
          <w:sz w:val="24"/>
          <w:highlight w:val="yellow"/>
        </w:rPr>
      </w:pPr>
      <w:r>
        <w:rPr>
          <w:rFonts w:hint="eastAsia" w:ascii="仿宋_GB2312" w:hAnsi="宋体" w:eastAsia="仿宋_GB2312" w:cs="宋体"/>
          <w:b/>
          <w:bCs/>
          <w:color w:val="000000"/>
          <w:kern w:val="0"/>
          <w:sz w:val="24"/>
          <w:highlight w:val="yellow"/>
        </w:rPr>
        <w:t>国家货币、财政、产业等政策变化对证券市场产生一定的影响，导致市场价格水平波动的风险；宏观经济运行周期性波动，对股票市场的收益水平产生影响的风险；上市公司的经营状况受多种因素影响，如市场、技术、竞争、管理、财务等都可能导致公司盈利发生变化，从而导致股票价格下跌，影响投资者收益，甚至使产品本金遭受损失；股票遭流通和转让限制导致的流动性风险；投资于不同板块、不同市场股票，如投资科创板、创业板、港股通股票等，可能面临因投资标的、市场制度、交易规则、监管法规等差异造成的风险等。</w:t>
      </w:r>
    </w:p>
    <w:p w14:paraId="2C6F083C">
      <w:pPr>
        <w:numPr>
          <w:ilvl w:val="0"/>
          <w:numId w:val="0"/>
        </w:numPr>
        <w:ind w:firstLine="482" w:firstLineChars="200"/>
        <w:rPr>
          <w:rFonts w:hint="eastAsia" w:ascii="仿宋_GB2312" w:hAnsi="宋体" w:eastAsia="仿宋_GB2312" w:cs="宋体"/>
          <w:b/>
          <w:bCs/>
          <w:color w:val="000000"/>
          <w:kern w:val="0"/>
          <w:sz w:val="24"/>
          <w:highlight w:val="yellow"/>
        </w:rPr>
      </w:pPr>
      <w:r>
        <w:rPr>
          <w:rFonts w:hint="eastAsia" w:ascii="仿宋_GB2312" w:hAnsi="宋体" w:eastAsia="仿宋_GB2312" w:cs="宋体"/>
          <w:b/>
          <w:bCs/>
          <w:color w:val="000000"/>
          <w:kern w:val="0"/>
          <w:sz w:val="24"/>
          <w:highlight w:val="yellow"/>
        </w:rPr>
        <w:t>优先股具有固定收益证券的特征，但优先股发行方无到期归还本金的义务，可能发生发行人经营状况恶化、无法足额支付股息的风险，从而影响产品和投资者收益；优先股属于权益类资产，价格受国家各类政策、宏观经济、行业发展等多种因素影响，可能发生波动从而影响产品收益，甚至使产品本金遭受损失。</w:t>
      </w:r>
    </w:p>
    <w:p w14:paraId="147D7890">
      <w:pPr>
        <w:ind w:firstLine="482" w:firstLineChars="200"/>
        <w:rPr>
          <w:rFonts w:hint="eastAsia" w:ascii="仿宋_GB2312" w:hAnsi="宋体" w:eastAsia="仿宋_GB2312" w:cs="宋体"/>
          <w:b/>
          <w:bCs/>
          <w:color w:val="000000"/>
          <w:kern w:val="0"/>
          <w:sz w:val="24"/>
          <w:highlight w:val="yellow"/>
          <w:lang w:eastAsia="zh-CN"/>
        </w:rPr>
      </w:pPr>
      <w:r>
        <w:rPr>
          <w:rFonts w:hint="eastAsia" w:ascii="仿宋_GB2312" w:hAnsi="宋体" w:eastAsia="仿宋_GB2312" w:cs="宋体"/>
          <w:b/>
          <w:bCs/>
          <w:color w:val="000000"/>
          <w:kern w:val="0"/>
          <w:sz w:val="24"/>
          <w:highlight w:val="yellow"/>
          <w:lang w:val="en-US" w:eastAsia="zh-CN"/>
        </w:rPr>
        <w:t>3</w:t>
      </w:r>
      <w:r>
        <w:rPr>
          <w:rFonts w:hint="eastAsia" w:ascii="仿宋_GB2312" w:hAnsi="宋体" w:eastAsia="仿宋_GB2312" w:cs="宋体"/>
          <w:b/>
          <w:bCs/>
          <w:color w:val="000000"/>
          <w:kern w:val="0"/>
          <w:sz w:val="24"/>
          <w:highlight w:val="yellow"/>
        </w:rPr>
        <w:t>.投资于商品及金融衍生品类资产（如有）的可能风险</w:t>
      </w:r>
      <w:r>
        <w:rPr>
          <w:rFonts w:hint="eastAsia" w:ascii="仿宋_GB2312" w:hAnsi="宋体" w:eastAsia="仿宋_GB2312" w:cs="宋体"/>
          <w:b/>
          <w:bCs/>
          <w:color w:val="000000"/>
          <w:kern w:val="0"/>
          <w:sz w:val="24"/>
          <w:highlight w:val="yellow"/>
          <w:lang w:eastAsia="zh-CN"/>
        </w:rPr>
        <w:t>：</w:t>
      </w:r>
    </w:p>
    <w:p w14:paraId="5D96821D">
      <w:pPr>
        <w:ind w:firstLine="482" w:firstLineChars="200"/>
        <w:rPr>
          <w:rFonts w:hint="eastAsia" w:ascii="仿宋_GB2312" w:hAnsi="宋体" w:eastAsia="仿宋_GB2312" w:cs="宋体"/>
          <w:b/>
          <w:bCs/>
          <w:color w:val="000000"/>
          <w:kern w:val="0"/>
          <w:sz w:val="24"/>
          <w:highlight w:val="yellow"/>
          <w:lang w:eastAsia="zh-CN"/>
        </w:rPr>
      </w:pPr>
      <w:r>
        <w:rPr>
          <w:rFonts w:hint="eastAsia" w:ascii="仿宋_GB2312" w:hAnsi="宋体" w:eastAsia="仿宋_GB2312" w:cs="宋体"/>
          <w:b/>
          <w:bCs/>
          <w:color w:val="000000"/>
          <w:kern w:val="0"/>
          <w:sz w:val="24"/>
          <w:highlight w:val="yellow"/>
        </w:rPr>
        <w:t>基础产品价格波动造成衍生品价格波动，高杠杆和跨期交易可能加剧衍生品价格波动的市场风险；衍生品发行方或交易对手方违约或不履行合约的导致的信用风险；缺乏交易对手导致无法平仓/变现、流动资金不足或无法追加保证金导致被迫平仓造成亏损的风险；因内部程序、人员、系统操作不当或因外部事件导致损失的操作风险；部分衍生品操作相关法律法规的滞后，交易合约在法律范围内无效而无法履约或交易合约订立不当产生的法律风险。由于期货与现货间的价差的波动，影响套期保值或套利效果，使之发生意外损益的</w:t>
      </w:r>
      <w:r>
        <w:rPr>
          <w:rFonts w:hint="eastAsia" w:ascii="仿宋_GB2312" w:hAnsi="宋体" w:eastAsia="仿宋_GB2312" w:cs="宋体"/>
          <w:b/>
          <w:bCs/>
          <w:color w:val="000000"/>
          <w:kern w:val="0"/>
          <w:sz w:val="24"/>
          <w:highlight w:val="yellow"/>
          <w:lang w:eastAsia="zh-CN"/>
        </w:rPr>
        <w:t>基差</w:t>
      </w:r>
      <w:r>
        <w:rPr>
          <w:rFonts w:hint="eastAsia" w:ascii="仿宋_GB2312" w:hAnsi="宋体" w:eastAsia="仿宋_GB2312" w:cs="宋体"/>
          <w:b/>
          <w:bCs/>
          <w:color w:val="000000"/>
          <w:kern w:val="0"/>
          <w:sz w:val="24"/>
          <w:highlight w:val="yellow"/>
        </w:rPr>
        <w:t>风险</w:t>
      </w:r>
      <w:r>
        <w:rPr>
          <w:rFonts w:hint="eastAsia" w:ascii="仿宋_GB2312" w:hAnsi="宋体" w:eastAsia="仿宋_GB2312" w:cs="宋体"/>
          <w:b/>
          <w:bCs/>
          <w:color w:val="000000"/>
          <w:kern w:val="0"/>
          <w:sz w:val="24"/>
          <w:highlight w:val="yellow"/>
          <w:lang w:eastAsia="zh-CN"/>
        </w:rPr>
        <w:t>。</w:t>
      </w:r>
    </w:p>
    <w:p w14:paraId="7141AA00">
      <w:pPr>
        <w:ind w:firstLine="482" w:firstLineChars="200"/>
        <w:rPr>
          <w:rFonts w:ascii="仿宋_GB2312" w:eastAsia="仿宋_GB2312"/>
          <w:b/>
          <w:sz w:val="24"/>
          <w:szCs w:val="24"/>
        </w:rPr>
      </w:pPr>
      <w:r>
        <w:rPr>
          <w:rFonts w:hint="eastAsia" w:ascii="仿宋_GB2312" w:hAnsi="宋体" w:eastAsia="仿宋_GB2312" w:cs="宋体"/>
          <w:b/>
          <w:bCs/>
          <w:kern w:val="0"/>
          <w:sz w:val="24"/>
          <w:szCs w:val="24"/>
        </w:rPr>
        <w:t>（二十</w:t>
      </w:r>
      <w:r>
        <w:rPr>
          <w:rFonts w:hint="eastAsia" w:ascii="仿宋_GB2312" w:hAnsi="宋体" w:eastAsia="仿宋_GB2312" w:cs="宋体"/>
          <w:b/>
          <w:bCs/>
          <w:kern w:val="0"/>
          <w:sz w:val="24"/>
          <w:szCs w:val="24"/>
          <w:lang w:eastAsia="zh-CN"/>
        </w:rPr>
        <w:t>一</w:t>
      </w:r>
      <w:r>
        <w:rPr>
          <w:rFonts w:hint="eastAsia" w:ascii="仿宋_GB2312" w:hAnsi="宋体" w:eastAsia="仿宋_GB2312" w:cs="宋体"/>
          <w:b/>
          <w:bCs/>
          <w:kern w:val="0"/>
          <w:sz w:val="24"/>
          <w:szCs w:val="24"/>
        </w:rPr>
        <w:t>）其他风险</w:t>
      </w:r>
    </w:p>
    <w:p w14:paraId="38A00B30">
      <w:pPr>
        <w:ind w:firstLine="480" w:firstLineChars="200"/>
        <w:rPr>
          <w:rFonts w:ascii="仿宋_GB2312" w:eastAsia="仿宋_GB2312"/>
          <w:sz w:val="24"/>
          <w:szCs w:val="24"/>
        </w:rPr>
      </w:pPr>
      <w:r>
        <w:rPr>
          <w:rFonts w:hint="eastAsia" w:ascii="仿宋_GB2312" w:hAnsi="宋体" w:eastAsia="仿宋_GB2312" w:cs="宋体"/>
          <w:bCs/>
          <w:kern w:val="0"/>
          <w:sz w:val="24"/>
          <w:szCs w:val="24"/>
        </w:rPr>
        <w:t>自然灾害</w:t>
      </w:r>
      <w:r>
        <w:rPr>
          <w:rFonts w:hint="eastAsia" w:ascii="仿宋_GB2312" w:hAnsi="宋体" w:eastAsia="仿宋_GB2312" w:cs="宋体"/>
          <w:bCs/>
          <w:color w:val="000000" w:themeColor="text1"/>
          <w:kern w:val="0"/>
          <w:sz w:val="24"/>
          <w:szCs w:val="24"/>
          <w14:textFill>
            <w14:solidFill>
              <w14:schemeClr w14:val="tx1"/>
            </w14:solidFill>
          </w14:textFill>
        </w:rPr>
        <w:t>、疫情、战争、</w:t>
      </w:r>
      <w:r>
        <w:rPr>
          <w:rFonts w:hint="eastAsia" w:ascii="仿宋_GB2312" w:hAnsi="宋体" w:eastAsia="仿宋_GB2312" w:cs="宋体"/>
          <w:bCs/>
          <w:kern w:val="0"/>
          <w:sz w:val="24"/>
          <w:szCs w:val="24"/>
        </w:rPr>
        <w:t>金融危机等不能预见、不能避免、不能克服的不可抗力因素的出现，或系统故障、通讯故障、投资市场停止交易等意外事件的发生，可能对本理财产品的受理、成立、投资运作、资金返还、信息披露等造成影响，甚至可能导致本理财产品本金和收益的降低或损失，以及本金和收益延迟支付。对于由不可抗力及意外事件风险导致的任何损失和延迟支付，须投资者承担。</w:t>
      </w:r>
    </w:p>
    <w:p w14:paraId="422C7C76">
      <w:pPr>
        <w:ind w:firstLine="482" w:firstLineChars="200"/>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以上所揭示事项仅为列举性质，未能尽述列明投资者投资本理财产品所面临的全部风险和可能导致投资者资产损失的所有因素。投资者应充分认识投资风险，谨慎投资。</w:t>
      </w:r>
    </w:p>
    <w:p w14:paraId="38DA6FB7">
      <w:pPr>
        <w:spacing w:before="240" w:after="240"/>
        <w:ind w:firstLine="480" w:firstLineChars="200"/>
        <w:rPr>
          <w:rFonts w:ascii="黑体" w:hAnsi="黑体" w:eastAsia="黑体" w:cs="宋体"/>
          <w:bCs/>
          <w:kern w:val="0"/>
          <w:sz w:val="24"/>
          <w:szCs w:val="24"/>
        </w:rPr>
      </w:pPr>
      <w:r>
        <w:rPr>
          <w:rFonts w:hint="eastAsia" w:ascii="黑体" w:hAnsi="黑体" w:eastAsia="黑体" w:cs="宋体"/>
          <w:bCs/>
          <w:kern w:val="0"/>
          <w:sz w:val="24"/>
          <w:szCs w:val="24"/>
        </w:rPr>
        <w:t>二、投资者提示</w:t>
      </w:r>
    </w:p>
    <w:p w14:paraId="079259A8">
      <w:pPr>
        <w:ind w:firstLine="482" w:firstLineChars="200"/>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（一）理财非存款、产品有风险、投资须谨慎。</w:t>
      </w:r>
    </w:p>
    <w:p w14:paraId="47933A59">
      <w:pPr>
        <w:ind w:firstLine="482" w:firstLineChars="200"/>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（二）本理财产品不受存款保险及其他保障机制的保障。</w:t>
      </w:r>
    </w:p>
    <w:p w14:paraId="354AD8CC">
      <w:pPr>
        <w:ind w:firstLine="482" w:firstLineChars="200"/>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（三）本理财产品不保证本金及收益，您的本金可能因为市场变动而蒙受相应损失。投资者应充分认识投资风险。</w:t>
      </w:r>
    </w:p>
    <w:p w14:paraId="55288555">
      <w:pPr>
        <w:ind w:firstLine="482" w:firstLineChars="200"/>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（四）本理财产品业绩比较基准（如有）、过往历史业绩均不代表其业绩承诺或未来表现，不等于投资本理财产品未来实际收益，投资须谨慎。</w:t>
      </w:r>
    </w:p>
    <w:p w14:paraId="35E74C97">
      <w:pPr>
        <w:ind w:firstLine="482" w:firstLineChars="200"/>
        <w:rPr>
          <w:rFonts w:ascii="仿宋_GB2312" w:hAnsi="宋体" w:eastAsia="仿宋_GB2312" w:cs="宋体"/>
          <w:b/>
          <w:bCs/>
          <w:color w:val="000000" w:themeColor="text1"/>
          <w:kern w:val="0"/>
          <w:sz w:val="24"/>
          <w:szCs w:val="24"/>
          <w14:textFill>
            <w14:solidFill>
              <w14:schemeClr w14:val="tx1"/>
            </w14:solidFill>
          </w14:textFill>
        </w:rPr>
      </w:pPr>
      <w:r>
        <w:rPr>
          <w:rFonts w:hint="eastAsia" w:ascii="仿宋_GB2312" w:hAnsi="宋体" w:eastAsia="仿宋_GB2312" w:cs="宋体"/>
          <w:b/>
          <w:bCs/>
          <w:color w:val="000000" w:themeColor="text1"/>
          <w:kern w:val="0"/>
          <w:sz w:val="24"/>
          <w:szCs w:val="24"/>
          <w14:textFill>
            <w14:solidFill>
              <w14:schemeClr w14:val="tx1"/>
            </w14:solidFill>
          </w14:textFill>
        </w:rPr>
        <w:t>（五）本理财产品信息</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3"/>
        <w:gridCol w:w="6789"/>
      </w:tblGrid>
      <w:tr w14:paraId="008CD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9" w:type="dxa"/>
            <w:vAlign w:val="center"/>
          </w:tcPr>
          <w:p w14:paraId="2F77E5A3">
            <w:pPr>
              <w:jc w:val="center"/>
              <w:rPr>
                <w:rFonts w:ascii="仿宋_GB2312" w:hAnsi="宋体" w:eastAsia="仿宋_GB2312" w:cs="宋体"/>
                <w:b/>
                <w:bCs/>
                <w:color w:val="000000" w:themeColor="text1"/>
                <w:kern w:val="0"/>
                <w:sz w:val="24"/>
                <w:szCs w:val="24"/>
                <w14:textFill>
                  <w14:solidFill>
                    <w14:schemeClr w14:val="tx1"/>
                  </w14:solidFill>
                </w14:textFill>
              </w:rPr>
            </w:pPr>
            <w:r>
              <w:rPr>
                <w:rFonts w:hint="eastAsia" w:ascii="仿宋_GB2312" w:hAnsi="宋体" w:eastAsia="仿宋_GB2312" w:cs="宋体"/>
                <w:b/>
                <w:bCs/>
                <w:color w:val="000000" w:themeColor="text1"/>
                <w:kern w:val="0"/>
                <w:sz w:val="24"/>
                <w:szCs w:val="24"/>
                <w14:textFill>
                  <w14:solidFill>
                    <w14:schemeClr w14:val="tx1"/>
                  </w14:solidFill>
                </w14:textFill>
              </w:rPr>
              <w:t>产品类型</w:t>
            </w:r>
          </w:p>
        </w:tc>
        <w:tc>
          <w:tcPr>
            <w:tcW w:w="7654" w:type="dxa"/>
          </w:tcPr>
          <w:p w14:paraId="7F4F343E">
            <w:pPr>
              <w:rPr>
                <w:rFonts w:hint="eastAsia" w:ascii="仿宋_GB2312" w:hAnsi="宋体" w:eastAsia="仿宋_GB2312" w:cs="宋体"/>
                <w:b/>
                <w:bCs/>
                <w:color w:val="000000" w:themeColor="text1"/>
                <w:kern w:val="0"/>
                <w:sz w:val="24"/>
                <w:szCs w:val="24"/>
                <w:highlight w:val="none"/>
                <w:lang w:eastAsia="zh-CN"/>
                <w14:textFill>
                  <w14:solidFill>
                    <w14:schemeClr w14:val="tx1"/>
                  </w14:solidFill>
                </w14:textFill>
              </w:rPr>
            </w:pPr>
            <w:r>
              <w:rPr>
                <w:rFonts w:hint="eastAsia" w:ascii="仿宋_GB2312" w:hAnsi="宋体" w:eastAsia="仿宋_GB2312" w:cs="宋体"/>
                <w:b/>
                <w:bCs/>
                <w:color w:val="000000" w:themeColor="text1"/>
                <w:kern w:val="0"/>
                <w:sz w:val="24"/>
                <w:szCs w:val="24"/>
                <w:highlight w:val="yellow"/>
                <w14:textFill>
                  <w14:solidFill>
                    <w14:schemeClr w14:val="tx1"/>
                  </w14:solidFill>
                </w14:textFill>
              </w:rPr>
              <w:t>非保本浮动收益、净值型、</w:t>
            </w:r>
            <w:r>
              <w:rPr>
                <w:rFonts w:hint="eastAsia" w:ascii="仿宋_GB2312" w:hAnsi="宋体" w:eastAsia="仿宋_GB2312" w:cs="宋体"/>
                <w:b/>
                <w:bCs/>
                <w:color w:val="000000"/>
                <w:kern w:val="0"/>
                <w:sz w:val="24"/>
                <w:highlight w:val="yellow"/>
              </w:rPr>
              <w:t>【公募/私募】、【开放式/封闭式】、【固定收益类/混合类/权益类/商品及衍生品类】</w:t>
            </w:r>
          </w:p>
        </w:tc>
      </w:tr>
      <w:tr w14:paraId="72EE3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9" w:type="dxa"/>
            <w:vAlign w:val="center"/>
          </w:tcPr>
          <w:p w14:paraId="334FF529">
            <w:pPr>
              <w:jc w:val="center"/>
              <w:rPr>
                <w:rFonts w:ascii="仿宋_GB2312" w:hAnsi="宋体" w:eastAsia="仿宋_GB2312" w:cs="宋体"/>
                <w:b/>
                <w:bCs/>
                <w:color w:val="000000" w:themeColor="text1"/>
                <w:kern w:val="0"/>
                <w:sz w:val="24"/>
                <w:szCs w:val="24"/>
                <w14:textFill>
                  <w14:solidFill>
                    <w14:schemeClr w14:val="tx1"/>
                  </w14:solidFill>
                </w14:textFill>
              </w:rPr>
            </w:pPr>
            <w:r>
              <w:rPr>
                <w:rFonts w:hint="eastAsia" w:ascii="仿宋_GB2312" w:hAnsi="宋体" w:eastAsia="仿宋_GB2312" w:cs="宋体"/>
                <w:b/>
                <w:bCs/>
                <w:color w:val="000000" w:themeColor="text1"/>
                <w:kern w:val="0"/>
                <w:sz w:val="24"/>
                <w:szCs w:val="24"/>
                <w14:textFill>
                  <w14:solidFill>
                    <w14:schemeClr w14:val="tx1"/>
                  </w14:solidFill>
                </w14:textFill>
              </w:rPr>
              <w:t>产品期限</w:t>
            </w:r>
          </w:p>
        </w:tc>
        <w:tc>
          <w:tcPr>
            <w:tcW w:w="7654" w:type="dxa"/>
          </w:tcPr>
          <w:p w14:paraId="73E56117">
            <w:pPr>
              <w:rPr>
                <w:rFonts w:ascii="仿宋_GB2312" w:hAnsi="宋体" w:eastAsia="仿宋_GB2312" w:cs="宋体"/>
                <w:b/>
                <w:bCs/>
                <w:color w:val="000000" w:themeColor="text1"/>
                <w:kern w:val="0"/>
                <w:sz w:val="24"/>
                <w:szCs w:val="24"/>
                <w:highlight w:val="none"/>
                <w14:textFill>
                  <w14:solidFill>
                    <w14:schemeClr w14:val="tx1"/>
                  </w14:solidFill>
                </w14:textFill>
              </w:rPr>
            </w:pPr>
            <w:r>
              <w:rPr>
                <w:rFonts w:hint="eastAsia" w:ascii="仿宋_GB2312" w:hAnsi="宋体" w:eastAsia="仿宋_GB2312" w:cs="宋体"/>
                <w:b/>
                <w:bCs/>
                <w:color w:val="000000"/>
                <w:kern w:val="0"/>
                <w:sz w:val="24"/>
                <w:szCs w:val="24"/>
                <w:highlight w:val="yellow"/>
                <w:lang w:eastAsia="zh-CN"/>
              </w:rPr>
              <w:t>【无</w:t>
            </w:r>
            <w:r>
              <w:rPr>
                <w:rFonts w:hint="eastAsia" w:ascii="仿宋_GB2312" w:hAnsi="宋体" w:eastAsia="仿宋_GB2312" w:cs="宋体"/>
                <w:b/>
                <w:bCs/>
                <w:color w:val="000000"/>
                <w:kern w:val="0"/>
                <w:sz w:val="24"/>
                <w:szCs w:val="24"/>
                <w:highlight w:val="yellow"/>
              </w:rPr>
              <w:t>固定期限</w:t>
            </w:r>
            <w:r>
              <w:rPr>
                <w:rFonts w:hint="eastAsia" w:ascii="仿宋_GB2312" w:hAnsi="宋体" w:eastAsia="仿宋_GB2312" w:cs="宋体"/>
                <w:b/>
                <w:bCs/>
                <w:color w:val="000000"/>
                <w:kern w:val="0"/>
                <w:sz w:val="24"/>
                <w:szCs w:val="24"/>
                <w:highlight w:val="yellow"/>
                <w:lang w:eastAsia="zh-CN"/>
              </w:rPr>
              <w:t>】</w:t>
            </w:r>
            <w:r>
              <w:rPr>
                <w:rFonts w:hint="eastAsia" w:ascii="仿宋_GB2312" w:hAnsi="宋体" w:eastAsia="仿宋_GB2312" w:cs="宋体"/>
                <w:b/>
                <w:bCs/>
                <w:color w:val="000000" w:themeColor="text1"/>
                <w:kern w:val="0"/>
                <w:sz w:val="24"/>
                <w:szCs w:val="24"/>
                <w:highlight w:val="none"/>
                <w14:textFill>
                  <w14:solidFill>
                    <w14:schemeClr w14:val="tx1"/>
                  </w14:solidFill>
                </w14:textFill>
              </w:rPr>
              <w:t>（若本理财产品提前终止或延期终止，以实际到期日计算持有天数）；</w:t>
            </w:r>
            <w:r>
              <w:rPr>
                <w:rFonts w:hint="eastAsia" w:ascii="仿宋_GB2312" w:hAnsi="宋体" w:eastAsia="仿宋_GB2312" w:cs="宋体"/>
                <w:bCs/>
                <w:color w:val="000000" w:themeColor="text1"/>
                <w:kern w:val="0"/>
                <w:sz w:val="24"/>
                <w:szCs w:val="24"/>
                <w:highlight w:val="none"/>
                <w14:textFill>
                  <w14:solidFill>
                    <w14:schemeClr w14:val="tx1"/>
                  </w14:solidFill>
                </w14:textFill>
              </w:rPr>
              <w:t>本理财产品其他信息详见《产品说明书》。</w:t>
            </w:r>
          </w:p>
        </w:tc>
      </w:tr>
      <w:tr w14:paraId="7E78C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9" w:type="dxa"/>
            <w:vAlign w:val="center"/>
          </w:tcPr>
          <w:p w14:paraId="688BFA6B">
            <w:pPr>
              <w:jc w:val="center"/>
              <w:rPr>
                <w:rFonts w:ascii="仿宋_GB2312" w:hAnsi="宋体" w:eastAsia="仿宋_GB2312" w:cs="宋体"/>
                <w:b/>
                <w:bCs/>
                <w:color w:val="000000" w:themeColor="text1"/>
                <w:kern w:val="0"/>
                <w:sz w:val="24"/>
                <w:szCs w:val="24"/>
                <w14:textFill>
                  <w14:solidFill>
                    <w14:schemeClr w14:val="tx1"/>
                  </w14:solidFill>
                </w14:textFill>
              </w:rPr>
            </w:pPr>
            <w:r>
              <w:rPr>
                <w:rFonts w:hint="eastAsia" w:ascii="仿宋_GB2312" w:hAnsi="宋体" w:eastAsia="仿宋_GB2312" w:cs="宋体"/>
                <w:b/>
                <w:bCs/>
                <w:color w:val="000000" w:themeColor="text1"/>
                <w:kern w:val="0"/>
                <w:sz w:val="24"/>
                <w:szCs w:val="24"/>
                <w14:textFill>
                  <w14:solidFill>
                    <w14:schemeClr w14:val="tx1"/>
                  </w14:solidFill>
                </w14:textFill>
              </w:rPr>
              <w:t>风险等级</w:t>
            </w:r>
          </w:p>
        </w:tc>
        <w:tc>
          <w:tcPr>
            <w:tcW w:w="7654" w:type="dxa"/>
          </w:tcPr>
          <w:p w14:paraId="272C31D4">
            <w:pPr>
              <w:rPr>
                <w:rFonts w:ascii="仿宋_GB2312" w:hAnsi="宋体" w:eastAsia="仿宋_GB2312" w:cs="宋体"/>
                <w:b/>
                <w:bCs/>
                <w:color w:val="000000" w:themeColor="text1"/>
                <w:kern w:val="0"/>
                <w:sz w:val="24"/>
                <w:szCs w:val="24"/>
                <w:highlight w:val="none"/>
                <w14:textFill>
                  <w14:solidFill>
                    <w14:schemeClr w14:val="tx1"/>
                  </w14:solidFill>
                </w14:textFill>
              </w:rPr>
            </w:pPr>
            <w:r>
              <w:rPr>
                <w:rFonts w:hint="eastAsia" w:ascii="仿宋_GB2312" w:hAnsi="宋体" w:eastAsia="仿宋_GB2312" w:cs="宋体"/>
                <w:bCs/>
                <w:color w:val="000000" w:themeColor="text1"/>
                <w:kern w:val="0"/>
                <w:sz w:val="24"/>
                <w:szCs w:val="24"/>
                <w:highlight w:val="none"/>
                <w14:textFill>
                  <w14:solidFill>
                    <w14:schemeClr w14:val="tx1"/>
                  </w14:solidFill>
                </w14:textFill>
              </w:rPr>
              <w:t>浙银理财内部风险等级为</w:t>
            </w:r>
            <w:r>
              <w:rPr>
                <w:rFonts w:hint="eastAsia" w:ascii="仿宋_GB2312" w:hAnsi="宋体" w:eastAsia="仿宋_GB2312" w:cs="宋体"/>
                <w:bCs/>
                <w:color w:val="000000" w:themeColor="text1"/>
                <w:kern w:val="0"/>
                <w:sz w:val="24"/>
                <w:szCs w:val="24"/>
                <w:highlight w:val="yellow"/>
                <w14:textFill>
                  <w14:solidFill>
                    <w14:schemeClr w14:val="tx1"/>
                  </w14:solidFill>
                </w14:textFill>
              </w:rPr>
              <w:t>【</w:t>
            </w:r>
            <w:r>
              <w:rPr>
                <w:rFonts w:hint="eastAsia" w:ascii="仿宋_GB2312" w:hAnsi="宋体" w:eastAsia="仿宋_GB2312" w:cs="宋体"/>
                <w:bCs/>
                <w:color w:val="000000"/>
                <w:kern w:val="0"/>
                <w:sz w:val="24"/>
                <w:szCs w:val="24"/>
                <w:highlight w:val="yellow"/>
                <w:lang w:eastAsia="zh-CN"/>
              </w:rPr>
              <w:t>低</w:t>
            </w:r>
            <w:r>
              <w:rPr>
                <w:rFonts w:ascii="仿宋_GB2312" w:hAnsi="宋体" w:eastAsia="仿宋_GB2312" w:cs="宋体"/>
                <w:bCs/>
                <w:color w:val="000000"/>
                <w:kern w:val="0"/>
                <w:sz w:val="24"/>
                <w:szCs w:val="24"/>
                <w:highlight w:val="yellow"/>
              </w:rPr>
              <w:t>】</w:t>
            </w:r>
            <w:r>
              <w:rPr>
                <w:rFonts w:hint="eastAsia" w:ascii="仿宋_GB2312" w:hAnsi="宋体" w:eastAsia="仿宋_GB2312" w:cs="宋体"/>
                <w:b/>
                <w:bCs/>
                <w:color w:val="000000"/>
                <w:kern w:val="0"/>
                <w:sz w:val="24"/>
                <w:szCs w:val="24"/>
                <w:highlight w:val="yellow"/>
              </w:rPr>
              <w:t>风险【</w:t>
            </w:r>
            <w:r>
              <w:rPr>
                <w:rFonts w:hint="eastAsia" w:ascii="仿宋_GB2312" w:hAnsi="宋体" w:eastAsia="仿宋_GB2312" w:cs="宋体"/>
                <w:b/>
                <w:bCs/>
                <w:color w:val="000000"/>
                <w:kern w:val="0"/>
                <w:sz w:val="24"/>
                <w:szCs w:val="24"/>
                <w:highlight w:val="yellow"/>
                <w:lang w:val="en-US" w:eastAsia="zh-CN"/>
              </w:rPr>
              <w:t>R1</w:t>
            </w:r>
            <w:r>
              <w:rPr>
                <w:rFonts w:hint="eastAsia" w:ascii="仿宋_GB2312" w:hAnsi="宋体" w:eastAsia="仿宋_GB2312" w:cs="宋体"/>
                <w:b/>
                <w:bCs/>
                <w:color w:val="000000" w:themeColor="text1"/>
                <w:kern w:val="0"/>
                <w:sz w:val="24"/>
                <w:szCs w:val="24"/>
                <w:highlight w:val="yellow"/>
                <w14:textFill>
                  <w14:solidFill>
                    <w14:schemeClr w14:val="tx1"/>
                  </w14:solidFill>
                </w14:textFill>
              </w:rPr>
              <w:t>】</w:t>
            </w:r>
          </w:p>
          <w:p w14:paraId="634A9697">
            <w:pPr>
              <w:rPr>
                <w:rFonts w:ascii="仿宋_GB2312" w:hAnsi="宋体" w:eastAsia="仿宋_GB2312" w:cs="宋体"/>
                <w:b/>
                <w:bCs/>
                <w:color w:val="000000" w:themeColor="text1"/>
                <w:kern w:val="0"/>
                <w:sz w:val="24"/>
                <w:szCs w:val="24"/>
                <w:highlight w:val="none"/>
                <w14:textFill>
                  <w14:solidFill>
                    <w14:schemeClr w14:val="tx1"/>
                  </w14:solidFill>
                </w14:textFill>
              </w:rPr>
            </w:pPr>
            <w:r>
              <w:rPr>
                <w:rFonts w:hint="eastAsia" w:ascii="仿宋_GB2312" w:hAnsi="宋体" w:eastAsia="仿宋_GB2312" w:cs="宋体"/>
                <w:bCs/>
                <w:color w:val="000000" w:themeColor="text1"/>
                <w:kern w:val="0"/>
                <w:sz w:val="24"/>
                <w:szCs w:val="24"/>
                <w:highlight w:val="none"/>
                <w14:textFill>
                  <w14:solidFill>
                    <w14:schemeClr w14:val="tx1"/>
                  </w14:solidFill>
                </w14:textFill>
              </w:rPr>
              <w:t>（</w:t>
            </w:r>
            <w:r>
              <w:rPr>
                <w:rFonts w:hint="eastAsia" w:ascii="仿宋_GB2312" w:hAnsi="宋体" w:eastAsia="仿宋_GB2312" w:cs="宋体"/>
                <w:b/>
                <w:color w:val="000000" w:themeColor="text1"/>
                <w:kern w:val="0"/>
                <w:sz w:val="24"/>
                <w:szCs w:val="24"/>
                <w:highlight w:val="none"/>
                <w14:textFill>
                  <w14:solidFill>
                    <w14:schemeClr w14:val="tx1"/>
                  </w14:solidFill>
                </w14:textFill>
              </w:rPr>
              <w:t>本风险等级为管理人内部风险评级结果，仅供参考</w:t>
            </w:r>
            <w:r>
              <w:rPr>
                <w:rFonts w:ascii="仿宋_GB2312" w:hAnsi="宋体" w:eastAsia="仿宋_GB2312" w:cs="宋体"/>
                <w:b/>
                <w:color w:val="000000" w:themeColor="text1"/>
                <w:kern w:val="0"/>
                <w:sz w:val="24"/>
                <w:szCs w:val="24"/>
                <w:highlight w:val="none"/>
                <w14:textFill>
                  <w14:solidFill>
                    <w14:schemeClr w14:val="tx1"/>
                  </w14:solidFill>
                </w14:textFill>
              </w:rPr>
              <w:t>,</w:t>
            </w:r>
            <w:r>
              <w:rPr>
                <w:rFonts w:ascii="宋体" w:hAnsi="宋体"/>
                <w:b/>
                <w:sz w:val="24"/>
                <w:szCs w:val="24"/>
                <w:highlight w:val="none"/>
              </w:rPr>
              <w:t xml:space="preserve"> </w:t>
            </w:r>
            <w:r>
              <w:rPr>
                <w:rFonts w:hint="eastAsia" w:ascii="仿宋_GB2312" w:hAnsi="宋体" w:eastAsia="仿宋_GB2312" w:cs="宋体"/>
                <w:b/>
                <w:color w:val="000000" w:themeColor="text1"/>
                <w:kern w:val="0"/>
                <w:sz w:val="24"/>
                <w:szCs w:val="24"/>
                <w:highlight w:val="none"/>
                <w14:textFill>
                  <w14:solidFill>
                    <w14:schemeClr w14:val="tx1"/>
                  </w14:solidFill>
                </w14:textFill>
              </w:rPr>
              <w:t>本产品通过代理销售机构渠道销售的，理财产品评级应当以代理销售机构最终披露的评级结果为准。代理销售机构如与管理人理财产品风险评级结果不一致，应当采用对应较高风险等级的评级结果。</w:t>
            </w:r>
            <w:r>
              <w:rPr>
                <w:rFonts w:hint="eastAsia" w:ascii="仿宋_GB2312" w:hAnsi="宋体" w:eastAsia="仿宋_GB2312" w:cs="宋体"/>
                <w:bCs/>
                <w:color w:val="000000" w:themeColor="text1"/>
                <w:kern w:val="0"/>
                <w:sz w:val="24"/>
                <w:szCs w:val="24"/>
                <w:highlight w:val="none"/>
                <w14:textFill>
                  <w14:solidFill>
                    <w14:schemeClr w14:val="tx1"/>
                  </w14:solidFill>
                </w14:textFill>
              </w:rPr>
              <w:t>）产品管理人在符合监管政策的前提下可对产品风险评级进行动态管理，如产品风险等级发生调整，将提前通过本《产品说明书》“信息披露”约定的方式通知投资者。</w:t>
            </w:r>
          </w:p>
        </w:tc>
      </w:tr>
      <w:tr w14:paraId="5F65F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9" w:type="dxa"/>
            <w:vAlign w:val="center"/>
          </w:tcPr>
          <w:p w14:paraId="53D17074">
            <w:pPr>
              <w:jc w:val="center"/>
              <w:rPr>
                <w:rFonts w:ascii="仿宋_GB2312" w:hAnsi="宋体" w:eastAsia="仿宋_GB2312" w:cs="宋体"/>
                <w:b/>
                <w:bCs/>
                <w:color w:val="000000" w:themeColor="text1"/>
                <w:kern w:val="0"/>
                <w:sz w:val="24"/>
                <w:szCs w:val="24"/>
                <w14:textFill>
                  <w14:solidFill>
                    <w14:schemeClr w14:val="tx1"/>
                  </w14:solidFill>
                </w14:textFill>
              </w:rPr>
            </w:pPr>
            <w:r>
              <w:rPr>
                <w:rFonts w:hint="eastAsia" w:ascii="仿宋_GB2312" w:hAnsi="宋体" w:eastAsia="仿宋_GB2312" w:cs="宋体"/>
                <w:b/>
                <w:bCs/>
                <w:color w:val="000000" w:themeColor="text1"/>
                <w:kern w:val="0"/>
                <w:sz w:val="24"/>
                <w:szCs w:val="24"/>
                <w14:textFill>
                  <w14:solidFill>
                    <w14:schemeClr w14:val="tx1"/>
                  </w14:solidFill>
                </w14:textFill>
              </w:rPr>
              <w:t>适合购买的</w:t>
            </w:r>
          </w:p>
          <w:p w14:paraId="23CD15FA">
            <w:pPr>
              <w:jc w:val="center"/>
              <w:rPr>
                <w:rFonts w:ascii="仿宋_GB2312" w:hAnsi="宋体" w:eastAsia="仿宋_GB2312" w:cs="宋体"/>
                <w:b/>
                <w:bCs/>
                <w:color w:val="000000" w:themeColor="text1"/>
                <w:kern w:val="0"/>
                <w:sz w:val="24"/>
                <w:szCs w:val="24"/>
                <w14:textFill>
                  <w14:solidFill>
                    <w14:schemeClr w14:val="tx1"/>
                  </w14:solidFill>
                </w14:textFill>
              </w:rPr>
            </w:pPr>
            <w:r>
              <w:rPr>
                <w:rFonts w:hint="eastAsia" w:ascii="仿宋_GB2312" w:hAnsi="宋体" w:eastAsia="仿宋_GB2312" w:cs="宋体"/>
                <w:b/>
                <w:bCs/>
                <w:color w:val="000000" w:themeColor="text1"/>
                <w:kern w:val="0"/>
                <w:sz w:val="24"/>
                <w:szCs w:val="24"/>
                <w14:textFill>
                  <w14:solidFill>
                    <w14:schemeClr w14:val="tx1"/>
                  </w14:solidFill>
                </w14:textFill>
              </w:rPr>
              <w:t>投资者</w:t>
            </w:r>
          </w:p>
        </w:tc>
        <w:tc>
          <w:tcPr>
            <w:tcW w:w="7654" w:type="dxa"/>
          </w:tcPr>
          <w:p w14:paraId="3F73C604">
            <w:pPr>
              <w:snapToGrid w:val="0"/>
              <w:rPr>
                <w:rFonts w:ascii="仿宋_GB2312" w:hAnsi="宋体" w:eastAsia="仿宋_GB2312" w:cs="宋体"/>
                <w:bCs/>
                <w:color w:val="000000" w:themeColor="text1"/>
                <w:kern w:val="0"/>
                <w:sz w:val="24"/>
                <w:szCs w:val="24"/>
                <w14:textFill>
                  <w14:solidFill>
                    <w14:schemeClr w14:val="tx1"/>
                  </w14:solidFill>
                </w14:textFill>
              </w:rPr>
            </w:pPr>
            <w:r>
              <w:rPr>
                <w:rFonts w:hint="eastAsia" w:ascii="仿宋_GB2312" w:hAnsi="宋体" w:eastAsia="仿宋_GB2312" w:cs="宋体"/>
                <w:bCs/>
                <w:color w:val="000000" w:themeColor="text1"/>
                <w:kern w:val="0"/>
                <w:sz w:val="24"/>
                <w:szCs w:val="24"/>
                <w14:textFill>
                  <w14:solidFill>
                    <w14:schemeClr w14:val="tx1"/>
                  </w14:solidFill>
                </w14:textFill>
              </w:rPr>
              <w:t>公募</w:t>
            </w:r>
            <w:r>
              <w:rPr>
                <w:rFonts w:ascii="仿宋_GB2312" w:hAnsi="宋体" w:eastAsia="仿宋_GB2312" w:cs="宋体"/>
                <w:bCs/>
                <w:color w:val="000000" w:themeColor="text1"/>
                <w:kern w:val="0"/>
                <w:sz w:val="24"/>
                <w:szCs w:val="24"/>
                <w14:textFill>
                  <w14:solidFill>
                    <w14:schemeClr w14:val="tx1"/>
                  </w14:solidFill>
                </w14:textFill>
              </w:rPr>
              <w:t>：</w:t>
            </w:r>
            <w:r>
              <w:rPr>
                <w:rFonts w:hint="eastAsia" w:ascii="仿宋_GB2312" w:hAnsi="宋体" w:eastAsia="仿宋_GB2312" w:cs="宋体"/>
                <w:bCs/>
                <w:color w:val="000000" w:themeColor="text1"/>
                <w:kern w:val="0"/>
                <w:sz w:val="24"/>
                <w:szCs w:val="24"/>
                <w14:textFill>
                  <w14:solidFill>
                    <w14:schemeClr w14:val="tx1"/>
                  </w14:solidFill>
                </w14:textFill>
              </w:rPr>
              <w:t>不特定社会公众（个人、机构投资者）；其中，普通投资者应符合相关法律法规、监管规定，经销售机构评估评定投资者风险承受能力与本产品风险等级相适应。</w:t>
            </w:r>
          </w:p>
          <w:p w14:paraId="03C807D7">
            <w:pPr>
              <w:rPr>
                <w:rFonts w:ascii="仿宋_GB2312" w:hAnsi="宋体" w:eastAsia="仿宋_GB2312" w:cs="宋体"/>
                <w:b/>
                <w:bCs/>
                <w:color w:val="000000" w:themeColor="text1"/>
                <w:kern w:val="0"/>
                <w:sz w:val="24"/>
                <w:szCs w:val="24"/>
                <w14:textFill>
                  <w14:solidFill>
                    <w14:schemeClr w14:val="tx1"/>
                  </w14:solidFill>
                </w14:textFill>
              </w:rPr>
            </w:pPr>
            <w:r>
              <w:rPr>
                <w:rFonts w:hint="eastAsia" w:ascii="仿宋_GB2312" w:hAnsi="宋体" w:eastAsia="仿宋_GB2312" w:cs="宋体"/>
                <w:bCs/>
                <w:color w:val="000000" w:themeColor="text1"/>
                <w:kern w:val="0"/>
                <w:sz w:val="24"/>
                <w:szCs w:val="24"/>
                <w14:textFill>
                  <w14:solidFill>
                    <w14:schemeClr w14:val="tx1"/>
                  </w14:solidFill>
                </w14:textFill>
              </w:rPr>
              <w:t>本产品通过销售机构销售的，产品风险等级应当以销售机构最终披露的评级结果为准。</w:t>
            </w:r>
          </w:p>
        </w:tc>
      </w:tr>
      <w:tr w14:paraId="2F62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9" w:type="dxa"/>
            <w:vAlign w:val="center"/>
          </w:tcPr>
          <w:p w14:paraId="17C4CCB9">
            <w:pPr>
              <w:jc w:val="center"/>
              <w:rPr>
                <w:rFonts w:ascii="仿宋_GB2312" w:hAnsi="宋体" w:eastAsia="仿宋_GB2312" w:cs="宋体"/>
                <w:b/>
                <w:bCs/>
                <w:color w:val="000000" w:themeColor="text1"/>
                <w:kern w:val="0"/>
                <w:sz w:val="24"/>
                <w:szCs w:val="24"/>
                <w14:textFill>
                  <w14:solidFill>
                    <w14:schemeClr w14:val="tx1"/>
                  </w14:solidFill>
                </w14:textFill>
              </w:rPr>
            </w:pPr>
            <w:r>
              <w:rPr>
                <w:rFonts w:hint="eastAsia" w:ascii="仿宋_GB2312" w:hAnsi="宋体" w:eastAsia="仿宋_GB2312" w:cs="宋体"/>
                <w:b/>
                <w:bCs/>
                <w:color w:val="000000" w:themeColor="text1"/>
                <w:kern w:val="0"/>
                <w:sz w:val="24"/>
                <w:szCs w:val="24"/>
                <w14:textFill>
                  <w14:solidFill>
                    <w14:schemeClr w14:val="tx1"/>
                  </w14:solidFill>
                </w14:textFill>
              </w:rPr>
              <w:t>最不利情形下的投资结果示例</w:t>
            </w:r>
          </w:p>
        </w:tc>
        <w:tc>
          <w:tcPr>
            <w:tcW w:w="7654" w:type="dxa"/>
          </w:tcPr>
          <w:p w14:paraId="28F76974">
            <w:pPr>
              <w:rPr>
                <w:rFonts w:ascii="仿宋_GB2312" w:hAnsi="宋体" w:eastAsia="仿宋_GB2312" w:cs="宋体"/>
                <w:b/>
                <w:bCs/>
                <w:color w:val="000000" w:themeColor="text1"/>
                <w:kern w:val="0"/>
                <w:sz w:val="24"/>
                <w:szCs w:val="24"/>
                <w14:textFill>
                  <w14:solidFill>
                    <w14:schemeClr w14:val="tx1"/>
                  </w14:solidFill>
                </w14:textFill>
              </w:rPr>
            </w:pPr>
            <w:r>
              <w:rPr>
                <w:rFonts w:hint="eastAsia" w:ascii="仿宋_GB2312" w:hAnsi="宋体" w:eastAsia="仿宋_GB2312" w:cs="宋体"/>
                <w:b/>
                <w:bCs/>
                <w:color w:val="000000" w:themeColor="text1"/>
                <w:kern w:val="0"/>
                <w:sz w:val="24"/>
                <w:szCs w:val="24"/>
                <w14:textFill>
                  <w14:solidFill>
                    <w14:schemeClr w14:val="tx1"/>
                  </w14:solidFill>
                </w14:textFill>
              </w:rPr>
              <w:t>例如，假设投资者投资本理财产品的本金为</w:t>
            </w:r>
            <w:r>
              <w:rPr>
                <w:rFonts w:hint="eastAsia" w:ascii="仿宋_GB2312" w:hAnsi="宋体" w:eastAsia="仿宋_GB2312" w:cs="宋体"/>
                <w:b/>
                <w:bCs/>
                <w:color w:val="000000" w:themeColor="text1"/>
                <w:kern w:val="0"/>
                <w:sz w:val="24"/>
                <w:szCs w:val="24"/>
                <w:highlight w:val="yellow"/>
                <w14:textFill>
                  <w14:solidFill>
                    <w14:schemeClr w14:val="tx1"/>
                  </w14:solidFill>
                </w14:textFill>
              </w:rPr>
              <w:t>【10</w:t>
            </w:r>
            <w:r>
              <w:rPr>
                <w:rFonts w:hint="eastAsia" w:ascii="仿宋_GB2312" w:hAnsi="宋体" w:eastAsia="仿宋_GB2312" w:cs="宋体"/>
                <w:b/>
                <w:bCs/>
                <w:color w:val="000000" w:themeColor="text1"/>
                <w:kern w:val="0"/>
                <w:sz w:val="24"/>
                <w:szCs w:val="24"/>
                <w:highlight w:val="yellow"/>
                <w:lang w:val="en-US" w:eastAsia="zh-CN"/>
                <w14:textFill>
                  <w14:solidFill>
                    <w14:schemeClr w14:val="tx1"/>
                  </w14:solidFill>
                </w14:textFill>
              </w:rPr>
              <w:t>/100</w:t>
            </w:r>
            <w:r>
              <w:rPr>
                <w:rFonts w:hint="eastAsia" w:ascii="仿宋_GB2312" w:hAnsi="宋体" w:eastAsia="仿宋_GB2312" w:cs="宋体"/>
                <w:b/>
                <w:bCs/>
                <w:color w:val="000000" w:themeColor="text1"/>
                <w:kern w:val="0"/>
                <w:sz w:val="24"/>
                <w:szCs w:val="24"/>
                <w:highlight w:val="yellow"/>
                <w14:textFill>
                  <w14:solidFill>
                    <w14:schemeClr w14:val="tx1"/>
                  </w14:solidFill>
                </w14:textFill>
              </w:rPr>
              <w:t>】</w:t>
            </w:r>
            <w:r>
              <w:rPr>
                <w:rFonts w:hint="eastAsia" w:ascii="仿宋_GB2312" w:hAnsi="宋体" w:eastAsia="仿宋_GB2312" w:cs="宋体"/>
                <w:b/>
                <w:bCs/>
                <w:color w:val="000000" w:themeColor="text1"/>
                <w:kern w:val="0"/>
                <w:sz w:val="24"/>
                <w:szCs w:val="24"/>
                <w14:textFill>
                  <w14:solidFill>
                    <w14:schemeClr w14:val="tx1"/>
                  </w14:solidFill>
                </w14:textFill>
              </w:rPr>
              <w:t>万元人民币，如本理财产品投资资产出现市场价格剧烈波动或发行人违约等情形，在最不利的情况下，本理财产品投资组合全部亏损的，本理财产品收益为</w:t>
            </w:r>
            <w:r>
              <w:rPr>
                <w:rFonts w:ascii="仿宋_GB2312" w:hAnsi="宋体" w:eastAsia="仿宋_GB2312" w:cs="宋体"/>
                <w:b/>
                <w:bCs/>
                <w:color w:val="000000" w:themeColor="text1"/>
                <w:kern w:val="0"/>
                <w:sz w:val="24"/>
                <w:szCs w:val="24"/>
                <w14:textFill>
                  <w14:solidFill>
                    <w14:schemeClr w14:val="tx1"/>
                  </w14:solidFill>
                </w14:textFill>
              </w:rPr>
              <w:t>0，本金全部损失。</w:t>
            </w:r>
          </w:p>
        </w:tc>
      </w:tr>
      <w:tr w14:paraId="775F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9" w:type="dxa"/>
            <w:vAlign w:val="center"/>
          </w:tcPr>
          <w:p w14:paraId="2BC618D2">
            <w:pPr>
              <w:jc w:val="center"/>
              <w:rPr>
                <w:rFonts w:hint="eastAsia" w:ascii="仿宋_GB2312" w:hAnsi="宋体" w:eastAsia="仿宋_GB2312" w:cs="宋体"/>
                <w:b/>
                <w:bCs/>
                <w:color w:val="000000" w:themeColor="text1"/>
                <w:kern w:val="0"/>
                <w:sz w:val="24"/>
                <w:szCs w:val="24"/>
                <w:lang w:eastAsia="zh-CN"/>
                <w14:textFill>
                  <w14:solidFill>
                    <w14:schemeClr w14:val="tx1"/>
                  </w14:solidFill>
                </w14:textFill>
              </w:rPr>
            </w:pPr>
            <w:r>
              <w:rPr>
                <w:rFonts w:hint="eastAsia" w:ascii="仿宋_GB2312" w:hAnsi="宋体" w:eastAsia="仿宋_GB2312" w:cs="宋体"/>
                <w:b/>
                <w:bCs/>
                <w:color w:val="auto"/>
                <w:kern w:val="0"/>
                <w:sz w:val="24"/>
                <w:szCs w:val="24"/>
                <w:highlight w:val="none"/>
              </w:rPr>
              <w:t>因市场变动</w:t>
            </w:r>
            <w:r>
              <w:rPr>
                <w:rFonts w:hint="eastAsia" w:ascii="仿宋_GB2312" w:hAnsi="宋体" w:eastAsia="仿宋_GB2312" w:cs="宋体"/>
                <w:b/>
                <w:bCs/>
                <w:color w:val="auto"/>
                <w:kern w:val="0"/>
                <w:sz w:val="24"/>
                <w:szCs w:val="24"/>
                <w:highlight w:val="none"/>
                <w:lang w:eastAsia="zh-CN"/>
              </w:rPr>
              <w:t>等</w:t>
            </w:r>
            <w:r>
              <w:rPr>
                <w:rFonts w:hint="eastAsia" w:ascii="仿宋_GB2312" w:hAnsi="宋体" w:eastAsia="仿宋_GB2312" w:cs="宋体"/>
                <w:b/>
                <w:bCs/>
                <w:color w:val="auto"/>
                <w:kern w:val="0"/>
                <w:sz w:val="24"/>
                <w:szCs w:val="24"/>
                <w:highlight w:val="none"/>
              </w:rPr>
              <w:t>而蒙受损失的程度</w:t>
            </w:r>
          </w:p>
        </w:tc>
        <w:tc>
          <w:tcPr>
            <w:tcW w:w="7654" w:type="dxa"/>
          </w:tcPr>
          <w:p w14:paraId="70120073">
            <w:pPr>
              <w:pStyle w:val="13"/>
              <w:widowControl/>
              <w:numPr>
                <w:ilvl w:val="0"/>
                <w:numId w:val="0"/>
              </w:numPr>
              <w:tabs>
                <w:tab w:val="left" w:pos="1080"/>
              </w:tabs>
              <w:snapToGrid w:val="0"/>
              <w:spacing w:line="240" w:lineRule="auto"/>
              <w:ind w:firstLine="0" w:firstLineChars="0"/>
              <w:jc w:val="left"/>
              <w:outlineLvl w:val="0"/>
              <w:rPr>
                <w:rFonts w:hint="eastAsia" w:ascii="仿宋_GB2312" w:hAnsi="宋体" w:eastAsia="仿宋_GB2312" w:cs="宋体"/>
                <w:b/>
                <w:color w:val="000000" w:themeColor="text1"/>
                <w:kern w:val="0"/>
                <w:sz w:val="24"/>
                <w:szCs w:val="24"/>
                <w:highlight w:val="yellow"/>
                <w14:textFill>
                  <w14:solidFill>
                    <w14:schemeClr w14:val="tx1"/>
                  </w14:solidFill>
                </w14:textFill>
              </w:rPr>
            </w:pPr>
            <w:r>
              <w:rPr>
                <w:rFonts w:hint="eastAsia" w:ascii="仿宋_GB2312" w:hAnsi="宋体" w:eastAsia="仿宋_GB2312" w:cs="宋体"/>
                <w:b/>
                <w:color w:val="000000" w:themeColor="text1"/>
                <w:kern w:val="0"/>
                <w:sz w:val="24"/>
                <w:szCs w:val="24"/>
                <w:highlight w:val="yellow"/>
                <w14:textFill>
                  <w14:solidFill>
                    <w14:schemeClr w14:val="tx1"/>
                  </w14:solidFill>
                </w14:textFill>
              </w:rPr>
              <w:t>管理人根据理财产品投资范围、投资资产和投资比例等因素，对理财产品进行内部风险评级，仅供投资者参考，不具有任何法律约束力，</w:t>
            </w:r>
            <w:r>
              <w:rPr>
                <w:rFonts w:hint="eastAsia" w:ascii="仿宋_GB2312" w:hAnsi="宋体" w:eastAsia="仿宋_GB2312" w:cs="宋体"/>
                <w:b/>
                <w:color w:val="000000" w:themeColor="text1"/>
                <w:kern w:val="0"/>
                <w:sz w:val="24"/>
                <w:szCs w:val="24"/>
                <w:highlight w:val="yellow"/>
                <w:lang w:eastAsia="zh-CN"/>
                <w14:textFill>
                  <w14:solidFill>
                    <w14:schemeClr w14:val="tx1"/>
                  </w14:solidFill>
                </w14:textFill>
              </w:rPr>
              <w:t>投资者可能因本《风险揭示书》揭示的市场风险等风险而蒙受损失，</w:t>
            </w:r>
            <w:r>
              <w:rPr>
                <w:rFonts w:hint="eastAsia" w:ascii="仿宋_GB2312" w:hAnsi="宋体" w:eastAsia="仿宋_GB2312" w:cs="宋体"/>
                <w:b/>
                <w:color w:val="000000" w:themeColor="text1"/>
                <w:kern w:val="0"/>
                <w:sz w:val="24"/>
                <w:szCs w:val="24"/>
                <w:highlight w:val="yellow"/>
                <w14:textFill>
                  <w14:solidFill>
                    <w14:schemeClr w14:val="tx1"/>
                  </w14:solidFill>
                </w14:textFill>
              </w:rPr>
              <w:t>风险评级由低到高分为以下五级：</w:t>
            </w:r>
          </w:p>
          <w:p w14:paraId="133AEF67">
            <w:pPr>
              <w:pStyle w:val="13"/>
              <w:widowControl/>
              <w:numPr>
                <w:ilvl w:val="-1"/>
                <w:numId w:val="0"/>
              </w:numPr>
              <w:tabs>
                <w:tab w:val="left" w:pos="1080"/>
              </w:tabs>
              <w:snapToGrid w:val="0"/>
              <w:spacing w:line="240" w:lineRule="auto"/>
              <w:ind w:firstLine="0" w:firstLineChars="0"/>
              <w:jc w:val="left"/>
              <w:outlineLvl w:val="0"/>
              <w:rPr>
                <w:rFonts w:hint="eastAsia" w:ascii="仿宋_GB2312" w:hAnsi="宋体" w:eastAsia="仿宋_GB2312" w:cs="宋体"/>
                <w:b/>
                <w:color w:val="000000" w:themeColor="text1"/>
                <w:kern w:val="0"/>
                <w:sz w:val="24"/>
                <w:szCs w:val="24"/>
                <w:highlight w:val="yellow"/>
                <w14:textFill>
                  <w14:solidFill>
                    <w14:schemeClr w14:val="tx1"/>
                  </w14:solidFill>
                </w14:textFill>
              </w:rPr>
            </w:pPr>
            <w:r>
              <w:rPr>
                <w:rFonts w:hint="eastAsia" w:ascii="仿宋_GB2312" w:hAnsi="宋体" w:eastAsia="仿宋_GB2312" w:cs="宋体"/>
                <w:b/>
                <w:color w:val="000000" w:themeColor="text1"/>
                <w:kern w:val="0"/>
                <w:sz w:val="24"/>
                <w:szCs w:val="24"/>
                <w:highlight w:val="yellow"/>
                <w:lang w:val="en-US" w:eastAsia="zh-CN"/>
                <w14:textFill>
                  <w14:solidFill>
                    <w14:schemeClr w14:val="tx1"/>
                  </w14:solidFill>
                </w14:textFill>
              </w:rPr>
              <w:t>1.</w:t>
            </w:r>
            <w:r>
              <w:rPr>
                <w:rFonts w:hint="eastAsia" w:ascii="仿宋_GB2312" w:hAnsi="宋体" w:eastAsia="仿宋_GB2312" w:cs="宋体"/>
                <w:b/>
                <w:color w:val="000000" w:themeColor="text1"/>
                <w:kern w:val="0"/>
                <w:sz w:val="24"/>
                <w:szCs w:val="24"/>
                <w:highlight w:val="yellow"/>
                <w14:textFill>
                  <w14:solidFill>
                    <w14:schemeClr w14:val="tx1"/>
                  </w14:solidFill>
                </w14:textFill>
              </w:rPr>
              <w:t xml:space="preserve">低风险产品（R1级）：产品总体风险程度低，本金及收益受风险因素影响很小，有很大可能达到业绩比较基准（如有）的产品。 </w:t>
            </w:r>
          </w:p>
          <w:p w14:paraId="61F3F5E4">
            <w:pPr>
              <w:pStyle w:val="13"/>
              <w:widowControl/>
              <w:numPr>
                <w:ilvl w:val="-1"/>
                <w:numId w:val="0"/>
              </w:numPr>
              <w:tabs>
                <w:tab w:val="left" w:pos="1080"/>
              </w:tabs>
              <w:snapToGrid w:val="0"/>
              <w:spacing w:line="240" w:lineRule="auto"/>
              <w:ind w:firstLine="0" w:firstLineChars="0"/>
              <w:jc w:val="left"/>
              <w:outlineLvl w:val="0"/>
              <w:rPr>
                <w:rFonts w:hint="eastAsia" w:ascii="仿宋_GB2312" w:hAnsi="宋体" w:eastAsia="仿宋_GB2312" w:cs="宋体"/>
                <w:b/>
                <w:color w:val="000000" w:themeColor="text1"/>
                <w:kern w:val="0"/>
                <w:sz w:val="24"/>
                <w:szCs w:val="24"/>
                <w:highlight w:val="yellow"/>
                <w:lang w:eastAsia="zh-CN"/>
                <w14:textFill>
                  <w14:solidFill>
                    <w14:schemeClr w14:val="tx1"/>
                  </w14:solidFill>
                </w14:textFill>
              </w:rPr>
            </w:pPr>
            <w:r>
              <w:rPr>
                <w:rFonts w:hint="eastAsia" w:ascii="仿宋_GB2312" w:hAnsi="宋体" w:eastAsia="仿宋_GB2312" w:cs="宋体"/>
                <w:b/>
                <w:color w:val="000000" w:themeColor="text1"/>
                <w:kern w:val="0"/>
                <w:sz w:val="24"/>
                <w:szCs w:val="24"/>
                <w:highlight w:val="yellow"/>
                <w:lang w:val="en-US" w:eastAsia="zh-CN"/>
                <w14:textFill>
                  <w14:solidFill>
                    <w14:schemeClr w14:val="tx1"/>
                  </w14:solidFill>
                </w14:textFill>
              </w:rPr>
              <w:t>2.</w:t>
            </w:r>
            <w:r>
              <w:rPr>
                <w:rFonts w:hint="eastAsia" w:ascii="仿宋_GB2312" w:hAnsi="宋体" w:eastAsia="仿宋_GB2312" w:cs="宋体"/>
                <w:b/>
                <w:color w:val="000000" w:themeColor="text1"/>
                <w:kern w:val="0"/>
                <w:sz w:val="24"/>
                <w:szCs w:val="24"/>
                <w:highlight w:val="yellow"/>
                <w14:textFill>
                  <w14:solidFill>
                    <w14:schemeClr w14:val="tx1"/>
                  </w14:solidFill>
                </w14:textFill>
              </w:rPr>
              <w:t>中低风险产品（R2级）：产品总体风险程度较低，本金损失的可能性小，业绩比较基准（如有）不能实现的概率较低的产品</w:t>
            </w:r>
            <w:r>
              <w:rPr>
                <w:rFonts w:hint="eastAsia" w:ascii="仿宋_GB2312" w:hAnsi="宋体" w:eastAsia="仿宋_GB2312" w:cs="宋体"/>
                <w:b/>
                <w:color w:val="000000" w:themeColor="text1"/>
                <w:kern w:val="0"/>
                <w:sz w:val="24"/>
                <w:szCs w:val="24"/>
                <w:highlight w:val="yellow"/>
                <w:lang w:eastAsia="zh-CN"/>
                <w14:textFill>
                  <w14:solidFill>
                    <w14:schemeClr w14:val="tx1"/>
                  </w14:solidFill>
                </w14:textFill>
              </w:rPr>
              <w:t>。</w:t>
            </w:r>
          </w:p>
          <w:p w14:paraId="6EF6AD93">
            <w:pPr>
              <w:pStyle w:val="13"/>
              <w:widowControl/>
              <w:numPr>
                <w:ilvl w:val="-1"/>
                <w:numId w:val="0"/>
              </w:numPr>
              <w:tabs>
                <w:tab w:val="left" w:pos="1080"/>
              </w:tabs>
              <w:snapToGrid w:val="0"/>
              <w:spacing w:line="240" w:lineRule="auto"/>
              <w:ind w:firstLine="0" w:firstLineChars="0"/>
              <w:jc w:val="left"/>
              <w:outlineLvl w:val="0"/>
              <w:rPr>
                <w:rFonts w:hint="eastAsia" w:ascii="仿宋_GB2312" w:hAnsi="宋体" w:eastAsia="仿宋_GB2312" w:cs="宋体"/>
                <w:b/>
                <w:color w:val="000000" w:themeColor="text1"/>
                <w:kern w:val="0"/>
                <w:sz w:val="24"/>
                <w:szCs w:val="24"/>
                <w:highlight w:val="yellow"/>
                <w14:textFill>
                  <w14:solidFill>
                    <w14:schemeClr w14:val="tx1"/>
                  </w14:solidFill>
                </w14:textFill>
              </w:rPr>
            </w:pPr>
            <w:r>
              <w:rPr>
                <w:rFonts w:hint="eastAsia" w:ascii="仿宋_GB2312" w:hAnsi="宋体" w:eastAsia="仿宋_GB2312" w:cs="宋体"/>
                <w:b/>
                <w:color w:val="000000" w:themeColor="text1"/>
                <w:kern w:val="0"/>
                <w:sz w:val="24"/>
                <w:szCs w:val="24"/>
                <w:highlight w:val="yellow"/>
                <w:lang w:val="en-US" w:eastAsia="zh-CN"/>
                <w14:textFill>
                  <w14:solidFill>
                    <w14:schemeClr w14:val="tx1"/>
                  </w14:solidFill>
                </w14:textFill>
              </w:rPr>
              <w:t>3.</w:t>
            </w:r>
            <w:r>
              <w:rPr>
                <w:rFonts w:hint="eastAsia" w:ascii="仿宋_GB2312" w:hAnsi="宋体" w:eastAsia="仿宋_GB2312" w:cs="宋体"/>
                <w:b/>
                <w:color w:val="000000" w:themeColor="text1"/>
                <w:kern w:val="0"/>
                <w:sz w:val="24"/>
                <w:szCs w:val="24"/>
                <w:highlight w:val="yellow"/>
                <w14:textFill>
                  <w14:solidFill>
                    <w14:schemeClr w14:val="tx1"/>
                  </w14:solidFill>
                </w14:textFill>
              </w:rPr>
              <w:t>中风险产品（R3级）：产品总体风险程度适中，本金亏损的可能性较小，风险因素对本金及收益会产生一定影响的产品。</w:t>
            </w:r>
          </w:p>
          <w:p w14:paraId="38ACAD9E">
            <w:pPr>
              <w:pStyle w:val="13"/>
              <w:widowControl/>
              <w:numPr>
                <w:ilvl w:val="-1"/>
                <w:numId w:val="0"/>
              </w:numPr>
              <w:tabs>
                <w:tab w:val="left" w:pos="1080"/>
              </w:tabs>
              <w:snapToGrid w:val="0"/>
              <w:spacing w:line="240" w:lineRule="auto"/>
              <w:ind w:firstLine="0" w:firstLineChars="0"/>
              <w:jc w:val="left"/>
              <w:outlineLvl w:val="0"/>
              <w:rPr>
                <w:rFonts w:hint="eastAsia" w:ascii="仿宋_GB2312" w:hAnsi="宋体" w:eastAsia="仿宋_GB2312" w:cs="宋体"/>
                <w:b/>
                <w:color w:val="000000" w:themeColor="text1"/>
                <w:kern w:val="0"/>
                <w:sz w:val="24"/>
                <w:szCs w:val="24"/>
                <w:highlight w:val="yellow"/>
                <w14:textFill>
                  <w14:solidFill>
                    <w14:schemeClr w14:val="tx1"/>
                  </w14:solidFill>
                </w14:textFill>
              </w:rPr>
            </w:pPr>
            <w:r>
              <w:rPr>
                <w:rFonts w:hint="eastAsia" w:ascii="仿宋_GB2312" w:hAnsi="宋体" w:eastAsia="仿宋_GB2312" w:cs="宋体"/>
                <w:b/>
                <w:color w:val="000000" w:themeColor="text1"/>
                <w:kern w:val="0"/>
                <w:sz w:val="24"/>
                <w:szCs w:val="24"/>
                <w:highlight w:val="yellow"/>
                <w:lang w:val="en-US" w:eastAsia="zh-CN"/>
                <w14:textFill>
                  <w14:solidFill>
                    <w14:schemeClr w14:val="tx1"/>
                  </w14:solidFill>
                </w14:textFill>
              </w:rPr>
              <w:t>4.</w:t>
            </w:r>
            <w:r>
              <w:rPr>
                <w:rFonts w:hint="eastAsia" w:ascii="仿宋_GB2312" w:hAnsi="宋体" w:eastAsia="仿宋_GB2312" w:cs="宋体"/>
                <w:b/>
                <w:color w:val="000000" w:themeColor="text1"/>
                <w:kern w:val="0"/>
                <w:sz w:val="24"/>
                <w:szCs w:val="24"/>
                <w:highlight w:val="yellow"/>
                <w14:textFill>
                  <w14:solidFill>
                    <w14:schemeClr w14:val="tx1"/>
                  </w14:solidFill>
                </w14:textFill>
              </w:rPr>
              <w:t>中高风险产品（R4级）：产品总体风险程度较高，本金可能存在损失风险，产品收益随投资表现波动的产品。</w:t>
            </w:r>
          </w:p>
          <w:p w14:paraId="17F4B706">
            <w:pPr>
              <w:pStyle w:val="13"/>
              <w:widowControl/>
              <w:numPr>
                <w:ilvl w:val="0"/>
                <w:numId w:val="0"/>
              </w:numPr>
              <w:tabs>
                <w:tab w:val="left" w:pos="1080"/>
              </w:tabs>
              <w:snapToGrid w:val="0"/>
              <w:spacing w:line="240" w:lineRule="auto"/>
              <w:ind w:firstLine="0" w:firstLineChars="0"/>
              <w:jc w:val="left"/>
              <w:outlineLvl w:val="0"/>
              <w:rPr>
                <w:rFonts w:hint="eastAsia" w:ascii="仿宋_GB2312" w:hAnsi="宋体" w:eastAsia="仿宋_GB2312" w:cs="宋体"/>
                <w:b/>
                <w:bCs/>
                <w:color w:val="000000" w:themeColor="text1"/>
                <w:kern w:val="0"/>
                <w:sz w:val="24"/>
                <w:szCs w:val="24"/>
                <w:highlight w:val="yellow"/>
                <w14:textFill>
                  <w14:solidFill>
                    <w14:schemeClr w14:val="tx1"/>
                  </w14:solidFill>
                </w14:textFill>
              </w:rPr>
            </w:pPr>
            <w:r>
              <w:rPr>
                <w:rFonts w:hint="eastAsia" w:ascii="仿宋_GB2312" w:hAnsi="宋体" w:eastAsia="仿宋_GB2312" w:cs="宋体"/>
                <w:b/>
                <w:color w:val="000000" w:themeColor="text1"/>
                <w:kern w:val="0"/>
                <w:sz w:val="24"/>
                <w:szCs w:val="24"/>
                <w:highlight w:val="yellow"/>
                <w:lang w:val="en-US" w:eastAsia="zh-CN"/>
                <w14:textFill>
                  <w14:solidFill>
                    <w14:schemeClr w14:val="tx1"/>
                  </w14:solidFill>
                </w14:textFill>
              </w:rPr>
              <w:t>5.</w:t>
            </w:r>
            <w:r>
              <w:rPr>
                <w:rFonts w:hint="eastAsia" w:ascii="仿宋_GB2312" w:hAnsi="宋体" w:eastAsia="仿宋_GB2312" w:cs="宋体"/>
                <w:b/>
                <w:color w:val="000000" w:themeColor="text1"/>
                <w:kern w:val="0"/>
                <w:sz w:val="24"/>
                <w:szCs w:val="24"/>
                <w:highlight w:val="yellow"/>
                <w14:textFill>
                  <w14:solidFill>
                    <w14:schemeClr w14:val="tx1"/>
                  </w14:solidFill>
                </w14:textFill>
              </w:rPr>
              <w:t>高风险产品（R5级）：产品总体风险程度高，本金损失风险较高，产品收益随投资表现波动的产品。</w:t>
            </w:r>
          </w:p>
        </w:tc>
      </w:tr>
    </w:tbl>
    <w:p w14:paraId="71B84D36">
      <w:pPr>
        <w:spacing w:before="240"/>
        <w:ind w:firstLine="480" w:firstLineChars="200"/>
        <w:rPr>
          <w:rFonts w:ascii="仿宋_GB2312" w:hAnsi="宋体" w:eastAsia="仿宋_GB2312" w:cs="宋体"/>
          <w:b/>
          <w:bCs/>
          <w:kern w:val="0"/>
          <w:sz w:val="24"/>
          <w:szCs w:val="24"/>
          <w:u w:val="single"/>
        </w:rPr>
      </w:pPr>
      <w:r>
        <w:rPr>
          <w:rFonts w:hint="eastAsia" w:ascii="仿宋_GB2312" w:hAnsi="宋体" w:eastAsia="仿宋_GB2312" w:cs="宋体"/>
          <w:bCs/>
          <w:kern w:val="0"/>
          <w:sz w:val="24"/>
          <w:szCs w:val="24"/>
        </w:rPr>
        <w:t>（六）</w:t>
      </w:r>
      <w:r>
        <w:rPr>
          <w:rFonts w:hint="eastAsia" w:ascii="仿宋_GB2312" w:hAnsi="宋体" w:eastAsia="仿宋_GB2312" w:cs="宋体"/>
          <w:b/>
          <w:bCs/>
          <w:kern w:val="0"/>
          <w:sz w:val="24"/>
          <w:szCs w:val="24"/>
        </w:rPr>
        <w:t>普通投资者应确保其风险承受能力评估结果由投资者自行填写，且风险承受能力等级不低于本理财产品风险评级。</w:t>
      </w:r>
      <w:r>
        <w:rPr>
          <w:rFonts w:hint="eastAsia" w:ascii="仿宋_GB2312" w:hAnsi="宋体" w:eastAsia="仿宋_GB2312" w:cs="宋体"/>
          <w:b/>
          <w:bCs/>
          <w:kern w:val="0"/>
          <w:sz w:val="24"/>
          <w:szCs w:val="24"/>
          <w:u w:val="single"/>
        </w:rPr>
        <w:t>如普通投资者的风险承受能力评估已超过一年，或影响风险承受能力的因素发生变化，请及时完成风险承受能力的重新评估，并对评估结果签字确认。</w:t>
      </w:r>
    </w:p>
    <w:p w14:paraId="22C47C20">
      <w:pPr>
        <w:ind w:firstLine="480" w:firstLineChars="200"/>
        <w:rPr>
          <w:rFonts w:ascii="仿宋_GB2312" w:hAnsi="宋体" w:eastAsia="仿宋_GB2312" w:cs="宋体"/>
          <w:b/>
          <w:bCs/>
          <w:kern w:val="0"/>
          <w:sz w:val="24"/>
          <w:szCs w:val="24"/>
        </w:rPr>
      </w:pPr>
      <w:r>
        <w:rPr>
          <w:rFonts w:hint="eastAsia" w:ascii="仿宋_GB2312" w:hAnsi="宋体" w:eastAsia="仿宋_GB2312" w:cs="宋体"/>
          <w:bCs/>
          <w:kern w:val="0"/>
          <w:sz w:val="24"/>
          <w:szCs w:val="24"/>
        </w:rPr>
        <w:t>（七）本理财产品的销售文件包括《风险揭示书》《产品说明书》《投资协议书》《投资者权益须知》《（代理）销售协议书》等，</w:t>
      </w:r>
      <w:r>
        <w:rPr>
          <w:rFonts w:hint="eastAsia" w:ascii="仿宋_GB2312" w:hAnsi="宋体" w:eastAsia="仿宋_GB2312" w:cs="宋体"/>
          <w:b/>
          <w:bCs/>
          <w:kern w:val="0"/>
          <w:sz w:val="24"/>
          <w:szCs w:val="24"/>
        </w:rPr>
        <w:t>投资者通过销售机构线上</w:t>
      </w:r>
      <w:r>
        <w:rPr>
          <w:rFonts w:ascii="仿宋_GB2312" w:hAnsi="宋体" w:eastAsia="仿宋_GB2312" w:cs="宋体"/>
          <w:b/>
          <w:bCs/>
          <w:kern w:val="0"/>
          <w:sz w:val="24"/>
          <w:szCs w:val="24"/>
        </w:rPr>
        <w:t>/线下渠道成功认购/申购/投资本理财产品，即同意本理财产品销售文件的约定并将资金委托浙银理财投资运作，是投资者真实意愿的充分表达。</w:t>
      </w:r>
    </w:p>
    <w:p w14:paraId="0836816E">
      <w:pPr>
        <w:ind w:firstLine="480" w:firstLineChars="200"/>
        <w:rPr>
          <w:rFonts w:ascii="仿宋_GB2312" w:hAnsi="宋体" w:eastAsia="仿宋_GB2312" w:cs="宋体"/>
          <w:b/>
          <w:bCs/>
          <w:kern w:val="0"/>
          <w:sz w:val="24"/>
          <w:szCs w:val="24"/>
        </w:rPr>
      </w:pPr>
      <w:r>
        <w:rPr>
          <w:rFonts w:hint="eastAsia" w:ascii="仿宋_GB2312" w:hAnsi="宋体" w:eastAsia="仿宋_GB2312" w:cs="宋体"/>
          <w:bCs/>
          <w:kern w:val="0"/>
          <w:sz w:val="24"/>
          <w:szCs w:val="24"/>
        </w:rPr>
        <w:t>（八）浙银理财将根据相关法律、法规严格履行投资者信息保密责任，不得无故向其他组织、个人提供或者泄露与投资者有关的业务资料及信息。</w:t>
      </w:r>
      <w:r>
        <w:rPr>
          <w:rFonts w:hint="eastAsia" w:ascii="仿宋_GB2312" w:hAnsi="宋体" w:eastAsia="仿宋_GB2312" w:cs="宋体"/>
          <w:b/>
          <w:bCs/>
          <w:kern w:val="0"/>
          <w:sz w:val="24"/>
          <w:szCs w:val="24"/>
        </w:rPr>
        <w:t>浙银理财向确有知悉必要的雇员提供投资者信息，或按照有关法律、法规、监管要求向司法机关、行政机关等有关政府部门、投资合作机构及第三方专业机构提供的，不视为对保密义务的违反。</w:t>
      </w:r>
    </w:p>
    <w:p w14:paraId="6E1872EE">
      <w:pPr>
        <w:ind w:firstLine="480" w:firstLineChars="200"/>
        <w:jc w:val="right"/>
        <w:rPr>
          <w:rFonts w:ascii="仿宋_GB2312" w:hAnsi="宋体" w:eastAsia="仿宋_GB2312" w:cs="宋体"/>
          <w:bCs/>
          <w:kern w:val="0"/>
          <w:sz w:val="24"/>
          <w:szCs w:val="24"/>
        </w:rPr>
      </w:pPr>
    </w:p>
    <w:p w14:paraId="6E919F59">
      <w:pPr>
        <w:ind w:firstLine="480" w:firstLineChars="200"/>
        <w:rPr>
          <w:rFonts w:ascii="仿宋_GB2312" w:hAnsi="宋体" w:eastAsia="仿宋_GB2312" w:cs="宋体"/>
          <w:bCs/>
          <w:kern w:val="0"/>
          <w:sz w:val="24"/>
          <w:szCs w:val="24"/>
        </w:rPr>
      </w:pPr>
    </w:p>
    <w:p w14:paraId="003B942D">
      <w:pPr>
        <w:ind w:firstLine="480" w:firstLineChars="200"/>
        <w:rPr>
          <w:rFonts w:ascii="仿宋_GB2312" w:hAnsi="宋体" w:eastAsia="仿宋_GB2312" w:cs="宋体"/>
          <w:bCs/>
          <w:kern w:val="0"/>
          <w:sz w:val="24"/>
          <w:szCs w:val="24"/>
        </w:rPr>
      </w:pPr>
    </w:p>
    <w:p w14:paraId="38156A23">
      <w:pPr>
        <w:ind w:firstLine="480" w:firstLineChars="200"/>
        <w:rPr>
          <w:rFonts w:ascii="仿宋_GB2312" w:hAnsi="宋体" w:eastAsia="仿宋_GB2312" w:cs="宋体"/>
          <w:bCs/>
          <w:kern w:val="0"/>
          <w:sz w:val="24"/>
          <w:szCs w:val="24"/>
        </w:rPr>
      </w:pPr>
    </w:p>
    <w:p w14:paraId="356B21AD">
      <w:pPr>
        <w:rPr>
          <w:rFonts w:ascii="仿宋_GB2312" w:hAnsi="宋体" w:eastAsia="仿宋_GB2312" w:cs="宋体"/>
          <w:bCs/>
          <w:kern w:val="0"/>
          <w:sz w:val="24"/>
          <w:szCs w:val="24"/>
        </w:rPr>
      </w:pPr>
    </w:p>
    <w:p w14:paraId="2B260FFE">
      <w:pPr>
        <w:ind w:firstLine="480" w:firstLineChars="200"/>
        <w:jc w:val="right"/>
        <w:rPr>
          <w:rFonts w:ascii="仿宋_GB2312" w:hAnsi="宋体" w:eastAsia="仿宋_GB2312" w:cs="宋体"/>
          <w:bCs/>
          <w:kern w:val="0"/>
          <w:sz w:val="24"/>
          <w:szCs w:val="24"/>
        </w:rPr>
      </w:pPr>
      <w:r>
        <w:rPr>
          <w:rFonts w:hint="eastAsia" w:ascii="仿宋_GB2312" w:hAnsi="宋体" w:eastAsia="仿宋_GB2312" w:cs="宋体"/>
          <w:bCs/>
          <w:kern w:val="0"/>
          <w:sz w:val="24"/>
          <w:szCs w:val="24"/>
        </w:rPr>
        <w:t>风险揭示方：浙银理财有限责任公司</w:t>
      </w:r>
    </w:p>
    <w:p w14:paraId="5FE400F1">
      <w:pPr>
        <w:ind w:firstLine="480" w:firstLineChars="200"/>
        <w:jc w:val="right"/>
        <w:rPr>
          <w:rFonts w:ascii="仿宋_GB2312" w:hAnsi="宋体" w:eastAsia="仿宋_GB2312" w:cs="宋体"/>
          <w:bCs/>
          <w:kern w:val="0"/>
          <w:sz w:val="24"/>
          <w:szCs w:val="24"/>
        </w:rPr>
      </w:pPr>
    </w:p>
    <w:p w14:paraId="3C3FFD90">
      <w:pPr>
        <w:ind w:firstLine="480" w:firstLineChars="200"/>
        <w:rPr>
          <w:rFonts w:ascii="仿宋_GB2312" w:hAnsi="宋体" w:eastAsia="仿宋_GB2312" w:cs="宋体"/>
          <w:bCs/>
          <w:kern w:val="0"/>
          <w:sz w:val="24"/>
          <w:szCs w:val="24"/>
        </w:rPr>
      </w:pPr>
    </w:p>
    <w:p w14:paraId="3231937F">
      <w:pPr>
        <w:ind w:firstLine="480" w:firstLineChars="200"/>
        <w:rPr>
          <w:rFonts w:ascii="仿宋_GB2312" w:hAnsi="宋体" w:eastAsia="仿宋_GB2312" w:cs="宋体"/>
          <w:bCs/>
          <w:kern w:val="0"/>
          <w:sz w:val="28"/>
          <w:szCs w:val="30"/>
        </w:rPr>
      </w:pPr>
      <w:r>
        <w:rPr>
          <w:rFonts w:ascii="仿宋_GB2312" w:hAnsi="宋体" w:eastAsia="仿宋_GB2312" w:cs="宋体"/>
          <w:bCs/>
          <w:kern w:val="0"/>
          <w:sz w:val="24"/>
          <w:szCs w:val="24"/>
        </w:rPr>
        <w:t>(投资者签字与盖章见下一页)</w:t>
      </w:r>
      <w:r>
        <w:rPr>
          <w:rFonts w:ascii="仿宋_GB2312" w:hAnsi="宋体" w:eastAsia="仿宋_GB2312" w:cs="宋体"/>
          <w:bCs/>
          <w:kern w:val="0"/>
          <w:sz w:val="28"/>
          <w:szCs w:val="30"/>
        </w:rPr>
        <w:br w:type="page"/>
      </w:r>
    </w:p>
    <w:p w14:paraId="2A0C945C">
      <w:pPr>
        <w:spacing w:after="156" w:afterLines="50" w:line="360" w:lineRule="auto"/>
        <w:jc w:val="center"/>
        <w:rPr>
          <w:rFonts w:asciiTheme="majorEastAsia" w:hAnsiTheme="majorEastAsia" w:eastAsiaTheme="majorEastAsia"/>
          <w:sz w:val="36"/>
          <w:szCs w:val="44"/>
        </w:rPr>
      </w:pPr>
      <w:r>
        <w:rPr>
          <w:rFonts w:hint="eastAsia" w:asciiTheme="majorEastAsia" w:hAnsiTheme="majorEastAsia" w:eastAsiaTheme="majorEastAsia"/>
          <w:sz w:val="36"/>
          <w:szCs w:val="44"/>
        </w:rPr>
        <w:t>投资者确认函</w:t>
      </w:r>
    </w:p>
    <w:p w14:paraId="2C135EF8">
      <w:pPr>
        <w:spacing w:line="360" w:lineRule="auto"/>
        <w:ind w:firstLine="480" w:firstLineChars="200"/>
        <w:rPr>
          <w:rFonts w:ascii="仿宋_GB2312" w:eastAsia="仿宋_GB2312"/>
          <w:b/>
          <w:sz w:val="24"/>
        </w:rPr>
      </w:pPr>
      <w:r>
        <w:rPr>
          <w:rFonts w:hint="eastAsia" w:ascii="仿宋_GB2312" w:eastAsia="仿宋_GB2312" w:hAnsiTheme="majorEastAsia"/>
          <w:sz w:val="24"/>
          <w:szCs w:val="44"/>
        </w:rPr>
        <w:t>本人</w:t>
      </w:r>
      <w:r>
        <w:rPr>
          <w:rFonts w:ascii="仿宋_GB2312" w:eastAsia="仿宋_GB2312" w:hAnsiTheme="majorEastAsia"/>
          <w:sz w:val="24"/>
          <w:szCs w:val="44"/>
        </w:rPr>
        <w:t>/</w:t>
      </w:r>
      <w:r>
        <w:rPr>
          <w:rFonts w:hint="eastAsia" w:ascii="仿宋_GB2312" w:eastAsia="仿宋_GB2312" w:hAnsiTheme="majorEastAsia"/>
          <w:sz w:val="24"/>
          <w:szCs w:val="44"/>
        </w:rPr>
        <w:t>本公司确认已经收到本理财产品的风险揭示书，且已经认真阅读</w:t>
      </w:r>
      <w:r>
        <w:rPr>
          <w:rFonts w:hint="eastAsia" w:ascii="仿宋_GB2312" w:eastAsia="仿宋_GB2312" w:hAnsiTheme="majorEastAsia"/>
          <w:b/>
          <w:sz w:val="24"/>
          <w:szCs w:val="44"/>
        </w:rPr>
        <w:t>本理财产品完整销售文件包括：《风险揭示书》《产品说明书》《投资协议书》《投资者权益须知》《（代理）销售协议书》等</w:t>
      </w:r>
      <w:r>
        <w:rPr>
          <w:rFonts w:hint="eastAsia" w:ascii="仿宋_GB2312" w:eastAsia="仿宋_GB2312" w:hAnsiTheme="majorEastAsia"/>
          <w:sz w:val="24"/>
          <w:szCs w:val="44"/>
        </w:rPr>
        <w:t>，充分了解并清楚知晓本理财产品的风险，愿意承担相关风险，接受本理财产品销售文件的全部约定。本人</w:t>
      </w:r>
      <w:r>
        <w:rPr>
          <w:rFonts w:ascii="仿宋_GB2312" w:eastAsia="仿宋_GB2312" w:hAnsiTheme="majorEastAsia"/>
          <w:sz w:val="24"/>
          <w:szCs w:val="44"/>
        </w:rPr>
        <w:t>/本公司确认本理财产品完全适合本人/本公司的投资目标</w:t>
      </w:r>
      <w:r>
        <w:rPr>
          <w:rFonts w:hint="eastAsia" w:ascii="仿宋_GB2312" w:eastAsia="仿宋_GB2312" w:hAnsiTheme="majorEastAsia"/>
          <w:sz w:val="24"/>
          <w:szCs w:val="44"/>
        </w:rPr>
        <w:t>、投资预期、风险承受能力及投资经验。本人</w:t>
      </w:r>
      <w:r>
        <w:rPr>
          <w:rFonts w:ascii="仿宋_GB2312" w:eastAsia="仿宋_GB2312" w:hAnsiTheme="majorEastAsia"/>
          <w:sz w:val="24"/>
          <w:szCs w:val="44"/>
        </w:rPr>
        <w:t>/</w:t>
      </w:r>
      <w:r>
        <w:rPr>
          <w:rFonts w:hint="eastAsia" w:ascii="仿宋_GB2312" w:eastAsia="仿宋_GB2312" w:hAnsiTheme="majorEastAsia"/>
          <w:sz w:val="24"/>
          <w:szCs w:val="44"/>
        </w:rPr>
        <w:t>本公司承诺购买本理财产品的投资资金为自有或有权处分的合法资金（包括合法受托管理的资金）。</w:t>
      </w:r>
      <w:r>
        <w:rPr>
          <w:rFonts w:hint="eastAsia" w:ascii="仿宋_GB2312" w:eastAsia="仿宋_GB2312" w:hAnsiTheme="majorEastAsia"/>
          <w:b/>
          <w:bCs/>
          <w:sz w:val="24"/>
          <w:szCs w:val="44"/>
        </w:rPr>
        <w:t>本人</w:t>
      </w:r>
      <w:r>
        <w:rPr>
          <w:rFonts w:ascii="仿宋_GB2312" w:eastAsia="仿宋_GB2312" w:hAnsiTheme="majorEastAsia"/>
          <w:b/>
          <w:bCs/>
          <w:sz w:val="24"/>
          <w:szCs w:val="44"/>
        </w:rPr>
        <w:t>/</w:t>
      </w:r>
      <w:r>
        <w:rPr>
          <w:rFonts w:hint="eastAsia" w:ascii="仿宋_GB2312" w:eastAsia="仿宋_GB2312" w:hAnsiTheme="majorEastAsia"/>
          <w:b/>
          <w:bCs/>
          <w:sz w:val="24"/>
          <w:szCs w:val="44"/>
        </w:rPr>
        <w:t>本公司承诺购买本理财产品的投资资金来源及用途符合法律法规和相关政策要求，不存在使用贷款、发行债券等违反相关法律法规要求筹集的非自有资金购买本理财产品的情形（受托管理的资产管理产品除外）。</w:t>
      </w:r>
      <w:r>
        <w:rPr>
          <w:rFonts w:hint="eastAsia" w:ascii="仿宋_GB2312" w:eastAsia="仿宋_GB2312" w:hAnsiTheme="majorEastAsia"/>
          <w:sz w:val="24"/>
          <w:szCs w:val="44"/>
        </w:rPr>
        <w:t>（机构投资者）</w:t>
      </w:r>
      <w:r>
        <w:rPr>
          <w:rFonts w:hint="eastAsia" w:ascii="仿宋_GB2312" w:eastAsia="仿宋_GB2312"/>
          <w:b/>
          <w:bCs/>
          <w:sz w:val="24"/>
        </w:rPr>
        <w:t>本公司进一步承诺，以自有资金或</w:t>
      </w:r>
      <w:r>
        <w:rPr>
          <w:rFonts w:hint="eastAsia" w:ascii="仿宋_GB2312" w:eastAsia="仿宋_GB2312" w:hAnsiTheme="majorEastAsia"/>
          <w:b/>
          <w:bCs/>
          <w:sz w:val="24"/>
          <w:szCs w:val="44"/>
        </w:rPr>
        <w:t>受托管理的资产管理产品</w:t>
      </w:r>
      <w:r>
        <w:rPr>
          <w:rFonts w:hint="eastAsia" w:ascii="仿宋_GB2312" w:eastAsia="仿宋_GB2312"/>
          <w:b/>
          <w:bCs/>
          <w:sz w:val="24"/>
        </w:rPr>
        <w:t>购买本理财产品的，已完全知悉并接受本理财产品的投资范围，并确保自有资金或</w:t>
      </w:r>
      <w:r>
        <w:rPr>
          <w:rFonts w:hint="eastAsia" w:ascii="仿宋_GB2312" w:eastAsia="仿宋_GB2312" w:hAnsiTheme="majorEastAsia"/>
          <w:b/>
          <w:bCs/>
          <w:sz w:val="24"/>
          <w:szCs w:val="44"/>
        </w:rPr>
        <w:t>受托管理的资产管理产品</w:t>
      </w:r>
      <w:r>
        <w:rPr>
          <w:rFonts w:hint="eastAsia" w:ascii="仿宋_GB2312" w:eastAsia="仿宋_GB2312"/>
          <w:b/>
          <w:bCs/>
          <w:sz w:val="24"/>
        </w:rPr>
        <w:t>投资本理财产品符合相关法律法规、监管规定及</w:t>
      </w:r>
      <w:r>
        <w:rPr>
          <w:rFonts w:hint="eastAsia" w:ascii="仿宋_GB2312" w:eastAsia="仿宋_GB2312" w:hAnsiTheme="majorEastAsia"/>
          <w:b/>
          <w:bCs/>
          <w:sz w:val="24"/>
          <w:szCs w:val="44"/>
        </w:rPr>
        <w:t>受托管理资产管理产品</w:t>
      </w:r>
      <w:r>
        <w:rPr>
          <w:rFonts w:hint="eastAsia" w:ascii="仿宋_GB2312" w:eastAsia="仿宋_GB2312"/>
          <w:b/>
          <w:bCs/>
          <w:sz w:val="24"/>
        </w:rPr>
        <w:t>的投资范围，不存在违反监管要求的产品嵌套、以投资本理财产品规避投资范围或杠杆约束等违规行为。</w:t>
      </w:r>
      <w:r>
        <w:rPr>
          <w:rFonts w:hint="eastAsia" w:ascii="仿宋_GB2312" w:eastAsia="仿宋_GB2312"/>
          <w:b/>
          <w:sz w:val="24"/>
        </w:rPr>
        <w:t>投资本理财产品是经过本人/本公司独立判断之后所做出的符合本人/本公司意愿的决定。</w:t>
      </w:r>
    </w:p>
    <w:p w14:paraId="7F5C20B1">
      <w:pPr>
        <w:spacing w:line="360" w:lineRule="auto"/>
        <w:ind w:firstLine="482" w:firstLineChars="200"/>
        <w:rPr>
          <w:rFonts w:ascii="仿宋_GB2312" w:eastAsia="仿宋_GB2312"/>
          <w:b/>
          <w:sz w:val="24"/>
        </w:rPr>
      </w:pPr>
      <w:r>
        <w:rPr>
          <w:rFonts w:hint="eastAsia" w:ascii="仿宋_GB2312" w:eastAsia="仿宋_GB2312" w:hAnsiTheme="majorEastAsia"/>
          <w:b/>
          <w:color w:val="000000" w:themeColor="text1"/>
          <w:sz w:val="24"/>
          <w:szCs w:val="44"/>
          <w14:textFill>
            <w14:solidFill>
              <w14:schemeClr w14:val="tx1"/>
            </w14:solidFill>
          </w14:textFill>
        </w:rPr>
        <w:t>本</w:t>
      </w:r>
      <w:r>
        <w:rPr>
          <w:rFonts w:ascii="仿宋_GB2312" w:eastAsia="仿宋_GB2312" w:hAnsiTheme="majorEastAsia"/>
          <w:b/>
          <w:color w:val="000000" w:themeColor="text1"/>
          <w:sz w:val="24"/>
          <w:szCs w:val="44"/>
          <w14:textFill>
            <w14:solidFill>
              <w14:schemeClr w14:val="tx1"/>
            </w14:solidFill>
          </w14:textFill>
        </w:rPr>
        <w:t>理财产品可能委托</w:t>
      </w:r>
      <w:r>
        <w:rPr>
          <w:rFonts w:hint="eastAsia" w:ascii="仿宋_GB2312" w:eastAsia="仿宋_GB2312" w:hAnsiTheme="majorEastAsia"/>
          <w:b/>
          <w:color w:val="000000" w:themeColor="text1"/>
          <w:sz w:val="24"/>
          <w:szCs w:val="44"/>
          <w14:textFill>
            <w14:solidFill>
              <w14:schemeClr w14:val="tx1"/>
            </w14:solidFill>
          </w14:textFill>
        </w:rPr>
        <w:t>浙银</w:t>
      </w:r>
      <w:r>
        <w:rPr>
          <w:rFonts w:ascii="仿宋_GB2312" w:eastAsia="仿宋_GB2312" w:hAnsiTheme="majorEastAsia"/>
          <w:b/>
          <w:color w:val="000000" w:themeColor="text1"/>
          <w:sz w:val="24"/>
          <w:szCs w:val="44"/>
          <w14:textFill>
            <w14:solidFill>
              <w14:schemeClr w14:val="tx1"/>
            </w14:solidFill>
          </w14:textFill>
        </w:rPr>
        <w:t>理财</w:t>
      </w:r>
      <w:r>
        <w:rPr>
          <w:rFonts w:hint="eastAsia" w:ascii="仿宋_GB2312" w:eastAsia="仿宋_GB2312" w:hAnsiTheme="majorEastAsia"/>
          <w:b/>
          <w:color w:val="000000" w:themeColor="text1"/>
          <w:sz w:val="24"/>
          <w:szCs w:val="44"/>
          <w14:textFill>
            <w14:solidFill>
              <w14:schemeClr w14:val="tx1"/>
            </w14:solidFill>
          </w14:textFill>
        </w:rPr>
        <w:t>的</w:t>
      </w:r>
      <w:r>
        <w:rPr>
          <w:rFonts w:ascii="仿宋_GB2312" w:eastAsia="仿宋_GB2312" w:hAnsiTheme="majorEastAsia"/>
          <w:b/>
          <w:color w:val="000000" w:themeColor="text1"/>
          <w:sz w:val="24"/>
          <w:szCs w:val="44"/>
          <w14:textFill>
            <w14:solidFill>
              <w14:schemeClr w14:val="tx1"/>
            </w14:solidFill>
          </w14:textFill>
        </w:rPr>
        <w:t>关联方【</w:t>
      </w:r>
      <w:r>
        <w:rPr>
          <w:rFonts w:hint="eastAsia" w:ascii="仿宋_GB2312" w:eastAsia="仿宋_GB2312" w:hAnsiTheme="majorEastAsia"/>
          <w:b/>
          <w:color w:val="000000" w:themeColor="text1"/>
          <w:sz w:val="24"/>
          <w:szCs w:val="44"/>
          <w14:textFill>
            <w14:solidFill>
              <w14:schemeClr w14:val="tx1"/>
            </w14:solidFill>
          </w14:textFill>
        </w:rPr>
        <w:t>浙商</w:t>
      </w:r>
      <w:r>
        <w:rPr>
          <w:rFonts w:ascii="仿宋_GB2312" w:eastAsia="仿宋_GB2312" w:hAnsiTheme="majorEastAsia"/>
          <w:b/>
          <w:color w:val="000000" w:themeColor="text1"/>
          <w:sz w:val="24"/>
          <w:szCs w:val="44"/>
          <w14:textFill>
            <w14:solidFill>
              <w14:schemeClr w14:val="tx1"/>
            </w14:solidFill>
          </w14:textFill>
        </w:rPr>
        <w:t>银行】</w:t>
      </w:r>
      <w:r>
        <w:rPr>
          <w:rFonts w:hint="eastAsia" w:ascii="仿宋_GB2312" w:eastAsia="仿宋_GB2312" w:hAnsiTheme="majorEastAsia"/>
          <w:b/>
          <w:color w:val="000000" w:themeColor="text1"/>
          <w:sz w:val="24"/>
          <w:szCs w:val="44"/>
          <w14:textFill>
            <w14:solidFill>
              <w14:schemeClr w14:val="tx1"/>
            </w14:solidFill>
          </w14:textFill>
        </w:rPr>
        <w:t>进行托管或销售</w:t>
      </w:r>
      <w:r>
        <w:rPr>
          <w:rFonts w:ascii="仿宋_GB2312" w:eastAsia="仿宋_GB2312" w:hAnsiTheme="majorEastAsia"/>
          <w:b/>
          <w:color w:val="000000" w:themeColor="text1"/>
          <w:sz w:val="24"/>
          <w:szCs w:val="44"/>
          <w14:textFill>
            <w14:solidFill>
              <w14:schemeClr w14:val="tx1"/>
            </w14:solidFill>
          </w14:textFill>
        </w:rPr>
        <w:t>，</w:t>
      </w:r>
      <w:r>
        <w:rPr>
          <w:rFonts w:hint="eastAsia" w:ascii="仿宋_GB2312" w:eastAsia="仿宋_GB2312" w:hAnsiTheme="majorEastAsia"/>
          <w:b/>
          <w:color w:val="000000" w:themeColor="text1"/>
          <w:sz w:val="24"/>
          <w:szCs w:val="44"/>
          <w14:textFill>
            <w14:solidFill>
              <w14:schemeClr w14:val="tx1"/>
            </w14:solidFill>
          </w14:textFill>
        </w:rPr>
        <w:t>【浙商</w:t>
      </w:r>
      <w:r>
        <w:rPr>
          <w:rFonts w:ascii="仿宋_GB2312" w:eastAsia="仿宋_GB2312" w:hAnsiTheme="majorEastAsia"/>
          <w:b/>
          <w:color w:val="000000" w:themeColor="text1"/>
          <w:sz w:val="24"/>
          <w:szCs w:val="44"/>
          <w14:textFill>
            <w14:solidFill>
              <w14:schemeClr w14:val="tx1"/>
            </w14:solidFill>
          </w14:textFill>
        </w:rPr>
        <w:t>银行】</w:t>
      </w:r>
      <w:r>
        <w:rPr>
          <w:rFonts w:hint="eastAsia" w:ascii="仿宋_GB2312" w:eastAsia="仿宋_GB2312" w:hAnsiTheme="majorEastAsia"/>
          <w:b/>
          <w:color w:val="000000" w:themeColor="text1"/>
          <w:sz w:val="24"/>
          <w:szCs w:val="44"/>
          <w14:textFill>
            <w14:solidFill>
              <w14:schemeClr w14:val="tx1"/>
            </w14:solidFill>
          </w14:textFill>
        </w:rPr>
        <w:t>系</w:t>
      </w:r>
      <w:r>
        <w:rPr>
          <w:rFonts w:ascii="仿宋_GB2312" w:eastAsia="仿宋_GB2312" w:hAnsiTheme="majorEastAsia"/>
          <w:b/>
          <w:color w:val="000000" w:themeColor="text1"/>
          <w:sz w:val="24"/>
          <w:szCs w:val="44"/>
          <w14:textFill>
            <w14:solidFill>
              <w14:schemeClr w14:val="tx1"/>
            </w14:solidFill>
          </w14:textFill>
        </w:rPr>
        <w:t>浙银理财的</w:t>
      </w:r>
      <w:r>
        <w:rPr>
          <w:rFonts w:hint="eastAsia" w:ascii="仿宋_GB2312" w:eastAsia="仿宋_GB2312" w:hAnsiTheme="majorEastAsia"/>
          <w:b/>
          <w:color w:val="000000" w:themeColor="text1"/>
          <w:sz w:val="24"/>
          <w:szCs w:val="44"/>
          <w14:textFill>
            <w14:solidFill>
              <w14:schemeClr w14:val="tx1"/>
            </w14:solidFill>
          </w14:textFill>
        </w:rPr>
        <w:t>【</w:t>
      </w:r>
      <w:r>
        <w:rPr>
          <w:rFonts w:ascii="仿宋_GB2312" w:eastAsia="仿宋_GB2312" w:hAnsiTheme="majorEastAsia"/>
          <w:b/>
          <w:color w:val="000000" w:themeColor="text1"/>
          <w:sz w:val="24"/>
          <w:szCs w:val="44"/>
          <w14:textFill>
            <w14:solidFill>
              <w14:schemeClr w14:val="tx1"/>
            </w14:solidFill>
          </w14:textFill>
        </w:rPr>
        <w:t>唯一股东</w:t>
      </w:r>
      <w:r>
        <w:rPr>
          <w:rFonts w:hint="eastAsia" w:ascii="仿宋_GB2312" w:eastAsia="仿宋_GB2312" w:hAnsiTheme="majorEastAsia"/>
          <w:b/>
          <w:color w:val="000000" w:themeColor="text1"/>
          <w:sz w:val="24"/>
          <w:szCs w:val="44"/>
          <w14:textFill>
            <w14:solidFill>
              <w14:schemeClr w14:val="tx1"/>
            </w14:solidFill>
          </w14:textFill>
        </w:rPr>
        <w:t>】，与浙银</w:t>
      </w:r>
      <w:r>
        <w:rPr>
          <w:rFonts w:ascii="仿宋_GB2312" w:eastAsia="仿宋_GB2312" w:hAnsiTheme="majorEastAsia"/>
          <w:b/>
          <w:color w:val="000000" w:themeColor="text1"/>
          <w:sz w:val="24"/>
          <w:szCs w:val="44"/>
          <w14:textFill>
            <w14:solidFill>
              <w14:schemeClr w14:val="tx1"/>
            </w14:solidFill>
          </w14:textFill>
        </w:rPr>
        <w:t>理财</w:t>
      </w:r>
      <w:r>
        <w:rPr>
          <w:rFonts w:hint="eastAsia" w:ascii="仿宋_GB2312" w:eastAsia="仿宋_GB2312" w:hAnsiTheme="majorEastAsia"/>
          <w:b/>
          <w:color w:val="000000" w:themeColor="text1"/>
          <w:sz w:val="24"/>
          <w:szCs w:val="44"/>
          <w14:textFill>
            <w14:solidFill>
              <w14:schemeClr w14:val="tx1"/>
            </w14:solidFill>
          </w14:textFill>
        </w:rPr>
        <w:t>具有</w:t>
      </w:r>
      <w:r>
        <w:rPr>
          <w:rFonts w:ascii="仿宋_GB2312" w:eastAsia="仿宋_GB2312" w:hAnsiTheme="majorEastAsia"/>
          <w:b/>
          <w:color w:val="000000" w:themeColor="text1"/>
          <w:sz w:val="24"/>
          <w:szCs w:val="44"/>
          <w14:textFill>
            <w14:solidFill>
              <w14:schemeClr w14:val="tx1"/>
            </w14:solidFill>
          </w14:textFill>
        </w:rPr>
        <w:t>关联关系。</w:t>
      </w:r>
      <w:r>
        <w:rPr>
          <w:rFonts w:hint="eastAsia" w:ascii="仿宋_GB2312" w:eastAsia="仿宋_GB2312" w:hAnsiTheme="majorEastAsia"/>
          <w:b/>
          <w:color w:val="000000" w:themeColor="text1"/>
          <w:sz w:val="24"/>
          <w:szCs w:val="44"/>
          <w14:textFill>
            <w14:solidFill>
              <w14:schemeClr w14:val="tx1"/>
            </w14:solidFill>
          </w14:textFill>
        </w:rPr>
        <w:t>如浙银</w:t>
      </w:r>
      <w:r>
        <w:rPr>
          <w:rFonts w:ascii="仿宋_GB2312" w:eastAsia="仿宋_GB2312" w:hAnsiTheme="majorEastAsia"/>
          <w:b/>
          <w:color w:val="000000" w:themeColor="text1"/>
          <w:sz w:val="24"/>
          <w:szCs w:val="44"/>
          <w14:textFill>
            <w14:solidFill>
              <w14:schemeClr w14:val="tx1"/>
            </w14:solidFill>
          </w14:textFill>
        </w:rPr>
        <w:t>理财委托【</w:t>
      </w:r>
      <w:r>
        <w:rPr>
          <w:rFonts w:hint="eastAsia" w:ascii="仿宋_GB2312" w:eastAsia="仿宋_GB2312" w:hAnsiTheme="majorEastAsia"/>
          <w:b/>
          <w:color w:val="000000" w:themeColor="text1"/>
          <w:sz w:val="24"/>
          <w:szCs w:val="44"/>
          <w14:textFill>
            <w14:solidFill>
              <w14:schemeClr w14:val="tx1"/>
            </w14:solidFill>
          </w14:textFill>
        </w:rPr>
        <w:t>浙商</w:t>
      </w:r>
      <w:r>
        <w:rPr>
          <w:rFonts w:ascii="仿宋_GB2312" w:eastAsia="仿宋_GB2312" w:hAnsiTheme="majorEastAsia"/>
          <w:b/>
          <w:color w:val="000000" w:themeColor="text1"/>
          <w:sz w:val="24"/>
          <w:szCs w:val="44"/>
          <w14:textFill>
            <w14:solidFill>
              <w14:schemeClr w14:val="tx1"/>
            </w14:solidFill>
          </w14:textFill>
        </w:rPr>
        <w:t>银行】</w:t>
      </w:r>
      <w:r>
        <w:rPr>
          <w:rFonts w:hint="eastAsia" w:ascii="仿宋_GB2312" w:eastAsia="仿宋_GB2312" w:hAnsiTheme="majorEastAsia"/>
          <w:b/>
          <w:color w:val="000000" w:themeColor="text1"/>
          <w:sz w:val="24"/>
          <w:szCs w:val="44"/>
          <w14:textFill>
            <w14:solidFill>
              <w14:schemeClr w14:val="tx1"/>
            </w14:solidFill>
          </w14:textFill>
        </w:rPr>
        <w:t>托管或销售</w:t>
      </w:r>
      <w:r>
        <w:rPr>
          <w:rFonts w:ascii="仿宋_GB2312" w:eastAsia="仿宋_GB2312" w:hAnsiTheme="majorEastAsia"/>
          <w:b/>
          <w:color w:val="000000" w:themeColor="text1"/>
          <w:sz w:val="24"/>
          <w:szCs w:val="44"/>
          <w14:textFill>
            <w14:solidFill>
              <w14:schemeClr w14:val="tx1"/>
            </w14:solidFill>
          </w14:textFill>
        </w:rPr>
        <w:t>本理财产品</w:t>
      </w:r>
      <w:r>
        <w:rPr>
          <w:rFonts w:hint="eastAsia" w:ascii="仿宋_GB2312" w:eastAsia="仿宋_GB2312" w:hAnsiTheme="majorEastAsia"/>
          <w:b/>
          <w:color w:val="000000" w:themeColor="text1"/>
          <w:sz w:val="24"/>
          <w:szCs w:val="44"/>
          <w14:textFill>
            <w14:solidFill>
              <w14:schemeClr w14:val="tx1"/>
            </w14:solidFill>
          </w14:textFill>
        </w:rPr>
        <w:t>，将</w:t>
      </w:r>
      <w:r>
        <w:rPr>
          <w:rFonts w:ascii="仿宋_GB2312" w:eastAsia="仿宋_GB2312" w:hAnsiTheme="majorEastAsia"/>
          <w:b/>
          <w:color w:val="000000" w:themeColor="text1"/>
          <w:sz w:val="24"/>
          <w:szCs w:val="44"/>
          <w14:textFill>
            <w14:solidFill>
              <w14:schemeClr w14:val="tx1"/>
            </w14:solidFill>
          </w14:textFill>
        </w:rPr>
        <w:t>存在</w:t>
      </w:r>
      <w:r>
        <w:rPr>
          <w:rFonts w:hint="eastAsia" w:ascii="仿宋_GB2312" w:eastAsia="仿宋_GB2312" w:hAnsiTheme="majorEastAsia"/>
          <w:b/>
          <w:color w:val="000000" w:themeColor="text1"/>
          <w:sz w:val="24"/>
          <w:szCs w:val="44"/>
          <w14:textFill>
            <w14:solidFill>
              <w14:schemeClr w14:val="tx1"/>
            </w14:solidFill>
          </w14:textFill>
        </w:rPr>
        <w:t>关联</w:t>
      </w:r>
      <w:r>
        <w:rPr>
          <w:rFonts w:ascii="仿宋_GB2312" w:eastAsia="仿宋_GB2312" w:hAnsiTheme="majorEastAsia"/>
          <w:b/>
          <w:color w:val="000000" w:themeColor="text1"/>
          <w:sz w:val="24"/>
          <w:szCs w:val="44"/>
          <w14:textFill>
            <w14:solidFill>
              <w14:schemeClr w14:val="tx1"/>
            </w14:solidFill>
          </w14:textFill>
        </w:rPr>
        <w:t>交易风险</w:t>
      </w:r>
      <w:r>
        <w:rPr>
          <w:rFonts w:hint="eastAsia" w:ascii="仿宋_GB2312" w:eastAsia="仿宋_GB2312" w:hAnsiTheme="majorEastAsia"/>
          <w:b/>
          <w:color w:val="000000" w:themeColor="text1"/>
          <w:sz w:val="24"/>
          <w:szCs w:val="44"/>
          <w14:textFill>
            <w14:solidFill>
              <w14:schemeClr w14:val="tx1"/>
            </w14:solidFill>
          </w14:textFill>
        </w:rPr>
        <w:t>，本人</w:t>
      </w:r>
      <w:r>
        <w:rPr>
          <w:rFonts w:ascii="仿宋_GB2312" w:eastAsia="仿宋_GB2312" w:hAnsiTheme="majorEastAsia"/>
          <w:b/>
          <w:color w:val="000000" w:themeColor="text1"/>
          <w:sz w:val="24"/>
          <w:szCs w:val="44"/>
          <w14:textFill>
            <w14:solidFill>
              <w14:schemeClr w14:val="tx1"/>
            </w14:solidFill>
          </w14:textFill>
        </w:rPr>
        <w:t>/</w:t>
      </w:r>
      <w:r>
        <w:rPr>
          <w:rFonts w:hint="eastAsia" w:ascii="仿宋_GB2312" w:eastAsia="仿宋_GB2312" w:hAnsiTheme="majorEastAsia"/>
          <w:b/>
          <w:color w:val="000000" w:themeColor="text1"/>
          <w:sz w:val="24"/>
          <w:szCs w:val="44"/>
          <w14:textFill>
            <w14:solidFill>
              <w14:schemeClr w14:val="tx1"/>
            </w14:solidFill>
          </w14:textFill>
        </w:rPr>
        <w:t>本公司确认已充分知悉前述关联关系及关联交易风险的存在，并接受理财产品由销售机构代理销售、托管机构托管，自愿承担相关投资风险。</w:t>
      </w:r>
    </w:p>
    <w:p w14:paraId="5FAA14FC">
      <w:pPr>
        <w:spacing w:line="360" w:lineRule="auto"/>
        <w:rPr>
          <w:rFonts w:ascii="仿宋_GB2312" w:eastAsia="仿宋_GB2312" w:hAnsiTheme="majorEastAsia"/>
          <w:sz w:val="24"/>
          <w:szCs w:val="44"/>
        </w:rPr>
      </w:pPr>
    </w:p>
    <w:p w14:paraId="521C5F13">
      <w:pPr>
        <w:spacing w:line="360" w:lineRule="auto"/>
        <w:ind w:firstLine="480" w:firstLineChars="200"/>
        <w:jc w:val="left"/>
        <w:rPr>
          <w:rFonts w:ascii="仿宋_GB2312" w:eastAsia="仿宋_GB2312" w:hAnsiTheme="majorEastAsia"/>
          <w:b/>
          <w:sz w:val="24"/>
          <w:szCs w:val="44"/>
        </w:rPr>
      </w:pPr>
      <w:r>
        <w:rPr>
          <w:rFonts w:hint="eastAsia" w:ascii="仿宋_GB2312" w:eastAsia="仿宋_GB2312" w:hAnsiTheme="majorEastAsia"/>
          <w:sz w:val="24"/>
          <w:szCs w:val="44"/>
        </w:rPr>
        <w:t>★经销售机构评估，本人/本公司的风险承受能力评估结果为（普通投资者自行填写）：【</w:t>
      </w:r>
      <w:r>
        <w:rPr>
          <w:rFonts w:ascii="仿宋_GB2312" w:eastAsia="仿宋_GB2312" w:hAnsiTheme="majorEastAsia"/>
          <w:sz w:val="24"/>
          <w:szCs w:val="44"/>
        </w:rPr>
        <w:t xml:space="preserve">              </w:t>
      </w:r>
      <w:r>
        <w:rPr>
          <w:rFonts w:hint="eastAsia" w:ascii="仿宋_GB2312" w:eastAsia="仿宋_GB2312" w:hAnsiTheme="majorEastAsia"/>
          <w:sz w:val="24"/>
          <w:szCs w:val="44"/>
        </w:rPr>
        <w:t>】。</w:t>
      </w:r>
      <w:r>
        <w:rPr>
          <w:rFonts w:hint="eastAsia" w:ascii="仿宋_GB2312" w:eastAsia="仿宋_GB2312" w:hAnsiTheme="majorEastAsia"/>
          <w:b/>
          <w:sz w:val="24"/>
          <w:szCs w:val="44"/>
        </w:rPr>
        <w:t>如影响自身风险承受的能力的因素发生变化，本人/本公司将及时完成风险承受能力的重新评估。</w:t>
      </w:r>
    </w:p>
    <w:p w14:paraId="33856F52">
      <w:pPr>
        <w:ind w:firstLine="420"/>
        <w:jc w:val="left"/>
        <w:rPr>
          <w:rFonts w:ascii="仿宋_GB2312" w:eastAsia="仿宋_GB2312" w:hAnsiTheme="majorEastAsia"/>
          <w:sz w:val="24"/>
          <w:szCs w:val="44"/>
        </w:rPr>
      </w:pPr>
      <w:r>
        <w:rPr>
          <w:rFonts w:ascii="仿宋_GB2312" w:eastAsia="仿宋_GB2312" w:hAnsiTheme="majorEastAsia"/>
          <w:sz w:val="24"/>
          <w:szCs w:val="44"/>
        </w:rPr>
        <mc:AlternateContent>
          <mc:Choice Requires="wps">
            <w:drawing>
              <wp:anchor distT="0" distB="0" distL="114300" distR="114300" simplePos="0" relativeHeight="251661312" behindDoc="0" locked="0" layoutInCell="1" allowOverlap="1">
                <wp:simplePos x="0" y="0"/>
                <wp:positionH relativeFrom="column">
                  <wp:posOffset>37465</wp:posOffset>
                </wp:positionH>
                <wp:positionV relativeFrom="paragraph">
                  <wp:posOffset>167640</wp:posOffset>
                </wp:positionV>
                <wp:extent cx="5305425" cy="9525"/>
                <wp:effectExtent l="0" t="0" r="9525" b="28575"/>
                <wp:wrapNone/>
                <wp:docPr id="1" name="直接连接符 1"/>
                <wp:cNvGraphicFramePr/>
                <a:graphic xmlns:a="http://schemas.openxmlformats.org/drawingml/2006/main">
                  <a:graphicData uri="http://schemas.microsoft.com/office/word/2010/wordprocessingShape">
                    <wps:wsp>
                      <wps:cNvCnPr/>
                      <wps:spPr>
                        <a:xfrm>
                          <a:off x="0" y="0"/>
                          <a:ext cx="5305425" cy="9525"/>
                        </a:xfrm>
                        <a:prstGeom prst="line">
                          <a:avLst/>
                        </a:prstGeom>
                        <a:ln w="19050">
                          <a:solidFill>
                            <a:schemeClr val="bg1">
                              <a:lumMod val="50000"/>
                            </a:schemeClr>
                          </a:solidFill>
                          <a:prstDash val="lg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95pt;margin-top:13.2pt;height:0.75pt;width:417.75pt;z-index:251661312;mso-width-relative:page;mso-height-relative:page;" filled="f" stroked="t" coordsize="21600,21600" o:gfxdata="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P0G5IvUAAAABwEAAA8AAAAAAAAAAQAgAAAAIgAAAGRycy9kb3ducmV2LnhtbFBL&#10;AQIUABQAAAAIAIdO4kBxyM/V+gEAANsDAAAOAAAAAAAAAAEAIAAAACMBAABkcnMvZTJvRG9jLnht&#10;bFBLBQYAAAAABgAGAFkBAACPBQAAAAA=&#10;">
                <v:fill on="f" focussize="0,0"/>
                <v:stroke weight="1.5pt" color="#808080 [1612]" miterlimit="8" joinstyle="miter" dashstyle="longDashDot"/>
                <v:imagedata o:title=""/>
                <o:lock v:ext="edit" aspectratio="f"/>
              </v:line>
            </w:pict>
          </mc:Fallback>
        </mc:AlternateContent>
      </w:r>
    </w:p>
    <w:p w14:paraId="119D47AE">
      <w:pPr>
        <w:ind w:firstLine="480" w:firstLineChars="200"/>
        <w:jc w:val="left"/>
        <w:rPr>
          <w:rFonts w:ascii="仿宋_GB2312" w:eastAsia="仿宋_GB2312" w:hAnsiTheme="majorEastAsia"/>
          <w:sz w:val="24"/>
          <w:szCs w:val="44"/>
        </w:rPr>
      </w:pPr>
    </w:p>
    <w:p w14:paraId="10B1C6B2">
      <w:pPr>
        <w:ind w:firstLine="480" w:firstLineChars="200"/>
        <w:jc w:val="left"/>
        <w:rPr>
          <w:rFonts w:ascii="仿宋_GB2312" w:eastAsia="仿宋_GB2312" w:hAnsiTheme="majorEastAsia"/>
          <w:b/>
          <w:sz w:val="24"/>
          <w:szCs w:val="44"/>
        </w:rPr>
      </w:pPr>
      <w:r>
        <w:rPr>
          <w:rFonts w:hint="eastAsia" w:ascii="仿宋_GB2312" w:eastAsia="仿宋_GB2312" w:hAnsiTheme="majorEastAsia"/>
          <w:sz w:val="24"/>
          <w:szCs w:val="44"/>
        </w:rPr>
        <w:t>★个人投资者须亲笔抄录以下内容：</w:t>
      </w:r>
      <w:r>
        <w:rPr>
          <w:rFonts w:hint="eastAsia" w:ascii="仿宋_GB2312" w:eastAsia="仿宋_GB2312" w:hAnsiTheme="majorEastAsia"/>
          <w:b/>
          <w:sz w:val="24"/>
          <w:szCs w:val="44"/>
        </w:rPr>
        <w:t>“本人已经阅读风险揭示，愿意承担投资风险。”</w:t>
      </w:r>
      <w:r>
        <w:rPr>
          <w:rFonts w:ascii="仿宋_GB2312" w:eastAsia="仿宋_GB2312" w:hAnsiTheme="majorEastAsia"/>
          <w:sz w:val="24"/>
          <w:szCs w:val="44"/>
        </w:rPr>
        <w:t xml:space="preserve"> </w:t>
      </w:r>
    </w:p>
    <w:p w14:paraId="5EC6E162">
      <w:pPr>
        <w:ind w:firstLine="480" w:firstLineChars="200"/>
        <w:jc w:val="left"/>
        <w:rPr>
          <w:rFonts w:ascii="仿宋_GB2312" w:eastAsia="仿宋_GB2312" w:hAnsiTheme="majorEastAsia"/>
          <w:sz w:val="24"/>
          <w:szCs w:val="44"/>
        </w:rPr>
      </w:pPr>
    </w:p>
    <w:p w14:paraId="5D6B0F87">
      <w:pPr>
        <w:ind w:firstLine="480" w:firstLineChars="200"/>
        <w:jc w:val="left"/>
        <w:rPr>
          <w:rFonts w:ascii="仿宋_GB2312" w:eastAsia="仿宋_GB2312" w:hAnsiTheme="majorEastAsia"/>
          <w:sz w:val="24"/>
          <w:szCs w:val="44"/>
        </w:rPr>
      </w:pPr>
    </w:p>
    <w:p w14:paraId="26ACBF30">
      <w:pPr>
        <w:jc w:val="left"/>
        <w:rPr>
          <w:rFonts w:ascii="仿宋_GB2312" w:eastAsia="仿宋_GB2312" w:hAnsiTheme="majorEastAsia"/>
          <w:sz w:val="24"/>
          <w:szCs w:val="44"/>
        </w:rPr>
      </w:pPr>
      <w:r>
        <w:rPr>
          <w:rFonts w:hint="eastAsia" w:ascii="仿宋_GB2312" w:eastAsia="仿宋_GB2312" w:hAnsiTheme="majorEastAsia"/>
          <w:sz w:val="24"/>
          <w:szCs w:val="44"/>
        </w:rPr>
        <w:t>投资者确认（抄录）：</w:t>
      </w:r>
      <w:r>
        <w:rPr>
          <w:rFonts w:ascii="仿宋_GB2312" w:eastAsia="仿宋_GB2312" w:hAnsiTheme="majorEastAsia"/>
          <w:sz w:val="24"/>
          <w:szCs w:val="44"/>
          <w:u w:val="single"/>
        </w:rPr>
        <w:t xml:space="preserve">                                                   </w:t>
      </w:r>
      <w:r>
        <w:rPr>
          <w:rFonts w:ascii="仿宋_GB2312" w:eastAsia="仿宋_GB2312" w:hAnsiTheme="majorEastAsia"/>
          <w:sz w:val="24"/>
          <w:szCs w:val="44"/>
        </w:rPr>
        <w:t xml:space="preserve"> </w:t>
      </w:r>
    </w:p>
    <w:p w14:paraId="241E01F1">
      <w:pPr>
        <w:jc w:val="left"/>
        <w:rPr>
          <w:rFonts w:ascii="仿宋_GB2312" w:eastAsia="仿宋_GB2312" w:hAnsiTheme="majorEastAsia"/>
          <w:sz w:val="24"/>
          <w:szCs w:val="44"/>
        </w:rPr>
      </w:pPr>
    </w:p>
    <w:p w14:paraId="51980BE6">
      <w:pPr>
        <w:jc w:val="left"/>
        <w:rPr>
          <w:rFonts w:ascii="仿宋_GB2312" w:eastAsia="仿宋_GB2312" w:hAnsiTheme="majorEastAsia"/>
          <w:sz w:val="24"/>
          <w:szCs w:val="44"/>
        </w:rPr>
      </w:pPr>
    </w:p>
    <w:p w14:paraId="35064621">
      <w:pPr>
        <w:jc w:val="right"/>
        <w:rPr>
          <w:rFonts w:ascii="仿宋_GB2312" w:eastAsia="仿宋_GB2312" w:hAnsiTheme="majorEastAsia"/>
          <w:sz w:val="24"/>
          <w:szCs w:val="44"/>
        </w:rPr>
      </w:pPr>
      <w:r>
        <w:rPr>
          <w:rFonts w:hint="eastAsia" w:ascii="仿宋_GB2312" w:eastAsia="仿宋_GB2312" w:hAnsiTheme="majorEastAsia"/>
          <w:sz w:val="24"/>
          <w:szCs w:val="44"/>
        </w:rPr>
        <w:t>个人投资者签名：                                日期：   年   月   日</w:t>
      </w:r>
    </w:p>
    <w:p w14:paraId="044DED4F">
      <w:pPr>
        <w:jc w:val="left"/>
        <w:rPr>
          <w:rFonts w:ascii="仿宋_GB2312" w:eastAsia="仿宋_GB2312" w:hAnsiTheme="majorEastAsia"/>
          <w:sz w:val="24"/>
          <w:szCs w:val="44"/>
        </w:rPr>
      </w:pPr>
      <w:r>
        <w:rPr>
          <w:rFonts w:ascii="仿宋_GB2312" w:eastAsia="仿宋_GB2312" w:hAnsiTheme="majorEastAsia"/>
          <w:sz w:val="24"/>
          <w:szCs w:val="44"/>
        </w:rPr>
        <mc:AlternateContent>
          <mc:Choice Requires="wps">
            <w:drawing>
              <wp:anchor distT="0" distB="0" distL="114300" distR="114300" simplePos="0" relativeHeight="251662336" behindDoc="0" locked="0" layoutInCell="1" allowOverlap="1">
                <wp:simplePos x="0" y="0"/>
                <wp:positionH relativeFrom="column">
                  <wp:posOffset>37465</wp:posOffset>
                </wp:positionH>
                <wp:positionV relativeFrom="paragraph">
                  <wp:posOffset>169545</wp:posOffset>
                </wp:positionV>
                <wp:extent cx="5305425" cy="9525"/>
                <wp:effectExtent l="0" t="0" r="9525" b="28575"/>
                <wp:wrapNone/>
                <wp:docPr id="2" name="直接连接符 2"/>
                <wp:cNvGraphicFramePr/>
                <a:graphic xmlns:a="http://schemas.openxmlformats.org/drawingml/2006/main">
                  <a:graphicData uri="http://schemas.microsoft.com/office/word/2010/wordprocessingShape">
                    <wps:wsp>
                      <wps:cNvCnPr/>
                      <wps:spPr>
                        <a:xfrm>
                          <a:off x="0" y="0"/>
                          <a:ext cx="5305425" cy="9525"/>
                        </a:xfrm>
                        <a:prstGeom prst="line">
                          <a:avLst/>
                        </a:prstGeom>
                        <a:ln w="19050">
                          <a:solidFill>
                            <a:schemeClr val="bg1">
                              <a:lumMod val="50000"/>
                            </a:schemeClr>
                          </a:solidFill>
                          <a:prstDash val="lgDash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95pt;margin-top:13.35pt;height:0.75pt;width:417.75pt;z-index:251662336;mso-width-relative:page;mso-height-relative:page;" filled="f" stroked="t" coordsize="21600,21600" o:gfxdata="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DpZsOdQAAAAHAQAADwAAAAAAAAABACAAAAAiAAAAZHJzL2Rvd25yZXYueG1sUEsB&#10;AhQAFAAAAAgAh07iQCBbwpL5AQAA2wMAAA4AAAAAAAAAAQAgAAAAIwEAAGRycy9lMm9Eb2MueG1s&#10;UEsFBgAAAAAGAAYAWQEAAI4FAAAAAA==&#10;">
                <v:fill on="f" focussize="0,0"/>
                <v:stroke weight="1.5pt" color="#808080 [1612]" miterlimit="8" joinstyle="miter" dashstyle="longDashDot"/>
                <v:imagedata o:title=""/>
                <o:lock v:ext="edit" aspectratio="f"/>
              </v:line>
            </w:pict>
          </mc:Fallback>
        </mc:AlternateContent>
      </w:r>
    </w:p>
    <w:p w14:paraId="71699A9C">
      <w:pPr>
        <w:ind w:firstLine="480" w:firstLineChars="200"/>
        <w:jc w:val="left"/>
        <w:rPr>
          <w:rFonts w:ascii="仿宋_GB2312" w:eastAsia="仿宋_GB2312" w:hAnsiTheme="majorEastAsia"/>
          <w:sz w:val="24"/>
          <w:szCs w:val="44"/>
        </w:rPr>
      </w:pPr>
    </w:p>
    <w:p w14:paraId="6E801E79">
      <w:pPr>
        <w:ind w:firstLine="480" w:firstLineChars="200"/>
        <w:jc w:val="left"/>
        <w:rPr>
          <w:rFonts w:ascii="仿宋_GB2312" w:eastAsia="仿宋_GB2312" w:hAnsiTheme="majorEastAsia"/>
          <w:b/>
          <w:sz w:val="24"/>
          <w:szCs w:val="44"/>
        </w:rPr>
      </w:pPr>
      <w:r>
        <w:rPr>
          <w:rFonts w:hint="eastAsia" w:ascii="仿宋_GB2312" w:eastAsia="仿宋_GB2312" w:hAnsiTheme="majorEastAsia"/>
          <w:sz w:val="24"/>
          <w:szCs w:val="44"/>
        </w:rPr>
        <w:t>★机构投资者须亲笔抄录以下内容：</w:t>
      </w:r>
      <w:r>
        <w:rPr>
          <w:rFonts w:hint="eastAsia" w:ascii="仿宋_GB2312" w:eastAsia="仿宋_GB2312" w:hAnsiTheme="majorEastAsia"/>
          <w:b/>
          <w:sz w:val="24"/>
          <w:szCs w:val="44"/>
        </w:rPr>
        <w:t>“我司已经阅读风险揭示，愿意承担投资风险。”</w:t>
      </w:r>
      <w:r>
        <w:rPr>
          <w:rFonts w:ascii="仿宋_GB2312" w:eastAsia="仿宋_GB2312" w:hAnsiTheme="majorEastAsia"/>
          <w:sz w:val="24"/>
          <w:szCs w:val="44"/>
        </w:rPr>
        <w:t xml:space="preserve"> </w:t>
      </w:r>
    </w:p>
    <w:p w14:paraId="35A8C99F">
      <w:pPr>
        <w:ind w:firstLine="480" w:firstLineChars="200"/>
        <w:jc w:val="left"/>
        <w:rPr>
          <w:rFonts w:ascii="仿宋_GB2312" w:eastAsia="仿宋_GB2312" w:hAnsiTheme="majorEastAsia"/>
          <w:sz w:val="24"/>
          <w:szCs w:val="44"/>
        </w:rPr>
      </w:pPr>
    </w:p>
    <w:p w14:paraId="08D254DE">
      <w:pPr>
        <w:jc w:val="left"/>
        <w:rPr>
          <w:rFonts w:ascii="仿宋_GB2312" w:eastAsia="仿宋_GB2312" w:hAnsiTheme="majorEastAsia"/>
          <w:sz w:val="24"/>
          <w:szCs w:val="44"/>
        </w:rPr>
      </w:pPr>
      <w:r>
        <w:rPr>
          <w:rFonts w:hint="eastAsia" w:ascii="仿宋_GB2312" w:eastAsia="仿宋_GB2312" w:hAnsiTheme="majorEastAsia"/>
          <w:sz w:val="24"/>
          <w:szCs w:val="44"/>
        </w:rPr>
        <w:t>投资者确认（抄录）：</w:t>
      </w:r>
      <w:r>
        <w:rPr>
          <w:rFonts w:ascii="仿宋_GB2312" w:eastAsia="仿宋_GB2312" w:hAnsiTheme="majorEastAsia"/>
          <w:sz w:val="24"/>
          <w:szCs w:val="44"/>
          <w:u w:val="single"/>
        </w:rPr>
        <w:t xml:space="preserve">                                                   </w:t>
      </w:r>
    </w:p>
    <w:p w14:paraId="053076E9">
      <w:pPr>
        <w:jc w:val="left"/>
        <w:rPr>
          <w:rFonts w:ascii="仿宋_GB2312" w:eastAsia="仿宋_GB2312" w:hAnsiTheme="majorEastAsia"/>
          <w:sz w:val="24"/>
          <w:szCs w:val="44"/>
        </w:rPr>
      </w:pPr>
    </w:p>
    <w:p w14:paraId="12E0E9DD">
      <w:pPr>
        <w:jc w:val="left"/>
        <w:rPr>
          <w:rFonts w:ascii="仿宋_GB2312" w:eastAsia="仿宋_GB2312" w:hAnsiTheme="majorEastAsia"/>
          <w:sz w:val="24"/>
          <w:szCs w:val="44"/>
        </w:rPr>
      </w:pPr>
    </w:p>
    <w:p w14:paraId="18463271">
      <w:pPr>
        <w:jc w:val="right"/>
        <w:rPr>
          <w:rFonts w:ascii="仿宋_GB2312" w:eastAsia="仿宋_GB2312" w:hAnsiTheme="majorEastAsia"/>
          <w:sz w:val="24"/>
          <w:szCs w:val="44"/>
        </w:rPr>
      </w:pPr>
      <w:r>
        <w:rPr>
          <w:rFonts w:hint="eastAsia" w:ascii="仿宋_GB2312" w:eastAsia="仿宋_GB2312" w:hAnsiTheme="majorEastAsia"/>
          <w:sz w:val="24"/>
          <w:szCs w:val="44"/>
        </w:rPr>
        <w:t>机构投资者（盖章）：                            日期：   年   月   日</w:t>
      </w:r>
    </w:p>
    <w:p w14:paraId="57BBC6BC">
      <w:pPr>
        <w:jc w:val="left"/>
        <w:rPr>
          <w:rFonts w:ascii="仿宋_GB2312" w:eastAsia="仿宋_GB2312" w:hAnsiTheme="majorEastAsia"/>
          <w:sz w:val="24"/>
          <w:szCs w:val="44"/>
        </w:rPr>
      </w:pPr>
    </w:p>
    <w:p w14:paraId="2D408ED7">
      <w:pPr>
        <w:rPr>
          <w:rFonts w:ascii="方正小标宋简体" w:eastAsia="方正小标宋简体"/>
          <w:sz w:val="36"/>
          <w:szCs w:val="36"/>
        </w:rPr>
      </w:pPr>
      <w:r>
        <w:rPr>
          <w:rFonts w:hint="eastAsia" w:ascii="仿宋_GB2312" w:eastAsia="仿宋_GB2312" w:hAnsiTheme="majorEastAsia"/>
          <w:sz w:val="24"/>
          <w:szCs w:val="44"/>
        </w:rPr>
        <w:t>机构投资者法定代表人或授权代表（签字或盖章）</w:t>
      </w:r>
    </w:p>
    <w:p w14:paraId="46F0B225">
      <w:pPr>
        <w:rPr>
          <w:sz w:val="24"/>
          <w:szCs w:val="24"/>
        </w:rPr>
      </w:pPr>
    </w:p>
    <w:p w14:paraId="7D7C1333">
      <w:pPr>
        <w:jc w:val="left"/>
        <w:rPr>
          <w:rFonts w:hint="eastAsia" w:ascii="黑体" w:hAnsi="黑体" w:eastAsia="黑体" w:cs="黑体"/>
          <w:i w:val="0"/>
          <w:iCs w:val="0"/>
          <w:caps w:val="0"/>
          <w:color w:val="auto"/>
          <w:spacing w:val="0"/>
          <w:sz w:val="32"/>
          <w:szCs w:val="32"/>
          <w:shd w:val="clear" w:fill="FFFFFF"/>
          <w:lang w:val="en-US" w:eastAsia="zh-CN"/>
        </w:rPr>
      </w:pPr>
    </w:p>
    <w:p w14:paraId="245E4AA3">
      <w:pPr>
        <w:jc w:val="left"/>
        <w:rPr>
          <w:rFonts w:hint="eastAsia" w:ascii="黑体" w:hAnsi="黑体" w:eastAsia="黑体" w:cs="黑体"/>
          <w:i w:val="0"/>
          <w:iCs w:val="0"/>
          <w:caps w:val="0"/>
          <w:color w:val="auto"/>
          <w:spacing w:val="0"/>
          <w:sz w:val="32"/>
          <w:szCs w:val="32"/>
          <w:shd w:val="clear" w:fill="FFFFFF"/>
          <w:lang w:val="en-US" w:eastAsia="zh-CN"/>
        </w:rPr>
      </w:pPr>
    </w:p>
    <w:p w14:paraId="6B98F62E">
      <w:pPr>
        <w:jc w:val="left"/>
        <w:rPr>
          <w:rFonts w:hint="eastAsia" w:ascii="黑体" w:hAnsi="黑体" w:eastAsia="黑体" w:cs="黑体"/>
          <w:i w:val="0"/>
          <w:iCs w:val="0"/>
          <w:caps w:val="0"/>
          <w:color w:val="auto"/>
          <w:spacing w:val="0"/>
          <w:sz w:val="32"/>
          <w:szCs w:val="32"/>
          <w:shd w:val="clear" w:fill="FFFFFF"/>
          <w:lang w:val="en-US" w:eastAsia="zh-CN"/>
        </w:rPr>
      </w:pPr>
    </w:p>
    <w:p w14:paraId="32AD55A5">
      <w:pPr>
        <w:jc w:val="left"/>
        <w:rPr>
          <w:rFonts w:hint="eastAsia" w:ascii="黑体" w:hAnsi="黑体" w:eastAsia="黑体" w:cs="黑体"/>
          <w:i w:val="0"/>
          <w:iCs w:val="0"/>
          <w:caps w:val="0"/>
          <w:color w:val="auto"/>
          <w:spacing w:val="0"/>
          <w:sz w:val="32"/>
          <w:szCs w:val="32"/>
          <w:shd w:val="clear" w:fill="FFFFFF"/>
          <w:lang w:val="en-US" w:eastAsia="zh-CN"/>
        </w:rPr>
      </w:pPr>
    </w:p>
    <w:p w14:paraId="3719D631">
      <w:pPr>
        <w:jc w:val="left"/>
        <w:rPr>
          <w:rFonts w:hint="eastAsia" w:ascii="黑体" w:hAnsi="黑体" w:eastAsia="黑体" w:cs="黑体"/>
          <w:i w:val="0"/>
          <w:iCs w:val="0"/>
          <w:caps w:val="0"/>
          <w:color w:val="auto"/>
          <w:spacing w:val="0"/>
          <w:sz w:val="32"/>
          <w:szCs w:val="32"/>
          <w:shd w:val="clear" w:fill="FFFFFF"/>
          <w:lang w:val="en-US" w:eastAsia="zh-CN"/>
        </w:rPr>
      </w:pPr>
    </w:p>
    <w:p w14:paraId="5DA4033A">
      <w:pPr>
        <w:jc w:val="left"/>
        <w:rPr>
          <w:rFonts w:hint="eastAsia" w:ascii="黑体" w:hAnsi="黑体" w:eastAsia="黑体" w:cs="黑体"/>
          <w:i w:val="0"/>
          <w:iCs w:val="0"/>
          <w:caps w:val="0"/>
          <w:color w:val="auto"/>
          <w:spacing w:val="0"/>
          <w:sz w:val="32"/>
          <w:szCs w:val="32"/>
          <w:shd w:val="clear" w:fill="FFFFFF"/>
          <w:lang w:val="en-US" w:eastAsia="zh-CN"/>
        </w:rPr>
      </w:pPr>
    </w:p>
    <w:p w14:paraId="2CD8A4D0">
      <w:pPr>
        <w:jc w:val="left"/>
        <w:rPr>
          <w:rFonts w:hint="eastAsia" w:ascii="黑体" w:hAnsi="黑体" w:eastAsia="黑体" w:cs="黑体"/>
          <w:i w:val="0"/>
          <w:iCs w:val="0"/>
          <w:caps w:val="0"/>
          <w:color w:val="auto"/>
          <w:spacing w:val="0"/>
          <w:sz w:val="32"/>
          <w:szCs w:val="32"/>
          <w:shd w:val="clear" w:fill="FFFFFF"/>
          <w:lang w:val="en-US" w:eastAsia="zh-CN"/>
        </w:rPr>
      </w:pPr>
    </w:p>
    <w:p w14:paraId="5AB469CD">
      <w:pPr>
        <w:jc w:val="left"/>
        <w:rPr>
          <w:rFonts w:hint="eastAsia" w:ascii="黑体" w:hAnsi="黑体" w:eastAsia="黑体" w:cs="黑体"/>
          <w:i w:val="0"/>
          <w:iCs w:val="0"/>
          <w:caps w:val="0"/>
          <w:color w:val="auto"/>
          <w:spacing w:val="0"/>
          <w:sz w:val="32"/>
          <w:szCs w:val="32"/>
          <w:shd w:val="clear" w:fill="FFFFFF"/>
          <w:lang w:val="en-US" w:eastAsia="zh-CN"/>
        </w:rPr>
      </w:pPr>
    </w:p>
    <w:p w14:paraId="53EA8F0F">
      <w:pPr>
        <w:jc w:val="left"/>
        <w:rPr>
          <w:rFonts w:hint="eastAsia" w:ascii="黑体" w:hAnsi="黑体" w:eastAsia="黑体" w:cs="黑体"/>
          <w:i w:val="0"/>
          <w:iCs w:val="0"/>
          <w:caps w:val="0"/>
          <w:color w:val="auto"/>
          <w:spacing w:val="0"/>
          <w:sz w:val="32"/>
          <w:szCs w:val="32"/>
          <w:shd w:val="clear" w:fill="FFFFFF"/>
          <w:lang w:val="en-US" w:eastAsia="zh-CN"/>
        </w:rPr>
      </w:pPr>
    </w:p>
    <w:p w14:paraId="34111B2D">
      <w:pPr>
        <w:jc w:val="left"/>
        <w:rPr>
          <w:rFonts w:hint="eastAsia" w:ascii="黑体" w:hAnsi="黑体" w:eastAsia="黑体" w:cs="黑体"/>
          <w:i w:val="0"/>
          <w:iCs w:val="0"/>
          <w:caps w:val="0"/>
          <w:color w:val="auto"/>
          <w:spacing w:val="0"/>
          <w:sz w:val="32"/>
          <w:szCs w:val="32"/>
          <w:shd w:val="clear" w:fill="FFFFFF"/>
          <w:lang w:val="en-US" w:eastAsia="zh-CN"/>
        </w:rPr>
      </w:pPr>
    </w:p>
    <w:p w14:paraId="0B7DB0CD">
      <w:pPr>
        <w:jc w:val="left"/>
        <w:rPr>
          <w:rFonts w:hint="eastAsia" w:ascii="黑体" w:hAnsi="黑体" w:eastAsia="黑体" w:cs="黑体"/>
          <w:i w:val="0"/>
          <w:iCs w:val="0"/>
          <w:caps w:val="0"/>
          <w:color w:val="auto"/>
          <w:spacing w:val="0"/>
          <w:sz w:val="32"/>
          <w:szCs w:val="32"/>
          <w:shd w:val="clear" w:fill="FFFFFF"/>
          <w:lang w:val="en-US" w:eastAsia="zh-CN"/>
        </w:rPr>
      </w:pPr>
    </w:p>
    <w:p w14:paraId="73FFE399">
      <w:pPr>
        <w:jc w:val="left"/>
        <w:rPr>
          <w:rFonts w:hint="eastAsia" w:ascii="黑体" w:hAnsi="黑体" w:eastAsia="黑体" w:cs="黑体"/>
          <w:i w:val="0"/>
          <w:iCs w:val="0"/>
          <w:caps w:val="0"/>
          <w:color w:val="auto"/>
          <w:spacing w:val="0"/>
          <w:sz w:val="32"/>
          <w:szCs w:val="32"/>
          <w:shd w:val="clear" w:fill="FFFFFF"/>
          <w:lang w:val="en-US" w:eastAsia="zh-CN"/>
        </w:rPr>
      </w:pPr>
    </w:p>
    <w:p w14:paraId="4F2F094C">
      <w:pPr>
        <w:jc w:val="left"/>
        <w:rPr>
          <w:rFonts w:hint="eastAsia" w:ascii="黑体" w:hAnsi="黑体" w:eastAsia="黑体" w:cs="黑体"/>
          <w:i w:val="0"/>
          <w:iCs w:val="0"/>
          <w:caps w:val="0"/>
          <w:color w:val="auto"/>
          <w:spacing w:val="0"/>
          <w:sz w:val="32"/>
          <w:szCs w:val="32"/>
          <w:shd w:val="clear" w:fill="FFFFFF"/>
          <w:lang w:val="en-US" w:eastAsia="zh-CN"/>
        </w:rPr>
      </w:pPr>
    </w:p>
    <w:p w14:paraId="5402788F">
      <w:pPr>
        <w:jc w:val="left"/>
        <w:rPr>
          <w:rFonts w:hint="eastAsia" w:ascii="黑体" w:hAnsi="黑体" w:eastAsia="黑体" w:cs="黑体"/>
          <w:i w:val="0"/>
          <w:iCs w:val="0"/>
          <w:caps w:val="0"/>
          <w:color w:val="auto"/>
          <w:spacing w:val="0"/>
          <w:sz w:val="32"/>
          <w:szCs w:val="32"/>
          <w:shd w:val="clear" w:fill="FFFFFF"/>
          <w:lang w:val="en-US" w:eastAsia="zh-CN"/>
        </w:rPr>
      </w:pPr>
    </w:p>
    <w:p w14:paraId="35D34342">
      <w:pPr>
        <w:jc w:val="left"/>
        <w:rPr>
          <w:rFonts w:hint="eastAsia"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t>附件3：</w:t>
      </w:r>
    </w:p>
    <w:p w14:paraId="2EA0B168">
      <w:pPr>
        <w:spacing w:before="156" w:beforeLines="50"/>
        <w:jc w:val="center"/>
        <w:rPr>
          <w:rFonts w:ascii="方正小标宋简体" w:eastAsia="方正小标宋简体"/>
          <w:sz w:val="36"/>
          <w:szCs w:val="36"/>
        </w:rPr>
      </w:pPr>
      <w:r>
        <w:rPr>
          <w:rFonts w:hint="eastAsia" w:ascii="方正小标宋简体" w:eastAsia="方正小标宋简体"/>
          <w:sz w:val="36"/>
          <w:szCs w:val="36"/>
        </w:rPr>
        <w:t>浙</w:t>
      </w:r>
      <w:r>
        <w:rPr>
          <w:rFonts w:ascii="方正小标宋简体" w:eastAsia="方正小标宋简体"/>
          <w:sz w:val="36"/>
          <w:szCs w:val="36"/>
        </w:rPr>
        <w:t>银理财理财产品</w:t>
      </w:r>
    </w:p>
    <w:p w14:paraId="432B6BA4">
      <w:pPr>
        <w:spacing w:before="156" w:beforeLines="50"/>
        <w:jc w:val="center"/>
        <w:rPr>
          <w:rFonts w:ascii="方正小标宋简体" w:eastAsia="方正小标宋简体"/>
          <w:sz w:val="36"/>
          <w:szCs w:val="36"/>
        </w:rPr>
      </w:pPr>
      <w:r>
        <w:rPr>
          <w:rFonts w:ascii="方正小标宋简体" w:eastAsia="方正小标宋简体"/>
          <w:sz w:val="36"/>
          <w:szCs w:val="36"/>
        </w:rPr>
        <w:t>投资协议书</w:t>
      </w:r>
    </w:p>
    <w:p w14:paraId="3250270A">
      <w:pPr>
        <w:jc w:val="center"/>
        <w:rPr>
          <w:rFonts w:ascii="方正小标宋简体" w:eastAsia="方正小标宋简体" w:hAnsiTheme="minorEastAsia"/>
          <w:sz w:val="28"/>
          <w:szCs w:val="30"/>
        </w:rPr>
      </w:pPr>
      <w:r>
        <w:rPr>
          <w:rFonts w:hint="eastAsia" w:ascii="方正小标宋简体" w:eastAsia="方正小标宋简体" w:hAnsiTheme="minorEastAsia"/>
          <w:sz w:val="28"/>
          <w:szCs w:val="30"/>
        </w:rPr>
        <w:t>（202</w:t>
      </w:r>
      <w:r>
        <w:rPr>
          <w:rFonts w:hint="eastAsia" w:ascii="方正小标宋简体" w:eastAsia="方正小标宋简体" w:hAnsiTheme="minorEastAsia"/>
          <w:sz w:val="28"/>
          <w:szCs w:val="30"/>
          <w:lang w:val="en-US" w:eastAsia="zh-CN"/>
        </w:rPr>
        <w:t>608</w:t>
      </w:r>
      <w:r>
        <w:rPr>
          <w:rFonts w:hint="eastAsia" w:ascii="方正小标宋简体" w:eastAsia="方正小标宋简体" w:hAnsiTheme="minorEastAsia"/>
          <w:sz w:val="28"/>
          <w:szCs w:val="30"/>
        </w:rPr>
        <w:t>版）</w:t>
      </w:r>
    </w:p>
    <w:p w14:paraId="10040FB9">
      <w:pPr>
        <w:spacing w:after="156" w:afterLines="50"/>
        <w:jc w:val="center"/>
        <w:rPr>
          <w:rFonts w:ascii="方正小标宋简体" w:eastAsia="方正小标宋简体" w:hAnsiTheme="minorEastAsia"/>
          <w:sz w:val="40"/>
          <w:szCs w:val="44"/>
        </w:rPr>
      </w:pPr>
      <w:r>
        <w:rPr>
          <w:rFonts w:hint="eastAsia" w:ascii="方正小标宋简体" w:eastAsia="方正小标宋简体" w:hAnsiTheme="minorEastAsia"/>
          <w:sz w:val="28"/>
          <w:szCs w:val="30"/>
        </w:rPr>
        <w:t>理财非存款、产品有风险、投资须谨慎</w:t>
      </w:r>
    </w:p>
    <w:p w14:paraId="77C15CA8">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投资者（以下简称“甲方”），与浙银理财有限责任公司（以下简称“乙方”）两方经协商一致，本着平等自愿、诚实信用的原则，就甲方投资乙方发行与管理的理财产品，达成如下协议：</w:t>
      </w:r>
    </w:p>
    <w:p w14:paraId="0446F885">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一、重要提示</w:t>
      </w:r>
    </w:p>
    <w:p w14:paraId="7CC2F399">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1.本协议与本理财产品对应的《风险揭示书》、《产品说明书》、《投资者权益须知》、《（代理）销售协议书》构成完整和不可分割的理财产品销售文件，具有同等法律效力。</w:t>
      </w:r>
      <w:r>
        <w:rPr>
          <w:rFonts w:hint="eastAsia" w:ascii="仿宋_GB2312" w:hAnsi="仿宋_GB2312" w:eastAsia="仿宋_GB2312" w:cs="仿宋_GB2312"/>
          <w:b/>
          <w:bCs/>
          <w:sz w:val="24"/>
          <w:szCs w:val="24"/>
        </w:rPr>
        <w:t>为了维护投资者的合法权益，请在投资前仔细阅读本协议及其他销售文件（尤其是黑体加粗的条款），了解理财产品具体情况。如果投资者不同意本协议的任何内容，或者无法准确理解相关条款的解释，请不要进行后续操作。</w:t>
      </w:r>
    </w:p>
    <w:p w14:paraId="2C0A34FE">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b/>
          <w:bCs/>
          <w:sz w:val="24"/>
          <w:szCs w:val="24"/>
        </w:rPr>
        <w:t>甲方签署本协议（含电子渠道确认）则被视为已详细阅读过本协议及完整理财产品销售文件，并充分理解文件条款和潜在风险，自愿购买本理财产品，并同意遵守理财产品销售文件的各项约定。</w:t>
      </w:r>
    </w:p>
    <w:p w14:paraId="04E42E35">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3.在购买理财产品前，甲方应仔细阅读销售文件中的各项条款，确保自己完全明白该项投资的性质和所涉及的风险，详细了解和审慎评估该理财产品的资金投资方向、风险类型等基本情况，</w:t>
      </w:r>
      <w:r>
        <w:rPr>
          <w:rFonts w:hint="eastAsia" w:ascii="仿宋_GB2312" w:hAnsi="仿宋_GB2312" w:eastAsia="仿宋_GB2312" w:cs="仿宋_GB2312"/>
          <w:b/>
          <w:bCs/>
          <w:sz w:val="24"/>
          <w:szCs w:val="24"/>
        </w:rPr>
        <w:t>在慎重考虑后自行决定购买与自身风险承受能力和资产管理需求匹配的理财产品，如影响甲方风险承受能力的因素发生变化，请及时重新完成风险承受能力评估。</w:t>
      </w:r>
    </w:p>
    <w:p w14:paraId="7A7D2147">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4.本理财产品不保证本金和收益，甲方应知晓并理解，</w:t>
      </w:r>
      <w:r>
        <w:rPr>
          <w:rFonts w:hint="eastAsia" w:ascii="仿宋_GB2312" w:hAnsi="仿宋_GB2312" w:eastAsia="仿宋_GB2312" w:cs="仿宋_GB2312"/>
          <w:b/>
          <w:bCs/>
          <w:sz w:val="24"/>
          <w:szCs w:val="24"/>
        </w:rPr>
        <w:t>理财非存款、产品有风险、投资须谨慎。</w:t>
      </w:r>
      <w:r>
        <w:rPr>
          <w:rFonts w:hint="eastAsia" w:ascii="仿宋_GB2312" w:hAnsi="仿宋_GB2312" w:eastAsia="仿宋_GB2312" w:cs="仿宋_GB2312"/>
          <w:sz w:val="24"/>
          <w:szCs w:val="24"/>
        </w:rPr>
        <w:t>本理财产品可能面临信用风险、市场风险、流动性风险等各类风险因素，具体由乙方在《风险揭示书》中揭示。甲方应仔细阅读并充分理解《风险揭示书》的详细条款及理财产品可能发生的风险。</w:t>
      </w:r>
    </w:p>
    <w:p w14:paraId="7125192B">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5.在任何情况下乙方发布的理财产品业绩比较基准仅供甲方参考，不代表甲方能获得的实际投资收益，不代表理财产品的未来表现，亦不构成乙方保证甲方获得业绩比较基准反映的收益率的承诺。</w:t>
      </w:r>
    </w:p>
    <w:p w14:paraId="4143727B">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二、双方权利义务</w:t>
      </w:r>
    </w:p>
    <w:p w14:paraId="1A059D2B">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（一）甲方的权利义务</w:t>
      </w:r>
    </w:p>
    <w:p w14:paraId="42B60897">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1.甲方声明：</w:t>
      </w:r>
    </w:p>
    <w:p w14:paraId="71E58AE2">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方自愿以本协议所约定的理财本金金额购买本理财产品，保证理财本金是其自有或其有权处分的合法资金（包括合法受托管理的资金），不得使用贷款、发行债券等筹集的非自有资金投资（受托管理的资管产品除外），同时将该资金用作理财产品销售文件下交易以及订立和履行本协议并不违反任何法律、法规，且不违反任何约束或影响甲方或其资产的合同、协议或承诺。</w:t>
      </w:r>
      <w:r>
        <w:rPr>
          <w:rFonts w:hint="eastAsia" w:ascii="仿宋_GB2312" w:hAnsi="仿宋_GB2312" w:eastAsia="仿宋_GB2312" w:cs="仿宋_GB2312"/>
          <w:b/>
          <w:bCs/>
          <w:sz w:val="24"/>
          <w:szCs w:val="24"/>
        </w:rPr>
        <w:t>若甲方为机构投资者的，甲方确认已完全知悉并接受本理财产品的投资范围，并确保以自有资金或受托管理的资管产品投资本理财产品符合相关法律法规、监管规定及资管产品的投资范围，不存在违反监管要求的产品嵌套、以投资本理财产品规避投资范围或杠杆约束等违规行为。</w:t>
      </w:r>
    </w:p>
    <w:p w14:paraId="13067912">
      <w:pPr>
        <w:spacing w:line="360" w:lineRule="auto"/>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甲方签署本协议符合对甲方具有约束力的法律法规等相关规定，</w:t>
      </w:r>
      <w:r>
        <w:rPr>
          <w:rFonts w:hint="eastAsia" w:ascii="仿宋_GB2312" w:hAnsi="仿宋_GB2312" w:eastAsia="仿宋_GB2312" w:cs="仿宋_GB2312"/>
          <w:sz w:val="24"/>
          <w:szCs w:val="24"/>
        </w:rPr>
        <w:t>不存在法律法规、有权机关或主管机关禁止或限制购买理财产品的各种情形，其购买理财产品的行为亦未违反任何限制性规定。甲方具有完全适当的资格与能力订立、接收及履行本协议以及以其为一方当事人的任何有关文件。甲方签署和履行本协议系其真实意思表示。甲方已经取得签订和履行本协议所需的一切有关批准、许可、备案或者登记。若甲方为个人投资者的，甲方确认其为具有完全民事行为能力的个人；若甲方为机构投资者的，甲方确认已经按照其章程或者其它内部管理文件的要求取得合法、有效的授权。</w:t>
      </w:r>
      <w:r>
        <w:rPr>
          <w:rFonts w:hint="eastAsia" w:ascii="仿宋_GB2312" w:hAnsi="仿宋_GB2312" w:eastAsia="仿宋_GB2312" w:cs="仿宋_GB2312"/>
          <w:b/>
          <w:bCs/>
          <w:sz w:val="24"/>
          <w:szCs w:val="24"/>
        </w:rPr>
        <w:t>否则，由此导致的后果应由甲方自行承担，并赔偿因此给产品管理人带来的损失。</w:t>
      </w:r>
    </w:p>
    <w:p w14:paraId="42C30075">
      <w:pPr>
        <w:spacing w:line="360" w:lineRule="auto"/>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2.甲方接受并签署理财产品销售文件，对有关条款不存在任何疑问或异议；甲方已清楚知悉并同意理财产品销售文件下理财产品的投资管理等行为由乙方负责实施，完全知晓产品可能出现的各种风险，在慎重考虑后作出交易决定，愿意并能够承担风险。乙方向甲方提供的市场分析和预测仅供参考，甲方据此做出的任何决策均出于甲方自身的判断，乙方不承担任何责任。</w:t>
      </w:r>
    </w:p>
    <w:p w14:paraId="491E41FB">
      <w:pPr>
        <w:spacing w:line="360" w:lineRule="auto"/>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3.因甲方理财指定账户资金余额不足或处于非正常状态（包括但不限于冻结、销户等状态）导致银行无法按时办理扣款或到期理财资金及收益无法入账，或者引起其他风险与损失的，均由甲方承担。</w:t>
      </w:r>
    </w:p>
    <w:p w14:paraId="0D380B70">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4.甲方同意乙方在本协议及其他理财产品销售文件约定的事项内，依据自身的投资决策流程和风险管理机制做出和实施相关投资管理决定。</w:t>
      </w:r>
    </w:p>
    <w:p w14:paraId="492E20E0">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5.甲方特别在此声明：同意乙方于本理财产品理财起始日当日将甲方理财指定账户内相应理财资金划转至乙方理财账户，划款前乙方不另行给予通知,划款时也不以电话等方式与甲方进行最后确认，对于风险较高或甲方单笔购买金额较大的理财产品，同样适用上述划款规则。</w:t>
      </w:r>
    </w:p>
    <w:p w14:paraId="7FDBC4FA">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r>
        <w:rPr>
          <w:rFonts w:hint="eastAsia" w:ascii="仿宋_GB2312" w:hAnsi="仿宋_GB2312" w:eastAsia="仿宋_GB2312" w:cs="仿宋_GB2312"/>
          <w:b/>
          <w:bCs/>
          <w:sz w:val="24"/>
          <w:szCs w:val="24"/>
        </w:rPr>
        <w:t>甲方自签署私募类理财产品销售文件之时起，有权享有24小时的投资冷静期。</w:t>
      </w:r>
      <w:r>
        <w:rPr>
          <w:rFonts w:hint="eastAsia" w:ascii="仿宋_GB2312" w:hAnsi="仿宋_GB2312" w:eastAsia="仿宋_GB2312" w:cs="仿宋_GB2312"/>
          <w:sz w:val="24"/>
          <w:szCs w:val="24"/>
        </w:rPr>
        <w:t>在冷静期内，如甲方改变投资决定，乙方有义务解除已签订的产品文件，并及时退还全部投资款项。</w:t>
      </w:r>
    </w:p>
    <w:p w14:paraId="542349F0">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甲方保证遵守国家反洗钱和反恐怖融资法律、法规及相关政策要求，不从事涉及洗钱、恐怖融资、逃税、逃废债务、套取现金等违法违规活动；不属于联合国、我国有权部门发布的反洗钱和反恐怖融资监控名单人员或组织，积极配合乙方和销售机构开展包括但不限于投资者客户尽职调查、客户身份资料及交易记录保存、大额和可疑交易报告、反洗钱特别预防措施等各项反洗钱、反恐怖融资及非居民金融账户涉税信息有关的工作，并按乙方或销售机构要求及时、真实、准确、完整地提供相关证明材料。</w:t>
      </w:r>
    </w:p>
    <w:p w14:paraId="2D16D434">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8.</w:t>
      </w:r>
      <w:r>
        <w:rPr>
          <w:rFonts w:hint="eastAsia" w:ascii="仿宋_GB2312" w:hAnsi="仿宋_GB2312" w:eastAsia="仿宋_GB2312" w:cs="仿宋_GB2312"/>
          <w:b/>
        </w:rPr>
        <w:t xml:space="preserve"> </w:t>
      </w:r>
      <w:r>
        <w:rPr>
          <w:rFonts w:hint="eastAsia" w:ascii="仿宋_GB2312" w:hAnsi="仿宋_GB2312" w:eastAsia="仿宋_GB2312" w:cs="仿宋_GB2312"/>
          <w:b/>
          <w:sz w:val="24"/>
          <w:szCs w:val="24"/>
        </w:rPr>
        <w:t>甲方授权乙方在遵循合法、正当、必要、授权原则，符合国家法律法规、监管规定、自律组织要求和本理财产品销售文件约定的前提下，根据理财业务办理需要处理（包括收集、存储、使用、加工、传输、提供、公开、删除等）甲方的以下必要投资者信息。</w:t>
      </w:r>
    </w:p>
    <w:p w14:paraId="2313C598">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出于理财产品投资信息管理目的，可收集甲方信息，包括自然人的姓名、性别、出生年月、证件类型及号码、国籍、职业、通讯地址（居住地址、工作单位地址、邮编）、手机号码、固定电话、电子邮箱，法人或者其他组织的名称、性质、资质、联系方式等基本信息，并在乙方业务系统内进行登记、保存，用于理财客户信息管理、客户理财份额登记。</w:t>
      </w:r>
    </w:p>
    <w:p w14:paraId="477AFAB9">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乙方出于理财业务必要的联系与通知目的，可使用甲方的手机号码、固定电话、电子邮箱、互联网即时通讯工具等联系方式进行理财产品日常管理、到期提醒、变更通知、信息披露、投诉处理等非接触性联系。</w:t>
      </w:r>
    </w:p>
    <w:p w14:paraId="781F40FA">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出于确保理财产品风险等级与客户风险承受能力匹配目的，可收集、保存甲方身份信息、财产信息（包括个人投资者家庭财产信息）、投资偏好信息等，并根据甲方提供的前述信息对其进行风险承受能力评估，向甲方推介符合其风险承受能力的理财产品。</w:t>
      </w:r>
    </w:p>
    <w:p w14:paraId="08618EF3">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出于合格投资者认定等客户分类管理目的，可收集、保存甲方财产信息，包括但不限于银行账号、存款、基金、保险、贵金属、资管产品、收入证明、纳税证明及其他甲方自愿提供的可证明其金融资产情况的信息，作为评定客户合格投资者身份的佐证材料。</w:t>
      </w:r>
    </w:p>
    <w:p w14:paraId="52F3A296">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出于履行反洗钱和反恐怖融资义务的目的，可收集、保存甲方信息，包括：自然人的姓名、性别、国籍、职业、住所地或工作单位地址、联系方式、身份证件类型、身份证件号码、身份证件有效期限等；法人或者其他组织的基本信息，包括：名称、住所、经营范围，依法设立或者可依法开展经营、社会活动的证明文件名称、号码、有效期限，控股股东或者实际控制人、法定代表人、负责人和授权办理业务人员的姓名、身份证件种类、号码、有效期限，受益所有人的姓名、地址、身份证件种类、号码、有效期限等甲方留存的有效信息、交易记录及相关法律法规、监管规定的其他相关信息，并根据《中华人民共和国反洗钱法》《中华人民共和国反恐怖主义法》《金融机构反洗钱规定》《银行业金融机构反洗钱和反恐怖融资管理办法》等反洗钱和反恐怖融资法律法规或监管规定，要求甲方提供乙方履行反洗钱、反恐怖融资义务所需的其他信息或证明材料。</w:t>
      </w:r>
    </w:p>
    <w:p w14:paraId="3B5A1C23">
      <w:pPr>
        <w:spacing w:line="360" w:lineRule="auto"/>
        <w:ind w:firstLine="480"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rPr>
        <w:t>在为甲方办理本理财产品销售文件项下事项所必需的情形下，</w:t>
      </w:r>
      <w:r>
        <w:rPr>
          <w:rFonts w:hint="eastAsia" w:ascii="仿宋_GB2312" w:hAnsi="仿宋_GB2312" w:eastAsia="仿宋_GB2312" w:cs="仿宋_GB2312"/>
          <w:b/>
          <w:bCs/>
          <w:sz w:val="24"/>
          <w:szCs w:val="24"/>
        </w:rPr>
        <w:t>乙方可向监管机构、自律组织、理财登记备案机构、托管机构、投资合作机构、代销机构、客户服务热线机构、理财快速赎回服务提供方等提供、留存甲方信息，并要求上述信息接收方按照法律法规规定履行投资者信息保密义务。前述甲方信息包括个人基本信息、联络信息、身份信息、财产信息、账户及相关信息、交易信息、投资经验、风险偏好与投资目标、在与甲方建立业务关系过程中及服务过程中产生、获取、保存的其他与业务相关的个人信息及法律法规、监管规定的其他必要信息。除相关法律法规及监管规范另有规定、有权机关要求提供或者以上甲方同意披露的情形外，乙方不得向任何组织、个人提供或泄漏与甲方有关的资料和信息。</w:t>
      </w:r>
    </w:p>
    <w:p w14:paraId="245C75E6">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可通过甲方办理个人理财业务填写的纸质或电子资料信息、已在乙方留存的个人信息和金融交易行为数据、甲方主动告知等途径收集个人金融信息。乙方可通过保管纸质材料、纸质材料转化为电子影像、直接转化电子信息的方式存储甲方个人金融信息。</w:t>
      </w:r>
    </w:p>
    <w:p w14:paraId="4B9EDE92">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甲方已知悉，处理前述金融信息为申请及办理本授权所涉及的个人理财业务所必需，如乙方没有获得授权或未获取到前述必要个人金融信息，乙方将无法为授权人提供相应金融服务。</w:t>
      </w:r>
    </w:p>
    <w:p w14:paraId="646F3ED0">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乙方应按照国家档案管理和电子数据管理等规定，采取技术措施和其他必要措施妥善保管甲方个人金融信息，</w:t>
      </w:r>
      <w:r>
        <w:rPr>
          <w:rFonts w:hint="eastAsia" w:ascii="仿宋_GB2312" w:hAnsi="仿宋_GB2312" w:eastAsia="仿宋_GB2312" w:cs="仿宋_GB2312"/>
          <w:b/>
          <w:bCs/>
          <w:sz w:val="24"/>
          <w:szCs w:val="24"/>
        </w:rPr>
        <w:t>并有权存储相关信息自本次申请的业务结清后不少于20年。但极端情况下有可能发生信息毁损、遗失、泄露等情况，乙方将根据消费者个人信息保护应急预案等制度规范尽最大可能保护甲方合法权益。相关法律法规、监管规范另有规定的，从其规定。</w:t>
      </w:r>
    </w:p>
    <w:p w14:paraId="1F5920E4">
      <w:pPr>
        <w:spacing w:line="360" w:lineRule="auto"/>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甲方确认已仔细阅读上述条款，对所有条款的含义及相应的法律后果已全部知晓并充分理解，自愿作出上述授权。授权自本协议生效之日起，授权期限至本次申请的业务结清后五年止；授权事项适用于反洗钱、反恐怖融资的，授权期限长期有效。相关法律法规、监管规范另有规定的，从其规定。</w:t>
      </w:r>
    </w:p>
    <w:p w14:paraId="7FF040C9">
      <w:pPr>
        <w:spacing w:line="360" w:lineRule="auto"/>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乙方保障甲方依据《个人信息保护法》等相关法律法规、监管规定所享有的权利，如需撤销授权或有相关异议，可联系销售机构或拨打乙方客户服务热线（0571-57192881），销售机构或乙方将根据法律法规、监管规定要求与本公司业务规则为甲方处理。</w:t>
      </w:r>
    </w:p>
    <w:p w14:paraId="06B428F0">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w:t>
      </w:r>
      <w:r>
        <w:rPr>
          <w:rFonts w:hint="eastAsia" w:ascii="仿宋_GB2312" w:hAnsi="仿宋_GB2312" w:eastAsia="仿宋_GB2312" w:cs="仿宋_GB2312"/>
          <w:b/>
          <w:bCs/>
          <w:sz w:val="24"/>
          <w:szCs w:val="24"/>
        </w:rPr>
        <w:t>甲方保证所提供的所有资料</w:t>
      </w:r>
      <w:r>
        <w:rPr>
          <w:rFonts w:hint="eastAsia" w:ascii="仿宋_GB2312" w:hAnsi="仿宋_GB2312" w:eastAsia="仿宋_GB2312" w:cs="仿宋_GB2312"/>
          <w:b/>
          <w:sz w:val="24"/>
          <w:szCs w:val="24"/>
        </w:rPr>
        <w:t>真实、完整、合法、有效</w:t>
      </w:r>
      <w:r>
        <w:rPr>
          <w:rFonts w:hint="eastAsia" w:ascii="仿宋_GB2312" w:hAnsi="仿宋_GB2312" w:eastAsia="仿宋_GB2312" w:cs="仿宋_GB2312"/>
          <w:sz w:val="24"/>
          <w:szCs w:val="24"/>
        </w:rPr>
        <w:t>，</w:t>
      </w:r>
      <w:r>
        <w:rPr>
          <w:rFonts w:hint="eastAsia" w:ascii="仿宋_GB2312" w:hAnsi="仿宋_GB2312" w:eastAsia="仿宋_GB2312" w:cs="仿宋_GB2312"/>
          <w:b/>
          <w:bCs/>
          <w:sz w:val="24"/>
          <w:szCs w:val="24"/>
        </w:rPr>
        <w:t>如有变更，甲方应及时办理变更手续。</w:t>
      </w:r>
      <w:r>
        <w:rPr>
          <w:rFonts w:hint="eastAsia" w:ascii="仿宋_GB2312" w:hAnsi="仿宋_GB2312" w:eastAsia="仿宋_GB2312" w:cs="仿宋_GB2312"/>
          <w:b/>
          <w:sz w:val="24"/>
          <w:szCs w:val="24"/>
        </w:rPr>
        <w:t>若甲方未及时办理相关变更手续，由此导致的一切后果由甲方自行承担。</w:t>
      </w:r>
    </w:p>
    <w:p w14:paraId="4AE612F4">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（二）乙方的权利义务</w:t>
      </w:r>
    </w:p>
    <w:p w14:paraId="6C0AD845">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1.乙方按照法律法规、本协议及其他理财产品销售文件的约定，诚实守信、勤勉尽责地履行受人之托、代人理财职责，依法维护理财产品全体投资者的利益。</w:t>
      </w:r>
    </w:p>
    <w:p w14:paraId="216489DC">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2.乙方不对任何理财产品的收益情况做出承诺或保证，亦不会承诺或保证最低收益或本金安全。对理财产品本金及收益的约定以理财产品的《产品说明书》为准。</w:t>
      </w:r>
    </w:p>
    <w:p w14:paraId="57907110">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乙方依照产品说明书载明的投资范围、投资资产种类、投资比例进行投资，在投资管理过程中,遇市场变化导致产品投资比例暂时超出产品说明书约定的浮动区间且乙方认为可能对投资者收益产生重大影响时，乙方将及时调整至产品说明书约定的比例范围。</w:t>
      </w:r>
    </w:p>
    <w:p w14:paraId="0E203D1B">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甲方通过代销机构购买乙方理财产品时，乙方仍应承担设计发行及理财产品管理人的相关义务和责任。代销机构面向甲方实施销售行为过程引发的相关投诉与纠纷，或因代销机构及其人员过错造成的投资人损失，甲方有权直接向代销机构投诉、索赔。</w:t>
      </w:r>
    </w:p>
    <w:p w14:paraId="4F0BA8A8">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为实现理财产品的投资目标及/或维护理财产品全体投资者的利益，乙方有权行使与投资相关的权利、履行相关义务，有权决定理财产品所投基础资产投资的管理、合同/文件条款变更、赎回、处置与披露等事宜。</w:t>
      </w:r>
    </w:p>
    <w:p w14:paraId="7488D97A">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r>
        <w:rPr>
          <w:rFonts w:hint="eastAsia" w:ascii="仿宋_GB2312" w:hAnsi="仿宋_GB2312" w:eastAsia="仿宋_GB2312" w:cs="仿宋_GB2312"/>
          <w:b/>
          <w:bCs/>
          <w:sz w:val="24"/>
          <w:szCs w:val="24"/>
        </w:rPr>
        <w:t>乙方有权代表甲方参加理财产品所投资产的相关会议，对相关事项进行表决；乙方有权代表甲方利益，按照法律法规和监管部门相关规定对理财产品投资产生的风险资产进行多种方式的处置，包括但不限于转让、重组、债转股、资产证券化、委外催收、抵债资产收取与处置、破产重整等。当理财产品的资产安全受到侵害时，乙方有权以自身名义代表理财产品全体投资者采取诉讼或其他权利救济措施，所产生的费用和法律后果由理财产品全体投资者承担，乙方有权从追索回来的款项中优先扣除。</w:t>
      </w:r>
    </w:p>
    <w:p w14:paraId="1E137FDD">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出现法律法规变化、金融政策调整、紧急措施出台、市场情况变化、异常风险事件等情形之一时，乙方可根据需要做出调整《产品说明书》中约定投资计划的决定，包括但不限于投资范围、投资品种、投资比例、投资方式等内容，并通过约定信息披露途径及时通知投资者。超出理财产品销售文件约定比例的，除高风险类型的理财产品超出比例范围投资较低风险资产外，应当先取得投资者书面同意。</w:t>
      </w:r>
    </w:p>
    <w:p w14:paraId="5B6B51CF">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w:t>
      </w:r>
      <w:r>
        <w:rPr>
          <w:rFonts w:hint="eastAsia" w:ascii="仿宋_GB2312" w:hAnsi="仿宋_GB2312" w:eastAsia="仿宋_GB2312" w:cs="仿宋_GB2312"/>
          <w:b/>
          <w:sz w:val="24"/>
          <w:szCs w:val="24"/>
        </w:rPr>
        <w:t>乙方有权向甲方收取理财产品的相关费用，具体收费项目、条件、标准和方式等，以《产品说明书》及对应理财产品相关公告中载明为准。</w:t>
      </w:r>
      <w:r>
        <w:rPr>
          <w:rFonts w:hint="eastAsia" w:ascii="仿宋_GB2312" w:hAnsi="仿宋_GB2312" w:eastAsia="仿宋_GB2312" w:cs="仿宋_GB2312"/>
          <w:b/>
          <w:bCs/>
          <w:sz w:val="24"/>
          <w:szCs w:val="24"/>
        </w:rPr>
        <w:t>乙方亦有权依照法律或国家政策规定对已约定的收费项目、条件、标准和方式进行调整，在调整前将通过《产品说明书》约定的信息披露渠道进行信息披露，相关信息披露内容与理财产品销售文件具有同等法律效力。甲方有权不接受调整，并按照乙方信息披露内容中约定的方式提前赎回理财产品。甲方应在充分知晓、理解有关信息披露内容和渠道后签署本协议，并在签署本协议后通过约定的信息披露渠道持续关注理财产品信息披露内容。</w:t>
      </w:r>
    </w:p>
    <w:p w14:paraId="12199D1C">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w:t>
      </w:r>
      <w:r>
        <w:rPr>
          <w:rFonts w:hint="eastAsia" w:ascii="仿宋_GB2312" w:hAnsi="仿宋_GB2312" w:eastAsia="仿宋_GB2312" w:cs="仿宋_GB2312"/>
        </w:rPr>
        <w:t xml:space="preserve"> </w:t>
      </w:r>
      <w:r>
        <w:rPr>
          <w:rFonts w:hint="eastAsia" w:ascii="仿宋_GB2312" w:hAnsi="仿宋_GB2312" w:eastAsia="仿宋_GB2312" w:cs="仿宋_GB2312"/>
          <w:sz w:val="24"/>
          <w:szCs w:val="24"/>
        </w:rPr>
        <w:t>鉴于理财产品投资可能涉及复杂的金融交易，乙方在遵循相关法律法规、监管规定并尽可能维护甲方利益的前提下，有权对该类交易中涉及的、双方未能在理财产品文件中约定的事宜按照相关交易惯例处理。</w:t>
      </w:r>
    </w:p>
    <w:p w14:paraId="34C21651">
      <w:pPr>
        <w:spacing w:line="360" w:lineRule="auto"/>
        <w:ind w:firstLine="480" w:firstLineChars="200"/>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10.</w:t>
      </w:r>
      <w:r>
        <w:rPr>
          <w:rFonts w:hint="eastAsia" w:ascii="仿宋_GB2312" w:hAnsi="仿宋_GB2312" w:eastAsia="仿宋_GB2312" w:cs="仿宋_GB2312"/>
        </w:rPr>
        <w:t xml:space="preserve"> </w:t>
      </w:r>
      <w:r>
        <w:rPr>
          <w:rFonts w:hint="eastAsia" w:ascii="仿宋_GB2312" w:hAnsi="仿宋_GB2312" w:eastAsia="仿宋_GB2312" w:cs="仿宋_GB2312"/>
          <w:b/>
          <w:sz w:val="24"/>
          <w:szCs w:val="24"/>
        </w:rPr>
        <w:t>乙方在理财产品实际到期日或开放时间内赎回日起的N个工作日内（具体详见每期产品说明书约定）将理财收益和本金通过销售机构划入甲方理财指定账户，到期日或开放时间内赎回日至资金到账日期间，甲方资金不计利息。乙方向甲方支付的投资理财收益为未扣税收益，相关税款由甲方自行缴纳，乙方不承担代扣代缴相关税款的责任，法律、法规或规章规定必须由乙方代扣代缴的除外。</w:t>
      </w:r>
    </w:p>
    <w:p w14:paraId="7F5B8DD7">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三、免责条款</w:t>
      </w:r>
    </w:p>
    <w:p w14:paraId="46D760B4">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1.因法律法规及监管政策变化、自然灾害、战争等不能预见、不能避免、不能克服的不可抗力事件或系统故障、通讯故障、投资市场停止交易等意外事件，导致乙方无法或延后履行本协议的有关义务，或造成理财产品损失，乙方不承担责任，但应以适当的方式通知甲方，并采取一切必要的补救措施以减少有关损失。</w:t>
      </w:r>
    </w:p>
    <w:p w14:paraId="3A6CE0F6">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2.由于国家有关法律、法规、政策的改变、紧急措施的出台而导致甲方承担的风险，乙方不承担责任，但应在条件允许的情况下通知甲方（包括但不限于网站公告、网上银行、手机银行等），并采取一切必要的补救措施以减少以上原因造成的损失。</w:t>
      </w:r>
    </w:p>
    <w:p w14:paraId="592F66E3">
      <w:pPr>
        <w:spacing w:line="360" w:lineRule="auto"/>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3.在本理财产品存续期内，如有权机关要求乙方配合对甲方理财份额、理财账户、授权指定账户进行查封、冻结或扣划的，乙方有权根据实际情况采取包括但不限于全额或部分终止理财交易、停止向甲方支付投资本金及投资收益等措施。由于提前终止交易而产生的一切损失及费用将由甲方承担，乙方有权将此损失及费用从甲方的授权指定账户、理财本金及收益中扣除。乙方对上述后果不承担任何责任。</w:t>
      </w:r>
    </w:p>
    <w:p w14:paraId="4721ABD2">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bCs/>
          <w:sz w:val="24"/>
          <w:szCs w:val="24"/>
        </w:rPr>
        <w:t>4.因甲方指定账户冻结、挂失、换卡、销户、长期不动户等原因造成账户变更或异常，甲方应及时到销售机构办理变更手续，并经乙方和销售机构确认。</w:t>
      </w:r>
      <w:r>
        <w:rPr>
          <w:rFonts w:hint="eastAsia" w:ascii="仿宋_GB2312" w:hAnsi="仿宋_GB2312" w:eastAsia="仿宋_GB2312" w:cs="仿宋_GB2312"/>
          <w:b/>
          <w:sz w:val="24"/>
          <w:szCs w:val="24"/>
        </w:rPr>
        <w:t>如因甲方未及时办理变更手续而造成乙方及/或销售机构无法向甲方进行正常收益分配和资金清算分配，由此导致甲方损失的由甲方自行承担，乙方不承担责任。</w:t>
      </w:r>
    </w:p>
    <w:p w14:paraId="6206AA3B">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5.乙方或其销售机构发现或有合理理由怀疑甲方存在高风险情形、甲方或其资金、交易行为与洗钱、恐怖融资、逃税等犯罪活动相关的，乙方有权采取拒绝或暂停接受申请、限制交易、冻结份额以及提前终止业务等一项或多项限制措施，造成甲方损失的，乙方不承担责任。</w:t>
      </w:r>
    </w:p>
    <w:p w14:paraId="3E34F497">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四、协议的生效与失效</w:t>
      </w:r>
    </w:p>
    <w:p w14:paraId="1E9FDC8D">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甲乙双方认可本协议可以纸质或电子数据等形式提交、订立或确认。</w:t>
      </w:r>
    </w:p>
    <w:p w14:paraId="7FC569BC">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线下签约方式。本协议自甲方在协议上签字或盖章（甲方为自然人的，应签字；甲方为机构的，应由法定代表人或授权代理人签字并加盖公章）且乙方确认甲方成功认（申）购并收到甲方缴付的全部投资本金之日起生效。</w:t>
      </w:r>
    </w:p>
    <w:p w14:paraId="063EB313">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电子渠道签约方式。通过电子渠道进行理财交易的，本协议经甲方通过点击确认或完成电子签署（含USBKey、人脸识别、银联要素验证等）且乙方确认甲方成功认（申）购并收到甲方缴付的全部投资本金之日起生效。</w:t>
      </w:r>
      <w:r>
        <w:rPr>
          <w:rFonts w:hint="eastAsia" w:ascii="仿宋_GB2312" w:hAnsi="仿宋_GB2312" w:eastAsia="仿宋_GB2312" w:cs="仿宋_GB2312"/>
          <w:b/>
          <w:bCs/>
          <w:sz w:val="24"/>
          <w:szCs w:val="24"/>
        </w:rPr>
        <w:t>甲方签署本协议表示甲方同意接受本协议，以及对应《产品说明书》、《风险揭示书》、《（代理）销售协议书》、《投资者权益须知》等相关销售文件的全部约定内容，并认可其法律约束力。</w:t>
      </w:r>
    </w:p>
    <w:p w14:paraId="4137DE6A">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3.甲方购买多个乙方发行的理财产品时，该份理财产品销售文件的效力和履行情况均独立于其他理财产品销售文件。</w:t>
      </w:r>
    </w:p>
    <w:p w14:paraId="35165B97">
      <w:pPr>
        <w:spacing w:line="360" w:lineRule="auto"/>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4.发生理财产品到期、提前终止、提前赎回等情形并结清后，本协议自动终止（本协议个人金融信息授权相关条款除外）。</w:t>
      </w:r>
    </w:p>
    <w:p w14:paraId="36EB7B0D">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r>
        <w:rPr>
          <w:rFonts w:hint="eastAsia" w:ascii="仿宋_GB2312" w:hAnsi="仿宋_GB2312" w:eastAsia="仿宋_GB2312" w:cs="仿宋_GB2312"/>
        </w:rPr>
        <w:t xml:space="preserve"> </w:t>
      </w:r>
      <w:r>
        <w:rPr>
          <w:rFonts w:hint="eastAsia" w:ascii="仿宋_GB2312" w:hAnsi="仿宋_GB2312" w:eastAsia="仿宋_GB2312" w:cs="仿宋_GB2312"/>
          <w:sz w:val="24"/>
          <w:szCs w:val="24"/>
        </w:rPr>
        <w:t>如甲方购买理财产品后，又变更该笔理财产品销售文件的具体内容（包括但不限于交易变更、金额变更、资金账户变更、投资者信息变更等），</w:t>
      </w:r>
      <w:r>
        <w:rPr>
          <w:rFonts w:hint="eastAsia" w:ascii="仿宋_GB2312" w:hAnsi="仿宋_GB2312" w:eastAsia="仿宋_GB2312" w:cs="仿宋_GB2312"/>
          <w:b/>
          <w:bCs/>
          <w:sz w:val="24"/>
          <w:szCs w:val="24"/>
        </w:rPr>
        <w:t>则以双方最近一次交易达成的交易内容为准。</w:t>
      </w:r>
    </w:p>
    <w:p w14:paraId="2F81C9C6">
      <w:pPr>
        <w:spacing w:line="360" w:lineRule="auto"/>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五、</w:t>
      </w:r>
      <w:r>
        <w:rPr>
          <w:rFonts w:hint="eastAsia" w:ascii="仿宋_GB2312" w:hAnsi="仿宋_GB2312" w:eastAsia="仿宋_GB2312" w:cs="仿宋_GB2312"/>
          <w:sz w:val="24"/>
          <w:szCs w:val="24"/>
        </w:rPr>
        <w:t>本协议适用中华人民共和国法律，为本协议之目的，不包括香港特别行政区、澳门特别行政区和台湾地区的法律；法律、法规或规章无明文规定的，可适用通行的金融惯例。如本协议履行过程中部分条款与法律、法规或规章的规定相抵触时，有关的权利和义务应按相关法律、法规或规章的规定履行。</w:t>
      </w:r>
    </w:p>
    <w:p w14:paraId="5083861B">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六、争议的解决</w:t>
      </w:r>
    </w:p>
    <w:p w14:paraId="7ED07DC2">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乙双方因履行本协议或与本协议有关的活动而产生的一切争议，应首先本着诚实信用原则通过友好协商解决；不能协商解决的，任何一方应向乙方住所地有管辖权的人民法院提起诉讼。在争议解决期间，若该争议不影响本协议及理财产品销售文件其他条款的履行，则该其他条款应继续履行。因处理争议产生的费用（包括但不限于律师费等），除法院判决/裁定另有规定，由败诉方承担。</w:t>
      </w:r>
    </w:p>
    <w:p w14:paraId="39607821">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七</w:t>
      </w:r>
      <w:r>
        <w:rPr>
          <w:rFonts w:hint="eastAsia" w:ascii="仿宋_GB2312" w:hAnsi="仿宋_GB2312" w:eastAsia="仿宋_GB2312" w:cs="仿宋_GB2312"/>
          <w:b/>
          <w:sz w:val="24"/>
          <w:szCs w:val="24"/>
        </w:rPr>
        <w:t>、本协议未尽事宜，以理财产品《产品说明书》、《风险揭示书》、《</w:t>
      </w:r>
      <w:r>
        <w:rPr>
          <w:rFonts w:hint="eastAsia" w:ascii="仿宋_GB2312" w:hAnsi="仿宋_GB2312" w:eastAsia="仿宋_GB2312" w:cs="仿宋_GB2312"/>
          <w:b/>
          <w:bCs/>
          <w:sz w:val="24"/>
          <w:szCs w:val="24"/>
        </w:rPr>
        <w:t>（代理）销售协议书</w:t>
      </w:r>
      <w:r>
        <w:rPr>
          <w:rFonts w:hint="eastAsia" w:ascii="仿宋_GB2312" w:hAnsi="仿宋_GB2312" w:eastAsia="仿宋_GB2312" w:cs="仿宋_GB2312"/>
          <w:b/>
          <w:sz w:val="24"/>
          <w:szCs w:val="24"/>
        </w:rPr>
        <w:t>》及《投资者权益须知》的内容为准。</w:t>
      </w:r>
    </w:p>
    <w:p w14:paraId="06CA8E1F">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八</w:t>
      </w:r>
      <w:r>
        <w:rPr>
          <w:rFonts w:hint="eastAsia" w:ascii="仿宋_GB2312" w:hAnsi="仿宋_GB2312" w:eastAsia="仿宋_GB2312" w:cs="仿宋_GB2312"/>
          <w:b/>
          <w:sz w:val="24"/>
          <w:szCs w:val="24"/>
        </w:rPr>
        <w:t>、业务咨询及投诉</w:t>
      </w:r>
    </w:p>
    <w:p w14:paraId="76B9967C">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1.甲方对本产品有任何意见或异议，或其它疑义事项，可向销售机构或产品管理人进行反馈。</w:t>
      </w:r>
      <w:r>
        <w:rPr>
          <w:rFonts w:hint="eastAsia" w:ascii="仿宋_GB2312" w:hAnsi="仿宋_GB2312" w:eastAsia="仿宋_GB2312" w:cs="仿宋_GB2312"/>
          <w:bCs/>
          <w:sz w:val="24"/>
          <w:szCs w:val="24"/>
        </w:rPr>
        <w:t>销售机构或产品管理人将由专人接听，记录您的意见建议，并由双方协商共同解决。</w:t>
      </w:r>
    </w:p>
    <w:p w14:paraId="18BC6941">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2.联络方式：</w:t>
      </w:r>
    </w:p>
    <w:p w14:paraId="285C5B3D">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销售机构：</w:t>
      </w:r>
      <w:r>
        <w:rPr>
          <w:rFonts w:hint="eastAsia" w:ascii="仿宋_GB2312" w:hAnsi="仿宋_GB2312" w:eastAsia="仿宋_GB2312" w:cs="仿宋_GB2312"/>
          <w:b/>
          <w:sz w:val="24"/>
          <w:szCs w:val="24"/>
          <w:lang w:val="en-US" w:eastAsia="zh-CN"/>
        </w:rPr>
        <w:t>如</w:t>
      </w:r>
      <w:r>
        <w:rPr>
          <w:rFonts w:hint="eastAsia" w:ascii="仿宋_GB2312" w:hAnsi="仿宋_GB2312" w:eastAsia="仿宋_GB2312" w:cs="仿宋_GB2312"/>
          <w:b/>
          <w:sz w:val="24"/>
          <w:szCs w:val="24"/>
        </w:rPr>
        <w:t>通过浙商银行（作为销售机构）购买本理财产品的，请联系浙商银行客户服务热线：95527，浙商银行官方网站：www.czbank.com。在其他销售机构购买理财产品的，请联系其他销售机构，具体</w:t>
      </w:r>
      <w:r>
        <w:rPr>
          <w:rFonts w:hint="eastAsia" w:ascii="仿宋_GB2312" w:hAnsi="仿宋_GB2312" w:eastAsia="仿宋_GB2312" w:cs="仿宋_GB2312"/>
          <w:b/>
          <w:sz w:val="24"/>
          <w:szCs w:val="24"/>
          <w:lang w:val="en-US" w:eastAsia="zh-CN"/>
        </w:rPr>
        <w:t>联系方式</w:t>
      </w:r>
      <w:r>
        <w:rPr>
          <w:rFonts w:hint="eastAsia" w:ascii="仿宋_GB2312" w:hAnsi="仿宋_GB2312" w:eastAsia="仿宋_GB2312" w:cs="仿宋_GB2312"/>
          <w:b/>
          <w:sz w:val="24"/>
          <w:szCs w:val="24"/>
        </w:rPr>
        <w:t>以《产品说明书》等销售文件的披露为准。</w:t>
      </w:r>
    </w:p>
    <w:p w14:paraId="32FC6793">
      <w:pPr>
        <w:spacing w:line="360" w:lineRule="auto"/>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产品管理人：浙银理财客户服务热线：0571-57192881；浙银理财官方网站：www.czbank-wm.com。</w:t>
      </w:r>
    </w:p>
    <w:p w14:paraId="2687C988">
      <w:pPr>
        <w:rPr>
          <w:rFonts w:hint="eastAsia" w:ascii="仿宋_GB2312" w:hAnsi="仿宋_GB2312" w:eastAsia="仿宋_GB2312" w:cs="仿宋_GB2312"/>
          <w:sz w:val="24"/>
          <w:szCs w:val="24"/>
        </w:rPr>
      </w:pPr>
    </w:p>
    <w:p w14:paraId="2330A0B2">
      <w:pPr>
        <w:rPr>
          <w:rFonts w:hint="eastAsia" w:ascii="仿宋_GB2312" w:hAnsi="仿宋_GB2312" w:eastAsia="仿宋_GB2312" w:cs="仿宋_GB2312"/>
          <w:sz w:val="24"/>
          <w:szCs w:val="24"/>
        </w:rPr>
      </w:pPr>
    </w:p>
    <w:p w14:paraId="0B36FA98">
      <w:pPr>
        <w:rPr>
          <w:rFonts w:hint="eastAsia" w:ascii="仿宋_GB2312" w:hAnsi="仿宋_GB2312" w:eastAsia="仿宋_GB2312" w:cs="仿宋_GB2312"/>
          <w:sz w:val="24"/>
          <w:szCs w:val="24"/>
        </w:rPr>
      </w:pPr>
    </w:p>
    <w:p w14:paraId="6DC742D1">
      <w:pPr>
        <w:rPr>
          <w:rFonts w:hint="eastAsia" w:ascii="仿宋_GB2312" w:hAnsi="仿宋_GB2312" w:eastAsia="仿宋_GB2312" w:cs="仿宋_GB2312"/>
          <w:sz w:val="24"/>
          <w:szCs w:val="24"/>
        </w:rPr>
      </w:pPr>
    </w:p>
    <w:p w14:paraId="5175B3EB">
      <w:pPr>
        <w:rPr>
          <w:rFonts w:hint="eastAsia" w:ascii="仿宋_GB2312" w:hAnsi="仿宋_GB2312" w:eastAsia="仿宋_GB2312" w:cs="仿宋_GB2312"/>
          <w:sz w:val="24"/>
          <w:szCs w:val="24"/>
        </w:rPr>
      </w:pPr>
    </w:p>
    <w:p w14:paraId="113ECF8D">
      <w:pPr>
        <w:rPr>
          <w:rFonts w:hint="eastAsia" w:ascii="仿宋_GB2312" w:hAnsi="仿宋_GB2312" w:eastAsia="仿宋_GB2312" w:cs="仿宋_GB2312"/>
          <w:sz w:val="24"/>
          <w:szCs w:val="24"/>
        </w:rPr>
      </w:pPr>
    </w:p>
    <w:p w14:paraId="16574061">
      <w:pPr>
        <w:rPr>
          <w:rFonts w:hint="eastAsia" w:ascii="仿宋_GB2312" w:hAnsi="仿宋_GB2312" w:eastAsia="仿宋_GB2312" w:cs="仿宋_GB2312"/>
          <w:sz w:val="24"/>
          <w:szCs w:val="24"/>
        </w:rPr>
      </w:pPr>
    </w:p>
    <w:p w14:paraId="01701F0E">
      <w:pPr>
        <w:rPr>
          <w:rFonts w:hint="eastAsia" w:ascii="仿宋_GB2312" w:hAnsi="仿宋_GB2312" w:eastAsia="仿宋_GB2312" w:cs="仿宋_GB2312"/>
          <w:sz w:val="24"/>
          <w:szCs w:val="24"/>
        </w:rPr>
      </w:pPr>
    </w:p>
    <w:p w14:paraId="560479BC">
      <w:pPr>
        <w:rPr>
          <w:rFonts w:hint="eastAsia" w:ascii="仿宋_GB2312" w:hAnsi="仿宋_GB2312" w:eastAsia="仿宋_GB2312" w:cs="仿宋_GB2312"/>
          <w:sz w:val="24"/>
          <w:szCs w:val="24"/>
        </w:rPr>
      </w:pPr>
    </w:p>
    <w:p w14:paraId="0DE6E7DB">
      <w:pPr>
        <w:rPr>
          <w:rFonts w:hint="eastAsia" w:ascii="仿宋_GB2312" w:hAnsi="仿宋_GB2312" w:eastAsia="仿宋_GB2312" w:cs="仿宋_GB2312"/>
          <w:sz w:val="24"/>
          <w:szCs w:val="24"/>
        </w:rPr>
      </w:pPr>
    </w:p>
    <w:p w14:paraId="5F57648F">
      <w:pPr>
        <w:rPr>
          <w:rFonts w:hint="eastAsia" w:ascii="仿宋_GB2312" w:hAnsi="仿宋_GB2312" w:eastAsia="仿宋_GB2312" w:cs="仿宋_GB2312"/>
          <w:sz w:val="24"/>
          <w:szCs w:val="24"/>
        </w:rPr>
      </w:pPr>
    </w:p>
    <w:p w14:paraId="49CF8D3A">
      <w:pPr>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（本页为签署页，无正文） </w:t>
      </w:r>
    </w:p>
    <w:p w14:paraId="7316CBFA">
      <w:pPr>
        <w:spacing w:line="360"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投资者（个人客户签名） ：</w:t>
      </w:r>
    </w:p>
    <w:p w14:paraId="22890FB5">
      <w:pPr>
        <w:spacing w:line="360" w:lineRule="auto"/>
        <w:ind w:firstLine="480" w:firstLineChars="200"/>
        <w:rPr>
          <w:rFonts w:hint="eastAsia" w:ascii="仿宋_GB2312" w:hAnsi="仿宋_GB2312" w:eastAsia="仿宋_GB2312" w:cs="仿宋_GB2312"/>
          <w:sz w:val="24"/>
          <w:szCs w:val="24"/>
          <w:lang w:val="en-US" w:eastAsia="zh-CN"/>
        </w:rPr>
      </w:pPr>
    </w:p>
    <w:p w14:paraId="4A942D3A">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投资者（机构客户盖公章） ：</w:t>
      </w:r>
    </w:p>
    <w:p w14:paraId="34DF4A68">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法定代表人或授权代理人（签名或盖个人名章）： </w:t>
      </w:r>
    </w:p>
    <w:p w14:paraId="76A94579">
      <w:pPr>
        <w:spacing w:line="360" w:lineRule="auto"/>
        <w:ind w:firstLine="480" w:firstLineChars="200"/>
        <w:rPr>
          <w:rFonts w:hint="eastAsia" w:ascii="仿宋_GB2312" w:hAnsi="仿宋_GB2312" w:eastAsia="仿宋_GB2312" w:cs="仿宋_GB2312"/>
          <w:sz w:val="24"/>
          <w:szCs w:val="24"/>
          <w:lang w:val="en-US" w:eastAsia="zh-CN"/>
        </w:rPr>
      </w:pPr>
    </w:p>
    <w:p w14:paraId="7A8EECD1">
      <w:pPr>
        <w:spacing w:line="360"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签约日期:_______年______月______日</w:t>
      </w:r>
    </w:p>
    <w:p w14:paraId="37E3F936">
      <w:pPr>
        <w:rPr>
          <w:rFonts w:hint="eastAsia" w:ascii="仿宋_GB2312" w:hAnsi="仿宋_GB2312" w:eastAsia="仿宋_GB2312" w:cs="仿宋_GB2312"/>
          <w:sz w:val="24"/>
          <w:szCs w:val="24"/>
        </w:rPr>
      </w:pPr>
    </w:p>
    <w:p w14:paraId="5F4A722E">
      <w:pPr>
        <w:jc w:val="left"/>
        <w:rPr>
          <w:rFonts w:hint="eastAsia" w:ascii="黑体" w:hAnsi="黑体" w:eastAsia="黑体" w:cs="黑体"/>
          <w:i w:val="0"/>
          <w:iCs w:val="0"/>
          <w:caps w:val="0"/>
          <w:color w:val="auto"/>
          <w:spacing w:val="0"/>
          <w:sz w:val="32"/>
          <w:szCs w:val="32"/>
          <w:shd w:val="clear" w:fill="FFFFFF"/>
          <w:lang w:val="en-US" w:eastAsia="zh-CN"/>
        </w:rPr>
      </w:pPr>
    </w:p>
    <w:p w14:paraId="0C89C6B4">
      <w:pPr>
        <w:jc w:val="left"/>
        <w:rPr>
          <w:rFonts w:hint="eastAsia" w:ascii="黑体" w:hAnsi="黑体" w:eastAsia="黑体" w:cs="黑体"/>
          <w:i w:val="0"/>
          <w:iCs w:val="0"/>
          <w:caps w:val="0"/>
          <w:color w:val="auto"/>
          <w:spacing w:val="0"/>
          <w:sz w:val="32"/>
          <w:szCs w:val="32"/>
          <w:shd w:val="clear" w:fill="FFFFFF"/>
          <w:lang w:val="en-US" w:eastAsia="zh-CN"/>
        </w:rPr>
      </w:pPr>
    </w:p>
    <w:p w14:paraId="5821864C">
      <w:pPr>
        <w:jc w:val="left"/>
        <w:rPr>
          <w:rFonts w:hint="eastAsia" w:ascii="黑体" w:hAnsi="黑体" w:eastAsia="黑体" w:cs="黑体"/>
          <w:i w:val="0"/>
          <w:iCs w:val="0"/>
          <w:caps w:val="0"/>
          <w:color w:val="auto"/>
          <w:spacing w:val="0"/>
          <w:sz w:val="32"/>
          <w:szCs w:val="32"/>
          <w:shd w:val="clear" w:fill="FFFFFF"/>
          <w:lang w:val="en-US" w:eastAsia="zh-CN"/>
        </w:rPr>
      </w:pPr>
    </w:p>
    <w:p w14:paraId="13F0BB35">
      <w:pPr>
        <w:jc w:val="left"/>
        <w:rPr>
          <w:rFonts w:hint="eastAsia" w:ascii="黑体" w:hAnsi="黑体" w:eastAsia="黑体" w:cs="黑体"/>
          <w:i w:val="0"/>
          <w:iCs w:val="0"/>
          <w:caps w:val="0"/>
          <w:color w:val="auto"/>
          <w:spacing w:val="0"/>
          <w:sz w:val="32"/>
          <w:szCs w:val="32"/>
          <w:shd w:val="clear" w:fill="FFFFFF"/>
          <w:lang w:val="en-US" w:eastAsia="zh-CN"/>
        </w:rPr>
      </w:pPr>
    </w:p>
    <w:p w14:paraId="52395E90">
      <w:pPr>
        <w:jc w:val="left"/>
        <w:rPr>
          <w:rFonts w:hint="eastAsia" w:ascii="黑体" w:hAnsi="黑体" w:eastAsia="黑体" w:cs="黑体"/>
          <w:i w:val="0"/>
          <w:iCs w:val="0"/>
          <w:caps w:val="0"/>
          <w:color w:val="auto"/>
          <w:spacing w:val="0"/>
          <w:sz w:val="32"/>
          <w:szCs w:val="32"/>
          <w:shd w:val="clear" w:fill="FFFFFF"/>
          <w:lang w:val="en-US" w:eastAsia="zh-CN"/>
        </w:rPr>
      </w:pPr>
    </w:p>
    <w:p w14:paraId="37E64C42">
      <w:pPr>
        <w:jc w:val="left"/>
        <w:rPr>
          <w:rFonts w:hint="eastAsia" w:ascii="黑体" w:hAnsi="黑体" w:eastAsia="黑体" w:cs="黑体"/>
          <w:i w:val="0"/>
          <w:iCs w:val="0"/>
          <w:caps w:val="0"/>
          <w:color w:val="auto"/>
          <w:spacing w:val="0"/>
          <w:sz w:val="32"/>
          <w:szCs w:val="32"/>
          <w:shd w:val="clear" w:fill="FFFFFF"/>
          <w:lang w:val="en-US" w:eastAsia="zh-CN"/>
        </w:rPr>
      </w:pPr>
    </w:p>
    <w:p w14:paraId="47AB574E">
      <w:pPr>
        <w:jc w:val="left"/>
        <w:rPr>
          <w:rFonts w:hint="eastAsia" w:ascii="黑体" w:hAnsi="黑体" w:eastAsia="黑体" w:cs="黑体"/>
          <w:i w:val="0"/>
          <w:iCs w:val="0"/>
          <w:caps w:val="0"/>
          <w:color w:val="auto"/>
          <w:spacing w:val="0"/>
          <w:sz w:val="32"/>
          <w:szCs w:val="32"/>
          <w:shd w:val="clear" w:fill="FFFFFF"/>
          <w:lang w:val="en-US" w:eastAsia="zh-CN"/>
        </w:rPr>
      </w:pPr>
    </w:p>
    <w:p w14:paraId="1AF0014E">
      <w:pPr>
        <w:jc w:val="left"/>
        <w:rPr>
          <w:rFonts w:hint="eastAsia" w:ascii="黑体" w:hAnsi="黑体" w:eastAsia="黑体" w:cs="黑体"/>
          <w:i w:val="0"/>
          <w:iCs w:val="0"/>
          <w:caps w:val="0"/>
          <w:color w:val="auto"/>
          <w:spacing w:val="0"/>
          <w:sz w:val="32"/>
          <w:szCs w:val="32"/>
          <w:shd w:val="clear" w:fill="FFFFFF"/>
          <w:lang w:val="en-US" w:eastAsia="zh-CN"/>
        </w:rPr>
      </w:pPr>
    </w:p>
    <w:p w14:paraId="518A15AE">
      <w:pPr>
        <w:jc w:val="left"/>
        <w:rPr>
          <w:rFonts w:hint="eastAsia" w:ascii="黑体" w:hAnsi="黑体" w:eastAsia="黑体" w:cs="黑体"/>
          <w:i w:val="0"/>
          <w:iCs w:val="0"/>
          <w:caps w:val="0"/>
          <w:color w:val="auto"/>
          <w:spacing w:val="0"/>
          <w:sz w:val="32"/>
          <w:szCs w:val="32"/>
          <w:shd w:val="clear" w:fill="FFFFFF"/>
          <w:lang w:val="en-US" w:eastAsia="zh-CN"/>
        </w:rPr>
      </w:pPr>
    </w:p>
    <w:p w14:paraId="2B88E0E9">
      <w:pPr>
        <w:jc w:val="left"/>
        <w:rPr>
          <w:rFonts w:hint="eastAsia" w:ascii="黑体" w:hAnsi="黑体" w:eastAsia="黑体" w:cs="黑体"/>
          <w:i w:val="0"/>
          <w:iCs w:val="0"/>
          <w:caps w:val="0"/>
          <w:color w:val="auto"/>
          <w:spacing w:val="0"/>
          <w:sz w:val="32"/>
          <w:szCs w:val="32"/>
          <w:shd w:val="clear" w:fill="FFFFFF"/>
          <w:lang w:val="en-US" w:eastAsia="zh-CN"/>
        </w:rPr>
      </w:pPr>
    </w:p>
    <w:p w14:paraId="16F07104">
      <w:pPr>
        <w:jc w:val="left"/>
        <w:rPr>
          <w:rFonts w:hint="eastAsia" w:ascii="黑体" w:hAnsi="黑体" w:eastAsia="黑体" w:cs="黑体"/>
          <w:i w:val="0"/>
          <w:iCs w:val="0"/>
          <w:caps w:val="0"/>
          <w:color w:val="auto"/>
          <w:spacing w:val="0"/>
          <w:sz w:val="32"/>
          <w:szCs w:val="32"/>
          <w:shd w:val="clear" w:fill="FFFFFF"/>
          <w:lang w:val="en-US" w:eastAsia="zh-CN"/>
        </w:rPr>
      </w:pPr>
    </w:p>
    <w:p w14:paraId="441D6252">
      <w:pPr>
        <w:jc w:val="left"/>
        <w:rPr>
          <w:rFonts w:hint="eastAsia" w:ascii="黑体" w:hAnsi="黑体" w:eastAsia="黑体" w:cs="黑体"/>
          <w:i w:val="0"/>
          <w:iCs w:val="0"/>
          <w:caps w:val="0"/>
          <w:color w:val="auto"/>
          <w:spacing w:val="0"/>
          <w:sz w:val="32"/>
          <w:szCs w:val="32"/>
          <w:shd w:val="clear" w:fill="FFFFFF"/>
          <w:lang w:val="en-US" w:eastAsia="zh-CN"/>
        </w:rPr>
      </w:pPr>
    </w:p>
    <w:p w14:paraId="248968B8">
      <w:pPr>
        <w:jc w:val="left"/>
        <w:rPr>
          <w:rFonts w:hint="eastAsia" w:ascii="黑体" w:hAnsi="黑体" w:eastAsia="黑体" w:cs="黑体"/>
          <w:i w:val="0"/>
          <w:iCs w:val="0"/>
          <w:caps w:val="0"/>
          <w:color w:val="auto"/>
          <w:spacing w:val="0"/>
          <w:sz w:val="32"/>
          <w:szCs w:val="32"/>
          <w:shd w:val="clear" w:fill="FFFFFF"/>
          <w:lang w:val="en-US" w:eastAsia="zh-CN"/>
        </w:rPr>
      </w:pPr>
    </w:p>
    <w:p w14:paraId="78CDF4B8">
      <w:pPr>
        <w:jc w:val="left"/>
        <w:rPr>
          <w:rFonts w:hint="eastAsia" w:ascii="黑体" w:hAnsi="黑体" w:eastAsia="黑体" w:cs="黑体"/>
          <w:i w:val="0"/>
          <w:iCs w:val="0"/>
          <w:caps w:val="0"/>
          <w:color w:val="auto"/>
          <w:spacing w:val="0"/>
          <w:sz w:val="32"/>
          <w:szCs w:val="32"/>
          <w:shd w:val="clear" w:fill="FFFFFF"/>
          <w:lang w:val="en-US" w:eastAsia="zh-CN"/>
        </w:rPr>
      </w:pPr>
    </w:p>
    <w:p w14:paraId="68B24823">
      <w:pPr>
        <w:jc w:val="left"/>
        <w:rPr>
          <w:rFonts w:hint="eastAsia" w:ascii="黑体" w:hAnsi="黑体" w:eastAsia="黑体" w:cs="黑体"/>
          <w:i w:val="0"/>
          <w:iCs w:val="0"/>
          <w:caps w:val="0"/>
          <w:color w:val="auto"/>
          <w:spacing w:val="0"/>
          <w:sz w:val="32"/>
          <w:szCs w:val="32"/>
          <w:shd w:val="clear" w:fill="FFFFFF"/>
          <w:lang w:val="en-US" w:eastAsia="zh-CN"/>
        </w:rPr>
      </w:pPr>
    </w:p>
    <w:p w14:paraId="7F99838F">
      <w:pPr>
        <w:jc w:val="left"/>
        <w:rPr>
          <w:rFonts w:hint="eastAsia" w:ascii="黑体" w:hAnsi="黑体" w:eastAsia="黑体" w:cs="黑体"/>
          <w:i w:val="0"/>
          <w:iCs w:val="0"/>
          <w:caps w:val="0"/>
          <w:color w:val="auto"/>
          <w:spacing w:val="0"/>
          <w:sz w:val="32"/>
          <w:szCs w:val="32"/>
          <w:shd w:val="clear" w:fill="FFFFFF"/>
          <w:lang w:val="en-US" w:eastAsia="zh-CN"/>
        </w:rPr>
      </w:pPr>
    </w:p>
    <w:p w14:paraId="723A6C9B">
      <w:pPr>
        <w:jc w:val="left"/>
        <w:rPr>
          <w:rFonts w:hint="default"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t>附件4：</w:t>
      </w:r>
    </w:p>
    <w:p w14:paraId="0748A894">
      <w:pPr>
        <w:widowControl/>
        <w:spacing w:before="156" w:beforeLines="50" w:after="120"/>
        <w:jc w:val="center"/>
        <w:rPr>
          <w:rFonts w:ascii="方正小标宋简体" w:hAnsi="宋体" w:eastAsia="方正小标宋简体" w:cs="Times New Roman"/>
          <w:sz w:val="36"/>
          <w:szCs w:val="44"/>
        </w:rPr>
      </w:pPr>
      <w:r>
        <w:rPr>
          <w:rFonts w:hint="eastAsia" w:ascii="方正小标宋简体" w:hAnsi="宋体" w:eastAsia="方正小标宋简体" w:cs="Times New Roman"/>
          <w:sz w:val="36"/>
          <w:szCs w:val="44"/>
        </w:rPr>
        <w:t>浙银理财理财</w:t>
      </w:r>
      <w:r>
        <w:rPr>
          <w:rFonts w:ascii="方正小标宋简体" w:hAnsi="宋体" w:eastAsia="方正小标宋简体" w:cs="Times New Roman"/>
          <w:sz w:val="36"/>
          <w:szCs w:val="44"/>
        </w:rPr>
        <w:t>产品</w:t>
      </w:r>
    </w:p>
    <w:p w14:paraId="68745522">
      <w:pPr>
        <w:widowControl/>
        <w:spacing w:before="156" w:beforeLines="50" w:after="120"/>
        <w:jc w:val="center"/>
        <w:rPr>
          <w:rFonts w:ascii="方正小标宋简体" w:hAnsi="宋体" w:eastAsia="方正小标宋简体" w:cs="Times New Roman"/>
          <w:sz w:val="36"/>
          <w:szCs w:val="44"/>
        </w:rPr>
      </w:pPr>
      <w:r>
        <w:rPr>
          <w:rFonts w:hint="eastAsia" w:ascii="方正小标宋简体" w:hAnsi="宋体" w:eastAsia="方正小标宋简体" w:cs="Times New Roman"/>
          <w:sz w:val="36"/>
          <w:szCs w:val="44"/>
        </w:rPr>
        <w:t>投资者权益须知（202</w:t>
      </w:r>
      <w:r>
        <w:rPr>
          <w:rFonts w:hint="eastAsia" w:ascii="方正小标宋简体" w:hAnsi="宋体" w:eastAsia="方正小标宋简体" w:cs="Times New Roman"/>
          <w:sz w:val="36"/>
          <w:szCs w:val="44"/>
          <w:lang w:val="en-US" w:eastAsia="zh-CN"/>
        </w:rPr>
        <w:t>608</w:t>
      </w:r>
      <w:r>
        <w:rPr>
          <w:rFonts w:hint="eastAsia" w:ascii="方正小标宋简体" w:hAnsi="宋体" w:eastAsia="方正小标宋简体" w:cs="Times New Roman"/>
          <w:sz w:val="36"/>
          <w:szCs w:val="44"/>
        </w:rPr>
        <w:t>版）</w:t>
      </w:r>
    </w:p>
    <w:p w14:paraId="3556150A">
      <w:pPr>
        <w:spacing w:line="360" w:lineRule="auto"/>
        <w:ind w:left="-424" w:leftChars="-202" w:right="-424" w:rightChars="-202" w:firstLine="360" w:firstLineChars="150"/>
        <w:rPr>
          <w:rFonts w:ascii="仿宋_GB2312" w:eastAsia="仿宋_GB2312"/>
          <w:sz w:val="24"/>
        </w:rPr>
      </w:pPr>
      <w:r>
        <w:rPr>
          <w:rFonts w:ascii="仿宋_GB2312" w:eastAsia="仿宋_GB2312"/>
          <w:sz w:val="24"/>
        </w:rPr>
        <w:t>尊敬的</w:t>
      </w:r>
      <w:r>
        <w:rPr>
          <w:rFonts w:hint="eastAsia" w:ascii="仿宋_GB2312" w:eastAsia="仿宋_GB2312"/>
          <w:sz w:val="24"/>
        </w:rPr>
        <w:t>投资者</w:t>
      </w:r>
      <w:r>
        <w:rPr>
          <w:rFonts w:ascii="仿宋_GB2312" w:eastAsia="仿宋_GB2312"/>
          <w:sz w:val="24"/>
        </w:rPr>
        <w:t>：</w:t>
      </w:r>
    </w:p>
    <w:p w14:paraId="0C7E9219">
      <w:pPr>
        <w:spacing w:line="360" w:lineRule="auto"/>
        <w:ind w:firstLine="482" w:firstLineChars="200"/>
        <w:rPr>
          <w:rFonts w:ascii="仿宋_GB2312" w:eastAsia="仿宋_GB2312"/>
          <w:b/>
          <w:sz w:val="24"/>
        </w:rPr>
      </w:pPr>
      <w:r>
        <w:rPr>
          <w:rFonts w:hint="eastAsia" w:ascii="仿宋_GB2312" w:eastAsia="仿宋_GB2312"/>
          <w:b/>
          <w:sz w:val="24"/>
        </w:rPr>
        <w:t>感谢您</w:t>
      </w:r>
      <w:r>
        <w:rPr>
          <w:rFonts w:ascii="仿宋_GB2312" w:eastAsia="仿宋_GB2312"/>
          <w:b/>
          <w:sz w:val="24"/>
        </w:rPr>
        <w:t>购买</w:t>
      </w:r>
      <w:r>
        <w:rPr>
          <w:rFonts w:hint="eastAsia" w:ascii="仿宋_GB2312" w:eastAsia="仿宋_GB2312"/>
          <w:b/>
          <w:sz w:val="24"/>
        </w:rPr>
        <w:t>浙银理财有限</w:t>
      </w:r>
      <w:r>
        <w:rPr>
          <w:rFonts w:ascii="仿宋_GB2312" w:eastAsia="仿宋_GB2312"/>
          <w:b/>
          <w:sz w:val="24"/>
        </w:rPr>
        <w:t>责任公司</w:t>
      </w:r>
      <w:r>
        <w:rPr>
          <w:rFonts w:hint="eastAsia" w:ascii="仿宋_GB2312" w:eastAsia="仿宋_GB2312"/>
          <w:b/>
          <w:sz w:val="24"/>
        </w:rPr>
        <w:t>（以下称“浙银理财”）发行</w:t>
      </w:r>
      <w:r>
        <w:rPr>
          <w:rFonts w:ascii="仿宋_GB2312" w:eastAsia="仿宋_GB2312"/>
          <w:b/>
          <w:sz w:val="24"/>
        </w:rPr>
        <w:t>的本理财产品</w:t>
      </w:r>
      <w:r>
        <w:rPr>
          <w:rFonts w:hint="eastAsia" w:ascii="仿宋_GB2312" w:eastAsia="仿宋_GB2312"/>
          <w:b/>
          <w:sz w:val="24"/>
        </w:rPr>
        <w:t>，浙银理财郑重提示：理财产品与存款存在明显区别，具有一定的风险。</w:t>
      </w:r>
      <w:r>
        <w:rPr>
          <w:rFonts w:ascii="仿宋_GB2312" w:eastAsia="仿宋_GB2312"/>
          <w:b/>
          <w:sz w:val="24"/>
        </w:rPr>
        <w:t>为了保护您的合法权益，请在</w:t>
      </w:r>
      <w:r>
        <w:rPr>
          <w:rFonts w:hint="eastAsia" w:ascii="仿宋_GB2312" w:eastAsia="仿宋_GB2312"/>
          <w:b/>
          <w:sz w:val="24"/>
        </w:rPr>
        <w:t>购买理财产品</w:t>
      </w:r>
      <w:r>
        <w:rPr>
          <w:rFonts w:ascii="仿宋_GB2312" w:eastAsia="仿宋_GB2312"/>
          <w:b/>
          <w:sz w:val="24"/>
        </w:rPr>
        <w:t>前认真阅读</w:t>
      </w:r>
      <w:r>
        <w:rPr>
          <w:rFonts w:hint="eastAsia" w:ascii="仿宋_GB2312" w:eastAsia="仿宋_GB2312"/>
          <w:b/>
          <w:sz w:val="24"/>
        </w:rPr>
        <w:t>本须知。在阅读时如对本产品销售文件或购买流程等有不明之处，请及时与销售机构相关人员进行咨询。在</w:t>
      </w:r>
      <w:r>
        <w:rPr>
          <w:rFonts w:ascii="仿宋_GB2312" w:eastAsia="仿宋_GB2312"/>
          <w:b/>
          <w:sz w:val="24"/>
        </w:rPr>
        <w:t>购买理财产品后，</w:t>
      </w:r>
      <w:r>
        <w:rPr>
          <w:rFonts w:hint="eastAsia" w:ascii="仿宋_GB2312" w:eastAsia="仿宋_GB2312"/>
          <w:b/>
          <w:sz w:val="24"/>
        </w:rPr>
        <w:t>请</w:t>
      </w:r>
      <w:r>
        <w:rPr>
          <w:rFonts w:ascii="仿宋_GB2312" w:eastAsia="仿宋_GB2312"/>
          <w:b/>
          <w:sz w:val="24"/>
        </w:rPr>
        <w:t>关注理财产品的信息披露情况，及时获取相关信息。</w:t>
      </w:r>
    </w:p>
    <w:p w14:paraId="75C601BF">
      <w:pPr>
        <w:tabs>
          <w:tab w:val="left" w:pos="1080"/>
        </w:tabs>
        <w:snapToGrid w:val="0"/>
        <w:spacing w:before="240" w:line="360" w:lineRule="auto"/>
        <w:ind w:firstLine="482" w:firstLineChars="200"/>
        <w:outlineLvl w:val="0"/>
        <w:rPr>
          <w:rFonts w:ascii="仿宋_GB2312" w:eastAsia="仿宋_GB2312"/>
          <w:sz w:val="24"/>
        </w:rPr>
      </w:pPr>
      <w:r>
        <w:rPr>
          <w:rFonts w:hint="eastAsia" w:ascii="仿宋_GB2312" w:eastAsia="仿宋_GB2312"/>
          <w:b/>
          <w:sz w:val="24"/>
        </w:rPr>
        <w:t>一、理财产品的购买流程</w:t>
      </w:r>
    </w:p>
    <w:p w14:paraId="6D99DB8E">
      <w:pPr>
        <w:tabs>
          <w:tab w:val="left" w:pos="1080"/>
        </w:tabs>
        <w:snapToGrid w:val="0"/>
        <w:spacing w:line="360" w:lineRule="auto"/>
        <w:ind w:firstLine="480" w:firstLineChars="200"/>
        <w:rPr>
          <w:rFonts w:ascii="仿宋_GB2312" w:eastAsia="仿宋_GB2312"/>
          <w:sz w:val="24"/>
        </w:rPr>
      </w:pPr>
      <w:r>
        <w:rPr>
          <w:rFonts w:hint="eastAsia" w:ascii="仿宋_GB2312" w:eastAsia="仿宋_GB2312"/>
          <w:sz w:val="24"/>
        </w:rPr>
        <w:t>（一）首次在销售机构购买理财产品的投资者需开立相应资金账户，提供正确的联系方式等信</w:t>
      </w:r>
      <w:r>
        <w:rPr>
          <w:rFonts w:ascii="仿宋_GB2312" w:eastAsia="仿宋_GB2312"/>
          <w:sz w:val="24"/>
        </w:rPr>
        <w:t>息</w:t>
      </w:r>
      <w:r>
        <w:rPr>
          <w:rFonts w:hint="eastAsia" w:ascii="仿宋_GB2312" w:eastAsia="仿宋_GB2312"/>
          <w:sz w:val="24"/>
        </w:rPr>
        <w:t>。该账户用于本理财产品的资金划转及兑付，</w:t>
      </w:r>
      <w:r>
        <w:rPr>
          <w:rFonts w:hint="eastAsia" w:ascii="仿宋_GB2312" w:eastAsia="仿宋_GB2312"/>
          <w:b/>
          <w:bCs/>
          <w:sz w:val="24"/>
        </w:rPr>
        <w:t>投资者应确保持有本产品期间指定账户不做销户</w:t>
      </w:r>
      <w:r>
        <w:rPr>
          <w:rFonts w:hint="eastAsia" w:ascii="仿宋_GB2312" w:eastAsia="仿宋_GB2312"/>
          <w:sz w:val="24"/>
        </w:rPr>
        <w:t>。</w:t>
      </w:r>
    </w:p>
    <w:p w14:paraId="4210D61E">
      <w:pPr>
        <w:tabs>
          <w:tab w:val="left" w:pos="1080"/>
        </w:tabs>
        <w:snapToGrid w:val="0"/>
        <w:spacing w:line="360" w:lineRule="auto"/>
        <w:ind w:firstLine="480" w:firstLineChars="200"/>
        <w:rPr>
          <w:rFonts w:ascii="仿宋_GB2312" w:eastAsia="仿宋_GB2312"/>
          <w:sz w:val="24"/>
        </w:rPr>
      </w:pPr>
      <w:r>
        <w:rPr>
          <w:rFonts w:hint="eastAsia" w:ascii="仿宋_GB2312" w:eastAsia="仿宋_GB2312"/>
          <w:sz w:val="24"/>
        </w:rPr>
        <w:t>（二）首次在销售机构购买理财产品的</w:t>
      </w:r>
      <w:r>
        <w:rPr>
          <w:rFonts w:hint="eastAsia" w:ascii="仿宋_GB2312" w:eastAsia="仿宋_GB2312"/>
          <w:sz w:val="24"/>
          <w:lang w:val="en-US" w:eastAsia="zh-CN"/>
        </w:rPr>
        <w:t>普通</w:t>
      </w:r>
      <w:r>
        <w:rPr>
          <w:rFonts w:hint="eastAsia" w:ascii="仿宋_GB2312" w:eastAsia="仿宋_GB2312"/>
          <w:sz w:val="24"/>
        </w:rPr>
        <w:t>投资者需进行投资者风险承受能力评估，并根据风险评估结果选择适合的产品，确认拟购买的产品风险评级未超出投资者风险承受能力等级。。</w:t>
      </w:r>
    </w:p>
    <w:p w14:paraId="492003D2">
      <w:pPr>
        <w:tabs>
          <w:tab w:val="left" w:pos="1080"/>
        </w:tabs>
        <w:snapToGrid w:val="0"/>
        <w:spacing w:line="360" w:lineRule="auto"/>
        <w:ind w:firstLine="480" w:firstLineChars="200"/>
        <w:rPr>
          <w:rFonts w:ascii="仿宋_GB2312" w:eastAsia="仿宋_GB2312"/>
          <w:sz w:val="24"/>
        </w:rPr>
      </w:pPr>
      <w:r>
        <w:rPr>
          <w:rFonts w:hint="eastAsia" w:ascii="仿宋_GB2312" w:eastAsia="仿宋_GB2312"/>
          <w:sz w:val="24"/>
          <w:lang w:val="en-US" w:eastAsia="zh-CN"/>
        </w:rPr>
        <w:t>专业</w:t>
      </w:r>
      <w:r>
        <w:rPr>
          <w:rFonts w:hint="eastAsia" w:ascii="仿宋_GB2312" w:eastAsia="仿宋_GB2312"/>
          <w:sz w:val="24"/>
        </w:rPr>
        <w:t>投资者不适用相关风险承受能力评估流程。请</w:t>
      </w:r>
      <w:r>
        <w:rPr>
          <w:rFonts w:hint="eastAsia" w:ascii="仿宋_GB2312" w:eastAsia="仿宋_GB2312"/>
          <w:sz w:val="24"/>
          <w:lang w:val="en-US" w:eastAsia="zh-CN"/>
        </w:rPr>
        <w:t>专业</w:t>
      </w:r>
      <w:r>
        <w:rPr>
          <w:rFonts w:hint="eastAsia" w:ascii="仿宋_GB2312" w:eastAsia="仿宋_GB2312"/>
          <w:sz w:val="24"/>
        </w:rPr>
        <w:t>投资者根据自身财务状况、投资风格、资金需求等要素，充分理解购买理财产品需要承担的风险。</w:t>
      </w:r>
    </w:p>
    <w:p w14:paraId="3A9DD1B8">
      <w:pPr>
        <w:tabs>
          <w:tab w:val="left" w:pos="1080"/>
        </w:tabs>
        <w:snapToGrid w:val="0"/>
        <w:spacing w:line="360" w:lineRule="auto"/>
        <w:ind w:firstLine="480" w:firstLineChars="200"/>
        <w:rPr>
          <w:rFonts w:ascii="仿宋_GB2312" w:eastAsia="仿宋_GB2312"/>
          <w:sz w:val="24"/>
        </w:rPr>
      </w:pPr>
      <w:r>
        <w:rPr>
          <w:rFonts w:hint="eastAsia" w:ascii="仿宋_GB2312" w:eastAsia="仿宋_GB2312"/>
          <w:sz w:val="24"/>
        </w:rPr>
        <w:t>（三）</w:t>
      </w:r>
      <w:r>
        <w:rPr>
          <w:rFonts w:hint="eastAsia" w:ascii="仿宋_GB2312" w:eastAsia="仿宋_GB2312"/>
          <w:b/>
          <w:sz w:val="24"/>
        </w:rPr>
        <w:t>购买理财产品前请仔细阅读本理财产品完整销售文件（包括《风险揭示书》、《产品说明书》、《投资协议书》、《投资者权益须知》、《（代理）销售协议书》等），理解并确认理财产品条款及产品风险。</w:t>
      </w:r>
      <w:r>
        <w:rPr>
          <w:rFonts w:hint="eastAsia" w:ascii="仿宋_GB2312" w:eastAsia="仿宋_GB2312"/>
          <w:sz w:val="24"/>
        </w:rPr>
        <w:t>确认对销售文件条款无疑问和异议后，独立抄录风险确认语句并签署相关销售文件，办理理财产品购买手续，自主承担投资风险。</w:t>
      </w:r>
    </w:p>
    <w:p w14:paraId="4B06DA19">
      <w:pPr>
        <w:tabs>
          <w:tab w:val="left" w:pos="1080"/>
        </w:tabs>
        <w:snapToGrid w:val="0"/>
        <w:spacing w:line="360" w:lineRule="auto"/>
        <w:ind w:firstLine="480" w:firstLineChars="200"/>
        <w:rPr>
          <w:rFonts w:ascii="仿宋_GB2312" w:eastAsia="仿宋_GB2312"/>
          <w:sz w:val="24"/>
        </w:rPr>
      </w:pPr>
      <w:r>
        <w:rPr>
          <w:rFonts w:hint="eastAsia" w:ascii="仿宋_GB2312" w:eastAsia="仿宋_GB2312"/>
          <w:sz w:val="24"/>
        </w:rPr>
        <w:t>（四）投资者申请办理业务，确定交易金额，完成交易申请，并在产品管理人确认份额后进行查询。</w:t>
      </w:r>
    </w:p>
    <w:p w14:paraId="4F870251">
      <w:pPr>
        <w:tabs>
          <w:tab w:val="left" w:pos="1080"/>
        </w:tabs>
        <w:snapToGrid w:val="0"/>
        <w:spacing w:line="360" w:lineRule="auto"/>
        <w:ind w:firstLine="480" w:firstLineChars="200"/>
        <w:rPr>
          <w:rFonts w:ascii="仿宋_GB2312" w:eastAsia="仿宋_GB2312"/>
          <w:sz w:val="24"/>
        </w:rPr>
      </w:pPr>
      <w:r>
        <w:rPr>
          <w:rFonts w:hint="eastAsia" w:ascii="仿宋_GB2312" w:eastAsia="仿宋_GB2312"/>
          <w:sz w:val="24"/>
        </w:rPr>
        <w:t>（五）投资者可在销售机构网上银行、手机银行等渠道购买理财产品（具体以销售机构提供的方式为准）。但对于具体理财产品，产品管理人将根据产品风险等级和市场情况自行确定发售渠道。</w:t>
      </w:r>
    </w:p>
    <w:p w14:paraId="2FB014FF">
      <w:pPr>
        <w:tabs>
          <w:tab w:val="left" w:pos="1080"/>
        </w:tabs>
        <w:snapToGrid w:val="0"/>
        <w:spacing w:line="360" w:lineRule="auto"/>
        <w:ind w:firstLine="482" w:firstLineChars="200"/>
        <w:outlineLvl w:val="0"/>
        <w:rPr>
          <w:rFonts w:ascii="仿宋_GB2312" w:eastAsia="仿宋_GB2312"/>
          <w:b/>
          <w:sz w:val="24"/>
        </w:rPr>
      </w:pPr>
      <w:r>
        <w:rPr>
          <w:rFonts w:hint="eastAsia" w:ascii="仿宋_GB2312" w:eastAsia="仿宋_GB2312"/>
          <w:b/>
          <w:sz w:val="24"/>
        </w:rPr>
        <w:t>二、</w:t>
      </w:r>
      <w:r>
        <w:rPr>
          <w:rFonts w:hint="eastAsia" w:ascii="仿宋_GB2312" w:eastAsia="仿宋_GB2312"/>
          <w:b/>
          <w:sz w:val="24"/>
          <w:lang w:val="en-US" w:eastAsia="zh-CN"/>
        </w:rPr>
        <w:t>普通</w:t>
      </w:r>
      <w:r>
        <w:rPr>
          <w:rFonts w:hint="eastAsia" w:ascii="仿宋_GB2312" w:eastAsia="仿宋_GB2312"/>
          <w:b/>
          <w:sz w:val="24"/>
        </w:rPr>
        <w:t>投资者风险承受能力评估说明</w:t>
      </w:r>
    </w:p>
    <w:p w14:paraId="4CF047ED">
      <w:pPr>
        <w:tabs>
          <w:tab w:val="left" w:pos="1080"/>
        </w:tabs>
        <w:snapToGrid w:val="0"/>
        <w:spacing w:line="360" w:lineRule="auto"/>
        <w:ind w:firstLine="480" w:firstLineChars="200"/>
        <w:rPr>
          <w:rFonts w:ascii="仿宋_GB2312" w:eastAsia="仿宋_GB2312"/>
          <w:b/>
          <w:sz w:val="24"/>
        </w:rPr>
      </w:pPr>
      <w:r>
        <w:rPr>
          <w:rFonts w:hint="eastAsia" w:ascii="仿宋_GB2312" w:eastAsia="仿宋_GB2312"/>
          <w:sz w:val="24"/>
        </w:rPr>
        <w:t>（一）本理财产品全部销售工作及投资者适当性评估由销售机构负责。</w:t>
      </w:r>
      <w:r>
        <w:rPr>
          <w:rFonts w:hint="eastAsia" w:ascii="仿宋_GB2312" w:eastAsia="仿宋_GB2312"/>
          <w:sz w:val="24"/>
          <w:lang w:val="en-US" w:eastAsia="zh-CN"/>
        </w:rPr>
        <w:t>普通</w:t>
      </w:r>
      <w:r>
        <w:rPr>
          <w:rFonts w:hint="eastAsia" w:ascii="仿宋_GB2312" w:eastAsia="仿宋_GB2312"/>
          <w:sz w:val="24"/>
        </w:rPr>
        <w:t>投资者首次在</w:t>
      </w:r>
      <w:r>
        <w:rPr>
          <w:rFonts w:ascii="仿宋_GB2312" w:eastAsia="仿宋_GB2312"/>
          <w:sz w:val="24"/>
        </w:rPr>
        <w:t>销售机构</w:t>
      </w:r>
      <w:r>
        <w:rPr>
          <w:rFonts w:hint="eastAsia" w:ascii="仿宋_GB2312" w:eastAsia="仿宋_GB2312"/>
          <w:sz w:val="24"/>
        </w:rPr>
        <w:t>购买理财产品前须在销售机构进行风险承受能力评估；超过1年未进行风险承受能力评估或发生可能影响您风险承受能力情况的，再次购买理财产品时，应重新进行风险承受能力评估；评估结果应由投资者本人签名确认。</w:t>
      </w:r>
      <w:r>
        <w:rPr>
          <w:rFonts w:ascii="仿宋_GB2312" w:eastAsia="仿宋_GB2312"/>
          <w:b/>
          <w:sz w:val="24"/>
        </w:rPr>
        <w:t>特别提示：</w:t>
      </w:r>
      <w:r>
        <w:rPr>
          <w:rFonts w:hint="eastAsia" w:ascii="仿宋_GB2312" w:eastAsia="仿宋_GB2312"/>
          <w:b/>
          <w:sz w:val="24"/>
        </w:rPr>
        <w:t>如影响您风险承受能力的因素发生变化，请您及时重新完成风险承受能力评估。</w:t>
      </w:r>
    </w:p>
    <w:p w14:paraId="6466B142">
      <w:pPr>
        <w:tabs>
          <w:tab w:val="left" w:pos="1080"/>
        </w:tabs>
        <w:snapToGrid w:val="0"/>
        <w:spacing w:line="360" w:lineRule="auto"/>
        <w:ind w:firstLine="480" w:firstLineChars="200"/>
        <w:rPr>
          <w:rFonts w:ascii="仿宋_GB2312" w:eastAsia="仿宋_GB2312"/>
          <w:sz w:val="24"/>
        </w:rPr>
      </w:pPr>
      <w:r>
        <w:rPr>
          <w:rFonts w:hint="eastAsia" w:ascii="仿宋_GB2312" w:eastAsia="仿宋_GB2312"/>
          <w:sz w:val="24"/>
        </w:rPr>
        <w:t>（二）</w:t>
      </w:r>
      <w:r>
        <w:rPr>
          <w:rFonts w:hint="eastAsia" w:ascii="仿宋_GB2312" w:eastAsia="仿宋_GB2312"/>
          <w:sz w:val="24"/>
          <w:lang w:val="en-US" w:eastAsia="zh-CN"/>
        </w:rPr>
        <w:t>普通</w:t>
      </w:r>
      <w:r>
        <w:rPr>
          <w:rFonts w:hint="eastAsia" w:ascii="仿宋_GB2312" w:eastAsia="仿宋_GB2312"/>
          <w:sz w:val="24"/>
        </w:rPr>
        <w:t>投资者风险承受能力由低到高分为【C1保守型、C2稳健型、C3平衡型、C4成长型、C5进取型共五个等级】。其中，【C1】为风险承受能力最低类别（R1），【C5】为风险承受能力最高类别（R5）。风险承受能力评估结果将作为评价</w:t>
      </w:r>
      <w:r>
        <w:rPr>
          <w:rFonts w:hint="eastAsia" w:ascii="仿宋_GB2312" w:eastAsia="仿宋_GB2312"/>
          <w:sz w:val="24"/>
          <w:lang w:val="en-US" w:eastAsia="zh-CN"/>
        </w:rPr>
        <w:t>普通</w:t>
      </w:r>
      <w:r>
        <w:rPr>
          <w:rFonts w:hint="eastAsia" w:ascii="仿宋_GB2312" w:eastAsia="仿宋_GB2312"/>
          <w:sz w:val="24"/>
        </w:rPr>
        <w:t>投资者是否适合购买理财产品的重要因素</w:t>
      </w:r>
      <w:r>
        <w:rPr>
          <w:rFonts w:hint="eastAsia" w:ascii="仿宋_GB2312" w:eastAsia="仿宋_GB2312"/>
          <w:sz w:val="24"/>
          <w:lang w:eastAsia="zh-CN"/>
        </w:rPr>
        <w:t>，普通投资者仅能购买风险等级等于或低于其风险承受能力等级的理财产品</w:t>
      </w:r>
      <w:r>
        <w:rPr>
          <w:rFonts w:hint="eastAsia" w:ascii="仿宋_GB2312" w:eastAsia="仿宋_GB2312"/>
          <w:sz w:val="24"/>
        </w:rPr>
        <w:t>。</w:t>
      </w:r>
    </w:p>
    <w:p w14:paraId="120687B7">
      <w:pPr>
        <w:tabs>
          <w:tab w:val="left" w:pos="1080"/>
        </w:tabs>
        <w:snapToGrid w:val="0"/>
        <w:spacing w:line="360" w:lineRule="auto"/>
        <w:ind w:firstLine="480" w:firstLineChars="200"/>
        <w:rPr>
          <w:rFonts w:ascii="仿宋_GB2312" w:eastAsia="仿宋_GB2312"/>
          <w:sz w:val="24"/>
        </w:rPr>
      </w:pPr>
      <w:r>
        <w:rPr>
          <w:rFonts w:hint="eastAsia" w:ascii="仿宋_GB2312" w:eastAsia="仿宋_GB2312"/>
          <w:sz w:val="24"/>
          <w:lang w:val="en-US" w:eastAsia="zh-CN"/>
        </w:rPr>
        <w:t>专业</w:t>
      </w:r>
      <w:r>
        <w:rPr>
          <w:rFonts w:hint="eastAsia" w:ascii="仿宋_GB2312" w:eastAsia="仿宋_GB2312"/>
          <w:sz w:val="24"/>
        </w:rPr>
        <w:t>投资者购买理财产品前无需进行风险评估能力测试。</w:t>
      </w:r>
    </w:p>
    <w:p w14:paraId="3261D949">
      <w:pPr>
        <w:tabs>
          <w:tab w:val="left" w:pos="1080"/>
        </w:tabs>
        <w:snapToGrid w:val="0"/>
        <w:spacing w:line="360" w:lineRule="auto"/>
        <w:ind w:firstLine="480" w:firstLineChars="200"/>
        <w:rPr>
          <w:rFonts w:ascii="仿宋_GB2312" w:eastAsia="仿宋_GB2312"/>
          <w:sz w:val="24"/>
        </w:rPr>
      </w:pPr>
      <w:r>
        <w:rPr>
          <w:rFonts w:hint="eastAsia" w:ascii="仿宋_GB2312" w:eastAsia="仿宋_GB2312"/>
          <w:sz w:val="24"/>
        </w:rPr>
        <w:t>（三）</w:t>
      </w:r>
      <w:r>
        <w:rPr>
          <w:rFonts w:hint="eastAsia" w:ascii="仿宋_GB2312" w:eastAsia="仿宋_GB2312"/>
          <w:b/>
          <w:bCs/>
          <w:sz w:val="24"/>
        </w:rPr>
        <w:t>如果</w:t>
      </w:r>
      <w:r>
        <w:rPr>
          <w:rFonts w:hint="eastAsia" w:ascii="仿宋_GB2312" w:eastAsia="仿宋_GB2312"/>
          <w:b/>
          <w:bCs/>
          <w:sz w:val="24"/>
          <w:lang w:val="en-US" w:eastAsia="zh-CN"/>
        </w:rPr>
        <w:t>普通</w:t>
      </w:r>
      <w:r>
        <w:rPr>
          <w:rFonts w:hint="eastAsia" w:ascii="仿宋_GB2312" w:eastAsia="仿宋_GB2312"/>
          <w:b/>
          <w:bCs/>
          <w:sz w:val="24"/>
        </w:rPr>
        <w:t>投资者在理财产品持有期间发生风险承受能力变化，导致购买的理财产品与投资者自身风险承受能力不匹配，对于根据产品说明书约定有权提前赎回的理财产品，建议投资者尽快赎回；对于根据产品说明书无提前赎回权的理财产品，投资者将不能以风险承受能力不再匹配为由提出赎回等相关请求。因此请投资者在投资购买理财产品前谨慎决策。</w:t>
      </w:r>
    </w:p>
    <w:p w14:paraId="47947CBC">
      <w:pPr>
        <w:tabs>
          <w:tab w:val="left" w:pos="1080"/>
        </w:tabs>
        <w:snapToGrid w:val="0"/>
        <w:spacing w:line="360" w:lineRule="auto"/>
        <w:ind w:firstLine="482" w:firstLineChars="200"/>
        <w:outlineLvl w:val="0"/>
        <w:rPr>
          <w:rFonts w:ascii="仿宋_GB2312" w:eastAsia="仿宋_GB2312"/>
          <w:b/>
          <w:sz w:val="24"/>
        </w:rPr>
      </w:pPr>
      <w:r>
        <w:rPr>
          <w:rFonts w:hint="eastAsia" w:ascii="仿宋_GB2312" w:eastAsia="仿宋_GB2312"/>
          <w:b/>
          <w:sz w:val="24"/>
        </w:rPr>
        <w:t>三、管理人理财产品风险评级</w:t>
      </w:r>
    </w:p>
    <w:p w14:paraId="7CCBC52F">
      <w:pPr>
        <w:spacing w:line="360" w:lineRule="auto"/>
        <w:ind w:firstLine="480" w:firstLineChars="200"/>
        <w:rPr>
          <w:rFonts w:ascii="仿宋_GB2312" w:eastAsia="仿宋_GB2312"/>
          <w:sz w:val="24"/>
        </w:rPr>
      </w:pPr>
      <w:r>
        <w:rPr>
          <w:rFonts w:hint="eastAsia" w:ascii="仿宋_GB2312" w:eastAsia="仿宋_GB2312"/>
          <w:sz w:val="24"/>
        </w:rPr>
        <w:t>管理人根据理财产品投资范围、投资资产和投资比例等因素，对理财产品进行</w:t>
      </w:r>
      <w:r>
        <w:rPr>
          <w:rFonts w:ascii="仿宋_GB2312" w:eastAsia="仿宋_GB2312"/>
          <w:sz w:val="24"/>
        </w:rPr>
        <w:t>内部风险评级，</w:t>
      </w:r>
      <w:r>
        <w:rPr>
          <w:rFonts w:hint="eastAsia" w:ascii="仿宋_GB2312" w:eastAsia="仿宋_GB2312"/>
          <w:sz w:val="24"/>
        </w:rPr>
        <w:t>仅供投资者参考，不具有任何法律约束力，风险评级由低到高分为以下五级：</w:t>
      </w:r>
    </w:p>
    <w:p w14:paraId="035EA9E8">
      <w:pPr>
        <w:pStyle w:val="13"/>
        <w:widowControl/>
        <w:numPr>
          <w:ilvl w:val="0"/>
          <w:numId w:val="3"/>
        </w:numPr>
        <w:tabs>
          <w:tab w:val="left" w:pos="1080"/>
        </w:tabs>
        <w:snapToGrid w:val="0"/>
        <w:spacing w:line="360" w:lineRule="auto"/>
        <w:ind w:firstLineChars="0"/>
        <w:jc w:val="left"/>
        <w:outlineLvl w:val="0"/>
        <w:rPr>
          <w:rFonts w:ascii="仿宋_GB2312" w:eastAsia="仿宋_GB2312"/>
          <w:sz w:val="24"/>
        </w:rPr>
      </w:pPr>
      <w:r>
        <w:rPr>
          <w:rFonts w:hint="eastAsia" w:ascii="仿宋_GB2312" w:eastAsia="仿宋_GB2312"/>
          <w:sz w:val="24"/>
        </w:rPr>
        <w:t xml:space="preserve">低风险产品（R1级）：产品总体风险程度低，本金及收益受风险因素影响很小，有很大可能达到业绩比较基准（如有）的产品。 </w:t>
      </w:r>
    </w:p>
    <w:p w14:paraId="2FF1EA96">
      <w:pPr>
        <w:pStyle w:val="13"/>
        <w:widowControl/>
        <w:numPr>
          <w:ilvl w:val="0"/>
          <w:numId w:val="3"/>
        </w:numPr>
        <w:tabs>
          <w:tab w:val="left" w:pos="1080"/>
        </w:tabs>
        <w:snapToGrid w:val="0"/>
        <w:spacing w:line="360" w:lineRule="auto"/>
        <w:ind w:firstLineChars="0"/>
        <w:jc w:val="left"/>
        <w:outlineLvl w:val="0"/>
        <w:rPr>
          <w:rFonts w:ascii="仿宋_GB2312" w:eastAsia="仿宋_GB2312"/>
          <w:sz w:val="24"/>
        </w:rPr>
      </w:pPr>
      <w:r>
        <w:rPr>
          <w:rFonts w:hint="eastAsia" w:ascii="仿宋_GB2312" w:eastAsia="仿宋_GB2312"/>
          <w:sz w:val="24"/>
        </w:rPr>
        <w:t>中低风险产品（R2级）：产品总体风险程度较低，本金损失的可能性小，业绩比较基准（如有）不能实现的概率较低的产品。</w:t>
      </w:r>
    </w:p>
    <w:p w14:paraId="18A06506">
      <w:pPr>
        <w:pStyle w:val="13"/>
        <w:widowControl/>
        <w:numPr>
          <w:ilvl w:val="0"/>
          <w:numId w:val="3"/>
        </w:numPr>
        <w:tabs>
          <w:tab w:val="left" w:pos="1080"/>
        </w:tabs>
        <w:snapToGrid w:val="0"/>
        <w:spacing w:line="360" w:lineRule="auto"/>
        <w:ind w:firstLineChars="0"/>
        <w:jc w:val="left"/>
        <w:outlineLvl w:val="0"/>
        <w:rPr>
          <w:rFonts w:ascii="仿宋_GB2312" w:eastAsia="仿宋_GB2312"/>
          <w:sz w:val="24"/>
        </w:rPr>
      </w:pPr>
      <w:r>
        <w:rPr>
          <w:rFonts w:hint="eastAsia" w:ascii="仿宋_GB2312" w:eastAsia="仿宋_GB2312"/>
          <w:sz w:val="24"/>
        </w:rPr>
        <w:t>中风险产品（R3级）：产品总体风险程度适中，本金亏损的可能性较小，风险因素对本金及收益会产生一定影响的产品。</w:t>
      </w:r>
    </w:p>
    <w:p w14:paraId="3EEBF2C8">
      <w:pPr>
        <w:pStyle w:val="13"/>
        <w:widowControl/>
        <w:numPr>
          <w:ilvl w:val="0"/>
          <w:numId w:val="3"/>
        </w:numPr>
        <w:tabs>
          <w:tab w:val="left" w:pos="1080"/>
        </w:tabs>
        <w:snapToGrid w:val="0"/>
        <w:spacing w:line="360" w:lineRule="auto"/>
        <w:ind w:firstLineChars="0"/>
        <w:jc w:val="left"/>
        <w:outlineLvl w:val="0"/>
        <w:rPr>
          <w:rFonts w:ascii="仿宋_GB2312" w:eastAsia="仿宋_GB2312"/>
          <w:sz w:val="24"/>
        </w:rPr>
      </w:pPr>
      <w:r>
        <w:rPr>
          <w:rFonts w:hint="eastAsia" w:ascii="仿宋_GB2312" w:eastAsia="仿宋_GB2312"/>
          <w:sz w:val="24"/>
        </w:rPr>
        <w:t>中高风险产品（R4级）：产品总体风险程度较高，本金可能存在损失风险，产品收益随投资表现波动的产品。</w:t>
      </w:r>
    </w:p>
    <w:p w14:paraId="491F209E">
      <w:pPr>
        <w:pStyle w:val="13"/>
        <w:widowControl/>
        <w:numPr>
          <w:ilvl w:val="0"/>
          <w:numId w:val="3"/>
        </w:numPr>
        <w:tabs>
          <w:tab w:val="left" w:pos="1080"/>
        </w:tabs>
        <w:snapToGrid w:val="0"/>
        <w:spacing w:line="360" w:lineRule="auto"/>
        <w:ind w:firstLineChars="0"/>
        <w:jc w:val="left"/>
        <w:outlineLvl w:val="0"/>
        <w:rPr>
          <w:rFonts w:ascii="仿宋_GB2312" w:eastAsia="仿宋_GB2312"/>
          <w:sz w:val="24"/>
        </w:rPr>
      </w:pPr>
      <w:r>
        <w:rPr>
          <w:rFonts w:hint="eastAsia" w:ascii="仿宋_GB2312" w:eastAsia="仿宋_GB2312"/>
          <w:sz w:val="24"/>
        </w:rPr>
        <w:t>高风险产品（R5级）：产品总体风险程度高，本金损失风险较高，产品收益随投资表现波动的产品。</w:t>
      </w:r>
    </w:p>
    <w:p w14:paraId="4282435D">
      <w:pPr>
        <w:spacing w:line="360" w:lineRule="auto"/>
        <w:ind w:firstLine="482" w:firstLineChars="200"/>
        <w:rPr>
          <w:rFonts w:ascii="仿宋_GB2312" w:eastAsia="仿宋_GB2312"/>
          <w:b/>
          <w:bCs/>
          <w:sz w:val="24"/>
        </w:rPr>
      </w:pPr>
      <w:r>
        <w:rPr>
          <w:rFonts w:hint="eastAsia" w:ascii="仿宋_GB2312" w:eastAsia="仿宋_GB2312"/>
          <w:b/>
          <w:bCs/>
          <w:sz w:val="24"/>
        </w:rPr>
        <w:t>按照监管要求，代理销售机构将对本产品进行风险评级。销售机构产品评级与浙银理财产品评级结果不一致的，销售机构应当采用对应较高风险等级的评级结果并予以披露。</w:t>
      </w:r>
    </w:p>
    <w:p w14:paraId="6D7633CA">
      <w:pPr>
        <w:spacing w:line="360" w:lineRule="auto"/>
        <w:ind w:firstLine="482" w:firstLineChars="200"/>
        <w:rPr>
          <w:rFonts w:ascii="仿宋_GB2312" w:eastAsia="仿宋_GB2312"/>
          <w:b/>
          <w:sz w:val="24"/>
        </w:rPr>
      </w:pPr>
      <w:r>
        <w:rPr>
          <w:rFonts w:hint="eastAsia" w:ascii="仿宋_GB2312" w:eastAsia="仿宋_GB2312"/>
          <w:b/>
          <w:sz w:val="24"/>
        </w:rPr>
        <w:t>四、投资者风险承受能力评级类型与适合购买的理财产品的对应关系</w:t>
      </w:r>
    </w:p>
    <w:p w14:paraId="78A99EBA">
      <w:pPr>
        <w:spacing w:line="360" w:lineRule="auto"/>
        <w:ind w:firstLine="480" w:firstLineChars="200"/>
        <w:rPr>
          <w:rFonts w:ascii="仿宋_GB2312" w:eastAsia="仿宋_GB2312"/>
          <w:sz w:val="24"/>
        </w:rPr>
      </w:pPr>
      <w:r>
        <w:rPr>
          <w:rFonts w:hint="eastAsia" w:ascii="仿宋_GB2312" w:eastAsia="仿宋_GB2312"/>
          <w:sz w:val="24"/>
        </w:rPr>
        <w:t>各类型投资者适合购买的理财产品风险等级如下所示，具体产品适合的投资者类型详见产品说明书。</w:t>
      </w:r>
    </w:p>
    <w:p w14:paraId="20D39374">
      <w:pPr>
        <w:pStyle w:val="13"/>
        <w:widowControl/>
        <w:numPr>
          <w:ilvl w:val="0"/>
          <w:numId w:val="4"/>
        </w:numPr>
        <w:tabs>
          <w:tab w:val="left" w:pos="1080"/>
        </w:tabs>
        <w:snapToGrid w:val="0"/>
        <w:spacing w:line="360" w:lineRule="auto"/>
        <w:ind w:firstLineChars="0"/>
        <w:jc w:val="left"/>
        <w:outlineLvl w:val="0"/>
        <w:rPr>
          <w:rFonts w:ascii="仿宋_GB2312" w:eastAsia="仿宋_GB2312"/>
          <w:sz w:val="24"/>
        </w:rPr>
      </w:pPr>
      <w:r>
        <w:rPr>
          <w:rFonts w:hint="eastAsia" w:ascii="仿宋_GB2312" w:eastAsia="仿宋_GB2312"/>
          <w:sz w:val="24"/>
        </w:rPr>
        <w:t>保守型：低风险产品；</w:t>
      </w:r>
    </w:p>
    <w:p w14:paraId="2CBB6CC2">
      <w:pPr>
        <w:pStyle w:val="13"/>
        <w:widowControl/>
        <w:numPr>
          <w:ilvl w:val="0"/>
          <w:numId w:val="4"/>
        </w:numPr>
        <w:tabs>
          <w:tab w:val="left" w:pos="1080"/>
        </w:tabs>
        <w:snapToGrid w:val="0"/>
        <w:spacing w:line="360" w:lineRule="auto"/>
        <w:ind w:firstLineChars="0"/>
        <w:jc w:val="left"/>
        <w:outlineLvl w:val="0"/>
        <w:rPr>
          <w:rFonts w:ascii="仿宋_GB2312" w:eastAsia="仿宋_GB2312"/>
          <w:sz w:val="24"/>
        </w:rPr>
      </w:pPr>
      <w:r>
        <w:rPr>
          <w:rFonts w:hint="eastAsia" w:ascii="仿宋_GB2312" w:eastAsia="仿宋_GB2312"/>
          <w:sz w:val="24"/>
        </w:rPr>
        <w:t>稳健型：低、中低风险产品；</w:t>
      </w:r>
    </w:p>
    <w:p w14:paraId="1B8E72CF">
      <w:pPr>
        <w:pStyle w:val="13"/>
        <w:widowControl/>
        <w:numPr>
          <w:ilvl w:val="0"/>
          <w:numId w:val="4"/>
        </w:numPr>
        <w:tabs>
          <w:tab w:val="left" w:pos="1080"/>
        </w:tabs>
        <w:snapToGrid w:val="0"/>
        <w:spacing w:line="360" w:lineRule="auto"/>
        <w:ind w:firstLineChars="0"/>
        <w:jc w:val="left"/>
        <w:outlineLvl w:val="0"/>
        <w:rPr>
          <w:rFonts w:ascii="仿宋_GB2312" w:eastAsia="仿宋_GB2312"/>
          <w:sz w:val="24"/>
        </w:rPr>
      </w:pPr>
      <w:r>
        <w:rPr>
          <w:rFonts w:hint="eastAsia" w:ascii="仿宋_GB2312" w:eastAsia="仿宋_GB2312"/>
          <w:sz w:val="24"/>
        </w:rPr>
        <w:t>平衡型：低、中低、中风险产品；</w:t>
      </w:r>
    </w:p>
    <w:p w14:paraId="6DAAE96B">
      <w:pPr>
        <w:pStyle w:val="13"/>
        <w:widowControl/>
        <w:numPr>
          <w:ilvl w:val="0"/>
          <w:numId w:val="4"/>
        </w:numPr>
        <w:tabs>
          <w:tab w:val="left" w:pos="1080"/>
        </w:tabs>
        <w:snapToGrid w:val="0"/>
        <w:spacing w:line="360" w:lineRule="auto"/>
        <w:ind w:firstLineChars="0"/>
        <w:jc w:val="left"/>
        <w:outlineLvl w:val="0"/>
        <w:rPr>
          <w:rFonts w:ascii="仿宋_GB2312" w:eastAsia="仿宋_GB2312"/>
          <w:sz w:val="24"/>
        </w:rPr>
      </w:pPr>
      <w:r>
        <w:rPr>
          <w:rFonts w:hint="eastAsia" w:ascii="仿宋_GB2312" w:eastAsia="仿宋_GB2312"/>
          <w:sz w:val="24"/>
        </w:rPr>
        <w:t>成长型：低、中低、中、中高风险产品；</w:t>
      </w:r>
    </w:p>
    <w:p w14:paraId="2AA08319">
      <w:pPr>
        <w:pStyle w:val="13"/>
        <w:widowControl/>
        <w:numPr>
          <w:ilvl w:val="0"/>
          <w:numId w:val="4"/>
        </w:numPr>
        <w:tabs>
          <w:tab w:val="left" w:pos="1080"/>
        </w:tabs>
        <w:snapToGrid w:val="0"/>
        <w:spacing w:line="360" w:lineRule="auto"/>
        <w:ind w:firstLineChars="0"/>
        <w:jc w:val="left"/>
        <w:outlineLvl w:val="0"/>
        <w:rPr>
          <w:rFonts w:ascii="仿宋_GB2312" w:eastAsia="仿宋_GB2312"/>
          <w:sz w:val="24"/>
        </w:rPr>
      </w:pPr>
      <w:r>
        <w:rPr>
          <w:rFonts w:hint="eastAsia" w:ascii="仿宋_GB2312" w:eastAsia="仿宋_GB2312"/>
          <w:sz w:val="24"/>
        </w:rPr>
        <w:t>进取型：低、中低、中、中高、高风险产品。</w:t>
      </w:r>
    </w:p>
    <w:p w14:paraId="44FCA43B">
      <w:pPr>
        <w:tabs>
          <w:tab w:val="left" w:pos="1080"/>
        </w:tabs>
        <w:snapToGrid w:val="0"/>
        <w:spacing w:line="360" w:lineRule="auto"/>
        <w:ind w:firstLine="482" w:firstLineChars="200"/>
        <w:outlineLvl w:val="0"/>
        <w:rPr>
          <w:rFonts w:ascii="仿宋_GB2312" w:eastAsia="仿宋_GB2312"/>
          <w:b/>
          <w:sz w:val="24"/>
        </w:rPr>
      </w:pPr>
      <w:r>
        <w:rPr>
          <w:rFonts w:hint="eastAsia" w:ascii="仿宋_GB2312" w:eastAsia="仿宋_GB2312"/>
          <w:b/>
          <w:sz w:val="24"/>
        </w:rPr>
        <w:t>五、理财产品信息披露</w:t>
      </w:r>
    </w:p>
    <w:p w14:paraId="07CDFA17">
      <w:pPr>
        <w:tabs>
          <w:tab w:val="left" w:pos="1080"/>
        </w:tabs>
        <w:snapToGrid w:val="0"/>
        <w:spacing w:line="360" w:lineRule="auto"/>
        <w:ind w:firstLine="482" w:firstLineChars="200"/>
        <w:rPr>
          <w:rFonts w:ascii="仿宋_GB2312" w:hAnsi="Times New Roman" w:eastAsia="仿宋_GB2312"/>
          <w:kern w:val="0"/>
          <w:sz w:val="24"/>
        </w:rPr>
      </w:pPr>
      <w:r>
        <w:rPr>
          <w:rFonts w:hint="eastAsia" w:ascii="仿宋_GB2312" w:hAnsi="Times New Roman" w:eastAsia="仿宋_GB2312"/>
          <w:b/>
          <w:bCs/>
          <w:kern w:val="0"/>
          <w:sz w:val="24"/>
        </w:rPr>
        <w:t>请您关注理财产品的信息披露情况，及时获取相关信息。浙银理财理财产品的公开信息披露渠道包括但</w:t>
      </w:r>
      <w:r>
        <w:rPr>
          <w:rFonts w:ascii="仿宋_GB2312" w:hAnsi="Times New Roman" w:eastAsia="仿宋_GB2312"/>
          <w:b/>
          <w:bCs/>
          <w:kern w:val="0"/>
          <w:sz w:val="24"/>
        </w:rPr>
        <w:t>不限于</w:t>
      </w:r>
      <w:r>
        <w:rPr>
          <w:rFonts w:hint="eastAsia" w:ascii="仿宋_GB2312" w:hAnsi="Times New Roman" w:eastAsia="仿宋_GB2312"/>
          <w:b/>
          <w:bCs/>
          <w:kern w:val="0"/>
          <w:sz w:val="24"/>
        </w:rPr>
        <w:t>产品管理人官方网站【</w:t>
      </w:r>
      <w:r>
        <w:rPr>
          <w:rFonts w:ascii="仿宋_GB2312" w:hAnsi="Times New Roman" w:eastAsia="仿宋_GB2312"/>
          <w:b/>
          <w:bCs/>
          <w:kern w:val="0"/>
          <w:sz w:val="24"/>
        </w:rPr>
        <w:t>www.czbank-wm.com</w:t>
      </w:r>
      <w:r>
        <w:rPr>
          <w:rFonts w:hint="eastAsia" w:ascii="仿宋_GB2312" w:hAnsi="Times New Roman" w:eastAsia="仿宋_GB2312"/>
          <w:b/>
          <w:bCs/>
          <w:kern w:val="0"/>
          <w:sz w:val="24"/>
        </w:rPr>
        <w:t>】、销售机构</w:t>
      </w:r>
      <w:r>
        <w:rPr>
          <w:rFonts w:hint="eastAsia" w:ascii="仿宋_GB2312" w:hAnsi="Times New Roman" w:eastAsia="仿宋_GB2312"/>
          <w:b/>
          <w:bCs/>
          <w:kern w:val="0"/>
          <w:sz w:val="24"/>
          <w:lang w:val="en-US" w:eastAsia="zh-CN"/>
        </w:rPr>
        <w:t>官方网站</w:t>
      </w:r>
      <w:r>
        <w:rPr>
          <w:rFonts w:hint="eastAsia" w:ascii="仿宋_GB2312" w:hAnsi="Times New Roman" w:eastAsia="仿宋_GB2312"/>
          <w:b/>
          <w:bCs/>
          <w:kern w:val="0"/>
          <w:sz w:val="24"/>
        </w:rPr>
        <w:t>、个人手机银行或其他约定的</w:t>
      </w:r>
      <w:r>
        <w:rPr>
          <w:rFonts w:hint="eastAsia" w:ascii="仿宋_GB2312" w:hAnsi="Times New Roman" w:eastAsia="仿宋_GB2312"/>
          <w:b/>
          <w:bCs/>
          <w:kern w:val="0"/>
          <w:sz w:val="24"/>
          <w:lang w:val="en-US" w:eastAsia="zh-CN"/>
        </w:rPr>
        <w:t>方式等</w:t>
      </w:r>
      <w:r>
        <w:rPr>
          <w:rFonts w:hint="eastAsia" w:ascii="仿宋_GB2312" w:hAnsi="Times New Roman" w:eastAsia="仿宋_GB2312"/>
          <w:b/>
          <w:bCs/>
          <w:kern w:val="0"/>
          <w:sz w:val="24"/>
        </w:rPr>
        <w:t>一种或多种渠道，具体方式、渠道及频率等以产品说明书中</w:t>
      </w:r>
      <w:r>
        <w:rPr>
          <w:rFonts w:hint="eastAsia" w:ascii="仿宋_GB2312" w:eastAsia="仿宋_GB2312"/>
          <w:b/>
          <w:bCs/>
          <w:sz w:val="24"/>
        </w:rPr>
        <w:t>“信息披露”</w:t>
      </w:r>
      <w:r>
        <w:rPr>
          <w:rFonts w:hint="eastAsia" w:ascii="仿宋_GB2312" w:hAnsi="Times New Roman" w:eastAsia="仿宋_GB2312"/>
          <w:b/>
          <w:bCs/>
          <w:kern w:val="0"/>
          <w:sz w:val="24"/>
        </w:rPr>
        <w:t>内容为准，请您仔细阅读《产品说明书》，相关信息在发布或发出之日视为通知送达，您应及时查看，以免因未及时获知信息而错过资金使用和再投资的机会。</w:t>
      </w:r>
    </w:p>
    <w:p w14:paraId="0389CF6E">
      <w:pPr>
        <w:tabs>
          <w:tab w:val="left" w:pos="1080"/>
        </w:tabs>
        <w:snapToGrid w:val="0"/>
        <w:spacing w:line="360" w:lineRule="auto"/>
        <w:ind w:firstLine="482" w:firstLineChars="200"/>
        <w:outlineLvl w:val="0"/>
        <w:rPr>
          <w:rFonts w:ascii="仿宋_GB2312" w:eastAsia="仿宋_GB2312"/>
          <w:b/>
          <w:sz w:val="24"/>
        </w:rPr>
      </w:pPr>
      <w:r>
        <w:rPr>
          <w:rFonts w:hint="eastAsia" w:ascii="仿宋_GB2312" w:eastAsia="仿宋_GB2312"/>
          <w:b/>
          <w:sz w:val="24"/>
        </w:rPr>
        <w:t>六、业务咨询及投诉</w:t>
      </w:r>
    </w:p>
    <w:p w14:paraId="41D3B828">
      <w:pPr>
        <w:tabs>
          <w:tab w:val="left" w:pos="1080"/>
        </w:tabs>
        <w:snapToGrid w:val="0"/>
        <w:spacing w:line="360" w:lineRule="auto"/>
        <w:ind w:firstLine="480" w:firstLineChars="200"/>
        <w:rPr>
          <w:rFonts w:ascii="仿宋_GB2312" w:hAnsi="Times New Roman" w:eastAsia="仿宋_GB2312"/>
          <w:kern w:val="0"/>
          <w:sz w:val="24"/>
        </w:rPr>
      </w:pPr>
      <w:r>
        <w:rPr>
          <w:rFonts w:hint="eastAsia" w:ascii="仿宋_GB2312" w:hAnsi="Times New Roman" w:eastAsia="仿宋_GB2312"/>
          <w:kern w:val="0"/>
          <w:sz w:val="24"/>
        </w:rPr>
        <w:t>（一）</w:t>
      </w:r>
      <w:r>
        <w:rPr>
          <w:rFonts w:hint="eastAsia" w:ascii="仿宋_GB2312" w:hAnsi="Times New Roman" w:eastAsia="仿宋_GB2312"/>
          <w:b/>
          <w:bCs/>
          <w:kern w:val="0"/>
          <w:sz w:val="24"/>
        </w:rPr>
        <w:t>您对本产品有任何意见或异议，或其它疑义事项，您可通过第（二）款载明联络方式向销售机构或产品管理人进行反馈。</w:t>
      </w:r>
      <w:r>
        <w:rPr>
          <w:rFonts w:hint="eastAsia" w:ascii="仿宋_GB2312" w:hAnsi="Times New Roman" w:eastAsia="仿宋_GB2312"/>
          <w:kern w:val="0"/>
          <w:sz w:val="24"/>
        </w:rPr>
        <w:t>销售机构或产品管理人将由专人接听，记录您的意见建议，并由双方协商共同解决。</w:t>
      </w:r>
    </w:p>
    <w:p w14:paraId="21C244F8">
      <w:pPr>
        <w:tabs>
          <w:tab w:val="left" w:pos="1080"/>
        </w:tabs>
        <w:snapToGrid w:val="0"/>
        <w:spacing w:line="360" w:lineRule="auto"/>
        <w:ind w:firstLine="480" w:firstLineChars="200"/>
        <w:rPr>
          <w:rFonts w:ascii="仿宋_GB2312" w:hAnsi="Times New Roman" w:eastAsia="仿宋_GB2312"/>
          <w:kern w:val="0"/>
          <w:sz w:val="24"/>
        </w:rPr>
      </w:pPr>
      <w:r>
        <w:rPr>
          <w:rFonts w:ascii="仿宋_GB2312" w:hAnsi="Times New Roman" w:eastAsia="仿宋_GB2312"/>
          <w:kern w:val="0"/>
          <w:sz w:val="24"/>
        </w:rPr>
        <w:t>（二）联络方式</w:t>
      </w:r>
      <w:r>
        <w:rPr>
          <w:rFonts w:hint="eastAsia" w:ascii="仿宋_GB2312" w:hAnsi="Times New Roman" w:eastAsia="仿宋_GB2312"/>
          <w:kern w:val="0"/>
          <w:sz w:val="24"/>
        </w:rPr>
        <w:t>：</w:t>
      </w:r>
    </w:p>
    <w:p w14:paraId="20C7B094">
      <w:pPr>
        <w:tabs>
          <w:tab w:val="left" w:pos="1080"/>
        </w:tabs>
        <w:snapToGrid w:val="0"/>
        <w:spacing w:line="360" w:lineRule="auto"/>
        <w:ind w:firstLine="480" w:firstLineChars="200"/>
        <w:rPr>
          <w:rFonts w:ascii="仿宋_GB2312" w:hAnsi="Times New Roman" w:eastAsia="仿宋_GB2312"/>
          <w:kern w:val="0"/>
          <w:sz w:val="24"/>
        </w:rPr>
      </w:pPr>
      <w:r>
        <w:rPr>
          <w:rFonts w:hint="eastAsia" w:ascii="仿宋_GB2312" w:eastAsia="仿宋_GB2312"/>
          <w:sz w:val="24"/>
        </w:rPr>
        <w:t>销售</w:t>
      </w:r>
      <w:r>
        <w:rPr>
          <w:rFonts w:hint="eastAsia" w:ascii="仿宋_GB2312" w:hAnsi="Times New Roman" w:eastAsia="仿宋_GB2312"/>
          <w:kern w:val="0"/>
          <w:sz w:val="24"/>
        </w:rPr>
        <w:t>机构：</w:t>
      </w:r>
      <w:r>
        <w:rPr>
          <w:rFonts w:hint="eastAsia" w:ascii="仿宋_GB2312" w:hAnsi="Times New Roman" w:eastAsia="仿宋_GB2312"/>
          <w:kern w:val="0"/>
          <w:sz w:val="24"/>
          <w:lang w:val="en-US" w:eastAsia="zh-CN"/>
        </w:rPr>
        <w:t>如</w:t>
      </w:r>
      <w:r>
        <w:rPr>
          <w:rFonts w:hint="eastAsia" w:ascii="仿宋_GB2312" w:hAnsi="Times New Roman" w:eastAsia="仿宋_GB2312"/>
          <w:kern w:val="0"/>
          <w:sz w:val="24"/>
        </w:rPr>
        <w:t>通过浙商</w:t>
      </w:r>
      <w:r>
        <w:rPr>
          <w:rFonts w:ascii="仿宋_GB2312" w:hAnsi="Times New Roman" w:eastAsia="仿宋_GB2312"/>
          <w:kern w:val="0"/>
          <w:sz w:val="24"/>
        </w:rPr>
        <w:t>银行（作为销售机构）购买本理财</w:t>
      </w:r>
      <w:r>
        <w:rPr>
          <w:rFonts w:hint="eastAsia" w:ascii="仿宋_GB2312" w:hAnsi="Times New Roman" w:eastAsia="仿宋_GB2312"/>
          <w:kern w:val="0"/>
          <w:sz w:val="24"/>
        </w:rPr>
        <w:t>产品</w:t>
      </w:r>
      <w:r>
        <w:rPr>
          <w:rFonts w:ascii="仿宋_GB2312" w:hAnsi="Times New Roman" w:eastAsia="仿宋_GB2312"/>
          <w:kern w:val="0"/>
          <w:sz w:val="24"/>
        </w:rPr>
        <w:t>的</w:t>
      </w:r>
      <w:r>
        <w:rPr>
          <w:rFonts w:hint="eastAsia" w:ascii="仿宋_GB2312" w:hAnsi="Times New Roman" w:eastAsia="仿宋_GB2312"/>
          <w:kern w:val="0"/>
          <w:sz w:val="24"/>
        </w:rPr>
        <w:t>，</w:t>
      </w:r>
      <w:r>
        <w:rPr>
          <w:rFonts w:ascii="仿宋_GB2312" w:hAnsi="Times New Roman" w:eastAsia="仿宋_GB2312"/>
          <w:kern w:val="0"/>
          <w:sz w:val="24"/>
        </w:rPr>
        <w:t>请联系</w:t>
      </w:r>
      <w:r>
        <w:rPr>
          <w:rFonts w:hint="eastAsia" w:ascii="仿宋_GB2312" w:hAnsi="Times New Roman" w:eastAsia="仿宋_GB2312"/>
          <w:kern w:val="0"/>
          <w:sz w:val="24"/>
        </w:rPr>
        <w:t>浙商</w:t>
      </w:r>
      <w:r>
        <w:rPr>
          <w:rFonts w:ascii="仿宋_GB2312" w:hAnsi="Times New Roman" w:eastAsia="仿宋_GB2312"/>
          <w:kern w:val="0"/>
          <w:sz w:val="24"/>
        </w:rPr>
        <w:t>银行客户服务热线：95527，</w:t>
      </w:r>
      <w:r>
        <w:rPr>
          <w:rFonts w:hint="eastAsia" w:ascii="仿宋_GB2312" w:hAnsi="Times New Roman" w:eastAsia="仿宋_GB2312"/>
          <w:kern w:val="0"/>
          <w:sz w:val="24"/>
        </w:rPr>
        <w:t>浙商</w:t>
      </w:r>
      <w:r>
        <w:rPr>
          <w:rFonts w:ascii="仿宋_GB2312" w:hAnsi="Times New Roman" w:eastAsia="仿宋_GB2312"/>
          <w:kern w:val="0"/>
          <w:sz w:val="24"/>
        </w:rPr>
        <w:t>银行官方网站：</w:t>
      </w:r>
      <w:r>
        <w:rPr>
          <w:rStyle w:val="11"/>
          <w:rFonts w:ascii="仿宋_GB2312" w:hAnsi="Times New Roman" w:eastAsia="仿宋_GB2312"/>
          <w:color w:val="auto"/>
          <w:kern w:val="0"/>
          <w:sz w:val="24"/>
          <w:u w:val="none"/>
        </w:rPr>
        <w:t>www.czbank.com</w:t>
      </w:r>
      <w:r>
        <w:rPr>
          <w:rFonts w:ascii="仿宋_GB2312" w:hAnsi="Times New Roman" w:eastAsia="仿宋_GB2312"/>
          <w:kern w:val="0"/>
          <w:sz w:val="24"/>
        </w:rPr>
        <w:t>。在其他销售机构购买理财</w:t>
      </w:r>
      <w:r>
        <w:rPr>
          <w:rFonts w:hint="eastAsia" w:ascii="仿宋_GB2312" w:hAnsi="Times New Roman" w:eastAsia="仿宋_GB2312"/>
          <w:kern w:val="0"/>
          <w:sz w:val="24"/>
        </w:rPr>
        <w:t>产品</w:t>
      </w:r>
      <w:r>
        <w:rPr>
          <w:rFonts w:ascii="仿宋_GB2312" w:hAnsi="Times New Roman" w:eastAsia="仿宋_GB2312"/>
          <w:kern w:val="0"/>
          <w:sz w:val="24"/>
        </w:rPr>
        <w:t>的，请联系其他销售机构，</w:t>
      </w:r>
      <w:r>
        <w:rPr>
          <w:rFonts w:hint="eastAsia" w:ascii="仿宋_GB2312" w:hAnsi="Times New Roman" w:eastAsia="仿宋_GB2312"/>
          <w:kern w:val="0"/>
          <w:sz w:val="24"/>
        </w:rPr>
        <w:t>具体</w:t>
      </w:r>
      <w:r>
        <w:rPr>
          <w:rFonts w:hint="eastAsia" w:ascii="仿宋_GB2312" w:hAnsi="Times New Roman" w:eastAsia="仿宋_GB2312"/>
          <w:kern w:val="0"/>
          <w:sz w:val="24"/>
          <w:lang w:val="en-US" w:eastAsia="zh-CN"/>
        </w:rPr>
        <w:t>联系方式</w:t>
      </w:r>
      <w:r>
        <w:rPr>
          <w:rFonts w:hint="eastAsia" w:ascii="仿宋_GB2312" w:hAnsi="Times New Roman" w:eastAsia="仿宋_GB2312"/>
          <w:kern w:val="0"/>
          <w:sz w:val="24"/>
        </w:rPr>
        <w:t>以《</w:t>
      </w:r>
      <w:r>
        <w:rPr>
          <w:rFonts w:hint="eastAsia" w:ascii="仿宋_GB2312" w:hAnsi="Times New Roman" w:eastAsia="仿宋_GB2312"/>
          <w:kern w:val="0"/>
          <w:sz w:val="24"/>
          <w:lang w:val="en-US" w:eastAsia="zh-CN"/>
        </w:rPr>
        <w:t>产品说明书</w:t>
      </w:r>
      <w:r>
        <w:rPr>
          <w:rFonts w:hint="eastAsia" w:ascii="仿宋_GB2312" w:hAnsi="Times New Roman" w:eastAsia="仿宋_GB2312"/>
          <w:kern w:val="0"/>
          <w:sz w:val="24"/>
        </w:rPr>
        <w:t>》等销售文件的披露为准</w:t>
      </w:r>
      <w:r>
        <w:rPr>
          <w:rFonts w:ascii="仿宋_GB2312" w:hAnsi="Times New Roman" w:eastAsia="仿宋_GB2312"/>
          <w:kern w:val="0"/>
          <w:sz w:val="24"/>
        </w:rPr>
        <w:t>。</w:t>
      </w:r>
    </w:p>
    <w:p w14:paraId="1F6934D5">
      <w:pPr>
        <w:tabs>
          <w:tab w:val="left" w:pos="1080"/>
        </w:tabs>
        <w:snapToGrid w:val="0"/>
        <w:spacing w:line="360" w:lineRule="auto"/>
        <w:ind w:firstLine="480" w:firstLineChars="200"/>
        <w:rPr>
          <w:rFonts w:hint="eastAsia" w:ascii="仿宋_GB2312" w:hAnsi="Times New Roman" w:eastAsia="仿宋_GB2312"/>
          <w:kern w:val="0"/>
          <w:sz w:val="24"/>
        </w:rPr>
      </w:pPr>
      <w:r>
        <w:rPr>
          <w:rFonts w:hint="eastAsia" w:ascii="仿宋_GB2312" w:hAnsi="Times New Roman" w:eastAsia="仿宋_GB2312"/>
          <w:kern w:val="0"/>
          <w:sz w:val="24"/>
        </w:rPr>
        <w:t>产品管理人：浙银</w:t>
      </w:r>
      <w:r>
        <w:rPr>
          <w:rFonts w:ascii="仿宋_GB2312" w:hAnsi="Times New Roman" w:eastAsia="仿宋_GB2312"/>
          <w:kern w:val="0"/>
          <w:sz w:val="24"/>
        </w:rPr>
        <w:t>理财客户服务热线：</w:t>
      </w:r>
      <w:r>
        <w:rPr>
          <w:rFonts w:hint="eastAsia" w:ascii="仿宋_GB2312" w:hAnsi="Times New Roman" w:eastAsia="仿宋_GB2312"/>
          <w:kern w:val="0"/>
          <w:sz w:val="24"/>
        </w:rPr>
        <w:t>0571-57192881；浙银理财</w:t>
      </w:r>
      <w:r>
        <w:rPr>
          <w:rFonts w:ascii="仿宋_GB2312" w:hAnsi="Times New Roman" w:eastAsia="仿宋_GB2312"/>
          <w:kern w:val="0"/>
          <w:sz w:val="24"/>
        </w:rPr>
        <w:t>官方网站：</w:t>
      </w:r>
      <w:r>
        <w:rPr>
          <w:rFonts w:ascii="仿宋_GB2312" w:hAnsi="Times New Roman" w:eastAsia="仿宋_GB2312"/>
          <w:kern w:val="0"/>
          <w:sz w:val="24"/>
        </w:rPr>
        <w:fldChar w:fldCharType="begin"/>
      </w:r>
      <w:r>
        <w:rPr>
          <w:rFonts w:ascii="仿宋_GB2312" w:hAnsi="Times New Roman" w:eastAsia="仿宋_GB2312"/>
          <w:kern w:val="0"/>
          <w:sz w:val="24"/>
        </w:rPr>
        <w:instrText xml:space="preserve"> HYPERLINK "http://www.czbank-wm.com。" </w:instrText>
      </w:r>
      <w:r>
        <w:rPr>
          <w:rFonts w:ascii="仿宋_GB2312" w:hAnsi="Times New Roman" w:eastAsia="仿宋_GB2312"/>
          <w:kern w:val="0"/>
          <w:sz w:val="24"/>
        </w:rPr>
        <w:fldChar w:fldCharType="separate"/>
      </w:r>
      <w:r>
        <w:rPr>
          <w:rFonts w:hint="eastAsia" w:ascii="仿宋_GB2312" w:hAnsi="Times New Roman" w:eastAsia="仿宋_GB2312"/>
          <w:kern w:val="0"/>
          <w:sz w:val="24"/>
        </w:rPr>
        <w:t>www.czbank-wm.com。</w:t>
      </w:r>
      <w:r>
        <w:rPr>
          <w:rFonts w:ascii="仿宋_GB2312" w:hAnsi="Times New Roman" w:eastAsia="仿宋_GB2312"/>
          <w:kern w:val="0"/>
          <w:sz w:val="24"/>
        </w:rPr>
        <w:fldChar w:fldCharType="end"/>
      </w:r>
    </w:p>
    <w:p w14:paraId="7840DC98">
      <w:pPr>
        <w:tabs>
          <w:tab w:val="left" w:pos="1080"/>
        </w:tabs>
        <w:snapToGrid w:val="0"/>
        <w:spacing w:line="360" w:lineRule="auto"/>
        <w:ind w:firstLine="480" w:firstLineChars="200"/>
        <w:rPr>
          <w:rFonts w:hint="eastAsia" w:ascii="仿宋_GB2312" w:hAnsi="Times New Roman" w:eastAsia="仿宋_GB2312"/>
          <w:kern w:val="0"/>
          <w:sz w:val="24"/>
        </w:rPr>
      </w:pPr>
    </w:p>
    <w:p w14:paraId="7C67A5A3">
      <w:pPr>
        <w:tabs>
          <w:tab w:val="left" w:pos="1080"/>
        </w:tabs>
        <w:snapToGrid w:val="0"/>
        <w:spacing w:line="360" w:lineRule="auto"/>
        <w:ind w:firstLine="480" w:firstLineChars="200"/>
        <w:rPr>
          <w:rFonts w:hint="eastAsia" w:ascii="仿宋_GB2312" w:hAnsi="Times New Roman" w:eastAsia="仿宋_GB2312"/>
          <w:kern w:val="0"/>
          <w:sz w:val="24"/>
        </w:rPr>
      </w:pPr>
    </w:p>
    <w:p w14:paraId="2F44B441">
      <w:pPr>
        <w:tabs>
          <w:tab w:val="left" w:pos="1080"/>
        </w:tabs>
        <w:snapToGrid w:val="0"/>
        <w:spacing w:line="360" w:lineRule="auto"/>
        <w:ind w:firstLine="480" w:firstLineChars="200"/>
        <w:rPr>
          <w:rFonts w:hint="eastAsia" w:ascii="仿宋_GB2312" w:hAnsi="Times New Roman" w:eastAsia="仿宋_GB2312"/>
          <w:kern w:val="0"/>
          <w:sz w:val="24"/>
        </w:rPr>
      </w:pPr>
    </w:p>
    <w:p w14:paraId="6148071D">
      <w:pPr>
        <w:tabs>
          <w:tab w:val="left" w:pos="1080"/>
        </w:tabs>
        <w:snapToGrid w:val="0"/>
        <w:spacing w:line="360" w:lineRule="auto"/>
        <w:ind w:firstLine="480" w:firstLineChars="200"/>
        <w:rPr>
          <w:rFonts w:hint="eastAsia" w:ascii="仿宋_GB2312" w:hAnsi="Times New Roman" w:eastAsia="仿宋_GB2312"/>
          <w:kern w:val="0"/>
          <w:sz w:val="24"/>
        </w:rPr>
      </w:pPr>
    </w:p>
    <w:p w14:paraId="4DE0C91F">
      <w:pPr>
        <w:tabs>
          <w:tab w:val="left" w:pos="1080"/>
        </w:tabs>
        <w:snapToGrid w:val="0"/>
        <w:spacing w:line="360" w:lineRule="auto"/>
        <w:ind w:firstLine="480" w:firstLineChars="200"/>
        <w:rPr>
          <w:rFonts w:hint="eastAsia" w:ascii="仿宋_GB2312" w:hAnsi="Times New Roman" w:eastAsia="仿宋_GB2312"/>
          <w:kern w:val="0"/>
          <w:sz w:val="24"/>
        </w:rPr>
      </w:pPr>
    </w:p>
    <w:p w14:paraId="6EC85C6F">
      <w:pPr>
        <w:tabs>
          <w:tab w:val="left" w:pos="1080"/>
        </w:tabs>
        <w:snapToGrid w:val="0"/>
        <w:spacing w:line="360" w:lineRule="auto"/>
        <w:ind w:firstLine="480" w:firstLineChars="200"/>
        <w:rPr>
          <w:rFonts w:hint="eastAsia" w:ascii="仿宋_GB2312" w:hAnsi="Times New Roman" w:eastAsia="仿宋_GB2312"/>
          <w:kern w:val="0"/>
          <w:sz w:val="24"/>
        </w:rPr>
      </w:pPr>
    </w:p>
    <w:p w14:paraId="5DB4E009">
      <w:pPr>
        <w:tabs>
          <w:tab w:val="left" w:pos="1080"/>
        </w:tabs>
        <w:snapToGrid w:val="0"/>
        <w:spacing w:line="360" w:lineRule="auto"/>
        <w:ind w:firstLine="480" w:firstLineChars="200"/>
        <w:rPr>
          <w:rFonts w:hint="eastAsia" w:ascii="仿宋_GB2312" w:hAnsi="Times New Roman" w:eastAsia="仿宋_GB2312"/>
          <w:kern w:val="0"/>
          <w:sz w:val="24"/>
        </w:rPr>
      </w:pPr>
    </w:p>
    <w:p w14:paraId="5BBAAC24">
      <w:pPr>
        <w:tabs>
          <w:tab w:val="left" w:pos="1080"/>
        </w:tabs>
        <w:snapToGrid w:val="0"/>
        <w:spacing w:line="360" w:lineRule="auto"/>
        <w:ind w:firstLine="480" w:firstLineChars="200"/>
        <w:rPr>
          <w:rFonts w:hint="eastAsia" w:ascii="仿宋_GB2312" w:hAnsi="Times New Roman" w:eastAsia="仿宋_GB2312"/>
          <w:kern w:val="0"/>
          <w:sz w:val="24"/>
        </w:rPr>
      </w:pPr>
    </w:p>
    <w:p w14:paraId="38E6DBF5">
      <w:pPr>
        <w:tabs>
          <w:tab w:val="left" w:pos="1080"/>
        </w:tabs>
        <w:snapToGrid w:val="0"/>
        <w:spacing w:line="360" w:lineRule="auto"/>
        <w:ind w:firstLine="480" w:firstLineChars="200"/>
        <w:rPr>
          <w:rFonts w:hint="eastAsia" w:ascii="仿宋_GB2312" w:hAnsi="Times New Roman" w:eastAsia="仿宋_GB2312"/>
          <w:kern w:val="0"/>
          <w:sz w:val="24"/>
        </w:rPr>
      </w:pPr>
    </w:p>
    <w:p w14:paraId="38C2E39B">
      <w:pPr>
        <w:tabs>
          <w:tab w:val="left" w:pos="1080"/>
        </w:tabs>
        <w:snapToGrid w:val="0"/>
        <w:spacing w:line="360" w:lineRule="auto"/>
        <w:ind w:firstLine="480" w:firstLineChars="200"/>
        <w:rPr>
          <w:rFonts w:hint="eastAsia" w:ascii="仿宋_GB2312" w:hAnsi="Times New Roman" w:eastAsia="仿宋_GB2312"/>
          <w:kern w:val="0"/>
          <w:sz w:val="24"/>
        </w:rPr>
      </w:pPr>
    </w:p>
    <w:p w14:paraId="0D291541">
      <w:pPr>
        <w:tabs>
          <w:tab w:val="left" w:pos="1080"/>
        </w:tabs>
        <w:snapToGrid w:val="0"/>
        <w:spacing w:line="360" w:lineRule="auto"/>
        <w:ind w:firstLine="480" w:firstLineChars="200"/>
        <w:rPr>
          <w:rFonts w:hint="eastAsia" w:ascii="仿宋_GB2312" w:hAnsi="Times New Roman" w:eastAsia="仿宋_GB2312"/>
          <w:kern w:val="0"/>
          <w:sz w:val="24"/>
        </w:rPr>
      </w:pPr>
    </w:p>
    <w:p w14:paraId="62FE559D">
      <w:pPr>
        <w:tabs>
          <w:tab w:val="left" w:pos="1080"/>
        </w:tabs>
        <w:snapToGrid w:val="0"/>
        <w:spacing w:line="360" w:lineRule="auto"/>
        <w:ind w:firstLine="480" w:firstLineChars="200"/>
        <w:rPr>
          <w:rFonts w:hint="eastAsia" w:ascii="仿宋_GB2312" w:hAnsi="Times New Roman" w:eastAsia="仿宋_GB2312"/>
          <w:kern w:val="0"/>
          <w:sz w:val="24"/>
        </w:rPr>
      </w:pPr>
    </w:p>
    <w:p w14:paraId="12A4DB51">
      <w:pPr>
        <w:tabs>
          <w:tab w:val="left" w:pos="1080"/>
        </w:tabs>
        <w:snapToGrid w:val="0"/>
        <w:spacing w:line="360" w:lineRule="auto"/>
        <w:ind w:firstLine="480" w:firstLineChars="200"/>
        <w:rPr>
          <w:rFonts w:hint="eastAsia" w:ascii="仿宋_GB2312" w:hAnsi="Times New Roman" w:eastAsia="仿宋_GB2312"/>
          <w:kern w:val="0"/>
          <w:sz w:val="24"/>
        </w:rPr>
      </w:pPr>
    </w:p>
    <w:p w14:paraId="4DDD88FC">
      <w:pPr>
        <w:tabs>
          <w:tab w:val="left" w:pos="1080"/>
        </w:tabs>
        <w:snapToGrid w:val="0"/>
        <w:spacing w:line="360" w:lineRule="auto"/>
        <w:ind w:firstLine="480" w:firstLineChars="200"/>
        <w:rPr>
          <w:rFonts w:hint="eastAsia" w:ascii="仿宋_GB2312" w:hAnsi="Times New Roman" w:eastAsia="仿宋_GB2312"/>
          <w:kern w:val="0"/>
          <w:sz w:val="24"/>
        </w:rPr>
      </w:pPr>
    </w:p>
    <w:p w14:paraId="543791C7">
      <w:pPr>
        <w:tabs>
          <w:tab w:val="left" w:pos="1080"/>
        </w:tabs>
        <w:snapToGrid w:val="0"/>
        <w:spacing w:line="360" w:lineRule="auto"/>
        <w:ind w:firstLine="480" w:firstLineChars="200"/>
        <w:rPr>
          <w:rFonts w:hint="eastAsia" w:ascii="仿宋_GB2312" w:hAnsi="Times New Roman" w:eastAsia="仿宋_GB2312"/>
          <w:kern w:val="0"/>
          <w:sz w:val="24"/>
        </w:rPr>
      </w:pPr>
    </w:p>
    <w:p w14:paraId="58953645">
      <w:pPr>
        <w:tabs>
          <w:tab w:val="left" w:pos="1080"/>
        </w:tabs>
        <w:snapToGrid w:val="0"/>
        <w:spacing w:line="360" w:lineRule="auto"/>
        <w:ind w:firstLine="480" w:firstLineChars="200"/>
        <w:rPr>
          <w:rFonts w:hint="eastAsia" w:ascii="仿宋_GB2312" w:hAnsi="Times New Roman" w:eastAsia="仿宋_GB2312"/>
          <w:kern w:val="0"/>
          <w:sz w:val="24"/>
        </w:rPr>
      </w:pPr>
    </w:p>
    <w:p w14:paraId="0B9DA86D">
      <w:pPr>
        <w:tabs>
          <w:tab w:val="left" w:pos="1080"/>
        </w:tabs>
        <w:snapToGrid w:val="0"/>
        <w:spacing w:line="360" w:lineRule="auto"/>
        <w:ind w:firstLine="480" w:firstLineChars="200"/>
        <w:rPr>
          <w:rFonts w:hint="eastAsia" w:ascii="仿宋_GB2312" w:hAnsi="Times New Roman" w:eastAsia="仿宋_GB2312"/>
          <w:kern w:val="0"/>
          <w:sz w:val="24"/>
        </w:rPr>
      </w:pPr>
    </w:p>
    <w:p w14:paraId="62F74675">
      <w:pPr>
        <w:tabs>
          <w:tab w:val="left" w:pos="1080"/>
        </w:tabs>
        <w:snapToGrid w:val="0"/>
        <w:spacing w:line="360" w:lineRule="auto"/>
        <w:ind w:firstLine="480" w:firstLineChars="200"/>
        <w:rPr>
          <w:rFonts w:hint="eastAsia" w:ascii="仿宋_GB2312" w:hAnsi="Times New Roman" w:eastAsia="仿宋_GB2312"/>
          <w:kern w:val="0"/>
          <w:sz w:val="24"/>
        </w:rPr>
      </w:pPr>
    </w:p>
    <w:p w14:paraId="50E5A3B4">
      <w:pPr>
        <w:tabs>
          <w:tab w:val="left" w:pos="1080"/>
        </w:tabs>
        <w:snapToGrid w:val="0"/>
        <w:spacing w:line="360" w:lineRule="auto"/>
        <w:ind w:firstLine="480" w:firstLineChars="200"/>
        <w:rPr>
          <w:rFonts w:hint="eastAsia" w:ascii="仿宋_GB2312" w:hAnsi="Times New Roman" w:eastAsia="仿宋_GB2312"/>
          <w:kern w:val="0"/>
          <w:sz w:val="24"/>
        </w:rPr>
      </w:pPr>
    </w:p>
    <w:p w14:paraId="3F169E3F">
      <w:pPr>
        <w:tabs>
          <w:tab w:val="left" w:pos="1080"/>
        </w:tabs>
        <w:snapToGrid w:val="0"/>
        <w:spacing w:line="360" w:lineRule="auto"/>
        <w:ind w:firstLine="480" w:firstLineChars="200"/>
        <w:rPr>
          <w:rFonts w:hint="eastAsia" w:ascii="仿宋_GB2312" w:hAnsi="Times New Roman" w:eastAsia="仿宋_GB2312"/>
          <w:kern w:val="0"/>
          <w:sz w:val="24"/>
        </w:rPr>
      </w:pPr>
    </w:p>
    <w:p w14:paraId="03A328C4">
      <w:pPr>
        <w:tabs>
          <w:tab w:val="left" w:pos="1080"/>
        </w:tabs>
        <w:snapToGrid w:val="0"/>
        <w:spacing w:line="360" w:lineRule="auto"/>
        <w:ind w:firstLine="480" w:firstLineChars="200"/>
        <w:rPr>
          <w:rFonts w:hint="eastAsia" w:ascii="仿宋_GB2312" w:hAnsi="Times New Roman" w:eastAsia="仿宋_GB2312"/>
          <w:kern w:val="0"/>
          <w:sz w:val="24"/>
        </w:rPr>
      </w:pPr>
    </w:p>
    <w:p w14:paraId="4A4F271D">
      <w:pPr>
        <w:tabs>
          <w:tab w:val="left" w:pos="1080"/>
        </w:tabs>
        <w:snapToGrid w:val="0"/>
        <w:spacing w:line="360" w:lineRule="auto"/>
        <w:ind w:firstLine="480" w:firstLineChars="200"/>
        <w:rPr>
          <w:rFonts w:hint="eastAsia" w:ascii="仿宋_GB2312" w:hAnsi="Times New Roman" w:eastAsia="仿宋_GB2312"/>
          <w:kern w:val="0"/>
          <w:sz w:val="24"/>
        </w:rPr>
      </w:pPr>
    </w:p>
    <w:p w14:paraId="3016F86E">
      <w:pPr>
        <w:tabs>
          <w:tab w:val="left" w:pos="1080"/>
        </w:tabs>
        <w:snapToGrid w:val="0"/>
        <w:spacing w:line="360" w:lineRule="auto"/>
        <w:ind w:firstLine="480" w:firstLineChars="200"/>
        <w:rPr>
          <w:rFonts w:hint="eastAsia" w:ascii="仿宋_GB2312" w:hAnsi="Times New Roman" w:eastAsia="仿宋_GB2312"/>
          <w:kern w:val="0"/>
          <w:sz w:val="24"/>
        </w:rPr>
      </w:pPr>
    </w:p>
    <w:p w14:paraId="63E78817">
      <w:pPr>
        <w:tabs>
          <w:tab w:val="left" w:pos="1080"/>
        </w:tabs>
        <w:snapToGrid w:val="0"/>
        <w:spacing w:line="360" w:lineRule="auto"/>
        <w:ind w:firstLine="480" w:firstLineChars="200"/>
        <w:rPr>
          <w:rFonts w:hint="eastAsia" w:ascii="仿宋_GB2312" w:hAnsi="Times New Roman" w:eastAsia="仿宋_GB2312"/>
          <w:kern w:val="0"/>
          <w:sz w:val="24"/>
        </w:rPr>
      </w:pPr>
    </w:p>
    <w:p w14:paraId="2F955CD5">
      <w:pPr>
        <w:tabs>
          <w:tab w:val="left" w:pos="1080"/>
        </w:tabs>
        <w:snapToGrid w:val="0"/>
        <w:spacing w:line="360" w:lineRule="auto"/>
        <w:ind w:firstLine="480" w:firstLineChars="200"/>
        <w:rPr>
          <w:rFonts w:hint="eastAsia" w:ascii="仿宋_GB2312" w:hAnsi="Times New Roman" w:eastAsia="仿宋_GB2312"/>
          <w:kern w:val="0"/>
          <w:sz w:val="24"/>
        </w:rPr>
      </w:pPr>
    </w:p>
    <w:p w14:paraId="77660C4A">
      <w:pPr>
        <w:tabs>
          <w:tab w:val="left" w:pos="1080"/>
        </w:tabs>
        <w:snapToGrid w:val="0"/>
        <w:spacing w:line="360" w:lineRule="auto"/>
        <w:ind w:firstLine="480" w:firstLineChars="200"/>
        <w:rPr>
          <w:rFonts w:hint="eastAsia" w:ascii="仿宋_GB2312" w:hAnsi="Times New Roman" w:eastAsia="仿宋_GB2312"/>
          <w:kern w:val="0"/>
          <w:sz w:val="24"/>
        </w:rPr>
      </w:pPr>
    </w:p>
    <w:p w14:paraId="5DBF1A71">
      <w:pPr>
        <w:tabs>
          <w:tab w:val="left" w:pos="1080"/>
        </w:tabs>
        <w:snapToGrid w:val="0"/>
        <w:spacing w:line="360" w:lineRule="auto"/>
        <w:ind w:firstLine="480" w:firstLineChars="200"/>
        <w:rPr>
          <w:rFonts w:hint="eastAsia" w:ascii="仿宋_GB2312" w:hAnsi="Times New Roman" w:eastAsia="仿宋_GB2312"/>
          <w:kern w:val="0"/>
          <w:sz w:val="24"/>
        </w:rPr>
      </w:pPr>
    </w:p>
    <w:p w14:paraId="63A2F270">
      <w:pPr>
        <w:widowControl/>
        <w:tabs>
          <w:tab w:val="left" w:pos="1080"/>
        </w:tabs>
        <w:snapToGrid w:val="0"/>
        <w:spacing w:line="360" w:lineRule="auto"/>
        <w:ind w:firstLine="480" w:firstLineChars="200"/>
        <w:rPr>
          <w:rFonts w:hint="default" w:ascii="仿宋_GB2312" w:hAnsi="Times New Roman" w:eastAsia="仿宋_GB2312"/>
          <w:kern w:val="0"/>
          <w:sz w:val="24"/>
          <w:u w:val="none"/>
          <w:lang w:val="en-US" w:eastAsia="zh-CN"/>
        </w:rPr>
      </w:pPr>
      <w:r>
        <w:rPr>
          <w:rFonts w:hint="default" w:ascii="仿宋_GB2312" w:hAnsi="Times New Roman" w:eastAsia="仿宋_GB2312"/>
          <w:kern w:val="0"/>
          <w:sz w:val="24"/>
          <w:u w:val="none"/>
          <w:lang w:val="en-US" w:eastAsia="zh-CN"/>
        </w:rPr>
        <w:t xml:space="preserve">（本页为签署页，无正文） </w:t>
      </w:r>
    </w:p>
    <w:p w14:paraId="2A074387">
      <w:pPr>
        <w:widowControl/>
        <w:tabs>
          <w:tab w:val="left" w:pos="1080"/>
        </w:tabs>
        <w:snapToGrid w:val="0"/>
        <w:spacing w:line="360" w:lineRule="auto"/>
        <w:ind w:firstLine="480" w:firstLineChars="200"/>
        <w:rPr>
          <w:rFonts w:hint="default" w:ascii="仿宋_GB2312" w:hAnsi="Times New Roman" w:eastAsia="仿宋_GB2312"/>
          <w:kern w:val="0"/>
          <w:sz w:val="24"/>
          <w:u w:val="none"/>
          <w:lang w:val="en-US" w:eastAsia="zh-CN"/>
        </w:rPr>
      </w:pPr>
      <w:r>
        <w:rPr>
          <w:rFonts w:hint="default" w:ascii="仿宋_GB2312" w:hAnsi="Times New Roman" w:eastAsia="仿宋_GB2312"/>
          <w:kern w:val="0"/>
          <w:sz w:val="24"/>
          <w:u w:val="none"/>
          <w:lang w:val="en-US" w:eastAsia="zh-CN"/>
        </w:rPr>
        <w:t>投资者（个人客户签名） ：</w:t>
      </w:r>
    </w:p>
    <w:p w14:paraId="2350EE90">
      <w:pPr>
        <w:widowControl/>
        <w:tabs>
          <w:tab w:val="left" w:pos="1080"/>
        </w:tabs>
        <w:snapToGrid w:val="0"/>
        <w:spacing w:line="360" w:lineRule="auto"/>
        <w:ind w:firstLine="480" w:firstLineChars="200"/>
        <w:rPr>
          <w:rFonts w:hint="default" w:ascii="仿宋_GB2312" w:hAnsi="Times New Roman" w:eastAsia="仿宋_GB2312"/>
          <w:kern w:val="0"/>
          <w:sz w:val="24"/>
          <w:u w:val="none"/>
          <w:lang w:val="en-US" w:eastAsia="zh-CN"/>
        </w:rPr>
      </w:pPr>
    </w:p>
    <w:p w14:paraId="6A684DF1">
      <w:pPr>
        <w:widowControl/>
        <w:tabs>
          <w:tab w:val="left" w:pos="1080"/>
        </w:tabs>
        <w:snapToGrid w:val="0"/>
        <w:spacing w:line="360" w:lineRule="auto"/>
        <w:ind w:firstLine="480" w:firstLineChars="200"/>
        <w:rPr>
          <w:rFonts w:hint="eastAsia" w:ascii="仿宋_GB2312" w:hAnsi="Times New Roman" w:eastAsia="仿宋_GB2312"/>
          <w:kern w:val="0"/>
          <w:sz w:val="24"/>
          <w:u w:val="none"/>
        </w:rPr>
      </w:pPr>
      <w:r>
        <w:rPr>
          <w:rFonts w:hint="default" w:ascii="仿宋_GB2312" w:hAnsi="Times New Roman" w:eastAsia="仿宋_GB2312"/>
          <w:kern w:val="0"/>
          <w:sz w:val="24"/>
          <w:u w:val="none"/>
          <w:lang w:val="en-US" w:eastAsia="zh-CN"/>
        </w:rPr>
        <w:t>投资者（机构客户盖公章） ：</w:t>
      </w:r>
    </w:p>
    <w:p w14:paraId="790B8DF9">
      <w:pPr>
        <w:widowControl/>
        <w:tabs>
          <w:tab w:val="left" w:pos="1080"/>
        </w:tabs>
        <w:snapToGrid w:val="0"/>
        <w:spacing w:line="360" w:lineRule="auto"/>
        <w:ind w:firstLine="480" w:firstLineChars="200"/>
        <w:rPr>
          <w:rFonts w:hint="eastAsia" w:ascii="仿宋_GB2312" w:hAnsi="Times New Roman" w:eastAsia="仿宋_GB2312"/>
          <w:kern w:val="0"/>
          <w:sz w:val="24"/>
          <w:u w:val="none"/>
        </w:rPr>
      </w:pPr>
      <w:r>
        <w:rPr>
          <w:rFonts w:hint="default" w:ascii="仿宋_GB2312" w:hAnsi="Times New Roman" w:eastAsia="仿宋_GB2312"/>
          <w:kern w:val="0"/>
          <w:sz w:val="24"/>
          <w:u w:val="none"/>
          <w:lang w:val="en-US" w:eastAsia="zh-CN"/>
        </w:rPr>
        <w:t xml:space="preserve">法定代表人或授权代理人（签名或盖个人名章）： </w:t>
      </w:r>
    </w:p>
    <w:p w14:paraId="11A227B7">
      <w:pPr>
        <w:widowControl/>
        <w:tabs>
          <w:tab w:val="left" w:pos="1080"/>
        </w:tabs>
        <w:snapToGrid w:val="0"/>
        <w:spacing w:line="360" w:lineRule="auto"/>
        <w:ind w:firstLine="480" w:firstLineChars="200"/>
        <w:rPr>
          <w:rFonts w:hint="default" w:ascii="仿宋_GB2312" w:hAnsi="Times New Roman" w:eastAsia="仿宋_GB2312"/>
          <w:kern w:val="0"/>
          <w:sz w:val="24"/>
          <w:u w:val="none"/>
          <w:lang w:val="en-US" w:eastAsia="zh-CN"/>
        </w:rPr>
      </w:pPr>
    </w:p>
    <w:p w14:paraId="4EE70A8D">
      <w:pPr>
        <w:widowControl/>
        <w:tabs>
          <w:tab w:val="left" w:pos="1080"/>
        </w:tabs>
        <w:snapToGrid w:val="0"/>
        <w:spacing w:line="360" w:lineRule="auto"/>
        <w:ind w:firstLine="480" w:firstLineChars="200"/>
        <w:rPr>
          <w:rFonts w:hint="eastAsia" w:ascii="仿宋_GB2312" w:hAnsi="Times New Roman" w:eastAsia="仿宋_GB2312"/>
          <w:kern w:val="0"/>
          <w:sz w:val="24"/>
          <w:u w:val="none"/>
        </w:rPr>
      </w:pPr>
      <w:r>
        <w:rPr>
          <w:rFonts w:hint="default" w:ascii="仿宋_GB2312" w:hAnsi="Times New Roman" w:eastAsia="仿宋_GB2312"/>
          <w:kern w:val="0"/>
          <w:sz w:val="24"/>
          <w:u w:val="none"/>
          <w:lang w:val="en-US" w:eastAsia="zh-CN"/>
        </w:rPr>
        <w:t>签约日期:_______年______月______日</w:t>
      </w:r>
    </w:p>
    <w:p w14:paraId="7A5F6D14">
      <w:pPr>
        <w:tabs>
          <w:tab w:val="left" w:pos="1080"/>
        </w:tabs>
        <w:snapToGrid w:val="0"/>
        <w:spacing w:line="360" w:lineRule="auto"/>
        <w:ind w:firstLine="480" w:firstLineChars="200"/>
        <w:rPr>
          <w:rFonts w:hint="eastAsia" w:ascii="仿宋_GB2312" w:hAnsi="Times New Roman" w:eastAsia="仿宋_GB2312"/>
          <w:kern w:val="0"/>
          <w:sz w:val="24"/>
        </w:rPr>
      </w:pPr>
    </w:p>
    <w:p w14:paraId="05BCCE68">
      <w:pPr>
        <w:jc w:val="left"/>
        <w:rPr>
          <w:rFonts w:hint="eastAsia" w:ascii="黑体" w:hAnsi="黑体" w:eastAsia="黑体" w:cs="黑体"/>
          <w:i w:val="0"/>
          <w:iCs w:val="0"/>
          <w:caps w:val="0"/>
          <w:color w:val="auto"/>
          <w:spacing w:val="0"/>
          <w:sz w:val="32"/>
          <w:szCs w:val="32"/>
          <w:shd w:val="clear" w:fill="FFFFFF"/>
          <w:lang w:val="en-US" w:eastAsia="zh-CN"/>
        </w:rPr>
      </w:pPr>
    </w:p>
    <w:p w14:paraId="1D5AC351">
      <w:pPr>
        <w:jc w:val="left"/>
        <w:rPr>
          <w:rFonts w:hint="eastAsia" w:ascii="黑体" w:hAnsi="黑体" w:eastAsia="黑体" w:cs="黑体"/>
          <w:i w:val="0"/>
          <w:iCs w:val="0"/>
          <w:caps w:val="0"/>
          <w:color w:val="auto"/>
          <w:spacing w:val="0"/>
          <w:sz w:val="32"/>
          <w:szCs w:val="32"/>
          <w:shd w:val="clear" w:fill="FFFFFF"/>
          <w:lang w:val="en-US" w:eastAsia="zh-CN"/>
        </w:rPr>
      </w:pPr>
    </w:p>
    <w:p w14:paraId="5C81F42C">
      <w:pPr>
        <w:jc w:val="left"/>
        <w:rPr>
          <w:rFonts w:hint="eastAsia" w:ascii="黑体" w:hAnsi="黑体" w:eastAsia="黑体" w:cs="黑体"/>
          <w:i w:val="0"/>
          <w:iCs w:val="0"/>
          <w:caps w:val="0"/>
          <w:color w:val="auto"/>
          <w:spacing w:val="0"/>
          <w:sz w:val="32"/>
          <w:szCs w:val="32"/>
          <w:shd w:val="clear" w:fill="FFFFFF"/>
          <w:lang w:val="en-US" w:eastAsia="zh-CN"/>
        </w:rPr>
      </w:pPr>
    </w:p>
    <w:p w14:paraId="236A3EE2">
      <w:pPr>
        <w:jc w:val="left"/>
        <w:rPr>
          <w:rFonts w:hint="eastAsia" w:ascii="黑体" w:hAnsi="黑体" w:eastAsia="黑体" w:cs="黑体"/>
          <w:i w:val="0"/>
          <w:iCs w:val="0"/>
          <w:caps w:val="0"/>
          <w:color w:val="auto"/>
          <w:spacing w:val="0"/>
          <w:sz w:val="32"/>
          <w:szCs w:val="32"/>
          <w:shd w:val="clear" w:fill="FFFFFF"/>
          <w:lang w:val="en-US" w:eastAsia="zh-CN"/>
        </w:rPr>
      </w:pPr>
    </w:p>
    <w:p w14:paraId="1854C10F">
      <w:pPr>
        <w:jc w:val="left"/>
        <w:rPr>
          <w:rFonts w:hint="eastAsia" w:ascii="黑体" w:hAnsi="黑体" w:eastAsia="黑体" w:cs="黑体"/>
          <w:i w:val="0"/>
          <w:iCs w:val="0"/>
          <w:caps w:val="0"/>
          <w:color w:val="auto"/>
          <w:spacing w:val="0"/>
          <w:sz w:val="32"/>
          <w:szCs w:val="32"/>
          <w:shd w:val="clear" w:fill="FFFFFF"/>
          <w:lang w:val="en-US" w:eastAsia="zh-CN"/>
        </w:rPr>
      </w:pPr>
    </w:p>
    <w:p w14:paraId="1809A3F2">
      <w:pPr>
        <w:jc w:val="left"/>
        <w:rPr>
          <w:rFonts w:hint="eastAsia" w:ascii="黑体" w:hAnsi="黑体" w:eastAsia="黑体" w:cs="黑体"/>
          <w:i w:val="0"/>
          <w:iCs w:val="0"/>
          <w:caps w:val="0"/>
          <w:color w:val="auto"/>
          <w:spacing w:val="0"/>
          <w:sz w:val="32"/>
          <w:szCs w:val="32"/>
          <w:shd w:val="clear" w:fill="FFFFFF"/>
          <w:lang w:val="en-US" w:eastAsia="zh-CN"/>
        </w:rPr>
      </w:pPr>
    </w:p>
    <w:p w14:paraId="30E93BF9">
      <w:pPr>
        <w:jc w:val="left"/>
        <w:rPr>
          <w:rFonts w:hint="eastAsia" w:ascii="黑体" w:hAnsi="黑体" w:eastAsia="黑体" w:cs="黑体"/>
          <w:i w:val="0"/>
          <w:iCs w:val="0"/>
          <w:caps w:val="0"/>
          <w:color w:val="auto"/>
          <w:spacing w:val="0"/>
          <w:sz w:val="32"/>
          <w:szCs w:val="32"/>
          <w:shd w:val="clear" w:fill="FFFFFF"/>
          <w:lang w:val="en-US" w:eastAsia="zh-CN"/>
        </w:rPr>
      </w:pPr>
    </w:p>
    <w:p w14:paraId="214346E4">
      <w:pPr>
        <w:jc w:val="left"/>
        <w:rPr>
          <w:rFonts w:hint="eastAsia" w:ascii="黑体" w:hAnsi="黑体" w:eastAsia="黑体" w:cs="黑体"/>
          <w:i w:val="0"/>
          <w:iCs w:val="0"/>
          <w:caps w:val="0"/>
          <w:color w:val="auto"/>
          <w:spacing w:val="0"/>
          <w:sz w:val="32"/>
          <w:szCs w:val="32"/>
          <w:shd w:val="clear" w:fill="FFFFFF"/>
          <w:lang w:val="en-US" w:eastAsia="zh-CN"/>
        </w:rPr>
      </w:pPr>
    </w:p>
    <w:p w14:paraId="542FD7F8">
      <w:pPr>
        <w:jc w:val="left"/>
        <w:rPr>
          <w:rFonts w:hint="eastAsia" w:ascii="黑体" w:hAnsi="黑体" w:eastAsia="黑体" w:cs="黑体"/>
          <w:i w:val="0"/>
          <w:iCs w:val="0"/>
          <w:caps w:val="0"/>
          <w:color w:val="auto"/>
          <w:spacing w:val="0"/>
          <w:sz w:val="32"/>
          <w:szCs w:val="32"/>
          <w:shd w:val="clear" w:fill="FFFFFF"/>
          <w:lang w:val="en-US" w:eastAsia="zh-CN"/>
        </w:rPr>
      </w:pPr>
    </w:p>
    <w:p w14:paraId="74BA8C15">
      <w:pPr>
        <w:jc w:val="left"/>
        <w:rPr>
          <w:rFonts w:hint="eastAsia" w:ascii="黑体" w:hAnsi="黑体" w:eastAsia="黑体" w:cs="黑体"/>
          <w:i w:val="0"/>
          <w:iCs w:val="0"/>
          <w:caps w:val="0"/>
          <w:color w:val="auto"/>
          <w:spacing w:val="0"/>
          <w:sz w:val="32"/>
          <w:szCs w:val="32"/>
          <w:shd w:val="clear" w:fill="FFFFFF"/>
          <w:lang w:val="en-US" w:eastAsia="zh-CN"/>
        </w:rPr>
      </w:pPr>
    </w:p>
    <w:p w14:paraId="78C1C9FF">
      <w:pPr>
        <w:jc w:val="left"/>
        <w:rPr>
          <w:rFonts w:hint="eastAsia" w:ascii="黑体" w:hAnsi="黑体" w:eastAsia="黑体" w:cs="黑体"/>
          <w:i w:val="0"/>
          <w:iCs w:val="0"/>
          <w:caps w:val="0"/>
          <w:color w:val="auto"/>
          <w:spacing w:val="0"/>
          <w:sz w:val="32"/>
          <w:szCs w:val="32"/>
          <w:shd w:val="clear" w:fill="FFFFFF"/>
          <w:lang w:val="en-US" w:eastAsia="zh-CN"/>
        </w:rPr>
      </w:pPr>
    </w:p>
    <w:p w14:paraId="2068E470">
      <w:pPr>
        <w:jc w:val="left"/>
        <w:rPr>
          <w:rFonts w:hint="eastAsia" w:ascii="黑体" w:hAnsi="黑体" w:eastAsia="黑体" w:cs="黑体"/>
          <w:i w:val="0"/>
          <w:iCs w:val="0"/>
          <w:caps w:val="0"/>
          <w:color w:val="auto"/>
          <w:spacing w:val="0"/>
          <w:sz w:val="32"/>
          <w:szCs w:val="32"/>
          <w:shd w:val="clear" w:fill="FFFFFF"/>
          <w:lang w:val="en-US" w:eastAsia="zh-CN"/>
        </w:rPr>
      </w:pPr>
    </w:p>
    <w:p w14:paraId="4FDD3C2C">
      <w:pPr>
        <w:jc w:val="left"/>
        <w:rPr>
          <w:rFonts w:hint="eastAsia" w:ascii="黑体" w:hAnsi="黑体" w:eastAsia="黑体" w:cs="黑体"/>
          <w:i w:val="0"/>
          <w:iCs w:val="0"/>
          <w:caps w:val="0"/>
          <w:color w:val="auto"/>
          <w:spacing w:val="0"/>
          <w:sz w:val="32"/>
          <w:szCs w:val="32"/>
          <w:shd w:val="clear" w:fill="FFFFFF"/>
          <w:lang w:val="en-US" w:eastAsia="zh-CN"/>
        </w:rPr>
      </w:pPr>
    </w:p>
    <w:p w14:paraId="0E6494FF">
      <w:pPr>
        <w:jc w:val="left"/>
        <w:rPr>
          <w:rFonts w:hint="eastAsia" w:ascii="黑体" w:hAnsi="黑体" w:eastAsia="黑体" w:cs="黑体"/>
          <w:i w:val="0"/>
          <w:iCs w:val="0"/>
          <w:caps w:val="0"/>
          <w:color w:val="auto"/>
          <w:spacing w:val="0"/>
          <w:sz w:val="32"/>
          <w:szCs w:val="32"/>
          <w:shd w:val="clear" w:fill="FFFFFF"/>
          <w:lang w:val="en-US" w:eastAsia="zh-CN"/>
        </w:rPr>
      </w:pPr>
    </w:p>
    <w:p w14:paraId="64705B41">
      <w:pPr>
        <w:jc w:val="left"/>
        <w:rPr>
          <w:rFonts w:hint="eastAsia" w:ascii="黑体" w:hAnsi="黑体" w:eastAsia="黑体" w:cs="黑体"/>
          <w:i w:val="0"/>
          <w:iCs w:val="0"/>
          <w:caps w:val="0"/>
          <w:color w:val="auto"/>
          <w:spacing w:val="0"/>
          <w:sz w:val="32"/>
          <w:szCs w:val="32"/>
          <w:shd w:val="clear" w:fill="FFFFFF"/>
          <w:lang w:val="en-US" w:eastAsia="zh-CN"/>
        </w:rPr>
      </w:pPr>
    </w:p>
    <w:p w14:paraId="24CF18E6">
      <w:pPr>
        <w:jc w:val="left"/>
        <w:rPr>
          <w:rFonts w:hint="eastAsia" w:ascii="黑体" w:hAnsi="黑体" w:eastAsia="黑体" w:cs="黑体"/>
          <w:i w:val="0"/>
          <w:iCs w:val="0"/>
          <w:caps w:val="0"/>
          <w:color w:val="auto"/>
          <w:spacing w:val="0"/>
          <w:sz w:val="32"/>
          <w:szCs w:val="32"/>
          <w:shd w:val="clear" w:fill="FFFFFF"/>
          <w:lang w:val="en-US" w:eastAsia="zh-CN"/>
        </w:rPr>
      </w:pPr>
    </w:p>
    <w:p w14:paraId="2EAABDAD">
      <w:pPr>
        <w:jc w:val="left"/>
        <w:rPr>
          <w:rFonts w:hint="eastAsia"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t>附件5：</w:t>
      </w:r>
    </w:p>
    <w:p w14:paraId="7A3E9591">
      <w:pPr>
        <w:widowControl/>
        <w:snapToGrid w:val="0"/>
        <w:jc w:val="center"/>
        <w:rPr>
          <w:rFonts w:hint="eastAsia" w:ascii="方正小标宋简体" w:hAnsi="宋体" w:eastAsia="方正小标宋简体" w:cs="宋体"/>
          <w:bCs/>
          <w:kern w:val="0"/>
          <w:sz w:val="36"/>
          <w:szCs w:val="36"/>
          <w:lang w:eastAsia="zh-CN"/>
        </w:rPr>
      </w:pPr>
      <w:r>
        <w:rPr>
          <w:rFonts w:hint="eastAsia" w:ascii="方正小标宋简体" w:hAnsi="宋体" w:eastAsia="方正小标宋简体" w:cs="宋体"/>
          <w:bCs/>
          <w:kern w:val="0"/>
          <w:sz w:val="36"/>
          <w:szCs w:val="36"/>
        </w:rPr>
        <w:t>浙银理财</w:t>
      </w:r>
      <w:r>
        <w:rPr>
          <w:rFonts w:hint="eastAsia" w:ascii="方正小标宋简体" w:hAnsi="宋体" w:eastAsia="方正小标宋简体" w:cs="宋体"/>
          <w:bCs/>
          <w:kern w:val="0"/>
          <w:sz w:val="36"/>
          <w:szCs w:val="36"/>
          <w:highlight w:val="yellow"/>
          <w:lang w:eastAsia="zh-CN"/>
        </w:rPr>
        <w:t>【】</w:t>
      </w:r>
    </w:p>
    <w:p w14:paraId="0FB80709">
      <w:pPr>
        <w:widowControl/>
        <w:snapToGrid w:val="0"/>
        <w:jc w:val="center"/>
        <w:rPr>
          <w:rFonts w:ascii="方正小标宋简体" w:hAnsi="宋体" w:eastAsia="方正小标宋简体" w:cs="宋体"/>
          <w:bCs/>
          <w:kern w:val="0"/>
          <w:sz w:val="36"/>
          <w:szCs w:val="36"/>
        </w:rPr>
      </w:pPr>
      <w:r>
        <w:rPr>
          <w:rFonts w:hint="eastAsia" w:ascii="方正小标宋简体" w:hAnsi="宋体" w:eastAsia="方正小标宋简体" w:cs="宋体"/>
          <w:bCs/>
          <w:kern w:val="0"/>
          <w:sz w:val="36"/>
          <w:szCs w:val="36"/>
        </w:rPr>
        <w:t>理财产品说明书</w:t>
      </w:r>
    </w:p>
    <w:p w14:paraId="6328C62A">
      <w:pPr>
        <w:widowControl/>
        <w:jc w:val="center"/>
      </w:pPr>
      <w:r>
        <w:rPr>
          <w:rFonts w:hint="eastAsia" w:ascii="宋体" w:hAnsi="宋体" w:eastAsia="宋体" w:cs="宋体"/>
          <w:b/>
          <w:bCs/>
          <w:color w:val="000000"/>
          <w:kern w:val="0"/>
          <w:sz w:val="28"/>
          <w:szCs w:val="28"/>
          <w:lang w:bidi="ar"/>
        </w:rPr>
        <w:t>（</w:t>
      </w:r>
      <w:r>
        <w:rPr>
          <w:rFonts w:ascii="宋体" w:hAnsi="宋体" w:eastAsia="宋体" w:cs="宋体"/>
          <w:b/>
          <w:bCs/>
          <w:color w:val="000000"/>
          <w:kern w:val="0"/>
          <w:sz w:val="28"/>
          <w:szCs w:val="28"/>
          <w:lang w:bidi="ar"/>
        </w:rPr>
        <w:t>全国银行业理财信息登记系统产品登记编码：</w:t>
      </w:r>
      <w:r>
        <w:rPr>
          <w:rFonts w:hint="eastAsia" w:ascii="宋体" w:hAnsi="宋体" w:eastAsia="宋体"/>
          <w:b/>
          <w:color w:val="000000"/>
          <w:sz w:val="24"/>
          <w:szCs w:val="24"/>
          <w:highlight w:val="yellow"/>
          <w:lang w:eastAsia="zh-CN"/>
        </w:rPr>
        <w:t>【】</w:t>
      </w:r>
      <w:r>
        <w:rPr>
          <w:rFonts w:hint="eastAsia" w:ascii="宋体" w:hAnsi="宋体" w:eastAsia="宋体" w:cs="宋体"/>
          <w:b/>
          <w:bCs/>
          <w:color w:val="000000"/>
          <w:kern w:val="0"/>
          <w:sz w:val="28"/>
          <w:szCs w:val="28"/>
          <w:lang w:bidi="ar"/>
        </w:rPr>
        <w:t>）</w:t>
      </w:r>
    </w:p>
    <w:p w14:paraId="3849395F">
      <w:pPr>
        <w:widowControl/>
        <w:jc w:val="center"/>
      </w:pPr>
      <w:r>
        <w:rPr>
          <w:rFonts w:ascii="宋体" w:hAnsi="宋体" w:eastAsia="宋体" w:cs="宋体"/>
          <w:b/>
          <w:bCs/>
          <w:color w:val="000000"/>
          <w:kern w:val="0"/>
          <w:sz w:val="20"/>
          <w:szCs w:val="20"/>
          <w:lang w:bidi="ar"/>
        </w:rPr>
        <w:t xml:space="preserve">（投资者可依据该编码在中国理财网 </w:t>
      </w:r>
      <w:r>
        <w:rPr>
          <w:rFonts w:ascii="Times New Roman" w:hAnsi="Times New Roman" w:eastAsia="宋体"/>
          <w:b/>
          <w:bCs/>
          <w:color w:val="000000"/>
          <w:kern w:val="0"/>
          <w:sz w:val="20"/>
          <w:szCs w:val="20"/>
          <w:lang w:bidi="ar"/>
        </w:rPr>
        <w:t xml:space="preserve">www.chinawealth.com.cn </w:t>
      </w:r>
      <w:r>
        <w:rPr>
          <w:rFonts w:ascii="宋体" w:hAnsi="宋体" w:eastAsia="宋体" w:cs="宋体"/>
          <w:b/>
          <w:bCs/>
          <w:color w:val="000000"/>
          <w:kern w:val="0"/>
          <w:sz w:val="20"/>
          <w:szCs w:val="20"/>
          <w:lang w:bidi="ar"/>
        </w:rPr>
        <w:t>查询产品信息）</w:t>
      </w:r>
    </w:p>
    <w:p w14:paraId="4249BF4A">
      <w:pPr>
        <w:widowControl/>
        <w:snapToGrid w:val="0"/>
        <w:jc w:val="center"/>
        <w:rPr>
          <w:rFonts w:ascii="方正小标宋简体" w:hAnsi="宋体" w:eastAsia="方正小标宋简体" w:cs="宋体"/>
          <w:bCs/>
          <w:kern w:val="0"/>
          <w:sz w:val="36"/>
          <w:szCs w:val="36"/>
        </w:rPr>
      </w:pPr>
    </w:p>
    <w:p w14:paraId="4BE33C23">
      <w:pPr>
        <w:pStyle w:val="2"/>
        <w:rPr>
          <w:rFonts w:hint="eastAsia"/>
          <w:color w:val="auto"/>
          <w:highlight w:val="none"/>
          <w:u w:val="none"/>
        </w:rPr>
      </w:pPr>
      <w:r>
        <w:rPr>
          <w:rFonts w:hint="eastAsia"/>
          <w:color w:val="auto"/>
          <w:highlight w:val="none"/>
          <w:u w:val="none"/>
        </w:rPr>
        <w:t>理财产品</w:t>
      </w:r>
      <w:r>
        <w:rPr>
          <w:rFonts w:hint="eastAsia"/>
          <w:color w:val="auto"/>
          <w:highlight w:val="none"/>
          <w:u w:val="none"/>
          <w:lang w:eastAsia="zh-CN"/>
        </w:rPr>
        <w:t>说明书关键要素</w:t>
      </w:r>
    </w:p>
    <w:tbl>
      <w:tblPr>
        <w:tblStyle w:val="7"/>
        <w:tblW w:w="9425" w:type="dxa"/>
        <w:tblInd w:w="-709" w:type="dxa"/>
        <w:tblLayout w:type="fixed"/>
        <w:tblCellMar>
          <w:top w:w="0" w:type="dxa"/>
          <w:left w:w="108" w:type="dxa"/>
          <w:bottom w:w="0" w:type="dxa"/>
          <w:right w:w="108" w:type="dxa"/>
        </w:tblCellMar>
      </w:tblPr>
      <w:tblGrid>
        <w:gridCol w:w="2453"/>
        <w:gridCol w:w="6972"/>
      </w:tblGrid>
      <w:tr w14:paraId="04975752">
        <w:tblPrEx>
          <w:tblCellMar>
            <w:top w:w="0" w:type="dxa"/>
            <w:left w:w="108" w:type="dxa"/>
            <w:bottom w:w="0" w:type="dxa"/>
            <w:right w:w="108" w:type="dxa"/>
          </w:tblCellMar>
        </w:tblPrEx>
        <w:trPr>
          <w:trHeight w:val="1394" w:hRule="atLeast"/>
        </w:trPr>
        <w:tc>
          <w:tcPr>
            <w:tcW w:w="9425" w:type="dxa"/>
            <w:gridSpan w:val="2"/>
            <w:tcBorders>
              <w:top w:val="single" w:color="000000" w:sz="8" w:space="0"/>
              <w:left w:val="single" w:color="000000" w:sz="8" w:space="0"/>
              <w:bottom w:val="single" w:color="000000" w:sz="4" w:space="0"/>
              <w:right w:val="single" w:color="000000" w:sz="8" w:space="0"/>
            </w:tcBorders>
            <w:vAlign w:val="center"/>
          </w:tcPr>
          <w:p w14:paraId="37607DC3">
            <w:pPr>
              <w:widowControl/>
              <w:spacing w:line="600" w:lineRule="exact"/>
              <w:jc w:val="center"/>
              <w:textAlignment w:val="center"/>
              <w:rPr>
                <w:rFonts w:hint="eastAsia" w:ascii="方正小标宋简体" w:hAnsi="方正小标宋简体" w:eastAsia="方正小标宋简体" w:cs="方正小标宋简体"/>
                <w:color w:val="000000"/>
                <w:sz w:val="40"/>
                <w:szCs w:val="40"/>
              </w:rPr>
            </w:pPr>
            <w:r>
              <w:rPr>
                <w:rFonts w:hint="eastAsia" w:ascii="方正小标宋简体" w:hAnsi="方正小标宋简体" w:eastAsia="方正小标宋简体" w:cs="方正小标宋简体"/>
                <w:color w:val="000000"/>
                <w:kern w:val="0"/>
                <w:sz w:val="40"/>
                <w:szCs w:val="40"/>
                <w:lang w:bidi="ar"/>
              </w:rPr>
              <w:t>理财产品说明书关键要素</w:t>
            </w:r>
          </w:p>
        </w:tc>
      </w:tr>
      <w:tr w14:paraId="4D62CDC7">
        <w:tblPrEx>
          <w:tblCellMar>
            <w:top w:w="0" w:type="dxa"/>
            <w:left w:w="108" w:type="dxa"/>
            <w:bottom w:w="0" w:type="dxa"/>
            <w:right w:w="108" w:type="dxa"/>
          </w:tblCellMar>
        </w:tblPrEx>
        <w:trPr>
          <w:trHeight w:val="980" w:hRule="atLeast"/>
        </w:trPr>
        <w:tc>
          <w:tcPr>
            <w:tcW w:w="9425" w:type="dxa"/>
            <w:gridSpan w:val="2"/>
            <w:tcBorders>
              <w:top w:val="single" w:color="000000" w:sz="4" w:space="0"/>
              <w:left w:val="single" w:color="000000" w:sz="8" w:space="0"/>
              <w:bottom w:val="nil"/>
              <w:right w:val="single" w:color="000000" w:sz="8" w:space="0"/>
            </w:tcBorders>
            <w:vAlign w:val="center"/>
          </w:tcPr>
          <w:p w14:paraId="3480072F">
            <w:pPr>
              <w:widowControl/>
              <w:spacing w:line="400" w:lineRule="exact"/>
              <w:jc w:val="center"/>
              <w:textAlignment w:val="center"/>
              <w:rPr>
                <w:rFonts w:hint="eastAsia" w:ascii="仿宋_GB2312" w:hAnsi="等线" w:eastAsia="仿宋_GB2312" w:cs="仿宋_GB2312"/>
                <w:color w:val="000000"/>
                <w:sz w:val="24"/>
              </w:rPr>
            </w:pPr>
            <w:r>
              <w:rPr>
                <w:rFonts w:hint="eastAsia" w:cs="仿宋_GB2312"/>
                <w:sz w:val="22"/>
                <w:szCs w:val="22"/>
                <w:lang w:bidi="ar"/>
              </w:rPr>
              <w:t>本表格提供本理财产品的重要信息，是理财产品说明书的一部分。</w:t>
            </w:r>
            <w:r>
              <w:rPr>
                <w:rFonts w:hint="eastAsia" w:cs="仿宋_GB2312"/>
                <w:sz w:val="22"/>
                <w:szCs w:val="22"/>
                <w:lang w:bidi="ar"/>
              </w:rPr>
              <w:br w:type="textWrapping"/>
            </w:r>
            <w:r>
              <w:rPr>
                <w:rFonts w:hint="eastAsia" w:cs="仿宋_GB2312"/>
                <w:sz w:val="22"/>
                <w:szCs w:val="22"/>
                <w:lang w:bidi="ar"/>
              </w:rPr>
              <w:t>作出投资决定前，请阅读完整的理财产品说明书等销售文件。</w:t>
            </w:r>
          </w:p>
        </w:tc>
      </w:tr>
      <w:tr w14:paraId="702F1006">
        <w:tblPrEx>
          <w:tblCellMar>
            <w:top w:w="0" w:type="dxa"/>
            <w:left w:w="108" w:type="dxa"/>
            <w:bottom w:w="0" w:type="dxa"/>
            <w:right w:w="108" w:type="dxa"/>
          </w:tblCellMar>
        </w:tblPrEx>
        <w:trPr>
          <w:trHeight w:val="270" w:hRule="atLeast"/>
        </w:trPr>
        <w:tc>
          <w:tcPr>
            <w:tcW w:w="9425" w:type="dxa"/>
            <w:gridSpan w:val="2"/>
            <w:tcBorders>
              <w:top w:val="single" w:color="000000" w:sz="4" w:space="0"/>
              <w:left w:val="single" w:color="000000" w:sz="8" w:space="0"/>
              <w:bottom w:val="single" w:color="auto" w:sz="4" w:space="0"/>
              <w:right w:val="single" w:color="000000" w:sz="8" w:space="0"/>
            </w:tcBorders>
            <w:vAlign w:val="center"/>
          </w:tcPr>
          <w:p w14:paraId="5A84115C">
            <w:pPr>
              <w:widowControl/>
              <w:spacing w:line="400" w:lineRule="exact"/>
              <w:jc w:val="center"/>
              <w:textAlignment w:val="center"/>
              <w:rPr>
                <w:rFonts w:hint="eastAsia" w:ascii="楷体_GB2312" w:hAnsi="等线" w:eastAsia="楷体_GB2312" w:cs="楷体_GB2312"/>
                <w:b/>
                <w:bCs/>
                <w:color w:val="000000"/>
                <w:sz w:val="24"/>
              </w:rPr>
            </w:pPr>
            <w:r>
              <w:rPr>
                <w:rFonts w:hint="eastAsia" w:ascii="楷体_GB2312" w:hAnsi="等线" w:eastAsia="楷体_GB2312" w:cs="楷体_GB2312"/>
                <w:b/>
                <w:bCs/>
                <w:color w:val="000000"/>
                <w:kern w:val="0"/>
                <w:sz w:val="24"/>
                <w:lang w:bidi="ar"/>
              </w:rPr>
              <w:t>（一）理财产品基本信息</w:t>
            </w:r>
          </w:p>
        </w:tc>
      </w:tr>
      <w:tr w14:paraId="39F3044B">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3BD2F663">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产品登记编码</w:t>
            </w:r>
          </w:p>
        </w:tc>
        <w:tc>
          <w:tcPr>
            <w:tcW w:w="6972" w:type="dxa"/>
            <w:tcBorders>
              <w:top w:val="single" w:color="auto" w:sz="4" w:space="0"/>
              <w:left w:val="single" w:color="auto" w:sz="4" w:space="0"/>
              <w:bottom w:val="single" w:color="auto" w:sz="4" w:space="0"/>
              <w:right w:val="single" w:color="auto" w:sz="4" w:space="0"/>
            </w:tcBorders>
            <w:vAlign w:val="center"/>
          </w:tcPr>
          <w:p w14:paraId="7456F432">
            <w:pPr>
              <w:widowControl/>
              <w:spacing w:line="400" w:lineRule="exact"/>
              <w:jc w:val="left"/>
              <w:textAlignment w:val="center"/>
              <w:rPr>
                <w:rFonts w:hint="eastAsia" w:ascii="宋体" w:hAnsi="宋体"/>
                <w:color w:val="auto"/>
                <w:szCs w:val="24"/>
                <w:highlight w:val="yellow"/>
                <w:u w:val="none"/>
              </w:rPr>
            </w:pPr>
            <w:r>
              <w:rPr>
                <w:rFonts w:hint="eastAsia" w:ascii="宋体" w:hAnsi="宋体"/>
                <w:color w:val="auto"/>
                <w:szCs w:val="24"/>
                <w:highlight w:val="yellow"/>
                <w:u w:val="none"/>
              </w:rPr>
              <w:t>【】</w:t>
            </w:r>
          </w:p>
          <w:p w14:paraId="4C89A2F1">
            <w:pPr>
              <w:widowControl/>
              <w:spacing w:line="400" w:lineRule="exact"/>
              <w:jc w:val="left"/>
              <w:textAlignment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仿宋_GB2312" w:hAnsi="仿宋_GB2312" w:cs="仿宋_GB2312"/>
                <w:sz w:val="22"/>
                <w:szCs w:val="22"/>
                <w:lang w:bidi="ar"/>
              </w:rPr>
              <w:t>（重要提示：可依据该登记编码在中国理财网www.chinawealth.com.cn查询产品信息）</w:t>
            </w:r>
          </w:p>
        </w:tc>
      </w:tr>
      <w:tr w14:paraId="0F9FC0AA">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1026A61">
            <w:pPr>
              <w:widowControl/>
              <w:spacing w:line="400" w:lineRule="exact"/>
              <w:jc w:val="center"/>
              <w:textAlignment w:val="center"/>
              <w:rPr>
                <w:rFonts w:hint="eastAsia" w:ascii="仿宋_GB2312" w:hAnsi="等线" w:cs="仿宋_GB2312"/>
                <w:color w:val="000000" w:themeColor="text1"/>
                <w:kern w:val="0"/>
                <w:sz w:val="24"/>
                <w:lang w:eastAsia="zh-CN" w:bidi="ar"/>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产品代码</w:t>
            </w:r>
          </w:p>
        </w:tc>
        <w:tc>
          <w:tcPr>
            <w:tcW w:w="6972" w:type="dxa"/>
            <w:tcBorders>
              <w:top w:val="single" w:color="auto" w:sz="4" w:space="0"/>
              <w:left w:val="single" w:color="auto" w:sz="4" w:space="0"/>
              <w:bottom w:val="single" w:color="auto" w:sz="4" w:space="0"/>
              <w:right w:val="single" w:color="auto" w:sz="4" w:space="0"/>
            </w:tcBorders>
            <w:vAlign w:val="center"/>
          </w:tcPr>
          <w:p w14:paraId="4BA803C3">
            <w:pPr>
              <w:widowControl/>
              <w:spacing w:line="400" w:lineRule="exact"/>
              <w:jc w:val="left"/>
              <w:textAlignment w:val="center"/>
              <w:rPr>
                <w:rFonts w:hint="eastAsia" w:ascii="宋体" w:hAnsi="宋体"/>
                <w:color w:val="auto"/>
                <w:szCs w:val="24"/>
                <w:highlight w:val="none"/>
              </w:rPr>
            </w:pPr>
            <w:r>
              <w:rPr>
                <w:rFonts w:hint="eastAsia" w:ascii="宋体" w:hAnsi="宋体"/>
                <w:color w:val="auto"/>
                <w:szCs w:val="24"/>
                <w:highlight w:val="yellow"/>
                <w:lang w:eastAsia="zh-CN"/>
              </w:rPr>
              <w:t>【】</w:t>
            </w:r>
          </w:p>
        </w:tc>
      </w:tr>
      <w:tr w14:paraId="3D3EAB1C">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425167C">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理财</w:t>
            </w:r>
            <w:r>
              <w:rPr>
                <w:rFonts w:hint="eastAsia" w:ascii="仿宋_GB2312" w:hAnsi="等线" w:eastAsia="仿宋_GB2312" w:cs="仿宋_GB2312"/>
                <w:color w:val="000000" w:themeColor="text1"/>
                <w:kern w:val="0"/>
                <w:sz w:val="24"/>
                <w:lang w:bidi="ar"/>
                <w14:textFill>
                  <w14:solidFill>
                    <w14:schemeClr w14:val="tx1"/>
                  </w14:solidFill>
                </w14:textFill>
              </w:rPr>
              <w:t>产品名称</w:t>
            </w:r>
          </w:p>
        </w:tc>
        <w:tc>
          <w:tcPr>
            <w:tcW w:w="6972" w:type="dxa"/>
            <w:tcBorders>
              <w:top w:val="single" w:color="auto" w:sz="4" w:space="0"/>
              <w:left w:val="single" w:color="auto" w:sz="4" w:space="0"/>
              <w:bottom w:val="single" w:color="auto" w:sz="4" w:space="0"/>
              <w:right w:val="single" w:color="auto" w:sz="4" w:space="0"/>
            </w:tcBorders>
            <w:vAlign w:val="center"/>
          </w:tcPr>
          <w:p w14:paraId="6432D5FE">
            <w:pPr>
              <w:widowControl/>
              <w:spacing w:line="400" w:lineRule="exact"/>
              <w:jc w:val="left"/>
              <w:textAlignment w:val="center"/>
              <w:rPr>
                <w:rFonts w:hint="eastAsia" w:ascii="仿宋_GB2312" w:hAnsi="等线" w:eastAsia="仿宋_GB2312" w:cs="仿宋_GB2312"/>
                <w:bCs/>
                <w:color w:val="000000" w:themeColor="text1"/>
                <w:sz w:val="24"/>
                <w:lang w:eastAsia="zh-CN"/>
                <w14:textFill>
                  <w14:solidFill>
                    <w14:schemeClr w14:val="tx1"/>
                  </w14:solidFill>
                </w14:textFill>
              </w:rPr>
            </w:pPr>
            <w:r>
              <w:rPr>
                <w:rFonts w:hint="eastAsia" w:ascii="仿宋_GB2312" w:hAnsi="等线" w:cs="仿宋_GB2312"/>
                <w:bCs/>
                <w:color w:val="000000" w:themeColor="text1"/>
                <w:sz w:val="24"/>
                <w:highlight w:val="yellow"/>
                <w:lang w:eastAsia="zh-CN"/>
                <w14:textFill>
                  <w14:solidFill>
                    <w14:schemeClr w14:val="tx1"/>
                  </w14:solidFill>
                </w14:textFill>
              </w:rPr>
              <w:t>【】</w:t>
            </w:r>
          </w:p>
        </w:tc>
      </w:tr>
      <w:tr w14:paraId="74A7FF29">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DD8AFB9">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份额代码</w:t>
            </w:r>
          </w:p>
        </w:tc>
        <w:tc>
          <w:tcPr>
            <w:tcW w:w="6972" w:type="dxa"/>
            <w:tcBorders>
              <w:top w:val="single" w:color="auto" w:sz="4" w:space="0"/>
              <w:left w:val="single" w:color="auto" w:sz="4" w:space="0"/>
              <w:bottom w:val="single" w:color="auto" w:sz="4" w:space="0"/>
              <w:right w:val="single" w:color="auto" w:sz="4" w:space="0"/>
            </w:tcBorders>
            <w:vAlign w:val="center"/>
          </w:tcPr>
          <w:p w14:paraId="30EFFA91">
            <w:pPr>
              <w:snapToGrid w:val="0"/>
              <w:jc w:val="left"/>
              <w:rPr>
                <w:rFonts w:ascii="宋体" w:hAnsi="宋体" w:cs="宋体"/>
                <w:color w:val="auto"/>
                <w:kern w:val="0"/>
                <w:szCs w:val="24"/>
                <w:highlight w:val="none"/>
              </w:rPr>
            </w:pPr>
            <w:r>
              <w:rPr>
                <w:rFonts w:hint="eastAsia" w:ascii="宋体" w:hAnsi="宋体" w:cs="宋体"/>
                <w:color w:val="auto"/>
                <w:kern w:val="0"/>
                <w:szCs w:val="24"/>
                <w:highlight w:val="none"/>
              </w:rPr>
              <w:t>本产品根据投资者购买理财产品的金额、销售渠道、客户类型等因素设置不同的产品份额类别，各类产品份额可能分别设置不同的销售名称、</w:t>
            </w:r>
            <w:r>
              <w:rPr>
                <w:rFonts w:hint="eastAsia" w:ascii="宋体" w:hAnsi="宋体" w:cs="宋体"/>
                <w:color w:val="auto"/>
                <w:kern w:val="0"/>
                <w:szCs w:val="24"/>
                <w:highlight w:val="none"/>
                <w:lang w:eastAsia="zh-CN"/>
              </w:rPr>
              <w:t>份额</w:t>
            </w:r>
            <w:r>
              <w:rPr>
                <w:rFonts w:hint="eastAsia" w:ascii="宋体" w:hAnsi="宋体" w:cs="宋体"/>
                <w:color w:val="auto"/>
                <w:kern w:val="0"/>
                <w:szCs w:val="24"/>
                <w:highlight w:val="none"/>
              </w:rPr>
              <w:t>代码、销售渠道、销售</w:t>
            </w:r>
            <w:r>
              <w:rPr>
                <w:rFonts w:hint="eastAsia" w:ascii="宋体" w:hAnsi="宋体" w:cs="宋体"/>
                <w:color w:val="auto"/>
                <w:kern w:val="0"/>
                <w:szCs w:val="24"/>
                <w:highlight w:val="none"/>
                <w:lang w:eastAsia="zh-CN"/>
              </w:rPr>
              <w:t>对象</w:t>
            </w:r>
            <w:r>
              <w:rPr>
                <w:rFonts w:hint="eastAsia" w:ascii="宋体" w:hAnsi="宋体" w:cs="宋体"/>
                <w:color w:val="auto"/>
                <w:kern w:val="0"/>
                <w:szCs w:val="24"/>
                <w:highlight w:val="none"/>
              </w:rPr>
              <w:t>、销售服务费率、收费方式、业绩比较基准、</w:t>
            </w:r>
            <w:r>
              <w:rPr>
                <w:rFonts w:hint="eastAsia" w:ascii="宋体" w:hAnsi="宋体" w:cs="宋体"/>
                <w:color w:val="auto"/>
                <w:kern w:val="0"/>
                <w:szCs w:val="24"/>
                <w:highlight w:val="none"/>
                <w:lang w:eastAsia="zh-CN"/>
              </w:rPr>
              <w:t>起点销售</w:t>
            </w:r>
            <w:r>
              <w:rPr>
                <w:rFonts w:hint="eastAsia" w:ascii="宋体" w:hAnsi="宋体" w:cs="宋体"/>
                <w:color w:val="auto"/>
                <w:kern w:val="0"/>
                <w:szCs w:val="24"/>
                <w:highlight w:val="none"/>
              </w:rPr>
              <w:t>金额</w:t>
            </w:r>
            <w:r>
              <w:rPr>
                <w:rFonts w:hint="eastAsia" w:ascii="仿宋_GB2312" w:hAnsi="宋体" w:cs="宋体"/>
                <w:color w:val="auto"/>
                <w:kern w:val="0"/>
                <w:szCs w:val="24"/>
                <w:highlight w:val="none"/>
              </w:rPr>
              <w:t>及</w:t>
            </w:r>
            <w:r>
              <w:rPr>
                <w:rFonts w:hint="eastAsia" w:ascii="仿宋_GB2312" w:hAnsi="宋体" w:cs="宋体"/>
                <w:color w:val="auto"/>
                <w:kern w:val="0"/>
                <w:szCs w:val="24"/>
                <w:highlight w:val="none"/>
                <w:lang w:eastAsia="zh-CN"/>
              </w:rPr>
              <w:t>追加</w:t>
            </w:r>
            <w:r>
              <w:rPr>
                <w:rFonts w:hint="eastAsia" w:ascii="仿宋_GB2312" w:hAnsi="宋体" w:cs="宋体"/>
                <w:color w:val="auto"/>
                <w:kern w:val="0"/>
                <w:szCs w:val="24"/>
                <w:highlight w:val="none"/>
              </w:rPr>
              <w:t>递增金额</w:t>
            </w:r>
            <w:r>
              <w:rPr>
                <w:rFonts w:hint="eastAsia" w:ascii="宋体" w:hAnsi="宋体" w:cs="宋体"/>
                <w:color w:val="auto"/>
                <w:kern w:val="0"/>
                <w:szCs w:val="24"/>
                <w:highlight w:val="none"/>
              </w:rPr>
              <w:t>、认</w:t>
            </w:r>
            <w:r>
              <w:rPr>
                <w:rFonts w:ascii="宋体" w:hAnsi="宋体" w:cs="宋体"/>
                <w:color w:val="auto"/>
                <w:kern w:val="0"/>
                <w:szCs w:val="24"/>
                <w:highlight w:val="none"/>
              </w:rPr>
              <w:t>/</w:t>
            </w:r>
            <w:r>
              <w:rPr>
                <w:rFonts w:hint="eastAsia" w:ascii="宋体" w:hAnsi="宋体" w:cs="宋体"/>
                <w:color w:val="auto"/>
                <w:kern w:val="0"/>
                <w:szCs w:val="24"/>
                <w:highlight w:val="none"/>
              </w:rPr>
              <w:t>申购上限</w:t>
            </w:r>
            <w:r>
              <w:rPr>
                <w:rFonts w:ascii="宋体" w:hAnsi="宋体" w:cs="宋体"/>
                <w:color w:val="auto"/>
                <w:kern w:val="0"/>
                <w:szCs w:val="24"/>
                <w:highlight w:val="none"/>
              </w:rPr>
              <w:t>金额、</w:t>
            </w:r>
            <w:r>
              <w:rPr>
                <w:rFonts w:hint="eastAsia" w:ascii="宋体" w:hAnsi="宋体" w:cs="宋体"/>
                <w:color w:val="auto"/>
                <w:kern w:val="0"/>
                <w:szCs w:val="24"/>
                <w:highlight w:val="none"/>
              </w:rPr>
              <w:t>认</w:t>
            </w:r>
            <w:r>
              <w:rPr>
                <w:rFonts w:ascii="宋体" w:hAnsi="宋体" w:cs="宋体"/>
                <w:color w:val="auto"/>
                <w:kern w:val="0"/>
                <w:szCs w:val="24"/>
                <w:highlight w:val="none"/>
              </w:rPr>
              <w:t>/</w:t>
            </w:r>
            <w:r>
              <w:rPr>
                <w:rFonts w:hint="eastAsia" w:ascii="宋体" w:hAnsi="宋体" w:cs="宋体"/>
                <w:color w:val="auto"/>
                <w:kern w:val="0"/>
                <w:szCs w:val="24"/>
                <w:highlight w:val="none"/>
              </w:rPr>
              <w:t>申购和赎回数量限制、持有金额上/下限</w:t>
            </w:r>
            <w:r>
              <w:rPr>
                <w:rFonts w:hint="eastAsia"/>
                <w:color w:val="auto"/>
                <w:highlight w:val="none"/>
              </w:rPr>
              <w:t>、单一投资者持有份额占比上限、产品规模上限</w:t>
            </w:r>
            <w:r>
              <w:rPr>
                <w:rFonts w:hint="eastAsia" w:ascii="宋体" w:hAnsi="宋体" w:cs="宋体"/>
                <w:color w:val="auto"/>
                <w:kern w:val="0"/>
                <w:szCs w:val="24"/>
                <w:highlight w:val="none"/>
              </w:rPr>
              <w:t>等要素，并分别计算和公告各类产品份额单位净值，具体以对应的理财产品销售文件约定为准。</w:t>
            </w:r>
          </w:p>
          <w:p w14:paraId="3C3600C2">
            <w:pPr>
              <w:snapToGrid w:val="0"/>
              <w:jc w:val="left"/>
              <w:rPr>
                <w:rFonts w:ascii="宋体" w:hAnsi="宋体" w:cs="宋体"/>
                <w:color w:val="auto"/>
                <w:kern w:val="0"/>
                <w:szCs w:val="24"/>
                <w:highlight w:val="none"/>
              </w:rPr>
            </w:pPr>
            <w:r>
              <w:rPr>
                <w:rFonts w:hint="eastAsia" w:ascii="宋体" w:hAnsi="宋体" w:cs="宋体"/>
                <w:color w:val="auto"/>
                <w:kern w:val="0"/>
                <w:szCs w:val="24"/>
                <w:highlight w:val="none"/>
              </w:rPr>
              <w:t>投资者可根据实际情况自行选择认/申购的产品份额类别。</w:t>
            </w:r>
          </w:p>
          <w:p w14:paraId="4AC2243B">
            <w:pPr>
              <w:widowControl/>
              <w:spacing w:line="400" w:lineRule="exact"/>
              <w:jc w:val="left"/>
              <w:textAlignment w:val="center"/>
              <w:rPr>
                <w:rFonts w:hint="eastAsia" w:ascii="宋体" w:hAnsi="宋体" w:eastAsia="仿宋_GB2312" w:cstheme="minorBidi"/>
                <w:bCs w:val="0"/>
                <w:color w:val="auto"/>
                <w:kern w:val="2"/>
                <w:sz w:val="24"/>
                <w:szCs w:val="24"/>
                <w:highlight w:val="none"/>
                <w:u w:val="none"/>
                <w:lang w:bidi="ar"/>
              </w:rPr>
            </w:pPr>
            <w:r>
              <w:rPr>
                <w:rFonts w:hint="eastAsia" w:ascii="宋体" w:hAnsi="宋体" w:cs="宋体"/>
                <w:b/>
                <w:bCs/>
                <w:color w:val="auto"/>
                <w:kern w:val="0"/>
                <w:szCs w:val="24"/>
                <w:highlight w:val="none"/>
              </w:rPr>
              <w:t>产品管理人有权在本理财产品项下增设</w:t>
            </w:r>
            <w:r>
              <w:rPr>
                <w:rFonts w:hint="eastAsia" w:ascii="宋体" w:hAnsi="宋体" w:cs="宋体"/>
                <w:b/>
                <w:bCs/>
                <w:color w:val="auto"/>
                <w:kern w:val="0"/>
                <w:szCs w:val="24"/>
                <w:highlight w:val="none"/>
                <w:lang w:val="en-US" w:eastAsia="zh-CN"/>
              </w:rPr>
              <w:t>/终止</w:t>
            </w:r>
            <w:r>
              <w:rPr>
                <w:rFonts w:hint="eastAsia" w:ascii="宋体" w:hAnsi="宋体" w:cs="宋体"/>
                <w:b/>
                <w:bCs/>
                <w:color w:val="auto"/>
                <w:kern w:val="0"/>
                <w:szCs w:val="24"/>
                <w:highlight w:val="none"/>
              </w:rPr>
              <w:t>产品份额类别，届时，产品管理人将依据本理财产品销售文件的约定进行信息披露。</w:t>
            </w:r>
          </w:p>
          <w:p w14:paraId="18675AA6">
            <w:pPr>
              <w:widowControl/>
              <w:spacing w:line="400" w:lineRule="exact"/>
              <w:jc w:val="both"/>
              <w:textAlignment w:val="center"/>
              <w:rPr>
                <w:rFonts w:hint="eastAsia" w:ascii="宋体" w:hAnsi="宋体" w:eastAsia="仿宋_GB2312" w:cstheme="minorBidi"/>
                <w:bCs w:val="0"/>
                <w:color w:val="auto"/>
                <w:kern w:val="2"/>
                <w:sz w:val="24"/>
                <w:szCs w:val="24"/>
                <w:highlight w:val="none"/>
                <w:u w:val="none"/>
                <w:lang w:bidi="ar"/>
              </w:rPr>
            </w:pPr>
            <w:r>
              <w:rPr>
                <w:rFonts w:hint="eastAsia" w:ascii="宋体" w:hAnsi="宋体" w:cstheme="minorBidi"/>
                <w:bCs w:val="0"/>
                <w:color w:val="auto"/>
                <w:kern w:val="2"/>
                <w:sz w:val="24"/>
                <w:szCs w:val="24"/>
                <w:highlight w:val="yellow"/>
                <w:u w:val="none"/>
                <w:lang w:eastAsia="zh-CN" w:bidi="ar"/>
              </w:rPr>
              <w:t>【</w:t>
            </w:r>
            <w:r>
              <w:rPr>
                <w:rFonts w:hint="eastAsia" w:ascii="宋体" w:hAnsi="宋体" w:eastAsia="仿宋_GB2312" w:cstheme="minorBidi"/>
                <w:bCs w:val="0"/>
                <w:color w:val="auto"/>
                <w:kern w:val="2"/>
                <w:sz w:val="24"/>
                <w:szCs w:val="24"/>
                <w:highlight w:val="yellow"/>
                <w:u w:val="none"/>
                <w:lang w:bidi="ar"/>
              </w:rPr>
              <w:t>A类份额</w:t>
            </w:r>
            <w:r>
              <w:rPr>
                <w:rFonts w:hint="eastAsia" w:ascii="宋体" w:hAnsi="宋体" w:cstheme="minorBidi"/>
                <w:bCs w:val="0"/>
                <w:color w:val="auto"/>
                <w:kern w:val="2"/>
                <w:sz w:val="24"/>
                <w:szCs w:val="24"/>
                <w:highlight w:val="yellow"/>
                <w:u w:val="none"/>
                <w:lang w:eastAsia="zh-CN" w:bidi="ar"/>
              </w:rPr>
              <w:t>】</w:t>
            </w:r>
            <w:r>
              <w:rPr>
                <w:rFonts w:hint="eastAsia" w:ascii="宋体" w:hAnsi="宋体" w:eastAsia="仿宋_GB2312" w:cstheme="minorBidi"/>
                <w:bCs w:val="0"/>
                <w:color w:val="auto"/>
                <w:kern w:val="2"/>
                <w:sz w:val="24"/>
                <w:szCs w:val="24"/>
                <w:highlight w:val="none"/>
                <w:u w:val="none"/>
                <w:lang w:bidi="ar"/>
              </w:rPr>
              <w:t>：份额代码</w:t>
            </w:r>
            <w:r>
              <w:rPr>
                <w:rFonts w:hint="eastAsia" w:ascii="宋体" w:hAnsi="宋体"/>
                <w:color w:val="auto"/>
                <w:sz w:val="24"/>
                <w:szCs w:val="24"/>
                <w:highlight w:val="yellow"/>
                <w:lang w:eastAsia="zh-CN"/>
              </w:rPr>
              <w:t>【】</w:t>
            </w:r>
            <w:r>
              <w:rPr>
                <w:rFonts w:hint="eastAsia" w:ascii="宋体" w:hAnsi="宋体" w:cstheme="minorBidi"/>
                <w:bCs w:val="0"/>
                <w:color w:val="auto"/>
                <w:kern w:val="2"/>
                <w:sz w:val="24"/>
                <w:szCs w:val="24"/>
                <w:highlight w:val="none"/>
                <w:u w:val="none"/>
                <w:lang w:eastAsia="zh-CN" w:bidi="ar"/>
              </w:rPr>
              <w:t>；</w:t>
            </w:r>
          </w:p>
        </w:tc>
      </w:tr>
      <w:tr w14:paraId="087A21B4">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5B2ADAD">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发行机构名称</w:t>
            </w:r>
          </w:p>
        </w:tc>
        <w:tc>
          <w:tcPr>
            <w:tcW w:w="6972" w:type="dxa"/>
            <w:tcBorders>
              <w:top w:val="single" w:color="auto" w:sz="4" w:space="0"/>
              <w:left w:val="single" w:color="auto" w:sz="4" w:space="0"/>
              <w:bottom w:val="single" w:color="auto" w:sz="4" w:space="0"/>
              <w:right w:val="single" w:color="auto" w:sz="4" w:space="0"/>
            </w:tcBorders>
            <w:vAlign w:val="center"/>
          </w:tcPr>
          <w:p w14:paraId="79E7162F">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宋体"/>
                <w:color w:val="auto"/>
                <w:kern w:val="0"/>
                <w:szCs w:val="24"/>
                <w:highlight w:val="none"/>
                <w:u w:val="none"/>
              </w:rPr>
              <w:t>浙银理财有限责任公司</w:t>
            </w:r>
          </w:p>
        </w:tc>
      </w:tr>
      <w:tr w14:paraId="7122594C">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551B7BF">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销售机构名称</w:t>
            </w:r>
          </w:p>
        </w:tc>
        <w:tc>
          <w:tcPr>
            <w:tcW w:w="6972" w:type="dxa"/>
            <w:tcBorders>
              <w:top w:val="single" w:color="auto" w:sz="4" w:space="0"/>
              <w:left w:val="single" w:color="auto" w:sz="4" w:space="0"/>
              <w:bottom w:val="single" w:color="auto" w:sz="4" w:space="0"/>
              <w:right w:val="single" w:color="auto" w:sz="4" w:space="0"/>
            </w:tcBorders>
            <w:vAlign w:val="center"/>
          </w:tcPr>
          <w:p w14:paraId="56F72911">
            <w:pPr>
              <w:widowControl/>
              <w:spacing w:line="400" w:lineRule="exact"/>
              <w:jc w:val="left"/>
              <w:textAlignment w:val="center"/>
              <w:rPr>
                <w:rFonts w:hint="eastAsia" w:ascii="宋体" w:hAnsi="宋体" w:cs="宋体"/>
                <w:color w:val="auto"/>
                <w:kern w:val="0"/>
                <w:szCs w:val="24"/>
                <w:highlight w:val="yellow"/>
                <w:lang w:val="en-US" w:eastAsia="zh-CN"/>
              </w:rPr>
            </w:pPr>
            <w:r>
              <w:rPr>
                <w:rFonts w:hint="eastAsia" w:ascii="宋体" w:hAnsi="宋体" w:cs="宋体"/>
                <w:color w:val="auto"/>
                <w:kern w:val="0"/>
                <w:szCs w:val="24"/>
                <w:highlight w:val="yellow"/>
                <w:lang w:val="en-US" w:eastAsia="zh-CN"/>
              </w:rPr>
              <w:t>【浙商银行股份有限公司】：【份额代码】</w:t>
            </w:r>
          </w:p>
          <w:p w14:paraId="45F68657">
            <w:pPr>
              <w:widowControl/>
              <w:spacing w:line="400" w:lineRule="exact"/>
              <w:jc w:val="left"/>
              <w:textAlignment w:val="center"/>
              <w:rPr>
                <w:rFonts w:hint="eastAsia" w:ascii="宋体" w:hAnsi="宋体"/>
                <w:color w:val="auto"/>
                <w:szCs w:val="24"/>
                <w:highlight w:val="none"/>
                <w:u w:val="none"/>
                <w:lang w:val="en-US" w:eastAsia="zh-CN"/>
              </w:rPr>
            </w:pPr>
            <w:r>
              <w:rPr>
                <w:rFonts w:hint="eastAsia" w:ascii="宋体" w:hAnsi="宋体" w:eastAsia="仿宋_GB2312" w:cs="宋体"/>
                <w:color w:val="auto"/>
                <w:kern w:val="0"/>
                <w:sz w:val="24"/>
                <w:szCs w:val="24"/>
                <w:highlight w:val="none"/>
                <w:lang w:val="en-US" w:eastAsia="zh-CN" w:bidi="ar"/>
              </w:rPr>
              <w:t>后续销售机构如有新增、减少和变更，以</w:t>
            </w:r>
            <w:r>
              <w:rPr>
                <w:rFonts w:hint="eastAsia" w:ascii="宋体" w:hAnsi="宋体" w:cs="宋体"/>
                <w:color w:val="auto"/>
                <w:kern w:val="0"/>
                <w:sz w:val="24"/>
                <w:szCs w:val="24"/>
                <w:highlight w:val="none"/>
                <w:lang w:val="en-US" w:eastAsia="zh-CN" w:bidi="ar"/>
              </w:rPr>
              <w:t>产品</w:t>
            </w:r>
            <w:r>
              <w:rPr>
                <w:rFonts w:hint="eastAsia" w:ascii="宋体" w:hAnsi="宋体" w:eastAsia="仿宋_GB2312" w:cs="宋体"/>
                <w:color w:val="auto"/>
                <w:kern w:val="0"/>
                <w:sz w:val="24"/>
                <w:szCs w:val="24"/>
                <w:highlight w:val="none"/>
                <w:lang w:val="en-US" w:eastAsia="zh-CN" w:bidi="ar"/>
              </w:rPr>
              <w:t>管理人信息披露为准。</w:t>
            </w:r>
          </w:p>
        </w:tc>
      </w:tr>
      <w:tr w14:paraId="26465FA7">
        <w:tblPrEx>
          <w:tblCellMar>
            <w:top w:w="0" w:type="dxa"/>
            <w:left w:w="108" w:type="dxa"/>
            <w:bottom w:w="0" w:type="dxa"/>
            <w:right w:w="108" w:type="dxa"/>
          </w:tblCellMar>
        </w:tblPrEx>
        <w:trPr>
          <w:trHeight w:val="600" w:hRule="atLeast"/>
        </w:trPr>
        <w:tc>
          <w:tcPr>
            <w:tcW w:w="2453" w:type="dxa"/>
            <w:tcBorders>
              <w:top w:val="single" w:color="auto" w:sz="4" w:space="0"/>
              <w:left w:val="single" w:color="auto" w:sz="4" w:space="0"/>
              <w:bottom w:val="single" w:color="auto" w:sz="4" w:space="0"/>
              <w:right w:val="single" w:color="auto" w:sz="4" w:space="0"/>
            </w:tcBorders>
            <w:vAlign w:val="center"/>
          </w:tcPr>
          <w:p w14:paraId="60E5A2A5">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境内托管机构名称</w:t>
            </w:r>
          </w:p>
        </w:tc>
        <w:tc>
          <w:tcPr>
            <w:tcW w:w="6972" w:type="dxa"/>
            <w:tcBorders>
              <w:top w:val="single" w:color="auto" w:sz="4" w:space="0"/>
              <w:left w:val="single" w:color="auto" w:sz="4" w:space="0"/>
              <w:bottom w:val="single" w:color="auto" w:sz="4" w:space="0"/>
              <w:right w:val="single" w:color="auto" w:sz="4" w:space="0"/>
            </w:tcBorders>
            <w:vAlign w:val="center"/>
          </w:tcPr>
          <w:p w14:paraId="7C064E54">
            <w:pPr>
              <w:widowControl/>
              <w:spacing w:line="400" w:lineRule="exact"/>
              <w:jc w:val="left"/>
              <w:textAlignment w:val="center"/>
              <w:rPr>
                <w:rFonts w:hint="eastAsia" w:ascii="仿宋_GB2312" w:hAnsi="等线" w:eastAsia="仿宋_GB2312" w:cs="仿宋_GB2312"/>
                <w:bCs/>
                <w:color w:val="000000" w:themeColor="text1"/>
                <w:sz w:val="24"/>
                <w:lang w:eastAsia="zh-CN"/>
                <w14:textFill>
                  <w14:solidFill>
                    <w14:schemeClr w14:val="tx1"/>
                  </w14:solidFill>
                </w14:textFill>
              </w:rPr>
            </w:pPr>
            <w:r>
              <w:rPr>
                <w:rFonts w:hint="eastAsia" w:ascii="宋体" w:hAnsi="宋体" w:cs="宋体"/>
                <w:color w:val="auto"/>
                <w:kern w:val="0"/>
                <w:szCs w:val="24"/>
                <w:highlight w:val="yellow"/>
                <w:lang w:val="en-US" w:eastAsia="zh-CN"/>
              </w:rPr>
              <w:t>【】</w:t>
            </w:r>
          </w:p>
        </w:tc>
      </w:tr>
      <w:tr w14:paraId="32203F58">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shd w:val="clear" w:color="auto" w:fill="auto"/>
            <w:vAlign w:val="center"/>
          </w:tcPr>
          <w:p w14:paraId="69A0E2B1">
            <w:pPr>
              <w:widowControl/>
              <w:spacing w:line="400" w:lineRule="exact"/>
              <w:jc w:val="center"/>
              <w:textAlignment w:val="center"/>
              <w:rPr>
                <w:rFonts w:hint="eastAsia" w:ascii="仿宋_GB2312" w:hAnsi="等线" w:cs="仿宋_GB2312"/>
                <w:color w:val="000000" w:themeColor="text1"/>
                <w:kern w:val="0"/>
                <w:sz w:val="24"/>
                <w:lang w:eastAsia="zh-CN" w:bidi="ar"/>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w:t>
            </w:r>
            <w:r>
              <w:rPr>
                <w:rFonts w:hint="eastAsia" w:ascii="仿宋_GB2312" w:hAnsi="等线" w:eastAsia="仿宋_GB2312" w:cs="仿宋_GB2312"/>
                <w:color w:val="000000" w:themeColor="text1"/>
                <w:kern w:val="0"/>
                <w:sz w:val="24"/>
                <w:lang w:bidi="ar"/>
                <w14:textFill>
                  <w14:solidFill>
                    <w14:schemeClr w14:val="tx1"/>
                  </w14:solidFill>
                </w14:textFill>
              </w:rPr>
              <w:t>境外托管机构名称</w:t>
            </w:r>
            <w:r>
              <w:rPr>
                <w:rFonts w:hint="eastAsia" w:ascii="仿宋_GB2312" w:hAnsi="等线" w:cs="仿宋_GB2312"/>
                <w:color w:val="000000" w:themeColor="text1"/>
                <w:kern w:val="0"/>
                <w:sz w:val="24"/>
                <w:lang w:eastAsia="zh-CN" w:bidi="ar"/>
                <w14:textFill>
                  <w14:solidFill>
                    <w14:schemeClr w14:val="tx1"/>
                  </w14:solidFill>
                </w14:textFill>
              </w:rPr>
              <w:t>】</w:t>
            </w:r>
          </w:p>
        </w:tc>
        <w:tc>
          <w:tcPr>
            <w:tcW w:w="6972" w:type="dxa"/>
            <w:tcBorders>
              <w:top w:val="single" w:color="auto" w:sz="4" w:space="0"/>
              <w:left w:val="single" w:color="auto" w:sz="4" w:space="0"/>
              <w:bottom w:val="single" w:color="auto" w:sz="4" w:space="0"/>
              <w:right w:val="single" w:color="auto" w:sz="4" w:space="0"/>
            </w:tcBorders>
            <w:shd w:val="clear" w:color="auto" w:fill="auto"/>
            <w:vAlign w:val="center"/>
          </w:tcPr>
          <w:p w14:paraId="0196A6CB">
            <w:pPr>
              <w:widowControl/>
              <w:jc w:val="left"/>
              <w:rPr>
                <w:rFonts w:hint="eastAsia" w:ascii="宋体" w:hAnsi="宋体"/>
                <w:color w:val="auto"/>
                <w:szCs w:val="24"/>
                <w:highlight w:val="none"/>
                <w:u w:val="none"/>
              </w:rPr>
            </w:pPr>
            <w:r>
              <w:rPr>
                <w:rFonts w:hint="eastAsia" w:ascii="仿宋" w:hAnsi="仿宋" w:eastAsia="仿宋" w:cs="宋体"/>
                <w:bCs/>
                <w:color w:val="000000" w:themeColor="text1"/>
                <w:kern w:val="0"/>
                <w:sz w:val="24"/>
                <w:highlight w:val="yellow"/>
                <w:lang w:eastAsia="zh-CN" w:bidi="ar"/>
                <w14:textFill>
                  <w14:solidFill>
                    <w14:schemeClr w14:val="tx1"/>
                  </w14:solidFill>
                </w14:textFill>
              </w:rPr>
              <w:t>【】</w:t>
            </w:r>
          </w:p>
        </w:tc>
      </w:tr>
      <w:tr w14:paraId="0EE6C274">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shd w:val="clear" w:color="auto" w:fill="auto"/>
            <w:vAlign w:val="center"/>
          </w:tcPr>
          <w:p w14:paraId="0514266E">
            <w:pPr>
              <w:widowControl/>
              <w:spacing w:line="400" w:lineRule="exact"/>
              <w:jc w:val="center"/>
              <w:textAlignment w:val="center"/>
              <w:rPr>
                <w:rFonts w:hint="eastAsia" w:ascii="仿宋_GB2312" w:hAnsi="等线" w:eastAsia="仿宋_GB2312" w:cs="仿宋_GB2312"/>
                <w:color w:val="000000" w:themeColor="text1"/>
                <w:kern w:val="2"/>
                <w:sz w:val="24"/>
                <w:szCs w:val="22"/>
                <w:lang w:val="en-US" w:eastAsia="zh-CN" w:bidi="ar-SA"/>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投资者范围</w:t>
            </w:r>
          </w:p>
        </w:tc>
        <w:tc>
          <w:tcPr>
            <w:tcW w:w="6972" w:type="dxa"/>
            <w:tcBorders>
              <w:top w:val="single" w:color="auto" w:sz="4" w:space="0"/>
              <w:left w:val="single" w:color="auto" w:sz="4" w:space="0"/>
              <w:bottom w:val="single" w:color="auto" w:sz="4" w:space="0"/>
              <w:right w:val="single" w:color="auto" w:sz="4" w:space="0"/>
            </w:tcBorders>
            <w:shd w:val="clear" w:color="auto" w:fill="auto"/>
            <w:vAlign w:val="center"/>
          </w:tcPr>
          <w:p w14:paraId="5C32CF15">
            <w:pPr>
              <w:snapToGrid w:val="0"/>
              <w:rPr>
                <w:rFonts w:ascii="宋体" w:hAnsi="宋体"/>
                <w:color w:val="auto"/>
                <w:szCs w:val="24"/>
                <w:highlight w:val="none"/>
                <w:u w:val="none"/>
              </w:rPr>
            </w:pPr>
            <w:r>
              <w:rPr>
                <w:rFonts w:hint="eastAsia" w:ascii="宋体" w:hAnsi="宋体"/>
                <w:color w:val="auto"/>
                <w:szCs w:val="24"/>
                <w:highlight w:val="none"/>
                <w:u w:val="none"/>
              </w:rPr>
              <w:t>不特定社会公众（个人、机构投资者）；其中，普通投资者应符合相关法律法规、监管规定，经销售机构评估评定投资者风险承受能力与本产品风险等级相适应。</w:t>
            </w:r>
          </w:p>
          <w:p w14:paraId="61615AFF">
            <w:pPr>
              <w:widowControl/>
              <w:spacing w:line="400" w:lineRule="exact"/>
              <w:jc w:val="left"/>
              <w:textAlignment w:val="center"/>
              <w:rPr>
                <w:rFonts w:hint="eastAsia" w:ascii="仿宋_GB2312" w:hAnsi="等线" w:eastAsia="仿宋_GB2312" w:cs="仿宋_GB2312"/>
                <w:bCs/>
                <w:color w:val="000000" w:themeColor="text1"/>
                <w:kern w:val="2"/>
                <w:sz w:val="24"/>
                <w:szCs w:val="22"/>
                <w:lang w:val="en-US" w:eastAsia="zh-CN" w:bidi="ar-SA"/>
                <w14:textFill>
                  <w14:solidFill>
                    <w14:schemeClr w14:val="tx1"/>
                  </w14:solidFill>
                </w14:textFill>
              </w:rPr>
            </w:pPr>
            <w:r>
              <w:rPr>
                <w:rFonts w:hint="eastAsia" w:ascii="宋体" w:hAnsi="宋体"/>
                <w:color w:val="auto"/>
                <w:szCs w:val="24"/>
                <w:highlight w:val="none"/>
                <w:u w:val="none"/>
              </w:rPr>
              <w:t>本产品通过销售机构销售的，产品风险等级应当以销售机构最终披露的评级结果为准。</w:t>
            </w:r>
          </w:p>
        </w:tc>
      </w:tr>
      <w:tr w14:paraId="6EE19E6F">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1A8A8BE">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销售对象</w:t>
            </w:r>
          </w:p>
        </w:tc>
        <w:tc>
          <w:tcPr>
            <w:tcW w:w="6972" w:type="dxa"/>
            <w:tcBorders>
              <w:top w:val="single" w:color="auto" w:sz="4" w:space="0"/>
              <w:left w:val="single" w:color="auto" w:sz="4" w:space="0"/>
              <w:bottom w:val="single" w:color="auto" w:sz="4" w:space="0"/>
              <w:right w:val="single" w:color="auto" w:sz="4" w:space="0"/>
            </w:tcBorders>
            <w:vAlign w:val="center"/>
          </w:tcPr>
          <w:p w14:paraId="5B094D06">
            <w:pPr>
              <w:widowControl/>
              <w:spacing w:line="400" w:lineRule="exact"/>
              <w:jc w:val="left"/>
              <w:textAlignment w:val="center"/>
              <w:rPr>
                <w:rFonts w:hint="eastAsia" w:ascii="宋体" w:hAnsi="宋体"/>
                <w:color w:val="auto"/>
                <w:szCs w:val="24"/>
                <w:highlight w:val="yellow"/>
                <w:u w:val="none"/>
              </w:rPr>
            </w:pPr>
            <w:r>
              <w:rPr>
                <w:rFonts w:hint="eastAsia" w:ascii="宋体" w:hAnsi="宋体"/>
                <w:color w:val="auto"/>
                <w:szCs w:val="24"/>
                <w:highlight w:val="yellow"/>
                <w:u w:val="none"/>
              </w:rPr>
              <w:t>【</w:t>
            </w:r>
          </w:p>
          <w:tbl>
            <w:tblPr>
              <w:tblStyle w:val="8"/>
              <w:tblW w:w="6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9"/>
              <w:gridCol w:w="2386"/>
              <w:gridCol w:w="2721"/>
            </w:tblGrid>
            <w:tr w14:paraId="587D6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9" w:type="dxa"/>
                </w:tcPr>
                <w:p w14:paraId="31531BA0">
                  <w:pPr>
                    <w:widowControl/>
                    <w:spacing w:line="400" w:lineRule="exact"/>
                    <w:jc w:val="center"/>
                    <w:textAlignment w:val="center"/>
                    <w:rPr>
                      <w:rFonts w:hint="eastAsia" w:eastAsia="仿宋_GB2312"/>
                      <w:vertAlign w:val="baseline"/>
                      <w:lang w:eastAsia="zh-CN"/>
                    </w:rPr>
                  </w:pPr>
                  <w:r>
                    <w:rPr>
                      <w:rFonts w:hint="eastAsia"/>
                      <w:vertAlign w:val="baseline"/>
                      <w:lang w:eastAsia="zh-CN"/>
                    </w:rPr>
                    <w:t>份额代码</w:t>
                  </w:r>
                </w:p>
              </w:tc>
              <w:tc>
                <w:tcPr>
                  <w:tcW w:w="2386" w:type="dxa"/>
                </w:tcPr>
                <w:p w14:paraId="414C95E8">
                  <w:pPr>
                    <w:widowControl/>
                    <w:spacing w:line="400" w:lineRule="exact"/>
                    <w:jc w:val="center"/>
                    <w:textAlignment w:val="center"/>
                    <w:rPr>
                      <w:rFonts w:hint="eastAsia" w:eastAsia="仿宋_GB2312"/>
                      <w:vertAlign w:val="baseline"/>
                      <w:lang w:eastAsia="zh-CN"/>
                    </w:rPr>
                  </w:pPr>
                  <w:r>
                    <w:rPr>
                      <w:rFonts w:hint="eastAsia"/>
                      <w:vertAlign w:val="baseline"/>
                      <w:lang w:eastAsia="zh-CN"/>
                    </w:rPr>
                    <w:t>销售对象</w:t>
                  </w:r>
                </w:p>
              </w:tc>
              <w:tc>
                <w:tcPr>
                  <w:tcW w:w="2721" w:type="dxa"/>
                </w:tcPr>
                <w:p w14:paraId="3B9A45FA">
                  <w:pPr>
                    <w:widowControl/>
                    <w:spacing w:line="400" w:lineRule="exact"/>
                    <w:jc w:val="center"/>
                    <w:textAlignment w:val="center"/>
                    <w:rPr>
                      <w:rFonts w:hint="eastAsia" w:eastAsia="仿宋_GB2312"/>
                      <w:vertAlign w:val="baseline"/>
                      <w:lang w:eastAsia="zh-CN"/>
                    </w:rPr>
                  </w:pPr>
                  <w:r>
                    <w:rPr>
                      <w:rFonts w:hint="eastAsia"/>
                      <w:vertAlign w:val="baseline"/>
                      <w:lang w:eastAsia="zh-CN"/>
                    </w:rPr>
                    <w:t>销售机构</w:t>
                  </w:r>
                </w:p>
              </w:tc>
            </w:tr>
            <w:tr w14:paraId="40F24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9" w:type="dxa"/>
                </w:tcPr>
                <w:p w14:paraId="20CBCA92">
                  <w:pPr>
                    <w:widowControl/>
                    <w:spacing w:line="400" w:lineRule="exact"/>
                    <w:jc w:val="center"/>
                    <w:textAlignment w:val="center"/>
                    <w:rPr>
                      <w:vertAlign w:val="baseline"/>
                    </w:rPr>
                  </w:pPr>
                </w:p>
              </w:tc>
              <w:tc>
                <w:tcPr>
                  <w:tcW w:w="2386" w:type="dxa"/>
                </w:tcPr>
                <w:p w14:paraId="3941E52B">
                  <w:pPr>
                    <w:widowControl/>
                    <w:spacing w:line="400" w:lineRule="exact"/>
                    <w:jc w:val="center"/>
                    <w:textAlignment w:val="center"/>
                    <w:rPr>
                      <w:rFonts w:hint="eastAsia" w:eastAsia="仿宋_GB2312"/>
                      <w:vertAlign w:val="baseline"/>
                      <w:lang w:eastAsia="zh-CN"/>
                    </w:rPr>
                  </w:pPr>
                </w:p>
              </w:tc>
              <w:tc>
                <w:tcPr>
                  <w:tcW w:w="2721" w:type="dxa"/>
                </w:tcPr>
                <w:p w14:paraId="6905F30C">
                  <w:pPr>
                    <w:widowControl/>
                    <w:spacing w:line="400" w:lineRule="exact"/>
                    <w:jc w:val="center"/>
                    <w:textAlignment w:val="center"/>
                    <w:rPr>
                      <w:vertAlign w:val="baseline"/>
                    </w:rPr>
                  </w:pPr>
                </w:p>
              </w:tc>
            </w:tr>
          </w:tbl>
          <w:p w14:paraId="25B094B8">
            <w:pPr>
              <w:widowControl/>
              <w:spacing w:line="400" w:lineRule="exact"/>
              <w:jc w:val="left"/>
              <w:textAlignment w:val="center"/>
              <w:rPr>
                <w:rFonts w:hint="eastAsia" w:ascii="宋体" w:hAnsi="宋体"/>
                <w:color w:val="auto"/>
                <w:sz w:val="24"/>
                <w:szCs w:val="24"/>
                <w:highlight w:val="none"/>
                <w:lang w:val="en-US" w:eastAsia="zh-CN"/>
              </w:rPr>
            </w:pPr>
            <w:r>
              <w:rPr>
                <w:rFonts w:hint="eastAsia" w:ascii="宋体" w:hAnsi="宋体"/>
                <w:color w:val="auto"/>
                <w:szCs w:val="24"/>
                <w:highlight w:val="yellow"/>
                <w:u w:val="none"/>
              </w:rPr>
              <w:t>】</w:t>
            </w:r>
          </w:p>
        </w:tc>
      </w:tr>
      <w:tr w14:paraId="0FD1434F">
        <w:tblPrEx>
          <w:tblCellMar>
            <w:top w:w="0" w:type="dxa"/>
            <w:left w:w="108" w:type="dxa"/>
            <w:bottom w:w="0" w:type="dxa"/>
            <w:right w:w="108" w:type="dxa"/>
          </w:tblCellMar>
        </w:tblPrEx>
        <w:trPr>
          <w:trHeight w:val="38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1198DB7B">
            <w:pPr>
              <w:widowControl/>
              <w:spacing w:line="400" w:lineRule="exact"/>
              <w:jc w:val="center"/>
              <w:textAlignment w:val="center"/>
              <w:rPr>
                <w:rFonts w:hint="eastAsia" w:ascii="楷体_GB2312" w:hAnsi="等线" w:eastAsia="楷体_GB2312" w:cs="楷体_GB2312"/>
                <w:b/>
                <w:bCs/>
                <w:color w:val="000000" w:themeColor="text1"/>
                <w:sz w:val="24"/>
                <w14:textFill>
                  <w14:solidFill>
                    <w14:schemeClr w14:val="tx1"/>
                  </w14:solidFill>
                </w14:textFill>
              </w:rPr>
            </w:pPr>
            <w:r>
              <w:rPr>
                <w:rFonts w:hint="eastAsia" w:ascii="楷体_GB2312" w:hAnsi="等线" w:eastAsia="楷体_GB2312" w:cs="楷体_GB2312"/>
                <w:b/>
                <w:bCs/>
                <w:color w:val="000000" w:themeColor="text1"/>
                <w:kern w:val="0"/>
                <w:sz w:val="24"/>
                <w:lang w:bidi="ar"/>
                <w14:textFill>
                  <w14:solidFill>
                    <w14:schemeClr w14:val="tx1"/>
                  </w14:solidFill>
                </w14:textFill>
              </w:rPr>
              <w:t>（二）交易规则</w:t>
            </w:r>
          </w:p>
        </w:tc>
      </w:tr>
      <w:tr w14:paraId="6C5FCCF1">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5743AE8">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募集币种</w:t>
            </w:r>
          </w:p>
        </w:tc>
        <w:tc>
          <w:tcPr>
            <w:tcW w:w="6972" w:type="dxa"/>
            <w:tcBorders>
              <w:top w:val="single" w:color="auto" w:sz="4" w:space="0"/>
              <w:left w:val="single" w:color="auto" w:sz="4" w:space="0"/>
              <w:bottom w:val="single" w:color="auto" w:sz="4" w:space="0"/>
              <w:right w:val="single" w:color="auto" w:sz="4" w:space="0"/>
            </w:tcBorders>
            <w:vAlign w:val="center"/>
          </w:tcPr>
          <w:p w14:paraId="29B6C79B">
            <w:pPr>
              <w:widowControl/>
              <w:spacing w:line="400" w:lineRule="exact"/>
              <w:jc w:val="left"/>
              <w:textAlignment w:val="center"/>
              <w:rPr>
                <w:rFonts w:hint="eastAsia" w:ascii="仿宋_GB2312" w:hAnsi="等线" w:eastAsia="仿宋_GB2312" w:cs="仿宋_GB2312"/>
                <w:bCs/>
                <w:color w:val="000000" w:themeColor="text1"/>
                <w:sz w:val="24"/>
                <w:lang w:eastAsia="zh-CN"/>
                <w14:textFill>
                  <w14:solidFill>
                    <w14:schemeClr w14:val="tx1"/>
                  </w14:solidFill>
                </w14:textFill>
              </w:rPr>
            </w:pPr>
            <w:r>
              <w:rPr>
                <w:rFonts w:hint="eastAsia" w:ascii="宋体" w:hAnsi="宋体"/>
                <w:color w:val="auto"/>
                <w:szCs w:val="24"/>
                <w:highlight w:val="yellow"/>
                <w:u w:val="none"/>
              </w:rPr>
              <w:t>【</w:t>
            </w:r>
            <w:r>
              <w:rPr>
                <w:rFonts w:hint="eastAsia" w:ascii="宋体" w:hAnsi="宋体" w:eastAsia="仿宋_GB2312" w:cstheme="minorBidi"/>
                <w:bCs w:val="0"/>
                <w:color w:val="auto"/>
                <w:kern w:val="2"/>
                <w:sz w:val="24"/>
                <w:szCs w:val="24"/>
                <w:highlight w:val="none"/>
                <w:u w:val="none"/>
                <w:lang w:eastAsia="zh-CN" w:bidi="ar"/>
              </w:rPr>
              <w:t>人民币</w:t>
            </w:r>
            <w:r>
              <w:rPr>
                <w:rFonts w:hint="eastAsia" w:ascii="宋体" w:hAnsi="宋体"/>
                <w:color w:val="auto"/>
                <w:szCs w:val="24"/>
                <w:highlight w:val="yellow"/>
                <w:u w:val="none"/>
              </w:rPr>
              <w:t>】</w:t>
            </w:r>
          </w:p>
        </w:tc>
      </w:tr>
      <w:tr w14:paraId="325E4A8B">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0734CAE">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起点销售金额</w:t>
            </w:r>
          </w:p>
        </w:tc>
        <w:tc>
          <w:tcPr>
            <w:tcW w:w="6972" w:type="dxa"/>
            <w:tcBorders>
              <w:top w:val="single" w:color="auto" w:sz="4" w:space="0"/>
              <w:left w:val="single" w:color="auto" w:sz="4" w:space="0"/>
              <w:bottom w:val="single" w:color="auto" w:sz="4" w:space="0"/>
              <w:right w:val="single" w:color="auto" w:sz="4" w:space="0"/>
            </w:tcBorders>
            <w:vAlign w:val="center"/>
          </w:tcPr>
          <w:p w14:paraId="60826AEC">
            <w:pPr>
              <w:widowControl/>
              <w:spacing w:line="400" w:lineRule="exact"/>
              <w:jc w:val="left"/>
              <w:textAlignment w:val="center"/>
              <w:rPr>
                <w:rFonts w:hint="default" w:ascii="宋体" w:hAnsi="宋体"/>
                <w:color w:val="auto"/>
                <w:szCs w:val="24"/>
                <w:highlight w:val="none"/>
                <w:u w:val="none"/>
                <w:lang w:val="en-US" w:eastAsia="zh-CN"/>
              </w:rPr>
            </w:pPr>
            <w:r>
              <w:rPr>
                <w:rFonts w:hint="eastAsia" w:ascii="宋体" w:hAnsi="宋体"/>
                <w:color w:val="auto"/>
                <w:szCs w:val="24"/>
                <w:highlight w:val="yellow"/>
                <w:u w:val="none"/>
              </w:rPr>
              <w:t>【</w:t>
            </w:r>
            <w:r>
              <w:rPr>
                <w:rFonts w:hint="eastAsia" w:ascii="宋体" w:hAnsi="宋体"/>
                <w:color w:val="auto"/>
                <w:szCs w:val="24"/>
                <w:highlight w:val="yellow"/>
                <w:u w:val="none"/>
                <w:lang w:eastAsia="zh-CN"/>
              </w:rPr>
              <w:t>份额代码</w:t>
            </w:r>
            <w:r>
              <w:rPr>
                <w:rFonts w:hint="eastAsia" w:ascii="宋体" w:hAnsi="宋体"/>
                <w:color w:val="auto"/>
                <w:szCs w:val="24"/>
                <w:highlight w:val="yellow"/>
                <w:u w:val="none"/>
              </w:rPr>
              <w:t>】</w:t>
            </w:r>
            <w:r>
              <w:rPr>
                <w:rFonts w:hint="eastAsia" w:ascii="宋体" w:hAnsi="宋体"/>
                <w:color w:val="auto"/>
                <w:szCs w:val="24"/>
                <w:highlight w:val="none"/>
                <w:u w:val="none"/>
                <w:lang w:val="en-US" w:eastAsia="zh-CN"/>
              </w:rPr>
              <w:t>：</w:t>
            </w:r>
            <w:r>
              <w:rPr>
                <w:rFonts w:hint="eastAsia" w:ascii="宋体" w:hAnsi="宋体"/>
                <w:color w:val="auto"/>
                <w:szCs w:val="24"/>
                <w:highlight w:val="yellow"/>
                <w:u w:val="none"/>
              </w:rPr>
              <w:t>【】</w:t>
            </w:r>
            <w:r>
              <w:rPr>
                <w:rFonts w:hint="eastAsia" w:ascii="宋体" w:hAnsi="宋体"/>
                <w:color w:val="auto"/>
                <w:szCs w:val="24"/>
                <w:highlight w:val="none"/>
                <w:u w:val="none"/>
                <w:lang w:val="en-US" w:eastAsia="zh-CN"/>
              </w:rPr>
              <w:t>元</w:t>
            </w:r>
          </w:p>
          <w:p w14:paraId="5E331846">
            <w:pPr>
              <w:widowControl/>
              <w:spacing w:line="400" w:lineRule="exact"/>
              <w:jc w:val="left"/>
              <w:textAlignment w:val="center"/>
              <w:rPr>
                <w:rFonts w:hint="default" w:ascii="宋体" w:hAnsi="宋体"/>
                <w:color w:val="auto"/>
                <w:szCs w:val="24"/>
                <w:highlight w:val="none"/>
                <w:u w:val="none"/>
                <w:lang w:val="en-US" w:eastAsia="zh-CN"/>
              </w:rPr>
            </w:pPr>
            <w:r>
              <w:rPr>
                <w:rFonts w:hint="eastAsia" w:ascii="宋体" w:hAnsi="宋体"/>
                <w:b/>
                <w:color w:val="auto"/>
                <w:szCs w:val="24"/>
                <w:highlight w:val="none"/>
                <w:u w:val="none"/>
              </w:rPr>
              <w:t>管理人有权以公告形式调整投资者起点</w:t>
            </w:r>
            <w:r>
              <w:rPr>
                <w:rFonts w:hint="eastAsia" w:ascii="宋体" w:hAnsi="宋体"/>
                <w:b/>
                <w:color w:val="auto"/>
                <w:szCs w:val="24"/>
                <w:highlight w:val="none"/>
                <w:u w:val="none"/>
                <w:lang w:eastAsia="zh-CN"/>
              </w:rPr>
              <w:t>销售</w:t>
            </w:r>
            <w:r>
              <w:rPr>
                <w:rFonts w:hint="eastAsia" w:ascii="宋体" w:hAnsi="宋体"/>
                <w:b/>
                <w:color w:val="auto"/>
                <w:szCs w:val="24"/>
                <w:highlight w:val="none"/>
                <w:u w:val="none"/>
              </w:rPr>
              <w:t>金额。销售机构的认购、申购起点</w:t>
            </w:r>
            <w:r>
              <w:rPr>
                <w:rFonts w:hint="eastAsia" w:ascii="宋体" w:hAnsi="宋体"/>
                <w:b/>
                <w:color w:val="auto"/>
                <w:szCs w:val="24"/>
                <w:highlight w:val="none"/>
                <w:u w:val="none"/>
                <w:lang w:eastAsia="zh-CN"/>
              </w:rPr>
              <w:t>销售</w:t>
            </w:r>
            <w:r>
              <w:rPr>
                <w:rFonts w:hint="eastAsia" w:ascii="宋体" w:hAnsi="宋体"/>
                <w:b/>
                <w:color w:val="auto"/>
                <w:szCs w:val="24"/>
                <w:highlight w:val="none"/>
                <w:u w:val="none"/>
              </w:rPr>
              <w:t>金额可能</w:t>
            </w:r>
            <w:r>
              <w:rPr>
                <w:rFonts w:ascii="宋体" w:hAnsi="宋体"/>
                <w:b/>
                <w:color w:val="auto"/>
                <w:szCs w:val="24"/>
                <w:highlight w:val="none"/>
                <w:u w:val="none"/>
              </w:rPr>
              <w:t>与本</w:t>
            </w:r>
            <w:r>
              <w:rPr>
                <w:rFonts w:hint="eastAsia" w:ascii="宋体" w:hAnsi="宋体"/>
                <w:b/>
                <w:color w:val="auto"/>
                <w:szCs w:val="24"/>
                <w:highlight w:val="none"/>
                <w:u w:val="none"/>
              </w:rPr>
              <w:t>产品</w:t>
            </w:r>
            <w:r>
              <w:rPr>
                <w:rFonts w:ascii="宋体" w:hAnsi="宋体"/>
                <w:b/>
                <w:color w:val="auto"/>
                <w:szCs w:val="24"/>
                <w:highlight w:val="none"/>
                <w:u w:val="none"/>
              </w:rPr>
              <w:t>说明书</w:t>
            </w:r>
            <w:r>
              <w:rPr>
                <w:rFonts w:hint="eastAsia" w:ascii="宋体" w:hAnsi="宋体"/>
                <w:b/>
                <w:color w:val="auto"/>
                <w:szCs w:val="24"/>
                <w:highlight w:val="none"/>
                <w:u w:val="none"/>
              </w:rPr>
              <w:t>不一致</w:t>
            </w:r>
            <w:r>
              <w:rPr>
                <w:rFonts w:ascii="宋体" w:hAnsi="宋体"/>
                <w:b/>
                <w:color w:val="auto"/>
                <w:szCs w:val="24"/>
                <w:highlight w:val="none"/>
                <w:u w:val="none"/>
              </w:rPr>
              <w:t>，</w:t>
            </w:r>
            <w:r>
              <w:rPr>
                <w:rFonts w:hint="eastAsia" w:ascii="宋体" w:hAnsi="宋体"/>
                <w:b/>
                <w:color w:val="auto"/>
                <w:szCs w:val="24"/>
                <w:highlight w:val="none"/>
                <w:u w:val="none"/>
              </w:rPr>
              <w:t>通过销售机构认购、申购</w:t>
            </w:r>
            <w:r>
              <w:rPr>
                <w:rFonts w:ascii="宋体" w:hAnsi="宋体"/>
                <w:b/>
                <w:color w:val="auto"/>
                <w:szCs w:val="24"/>
                <w:highlight w:val="none"/>
                <w:u w:val="none"/>
              </w:rPr>
              <w:t>的</w:t>
            </w:r>
            <w:r>
              <w:rPr>
                <w:rFonts w:hint="eastAsia" w:ascii="宋体" w:hAnsi="宋体"/>
                <w:b/>
                <w:color w:val="auto"/>
                <w:szCs w:val="24"/>
                <w:highlight w:val="none"/>
                <w:u w:val="none"/>
              </w:rPr>
              <w:t>具体以销售机构展示为准。销售机构的实际起点销售金额，不得低于本产品说明书约定的起点销售金额。</w:t>
            </w:r>
          </w:p>
        </w:tc>
      </w:tr>
      <w:tr w14:paraId="29325BE7">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77099DD">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追加递增金额</w:t>
            </w:r>
          </w:p>
        </w:tc>
        <w:tc>
          <w:tcPr>
            <w:tcW w:w="6972" w:type="dxa"/>
            <w:tcBorders>
              <w:top w:val="single" w:color="auto" w:sz="4" w:space="0"/>
              <w:left w:val="single" w:color="auto" w:sz="4" w:space="0"/>
              <w:bottom w:val="single" w:color="auto" w:sz="4" w:space="0"/>
              <w:right w:val="single" w:color="auto" w:sz="4" w:space="0"/>
            </w:tcBorders>
            <w:vAlign w:val="center"/>
          </w:tcPr>
          <w:p w14:paraId="67FC6093">
            <w:pPr>
              <w:widowControl/>
              <w:spacing w:line="400" w:lineRule="exact"/>
              <w:jc w:val="left"/>
              <w:textAlignment w:val="center"/>
              <w:rPr>
                <w:rFonts w:hint="eastAsia" w:ascii="仿宋_GB2312" w:hAnsi="等线" w:eastAsia="仿宋_GB2312" w:cs="仿宋_GB2312"/>
                <w:bCs/>
                <w:color w:val="000000" w:themeColor="text1"/>
                <w:sz w:val="24"/>
                <w:lang w:eastAsia="zh-CN"/>
                <w14:textFill>
                  <w14:solidFill>
                    <w14:schemeClr w14:val="tx1"/>
                  </w14:solidFill>
                </w14:textFill>
              </w:rPr>
            </w:pPr>
            <w:r>
              <w:rPr>
                <w:rFonts w:hint="eastAsia" w:ascii="宋体" w:hAnsi="宋体"/>
                <w:color w:val="auto"/>
                <w:szCs w:val="24"/>
                <w:highlight w:val="yellow"/>
                <w:u w:val="none"/>
              </w:rPr>
              <w:t>【</w:t>
            </w:r>
            <w:r>
              <w:rPr>
                <w:rFonts w:hint="eastAsia" w:ascii="宋体" w:hAnsi="宋体"/>
                <w:color w:val="auto"/>
                <w:szCs w:val="24"/>
                <w:highlight w:val="yellow"/>
                <w:u w:val="none"/>
                <w:lang w:eastAsia="zh-CN"/>
              </w:rPr>
              <w:t>份额代码</w:t>
            </w:r>
            <w:r>
              <w:rPr>
                <w:rFonts w:hint="eastAsia" w:ascii="宋体" w:hAnsi="宋体"/>
                <w:color w:val="auto"/>
                <w:szCs w:val="24"/>
                <w:highlight w:val="yellow"/>
                <w:u w:val="none"/>
              </w:rPr>
              <w:t>】</w:t>
            </w:r>
            <w:r>
              <w:rPr>
                <w:rFonts w:hint="eastAsia" w:ascii="宋体" w:hAnsi="宋体"/>
                <w:color w:val="auto"/>
                <w:szCs w:val="24"/>
                <w:highlight w:val="none"/>
                <w:u w:val="none"/>
                <w:lang w:val="en-US" w:eastAsia="zh-CN"/>
              </w:rPr>
              <w:t>：</w:t>
            </w:r>
            <w:r>
              <w:rPr>
                <w:rFonts w:hint="eastAsia" w:ascii="宋体" w:hAnsi="宋体"/>
                <w:color w:val="auto"/>
                <w:szCs w:val="24"/>
                <w:highlight w:val="yellow"/>
                <w:u w:val="none"/>
              </w:rPr>
              <w:t>【】</w:t>
            </w:r>
            <w:r>
              <w:rPr>
                <w:rFonts w:hint="eastAsia" w:ascii="宋体" w:hAnsi="宋体"/>
                <w:color w:val="auto"/>
                <w:szCs w:val="24"/>
                <w:highlight w:val="none"/>
                <w:u w:val="none"/>
                <w:lang w:val="en-US" w:eastAsia="zh-CN"/>
              </w:rPr>
              <w:t>元</w:t>
            </w:r>
          </w:p>
        </w:tc>
      </w:tr>
      <w:tr w14:paraId="455368AD">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DBEA680">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计划募集金额</w:t>
            </w:r>
          </w:p>
        </w:tc>
        <w:tc>
          <w:tcPr>
            <w:tcW w:w="6972" w:type="dxa"/>
            <w:tcBorders>
              <w:top w:val="single" w:color="auto" w:sz="4" w:space="0"/>
              <w:left w:val="single" w:color="auto" w:sz="4" w:space="0"/>
              <w:bottom w:val="single" w:color="auto" w:sz="4" w:space="0"/>
              <w:right w:val="single" w:color="auto" w:sz="4" w:space="0"/>
            </w:tcBorders>
            <w:vAlign w:val="center"/>
          </w:tcPr>
          <w:p w14:paraId="33D377CE">
            <w:pPr>
              <w:widowControl/>
              <w:spacing w:line="400" w:lineRule="exact"/>
              <w:jc w:val="left"/>
              <w:textAlignment w:val="center"/>
              <w:rPr>
                <w:rFonts w:hint="eastAsia" w:ascii="宋体" w:hAnsi="宋体"/>
                <w:color w:val="auto"/>
                <w:szCs w:val="24"/>
                <w:highlight w:val="none"/>
                <w:u w:val="none"/>
                <w:lang w:val="en-US" w:eastAsia="zh-CN"/>
              </w:rPr>
            </w:pPr>
            <w:r>
              <w:rPr>
                <w:rFonts w:hint="eastAsia" w:ascii="宋体" w:hAnsi="宋体"/>
                <w:color w:val="auto"/>
                <w:szCs w:val="24"/>
                <w:highlight w:val="yellow"/>
                <w:u w:val="none"/>
              </w:rPr>
              <w:t>【</w:t>
            </w:r>
            <w:r>
              <w:rPr>
                <w:rFonts w:hint="eastAsia" w:ascii="宋体" w:hAnsi="宋体"/>
                <w:color w:val="auto"/>
                <w:szCs w:val="24"/>
                <w:highlight w:val="yellow"/>
                <w:u w:val="none"/>
                <w:lang w:val="en-US" w:eastAsia="zh-CN"/>
              </w:rPr>
              <w:t>亿</w:t>
            </w:r>
            <w:r>
              <w:rPr>
                <w:rFonts w:hint="eastAsia" w:ascii="宋体" w:hAnsi="宋体"/>
                <w:color w:val="auto"/>
                <w:szCs w:val="24"/>
                <w:highlight w:val="yellow"/>
                <w:u w:val="none"/>
              </w:rPr>
              <w:t>】</w:t>
            </w:r>
            <w:r>
              <w:rPr>
                <w:rFonts w:hint="eastAsia" w:ascii="宋体" w:hAnsi="宋体"/>
                <w:color w:val="auto"/>
                <w:szCs w:val="24"/>
                <w:highlight w:val="none"/>
                <w:u w:val="none"/>
                <w:lang w:val="en-US" w:eastAsia="zh-CN"/>
              </w:rPr>
              <w:t>元。</w:t>
            </w:r>
          </w:p>
          <w:p w14:paraId="1B1F1A26">
            <w:pPr>
              <w:widowControl/>
              <w:spacing w:line="400" w:lineRule="exact"/>
              <w:jc w:val="left"/>
              <w:textAlignment w:val="center"/>
              <w:rPr>
                <w:rFonts w:hint="eastAsia" w:ascii="宋体" w:hAnsi="宋体"/>
                <w:color w:val="auto"/>
                <w:szCs w:val="24"/>
                <w:highlight w:val="none"/>
                <w:u w:val="none"/>
                <w:lang w:val="en-US" w:eastAsia="zh-CN"/>
              </w:rPr>
            </w:pPr>
            <w:r>
              <w:rPr>
                <w:rFonts w:hint="eastAsia"/>
                <w:b/>
                <w:bCs/>
                <w:color w:val="auto"/>
                <w:szCs w:val="24"/>
                <w:highlight w:val="none"/>
                <w:u w:val="none"/>
              </w:rPr>
              <w:t>管理人有权根据实际需要调整</w:t>
            </w:r>
            <w:r>
              <w:rPr>
                <w:rFonts w:hint="eastAsia"/>
                <w:b/>
                <w:bCs/>
                <w:color w:val="auto"/>
                <w:szCs w:val="24"/>
                <w:highlight w:val="none"/>
                <w:u w:val="none"/>
                <w:lang w:eastAsia="zh-CN"/>
              </w:rPr>
              <w:t>计划募集金额</w:t>
            </w:r>
            <w:r>
              <w:rPr>
                <w:rFonts w:hint="eastAsia"/>
                <w:b/>
                <w:bCs/>
                <w:color w:val="auto"/>
                <w:szCs w:val="24"/>
                <w:highlight w:val="none"/>
                <w:u w:val="none"/>
              </w:rPr>
              <w:t>上限。</w:t>
            </w:r>
          </w:p>
        </w:tc>
      </w:tr>
      <w:tr w14:paraId="08330E38">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6952FB36">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color w:val="auto"/>
                <w:szCs w:val="24"/>
                <w:highlight w:val="none"/>
                <w:u w:val="none"/>
              </w:rPr>
              <w:t>产品最低成立规模</w:t>
            </w:r>
          </w:p>
        </w:tc>
        <w:tc>
          <w:tcPr>
            <w:tcW w:w="6972" w:type="dxa"/>
            <w:tcBorders>
              <w:top w:val="single" w:color="auto" w:sz="4" w:space="0"/>
              <w:left w:val="single" w:color="auto" w:sz="4" w:space="0"/>
              <w:bottom w:val="single" w:color="auto" w:sz="4" w:space="0"/>
              <w:right w:val="single" w:color="auto" w:sz="4" w:space="0"/>
            </w:tcBorders>
            <w:vAlign w:val="center"/>
          </w:tcPr>
          <w:p w14:paraId="1D1D73E9">
            <w:pPr>
              <w:widowControl/>
              <w:jc w:val="left"/>
              <w:rPr>
                <w:rFonts w:ascii="宋体" w:hAnsi="宋体"/>
                <w:bCs/>
                <w:color w:val="auto"/>
                <w:szCs w:val="24"/>
                <w:highlight w:val="none"/>
                <w:u w:val="none"/>
              </w:rPr>
            </w:pPr>
            <w:r>
              <w:rPr>
                <w:rFonts w:hint="eastAsia" w:ascii="宋体" w:hAnsi="宋体"/>
                <w:color w:val="auto"/>
                <w:szCs w:val="24"/>
                <w:highlight w:val="yellow"/>
                <w:u w:val="none"/>
              </w:rPr>
              <w:t>【】</w:t>
            </w:r>
            <w:r>
              <w:rPr>
                <w:rFonts w:hint="eastAsia" w:ascii="宋体" w:hAnsi="宋体"/>
                <w:bCs/>
                <w:color w:val="auto"/>
                <w:szCs w:val="24"/>
                <w:highlight w:val="none"/>
                <w:u w:val="none"/>
              </w:rPr>
              <w:t>亿元。</w:t>
            </w:r>
          </w:p>
          <w:p w14:paraId="328E59DB">
            <w:pPr>
              <w:widowControl/>
              <w:jc w:val="left"/>
              <w:rPr>
                <w:rFonts w:hint="eastAsia"/>
                <w:b/>
                <w:bCs/>
                <w:color w:val="auto"/>
                <w:szCs w:val="24"/>
                <w:highlight w:val="none"/>
                <w:u w:val="none"/>
              </w:rPr>
            </w:pPr>
            <w:r>
              <w:rPr>
                <w:rFonts w:hint="eastAsia"/>
                <w:color w:val="auto"/>
                <w:szCs w:val="24"/>
                <w:highlight w:val="none"/>
                <w:u w:val="none"/>
              </w:rPr>
              <w:t>若认购金额不足</w:t>
            </w:r>
            <w:r>
              <w:rPr>
                <w:rFonts w:hint="eastAsia" w:ascii="宋体" w:hAnsi="宋体"/>
                <w:color w:val="auto"/>
                <w:szCs w:val="24"/>
                <w:highlight w:val="yellow"/>
                <w:u w:val="none"/>
              </w:rPr>
              <w:t>【】</w:t>
            </w:r>
            <w:r>
              <w:rPr>
                <w:rFonts w:hint="eastAsia" w:ascii="宋体" w:hAnsi="宋体"/>
                <w:bCs/>
                <w:color w:val="auto"/>
                <w:szCs w:val="24"/>
                <w:highlight w:val="none"/>
                <w:u w:val="none"/>
              </w:rPr>
              <w:t>亿元</w:t>
            </w:r>
            <w:r>
              <w:rPr>
                <w:rFonts w:hint="eastAsia"/>
                <w:color w:val="auto"/>
                <w:szCs w:val="24"/>
                <w:highlight w:val="none"/>
                <w:u w:val="none"/>
              </w:rPr>
              <w:t>，</w:t>
            </w:r>
            <w:r>
              <w:rPr>
                <w:rFonts w:hint="eastAsia"/>
                <w:b/>
                <w:bCs/>
                <w:color w:val="auto"/>
                <w:szCs w:val="24"/>
                <w:highlight w:val="none"/>
                <w:u w:val="none"/>
              </w:rPr>
              <w:t>管理人有权宣布理财产品不成立，亦有权调整</w:t>
            </w:r>
            <w:r>
              <w:rPr>
                <w:rFonts w:hint="eastAsia" w:ascii="宋体" w:hAnsi="宋体"/>
                <w:b/>
                <w:bCs/>
                <w:color w:val="auto"/>
                <w:szCs w:val="24"/>
                <w:highlight w:val="none"/>
                <w:u w:val="none"/>
              </w:rPr>
              <w:t>产品最低成立规模，具体以管理人公告为准</w:t>
            </w:r>
            <w:r>
              <w:rPr>
                <w:rFonts w:hint="eastAsia"/>
                <w:color w:val="auto"/>
                <w:szCs w:val="24"/>
                <w:highlight w:val="none"/>
                <w:u w:val="none"/>
              </w:rPr>
              <w:t>。</w:t>
            </w:r>
          </w:p>
        </w:tc>
      </w:tr>
      <w:tr w14:paraId="5D55ACFF">
        <w:tblPrEx>
          <w:tblCellMar>
            <w:top w:w="0" w:type="dxa"/>
            <w:left w:w="108" w:type="dxa"/>
            <w:bottom w:w="0" w:type="dxa"/>
            <w:right w:w="108" w:type="dxa"/>
          </w:tblCellMar>
        </w:tblPrEx>
        <w:trPr>
          <w:trHeight w:val="1280" w:hRule="atLeast"/>
        </w:trPr>
        <w:tc>
          <w:tcPr>
            <w:tcW w:w="2453" w:type="dxa"/>
            <w:tcBorders>
              <w:top w:val="single" w:color="auto" w:sz="4" w:space="0"/>
              <w:left w:val="single" w:color="auto" w:sz="4" w:space="0"/>
              <w:bottom w:val="single" w:color="auto" w:sz="4" w:space="0"/>
              <w:right w:val="single" w:color="auto" w:sz="4" w:space="0"/>
            </w:tcBorders>
            <w:vAlign w:val="center"/>
          </w:tcPr>
          <w:p w14:paraId="3A45D223">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认购、申购、赎回安排</w:t>
            </w:r>
          </w:p>
        </w:tc>
        <w:tc>
          <w:tcPr>
            <w:tcW w:w="6972" w:type="dxa"/>
            <w:tcBorders>
              <w:top w:val="single" w:color="auto" w:sz="4" w:space="0"/>
              <w:left w:val="single" w:color="auto" w:sz="4" w:space="0"/>
              <w:bottom w:val="single" w:color="auto" w:sz="4" w:space="0"/>
              <w:right w:val="single" w:color="auto" w:sz="4" w:space="0"/>
            </w:tcBorders>
            <w:vAlign w:val="center"/>
          </w:tcPr>
          <w:p w14:paraId="776B4921">
            <w:pPr>
              <w:snapToGrid w:val="0"/>
              <w:rPr>
                <w:rFonts w:ascii="宋体" w:hAnsi="宋体"/>
                <w:szCs w:val="24"/>
              </w:rPr>
            </w:pPr>
            <w:r>
              <w:rPr>
                <w:rFonts w:hint="eastAsia" w:ascii="仿宋_GB2312" w:hAnsi="宋体" w:cs="宋体"/>
                <w:bCs/>
                <w:color w:val="auto"/>
                <w:kern w:val="0"/>
                <w:szCs w:val="24"/>
                <w:highlight w:val="yellow"/>
                <w:lang w:val="en-US" w:eastAsia="zh-CN"/>
              </w:rPr>
              <w:t>【</w:t>
            </w:r>
            <w:r>
              <w:rPr>
                <w:rFonts w:hint="eastAsia" w:ascii="仿宋_GB2312" w:hAnsi="宋体" w:cs="宋体"/>
                <w:bCs/>
                <w:color w:val="auto"/>
                <w:kern w:val="0"/>
                <w:szCs w:val="24"/>
                <w:highlight w:val="none"/>
                <w:lang w:val="en-US" w:eastAsia="zh-CN"/>
              </w:rPr>
              <w:t>1.产品募集期为募集起始日期至募集结束日期，</w:t>
            </w:r>
            <w:r>
              <w:rPr>
                <w:rFonts w:hint="eastAsia" w:ascii="仿宋_GB2312" w:hAnsi="宋体" w:cs="宋体"/>
                <w:bCs/>
                <w:color w:val="auto"/>
                <w:kern w:val="0"/>
                <w:szCs w:val="24"/>
                <w:highlight w:val="none"/>
              </w:rPr>
              <w:t>产品募集期内，投资者可多次对本产品认购、追加、</w:t>
            </w:r>
            <w:r>
              <w:rPr>
                <w:rFonts w:hint="eastAsia"/>
                <w:color w:val="auto"/>
                <w:highlight w:val="none"/>
              </w:rPr>
              <w:t>撤单</w:t>
            </w:r>
            <w:r>
              <w:rPr>
                <w:rFonts w:hint="eastAsia" w:ascii="仿宋_GB2312" w:hAnsi="宋体" w:cs="宋体"/>
                <w:bCs/>
                <w:color w:val="auto"/>
                <w:kern w:val="0"/>
                <w:szCs w:val="24"/>
                <w:highlight w:val="none"/>
              </w:rPr>
              <w:t>。</w:t>
            </w:r>
          </w:p>
          <w:p w14:paraId="1273FD46">
            <w:pPr>
              <w:snapToGrid w:val="0"/>
              <w:rPr>
                <w:rFonts w:ascii="宋体" w:hAnsi="宋体"/>
                <w:szCs w:val="24"/>
              </w:rPr>
            </w:pPr>
            <w:r>
              <w:rPr>
                <w:rFonts w:hint="eastAsia" w:ascii="宋体" w:hAnsi="宋体"/>
                <w:szCs w:val="24"/>
                <w:lang w:val="en-US" w:eastAsia="zh-CN"/>
              </w:rPr>
              <w:t>2</w:t>
            </w:r>
            <w:r>
              <w:rPr>
                <w:rFonts w:ascii="宋体" w:hAnsi="宋体"/>
                <w:szCs w:val="24"/>
              </w:rPr>
              <w:t>.</w:t>
            </w:r>
            <w:r>
              <w:rPr>
                <w:rFonts w:hint="eastAsia" w:ascii="宋体" w:hAnsi="宋体"/>
                <w:szCs w:val="24"/>
              </w:rPr>
              <w:t>本产品的封闭期</w:t>
            </w:r>
          </w:p>
          <w:p w14:paraId="3328FA05">
            <w:pPr>
              <w:snapToGrid w:val="0"/>
              <w:rPr>
                <w:rFonts w:hint="eastAsia" w:ascii="宋体" w:hAnsi="宋体"/>
                <w:szCs w:val="24"/>
                <w:highlight w:val="none"/>
              </w:rPr>
            </w:pPr>
            <w:r>
              <w:rPr>
                <w:rFonts w:hint="eastAsia" w:ascii="宋体" w:hAnsi="宋体"/>
                <w:szCs w:val="24"/>
              </w:rPr>
              <w:t>本产品成立后，产品封闭</w:t>
            </w:r>
            <w:r>
              <w:rPr>
                <w:rFonts w:hint="eastAsia" w:ascii="宋体" w:hAnsi="宋体"/>
                <w:szCs w:val="24"/>
                <w:highlight w:val="none"/>
              </w:rPr>
              <w:t>期为</w:t>
            </w:r>
            <w:r>
              <w:rPr>
                <w:rFonts w:hint="eastAsia" w:ascii="宋体" w:hAnsi="宋体"/>
                <w:szCs w:val="24"/>
                <w:highlight w:val="yellow"/>
                <w:lang w:eastAsia="zh-CN"/>
              </w:rPr>
              <w:t>【</w:t>
            </w:r>
            <w:r>
              <w:rPr>
                <w:rFonts w:hint="eastAsia" w:ascii="宋体" w:hAnsi="宋体"/>
                <w:szCs w:val="24"/>
                <w:highlight w:val="none"/>
                <w:lang w:val="en-US" w:eastAsia="zh-CN"/>
              </w:rPr>
              <w:t xml:space="preserve"> </w:t>
            </w:r>
            <w:r>
              <w:rPr>
                <w:rFonts w:hint="eastAsia" w:ascii="宋体" w:hAnsi="宋体"/>
                <w:szCs w:val="24"/>
                <w:highlight w:val="yellow"/>
                <w:lang w:eastAsia="zh-CN"/>
              </w:rPr>
              <w:t>】</w:t>
            </w:r>
            <w:r>
              <w:rPr>
                <w:rFonts w:hint="eastAsia" w:ascii="宋体" w:hAnsi="宋体"/>
                <w:szCs w:val="24"/>
                <w:highlight w:val="none"/>
              </w:rPr>
              <w:t>年</w:t>
            </w:r>
            <w:r>
              <w:rPr>
                <w:rFonts w:hint="eastAsia" w:ascii="宋体" w:hAnsi="宋体"/>
                <w:szCs w:val="24"/>
                <w:highlight w:val="yellow"/>
                <w:lang w:eastAsia="zh-CN"/>
              </w:rPr>
              <w:t>【</w:t>
            </w:r>
            <w:r>
              <w:rPr>
                <w:rFonts w:hint="eastAsia" w:ascii="宋体" w:hAnsi="宋体"/>
                <w:szCs w:val="24"/>
                <w:highlight w:val="none"/>
                <w:lang w:val="en-US" w:eastAsia="zh-CN"/>
              </w:rPr>
              <w:t xml:space="preserve"> </w:t>
            </w:r>
            <w:r>
              <w:rPr>
                <w:rFonts w:hint="eastAsia" w:ascii="宋体" w:hAnsi="宋体"/>
                <w:szCs w:val="24"/>
                <w:highlight w:val="yellow"/>
                <w:lang w:eastAsia="zh-CN"/>
              </w:rPr>
              <w:t>】</w:t>
            </w:r>
            <w:r>
              <w:rPr>
                <w:rFonts w:hint="eastAsia" w:ascii="宋体" w:hAnsi="宋体"/>
                <w:szCs w:val="24"/>
                <w:highlight w:val="none"/>
              </w:rPr>
              <w:t>月</w:t>
            </w:r>
            <w:r>
              <w:rPr>
                <w:rFonts w:hint="eastAsia" w:ascii="宋体" w:hAnsi="宋体"/>
                <w:szCs w:val="24"/>
                <w:highlight w:val="yellow"/>
                <w:lang w:eastAsia="zh-CN"/>
              </w:rPr>
              <w:t>【</w:t>
            </w:r>
            <w:r>
              <w:rPr>
                <w:rFonts w:hint="eastAsia" w:ascii="宋体" w:hAnsi="宋体"/>
                <w:szCs w:val="24"/>
                <w:highlight w:val="none"/>
                <w:lang w:val="en-US" w:eastAsia="zh-CN"/>
              </w:rPr>
              <w:t xml:space="preserve"> </w:t>
            </w:r>
            <w:r>
              <w:rPr>
                <w:rFonts w:hint="eastAsia" w:ascii="宋体" w:hAnsi="宋体"/>
                <w:szCs w:val="24"/>
                <w:highlight w:val="yellow"/>
                <w:lang w:eastAsia="zh-CN"/>
              </w:rPr>
              <w:t>】</w:t>
            </w:r>
            <w:r>
              <w:rPr>
                <w:rFonts w:hint="eastAsia" w:ascii="宋体" w:hAnsi="宋体"/>
                <w:szCs w:val="24"/>
                <w:highlight w:val="none"/>
              </w:rPr>
              <w:t>日至</w:t>
            </w:r>
            <w:r>
              <w:rPr>
                <w:rFonts w:hint="eastAsia" w:ascii="宋体" w:hAnsi="宋体"/>
                <w:szCs w:val="24"/>
                <w:highlight w:val="yellow"/>
                <w:lang w:eastAsia="zh-CN"/>
              </w:rPr>
              <w:t>【</w:t>
            </w:r>
            <w:r>
              <w:rPr>
                <w:rFonts w:hint="eastAsia" w:ascii="宋体" w:hAnsi="宋体"/>
                <w:szCs w:val="24"/>
                <w:highlight w:val="none"/>
                <w:lang w:val="en-US" w:eastAsia="zh-CN"/>
              </w:rPr>
              <w:t xml:space="preserve"> </w:t>
            </w:r>
            <w:r>
              <w:rPr>
                <w:rFonts w:hint="eastAsia" w:ascii="宋体" w:hAnsi="宋体"/>
                <w:szCs w:val="24"/>
                <w:highlight w:val="yellow"/>
                <w:lang w:eastAsia="zh-CN"/>
              </w:rPr>
              <w:t>】</w:t>
            </w:r>
            <w:r>
              <w:rPr>
                <w:rFonts w:hint="eastAsia" w:ascii="宋体" w:hAnsi="宋体"/>
                <w:szCs w:val="24"/>
                <w:highlight w:val="none"/>
              </w:rPr>
              <w:t>年</w:t>
            </w:r>
            <w:r>
              <w:rPr>
                <w:rFonts w:hint="eastAsia" w:ascii="宋体" w:hAnsi="宋体"/>
                <w:szCs w:val="24"/>
                <w:highlight w:val="yellow"/>
                <w:lang w:eastAsia="zh-CN"/>
              </w:rPr>
              <w:t>【</w:t>
            </w:r>
            <w:r>
              <w:rPr>
                <w:rFonts w:hint="eastAsia" w:ascii="宋体" w:hAnsi="宋体"/>
                <w:szCs w:val="24"/>
                <w:highlight w:val="none"/>
                <w:lang w:val="en-US" w:eastAsia="zh-CN"/>
              </w:rPr>
              <w:t xml:space="preserve"> </w:t>
            </w:r>
            <w:r>
              <w:rPr>
                <w:rFonts w:hint="eastAsia" w:ascii="宋体" w:hAnsi="宋体"/>
                <w:szCs w:val="24"/>
                <w:highlight w:val="yellow"/>
                <w:lang w:eastAsia="zh-CN"/>
              </w:rPr>
              <w:t>】</w:t>
            </w:r>
            <w:r>
              <w:rPr>
                <w:rFonts w:hint="eastAsia" w:ascii="宋体" w:hAnsi="宋体"/>
                <w:szCs w:val="24"/>
                <w:highlight w:val="none"/>
              </w:rPr>
              <w:t>月</w:t>
            </w:r>
            <w:r>
              <w:rPr>
                <w:rFonts w:hint="eastAsia" w:ascii="宋体" w:hAnsi="宋体"/>
                <w:szCs w:val="24"/>
                <w:highlight w:val="yellow"/>
                <w:lang w:eastAsia="zh-CN"/>
              </w:rPr>
              <w:t>【</w:t>
            </w:r>
            <w:r>
              <w:rPr>
                <w:rFonts w:hint="eastAsia" w:ascii="宋体" w:hAnsi="宋体"/>
                <w:szCs w:val="24"/>
                <w:highlight w:val="none"/>
                <w:lang w:val="en-US" w:eastAsia="zh-CN"/>
              </w:rPr>
              <w:t xml:space="preserve"> </w:t>
            </w:r>
            <w:r>
              <w:rPr>
                <w:rFonts w:hint="eastAsia" w:ascii="宋体" w:hAnsi="宋体"/>
                <w:szCs w:val="24"/>
                <w:highlight w:val="yellow"/>
                <w:lang w:eastAsia="zh-CN"/>
              </w:rPr>
              <w:t>】</w:t>
            </w:r>
            <w:r>
              <w:rPr>
                <w:rFonts w:hint="eastAsia" w:ascii="宋体" w:hAnsi="宋体"/>
                <w:szCs w:val="24"/>
                <w:highlight w:val="none"/>
              </w:rPr>
              <w:t>日，封闭期内不接受申购或赎回申请。</w:t>
            </w:r>
          </w:p>
          <w:p w14:paraId="1A5B12EE">
            <w:pPr>
              <w:snapToGrid w:val="0"/>
              <w:rPr>
                <w:rFonts w:ascii="宋体" w:hAnsi="宋体"/>
                <w:szCs w:val="24"/>
              </w:rPr>
            </w:pPr>
            <w:r>
              <w:rPr>
                <w:rFonts w:hint="eastAsia" w:ascii="宋体" w:hAnsi="宋体"/>
                <w:szCs w:val="24"/>
                <w:lang w:val="en-US" w:eastAsia="zh-CN"/>
              </w:rPr>
              <w:t>3</w:t>
            </w:r>
            <w:r>
              <w:rPr>
                <w:rFonts w:ascii="宋体" w:hAnsi="宋体"/>
                <w:szCs w:val="24"/>
              </w:rPr>
              <w:t>.</w:t>
            </w:r>
            <w:r>
              <w:rPr>
                <w:rFonts w:hint="eastAsia" w:ascii="宋体" w:hAnsi="宋体"/>
                <w:szCs w:val="24"/>
              </w:rPr>
              <w:t>本产品的开放期</w:t>
            </w:r>
          </w:p>
          <w:p w14:paraId="5C9778A4">
            <w:pPr>
              <w:snapToGrid w:val="0"/>
              <w:rPr>
                <w:rFonts w:hint="eastAsia" w:ascii="仿宋_GB2312" w:hAnsi="宋体" w:cs="宋体"/>
                <w:bCs/>
                <w:color w:val="000000"/>
                <w:kern w:val="0"/>
                <w:szCs w:val="24"/>
                <w:highlight w:val="none"/>
              </w:rPr>
            </w:pPr>
            <w:r>
              <w:rPr>
                <w:rFonts w:hint="eastAsia" w:ascii="宋体" w:hAnsi="宋体"/>
                <w:b/>
                <w:szCs w:val="24"/>
                <w:highlight w:val="none"/>
                <w:lang w:eastAsia="zh-CN"/>
              </w:rPr>
              <w:t>□</w:t>
            </w:r>
            <w:r>
              <w:rPr>
                <w:rFonts w:hint="eastAsia" w:ascii="宋体" w:hAnsi="宋体"/>
                <w:szCs w:val="24"/>
                <w:highlight w:val="none"/>
              </w:rPr>
              <w:t>本理财产品自成立日起每</w:t>
            </w:r>
            <w:r>
              <w:rPr>
                <w:rFonts w:hint="eastAsia" w:ascii="宋体" w:hAnsi="宋体"/>
                <w:szCs w:val="24"/>
                <w:highlight w:val="yellow"/>
                <w:lang w:eastAsia="zh-CN"/>
              </w:rPr>
              <w:t>【</w:t>
            </w:r>
            <w:r>
              <w:rPr>
                <w:rFonts w:hint="eastAsia" w:ascii="宋体" w:hAnsi="宋体"/>
                <w:szCs w:val="24"/>
                <w:highlight w:val="none"/>
                <w:lang w:val="en-US" w:eastAsia="zh-CN"/>
              </w:rPr>
              <w:t xml:space="preserve"> </w:t>
            </w:r>
            <w:r>
              <w:rPr>
                <w:rFonts w:hint="eastAsia" w:ascii="宋体" w:hAnsi="宋体"/>
                <w:szCs w:val="24"/>
                <w:highlight w:val="yellow"/>
                <w:lang w:eastAsia="zh-CN"/>
              </w:rPr>
              <w:t>】</w:t>
            </w:r>
            <w:r>
              <w:rPr>
                <w:rFonts w:hint="eastAsia" w:ascii="宋体" w:hAnsi="宋体"/>
                <w:szCs w:val="24"/>
                <w:highlight w:val="none"/>
              </w:rPr>
              <w:t>个月为一个投资周期，每个投资周期结束当月的</w:t>
            </w:r>
            <w:r>
              <w:rPr>
                <w:rFonts w:hint="eastAsia" w:ascii="宋体" w:hAnsi="宋体"/>
                <w:szCs w:val="24"/>
                <w:highlight w:val="yellow"/>
                <w:lang w:eastAsia="zh-CN"/>
              </w:rPr>
              <w:t>【</w:t>
            </w:r>
            <w:r>
              <w:rPr>
                <w:rFonts w:hint="eastAsia" w:ascii="宋体" w:hAnsi="宋体"/>
                <w:szCs w:val="24"/>
                <w:highlight w:val="none"/>
                <w:lang w:val="en-US" w:eastAsia="zh-CN"/>
              </w:rPr>
              <w:t xml:space="preserve"> </w:t>
            </w:r>
            <w:r>
              <w:rPr>
                <w:rFonts w:hint="eastAsia" w:ascii="宋体" w:hAnsi="宋体"/>
                <w:szCs w:val="24"/>
                <w:highlight w:val="yellow"/>
                <w:lang w:eastAsia="zh-CN"/>
              </w:rPr>
              <w:t>】</w:t>
            </w:r>
            <w:r>
              <w:rPr>
                <w:rFonts w:hint="eastAsia" w:ascii="宋体" w:hAnsi="宋体"/>
                <w:szCs w:val="24"/>
                <w:highlight w:val="none"/>
              </w:rPr>
              <w:t>日为每个开放期的首日（如遇非</w:t>
            </w:r>
            <w:r>
              <w:rPr>
                <w:rFonts w:hint="eastAsia" w:ascii="仿宋_GB2312" w:hAnsi="宋体" w:cs="宋体"/>
                <w:bCs/>
                <w:color w:val="000000"/>
                <w:kern w:val="0"/>
                <w:szCs w:val="24"/>
                <w:highlight w:val="yellow"/>
                <w:lang w:eastAsia="zh-CN"/>
              </w:rPr>
              <w:t>【</w:t>
            </w:r>
            <w:r>
              <w:rPr>
                <w:rFonts w:hint="eastAsia" w:ascii="仿宋_GB2312" w:hAnsi="宋体"/>
                <w:color w:val="000000"/>
                <w:szCs w:val="24"/>
                <w:highlight w:val="none"/>
                <w:lang w:eastAsia="zh-CN"/>
              </w:rPr>
              <w:t>□</w:t>
            </w:r>
            <w:r>
              <w:rPr>
                <w:rFonts w:hint="eastAsia" w:ascii="仿宋_GB2312" w:hAnsi="宋体" w:cs="宋体"/>
                <w:bCs/>
                <w:color w:val="000000"/>
                <w:kern w:val="0"/>
                <w:szCs w:val="24"/>
                <w:highlight w:val="none"/>
              </w:rPr>
              <w:t>工作日</w:t>
            </w:r>
            <w:r>
              <w:rPr>
                <w:rFonts w:ascii="仿宋_GB2312" w:hAnsi="宋体" w:cs="宋体"/>
                <w:bCs/>
                <w:color w:val="000000"/>
                <w:kern w:val="0"/>
                <w:szCs w:val="24"/>
                <w:highlight w:val="none"/>
              </w:rPr>
              <w:t>/</w:t>
            </w:r>
            <w:r>
              <w:rPr>
                <w:rFonts w:hint="eastAsia" w:ascii="仿宋_GB2312" w:hAnsi="宋体"/>
                <w:color w:val="000000"/>
                <w:szCs w:val="24"/>
                <w:highlight w:val="none"/>
                <w:lang w:eastAsia="zh-CN"/>
              </w:rPr>
              <w:t>□</w:t>
            </w:r>
            <w:r>
              <w:rPr>
                <w:rFonts w:hint="eastAsia" w:ascii="仿宋_GB2312" w:hAnsi="宋体" w:cs="宋体"/>
                <w:bCs/>
                <w:color w:val="000000"/>
                <w:kern w:val="0"/>
                <w:szCs w:val="24"/>
                <w:highlight w:val="none"/>
              </w:rPr>
              <w:t>交易日</w:t>
            </w:r>
            <w:r>
              <w:rPr>
                <w:rFonts w:hint="eastAsia" w:ascii="仿宋_GB2312" w:hAnsi="宋体" w:cs="宋体"/>
                <w:bCs/>
                <w:color w:val="000000"/>
                <w:kern w:val="0"/>
                <w:szCs w:val="24"/>
                <w:highlight w:val="yellow"/>
                <w:lang w:eastAsia="zh-CN"/>
              </w:rPr>
              <w:t>】</w:t>
            </w:r>
            <w:r>
              <w:rPr>
                <w:rFonts w:hint="eastAsia" w:ascii="宋体" w:hAnsi="宋体"/>
                <w:szCs w:val="24"/>
                <w:highlight w:val="none"/>
              </w:rPr>
              <w:t>则顺延到下一个</w:t>
            </w:r>
            <w:r>
              <w:rPr>
                <w:rFonts w:hint="eastAsia" w:ascii="仿宋_GB2312" w:hAnsi="宋体" w:cs="宋体"/>
                <w:bCs/>
                <w:color w:val="000000"/>
                <w:kern w:val="0"/>
                <w:szCs w:val="24"/>
                <w:highlight w:val="yellow"/>
                <w:lang w:eastAsia="zh-CN"/>
              </w:rPr>
              <w:t>【</w:t>
            </w:r>
            <w:r>
              <w:rPr>
                <w:rFonts w:hint="eastAsia" w:ascii="仿宋_GB2312" w:hAnsi="宋体"/>
                <w:color w:val="000000"/>
                <w:szCs w:val="24"/>
                <w:highlight w:val="none"/>
                <w:lang w:eastAsia="zh-CN"/>
              </w:rPr>
              <w:t>□</w:t>
            </w:r>
            <w:r>
              <w:rPr>
                <w:rFonts w:hint="eastAsia" w:ascii="仿宋_GB2312" w:hAnsi="宋体" w:cs="宋体"/>
                <w:bCs/>
                <w:color w:val="000000"/>
                <w:kern w:val="0"/>
                <w:szCs w:val="24"/>
                <w:highlight w:val="none"/>
              </w:rPr>
              <w:t>工作日</w:t>
            </w:r>
            <w:r>
              <w:rPr>
                <w:rFonts w:ascii="仿宋_GB2312" w:hAnsi="宋体" w:cs="宋体"/>
                <w:bCs/>
                <w:color w:val="000000"/>
                <w:kern w:val="0"/>
                <w:szCs w:val="24"/>
                <w:highlight w:val="none"/>
              </w:rPr>
              <w:t>/</w:t>
            </w:r>
            <w:r>
              <w:rPr>
                <w:rFonts w:hint="eastAsia" w:ascii="仿宋_GB2312" w:hAnsi="宋体"/>
                <w:color w:val="000000"/>
                <w:szCs w:val="24"/>
                <w:highlight w:val="none"/>
                <w:lang w:eastAsia="zh-CN"/>
              </w:rPr>
              <w:t>□</w:t>
            </w:r>
            <w:r>
              <w:rPr>
                <w:rFonts w:hint="eastAsia" w:ascii="仿宋_GB2312" w:hAnsi="宋体" w:cs="宋体"/>
                <w:bCs/>
                <w:color w:val="000000"/>
                <w:kern w:val="0"/>
                <w:szCs w:val="24"/>
                <w:highlight w:val="none"/>
              </w:rPr>
              <w:t>交易日</w:t>
            </w:r>
            <w:r>
              <w:rPr>
                <w:rFonts w:hint="eastAsia" w:ascii="仿宋_GB2312" w:hAnsi="宋体" w:cs="宋体"/>
                <w:bCs/>
                <w:color w:val="000000"/>
                <w:kern w:val="0"/>
                <w:szCs w:val="24"/>
                <w:highlight w:val="yellow"/>
                <w:lang w:eastAsia="zh-CN"/>
              </w:rPr>
              <w:t>】</w:t>
            </w:r>
            <w:r>
              <w:rPr>
                <w:rFonts w:hint="eastAsia" w:ascii="宋体" w:hAnsi="宋体"/>
                <w:szCs w:val="24"/>
                <w:highlight w:val="none"/>
              </w:rPr>
              <w:t>），开放期为</w:t>
            </w:r>
            <w:r>
              <w:rPr>
                <w:rFonts w:hint="eastAsia" w:ascii="宋体" w:hAnsi="宋体"/>
                <w:szCs w:val="24"/>
                <w:highlight w:val="yellow"/>
                <w:lang w:eastAsia="zh-CN"/>
              </w:rPr>
              <w:t>【</w:t>
            </w:r>
            <w:r>
              <w:rPr>
                <w:rFonts w:hint="eastAsia" w:ascii="宋体" w:hAnsi="宋体"/>
                <w:szCs w:val="24"/>
                <w:highlight w:val="none"/>
                <w:lang w:val="en-US" w:eastAsia="zh-CN"/>
              </w:rPr>
              <w:t xml:space="preserve"> </w:t>
            </w:r>
            <w:r>
              <w:rPr>
                <w:rFonts w:hint="eastAsia" w:ascii="宋体" w:hAnsi="宋体"/>
                <w:szCs w:val="24"/>
                <w:highlight w:val="yellow"/>
                <w:lang w:eastAsia="zh-CN"/>
              </w:rPr>
              <w:t>】</w:t>
            </w:r>
            <w:r>
              <w:rPr>
                <w:rFonts w:hint="eastAsia" w:ascii="宋体" w:hAnsi="宋体"/>
                <w:szCs w:val="24"/>
                <w:highlight w:val="none"/>
              </w:rPr>
              <w:t>个自然日，如遇开放期的最后一日为非</w:t>
            </w:r>
            <w:r>
              <w:rPr>
                <w:rFonts w:hint="eastAsia" w:ascii="仿宋_GB2312" w:hAnsi="宋体" w:cs="宋体"/>
                <w:bCs/>
                <w:color w:val="000000"/>
                <w:kern w:val="0"/>
                <w:szCs w:val="24"/>
                <w:highlight w:val="yellow"/>
                <w:lang w:eastAsia="zh-CN"/>
              </w:rPr>
              <w:t>【</w:t>
            </w:r>
            <w:r>
              <w:rPr>
                <w:rFonts w:hint="eastAsia" w:ascii="仿宋_GB2312" w:hAnsi="宋体"/>
                <w:color w:val="000000"/>
                <w:szCs w:val="24"/>
                <w:highlight w:val="none"/>
                <w:lang w:eastAsia="zh-CN"/>
              </w:rPr>
              <w:t>□</w:t>
            </w:r>
            <w:r>
              <w:rPr>
                <w:rFonts w:hint="eastAsia" w:ascii="仿宋_GB2312" w:hAnsi="宋体" w:cs="宋体"/>
                <w:bCs/>
                <w:color w:val="000000"/>
                <w:kern w:val="0"/>
                <w:szCs w:val="24"/>
                <w:highlight w:val="none"/>
              </w:rPr>
              <w:t>工作日</w:t>
            </w:r>
            <w:r>
              <w:rPr>
                <w:rFonts w:ascii="仿宋_GB2312" w:hAnsi="宋体" w:cs="宋体"/>
                <w:bCs/>
                <w:color w:val="000000"/>
                <w:kern w:val="0"/>
                <w:szCs w:val="24"/>
                <w:highlight w:val="none"/>
              </w:rPr>
              <w:t>/</w:t>
            </w:r>
            <w:r>
              <w:rPr>
                <w:rFonts w:hint="eastAsia" w:ascii="仿宋_GB2312" w:hAnsi="宋体"/>
                <w:color w:val="000000"/>
                <w:szCs w:val="24"/>
                <w:highlight w:val="none"/>
                <w:lang w:eastAsia="zh-CN"/>
              </w:rPr>
              <w:t>□</w:t>
            </w:r>
            <w:r>
              <w:rPr>
                <w:rFonts w:hint="eastAsia" w:ascii="仿宋_GB2312" w:hAnsi="宋体" w:cs="宋体"/>
                <w:bCs/>
                <w:color w:val="000000"/>
                <w:kern w:val="0"/>
                <w:szCs w:val="24"/>
                <w:highlight w:val="none"/>
              </w:rPr>
              <w:t>交易日</w:t>
            </w:r>
            <w:r>
              <w:rPr>
                <w:rFonts w:hint="eastAsia" w:ascii="仿宋_GB2312" w:hAnsi="宋体" w:cs="宋体"/>
                <w:bCs/>
                <w:color w:val="000000"/>
                <w:kern w:val="0"/>
                <w:szCs w:val="24"/>
                <w:highlight w:val="yellow"/>
                <w:lang w:eastAsia="zh-CN"/>
              </w:rPr>
              <w:t>】</w:t>
            </w:r>
            <w:r>
              <w:rPr>
                <w:rFonts w:hint="eastAsia" w:ascii="宋体" w:hAnsi="宋体"/>
                <w:szCs w:val="24"/>
                <w:highlight w:val="none"/>
              </w:rPr>
              <w:t>，则顺延到下一个</w:t>
            </w:r>
            <w:r>
              <w:rPr>
                <w:rFonts w:hint="eastAsia" w:ascii="仿宋_GB2312" w:hAnsi="宋体" w:cs="宋体"/>
                <w:bCs/>
                <w:color w:val="000000"/>
                <w:kern w:val="0"/>
                <w:szCs w:val="24"/>
                <w:highlight w:val="yellow"/>
                <w:lang w:eastAsia="zh-CN"/>
              </w:rPr>
              <w:t>【</w:t>
            </w:r>
            <w:r>
              <w:rPr>
                <w:rFonts w:hint="eastAsia" w:ascii="仿宋_GB2312" w:hAnsi="宋体"/>
                <w:color w:val="000000"/>
                <w:szCs w:val="24"/>
                <w:highlight w:val="none"/>
                <w:lang w:eastAsia="zh-CN"/>
              </w:rPr>
              <w:t>□</w:t>
            </w:r>
            <w:r>
              <w:rPr>
                <w:rFonts w:hint="eastAsia" w:ascii="仿宋_GB2312" w:hAnsi="宋体" w:cs="宋体"/>
                <w:bCs/>
                <w:color w:val="000000"/>
                <w:kern w:val="0"/>
                <w:szCs w:val="24"/>
                <w:highlight w:val="none"/>
              </w:rPr>
              <w:t>工作日</w:t>
            </w:r>
            <w:r>
              <w:rPr>
                <w:rFonts w:ascii="仿宋_GB2312" w:hAnsi="宋体" w:cs="宋体"/>
                <w:bCs/>
                <w:color w:val="000000"/>
                <w:kern w:val="0"/>
                <w:szCs w:val="24"/>
                <w:highlight w:val="none"/>
              </w:rPr>
              <w:t>/</w:t>
            </w:r>
            <w:r>
              <w:rPr>
                <w:rFonts w:hint="eastAsia" w:ascii="仿宋_GB2312" w:hAnsi="宋体"/>
                <w:color w:val="000000"/>
                <w:szCs w:val="24"/>
                <w:highlight w:val="none"/>
                <w:lang w:eastAsia="zh-CN"/>
              </w:rPr>
              <w:t>□</w:t>
            </w:r>
            <w:r>
              <w:rPr>
                <w:rFonts w:hint="eastAsia" w:ascii="仿宋_GB2312" w:hAnsi="宋体" w:cs="宋体"/>
                <w:bCs/>
                <w:color w:val="000000"/>
                <w:kern w:val="0"/>
                <w:szCs w:val="24"/>
                <w:highlight w:val="none"/>
              </w:rPr>
              <w:t>交易日</w:t>
            </w:r>
            <w:r>
              <w:rPr>
                <w:rFonts w:hint="eastAsia" w:ascii="仿宋_GB2312" w:hAnsi="宋体" w:cs="宋体"/>
                <w:bCs/>
                <w:color w:val="000000"/>
                <w:kern w:val="0"/>
                <w:szCs w:val="24"/>
                <w:highlight w:val="yellow"/>
                <w:lang w:eastAsia="zh-CN"/>
              </w:rPr>
              <w:t>】</w:t>
            </w:r>
            <w:r>
              <w:rPr>
                <w:rFonts w:hint="eastAsia" w:ascii="宋体" w:hAnsi="宋体"/>
                <w:szCs w:val="24"/>
                <w:highlight w:val="none"/>
              </w:rPr>
              <w:t>。</w:t>
            </w:r>
            <w:r>
              <w:rPr>
                <w:rFonts w:hint="eastAsia" w:ascii="仿宋_GB2312" w:hAnsi="宋体" w:cs="宋体"/>
                <w:bCs/>
                <w:color w:val="000000"/>
                <w:kern w:val="0"/>
                <w:szCs w:val="24"/>
                <w:highlight w:val="none"/>
              </w:rPr>
              <w:t>开放期结束后，投资者未赎回或仅部分赎回的，未赎回部分份额自动进入下一个投资周期。特定情形下且本产品说明书有特别约定的除外。</w:t>
            </w:r>
          </w:p>
          <w:p w14:paraId="6C18FD45">
            <w:pPr>
              <w:snapToGrid w:val="0"/>
              <w:rPr>
                <w:rFonts w:hint="eastAsia" w:ascii="仿宋_GB2312" w:hAnsi="宋体" w:cs="宋体"/>
                <w:bCs/>
                <w:color w:val="000000"/>
                <w:kern w:val="0"/>
                <w:szCs w:val="24"/>
                <w:highlight w:val="none"/>
              </w:rPr>
            </w:pPr>
            <w:r>
              <w:rPr>
                <w:rFonts w:hint="eastAsia" w:ascii="宋体" w:hAnsi="宋体"/>
                <w:b/>
                <w:szCs w:val="24"/>
                <w:highlight w:val="yellow"/>
                <w:lang w:eastAsia="zh-CN"/>
              </w:rPr>
              <w:t>□</w:t>
            </w:r>
            <w:r>
              <w:rPr>
                <w:rFonts w:hint="eastAsia" w:ascii="宋体" w:hAnsi="宋体"/>
                <w:szCs w:val="24"/>
                <w:highlight w:val="none"/>
              </w:rPr>
              <w:t>本理财产品自成立日起每</w:t>
            </w:r>
            <w:r>
              <w:rPr>
                <w:rFonts w:hint="eastAsia" w:ascii="宋体" w:hAnsi="宋体"/>
                <w:szCs w:val="24"/>
                <w:highlight w:val="yellow"/>
                <w:lang w:eastAsia="zh-CN"/>
              </w:rPr>
              <w:t>【】</w:t>
            </w:r>
            <w:r>
              <w:rPr>
                <w:rFonts w:hint="eastAsia" w:ascii="宋体" w:hAnsi="宋体"/>
                <w:szCs w:val="24"/>
                <w:highlight w:val="none"/>
              </w:rPr>
              <w:t>周为一个投资周期，每个投资周期结束当周的周</w:t>
            </w:r>
            <w:r>
              <w:rPr>
                <w:rFonts w:hint="eastAsia" w:ascii="宋体" w:hAnsi="宋体"/>
                <w:szCs w:val="24"/>
                <w:highlight w:val="yellow"/>
                <w:lang w:eastAsia="zh-CN"/>
              </w:rPr>
              <w:t>【】</w:t>
            </w:r>
            <w:r>
              <w:rPr>
                <w:rFonts w:hint="eastAsia" w:ascii="宋体" w:hAnsi="宋体"/>
                <w:szCs w:val="24"/>
                <w:highlight w:val="none"/>
              </w:rPr>
              <w:t>为每个开放期的首日（如遇非工作日则顺延到下一个</w:t>
            </w:r>
            <w:r>
              <w:rPr>
                <w:rFonts w:hint="eastAsia" w:ascii="仿宋_GB2312" w:hAnsi="宋体" w:cs="宋体"/>
                <w:bCs/>
                <w:color w:val="000000"/>
                <w:kern w:val="0"/>
                <w:szCs w:val="24"/>
                <w:highlight w:val="yellow"/>
                <w:lang w:eastAsia="zh-CN"/>
              </w:rPr>
              <w:t>【</w:t>
            </w:r>
            <w:r>
              <w:rPr>
                <w:rFonts w:hint="eastAsia" w:ascii="仿宋_GB2312" w:hAnsi="宋体"/>
                <w:color w:val="000000"/>
                <w:szCs w:val="24"/>
                <w:highlight w:val="yellow"/>
                <w:lang w:eastAsia="zh-CN"/>
              </w:rPr>
              <w:t>□</w:t>
            </w:r>
            <w:r>
              <w:rPr>
                <w:rFonts w:hint="eastAsia" w:ascii="仿宋_GB2312" w:hAnsi="宋体" w:cs="宋体"/>
                <w:bCs/>
                <w:color w:val="000000"/>
                <w:kern w:val="0"/>
                <w:szCs w:val="24"/>
                <w:highlight w:val="yellow"/>
              </w:rPr>
              <w:t>工作日</w:t>
            </w:r>
            <w:r>
              <w:rPr>
                <w:rFonts w:ascii="仿宋_GB2312" w:hAnsi="宋体" w:cs="宋体"/>
                <w:bCs/>
                <w:color w:val="000000"/>
                <w:kern w:val="0"/>
                <w:szCs w:val="24"/>
                <w:highlight w:val="yellow"/>
              </w:rPr>
              <w:t>/</w:t>
            </w:r>
            <w:r>
              <w:rPr>
                <w:rFonts w:hint="eastAsia" w:ascii="仿宋_GB2312" w:hAnsi="宋体"/>
                <w:color w:val="000000"/>
                <w:szCs w:val="24"/>
                <w:highlight w:val="yellow"/>
              </w:rPr>
              <w:t>□</w:t>
            </w:r>
            <w:r>
              <w:rPr>
                <w:rFonts w:hint="eastAsia" w:ascii="仿宋_GB2312" w:hAnsi="宋体" w:cs="宋体"/>
                <w:bCs/>
                <w:color w:val="000000"/>
                <w:kern w:val="0"/>
                <w:szCs w:val="24"/>
                <w:highlight w:val="yellow"/>
              </w:rPr>
              <w:t>交易日</w:t>
            </w:r>
            <w:r>
              <w:rPr>
                <w:rFonts w:hint="eastAsia" w:ascii="仿宋_GB2312" w:hAnsi="宋体" w:cs="宋体"/>
                <w:bCs/>
                <w:color w:val="000000"/>
                <w:kern w:val="0"/>
                <w:szCs w:val="24"/>
                <w:highlight w:val="yellow"/>
                <w:lang w:eastAsia="zh-CN"/>
              </w:rPr>
              <w:t>】</w:t>
            </w:r>
            <w:r>
              <w:rPr>
                <w:rFonts w:hint="eastAsia" w:ascii="宋体" w:hAnsi="宋体"/>
                <w:szCs w:val="24"/>
                <w:highlight w:val="none"/>
              </w:rPr>
              <w:t>），开放期为</w:t>
            </w:r>
            <w:r>
              <w:rPr>
                <w:rFonts w:hint="eastAsia" w:ascii="宋体" w:hAnsi="宋体"/>
                <w:szCs w:val="24"/>
                <w:highlight w:val="yellow"/>
                <w:lang w:eastAsia="zh-CN"/>
              </w:rPr>
              <w:t>【】</w:t>
            </w:r>
            <w:r>
              <w:rPr>
                <w:rFonts w:hint="eastAsia" w:ascii="宋体" w:hAnsi="宋体"/>
                <w:szCs w:val="24"/>
                <w:highlight w:val="none"/>
              </w:rPr>
              <w:t>个自然日，如遇开放期的最后一日为非</w:t>
            </w:r>
            <w:r>
              <w:rPr>
                <w:rFonts w:hint="eastAsia" w:ascii="仿宋_GB2312" w:hAnsi="宋体" w:cs="宋体"/>
                <w:bCs/>
                <w:color w:val="000000"/>
                <w:kern w:val="0"/>
                <w:szCs w:val="24"/>
                <w:highlight w:val="yellow"/>
                <w:lang w:eastAsia="zh-CN"/>
              </w:rPr>
              <w:t>【</w:t>
            </w:r>
            <w:r>
              <w:rPr>
                <w:rFonts w:hint="eastAsia" w:ascii="仿宋_GB2312" w:hAnsi="宋体"/>
                <w:color w:val="000000"/>
                <w:szCs w:val="24"/>
                <w:highlight w:val="yellow"/>
                <w:lang w:eastAsia="zh-CN"/>
              </w:rPr>
              <w:t>□</w:t>
            </w:r>
            <w:r>
              <w:rPr>
                <w:rFonts w:hint="eastAsia" w:ascii="仿宋_GB2312" w:hAnsi="宋体" w:cs="宋体"/>
                <w:bCs/>
                <w:color w:val="000000"/>
                <w:kern w:val="0"/>
                <w:szCs w:val="24"/>
                <w:highlight w:val="yellow"/>
              </w:rPr>
              <w:t>工作日</w:t>
            </w:r>
            <w:r>
              <w:rPr>
                <w:rFonts w:ascii="仿宋_GB2312" w:hAnsi="宋体" w:cs="宋体"/>
                <w:bCs/>
                <w:color w:val="000000"/>
                <w:kern w:val="0"/>
                <w:szCs w:val="24"/>
                <w:highlight w:val="yellow"/>
              </w:rPr>
              <w:t>/</w:t>
            </w:r>
            <w:r>
              <w:rPr>
                <w:rFonts w:hint="eastAsia" w:ascii="仿宋_GB2312" w:hAnsi="宋体"/>
                <w:color w:val="000000"/>
                <w:szCs w:val="24"/>
                <w:highlight w:val="yellow"/>
              </w:rPr>
              <w:t>□</w:t>
            </w:r>
            <w:r>
              <w:rPr>
                <w:rFonts w:hint="eastAsia" w:ascii="仿宋_GB2312" w:hAnsi="宋体" w:cs="宋体"/>
                <w:bCs/>
                <w:color w:val="000000"/>
                <w:kern w:val="0"/>
                <w:szCs w:val="24"/>
                <w:highlight w:val="yellow"/>
              </w:rPr>
              <w:t>交易日</w:t>
            </w:r>
            <w:r>
              <w:rPr>
                <w:rFonts w:hint="eastAsia" w:ascii="仿宋_GB2312" w:hAnsi="宋体" w:cs="宋体"/>
                <w:bCs/>
                <w:color w:val="000000"/>
                <w:kern w:val="0"/>
                <w:szCs w:val="24"/>
                <w:highlight w:val="yellow"/>
                <w:lang w:eastAsia="zh-CN"/>
              </w:rPr>
              <w:t>】</w:t>
            </w:r>
            <w:r>
              <w:rPr>
                <w:rFonts w:hint="eastAsia" w:ascii="宋体" w:hAnsi="宋体"/>
                <w:szCs w:val="24"/>
                <w:highlight w:val="none"/>
              </w:rPr>
              <w:t>，则顺延到下一个</w:t>
            </w:r>
            <w:r>
              <w:rPr>
                <w:rFonts w:hint="eastAsia" w:ascii="仿宋_GB2312" w:hAnsi="宋体" w:cs="宋体"/>
                <w:bCs/>
                <w:color w:val="000000"/>
                <w:kern w:val="0"/>
                <w:szCs w:val="24"/>
                <w:highlight w:val="yellow"/>
                <w:lang w:eastAsia="zh-CN"/>
              </w:rPr>
              <w:t>【</w:t>
            </w:r>
            <w:r>
              <w:rPr>
                <w:rFonts w:hint="eastAsia" w:ascii="仿宋_GB2312" w:hAnsi="宋体"/>
                <w:color w:val="000000"/>
                <w:szCs w:val="24"/>
                <w:highlight w:val="yellow"/>
                <w:lang w:eastAsia="zh-CN"/>
              </w:rPr>
              <w:t>□</w:t>
            </w:r>
            <w:r>
              <w:rPr>
                <w:rFonts w:hint="eastAsia" w:ascii="仿宋_GB2312" w:hAnsi="宋体" w:cs="宋体"/>
                <w:bCs/>
                <w:color w:val="000000"/>
                <w:kern w:val="0"/>
                <w:szCs w:val="24"/>
                <w:highlight w:val="yellow"/>
              </w:rPr>
              <w:t>工作日</w:t>
            </w:r>
            <w:r>
              <w:rPr>
                <w:rFonts w:ascii="仿宋_GB2312" w:hAnsi="宋体" w:cs="宋体"/>
                <w:bCs/>
                <w:color w:val="000000"/>
                <w:kern w:val="0"/>
                <w:szCs w:val="24"/>
                <w:highlight w:val="yellow"/>
              </w:rPr>
              <w:t>/</w:t>
            </w:r>
            <w:r>
              <w:rPr>
                <w:rFonts w:hint="eastAsia" w:ascii="仿宋_GB2312" w:hAnsi="宋体"/>
                <w:color w:val="000000"/>
                <w:szCs w:val="24"/>
                <w:highlight w:val="yellow"/>
              </w:rPr>
              <w:t>□</w:t>
            </w:r>
            <w:r>
              <w:rPr>
                <w:rFonts w:hint="eastAsia" w:ascii="仿宋_GB2312" w:hAnsi="宋体" w:cs="宋体"/>
                <w:bCs/>
                <w:color w:val="000000"/>
                <w:kern w:val="0"/>
                <w:szCs w:val="24"/>
                <w:highlight w:val="yellow"/>
              </w:rPr>
              <w:t>交易日</w:t>
            </w:r>
            <w:r>
              <w:rPr>
                <w:rFonts w:hint="eastAsia" w:ascii="仿宋_GB2312" w:hAnsi="宋体" w:cs="宋体"/>
                <w:bCs/>
                <w:color w:val="000000"/>
                <w:kern w:val="0"/>
                <w:szCs w:val="24"/>
                <w:highlight w:val="yellow"/>
                <w:lang w:eastAsia="zh-CN"/>
              </w:rPr>
              <w:t>】</w:t>
            </w:r>
            <w:r>
              <w:rPr>
                <w:rFonts w:hint="eastAsia" w:ascii="宋体" w:hAnsi="宋体"/>
                <w:szCs w:val="24"/>
                <w:highlight w:val="none"/>
              </w:rPr>
              <w:t>。</w:t>
            </w:r>
            <w:r>
              <w:rPr>
                <w:rFonts w:hint="eastAsia" w:ascii="仿宋_GB2312" w:hAnsi="宋体" w:cs="宋体"/>
                <w:bCs/>
                <w:color w:val="000000"/>
                <w:kern w:val="0"/>
                <w:szCs w:val="24"/>
                <w:highlight w:val="none"/>
              </w:rPr>
              <w:t>开放期结束后，投资者未赎回或仅部分赎回的，未赎回部分份额自动进入下一个投资周期。特定情形下且本产品说明书有特别约定的除外。</w:t>
            </w:r>
          </w:p>
          <w:p w14:paraId="73580C53">
            <w:pPr>
              <w:numPr>
                <w:ilvl w:val="0"/>
                <w:numId w:val="0"/>
              </w:numPr>
              <w:snapToGrid w:val="0"/>
              <w:rPr>
                <w:rFonts w:ascii="宋体" w:hAnsi="宋体"/>
                <w:szCs w:val="24"/>
              </w:rPr>
            </w:pPr>
            <w:r>
              <w:rPr>
                <w:rFonts w:hint="eastAsia" w:ascii="宋体" w:hAnsi="宋体"/>
                <w:szCs w:val="24"/>
                <w:lang w:val="en-US" w:eastAsia="zh-CN"/>
              </w:rPr>
              <w:t>4.</w:t>
            </w:r>
            <w:r>
              <w:rPr>
                <w:rFonts w:hint="eastAsia" w:ascii="宋体" w:hAnsi="宋体"/>
                <w:szCs w:val="24"/>
              </w:rPr>
              <w:t>交易时间：</w:t>
            </w:r>
          </w:p>
          <w:p w14:paraId="151BD1F3">
            <w:pPr>
              <w:numPr>
                <w:ilvl w:val="0"/>
                <w:numId w:val="5"/>
              </w:numPr>
              <w:snapToGrid w:val="0"/>
              <w:rPr>
                <w:rFonts w:ascii="宋体" w:hAnsi="宋体"/>
                <w:szCs w:val="24"/>
                <w:highlight w:val="none"/>
              </w:rPr>
            </w:pPr>
            <w:r>
              <w:rPr>
                <w:rFonts w:hint="eastAsia" w:ascii="宋体" w:hAnsi="宋体"/>
                <w:szCs w:val="24"/>
              </w:rPr>
              <w:t>本理财产品在每个</w:t>
            </w:r>
            <w:r>
              <w:rPr>
                <w:rFonts w:hint="eastAsia"/>
              </w:rPr>
              <w:t>开放</w:t>
            </w:r>
            <w:r>
              <w:rPr>
                <w:rFonts w:hint="eastAsia"/>
                <w:highlight w:val="none"/>
              </w:rPr>
              <w:t>期的</w:t>
            </w:r>
            <w:r>
              <w:rPr>
                <w:rFonts w:hint="eastAsia" w:ascii="仿宋_GB2312" w:hAnsi="宋体" w:cs="宋体"/>
                <w:bCs/>
                <w:color w:val="000000"/>
                <w:kern w:val="0"/>
                <w:szCs w:val="24"/>
                <w:highlight w:val="yellow"/>
                <w:lang w:eastAsia="zh-CN"/>
              </w:rPr>
              <w:t>【</w:t>
            </w:r>
            <w:r>
              <w:rPr>
                <w:rFonts w:hint="eastAsia" w:ascii="仿宋_GB2312" w:hAnsi="宋体"/>
                <w:color w:val="000000"/>
                <w:szCs w:val="24"/>
                <w:highlight w:val="none"/>
                <w:lang w:eastAsia="zh-CN"/>
              </w:rPr>
              <w:t>□</w:t>
            </w:r>
            <w:r>
              <w:rPr>
                <w:rFonts w:hint="eastAsia" w:ascii="仿宋_GB2312" w:hAnsi="宋体" w:cs="宋体"/>
                <w:bCs/>
                <w:color w:val="000000"/>
                <w:kern w:val="0"/>
                <w:szCs w:val="24"/>
                <w:highlight w:val="none"/>
              </w:rPr>
              <w:t>工作日</w:t>
            </w:r>
            <w:r>
              <w:rPr>
                <w:rFonts w:ascii="仿宋_GB2312" w:hAnsi="宋体" w:cs="宋体"/>
                <w:bCs/>
                <w:color w:val="000000"/>
                <w:kern w:val="0"/>
                <w:szCs w:val="24"/>
                <w:highlight w:val="none"/>
              </w:rPr>
              <w:t>/</w:t>
            </w:r>
            <w:r>
              <w:rPr>
                <w:rFonts w:hint="eastAsia" w:ascii="仿宋_GB2312" w:hAnsi="宋体"/>
                <w:color w:val="000000"/>
                <w:szCs w:val="24"/>
                <w:highlight w:val="none"/>
                <w:lang w:eastAsia="zh-CN"/>
              </w:rPr>
              <w:t>□</w:t>
            </w:r>
            <w:r>
              <w:rPr>
                <w:rFonts w:hint="eastAsia" w:ascii="仿宋_GB2312" w:hAnsi="宋体" w:cs="宋体"/>
                <w:bCs/>
                <w:color w:val="000000"/>
                <w:kern w:val="0"/>
                <w:szCs w:val="24"/>
                <w:highlight w:val="none"/>
              </w:rPr>
              <w:t>交易日</w:t>
            </w:r>
            <w:r>
              <w:rPr>
                <w:rFonts w:hint="eastAsia" w:ascii="仿宋_GB2312" w:hAnsi="宋体" w:cs="宋体"/>
                <w:bCs/>
                <w:color w:val="000000"/>
                <w:kern w:val="0"/>
                <w:szCs w:val="24"/>
                <w:highlight w:val="yellow"/>
                <w:lang w:eastAsia="zh-CN"/>
              </w:rPr>
              <w:t>】</w:t>
            </w:r>
            <w:r>
              <w:rPr>
                <w:rFonts w:hint="eastAsia" w:ascii="宋体" w:hAnsi="宋体"/>
                <w:szCs w:val="24"/>
                <w:highlight w:val="none"/>
              </w:rPr>
              <w:t>的工作时间均可进行申购和赎回，申购和赎回申请将在确认日，即开放期后的第</w:t>
            </w:r>
            <w:r>
              <w:rPr>
                <w:rFonts w:hint="eastAsia" w:ascii="宋体" w:hAnsi="宋体"/>
                <w:szCs w:val="24"/>
                <w:highlight w:val="yellow"/>
                <w:lang w:eastAsia="zh-CN"/>
              </w:rPr>
              <w:t>【</w:t>
            </w:r>
            <w:r>
              <w:rPr>
                <w:rFonts w:hint="eastAsia" w:ascii="宋体" w:hAnsi="宋体"/>
                <w:szCs w:val="24"/>
                <w:highlight w:val="none"/>
                <w:lang w:val="en-US" w:eastAsia="zh-CN"/>
              </w:rPr>
              <w:t xml:space="preserve"> </w:t>
            </w:r>
            <w:r>
              <w:rPr>
                <w:rFonts w:hint="eastAsia" w:ascii="宋体" w:hAnsi="宋体"/>
                <w:szCs w:val="24"/>
                <w:highlight w:val="yellow"/>
                <w:lang w:eastAsia="zh-CN"/>
              </w:rPr>
              <w:t>】</w:t>
            </w:r>
            <w:r>
              <w:rPr>
                <w:rFonts w:hint="eastAsia" w:ascii="宋体" w:hAnsi="宋体"/>
                <w:szCs w:val="24"/>
                <w:highlight w:val="none"/>
              </w:rPr>
              <w:t>个</w:t>
            </w:r>
            <w:r>
              <w:rPr>
                <w:rFonts w:hint="eastAsia" w:ascii="仿宋_GB2312" w:hAnsi="宋体" w:cs="宋体"/>
                <w:bCs/>
                <w:color w:val="000000"/>
                <w:kern w:val="0"/>
                <w:szCs w:val="24"/>
                <w:highlight w:val="yellow"/>
                <w:lang w:eastAsia="zh-CN"/>
              </w:rPr>
              <w:t>【</w:t>
            </w:r>
            <w:r>
              <w:rPr>
                <w:rFonts w:hint="eastAsia" w:ascii="仿宋_GB2312" w:hAnsi="宋体"/>
                <w:color w:val="000000"/>
                <w:szCs w:val="24"/>
                <w:highlight w:val="none"/>
                <w:lang w:eastAsia="zh-CN"/>
              </w:rPr>
              <w:t>□</w:t>
            </w:r>
            <w:r>
              <w:rPr>
                <w:rFonts w:hint="eastAsia" w:ascii="仿宋_GB2312" w:hAnsi="宋体" w:cs="宋体"/>
                <w:bCs/>
                <w:color w:val="000000"/>
                <w:kern w:val="0"/>
                <w:szCs w:val="24"/>
                <w:highlight w:val="none"/>
              </w:rPr>
              <w:t>工作日</w:t>
            </w:r>
            <w:r>
              <w:rPr>
                <w:rFonts w:ascii="仿宋_GB2312" w:hAnsi="宋体" w:cs="宋体"/>
                <w:bCs/>
                <w:color w:val="000000"/>
                <w:kern w:val="0"/>
                <w:szCs w:val="24"/>
                <w:highlight w:val="none"/>
              </w:rPr>
              <w:t>/</w:t>
            </w:r>
            <w:r>
              <w:rPr>
                <w:rFonts w:hint="eastAsia" w:ascii="仿宋_GB2312" w:hAnsi="宋体"/>
                <w:color w:val="000000"/>
                <w:szCs w:val="24"/>
                <w:highlight w:val="none"/>
                <w:lang w:eastAsia="zh-CN"/>
              </w:rPr>
              <w:t>☑</w:t>
            </w:r>
            <w:r>
              <w:rPr>
                <w:rFonts w:hint="eastAsia" w:ascii="仿宋_GB2312" w:hAnsi="宋体" w:cs="宋体"/>
                <w:bCs/>
                <w:color w:val="000000"/>
                <w:kern w:val="0"/>
                <w:szCs w:val="24"/>
                <w:highlight w:val="none"/>
              </w:rPr>
              <w:t>交易日</w:t>
            </w:r>
            <w:r>
              <w:rPr>
                <w:rFonts w:hint="eastAsia" w:ascii="仿宋_GB2312" w:hAnsi="宋体" w:cs="宋体"/>
                <w:bCs/>
                <w:color w:val="000000"/>
                <w:kern w:val="0"/>
                <w:szCs w:val="24"/>
                <w:highlight w:val="yellow"/>
                <w:lang w:eastAsia="zh-CN"/>
              </w:rPr>
              <w:t>】</w:t>
            </w:r>
            <w:r>
              <w:rPr>
                <w:rFonts w:hint="eastAsia" w:ascii="宋体" w:hAnsi="宋体"/>
                <w:szCs w:val="24"/>
                <w:highlight w:val="none"/>
              </w:rPr>
              <w:t>进行确认。（确认日如遇非</w:t>
            </w:r>
            <w:r>
              <w:rPr>
                <w:rFonts w:hint="eastAsia" w:ascii="仿宋_GB2312" w:hAnsi="宋体" w:cs="宋体"/>
                <w:bCs/>
                <w:color w:val="000000"/>
                <w:kern w:val="0"/>
                <w:szCs w:val="24"/>
                <w:highlight w:val="yellow"/>
                <w:lang w:eastAsia="zh-CN"/>
              </w:rPr>
              <w:t>【</w:t>
            </w:r>
            <w:r>
              <w:rPr>
                <w:rFonts w:hint="eastAsia" w:ascii="仿宋_GB2312" w:hAnsi="宋体"/>
                <w:color w:val="000000"/>
                <w:szCs w:val="24"/>
                <w:highlight w:val="none"/>
                <w:lang w:eastAsia="zh-CN"/>
              </w:rPr>
              <w:t>□</w:t>
            </w:r>
            <w:r>
              <w:rPr>
                <w:rFonts w:hint="eastAsia" w:ascii="仿宋_GB2312" w:hAnsi="宋体" w:cs="宋体"/>
                <w:bCs/>
                <w:color w:val="000000"/>
                <w:kern w:val="0"/>
                <w:szCs w:val="24"/>
                <w:highlight w:val="none"/>
              </w:rPr>
              <w:t>工作日</w:t>
            </w:r>
            <w:r>
              <w:rPr>
                <w:rFonts w:ascii="仿宋_GB2312" w:hAnsi="宋体" w:cs="宋体"/>
                <w:bCs/>
                <w:color w:val="000000"/>
                <w:kern w:val="0"/>
                <w:szCs w:val="24"/>
                <w:highlight w:val="none"/>
              </w:rPr>
              <w:t>/</w:t>
            </w:r>
            <w:r>
              <w:rPr>
                <w:rFonts w:hint="eastAsia" w:ascii="仿宋_GB2312" w:hAnsi="宋体"/>
                <w:color w:val="000000"/>
                <w:szCs w:val="24"/>
                <w:highlight w:val="none"/>
                <w:lang w:eastAsia="zh-CN"/>
              </w:rPr>
              <w:t>□</w:t>
            </w:r>
            <w:r>
              <w:rPr>
                <w:rFonts w:hint="eastAsia" w:ascii="仿宋_GB2312" w:hAnsi="宋体" w:cs="宋体"/>
                <w:bCs/>
                <w:color w:val="000000"/>
                <w:kern w:val="0"/>
                <w:szCs w:val="24"/>
                <w:highlight w:val="none"/>
              </w:rPr>
              <w:t>交易日</w:t>
            </w:r>
            <w:r>
              <w:rPr>
                <w:rFonts w:hint="eastAsia" w:ascii="仿宋_GB2312" w:hAnsi="宋体" w:cs="宋体"/>
                <w:bCs/>
                <w:color w:val="000000"/>
                <w:kern w:val="0"/>
                <w:szCs w:val="24"/>
                <w:highlight w:val="yellow"/>
                <w:lang w:eastAsia="zh-CN"/>
              </w:rPr>
              <w:t>】</w:t>
            </w:r>
            <w:r>
              <w:rPr>
                <w:rFonts w:hint="eastAsia" w:ascii="宋体" w:hAnsi="宋体"/>
                <w:szCs w:val="24"/>
                <w:highlight w:val="none"/>
              </w:rPr>
              <w:t>，则顺延至下一个</w:t>
            </w:r>
            <w:r>
              <w:rPr>
                <w:rFonts w:hint="eastAsia" w:ascii="仿宋_GB2312" w:hAnsi="宋体" w:cs="宋体"/>
                <w:bCs/>
                <w:color w:val="000000"/>
                <w:kern w:val="0"/>
                <w:szCs w:val="24"/>
                <w:highlight w:val="yellow"/>
                <w:lang w:eastAsia="zh-CN"/>
              </w:rPr>
              <w:t>【</w:t>
            </w:r>
            <w:r>
              <w:rPr>
                <w:rFonts w:hint="eastAsia" w:ascii="仿宋_GB2312" w:hAnsi="宋体"/>
                <w:color w:val="000000"/>
                <w:szCs w:val="24"/>
                <w:highlight w:val="none"/>
                <w:lang w:eastAsia="zh-CN"/>
              </w:rPr>
              <w:t>□</w:t>
            </w:r>
            <w:r>
              <w:rPr>
                <w:rFonts w:hint="eastAsia" w:ascii="仿宋_GB2312" w:hAnsi="宋体" w:cs="宋体"/>
                <w:bCs/>
                <w:color w:val="000000"/>
                <w:kern w:val="0"/>
                <w:szCs w:val="24"/>
                <w:highlight w:val="none"/>
              </w:rPr>
              <w:t>工作日</w:t>
            </w:r>
            <w:r>
              <w:rPr>
                <w:rFonts w:ascii="仿宋_GB2312" w:hAnsi="宋体" w:cs="宋体"/>
                <w:bCs/>
                <w:color w:val="000000"/>
                <w:kern w:val="0"/>
                <w:szCs w:val="24"/>
                <w:highlight w:val="none"/>
              </w:rPr>
              <w:t>/</w:t>
            </w:r>
            <w:r>
              <w:rPr>
                <w:rFonts w:hint="eastAsia" w:ascii="仿宋_GB2312" w:hAnsi="宋体"/>
                <w:color w:val="000000"/>
                <w:szCs w:val="24"/>
                <w:highlight w:val="none"/>
                <w:lang w:eastAsia="zh-CN"/>
              </w:rPr>
              <w:t>□</w:t>
            </w:r>
            <w:r>
              <w:rPr>
                <w:rFonts w:hint="eastAsia" w:ascii="仿宋_GB2312" w:hAnsi="宋体" w:cs="宋体"/>
                <w:bCs/>
                <w:color w:val="000000"/>
                <w:kern w:val="0"/>
                <w:szCs w:val="24"/>
                <w:highlight w:val="none"/>
              </w:rPr>
              <w:t>交易日</w:t>
            </w:r>
            <w:r>
              <w:rPr>
                <w:rFonts w:hint="eastAsia" w:ascii="仿宋_GB2312" w:hAnsi="宋体" w:cs="宋体"/>
                <w:bCs/>
                <w:color w:val="000000"/>
                <w:kern w:val="0"/>
                <w:szCs w:val="24"/>
                <w:highlight w:val="yellow"/>
                <w:lang w:eastAsia="zh-CN"/>
              </w:rPr>
              <w:t>】</w:t>
            </w:r>
            <w:r>
              <w:rPr>
                <w:rFonts w:hint="eastAsia" w:ascii="宋体" w:hAnsi="宋体"/>
                <w:szCs w:val="24"/>
                <w:highlight w:val="none"/>
              </w:rPr>
              <w:t>）</w:t>
            </w:r>
          </w:p>
          <w:p w14:paraId="23358208">
            <w:pPr>
              <w:numPr>
                <w:ilvl w:val="0"/>
                <w:numId w:val="5"/>
              </w:numPr>
              <w:snapToGrid w:val="0"/>
              <w:rPr>
                <w:rFonts w:ascii="宋体" w:hAnsi="宋体"/>
                <w:szCs w:val="24"/>
                <w:highlight w:val="none"/>
              </w:rPr>
            </w:pPr>
            <w:r>
              <w:rPr>
                <w:rFonts w:hint="eastAsia" w:ascii="宋体" w:hAnsi="宋体"/>
                <w:szCs w:val="24"/>
                <w:highlight w:val="none"/>
              </w:rPr>
              <w:t>工作时间为每个</w:t>
            </w:r>
            <w:r>
              <w:rPr>
                <w:rFonts w:hint="eastAsia" w:ascii="仿宋_GB2312" w:hAnsi="宋体" w:cs="宋体"/>
                <w:bCs/>
                <w:color w:val="000000"/>
                <w:kern w:val="0"/>
                <w:szCs w:val="24"/>
                <w:highlight w:val="yellow"/>
                <w:lang w:eastAsia="zh-CN"/>
              </w:rPr>
              <w:t>【</w:t>
            </w:r>
            <w:r>
              <w:rPr>
                <w:rFonts w:hint="eastAsia" w:ascii="仿宋_GB2312" w:hAnsi="宋体"/>
                <w:color w:val="000000"/>
                <w:szCs w:val="24"/>
                <w:highlight w:val="none"/>
                <w:lang w:eastAsia="zh-CN"/>
              </w:rPr>
              <w:t>□</w:t>
            </w:r>
            <w:r>
              <w:rPr>
                <w:rFonts w:hint="eastAsia" w:ascii="仿宋_GB2312" w:hAnsi="宋体" w:cs="宋体"/>
                <w:bCs/>
                <w:color w:val="000000"/>
                <w:kern w:val="0"/>
                <w:szCs w:val="24"/>
                <w:highlight w:val="none"/>
              </w:rPr>
              <w:t>工作日</w:t>
            </w:r>
            <w:r>
              <w:rPr>
                <w:rFonts w:ascii="仿宋_GB2312" w:hAnsi="宋体" w:cs="宋体"/>
                <w:bCs/>
                <w:color w:val="000000"/>
                <w:kern w:val="0"/>
                <w:szCs w:val="24"/>
                <w:highlight w:val="none"/>
              </w:rPr>
              <w:t>/</w:t>
            </w:r>
            <w:r>
              <w:rPr>
                <w:rFonts w:hint="eastAsia" w:ascii="仿宋_GB2312" w:hAnsi="宋体"/>
                <w:color w:val="000000"/>
                <w:szCs w:val="24"/>
                <w:highlight w:val="none"/>
                <w:lang w:eastAsia="zh-CN"/>
              </w:rPr>
              <w:t>□</w:t>
            </w:r>
            <w:r>
              <w:rPr>
                <w:rFonts w:hint="eastAsia" w:ascii="仿宋_GB2312" w:hAnsi="宋体" w:cs="宋体"/>
                <w:bCs/>
                <w:color w:val="000000"/>
                <w:kern w:val="0"/>
                <w:szCs w:val="24"/>
                <w:highlight w:val="none"/>
              </w:rPr>
              <w:t>交易日</w:t>
            </w:r>
            <w:r>
              <w:rPr>
                <w:rFonts w:hint="eastAsia" w:ascii="仿宋_GB2312" w:hAnsi="宋体" w:cs="宋体"/>
                <w:bCs/>
                <w:color w:val="000000"/>
                <w:kern w:val="0"/>
                <w:szCs w:val="24"/>
                <w:highlight w:val="yellow"/>
                <w:lang w:eastAsia="zh-CN"/>
              </w:rPr>
              <w:t>】</w:t>
            </w:r>
            <w:r>
              <w:rPr>
                <w:rFonts w:hint="eastAsia" w:ascii="宋体" w:hAnsi="宋体"/>
                <w:szCs w:val="24"/>
                <w:highlight w:val="none"/>
              </w:rPr>
              <w:t>的</w:t>
            </w:r>
            <w:r>
              <w:rPr>
                <w:rFonts w:hint="eastAsia" w:ascii="宋体" w:hAnsi="宋体"/>
                <w:szCs w:val="24"/>
                <w:highlight w:val="yellow"/>
                <w:lang w:eastAsia="zh-CN"/>
              </w:rPr>
              <w:t>【</w:t>
            </w:r>
            <w:r>
              <w:rPr>
                <w:rFonts w:hint="eastAsia" w:ascii="宋体" w:hAnsi="宋体"/>
                <w:b/>
                <w:color w:val="auto"/>
                <w:szCs w:val="24"/>
                <w:highlight w:val="none"/>
                <w:lang w:val="en-US" w:eastAsia="zh-CN"/>
              </w:rPr>
              <w:t>XX:XX</w:t>
            </w:r>
            <w:r>
              <w:rPr>
                <w:rFonts w:hint="eastAsia" w:ascii="宋体" w:hAnsi="宋体"/>
                <w:szCs w:val="24"/>
                <w:highlight w:val="yellow"/>
                <w:lang w:eastAsia="zh-CN"/>
              </w:rPr>
              <w:t>】</w:t>
            </w:r>
            <w:r>
              <w:rPr>
                <w:rFonts w:hint="eastAsia" w:ascii="宋体" w:hAnsi="宋体"/>
                <w:szCs w:val="24"/>
                <w:highlight w:val="none"/>
              </w:rPr>
              <w:t>至</w:t>
            </w:r>
            <w:r>
              <w:rPr>
                <w:rFonts w:hint="eastAsia" w:ascii="宋体" w:hAnsi="宋体"/>
                <w:szCs w:val="24"/>
                <w:highlight w:val="yellow"/>
                <w:lang w:eastAsia="zh-CN"/>
              </w:rPr>
              <w:t>【</w:t>
            </w:r>
            <w:r>
              <w:rPr>
                <w:rFonts w:hint="eastAsia" w:ascii="宋体" w:hAnsi="宋体"/>
                <w:b/>
                <w:color w:val="auto"/>
                <w:szCs w:val="24"/>
                <w:highlight w:val="none"/>
                <w:lang w:val="en-US" w:eastAsia="zh-CN"/>
              </w:rPr>
              <w:t>XX:XX</w:t>
            </w:r>
            <w:r>
              <w:rPr>
                <w:rFonts w:hint="eastAsia" w:ascii="宋体" w:hAnsi="宋体"/>
                <w:szCs w:val="24"/>
                <w:highlight w:val="yellow"/>
                <w:lang w:eastAsia="zh-CN"/>
              </w:rPr>
              <w:t>】</w:t>
            </w:r>
            <w:r>
              <w:rPr>
                <w:rFonts w:hint="eastAsia" w:ascii="宋体" w:hAnsi="宋体"/>
                <w:szCs w:val="24"/>
                <w:highlight w:val="none"/>
              </w:rPr>
              <w:t>。</w:t>
            </w:r>
          </w:p>
          <w:p w14:paraId="08E879BF">
            <w:pPr>
              <w:numPr>
                <w:ilvl w:val="0"/>
                <w:numId w:val="0"/>
              </w:numPr>
              <w:snapToGrid w:val="0"/>
              <w:rPr>
                <w:rFonts w:ascii="宋体" w:hAnsi="宋体"/>
                <w:szCs w:val="24"/>
                <w:highlight w:val="none"/>
              </w:rPr>
            </w:pPr>
            <w:r>
              <w:rPr>
                <w:rFonts w:hint="eastAsia" w:ascii="宋体" w:hAnsi="宋体"/>
                <w:szCs w:val="24"/>
                <w:highlight w:val="none"/>
                <w:lang w:val="en-US" w:eastAsia="zh-CN"/>
              </w:rPr>
              <w:t>5.</w:t>
            </w:r>
            <w:r>
              <w:rPr>
                <w:rFonts w:hint="eastAsia" w:ascii="宋体" w:hAnsi="宋体"/>
                <w:szCs w:val="24"/>
                <w:highlight w:val="none"/>
              </w:rPr>
              <w:t>赎回款项于赎回</w:t>
            </w:r>
            <w:r>
              <w:rPr>
                <w:rFonts w:hint="eastAsia" w:ascii="宋体" w:hAnsi="宋体"/>
                <w:szCs w:val="24"/>
                <w:highlight w:val="none"/>
                <w:lang w:eastAsia="zh-CN"/>
              </w:rPr>
              <w:t>确认</w:t>
            </w:r>
            <w:r>
              <w:rPr>
                <w:rFonts w:hint="eastAsia" w:ascii="宋体" w:hAnsi="宋体"/>
                <w:szCs w:val="24"/>
                <w:highlight w:val="none"/>
              </w:rPr>
              <w:t>日后</w:t>
            </w:r>
            <w:r>
              <w:rPr>
                <w:rFonts w:hint="eastAsia" w:ascii="宋体" w:hAnsi="宋体"/>
                <w:szCs w:val="24"/>
                <w:highlight w:val="yellow"/>
                <w:lang w:eastAsia="zh-CN"/>
              </w:rPr>
              <w:t>【</w:t>
            </w:r>
            <w:r>
              <w:rPr>
                <w:rFonts w:hint="eastAsia" w:ascii="宋体" w:hAnsi="宋体"/>
                <w:szCs w:val="24"/>
                <w:highlight w:val="none"/>
                <w:lang w:val="en-US" w:eastAsia="zh-CN"/>
              </w:rPr>
              <w:t xml:space="preserve"> </w:t>
            </w:r>
            <w:r>
              <w:rPr>
                <w:rFonts w:hint="eastAsia" w:ascii="宋体" w:hAnsi="宋体"/>
                <w:szCs w:val="24"/>
                <w:highlight w:val="yellow"/>
                <w:lang w:eastAsia="zh-CN"/>
              </w:rPr>
              <w:t>】</w:t>
            </w:r>
            <w:r>
              <w:rPr>
                <w:rFonts w:hint="eastAsia" w:ascii="宋体" w:hAnsi="宋体"/>
                <w:szCs w:val="24"/>
                <w:highlight w:val="none"/>
              </w:rPr>
              <w:t>个</w:t>
            </w:r>
            <w:r>
              <w:rPr>
                <w:rFonts w:hint="eastAsia" w:ascii="仿宋_GB2312" w:hAnsi="宋体" w:cs="宋体"/>
                <w:bCs/>
                <w:color w:val="000000"/>
                <w:kern w:val="0"/>
                <w:szCs w:val="24"/>
                <w:highlight w:val="yellow"/>
                <w:lang w:eastAsia="zh-CN"/>
              </w:rPr>
              <w:t>【</w:t>
            </w:r>
            <w:r>
              <w:rPr>
                <w:rFonts w:hint="eastAsia" w:ascii="仿宋_GB2312" w:hAnsi="宋体"/>
                <w:color w:val="000000"/>
                <w:szCs w:val="24"/>
                <w:highlight w:val="none"/>
                <w:lang w:eastAsia="zh-CN"/>
              </w:rPr>
              <w:t>□</w:t>
            </w:r>
            <w:r>
              <w:rPr>
                <w:rFonts w:hint="eastAsia" w:ascii="仿宋_GB2312" w:hAnsi="宋体" w:cs="宋体"/>
                <w:bCs/>
                <w:color w:val="000000"/>
                <w:kern w:val="0"/>
                <w:szCs w:val="24"/>
                <w:highlight w:val="none"/>
              </w:rPr>
              <w:t>工作日</w:t>
            </w:r>
            <w:r>
              <w:rPr>
                <w:rFonts w:ascii="仿宋_GB2312" w:hAnsi="宋体" w:cs="宋体"/>
                <w:bCs/>
                <w:color w:val="000000"/>
                <w:kern w:val="0"/>
                <w:szCs w:val="24"/>
                <w:highlight w:val="none"/>
              </w:rPr>
              <w:t>/</w:t>
            </w:r>
            <w:r>
              <w:rPr>
                <w:rFonts w:hint="eastAsia" w:ascii="仿宋_GB2312" w:hAnsi="宋体"/>
                <w:color w:val="000000"/>
                <w:szCs w:val="24"/>
                <w:highlight w:val="none"/>
                <w:lang w:eastAsia="zh-CN"/>
              </w:rPr>
              <w:t>□</w:t>
            </w:r>
            <w:r>
              <w:rPr>
                <w:rFonts w:hint="eastAsia" w:ascii="仿宋_GB2312" w:hAnsi="宋体" w:cs="宋体"/>
                <w:bCs/>
                <w:color w:val="000000"/>
                <w:kern w:val="0"/>
                <w:szCs w:val="24"/>
                <w:highlight w:val="none"/>
              </w:rPr>
              <w:t>交易日</w:t>
            </w:r>
            <w:r>
              <w:rPr>
                <w:rFonts w:hint="eastAsia" w:ascii="仿宋_GB2312" w:hAnsi="宋体" w:cs="宋体"/>
                <w:bCs/>
                <w:color w:val="000000"/>
                <w:kern w:val="0"/>
                <w:szCs w:val="24"/>
                <w:highlight w:val="yellow"/>
                <w:lang w:eastAsia="zh-CN"/>
              </w:rPr>
              <w:t>】</w:t>
            </w:r>
            <w:r>
              <w:rPr>
                <w:rFonts w:hint="eastAsia" w:ascii="宋体" w:hAnsi="宋体"/>
                <w:szCs w:val="24"/>
                <w:highlight w:val="none"/>
              </w:rPr>
              <w:t>内支付给投资者。</w:t>
            </w:r>
          </w:p>
          <w:p w14:paraId="35DA2D7B">
            <w:pPr>
              <w:numPr>
                <w:ilvl w:val="0"/>
                <w:numId w:val="0"/>
              </w:numPr>
              <w:snapToGrid w:val="0"/>
              <w:rPr>
                <w:rFonts w:ascii="宋体" w:hAnsi="宋体"/>
                <w:szCs w:val="24"/>
              </w:rPr>
            </w:pPr>
            <w:r>
              <w:rPr>
                <w:rFonts w:hint="eastAsia" w:ascii="宋体" w:hAnsi="宋体"/>
                <w:color w:val="000000"/>
                <w:szCs w:val="24"/>
                <w:lang w:val="en-US" w:eastAsia="zh-CN"/>
              </w:rPr>
              <w:t>6.</w:t>
            </w:r>
            <w:r>
              <w:rPr>
                <w:rFonts w:hint="eastAsia" w:ascii="宋体" w:hAnsi="宋体"/>
                <w:color w:val="000000"/>
                <w:szCs w:val="24"/>
              </w:rPr>
              <w:t>浙银理财有权提前</w:t>
            </w:r>
            <w:r>
              <w:rPr>
                <w:rFonts w:hint="eastAsia" w:ascii="宋体" w:hAnsi="宋体"/>
                <w:szCs w:val="24"/>
                <w:highlight w:val="yellow"/>
                <w:lang w:eastAsia="zh-CN"/>
              </w:rPr>
              <w:t>【</w:t>
            </w:r>
            <w:r>
              <w:rPr>
                <w:rFonts w:hint="eastAsia" w:ascii="宋体" w:hAnsi="宋体"/>
                <w:szCs w:val="24"/>
                <w:highlight w:val="none"/>
                <w:lang w:val="en-US" w:eastAsia="zh-CN"/>
              </w:rPr>
              <w:t xml:space="preserve"> </w:t>
            </w:r>
            <w:r>
              <w:rPr>
                <w:rFonts w:hint="eastAsia" w:ascii="宋体" w:hAnsi="宋体"/>
                <w:szCs w:val="24"/>
                <w:highlight w:val="yellow"/>
                <w:lang w:eastAsia="zh-CN"/>
              </w:rPr>
              <w:t>】</w:t>
            </w:r>
            <w:r>
              <w:rPr>
                <w:rFonts w:hint="eastAsia" w:ascii="宋体" w:hAnsi="宋体"/>
                <w:color w:val="000000"/>
                <w:szCs w:val="24"/>
              </w:rPr>
              <w:t>个工作日公告并调整产品开放期限和开放时间。</w:t>
            </w:r>
            <w:r>
              <w:rPr>
                <w:rFonts w:hint="eastAsia" w:ascii="宋体" w:hAnsi="宋体"/>
                <w:color w:val="000000"/>
                <w:szCs w:val="24"/>
                <w:highlight w:val="yellow"/>
                <w:lang w:eastAsia="zh-CN"/>
              </w:rPr>
              <w:t>】</w:t>
            </w:r>
          </w:p>
          <w:p w14:paraId="08720B9F">
            <w:pPr>
              <w:snapToGrid w:val="0"/>
              <w:rPr>
                <w:rFonts w:ascii="宋体" w:hAnsi="宋体"/>
                <w:color w:val="auto"/>
                <w:szCs w:val="24"/>
                <w:highlight w:val="none"/>
              </w:rPr>
            </w:pPr>
          </w:p>
          <w:p w14:paraId="5C969D66">
            <w:pPr>
              <w:snapToGrid w:val="0"/>
              <w:rPr>
                <w:rFonts w:ascii="宋体" w:hAnsi="宋体"/>
                <w:color w:val="auto"/>
                <w:szCs w:val="24"/>
                <w:highlight w:val="none"/>
              </w:rPr>
            </w:pPr>
            <w:r>
              <w:rPr>
                <w:rFonts w:hint="eastAsia" w:ascii="宋体" w:hAnsi="宋体"/>
                <w:color w:val="auto"/>
                <w:szCs w:val="24"/>
                <w:highlight w:val="none"/>
              </w:rPr>
              <w:t>★注：关于销售机构的实际工作服务时段的提示</w:t>
            </w:r>
          </w:p>
          <w:p w14:paraId="7E1B8FB4">
            <w:pPr>
              <w:snapToGrid w:val="0"/>
              <w:rPr>
                <w:rFonts w:ascii="宋体" w:hAnsi="宋体"/>
                <w:color w:val="auto"/>
                <w:szCs w:val="24"/>
                <w:highlight w:val="none"/>
              </w:rPr>
            </w:pPr>
            <w:r>
              <w:rPr>
                <w:rFonts w:hint="eastAsia" w:ascii="宋体" w:hAnsi="宋体"/>
                <w:color w:val="auto"/>
                <w:szCs w:val="24"/>
                <w:highlight w:val="none"/>
              </w:rPr>
              <w:t>①为本产品办理相关交易的实际工作服务时段，因销售机构的不同可能存在差异（可能晚于销售文件约定的起始时点开始或早于销售文件约定的终止时点结束），投资者应当以销售机构的展示为准。</w:t>
            </w:r>
          </w:p>
          <w:p w14:paraId="50F2D666">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olor w:val="auto"/>
                <w:szCs w:val="24"/>
                <w:highlight w:val="none"/>
              </w:rPr>
              <w:t>②销售机构的实际工作服务时段，最早不得早于销售文件约定的起始时点、最晚不得晚于销售文件约定的终止时点。</w:t>
            </w:r>
          </w:p>
        </w:tc>
      </w:tr>
      <w:tr w14:paraId="57D1C5A4">
        <w:tblPrEx>
          <w:tblCellMar>
            <w:top w:w="0" w:type="dxa"/>
            <w:left w:w="108" w:type="dxa"/>
            <w:bottom w:w="0" w:type="dxa"/>
            <w:right w:w="108" w:type="dxa"/>
          </w:tblCellMar>
        </w:tblPrEx>
        <w:trPr>
          <w:trHeight w:val="1180" w:hRule="atLeast"/>
        </w:trPr>
        <w:tc>
          <w:tcPr>
            <w:tcW w:w="2453" w:type="dxa"/>
            <w:tcBorders>
              <w:top w:val="single" w:color="auto" w:sz="4" w:space="0"/>
              <w:left w:val="single" w:color="auto" w:sz="4" w:space="0"/>
              <w:bottom w:val="single" w:color="auto" w:sz="4" w:space="0"/>
              <w:right w:val="single" w:color="auto" w:sz="4" w:space="0"/>
            </w:tcBorders>
            <w:vAlign w:val="center"/>
          </w:tcPr>
          <w:p w14:paraId="2FAA066D">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巨额赎回</w:t>
            </w:r>
          </w:p>
        </w:tc>
        <w:tc>
          <w:tcPr>
            <w:tcW w:w="6972" w:type="dxa"/>
            <w:tcBorders>
              <w:top w:val="single" w:color="auto" w:sz="4" w:space="0"/>
              <w:left w:val="single" w:color="auto" w:sz="4" w:space="0"/>
              <w:bottom w:val="single" w:color="auto" w:sz="4" w:space="0"/>
              <w:right w:val="single" w:color="auto" w:sz="4" w:space="0"/>
            </w:tcBorders>
            <w:vAlign w:val="center"/>
          </w:tcPr>
          <w:p w14:paraId="0193DD35">
            <w:pPr>
              <w:keepNext w:val="0"/>
              <w:keepLines w:val="0"/>
              <w:widowControl/>
              <w:numPr>
                <w:ilvl w:val="-1"/>
                <w:numId w:val="0"/>
              </w:numPr>
              <w:suppressLineNumbers w:val="0"/>
              <w:spacing w:line="400" w:lineRule="exact"/>
              <w:jc w:val="left"/>
              <w:textAlignment w:val="center"/>
              <w:rPr>
                <w:rFonts w:hint="eastAsia" w:ascii="宋体" w:hAnsi="宋体" w:eastAsia="仿宋_GB2312" w:cstheme="minorBidi"/>
                <w:b/>
                <w:bCs w:val="0"/>
                <w:color w:val="auto"/>
                <w:kern w:val="2"/>
                <w:sz w:val="24"/>
                <w:szCs w:val="24"/>
                <w:highlight w:val="none"/>
                <w:u w:val="none"/>
                <w:lang w:val="en-US" w:eastAsia="zh-CN" w:bidi="ar"/>
              </w:rPr>
            </w:pPr>
            <w:r>
              <w:rPr>
                <w:rFonts w:hint="eastAsia" w:ascii="宋体" w:hAnsi="宋体" w:eastAsia="仿宋_GB2312" w:cstheme="minorBidi"/>
                <w:b/>
                <w:bCs w:val="0"/>
                <w:color w:val="auto"/>
                <w:kern w:val="2"/>
                <w:sz w:val="24"/>
                <w:szCs w:val="24"/>
                <w:highlight w:val="none"/>
                <w:u w:val="none"/>
                <w:lang w:val="en-US" w:eastAsia="zh-CN" w:bidi="ar"/>
              </w:rPr>
              <w:t>单个申购、赎回期内，产品净赎回申请（赎回申请总份额扣除申购总份额后的余额,下同）超过该申购、赎回期内的开放日前一日终理财产品总份额的【10％】，即为发生巨额赎回。</w:t>
            </w:r>
          </w:p>
          <w:p w14:paraId="02FBCF1F">
            <w:pPr>
              <w:keepNext w:val="0"/>
              <w:keepLines w:val="0"/>
              <w:widowControl/>
              <w:numPr>
                <w:ilvl w:val="-1"/>
                <w:numId w:val="0"/>
              </w:numPr>
              <w:suppressLineNumbers w:val="0"/>
              <w:spacing w:line="400" w:lineRule="exact"/>
              <w:jc w:val="left"/>
              <w:textAlignment w:val="center"/>
              <w:rPr>
                <w:rFonts w:hint="eastAsia" w:ascii="宋体" w:hAnsi="宋体" w:eastAsia="仿宋_GB2312" w:cstheme="minorBidi"/>
                <w:b/>
                <w:bCs w:val="0"/>
                <w:color w:val="auto"/>
                <w:kern w:val="2"/>
                <w:sz w:val="24"/>
                <w:szCs w:val="24"/>
                <w:highlight w:val="none"/>
                <w:u w:val="none"/>
                <w:lang w:val="en-US" w:eastAsia="zh-CN" w:bidi="ar"/>
              </w:rPr>
            </w:pPr>
            <w:r>
              <w:rPr>
                <w:rFonts w:hint="eastAsia" w:ascii="宋体" w:hAnsi="宋体" w:eastAsia="仿宋_GB2312" w:cstheme="minorBidi"/>
                <w:b/>
                <w:bCs w:val="0"/>
                <w:color w:val="auto"/>
                <w:kern w:val="2"/>
                <w:sz w:val="24"/>
                <w:szCs w:val="24"/>
                <w:highlight w:val="none"/>
                <w:u w:val="none"/>
                <w:lang w:val="en-US" w:eastAsia="zh-CN" w:bidi="ar"/>
              </w:rPr>
              <w:t>本理财产品在申购、赎回期发生巨额赎回时，管理人有权根据产品的实际运作情况采取如下措施中的一种：</w:t>
            </w:r>
          </w:p>
          <w:p w14:paraId="27171265">
            <w:pPr>
              <w:keepNext w:val="0"/>
              <w:keepLines w:val="0"/>
              <w:widowControl/>
              <w:numPr>
                <w:ilvl w:val="-1"/>
                <w:numId w:val="0"/>
              </w:numPr>
              <w:suppressLineNumbers w:val="0"/>
              <w:spacing w:line="400" w:lineRule="exact"/>
              <w:jc w:val="left"/>
              <w:textAlignment w:val="center"/>
              <w:rPr>
                <w:rFonts w:hint="eastAsia" w:ascii="宋体" w:hAnsi="宋体" w:eastAsia="仿宋_GB2312" w:cstheme="minorBidi"/>
                <w:b/>
                <w:bCs w:val="0"/>
                <w:color w:val="auto"/>
                <w:kern w:val="2"/>
                <w:sz w:val="24"/>
                <w:szCs w:val="24"/>
                <w:highlight w:val="none"/>
                <w:u w:val="none"/>
                <w:lang w:val="en-US" w:eastAsia="zh-CN" w:bidi="ar"/>
              </w:rPr>
            </w:pPr>
            <w:r>
              <w:rPr>
                <w:rFonts w:hint="eastAsia" w:ascii="宋体" w:hAnsi="宋体" w:eastAsia="仿宋_GB2312" w:cstheme="minorBidi"/>
                <w:b/>
                <w:bCs w:val="0"/>
                <w:color w:val="auto"/>
                <w:kern w:val="2"/>
                <w:sz w:val="24"/>
                <w:szCs w:val="24"/>
                <w:highlight w:val="none"/>
                <w:u w:val="none"/>
                <w:lang w:val="en-US" w:eastAsia="zh-CN" w:bidi="ar"/>
              </w:rPr>
              <w:t>1.接受全额赎回：当管理人认为有能力兑付投资者的全部赎回申请时，将在赎回确认日按正常赎回程序执行；</w:t>
            </w:r>
          </w:p>
          <w:p w14:paraId="21175408">
            <w:pPr>
              <w:keepNext w:val="0"/>
              <w:keepLines w:val="0"/>
              <w:widowControl/>
              <w:numPr>
                <w:ilvl w:val="-1"/>
                <w:numId w:val="0"/>
              </w:numPr>
              <w:suppressLineNumbers w:val="0"/>
              <w:spacing w:line="400" w:lineRule="exact"/>
              <w:jc w:val="left"/>
              <w:textAlignment w:val="center"/>
              <w:rPr>
                <w:rFonts w:hint="eastAsia" w:ascii="宋体" w:hAnsi="宋体" w:eastAsia="仿宋_GB2312" w:cstheme="minorBidi"/>
                <w:b/>
                <w:bCs w:val="0"/>
                <w:color w:val="auto"/>
                <w:kern w:val="2"/>
                <w:sz w:val="24"/>
                <w:szCs w:val="24"/>
                <w:highlight w:val="none"/>
                <w:u w:val="none"/>
                <w:lang w:val="en-US" w:eastAsia="zh-CN" w:bidi="ar"/>
              </w:rPr>
            </w:pPr>
            <w:r>
              <w:rPr>
                <w:rFonts w:hint="eastAsia" w:ascii="宋体" w:hAnsi="宋体" w:eastAsia="仿宋_GB2312" w:cstheme="minorBidi"/>
                <w:b/>
                <w:bCs w:val="0"/>
                <w:color w:val="auto"/>
                <w:kern w:val="2"/>
                <w:sz w:val="24"/>
                <w:szCs w:val="24"/>
                <w:highlight w:val="none"/>
                <w:u w:val="none"/>
                <w:lang w:val="en-US" w:eastAsia="zh-CN" w:bidi="ar"/>
              </w:rPr>
              <w:t>2.接受部分赎回：当管理人认为兑付投资者的赎回申请有困难，或认为兑付投资者的赎回申请可能会对本理财产品的资产净值造成较大波动时，在赎回确认日管理人办理的赎回份额将不低于开放日前一日终理财产品总份额的10%，对于其余赎回申请管理人可暂停接受或延期办理。</w:t>
            </w:r>
          </w:p>
          <w:p w14:paraId="387BB1A5">
            <w:pPr>
              <w:keepNext w:val="0"/>
              <w:keepLines w:val="0"/>
              <w:widowControl/>
              <w:numPr>
                <w:ilvl w:val="-1"/>
                <w:numId w:val="0"/>
              </w:numPr>
              <w:suppressLineNumbers w:val="0"/>
              <w:spacing w:line="400" w:lineRule="exact"/>
              <w:jc w:val="left"/>
              <w:textAlignment w:val="center"/>
              <w:rPr>
                <w:rFonts w:hint="eastAsia" w:ascii="宋体" w:hAnsi="宋体" w:eastAsia="仿宋_GB2312" w:cstheme="minorBidi"/>
                <w:b/>
                <w:bCs w:val="0"/>
                <w:color w:val="auto"/>
                <w:kern w:val="2"/>
                <w:sz w:val="24"/>
                <w:szCs w:val="24"/>
                <w:highlight w:val="none"/>
                <w:u w:val="none"/>
                <w:lang w:val="en-US" w:eastAsia="zh-CN" w:bidi="ar"/>
              </w:rPr>
            </w:pPr>
            <w:r>
              <w:rPr>
                <w:rFonts w:hint="eastAsia" w:ascii="宋体" w:hAnsi="宋体" w:eastAsia="仿宋_GB2312" w:cstheme="minorBidi"/>
                <w:b/>
                <w:bCs w:val="0"/>
                <w:color w:val="auto"/>
                <w:kern w:val="2"/>
                <w:sz w:val="24"/>
                <w:szCs w:val="24"/>
                <w:highlight w:val="none"/>
                <w:u w:val="none"/>
                <w:lang w:val="en-US" w:eastAsia="zh-CN" w:bidi="ar"/>
              </w:rPr>
              <w:t>（1）对于接受赎回申请的部分，管理人将按单个投资者的赎回申请份额占当个申购、赎回期所有投资者的净赎回申请总份额的比例，确认该投资者当期办理的赎回申请份额。</w:t>
            </w:r>
          </w:p>
          <w:p w14:paraId="78A1693F">
            <w:pPr>
              <w:keepNext w:val="0"/>
              <w:keepLines w:val="0"/>
              <w:widowControl/>
              <w:numPr>
                <w:ilvl w:val="-1"/>
                <w:numId w:val="0"/>
              </w:numPr>
              <w:suppressLineNumbers w:val="0"/>
              <w:spacing w:line="400" w:lineRule="exact"/>
              <w:jc w:val="left"/>
              <w:textAlignment w:val="center"/>
              <w:rPr>
                <w:rFonts w:hint="eastAsia" w:ascii="宋体" w:hAnsi="宋体" w:eastAsia="仿宋_GB2312" w:cstheme="minorBidi"/>
                <w:b/>
                <w:bCs w:val="0"/>
                <w:color w:val="auto"/>
                <w:kern w:val="2"/>
                <w:sz w:val="24"/>
                <w:szCs w:val="24"/>
                <w:highlight w:val="none"/>
                <w:u w:val="none"/>
                <w:lang w:val="en-US" w:eastAsia="zh-CN" w:bidi="ar"/>
              </w:rPr>
            </w:pPr>
            <w:r>
              <w:rPr>
                <w:rFonts w:hint="eastAsia" w:ascii="宋体" w:hAnsi="宋体" w:eastAsia="仿宋_GB2312" w:cstheme="minorBidi"/>
                <w:b/>
                <w:bCs w:val="0"/>
                <w:color w:val="auto"/>
                <w:kern w:val="2"/>
                <w:sz w:val="24"/>
                <w:szCs w:val="24"/>
                <w:highlight w:val="none"/>
                <w:u w:val="none"/>
                <w:lang w:val="en-US" w:eastAsia="zh-CN" w:bidi="ar"/>
              </w:rPr>
              <w:t>（2）对于暂停接受的部分，管理人将拒绝该部分赎回申请，投资者可在下一个产品申购、赎回期再次发起赎回申请。</w:t>
            </w:r>
          </w:p>
          <w:p w14:paraId="7CBDD799">
            <w:pPr>
              <w:keepNext w:val="0"/>
              <w:keepLines w:val="0"/>
              <w:widowControl/>
              <w:numPr>
                <w:ilvl w:val="-1"/>
                <w:numId w:val="0"/>
              </w:numPr>
              <w:suppressLineNumbers w:val="0"/>
              <w:spacing w:line="400" w:lineRule="exact"/>
              <w:jc w:val="left"/>
              <w:textAlignment w:val="center"/>
              <w:rPr>
                <w:rFonts w:hint="eastAsia" w:ascii="宋体" w:hAnsi="宋体"/>
                <w:b/>
                <w:bCs w:val="0"/>
                <w:color w:val="auto"/>
                <w:szCs w:val="24"/>
                <w:highlight w:val="none"/>
                <w:u w:val="none"/>
              </w:rPr>
            </w:pPr>
            <w:r>
              <w:rPr>
                <w:rFonts w:hint="eastAsia" w:ascii="宋体" w:hAnsi="宋体"/>
                <w:b/>
                <w:color w:val="000000"/>
                <w:szCs w:val="24"/>
                <w:highlight w:val="none"/>
              </w:rPr>
              <w:t>（</w:t>
            </w:r>
            <w:r>
              <w:rPr>
                <w:rFonts w:ascii="宋体" w:hAnsi="宋体"/>
                <w:b/>
                <w:color w:val="000000"/>
                <w:szCs w:val="24"/>
                <w:highlight w:val="none"/>
              </w:rPr>
              <w:t>3</w:t>
            </w:r>
            <w:r>
              <w:rPr>
                <w:rFonts w:hint="eastAsia" w:ascii="宋体" w:hAnsi="宋体"/>
                <w:b/>
                <w:color w:val="000000"/>
                <w:szCs w:val="24"/>
                <w:highlight w:val="none"/>
              </w:rPr>
              <w:t>）对于延期办理的部分，管理人将在下一个产品申购、赎回期自动为投资者发起该部分的赎回，延期赎回的申请与下一个</w:t>
            </w:r>
            <w:r>
              <w:rPr>
                <w:rFonts w:hint="eastAsia" w:ascii="宋体" w:hAnsi="宋体"/>
                <w:b/>
                <w:color w:val="000000"/>
                <w:szCs w:val="24"/>
                <w:highlight w:val="yellow"/>
                <w:lang w:eastAsia="zh-CN"/>
              </w:rPr>
              <w:t>【</w:t>
            </w:r>
            <w:r>
              <w:rPr>
                <w:rFonts w:hint="eastAsia" w:ascii="宋体" w:hAnsi="宋体"/>
                <w:b/>
                <w:color w:val="000000"/>
                <w:szCs w:val="24"/>
                <w:highlight w:val="yellow"/>
              </w:rPr>
              <w:t>申购、赎回期</w:t>
            </w:r>
            <w:r>
              <w:rPr>
                <w:rFonts w:hint="eastAsia" w:ascii="宋体" w:hAnsi="宋体"/>
                <w:b/>
                <w:color w:val="000000"/>
                <w:szCs w:val="24"/>
                <w:highlight w:val="yellow"/>
                <w:lang w:eastAsia="zh-CN"/>
              </w:rPr>
              <w:t>】</w:t>
            </w:r>
            <w:r>
              <w:rPr>
                <w:rFonts w:hint="eastAsia" w:ascii="宋体" w:hAnsi="宋体"/>
                <w:b/>
                <w:color w:val="000000"/>
                <w:szCs w:val="24"/>
                <w:highlight w:val="none"/>
              </w:rPr>
              <w:t>赎回申请一并处理，不享有优先确认权，且赎回净值为下一个产品开放日的净值，直至该部分全部被确认。在延期办理的部分全部被确认前，投资者不可撤销该部分的赎回申请。本理财产品发生巨额赎回、管理人接受部分赎回时，对于暂停接受和延期办理的部分，管理人可能需在下一个</w:t>
            </w:r>
            <w:r>
              <w:rPr>
                <w:rFonts w:hint="eastAsia" w:ascii="宋体" w:hAnsi="宋体"/>
                <w:b/>
                <w:color w:val="000000"/>
                <w:szCs w:val="24"/>
                <w:highlight w:val="yellow"/>
                <w:lang w:eastAsia="zh-CN"/>
              </w:rPr>
              <w:t>【</w:t>
            </w:r>
            <w:r>
              <w:rPr>
                <w:rFonts w:hint="eastAsia" w:ascii="宋体" w:hAnsi="宋体"/>
                <w:b/>
                <w:color w:val="000000"/>
                <w:szCs w:val="24"/>
                <w:highlight w:val="yellow"/>
              </w:rPr>
              <w:t>申购、赎回期对应的确认日</w:t>
            </w:r>
            <w:r>
              <w:rPr>
                <w:rFonts w:hint="eastAsia" w:ascii="宋体" w:hAnsi="宋体"/>
                <w:b/>
                <w:color w:val="000000"/>
                <w:szCs w:val="24"/>
                <w:highlight w:val="yellow"/>
                <w:lang w:eastAsia="zh-CN"/>
              </w:rPr>
              <w:t>】</w:t>
            </w:r>
            <w:r>
              <w:rPr>
                <w:rFonts w:hint="eastAsia" w:ascii="宋体" w:hAnsi="宋体"/>
                <w:b/>
                <w:color w:val="000000"/>
                <w:szCs w:val="24"/>
                <w:highlight w:val="none"/>
              </w:rPr>
              <w:t>才可确认，可能影响投资者的资金安排。根据不同销售机构提供的服务，投资者可以在申请赎回时选择在触发巨额赎回情形下将当期未获办理部分取消或者顺延。投资者选择取消的，未获办理部分管理人将参考“</w:t>
            </w:r>
            <w:r>
              <w:rPr>
                <w:rFonts w:ascii="宋体" w:hAnsi="宋体"/>
                <w:b/>
                <w:color w:val="000000"/>
                <w:szCs w:val="24"/>
                <w:highlight w:val="none"/>
              </w:rPr>
              <w:t>2.</w:t>
            </w:r>
            <w:r>
              <w:rPr>
                <w:rFonts w:hint="eastAsia" w:ascii="宋体" w:hAnsi="宋体"/>
                <w:b/>
                <w:color w:val="000000"/>
                <w:szCs w:val="24"/>
                <w:highlight w:val="none"/>
              </w:rPr>
              <w:t>接受部分赎回（</w:t>
            </w:r>
            <w:r>
              <w:rPr>
                <w:rFonts w:ascii="宋体" w:hAnsi="宋体"/>
                <w:b/>
                <w:color w:val="000000"/>
                <w:szCs w:val="24"/>
                <w:highlight w:val="none"/>
              </w:rPr>
              <w:t>2</w:t>
            </w:r>
            <w:r>
              <w:rPr>
                <w:rFonts w:hint="eastAsia" w:ascii="宋体" w:hAnsi="宋体"/>
                <w:b/>
                <w:color w:val="000000"/>
                <w:szCs w:val="24"/>
                <w:highlight w:val="none"/>
              </w:rPr>
              <w:t>）对于暂停接受的部分”采取措施；投资者选择顺延的，顺延部分管理人将参考“</w:t>
            </w:r>
            <w:r>
              <w:rPr>
                <w:rFonts w:ascii="宋体" w:hAnsi="宋体"/>
                <w:b/>
                <w:color w:val="000000"/>
                <w:szCs w:val="24"/>
                <w:highlight w:val="none"/>
              </w:rPr>
              <w:t>2.</w:t>
            </w:r>
            <w:r>
              <w:rPr>
                <w:rFonts w:hint="eastAsia" w:ascii="宋体" w:hAnsi="宋体"/>
                <w:b/>
                <w:color w:val="000000"/>
                <w:szCs w:val="24"/>
                <w:highlight w:val="none"/>
              </w:rPr>
              <w:t>接受部分赎回（</w:t>
            </w:r>
            <w:r>
              <w:rPr>
                <w:rFonts w:ascii="宋体" w:hAnsi="宋体"/>
                <w:b/>
                <w:color w:val="000000"/>
                <w:szCs w:val="24"/>
                <w:highlight w:val="none"/>
              </w:rPr>
              <w:t>3</w:t>
            </w:r>
            <w:r>
              <w:rPr>
                <w:rFonts w:hint="eastAsia" w:ascii="宋体" w:hAnsi="宋体"/>
                <w:b/>
                <w:color w:val="000000"/>
                <w:szCs w:val="24"/>
                <w:highlight w:val="none"/>
              </w:rPr>
              <w:t>）对于延期办理的部分”采取措施。具体服务投资者可详询销售机构，最终以销售机构提供的服务为准。</w:t>
            </w:r>
            <w:r>
              <w:rPr>
                <w:rFonts w:hint="eastAsia" w:ascii="宋体" w:hAnsi="宋体" w:cstheme="minorBidi"/>
                <w:b/>
                <w:bCs w:val="0"/>
                <w:color w:val="auto"/>
                <w:kern w:val="2"/>
                <w:sz w:val="24"/>
                <w:szCs w:val="24"/>
                <w:highlight w:val="none"/>
                <w:u w:val="none"/>
                <w:lang w:val="en-US" w:eastAsia="zh-CN" w:bidi="ar"/>
              </w:rPr>
              <w:t>3.</w:t>
            </w:r>
            <w:r>
              <w:rPr>
                <w:rFonts w:hint="eastAsia" w:ascii="宋体" w:hAnsi="宋体" w:eastAsia="仿宋_GB2312" w:cstheme="minorBidi"/>
                <w:b/>
                <w:bCs w:val="0"/>
                <w:color w:val="auto"/>
                <w:kern w:val="2"/>
                <w:sz w:val="24"/>
                <w:szCs w:val="24"/>
                <w:highlight w:val="none"/>
                <w:u w:val="none"/>
                <w:lang w:val="en-US" w:eastAsia="zh-CN" w:bidi="ar"/>
              </w:rPr>
              <w:t>收取短期赎回费：产品发生巨额赎回或产品管理人认为可能会导致产品流动性风险的其他情形下，产品管理人可向连续持有少于7日的开放式理财产品投资者收取短期赎回费，并将上述短期赎回费全额计入理财产品财产。产品管理人将在收取短期赎回费后3个</w:t>
            </w:r>
            <w:r>
              <w:rPr>
                <w:rFonts w:hint="eastAsia" w:ascii="宋体" w:hAnsi="宋体" w:cstheme="minorBidi"/>
                <w:b/>
                <w:bCs w:val="0"/>
                <w:color w:val="auto"/>
                <w:kern w:val="2"/>
                <w:sz w:val="24"/>
                <w:szCs w:val="24"/>
                <w:highlight w:val="none"/>
                <w:u w:val="none"/>
                <w:lang w:val="en-US" w:eastAsia="zh-CN" w:bidi="ar"/>
              </w:rPr>
              <w:t>交易日</w:t>
            </w:r>
            <w:r>
              <w:rPr>
                <w:rFonts w:hint="eastAsia" w:ascii="宋体" w:hAnsi="宋体" w:eastAsia="仿宋_GB2312" w:cstheme="minorBidi"/>
                <w:b/>
                <w:bCs w:val="0"/>
                <w:color w:val="auto"/>
                <w:kern w:val="2"/>
                <w:sz w:val="24"/>
                <w:szCs w:val="24"/>
                <w:highlight w:val="none"/>
                <w:u w:val="none"/>
                <w:lang w:val="en-US" w:eastAsia="zh-CN" w:bidi="ar"/>
              </w:rPr>
              <w:t>内通过公告的形式向相关投资者披露短期赎回费率、费用计算方式、收费方式等信息。</w:t>
            </w:r>
          </w:p>
          <w:p w14:paraId="7E424199">
            <w:pPr>
              <w:widowControl/>
              <w:spacing w:line="400" w:lineRule="exact"/>
              <w:jc w:val="left"/>
              <w:textAlignment w:val="center"/>
              <w:rPr>
                <w:rFonts w:hint="eastAsia" w:asciiTheme="minorEastAsia" w:hAnsiTheme="minorEastAsia"/>
                <w:b/>
                <w:color w:val="auto"/>
                <w:szCs w:val="24"/>
                <w:highlight w:val="none"/>
                <w:u w:val="none"/>
              </w:rPr>
            </w:pPr>
          </w:p>
          <w:p w14:paraId="62CE5413">
            <w:pPr>
              <w:widowControl/>
              <w:spacing w:line="400" w:lineRule="exact"/>
              <w:jc w:val="left"/>
              <w:textAlignment w:val="center"/>
              <w:rPr>
                <w:rFonts w:hint="eastAsia"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当本理财产品连续</w:t>
            </w:r>
            <w:r>
              <w:rPr>
                <w:rFonts w:ascii="仿宋_GB2312" w:hAnsi="宋体" w:cs="宋体"/>
                <w:b/>
                <w:bCs/>
                <w:color w:val="auto"/>
                <w:kern w:val="0"/>
                <w:szCs w:val="24"/>
                <w:highlight w:val="none"/>
                <w:u w:val="none"/>
              </w:rPr>
              <w:t>2</w:t>
            </w:r>
            <w:r>
              <w:rPr>
                <w:rFonts w:hint="eastAsia" w:ascii="仿宋_GB2312" w:hAnsi="宋体" w:cs="宋体"/>
                <w:b/>
                <w:bCs/>
                <w:color w:val="auto"/>
                <w:kern w:val="0"/>
                <w:szCs w:val="24"/>
                <w:highlight w:val="none"/>
                <w:u w:val="none"/>
              </w:rPr>
              <w:t>个以上开放日发生巨额赎回时，除采取上述措施外，对于已经接受的赎回申请，管理人有权延缓支付赎回款项，但延缓期限不得超过</w:t>
            </w:r>
            <w:r>
              <w:rPr>
                <w:rFonts w:ascii="仿宋_GB2312" w:hAnsi="宋体" w:cs="宋体"/>
                <w:b/>
                <w:bCs/>
                <w:color w:val="auto"/>
                <w:kern w:val="0"/>
                <w:szCs w:val="24"/>
                <w:highlight w:val="none"/>
                <w:u w:val="none"/>
              </w:rPr>
              <w:t>20</w:t>
            </w:r>
            <w:r>
              <w:rPr>
                <w:rFonts w:hint="eastAsia" w:ascii="仿宋_GB2312" w:hAnsi="宋体" w:cs="宋体"/>
                <w:b/>
                <w:bCs/>
                <w:color w:val="auto"/>
                <w:kern w:val="0"/>
                <w:szCs w:val="24"/>
                <w:highlight w:val="none"/>
                <w:u w:val="none"/>
              </w:rPr>
              <w:t>个工作日。</w:t>
            </w:r>
          </w:p>
        </w:tc>
      </w:tr>
      <w:tr w14:paraId="3F13AC2D">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BC36574">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Theme="minorEastAsia" w:hAnsiTheme="minorEastAsia"/>
                <w:color w:val="auto"/>
                <w:kern w:val="0"/>
                <w:szCs w:val="24"/>
                <w:highlight w:val="none"/>
                <w:u w:val="none"/>
              </w:rPr>
              <w:t>撤销规则</w:t>
            </w:r>
          </w:p>
        </w:tc>
        <w:tc>
          <w:tcPr>
            <w:tcW w:w="6972" w:type="dxa"/>
            <w:tcBorders>
              <w:top w:val="single" w:color="auto" w:sz="4" w:space="0"/>
              <w:left w:val="single" w:color="auto" w:sz="4" w:space="0"/>
              <w:bottom w:val="single" w:color="auto" w:sz="4" w:space="0"/>
              <w:right w:val="single" w:color="auto" w:sz="4" w:space="0"/>
            </w:tcBorders>
            <w:vAlign w:val="center"/>
          </w:tcPr>
          <w:p w14:paraId="4CC21485">
            <w:pPr>
              <w:snapToGrid w:val="0"/>
              <w:jc w:val="left"/>
              <w:rPr>
                <w:rFonts w:ascii="宋体" w:hAnsi="宋体"/>
                <w:color w:val="auto"/>
                <w:szCs w:val="24"/>
                <w:highlight w:val="none"/>
              </w:rPr>
            </w:pPr>
            <w:r>
              <w:rPr>
                <w:rFonts w:hint="eastAsia" w:ascii="宋体" w:hAnsi="宋体"/>
                <w:color w:val="auto"/>
                <w:szCs w:val="24"/>
                <w:highlight w:val="none"/>
              </w:rPr>
              <w:t>1.投资者可在本理财产品募集期结束前撤销已成功提交的产品认购申请；</w:t>
            </w:r>
          </w:p>
          <w:p w14:paraId="465A61A9">
            <w:pPr>
              <w:snapToGrid w:val="0"/>
              <w:jc w:val="left"/>
              <w:rPr>
                <w:rFonts w:ascii="宋体" w:hAnsi="宋体"/>
                <w:color w:val="auto"/>
                <w:szCs w:val="24"/>
                <w:highlight w:val="none"/>
              </w:rPr>
            </w:pPr>
            <w:r>
              <w:rPr>
                <w:rFonts w:hint="eastAsia" w:ascii="宋体" w:hAnsi="宋体"/>
                <w:color w:val="auto"/>
                <w:szCs w:val="24"/>
                <w:highlight w:val="none"/>
              </w:rPr>
              <w:t>2.投资者可</w:t>
            </w:r>
            <w:r>
              <w:rPr>
                <w:rFonts w:hint="eastAsia" w:ascii="宋体" w:hAnsi="宋体"/>
                <w:b/>
                <w:color w:val="auto"/>
                <w:szCs w:val="24"/>
                <w:highlight w:val="none"/>
              </w:rPr>
              <w:t>在</w:t>
            </w:r>
            <w:r>
              <w:rPr>
                <w:rFonts w:hint="eastAsia" w:ascii="宋体" w:hAnsi="宋体"/>
                <w:b/>
                <w:color w:val="auto"/>
                <w:szCs w:val="24"/>
                <w:highlight w:val="none"/>
                <w:lang w:eastAsia="zh-CN"/>
              </w:rPr>
              <w:t>开放期内任一</w:t>
            </w:r>
            <w:r>
              <w:rPr>
                <w:rFonts w:hint="eastAsia" w:ascii="仿宋_GB2312" w:hAnsi="宋体" w:cs="宋体"/>
                <w:bCs/>
                <w:color w:val="auto"/>
                <w:kern w:val="0"/>
                <w:szCs w:val="24"/>
                <w:highlight w:val="yellow"/>
                <w:lang w:eastAsia="zh-CN"/>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工作日</w:t>
            </w:r>
            <w:r>
              <w:rPr>
                <w:rFonts w:ascii="仿宋_GB2312" w:hAnsi="宋体" w:cs="宋体"/>
                <w:bCs/>
                <w:color w:val="auto"/>
                <w:kern w:val="0"/>
                <w:szCs w:val="24"/>
                <w:highlight w:val="yellow"/>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交易日</w:t>
            </w:r>
            <w:r>
              <w:rPr>
                <w:rFonts w:hint="eastAsia" w:ascii="仿宋_GB2312" w:hAnsi="宋体" w:cs="宋体"/>
                <w:bCs/>
                <w:color w:val="auto"/>
                <w:kern w:val="0"/>
                <w:szCs w:val="24"/>
                <w:highlight w:val="yellow"/>
                <w:lang w:eastAsia="zh-CN"/>
              </w:rPr>
              <w:t>】</w:t>
            </w:r>
            <w:r>
              <w:rPr>
                <w:rFonts w:hint="eastAsia" w:ascii="宋体" w:hAnsi="宋体"/>
                <w:color w:val="auto"/>
                <w:szCs w:val="24"/>
                <w:highlight w:val="yellow"/>
                <w:lang w:eastAsia="zh-CN"/>
              </w:rPr>
              <w:t>【】</w:t>
            </w:r>
            <w:r>
              <w:rPr>
                <w:rFonts w:hint="eastAsia" w:ascii="宋体" w:hAnsi="宋体"/>
                <w:b/>
                <w:color w:val="auto"/>
                <w:szCs w:val="24"/>
                <w:highlight w:val="none"/>
              </w:rPr>
              <w:t>前（含）撤销已成功提交的理财产品申购、赎回申请，</w:t>
            </w:r>
            <w:r>
              <w:rPr>
                <w:rFonts w:hint="eastAsia" w:ascii="宋体" w:hAnsi="宋体"/>
                <w:color w:val="auto"/>
                <w:szCs w:val="24"/>
                <w:highlight w:val="yellow"/>
                <w:lang w:eastAsia="zh-CN"/>
              </w:rPr>
              <w:t>【】</w:t>
            </w:r>
            <w:r>
              <w:rPr>
                <w:rFonts w:hint="eastAsia" w:ascii="宋体" w:hAnsi="宋体"/>
                <w:b/>
                <w:color w:val="auto"/>
                <w:szCs w:val="24"/>
                <w:highlight w:val="none"/>
              </w:rPr>
              <w:t>后不可撤销</w:t>
            </w:r>
            <w:r>
              <w:rPr>
                <w:rFonts w:hint="eastAsia" w:ascii="宋体" w:hAnsi="宋体"/>
                <w:color w:val="auto"/>
                <w:szCs w:val="24"/>
                <w:highlight w:val="none"/>
              </w:rPr>
              <w:t>；</w:t>
            </w:r>
          </w:p>
          <w:p w14:paraId="28E26AE2">
            <w:pPr>
              <w:snapToGrid w:val="0"/>
              <w:jc w:val="left"/>
              <w:rPr>
                <w:rFonts w:hint="eastAsia" w:ascii="仿宋" w:hAnsi="仿宋" w:eastAsia="仿宋" w:cs="宋体"/>
                <w:bCs/>
                <w:color w:val="000000" w:themeColor="text1"/>
                <w:kern w:val="0"/>
                <w:sz w:val="24"/>
                <w:lang w:bidi="ar"/>
                <w14:textFill>
                  <w14:solidFill>
                    <w14:schemeClr w14:val="tx1"/>
                  </w14:solidFill>
                </w14:textFill>
              </w:rPr>
            </w:pPr>
            <w:r>
              <w:rPr>
                <w:rFonts w:hint="eastAsia" w:ascii="宋体" w:hAnsi="宋体"/>
                <w:color w:val="auto"/>
                <w:szCs w:val="24"/>
                <w:highlight w:val="none"/>
              </w:rPr>
              <w:t>3.</w:t>
            </w:r>
            <w:r>
              <w:rPr>
                <w:rFonts w:hint="eastAsia"/>
                <w:b/>
                <w:color w:val="auto"/>
                <w:szCs w:val="24"/>
                <w:highlight w:val="none"/>
              </w:rPr>
              <w:t>销售机构实际受理撤销申请时间可能与说明书不一致，具体以销售机构展示为准。</w:t>
            </w:r>
          </w:p>
        </w:tc>
      </w:tr>
      <w:tr w14:paraId="0E70E017">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DF2C164">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bCs/>
                <w:color w:val="auto"/>
                <w:szCs w:val="24"/>
                <w:highlight w:val="none"/>
                <w:u w:val="none"/>
              </w:rPr>
              <w:t>认/申购数量</w:t>
            </w:r>
            <w:r>
              <w:rPr>
                <w:rFonts w:ascii="宋体" w:hAnsi="宋体"/>
                <w:bCs/>
                <w:color w:val="auto"/>
                <w:szCs w:val="24"/>
                <w:highlight w:val="none"/>
                <w:u w:val="none"/>
              </w:rPr>
              <w:t>限制</w:t>
            </w:r>
          </w:p>
        </w:tc>
        <w:tc>
          <w:tcPr>
            <w:tcW w:w="6972" w:type="dxa"/>
            <w:tcBorders>
              <w:top w:val="single" w:color="auto" w:sz="4" w:space="0"/>
              <w:left w:val="single" w:color="auto" w:sz="4" w:space="0"/>
              <w:bottom w:val="single" w:color="auto" w:sz="4" w:space="0"/>
              <w:right w:val="single" w:color="auto" w:sz="4" w:space="0"/>
            </w:tcBorders>
            <w:vAlign w:val="center"/>
          </w:tcPr>
          <w:p w14:paraId="0141F48C">
            <w:pPr>
              <w:widowControl/>
              <w:numPr>
                <w:ilvl w:val="0"/>
                <w:numId w:val="6"/>
              </w:numPr>
              <w:jc w:val="left"/>
              <w:rPr>
                <w:rFonts w:asciiTheme="minorEastAsia" w:hAnsiTheme="minorEastAsia"/>
                <w:color w:val="auto"/>
                <w:szCs w:val="24"/>
                <w:highlight w:val="none"/>
                <w:u w:val="none"/>
              </w:rPr>
            </w:pPr>
            <w:r>
              <w:rPr>
                <w:rFonts w:hint="eastAsia" w:ascii="宋体" w:hAnsi="宋体"/>
                <w:bCs/>
                <w:color w:val="auto"/>
                <w:szCs w:val="24"/>
                <w:highlight w:val="yellow"/>
                <w:u w:val="none"/>
                <w:lang w:val="en-US" w:eastAsia="zh-CN"/>
              </w:rPr>
              <w:t>【A类份额】</w:t>
            </w:r>
            <w:r>
              <w:rPr>
                <w:rFonts w:hint="eastAsia" w:ascii="宋体" w:hAnsi="宋体"/>
                <w:bCs/>
                <w:color w:val="auto"/>
                <w:szCs w:val="24"/>
                <w:highlight w:val="none"/>
                <w:u w:val="none"/>
                <w:lang w:val="en-US" w:eastAsia="zh-CN"/>
              </w:rPr>
              <w:t>：</w:t>
            </w:r>
            <w:r>
              <w:rPr>
                <w:rFonts w:hint="eastAsia" w:ascii="宋体" w:hAnsi="宋体"/>
                <w:bCs/>
                <w:color w:val="auto"/>
                <w:szCs w:val="24"/>
                <w:highlight w:val="yellow"/>
                <w:u w:val="none"/>
                <w:lang w:eastAsia="zh-CN"/>
              </w:rPr>
              <w:t>【单一</w:t>
            </w:r>
            <w:r>
              <w:rPr>
                <w:rFonts w:hint="eastAsia" w:ascii="宋体" w:hAnsi="宋体"/>
                <w:bCs/>
                <w:color w:val="auto"/>
                <w:szCs w:val="24"/>
                <w:highlight w:val="yellow"/>
                <w:u w:val="none"/>
                <w:lang w:val="en-US" w:eastAsia="zh-CN"/>
              </w:rPr>
              <w:t>/个人/机构</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投资者认购上限为</w:t>
            </w:r>
            <w:r>
              <w:rPr>
                <w:rFonts w:hint="eastAsia" w:ascii="宋体" w:hAnsi="宋体"/>
                <w:bCs/>
                <w:color w:val="auto"/>
                <w:szCs w:val="24"/>
                <w:highlight w:val="yellow"/>
                <w:u w:val="none"/>
              </w:rPr>
              <w:t>【】</w:t>
            </w:r>
            <w:r>
              <w:rPr>
                <w:rFonts w:hint="eastAsia" w:ascii="宋体" w:hAnsi="宋体"/>
                <w:bCs/>
                <w:color w:val="auto"/>
                <w:szCs w:val="24"/>
                <w:highlight w:val="none"/>
                <w:u w:val="none"/>
              </w:rPr>
              <w:t>万元。</w:t>
            </w:r>
            <w:r>
              <w:rPr>
                <w:rFonts w:hint="eastAsia" w:ascii="宋体" w:hAnsi="宋体"/>
                <w:bCs/>
                <w:color w:val="auto"/>
                <w:szCs w:val="24"/>
                <w:highlight w:val="yellow"/>
                <w:u w:val="none"/>
                <w:lang w:eastAsia="zh-CN"/>
              </w:rPr>
              <w:t>【单一</w:t>
            </w:r>
            <w:r>
              <w:rPr>
                <w:rFonts w:hint="eastAsia" w:ascii="宋体" w:hAnsi="宋体"/>
                <w:bCs/>
                <w:color w:val="auto"/>
                <w:szCs w:val="24"/>
                <w:highlight w:val="yellow"/>
                <w:u w:val="none"/>
                <w:lang w:val="en-US" w:eastAsia="zh-CN"/>
              </w:rPr>
              <w:t>/个人/机构</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投资者申购上限为</w:t>
            </w:r>
            <w:r>
              <w:rPr>
                <w:rFonts w:hint="eastAsia" w:ascii="宋体" w:hAnsi="宋体"/>
                <w:bCs/>
                <w:color w:val="auto"/>
                <w:szCs w:val="24"/>
                <w:highlight w:val="yellow"/>
                <w:u w:val="none"/>
              </w:rPr>
              <w:t>【】</w:t>
            </w:r>
            <w:r>
              <w:rPr>
                <w:rFonts w:hint="eastAsia" w:ascii="宋体" w:hAnsi="宋体"/>
                <w:bCs/>
                <w:color w:val="auto"/>
                <w:szCs w:val="24"/>
                <w:highlight w:val="none"/>
                <w:u w:val="none"/>
              </w:rPr>
              <w:t>万元，在产品运作过程中因收益分配、净值波动等被动超上限的情形除外。</w:t>
            </w:r>
          </w:p>
          <w:p w14:paraId="58730D79">
            <w:pPr>
              <w:widowControl/>
              <w:numPr>
                <w:ilvl w:val="0"/>
                <w:numId w:val="0"/>
              </w:numPr>
              <w:jc w:val="left"/>
              <w:rPr>
                <w:rFonts w:ascii="宋体" w:hAnsi="宋体"/>
                <w:color w:val="auto"/>
                <w:szCs w:val="24"/>
                <w:highlight w:val="none"/>
              </w:rPr>
            </w:pPr>
            <w:r>
              <w:rPr>
                <w:rFonts w:hint="eastAsia" w:ascii="宋体" w:hAnsi="宋体"/>
                <w:bCs/>
                <w:color w:val="auto"/>
                <w:szCs w:val="24"/>
                <w:highlight w:val="none"/>
                <w:lang w:val="en-US" w:eastAsia="zh-CN"/>
              </w:rPr>
              <w:t>2.</w:t>
            </w:r>
            <w:r>
              <w:rPr>
                <w:rFonts w:hint="eastAsia" w:ascii="宋体" w:hAnsi="宋体"/>
                <w:bCs/>
                <w:color w:val="auto"/>
                <w:szCs w:val="24"/>
                <w:highlight w:val="none"/>
              </w:rPr>
              <w:t>如果</w:t>
            </w:r>
            <w:r>
              <w:rPr>
                <w:rFonts w:ascii="宋体" w:hAnsi="宋体"/>
                <w:bCs/>
                <w:color w:val="auto"/>
                <w:szCs w:val="24"/>
                <w:highlight w:val="none"/>
              </w:rPr>
              <w:t>单一投资者</w:t>
            </w:r>
            <w:r>
              <w:rPr>
                <w:rFonts w:hint="eastAsia" w:ascii="宋体" w:hAnsi="宋体"/>
                <w:bCs/>
                <w:color w:val="auto"/>
                <w:szCs w:val="24"/>
                <w:highlight w:val="none"/>
              </w:rPr>
              <w:t>认购或申购申请确认后将导致其持有份额超过产品总份额</w:t>
            </w:r>
            <w:r>
              <w:rPr>
                <w:rFonts w:ascii="宋体" w:hAnsi="宋体"/>
                <w:bCs/>
                <w:color w:val="auto"/>
                <w:szCs w:val="24"/>
                <w:highlight w:val="none"/>
              </w:rPr>
              <w:t>50%</w:t>
            </w:r>
            <w:r>
              <w:rPr>
                <w:rFonts w:hint="eastAsia" w:ascii="宋体" w:hAnsi="宋体"/>
                <w:bCs/>
                <w:color w:val="auto"/>
                <w:szCs w:val="24"/>
                <w:highlight w:val="none"/>
              </w:rPr>
              <w:t>的</w:t>
            </w:r>
            <w:r>
              <w:rPr>
                <w:rFonts w:ascii="宋体" w:hAnsi="宋体"/>
                <w:bCs/>
                <w:color w:val="auto"/>
                <w:szCs w:val="24"/>
                <w:highlight w:val="none"/>
              </w:rPr>
              <w:t>，管理人有权拒绝或暂停</w:t>
            </w:r>
            <w:r>
              <w:rPr>
                <w:rFonts w:hint="eastAsia" w:ascii="宋体" w:hAnsi="宋体"/>
                <w:bCs/>
                <w:color w:val="auto"/>
                <w:szCs w:val="24"/>
                <w:highlight w:val="none"/>
              </w:rPr>
              <w:t>接受超出部分的</w:t>
            </w:r>
            <w:r>
              <w:rPr>
                <w:rFonts w:ascii="宋体" w:hAnsi="宋体"/>
                <w:bCs/>
                <w:color w:val="auto"/>
                <w:szCs w:val="24"/>
                <w:highlight w:val="none"/>
              </w:rPr>
              <w:t>认购、申购</w:t>
            </w:r>
            <w:r>
              <w:rPr>
                <w:rFonts w:hint="eastAsia" w:ascii="宋体" w:hAnsi="宋体"/>
                <w:bCs/>
                <w:color w:val="auto"/>
                <w:szCs w:val="24"/>
                <w:highlight w:val="none"/>
              </w:rPr>
              <w:t>申请</w:t>
            </w:r>
            <w:r>
              <w:rPr>
                <w:rFonts w:ascii="宋体" w:hAnsi="宋体"/>
                <w:bCs/>
                <w:color w:val="auto"/>
                <w:szCs w:val="24"/>
                <w:highlight w:val="none"/>
              </w:rPr>
              <w:t>。非因管理人主观因素导致突破该比例限制的，在单一投资者持有比例降至50%以下之前，管理人不再接受该投资者对本产品的认购</w:t>
            </w:r>
            <w:r>
              <w:rPr>
                <w:rFonts w:hint="eastAsia" w:ascii="宋体" w:hAnsi="宋体"/>
                <w:bCs/>
                <w:color w:val="auto"/>
                <w:szCs w:val="24"/>
                <w:highlight w:val="none"/>
              </w:rPr>
              <w:t>、申购申请。投资者持有份额的计算以管理人登记为准。</w:t>
            </w:r>
          </w:p>
          <w:p w14:paraId="70BE2D44">
            <w:pPr>
              <w:widowControl/>
              <w:numPr>
                <w:ilvl w:val="-1"/>
                <w:numId w:val="0"/>
              </w:numPr>
              <w:jc w:val="left"/>
              <w:rPr>
                <w:rFonts w:hint="eastAsia" w:ascii="仿宋" w:hAnsi="仿宋" w:eastAsia="仿宋" w:cs="宋体"/>
                <w:bCs/>
                <w:color w:val="000000" w:themeColor="text1"/>
                <w:kern w:val="0"/>
                <w:sz w:val="24"/>
                <w:lang w:bidi="ar"/>
                <w14:textFill>
                  <w14:solidFill>
                    <w14:schemeClr w14:val="tx1"/>
                  </w14:solidFill>
                </w14:textFill>
              </w:rPr>
            </w:pPr>
            <w:r>
              <w:rPr>
                <w:rFonts w:hint="eastAsia" w:ascii="宋体" w:hAnsi="宋体"/>
                <w:bCs/>
                <w:color w:val="auto"/>
                <w:szCs w:val="24"/>
                <w:highlight w:val="none"/>
                <w:lang w:val="en-US" w:eastAsia="zh-CN"/>
              </w:rPr>
              <w:t>3.</w:t>
            </w:r>
            <w:r>
              <w:rPr>
                <w:rFonts w:hint="eastAsia" w:ascii="宋体" w:hAnsi="宋体"/>
                <w:bCs/>
                <w:color w:val="auto"/>
                <w:szCs w:val="24"/>
                <w:highlight w:val="none"/>
              </w:rPr>
              <w:t>如投资者认/申购超过上述限额，管理人有权根据实际情况接受、拒绝或确认失败。管理人有权以公告形式调整投资者累计认/申购上限。</w:t>
            </w:r>
          </w:p>
        </w:tc>
      </w:tr>
      <w:tr w14:paraId="5D0386CC">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E625DA9">
            <w:pPr>
              <w:snapToGrid w:val="0"/>
              <w:ind w:left="-140" w:leftChars="-74" w:hanging="15" w:firstLineChars="0"/>
              <w:jc w:val="center"/>
              <w:rPr>
                <w:rFonts w:hint="eastAsia" w:ascii="宋体" w:hAnsi="宋体"/>
                <w:bCs/>
                <w:color w:val="auto"/>
                <w:szCs w:val="24"/>
                <w:highlight w:val="none"/>
                <w:u w:val="none"/>
              </w:rPr>
            </w:pPr>
            <w:r>
              <w:rPr>
                <w:rFonts w:hint="eastAsia" w:ascii="宋体" w:hAnsi="宋体"/>
                <w:bCs/>
                <w:color w:val="auto"/>
                <w:szCs w:val="24"/>
                <w:highlight w:val="none"/>
                <w:u w:val="none"/>
              </w:rPr>
              <w:t>最高持有限额</w:t>
            </w:r>
          </w:p>
        </w:tc>
        <w:tc>
          <w:tcPr>
            <w:tcW w:w="6972" w:type="dxa"/>
            <w:tcBorders>
              <w:top w:val="single" w:color="auto" w:sz="4" w:space="0"/>
              <w:left w:val="single" w:color="auto" w:sz="4" w:space="0"/>
              <w:bottom w:val="single" w:color="auto" w:sz="4" w:space="0"/>
              <w:right w:val="single" w:color="auto" w:sz="4" w:space="0"/>
            </w:tcBorders>
            <w:vAlign w:val="center"/>
          </w:tcPr>
          <w:p w14:paraId="07E17BDF">
            <w:pPr>
              <w:keepNext w:val="0"/>
              <w:keepLines w:val="0"/>
              <w:widowControl/>
              <w:numPr>
                <w:ilvl w:val="0"/>
                <w:numId w:val="0"/>
              </w:numPr>
              <w:suppressLineNumbers w:val="0"/>
              <w:jc w:val="left"/>
              <w:rPr>
                <w:rFonts w:hint="eastAsia" w:ascii="宋体" w:hAnsi="宋体"/>
                <w:b/>
                <w:color w:val="auto"/>
                <w:szCs w:val="24"/>
                <w:highlight w:val="none"/>
                <w:u w:val="none"/>
              </w:rPr>
            </w:pPr>
            <w:r>
              <w:rPr>
                <w:rFonts w:hint="eastAsia" w:ascii="宋体" w:hAnsi="宋体" w:eastAsia="仿宋_GB2312" w:cstheme="minorBidi"/>
                <w:b/>
                <w:bCs w:val="0"/>
                <w:color w:val="auto"/>
                <w:kern w:val="2"/>
                <w:sz w:val="24"/>
                <w:szCs w:val="24"/>
                <w:highlight w:val="none"/>
                <w:u w:val="none"/>
                <w:lang w:val="en-US" w:eastAsia="zh-CN" w:bidi="ar"/>
              </w:rPr>
              <w:t>单一投资者持有份额</w:t>
            </w:r>
            <w:r>
              <w:rPr>
                <w:rFonts w:hint="eastAsia" w:ascii="宋体" w:hAnsi="宋体" w:cstheme="minorBidi"/>
                <w:b/>
                <w:bCs w:val="0"/>
                <w:color w:val="auto"/>
                <w:kern w:val="2"/>
                <w:sz w:val="24"/>
                <w:szCs w:val="24"/>
                <w:highlight w:val="yellow"/>
                <w:u w:val="none"/>
                <w:lang w:val="en-US" w:eastAsia="zh-CN" w:bidi="ar"/>
              </w:rPr>
              <w:t>【不得/可以】</w:t>
            </w:r>
            <w:r>
              <w:rPr>
                <w:rFonts w:hint="eastAsia" w:ascii="宋体" w:hAnsi="宋体" w:eastAsia="仿宋_GB2312" w:cstheme="minorBidi"/>
                <w:b/>
                <w:bCs w:val="0"/>
                <w:color w:val="auto"/>
                <w:kern w:val="2"/>
                <w:sz w:val="24"/>
                <w:szCs w:val="24"/>
                <w:highlight w:val="none"/>
                <w:u w:val="none"/>
                <w:lang w:val="en-US" w:eastAsia="zh-CN" w:bidi="ar"/>
              </w:rPr>
              <w:t>超过本理财产品总份额的50%。</w:t>
            </w:r>
          </w:p>
          <w:p w14:paraId="4F971A41">
            <w:pPr>
              <w:widowControl/>
              <w:numPr>
                <w:ilvl w:val="-1"/>
                <w:numId w:val="0"/>
              </w:numPr>
              <w:jc w:val="left"/>
              <w:rPr>
                <w:rFonts w:hint="eastAsia" w:ascii="宋体" w:hAnsi="宋体"/>
                <w:b/>
                <w:bCs w:val="0"/>
                <w:color w:val="auto"/>
                <w:szCs w:val="24"/>
                <w:highlight w:val="none"/>
                <w:u w:val="none"/>
                <w:lang w:val="en-US" w:eastAsia="zh-CN"/>
              </w:rPr>
            </w:pPr>
            <w:r>
              <w:rPr>
                <w:rFonts w:hint="eastAsia" w:ascii="宋体" w:hAnsi="宋体"/>
                <w:b/>
                <w:bCs w:val="0"/>
                <w:color w:val="auto"/>
                <w:szCs w:val="24"/>
                <w:highlight w:val="none"/>
                <w:u w:val="none"/>
                <w:lang w:val="en-US" w:eastAsia="zh-CN"/>
              </w:rPr>
              <w:t>如销售机构规定与本规则不一致的，则以各销售机构规定为准，但不得高于最高持有限额。</w:t>
            </w:r>
          </w:p>
        </w:tc>
      </w:tr>
      <w:tr w14:paraId="50360F04">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7AA4CDF">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bCs/>
                <w:color w:val="auto"/>
                <w:szCs w:val="24"/>
                <w:highlight w:val="none"/>
                <w:u w:val="none"/>
              </w:rPr>
              <w:t>赎回</w:t>
            </w:r>
            <w:r>
              <w:rPr>
                <w:rFonts w:ascii="宋体" w:hAnsi="宋体"/>
                <w:bCs/>
                <w:color w:val="auto"/>
                <w:szCs w:val="24"/>
                <w:highlight w:val="none"/>
                <w:u w:val="none"/>
              </w:rPr>
              <w:t>数量限制</w:t>
            </w:r>
          </w:p>
        </w:tc>
        <w:tc>
          <w:tcPr>
            <w:tcW w:w="6972" w:type="dxa"/>
            <w:tcBorders>
              <w:top w:val="single" w:color="auto" w:sz="4" w:space="0"/>
              <w:left w:val="single" w:color="auto" w:sz="4" w:space="0"/>
              <w:bottom w:val="single" w:color="auto" w:sz="4" w:space="0"/>
              <w:right w:val="single" w:color="auto" w:sz="4" w:space="0"/>
            </w:tcBorders>
            <w:vAlign w:val="center"/>
          </w:tcPr>
          <w:p w14:paraId="2B89DBEE">
            <w:pPr>
              <w:widowControl/>
              <w:numPr>
                <w:ilvl w:val="0"/>
                <w:numId w:val="7"/>
              </w:numPr>
              <w:jc w:val="left"/>
              <w:rPr>
                <w:rFonts w:ascii="宋体" w:hAnsi="宋体"/>
                <w:bCs/>
                <w:color w:val="auto"/>
                <w:szCs w:val="24"/>
                <w:highlight w:val="none"/>
                <w:u w:val="none"/>
              </w:rPr>
            </w:pPr>
            <w:r>
              <w:rPr>
                <w:rFonts w:hint="eastAsia" w:ascii="宋体" w:hAnsi="宋体"/>
                <w:bCs/>
                <w:color w:val="auto"/>
                <w:szCs w:val="24"/>
                <w:highlight w:val="yellow"/>
                <w:u w:val="none"/>
                <w:lang w:val="en-US" w:eastAsia="zh-CN"/>
              </w:rPr>
              <w:t>【A类份额】</w:t>
            </w:r>
            <w:r>
              <w:rPr>
                <w:rFonts w:hint="eastAsia" w:ascii="宋体" w:hAnsi="宋体"/>
                <w:color w:val="auto"/>
                <w:szCs w:val="24"/>
                <w:highlight w:val="none"/>
                <w:u w:val="none"/>
                <w:lang w:val="en-US" w:eastAsia="zh-CN"/>
              </w:rPr>
              <w:t>：</w:t>
            </w:r>
            <w:r>
              <w:rPr>
                <w:rFonts w:hint="eastAsia" w:ascii="宋体" w:hAnsi="宋体"/>
                <w:color w:val="auto"/>
                <w:szCs w:val="24"/>
                <w:highlight w:val="none"/>
                <w:u w:val="none"/>
              </w:rPr>
              <w:t>单笔最小赎回份额</w:t>
            </w:r>
            <w:r>
              <w:rPr>
                <w:rFonts w:hint="eastAsia" w:ascii="宋体" w:hAnsi="宋体"/>
                <w:color w:val="auto"/>
                <w:szCs w:val="24"/>
                <w:highlight w:val="yellow"/>
                <w:u w:val="none"/>
              </w:rPr>
              <w:t>【</w:t>
            </w:r>
            <w:r>
              <w:rPr>
                <w:rFonts w:ascii="宋体" w:hAnsi="宋体"/>
                <w:color w:val="auto"/>
                <w:szCs w:val="24"/>
                <w:highlight w:val="yellow"/>
                <w:u w:val="none"/>
              </w:rPr>
              <w:t>】</w:t>
            </w:r>
            <w:r>
              <w:rPr>
                <w:rFonts w:hint="eastAsia" w:ascii="宋体" w:hAnsi="宋体"/>
                <w:color w:val="auto"/>
                <w:szCs w:val="24"/>
                <w:highlight w:val="none"/>
                <w:u w:val="none"/>
                <w:lang w:eastAsia="zh-CN"/>
              </w:rPr>
              <w:t>份</w:t>
            </w:r>
            <w:r>
              <w:rPr>
                <w:rFonts w:hint="eastAsia" w:ascii="宋体" w:hAnsi="宋体"/>
                <w:bCs/>
                <w:color w:val="auto"/>
                <w:szCs w:val="24"/>
                <w:highlight w:val="none"/>
                <w:u w:val="none"/>
              </w:rPr>
              <w:t>。</w:t>
            </w:r>
          </w:p>
          <w:p w14:paraId="353CFD27">
            <w:pPr>
              <w:widowControl/>
              <w:numPr>
                <w:ilvl w:val="0"/>
                <w:numId w:val="0"/>
              </w:numPr>
              <w:jc w:val="left"/>
              <w:rPr>
                <w:rFonts w:ascii="宋体" w:hAnsi="宋体"/>
                <w:bCs/>
                <w:color w:val="auto"/>
                <w:szCs w:val="24"/>
                <w:highlight w:val="none"/>
              </w:rPr>
            </w:pPr>
            <w:r>
              <w:rPr>
                <w:rFonts w:hint="eastAsia" w:ascii="宋体" w:hAnsi="宋体"/>
                <w:bCs/>
                <w:color w:val="auto"/>
                <w:szCs w:val="24"/>
                <w:highlight w:val="none"/>
                <w:lang w:val="en-US" w:eastAsia="zh-CN"/>
              </w:rPr>
              <w:t>2.</w:t>
            </w:r>
            <w:r>
              <w:rPr>
                <w:rFonts w:hint="eastAsia" w:ascii="宋体" w:hAnsi="宋体"/>
                <w:bCs/>
                <w:color w:val="auto"/>
                <w:szCs w:val="24"/>
                <w:highlight w:val="none"/>
              </w:rPr>
              <w:t>投资者可全部或部分赎回其理财份额，但是部分赎回后单一投资者持有产品份额不得低于</w:t>
            </w:r>
            <w:r>
              <w:rPr>
                <w:rFonts w:hint="eastAsia" w:ascii="宋体" w:hAnsi="宋体"/>
                <w:color w:val="auto"/>
                <w:szCs w:val="24"/>
                <w:highlight w:val="yellow"/>
                <w:u w:val="none"/>
              </w:rPr>
              <w:t>【</w:t>
            </w:r>
            <w:r>
              <w:rPr>
                <w:rFonts w:ascii="宋体" w:hAnsi="宋体"/>
                <w:color w:val="auto"/>
                <w:szCs w:val="24"/>
                <w:highlight w:val="yellow"/>
                <w:u w:val="none"/>
              </w:rPr>
              <w:t>】</w:t>
            </w:r>
            <w:r>
              <w:rPr>
                <w:rFonts w:hint="eastAsia" w:ascii="宋体" w:hAnsi="宋体"/>
                <w:bCs/>
                <w:color w:val="auto"/>
                <w:szCs w:val="24"/>
                <w:highlight w:val="none"/>
              </w:rPr>
              <w:t>份。受理财</w:t>
            </w:r>
            <w:r>
              <w:rPr>
                <w:rFonts w:hint="eastAsia" w:ascii="宋体" w:hAnsi="宋体"/>
                <w:bCs/>
                <w:color w:val="auto"/>
                <w:szCs w:val="24"/>
                <w:highlight w:val="none"/>
                <w:lang w:eastAsia="zh-CN"/>
              </w:rPr>
              <w:t>收益</w:t>
            </w:r>
            <w:r>
              <w:rPr>
                <w:rFonts w:hint="eastAsia" w:ascii="宋体" w:hAnsi="宋体"/>
                <w:bCs/>
                <w:color w:val="auto"/>
                <w:szCs w:val="24"/>
                <w:highlight w:val="none"/>
              </w:rPr>
              <w:t>分配去尾规则的影响，投资者持有产品份额较低时可能无法取得利益。巨额赎回情景发生时，投资者的可赎回份额需要根据巨额赎回规则确定。</w:t>
            </w:r>
          </w:p>
          <w:p w14:paraId="2A1B4AF5">
            <w:pPr>
              <w:widowControl/>
              <w:numPr>
                <w:ilvl w:val="-1"/>
                <w:numId w:val="0"/>
              </w:numPr>
              <w:jc w:val="left"/>
              <w:rPr>
                <w:rFonts w:hint="eastAsia" w:ascii="仿宋" w:hAnsi="仿宋" w:eastAsia="仿宋" w:cs="宋体"/>
                <w:bCs/>
                <w:color w:val="000000" w:themeColor="text1"/>
                <w:kern w:val="0"/>
                <w:sz w:val="24"/>
                <w:lang w:bidi="ar"/>
                <w14:textFill>
                  <w14:solidFill>
                    <w14:schemeClr w14:val="tx1"/>
                  </w14:solidFill>
                </w14:textFill>
              </w:rPr>
            </w:pPr>
            <w:r>
              <w:rPr>
                <w:rFonts w:hint="eastAsia" w:ascii="宋体" w:hAnsi="宋体"/>
                <w:bCs/>
                <w:color w:val="auto"/>
                <w:szCs w:val="24"/>
                <w:highlight w:val="none"/>
                <w:lang w:val="en-US" w:eastAsia="zh-CN"/>
              </w:rPr>
              <w:t>3.</w:t>
            </w:r>
            <w:r>
              <w:rPr>
                <w:rFonts w:hint="eastAsia" w:ascii="宋体" w:hAnsi="宋体"/>
                <w:bCs/>
                <w:color w:val="auto"/>
                <w:szCs w:val="24"/>
                <w:highlight w:val="none"/>
              </w:rPr>
              <w:t>管理人有权以公告形式设置或调整赎回上限。</w:t>
            </w:r>
          </w:p>
        </w:tc>
      </w:tr>
      <w:tr w14:paraId="4C610D5A">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2092B60">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color w:val="auto"/>
                <w:szCs w:val="24"/>
                <w:highlight w:val="none"/>
                <w:u w:val="none"/>
              </w:rPr>
              <w:t>产品份额净值</w:t>
            </w:r>
          </w:p>
        </w:tc>
        <w:tc>
          <w:tcPr>
            <w:tcW w:w="6972" w:type="dxa"/>
            <w:tcBorders>
              <w:top w:val="single" w:color="auto" w:sz="4" w:space="0"/>
              <w:left w:val="single" w:color="auto" w:sz="4" w:space="0"/>
              <w:bottom w:val="single" w:color="auto" w:sz="4" w:space="0"/>
              <w:right w:val="single" w:color="auto" w:sz="4" w:space="0"/>
            </w:tcBorders>
            <w:vAlign w:val="center"/>
          </w:tcPr>
          <w:p w14:paraId="3BCDC6A5">
            <w:pPr>
              <w:snapToGrid w:val="0"/>
              <w:rPr>
                <w:rFonts w:ascii="宋体" w:hAnsi="宋体"/>
                <w:color w:val="auto"/>
                <w:szCs w:val="24"/>
                <w:highlight w:val="none"/>
                <w:u w:val="none"/>
              </w:rPr>
            </w:pPr>
            <w:r>
              <w:rPr>
                <w:rFonts w:hint="eastAsia" w:ascii="宋体" w:hAnsi="宋体"/>
                <w:color w:val="auto"/>
                <w:szCs w:val="24"/>
                <w:highlight w:val="none"/>
                <w:u w:val="none"/>
              </w:rPr>
              <w:t>理财产品份额净值是提取相关税费后单位理财产品份额的净值；份额净值随理财产品投资运行情况变化而变化。</w:t>
            </w:r>
          </w:p>
          <w:p w14:paraId="53469200">
            <w:pPr>
              <w:snapToGrid w:val="0"/>
              <w:rPr>
                <w:rFonts w:ascii="宋体" w:hAnsi="宋体"/>
                <w:color w:val="auto"/>
                <w:szCs w:val="24"/>
                <w:highlight w:val="none"/>
                <w:u w:val="none"/>
              </w:rPr>
            </w:pPr>
            <w:r>
              <w:rPr>
                <w:rFonts w:hint="eastAsia" w:ascii="宋体" w:hAnsi="宋体"/>
                <w:color w:val="auto"/>
                <w:szCs w:val="24"/>
                <w:highlight w:val="none"/>
                <w:u w:val="none"/>
              </w:rPr>
              <w:t>本产品募集期内，投资者按份额净值进行认购。</w:t>
            </w:r>
          </w:p>
          <w:p w14:paraId="2483E02C">
            <w:pPr>
              <w:snapToGrid w:val="0"/>
              <w:rPr>
                <w:rFonts w:hint="eastAsia" w:ascii="宋体" w:hAnsi="宋体" w:eastAsia="仿宋_GB2312"/>
                <w:b/>
                <w:bCs/>
                <w:color w:val="auto"/>
                <w:szCs w:val="24"/>
                <w:highlight w:val="none"/>
                <w:u w:val="none"/>
                <w:lang w:eastAsia="zh-CN"/>
              </w:rPr>
            </w:pPr>
            <w:r>
              <w:rPr>
                <w:rFonts w:hint="eastAsia" w:ascii="宋体" w:hAnsi="宋体"/>
                <w:b/>
                <w:bCs/>
                <w:color w:val="auto"/>
                <w:szCs w:val="24"/>
                <w:highlight w:val="none"/>
                <w:u w:val="none"/>
              </w:rPr>
              <w:t>本产品初始份额净值为1.0000</w:t>
            </w:r>
            <w:r>
              <w:rPr>
                <w:rFonts w:hint="eastAsia" w:ascii="宋体" w:hAnsi="宋体"/>
                <w:b/>
                <w:bCs/>
                <w:color w:val="auto"/>
                <w:szCs w:val="24"/>
                <w:highlight w:val="none"/>
                <w:u w:val="none"/>
                <w:lang w:val="en-US" w:eastAsia="zh-CN"/>
              </w:rPr>
              <w:t>0000</w:t>
            </w:r>
            <w:r>
              <w:rPr>
                <w:rFonts w:hint="eastAsia" w:ascii="宋体" w:hAnsi="宋体"/>
                <w:b/>
                <w:bCs/>
                <w:color w:val="auto"/>
                <w:szCs w:val="24"/>
                <w:highlight w:val="none"/>
                <w:u w:val="none"/>
              </w:rPr>
              <w:t>元/份。</w:t>
            </w:r>
          </w:p>
        </w:tc>
      </w:tr>
      <w:tr w14:paraId="76AD2E37">
        <w:tblPrEx>
          <w:tblCellMar>
            <w:top w:w="0" w:type="dxa"/>
            <w:left w:w="108" w:type="dxa"/>
            <w:bottom w:w="0" w:type="dxa"/>
            <w:right w:w="108" w:type="dxa"/>
          </w:tblCellMar>
        </w:tblPrEx>
        <w:trPr>
          <w:trHeight w:val="643" w:hRule="atLeast"/>
        </w:trPr>
        <w:tc>
          <w:tcPr>
            <w:tcW w:w="2453" w:type="dxa"/>
            <w:tcBorders>
              <w:top w:val="single" w:color="auto" w:sz="4" w:space="0"/>
              <w:left w:val="single" w:color="auto" w:sz="4" w:space="0"/>
              <w:bottom w:val="single" w:color="auto" w:sz="4" w:space="0"/>
              <w:right w:val="single" w:color="auto" w:sz="4" w:space="0"/>
            </w:tcBorders>
            <w:vAlign w:val="center"/>
          </w:tcPr>
          <w:p w14:paraId="78B21D65">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收益分配方式</w:t>
            </w:r>
          </w:p>
        </w:tc>
        <w:tc>
          <w:tcPr>
            <w:tcW w:w="6972" w:type="dxa"/>
            <w:tcBorders>
              <w:top w:val="single" w:color="auto" w:sz="4" w:space="0"/>
              <w:left w:val="single" w:color="auto" w:sz="4" w:space="0"/>
              <w:bottom w:val="single" w:color="auto" w:sz="4" w:space="0"/>
              <w:right w:val="single" w:color="auto" w:sz="4" w:space="0"/>
            </w:tcBorders>
            <w:vAlign w:val="center"/>
          </w:tcPr>
          <w:p w14:paraId="653C892D">
            <w:pPr>
              <w:widowControl/>
              <w:spacing w:line="400" w:lineRule="exact"/>
              <w:jc w:val="left"/>
              <w:textAlignment w:val="center"/>
              <w:rPr>
                <w:rFonts w:ascii="宋体" w:hAnsi="宋体"/>
                <w:color w:val="auto"/>
                <w:szCs w:val="24"/>
                <w:highlight w:val="yellow"/>
                <w:u w:val="none"/>
              </w:rPr>
            </w:pPr>
            <w:r>
              <w:rPr>
                <w:rFonts w:hint="eastAsia" w:ascii="宋体" w:hAnsi="宋体"/>
                <w:color w:val="auto"/>
                <w:szCs w:val="24"/>
                <w:highlight w:val="yellow"/>
                <w:u w:val="none"/>
              </w:rPr>
              <w:t>【</w:t>
            </w:r>
            <w:r>
              <w:rPr>
                <w:rFonts w:hint="eastAsia" w:ascii="宋体" w:hAnsi="宋体"/>
                <w:color w:val="auto"/>
                <w:szCs w:val="24"/>
                <w:highlight w:val="yellow"/>
                <w:u w:val="none"/>
                <w:lang w:eastAsia="zh-CN"/>
              </w:rPr>
              <w:t>现金分配</w:t>
            </w:r>
            <w:r>
              <w:rPr>
                <w:rFonts w:hint="eastAsia" w:ascii="宋体" w:hAnsi="宋体"/>
                <w:color w:val="auto"/>
                <w:szCs w:val="24"/>
                <w:highlight w:val="yellow"/>
                <w:u w:val="none"/>
                <w:lang w:val="en-US" w:eastAsia="zh-CN"/>
              </w:rPr>
              <w:t>...</w:t>
            </w:r>
            <w:r>
              <w:rPr>
                <w:rFonts w:ascii="宋体" w:hAnsi="宋体"/>
                <w:color w:val="auto"/>
                <w:szCs w:val="24"/>
                <w:highlight w:val="yellow"/>
                <w:u w:val="none"/>
              </w:rPr>
              <w:t>】</w:t>
            </w:r>
          </w:p>
          <w:p w14:paraId="1FD9B1BB">
            <w:pPr>
              <w:snapToGrid w:val="0"/>
              <w:rPr>
                <w:rFonts w:hint="eastAsia" w:ascii="宋体" w:hAnsi="宋体"/>
                <w:sz w:val="24"/>
                <w:szCs w:val="24"/>
                <w:highlight w:val="yellow"/>
              </w:rPr>
            </w:pPr>
            <w:r>
              <w:rPr>
                <w:rFonts w:hint="eastAsia" w:ascii="宋体" w:hAnsi="宋体"/>
                <w:sz w:val="24"/>
                <w:szCs w:val="24"/>
                <w:highlight w:val="yellow"/>
                <w:lang w:eastAsia="zh-CN"/>
              </w:rPr>
              <w:t>【</w:t>
            </w:r>
            <w:r>
              <w:rPr>
                <w:rFonts w:hint="eastAsia" w:ascii="宋体" w:hAnsi="宋体"/>
                <w:sz w:val="24"/>
                <w:szCs w:val="24"/>
                <w:highlight w:val="yellow"/>
              </w:rPr>
              <w:t>产品存续期内，管理人有权</w:t>
            </w:r>
            <w:r>
              <w:rPr>
                <w:rFonts w:hint="eastAsia" w:ascii="宋体" w:hAnsi="宋体"/>
                <w:sz w:val="24"/>
                <w:szCs w:val="24"/>
                <w:highlight w:val="yellow"/>
                <w:lang w:eastAsia="zh-CN"/>
              </w:rPr>
              <w:t>【</w:t>
            </w:r>
            <w:r>
              <w:rPr>
                <w:rFonts w:hint="eastAsia" w:ascii="宋体" w:hAnsi="宋体"/>
                <w:sz w:val="24"/>
                <w:szCs w:val="24"/>
                <w:highlight w:val="yellow"/>
              </w:rPr>
              <w:t>每半年</w:t>
            </w:r>
            <w:r>
              <w:rPr>
                <w:rFonts w:hint="eastAsia" w:ascii="宋体" w:hAnsi="宋体"/>
                <w:sz w:val="24"/>
                <w:szCs w:val="24"/>
                <w:highlight w:val="yellow"/>
                <w:lang w:eastAsia="zh-CN"/>
              </w:rPr>
              <w:t>】</w:t>
            </w:r>
            <w:r>
              <w:rPr>
                <w:rFonts w:hint="eastAsia" w:ascii="宋体" w:hAnsi="宋体"/>
                <w:sz w:val="24"/>
                <w:szCs w:val="24"/>
                <w:highlight w:val="yellow"/>
              </w:rPr>
              <w:t>根据投资运作情况对本理财产品进行</w:t>
            </w:r>
            <w:r>
              <w:rPr>
                <w:rFonts w:hint="eastAsia" w:ascii="宋体" w:hAnsi="宋体"/>
                <w:sz w:val="24"/>
                <w:szCs w:val="24"/>
                <w:highlight w:val="yellow"/>
                <w:lang w:eastAsia="zh-CN"/>
              </w:rPr>
              <w:t>收益分配</w:t>
            </w:r>
            <w:r>
              <w:rPr>
                <w:rFonts w:hint="eastAsia" w:ascii="宋体" w:hAnsi="宋体"/>
                <w:sz w:val="24"/>
                <w:szCs w:val="24"/>
                <w:highlight w:val="yellow"/>
              </w:rPr>
              <w:t>，分配方式为</w:t>
            </w:r>
            <w:r>
              <w:rPr>
                <w:rFonts w:hint="eastAsia" w:ascii="宋体" w:hAnsi="宋体"/>
                <w:sz w:val="24"/>
                <w:szCs w:val="24"/>
                <w:highlight w:val="yellow"/>
                <w:lang w:eastAsia="zh-CN"/>
              </w:rPr>
              <w:t>【</w:t>
            </w:r>
            <w:r>
              <w:rPr>
                <w:rFonts w:hint="eastAsia" w:ascii="宋体" w:hAnsi="宋体"/>
                <w:sz w:val="24"/>
                <w:szCs w:val="24"/>
                <w:highlight w:val="yellow"/>
              </w:rPr>
              <w:t>现金</w:t>
            </w:r>
            <w:r>
              <w:rPr>
                <w:rFonts w:hint="eastAsia" w:ascii="宋体" w:hAnsi="宋体"/>
                <w:sz w:val="24"/>
                <w:szCs w:val="24"/>
                <w:highlight w:val="yellow"/>
                <w:lang w:eastAsia="zh-CN"/>
              </w:rPr>
              <w:t>分配】</w:t>
            </w:r>
            <w:r>
              <w:rPr>
                <w:rFonts w:hint="eastAsia" w:ascii="宋体" w:hAnsi="宋体"/>
                <w:sz w:val="24"/>
                <w:szCs w:val="24"/>
                <w:highlight w:val="yellow"/>
              </w:rPr>
              <w:t>（</w:t>
            </w:r>
            <w:r>
              <w:rPr>
                <w:rFonts w:hint="eastAsia" w:ascii="宋体" w:hAnsi="宋体"/>
                <w:sz w:val="24"/>
                <w:szCs w:val="24"/>
                <w:highlight w:val="yellow"/>
                <w:lang w:eastAsia="zh-CN"/>
              </w:rPr>
              <w:t>分配</w:t>
            </w:r>
            <w:r>
              <w:rPr>
                <w:rFonts w:hint="eastAsia" w:ascii="宋体" w:hAnsi="宋体"/>
                <w:sz w:val="24"/>
                <w:szCs w:val="24"/>
                <w:highlight w:val="yellow"/>
              </w:rPr>
              <w:t>前提条件为</w:t>
            </w:r>
            <w:r>
              <w:rPr>
                <w:rFonts w:hint="eastAsia" w:ascii="宋体" w:hAnsi="宋体"/>
                <w:sz w:val="24"/>
                <w:szCs w:val="24"/>
                <w:highlight w:val="yellow"/>
                <w:lang w:eastAsia="zh-CN"/>
              </w:rPr>
              <w:t>【</w:t>
            </w:r>
            <w:r>
              <w:rPr>
                <w:rFonts w:hint="eastAsia" w:ascii="宋体" w:hAnsi="宋体"/>
                <w:sz w:val="24"/>
                <w:szCs w:val="24"/>
                <w:highlight w:val="yellow"/>
              </w:rPr>
              <w:t>本理财产品在对应收益分配基准日的份额净值大于1.000</w:t>
            </w:r>
            <w:r>
              <w:rPr>
                <w:rFonts w:hint="eastAsia" w:ascii="宋体" w:hAnsi="宋体"/>
                <w:sz w:val="24"/>
                <w:szCs w:val="24"/>
                <w:highlight w:val="yellow"/>
                <w:lang w:val="en-US" w:eastAsia="zh-CN"/>
              </w:rPr>
              <w:t>00</w:t>
            </w:r>
            <w:r>
              <w:rPr>
                <w:rFonts w:hint="eastAsia" w:ascii="宋体" w:hAnsi="宋体"/>
                <w:sz w:val="24"/>
                <w:szCs w:val="24"/>
                <w:highlight w:val="yellow"/>
              </w:rPr>
              <w:t>0元/份</w:t>
            </w:r>
            <w:r>
              <w:rPr>
                <w:rFonts w:hint="eastAsia" w:ascii="宋体" w:hAnsi="宋体"/>
                <w:sz w:val="24"/>
                <w:szCs w:val="24"/>
                <w:highlight w:val="yellow"/>
                <w:lang w:eastAsia="zh-CN"/>
              </w:rPr>
              <w:t>】</w:t>
            </w:r>
            <w:r>
              <w:rPr>
                <w:rFonts w:hint="eastAsia" w:ascii="宋体" w:hAnsi="宋体"/>
                <w:sz w:val="24"/>
                <w:szCs w:val="24"/>
                <w:highlight w:val="yellow"/>
              </w:rPr>
              <w:t>）。权益登记日为收益分配基准日后的第</w:t>
            </w:r>
            <w:r>
              <w:rPr>
                <w:rFonts w:hint="eastAsia" w:ascii="宋体" w:hAnsi="宋体"/>
                <w:sz w:val="24"/>
                <w:szCs w:val="24"/>
                <w:highlight w:val="yellow"/>
                <w:lang w:eastAsia="zh-CN"/>
              </w:rPr>
              <w:t>【</w:t>
            </w:r>
            <w:r>
              <w:rPr>
                <w:rFonts w:hint="eastAsia" w:ascii="宋体" w:hAnsi="宋体"/>
                <w:sz w:val="24"/>
                <w:szCs w:val="24"/>
                <w:highlight w:val="yellow"/>
              </w:rPr>
              <w:t>5</w:t>
            </w:r>
            <w:r>
              <w:rPr>
                <w:rFonts w:hint="eastAsia" w:ascii="宋体" w:hAnsi="宋体"/>
                <w:sz w:val="24"/>
                <w:szCs w:val="24"/>
                <w:highlight w:val="yellow"/>
                <w:lang w:eastAsia="zh-CN"/>
              </w:rPr>
              <w:t>】</w:t>
            </w:r>
            <w:r>
              <w:rPr>
                <w:rFonts w:hint="eastAsia" w:ascii="宋体" w:hAnsi="宋体"/>
                <w:sz w:val="24"/>
                <w:szCs w:val="24"/>
                <w:highlight w:val="yellow"/>
              </w:rPr>
              <w:t>个</w:t>
            </w:r>
            <w:r>
              <w:rPr>
                <w:rFonts w:hint="eastAsia" w:ascii="宋体" w:hAnsi="宋体"/>
                <w:sz w:val="24"/>
                <w:szCs w:val="24"/>
                <w:highlight w:val="yellow"/>
                <w:lang w:eastAsia="zh-CN"/>
              </w:rPr>
              <w:t>【交易</w:t>
            </w:r>
            <w:r>
              <w:rPr>
                <w:rFonts w:hint="eastAsia" w:ascii="宋体" w:hAnsi="宋体"/>
                <w:sz w:val="24"/>
                <w:szCs w:val="24"/>
                <w:highlight w:val="yellow"/>
              </w:rPr>
              <w:t>日</w:t>
            </w:r>
            <w:r>
              <w:rPr>
                <w:rFonts w:hint="eastAsia" w:ascii="宋体" w:hAnsi="宋体"/>
                <w:sz w:val="24"/>
                <w:szCs w:val="24"/>
                <w:highlight w:val="yellow"/>
                <w:lang w:eastAsia="zh-CN"/>
              </w:rPr>
              <w:t>】</w:t>
            </w:r>
            <w:r>
              <w:rPr>
                <w:rFonts w:hint="eastAsia" w:ascii="宋体" w:hAnsi="宋体"/>
                <w:sz w:val="24"/>
                <w:szCs w:val="24"/>
                <w:highlight w:val="yellow"/>
              </w:rPr>
              <w:t>。管理人将根据理财产品投资收益情况决定当次的分配比例和金额等</w:t>
            </w:r>
            <w:r>
              <w:rPr>
                <w:rFonts w:hint="eastAsia" w:ascii="宋体" w:hAnsi="宋体"/>
                <w:sz w:val="24"/>
                <w:szCs w:val="24"/>
                <w:highlight w:val="yellow"/>
                <w:lang w:eastAsia="zh-CN"/>
              </w:rPr>
              <w:t>分配</w:t>
            </w:r>
            <w:r>
              <w:rPr>
                <w:rFonts w:hint="eastAsia" w:ascii="宋体" w:hAnsi="宋体"/>
                <w:sz w:val="24"/>
                <w:szCs w:val="24"/>
                <w:highlight w:val="yellow"/>
              </w:rPr>
              <w:t>要素，并于权益登记日前</w:t>
            </w:r>
            <w:r>
              <w:rPr>
                <w:rFonts w:hint="eastAsia" w:ascii="宋体" w:hAnsi="宋体"/>
                <w:sz w:val="24"/>
                <w:szCs w:val="24"/>
                <w:highlight w:val="yellow"/>
                <w:lang w:val="en-US" w:eastAsia="zh-CN"/>
              </w:rPr>
              <w:t>1</w:t>
            </w:r>
            <w:r>
              <w:rPr>
                <w:rFonts w:hint="eastAsia" w:ascii="宋体" w:hAnsi="宋体"/>
                <w:sz w:val="24"/>
                <w:szCs w:val="24"/>
                <w:highlight w:val="yellow"/>
              </w:rPr>
              <w:t>个工作日通过本产品说明书约定的方式向投资者披露</w:t>
            </w:r>
            <w:r>
              <w:rPr>
                <w:rFonts w:hint="eastAsia" w:ascii="宋体" w:hAnsi="宋体"/>
                <w:sz w:val="24"/>
                <w:szCs w:val="24"/>
                <w:highlight w:val="yellow"/>
                <w:lang w:eastAsia="zh-CN"/>
              </w:rPr>
              <w:t>分配</w:t>
            </w:r>
            <w:r>
              <w:rPr>
                <w:rFonts w:hint="eastAsia" w:ascii="宋体" w:hAnsi="宋体"/>
                <w:sz w:val="24"/>
                <w:szCs w:val="24"/>
                <w:highlight w:val="yellow"/>
              </w:rPr>
              <w:t>方案。管理人在权益登记日后5个工作日内向投资者分配收益。</w:t>
            </w:r>
          </w:p>
          <w:p w14:paraId="084DE04D">
            <w:pPr>
              <w:snapToGrid w:val="0"/>
              <w:rPr>
                <w:rFonts w:hint="eastAsia" w:ascii="宋体" w:hAnsi="宋体" w:eastAsia="仿宋_GB2312"/>
                <w:sz w:val="24"/>
                <w:szCs w:val="24"/>
                <w:highlight w:val="yellow"/>
                <w:lang w:eastAsia="zh-CN"/>
              </w:rPr>
            </w:pPr>
            <w:r>
              <w:rPr>
                <w:rFonts w:hint="eastAsia" w:ascii="宋体" w:hAnsi="宋体"/>
                <w:sz w:val="24"/>
                <w:szCs w:val="24"/>
                <w:highlight w:val="yellow"/>
              </w:rPr>
              <w:t>理财产品存续期间，产品管理人有权视理财产品收益情况进行主动分配，相应分配基准日、分配方案由管理人及时披露。</w:t>
            </w:r>
            <w:r>
              <w:rPr>
                <w:rFonts w:hint="eastAsia"/>
                <w:highlight w:val="yellow"/>
                <w:lang w:eastAsia="zh-CN"/>
              </w:rPr>
              <w:t>】</w:t>
            </w:r>
          </w:p>
          <w:tbl>
            <w:tblPr>
              <w:tblStyle w:val="7"/>
              <w:tblW w:w="6751" w:type="dxa"/>
              <w:tblInd w:w="0" w:type="dxa"/>
              <w:tblLayout w:type="fixed"/>
              <w:tblCellMar>
                <w:top w:w="0" w:type="dxa"/>
                <w:left w:w="108" w:type="dxa"/>
                <w:bottom w:w="0" w:type="dxa"/>
                <w:right w:w="108" w:type="dxa"/>
              </w:tblCellMar>
            </w:tblPr>
            <w:tblGrid>
              <w:gridCol w:w="2290"/>
              <w:gridCol w:w="2238"/>
              <w:gridCol w:w="2223"/>
            </w:tblGrid>
            <w:tr w14:paraId="112FBB05">
              <w:tblPrEx>
                <w:tblCellMar>
                  <w:top w:w="0" w:type="dxa"/>
                  <w:left w:w="108" w:type="dxa"/>
                  <w:bottom w:w="0" w:type="dxa"/>
                  <w:right w:w="108" w:type="dxa"/>
                </w:tblCellMar>
              </w:tblPrEx>
              <w:trPr>
                <w:trHeight w:val="285" w:hRule="atLeast"/>
              </w:trPr>
              <w:tc>
                <w:tcPr>
                  <w:tcW w:w="2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1C2E01">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收益分配基准日</w:t>
                  </w:r>
                </w:p>
              </w:tc>
              <w:tc>
                <w:tcPr>
                  <w:tcW w:w="2238" w:type="dxa"/>
                  <w:tcBorders>
                    <w:top w:val="single" w:color="auto" w:sz="4" w:space="0"/>
                    <w:left w:val="nil"/>
                    <w:bottom w:val="single" w:color="auto" w:sz="4" w:space="0"/>
                    <w:right w:val="single" w:color="auto" w:sz="4" w:space="0"/>
                  </w:tcBorders>
                  <w:shd w:val="clear" w:color="auto" w:fill="auto"/>
                  <w:noWrap/>
                  <w:vAlign w:val="center"/>
                </w:tcPr>
                <w:p w14:paraId="5B93C963">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权益登记日</w:t>
                  </w:r>
                </w:p>
              </w:tc>
              <w:tc>
                <w:tcPr>
                  <w:tcW w:w="2223" w:type="dxa"/>
                  <w:tcBorders>
                    <w:top w:val="single" w:color="auto" w:sz="4" w:space="0"/>
                    <w:left w:val="nil"/>
                    <w:bottom w:val="single" w:color="auto" w:sz="4" w:space="0"/>
                    <w:right w:val="single" w:color="auto" w:sz="4" w:space="0"/>
                  </w:tcBorders>
                  <w:shd w:val="clear" w:color="auto" w:fill="auto"/>
                  <w:noWrap/>
                  <w:vAlign w:val="center"/>
                </w:tcPr>
                <w:p w14:paraId="746BA56B">
                  <w:pPr>
                    <w:widowControl/>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除权日</w:t>
                  </w:r>
                </w:p>
              </w:tc>
            </w:tr>
            <w:tr w14:paraId="0F194B05">
              <w:tblPrEx>
                <w:tblCellMar>
                  <w:top w:w="0" w:type="dxa"/>
                  <w:left w:w="108" w:type="dxa"/>
                  <w:bottom w:w="0" w:type="dxa"/>
                  <w:right w:w="108" w:type="dxa"/>
                </w:tblCellMar>
              </w:tblPrEx>
              <w:trPr>
                <w:trHeight w:val="285" w:hRule="atLeast"/>
              </w:trPr>
              <w:tc>
                <w:tcPr>
                  <w:tcW w:w="2290" w:type="dxa"/>
                  <w:tcBorders>
                    <w:top w:val="nil"/>
                    <w:left w:val="single" w:color="auto" w:sz="4" w:space="0"/>
                    <w:bottom w:val="single" w:color="auto" w:sz="4" w:space="0"/>
                    <w:right w:val="single" w:color="auto" w:sz="4" w:space="0"/>
                  </w:tcBorders>
                  <w:shd w:val="clear" w:color="auto" w:fill="auto"/>
                  <w:noWrap/>
                  <w:vAlign w:val="center"/>
                </w:tcPr>
                <w:p w14:paraId="2F2AEC28">
                  <w:pPr>
                    <w:widowControl/>
                    <w:jc w:val="center"/>
                    <w:rPr>
                      <w:rFonts w:ascii="宋体" w:hAnsi="宋体" w:eastAsia="宋体" w:cs="宋体"/>
                      <w:color w:val="000000"/>
                      <w:kern w:val="0"/>
                      <w:sz w:val="24"/>
                      <w:szCs w:val="24"/>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p>
              </w:tc>
              <w:tc>
                <w:tcPr>
                  <w:tcW w:w="2238" w:type="dxa"/>
                  <w:tcBorders>
                    <w:top w:val="nil"/>
                    <w:left w:val="nil"/>
                    <w:bottom w:val="single" w:color="auto" w:sz="4" w:space="0"/>
                    <w:right w:val="single" w:color="auto" w:sz="4" w:space="0"/>
                  </w:tcBorders>
                  <w:shd w:val="clear" w:color="auto" w:fill="auto"/>
                  <w:noWrap/>
                  <w:vAlign w:val="center"/>
                </w:tcPr>
                <w:p w14:paraId="57BF8589">
                  <w:pPr>
                    <w:widowControl/>
                    <w:jc w:val="center"/>
                    <w:rPr>
                      <w:rFonts w:ascii="宋体" w:hAnsi="宋体" w:eastAsia="宋体" w:cs="宋体"/>
                      <w:color w:val="000000"/>
                      <w:kern w:val="0"/>
                      <w:sz w:val="24"/>
                      <w:szCs w:val="24"/>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p>
              </w:tc>
              <w:tc>
                <w:tcPr>
                  <w:tcW w:w="2223" w:type="dxa"/>
                  <w:tcBorders>
                    <w:top w:val="nil"/>
                    <w:left w:val="nil"/>
                    <w:bottom w:val="single" w:color="auto" w:sz="4" w:space="0"/>
                    <w:right w:val="single" w:color="auto" w:sz="4" w:space="0"/>
                  </w:tcBorders>
                  <w:shd w:val="clear" w:color="auto" w:fill="auto"/>
                  <w:noWrap/>
                  <w:vAlign w:val="center"/>
                </w:tcPr>
                <w:p w14:paraId="5B8EE16B">
                  <w:pPr>
                    <w:widowControl/>
                    <w:jc w:val="center"/>
                    <w:rPr>
                      <w:rFonts w:ascii="宋体" w:hAnsi="宋体" w:eastAsia="宋体" w:cs="宋体"/>
                      <w:color w:val="000000"/>
                      <w:kern w:val="0"/>
                      <w:sz w:val="24"/>
                      <w:szCs w:val="24"/>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p>
              </w:tc>
            </w:tr>
          </w:tbl>
          <w:p w14:paraId="082C8D31">
            <w:pPr>
              <w:widowControl/>
              <w:spacing w:line="400" w:lineRule="exact"/>
              <w:jc w:val="left"/>
              <w:textAlignment w:val="center"/>
              <w:rPr>
                <w:rFonts w:hint="eastAsia" w:ascii="宋体" w:hAnsi="宋体"/>
                <w:color w:val="auto"/>
                <w:szCs w:val="24"/>
                <w:highlight w:val="yellow"/>
                <w:u w:val="none"/>
                <w:lang w:eastAsia="zh-CN"/>
              </w:rPr>
            </w:pPr>
          </w:p>
        </w:tc>
      </w:tr>
      <w:tr w14:paraId="1CF1D4BF">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19867C81">
            <w:pPr>
              <w:widowControl/>
              <w:spacing w:line="400" w:lineRule="exact"/>
              <w:jc w:val="center"/>
              <w:textAlignment w:val="center"/>
              <w:rPr>
                <w:rFonts w:hint="eastAsia" w:ascii="楷体_GB2312" w:hAnsi="等线" w:eastAsia="楷体_GB2312" w:cs="楷体_GB2312"/>
                <w:b/>
                <w:bCs/>
                <w:color w:val="000000" w:themeColor="text1"/>
                <w:sz w:val="24"/>
                <w14:textFill>
                  <w14:solidFill>
                    <w14:schemeClr w14:val="tx1"/>
                  </w14:solidFill>
                </w14:textFill>
              </w:rPr>
            </w:pPr>
            <w:r>
              <w:rPr>
                <w:rFonts w:hint="eastAsia" w:ascii="楷体_GB2312" w:hAnsi="等线" w:eastAsia="楷体_GB2312" w:cs="楷体_GB2312"/>
                <w:b/>
                <w:bCs/>
                <w:color w:val="000000" w:themeColor="text1"/>
                <w:kern w:val="0"/>
                <w:sz w:val="24"/>
                <w:lang w:bidi="ar"/>
                <w14:textFill>
                  <w14:solidFill>
                    <w14:schemeClr w14:val="tx1"/>
                  </w14:solidFill>
                </w14:textFill>
              </w:rPr>
              <w:t>（三）产品性质与类型</w:t>
            </w:r>
          </w:p>
        </w:tc>
      </w:tr>
      <w:tr w14:paraId="2150F321">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4EE6659">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募集方式</w:t>
            </w:r>
          </w:p>
        </w:tc>
        <w:tc>
          <w:tcPr>
            <w:tcW w:w="6972" w:type="dxa"/>
            <w:tcBorders>
              <w:top w:val="single" w:color="auto" w:sz="4" w:space="0"/>
              <w:left w:val="single" w:color="auto" w:sz="4" w:space="0"/>
              <w:bottom w:val="single" w:color="auto" w:sz="4" w:space="0"/>
              <w:right w:val="single" w:color="auto" w:sz="4" w:space="0"/>
            </w:tcBorders>
            <w:vAlign w:val="center"/>
          </w:tcPr>
          <w:p w14:paraId="04D7C8B9">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eastAsia="zh-CN"/>
              </w:rPr>
            </w:pPr>
            <w:r>
              <w:rPr>
                <w:rFonts w:hint="eastAsia" w:ascii="宋体" w:hAnsi="宋体"/>
                <w:b/>
                <w:szCs w:val="24"/>
                <w:highlight w:val="yellow"/>
                <w:lang w:eastAsia="zh-CN"/>
              </w:rPr>
              <w:t>【公募</w:t>
            </w:r>
            <w:r>
              <w:rPr>
                <w:rFonts w:hint="eastAsia" w:ascii="宋体" w:hAnsi="宋体"/>
                <w:b/>
                <w:szCs w:val="24"/>
                <w:highlight w:val="yellow"/>
                <w:lang w:val="en-US" w:eastAsia="zh-CN"/>
              </w:rPr>
              <w:t>/私募</w:t>
            </w:r>
            <w:r>
              <w:rPr>
                <w:rFonts w:hint="eastAsia" w:ascii="宋体" w:hAnsi="宋体"/>
                <w:b/>
                <w:szCs w:val="24"/>
                <w:highlight w:val="yellow"/>
                <w:lang w:eastAsia="zh-CN"/>
              </w:rPr>
              <w:t>】</w:t>
            </w:r>
          </w:p>
        </w:tc>
      </w:tr>
      <w:tr w14:paraId="6D8A3AE6">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A670E6A">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投资性质</w:t>
            </w:r>
          </w:p>
        </w:tc>
        <w:tc>
          <w:tcPr>
            <w:tcW w:w="6972" w:type="dxa"/>
            <w:tcBorders>
              <w:top w:val="single" w:color="auto" w:sz="4" w:space="0"/>
              <w:left w:val="single" w:color="auto" w:sz="4" w:space="0"/>
              <w:bottom w:val="single" w:color="auto" w:sz="4" w:space="0"/>
              <w:right w:val="single" w:color="auto" w:sz="4" w:space="0"/>
            </w:tcBorders>
            <w:vAlign w:val="center"/>
          </w:tcPr>
          <w:p w14:paraId="0E80E2C4">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bidi="ar"/>
              </w:rPr>
            </w:pPr>
            <w:r>
              <w:rPr>
                <w:rFonts w:hint="eastAsia" w:ascii="宋体" w:hAnsi="宋体"/>
                <w:b/>
                <w:szCs w:val="24"/>
                <w:highlight w:val="yellow"/>
                <w:lang w:eastAsia="zh-CN"/>
              </w:rPr>
              <w:t>【固定收益类、权益类、商品及金融衍生品类、混合类】</w:t>
            </w:r>
          </w:p>
        </w:tc>
      </w:tr>
      <w:tr w14:paraId="11D0E10D">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638C4D0E">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运作模式</w:t>
            </w:r>
          </w:p>
        </w:tc>
        <w:tc>
          <w:tcPr>
            <w:tcW w:w="6972" w:type="dxa"/>
            <w:tcBorders>
              <w:top w:val="single" w:color="auto" w:sz="4" w:space="0"/>
              <w:left w:val="single" w:color="auto" w:sz="4" w:space="0"/>
              <w:bottom w:val="single" w:color="auto" w:sz="4" w:space="0"/>
              <w:right w:val="single" w:color="auto" w:sz="4" w:space="0"/>
            </w:tcBorders>
            <w:vAlign w:val="center"/>
          </w:tcPr>
          <w:p w14:paraId="366524EA">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bidi="ar"/>
              </w:rPr>
            </w:pPr>
            <w:r>
              <w:rPr>
                <w:rFonts w:hint="eastAsia" w:ascii="宋体" w:hAnsi="宋体"/>
                <w:b/>
                <w:szCs w:val="24"/>
                <w:highlight w:val="yellow"/>
                <w:lang w:eastAsia="zh-CN"/>
              </w:rPr>
              <w:t>【开放式】</w:t>
            </w:r>
          </w:p>
        </w:tc>
      </w:tr>
      <w:tr w14:paraId="01EAD7B0">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4EBB8F8">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运作模式（二级）</w:t>
            </w:r>
          </w:p>
        </w:tc>
        <w:tc>
          <w:tcPr>
            <w:tcW w:w="6972" w:type="dxa"/>
            <w:tcBorders>
              <w:top w:val="single" w:color="auto" w:sz="4" w:space="0"/>
              <w:left w:val="single" w:color="auto" w:sz="4" w:space="0"/>
              <w:bottom w:val="single" w:color="auto" w:sz="4" w:space="0"/>
              <w:right w:val="single" w:color="auto" w:sz="4" w:space="0"/>
            </w:tcBorders>
            <w:vAlign w:val="center"/>
          </w:tcPr>
          <w:p w14:paraId="715AA687">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bidi="ar"/>
              </w:rPr>
            </w:pPr>
            <w:r>
              <w:rPr>
                <w:rFonts w:hint="eastAsia" w:ascii="宋体" w:hAnsi="宋体"/>
                <w:b/>
                <w:szCs w:val="24"/>
                <w:highlight w:val="yellow"/>
                <w:lang w:eastAsia="zh-CN"/>
              </w:rPr>
              <w:t>【</w:t>
            </w:r>
            <w:r>
              <w:rPr>
                <w:rFonts w:hint="eastAsia" w:ascii="仿宋_GB2312" w:hAnsi="宋体" w:eastAsia="仿宋_GB2312" w:cs="宋体"/>
                <w:b/>
                <w:bCs/>
                <w:color w:val="auto"/>
                <w:kern w:val="0"/>
                <w:sz w:val="24"/>
                <w:szCs w:val="24"/>
                <w:highlight w:val="yellow"/>
                <w:u w:val="none"/>
                <w:lang w:bidi="ar"/>
              </w:rPr>
              <w:t>定开型产品</w:t>
            </w:r>
            <w:r>
              <w:rPr>
                <w:rFonts w:hint="eastAsia" w:ascii="宋体" w:hAnsi="宋体"/>
                <w:b/>
                <w:szCs w:val="24"/>
                <w:highlight w:val="yellow"/>
                <w:lang w:eastAsia="zh-CN"/>
              </w:rPr>
              <w:t>】</w:t>
            </w:r>
          </w:p>
        </w:tc>
      </w:tr>
      <w:tr w14:paraId="4C2D7BDA">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159FA4F7">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风险等级</w:t>
            </w:r>
          </w:p>
        </w:tc>
        <w:tc>
          <w:tcPr>
            <w:tcW w:w="6972" w:type="dxa"/>
            <w:tcBorders>
              <w:top w:val="single" w:color="auto" w:sz="4" w:space="0"/>
              <w:left w:val="single" w:color="auto" w:sz="4" w:space="0"/>
              <w:bottom w:val="single" w:color="auto" w:sz="4" w:space="0"/>
              <w:right w:val="single" w:color="auto" w:sz="4" w:space="0"/>
            </w:tcBorders>
            <w:vAlign w:val="center"/>
          </w:tcPr>
          <w:p w14:paraId="5AEBF2A7">
            <w:pPr>
              <w:widowControl/>
              <w:tabs>
                <w:tab w:val="left" w:pos="709"/>
              </w:tabs>
              <w:snapToGrid w:val="0"/>
              <w:rPr>
                <w:rFonts w:ascii="宋体" w:hAnsi="宋体"/>
                <w:color w:val="auto"/>
                <w:szCs w:val="24"/>
                <w:highlight w:val="none"/>
                <w:u w:val="none"/>
              </w:rPr>
            </w:pPr>
            <w:r>
              <w:rPr>
                <w:rFonts w:hint="eastAsia" w:ascii="宋体" w:hAnsi="宋体"/>
                <w:b/>
                <w:bCs/>
                <w:color w:val="auto"/>
                <w:szCs w:val="24"/>
                <w:highlight w:val="yellow"/>
                <w:u w:val="none"/>
              </w:rPr>
              <w:t>【</w:t>
            </w:r>
            <w:r>
              <w:rPr>
                <w:rFonts w:hint="eastAsia" w:ascii="宋体" w:hAnsi="宋体"/>
                <w:b/>
                <w:bCs/>
                <w:color w:val="auto"/>
                <w:szCs w:val="24"/>
                <w:highlight w:val="yellow"/>
                <w:u w:val="none"/>
                <w:lang w:val="en-US" w:eastAsia="zh-CN"/>
              </w:rPr>
              <w:t>R1/2/3/4/5</w:t>
            </w:r>
            <w:r>
              <w:rPr>
                <w:rFonts w:hint="eastAsia" w:ascii="宋体" w:hAnsi="宋体"/>
                <w:b/>
                <w:bCs/>
                <w:color w:val="auto"/>
                <w:szCs w:val="24"/>
                <w:highlight w:val="yellow"/>
                <w:u w:val="none"/>
              </w:rPr>
              <w:t>】</w:t>
            </w:r>
            <w:r>
              <w:rPr>
                <w:rFonts w:hint="eastAsia" w:ascii="宋体" w:hAnsi="宋体"/>
                <w:b/>
                <w:bCs/>
                <w:color w:val="auto"/>
                <w:szCs w:val="24"/>
                <w:highlight w:val="none"/>
                <w:u w:val="none"/>
              </w:rPr>
              <w:t>对应风险等级为</w:t>
            </w:r>
            <w:r>
              <w:rPr>
                <w:rFonts w:hint="eastAsia" w:ascii="宋体" w:hAnsi="宋体"/>
                <w:b/>
                <w:bCs/>
                <w:color w:val="auto"/>
                <w:szCs w:val="24"/>
                <w:highlight w:val="yellow"/>
                <w:u w:val="none"/>
              </w:rPr>
              <w:t>【】</w:t>
            </w:r>
            <w:r>
              <w:rPr>
                <w:rFonts w:hint="eastAsia" w:ascii="仿宋_GB2312" w:hAnsi="等线" w:eastAsia="仿宋_GB2312" w:cs="仿宋_GB2312"/>
                <w:b/>
                <w:bCs w:val="0"/>
                <w:color w:val="000000" w:themeColor="text1"/>
                <w:kern w:val="0"/>
                <w:sz w:val="24"/>
                <w:lang w:bidi="ar"/>
                <w14:textFill>
                  <w14:solidFill>
                    <w14:schemeClr w14:val="tx1"/>
                  </w14:solidFill>
                </w14:textFill>
              </w:rPr>
              <w:br w:type="textWrapping"/>
            </w:r>
            <w:r>
              <w:rPr>
                <w:rFonts w:hint="eastAsia" w:ascii="宋体" w:hAnsi="宋体"/>
                <w:color w:val="auto"/>
                <w:szCs w:val="24"/>
                <w:highlight w:val="none"/>
                <w:u w:val="none"/>
              </w:rPr>
              <w:t>本评级为管理人内部测评结果，仅供投资者参考。</w:t>
            </w:r>
            <w:r>
              <w:rPr>
                <w:rFonts w:hint="eastAsia" w:ascii="宋体" w:hAnsi="宋体"/>
                <w:b/>
                <w:color w:val="auto"/>
                <w:szCs w:val="24"/>
                <w:highlight w:val="none"/>
                <w:u w:val="none"/>
              </w:rPr>
              <w:t>本产品通过代理销售机构渠道销售的，理财产品评级应当以代理销售机构最终披露的评级结果为准。</w:t>
            </w:r>
            <w:r>
              <w:rPr>
                <w:rFonts w:ascii="宋体" w:hAnsi="宋体"/>
                <w:color w:val="auto"/>
                <w:szCs w:val="24"/>
                <w:highlight w:val="none"/>
                <w:u w:val="none"/>
              </w:rPr>
              <w:t>(</w:t>
            </w:r>
            <w:r>
              <w:rPr>
                <w:rFonts w:hint="eastAsia" w:ascii="宋体" w:hAnsi="宋体"/>
                <w:color w:val="auto"/>
                <w:szCs w:val="24"/>
                <w:highlight w:val="none"/>
                <w:u w:val="none"/>
              </w:rPr>
              <w:t>管理</w:t>
            </w:r>
            <w:r>
              <w:rPr>
                <w:rFonts w:ascii="宋体" w:hAnsi="宋体"/>
                <w:color w:val="auto"/>
                <w:szCs w:val="24"/>
                <w:highlight w:val="none"/>
                <w:u w:val="none"/>
              </w:rPr>
              <w:t>人与</w:t>
            </w:r>
            <w:r>
              <w:rPr>
                <w:rFonts w:hint="eastAsia" w:ascii="宋体" w:hAnsi="宋体"/>
                <w:color w:val="auto"/>
                <w:szCs w:val="24"/>
                <w:highlight w:val="none"/>
                <w:u w:val="none"/>
              </w:rPr>
              <w:t>代理</w:t>
            </w:r>
            <w:r>
              <w:rPr>
                <w:rFonts w:ascii="宋体" w:hAnsi="宋体"/>
                <w:color w:val="auto"/>
                <w:szCs w:val="24"/>
                <w:highlight w:val="none"/>
                <w:u w:val="none"/>
              </w:rPr>
              <w:t>销售机构</w:t>
            </w:r>
            <w:r>
              <w:rPr>
                <w:rFonts w:hint="eastAsia" w:ascii="宋体" w:hAnsi="宋体"/>
                <w:color w:val="auto"/>
                <w:szCs w:val="24"/>
                <w:highlight w:val="none"/>
                <w:u w:val="none"/>
              </w:rPr>
              <w:t>的</w:t>
            </w:r>
            <w:r>
              <w:rPr>
                <w:rFonts w:ascii="宋体" w:hAnsi="宋体"/>
                <w:color w:val="auto"/>
                <w:szCs w:val="24"/>
                <w:highlight w:val="none"/>
                <w:u w:val="none"/>
              </w:rPr>
              <w:t>风险</w:t>
            </w:r>
            <w:r>
              <w:rPr>
                <w:rFonts w:hint="eastAsia" w:ascii="宋体" w:hAnsi="宋体"/>
                <w:color w:val="auto"/>
                <w:szCs w:val="24"/>
                <w:highlight w:val="none"/>
                <w:u w:val="none"/>
              </w:rPr>
              <w:t>等级评估结果</w:t>
            </w:r>
            <w:r>
              <w:rPr>
                <w:rFonts w:ascii="宋体" w:hAnsi="宋体"/>
                <w:color w:val="auto"/>
                <w:szCs w:val="24"/>
                <w:highlight w:val="none"/>
                <w:u w:val="none"/>
              </w:rPr>
              <w:t>不一致的应采用</w:t>
            </w:r>
            <w:r>
              <w:rPr>
                <w:rFonts w:hint="eastAsia" w:ascii="宋体" w:hAnsi="宋体"/>
                <w:color w:val="auto"/>
                <w:szCs w:val="24"/>
                <w:highlight w:val="none"/>
                <w:u w:val="none"/>
              </w:rPr>
              <w:t>对应</w:t>
            </w:r>
            <w:r>
              <w:rPr>
                <w:rFonts w:ascii="宋体" w:hAnsi="宋体"/>
                <w:color w:val="auto"/>
                <w:szCs w:val="24"/>
                <w:highlight w:val="none"/>
                <w:u w:val="none"/>
              </w:rPr>
              <w:t>较高风险</w:t>
            </w:r>
            <w:r>
              <w:rPr>
                <w:rFonts w:hint="eastAsia" w:ascii="宋体" w:hAnsi="宋体"/>
                <w:color w:val="auto"/>
                <w:szCs w:val="24"/>
                <w:highlight w:val="none"/>
                <w:u w:val="none"/>
              </w:rPr>
              <w:t>的</w:t>
            </w:r>
            <w:r>
              <w:rPr>
                <w:rFonts w:ascii="宋体" w:hAnsi="宋体"/>
                <w:color w:val="auto"/>
                <w:szCs w:val="24"/>
                <w:highlight w:val="none"/>
                <w:u w:val="none"/>
              </w:rPr>
              <w:t>评级</w:t>
            </w:r>
            <w:r>
              <w:rPr>
                <w:rFonts w:hint="eastAsia" w:ascii="宋体" w:hAnsi="宋体"/>
                <w:color w:val="auto"/>
                <w:szCs w:val="24"/>
                <w:highlight w:val="none"/>
                <w:u w:val="none"/>
              </w:rPr>
              <w:t>结果。</w:t>
            </w:r>
            <w:r>
              <w:rPr>
                <w:rFonts w:ascii="宋体" w:hAnsi="宋体"/>
                <w:color w:val="auto"/>
                <w:szCs w:val="24"/>
                <w:highlight w:val="none"/>
                <w:u w:val="none"/>
              </w:rPr>
              <w:t>)</w:t>
            </w:r>
          </w:p>
          <w:p w14:paraId="10ED6B87">
            <w:pPr>
              <w:widowControl/>
              <w:tabs>
                <w:tab w:val="left" w:pos="709"/>
              </w:tabs>
              <w:snapToGrid w:val="0"/>
              <w:spacing w:line="240" w:lineRule="auto"/>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b/>
                <w:bCs/>
                <w:color w:val="auto"/>
                <w:szCs w:val="24"/>
                <w:highlight w:val="none"/>
                <w:u w:val="none"/>
              </w:rPr>
              <w:t>产品管理人在符合监管政策的前提下可对产品风险评级进行动态管理，如产品风险等级发生调整，将提前通过本《产品说明书》“信息披露”约定的方式通知投资者。</w:t>
            </w:r>
          </w:p>
        </w:tc>
      </w:tr>
      <w:tr w14:paraId="61A49E5D">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0C808433">
            <w:pPr>
              <w:widowControl/>
              <w:spacing w:line="400" w:lineRule="exact"/>
              <w:jc w:val="center"/>
              <w:textAlignment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是否为现金管理类产品</w:t>
            </w:r>
          </w:p>
        </w:tc>
        <w:tc>
          <w:tcPr>
            <w:tcW w:w="6972" w:type="dxa"/>
            <w:tcBorders>
              <w:top w:val="single" w:color="auto" w:sz="4" w:space="0"/>
              <w:left w:val="single" w:color="auto" w:sz="4" w:space="0"/>
              <w:bottom w:val="single" w:color="auto" w:sz="4" w:space="0"/>
              <w:right w:val="single" w:color="auto" w:sz="4" w:space="0"/>
            </w:tcBorders>
            <w:vAlign w:val="center"/>
          </w:tcPr>
          <w:p w14:paraId="0DC0A0E9">
            <w:pPr>
              <w:widowControl/>
              <w:spacing w:line="400" w:lineRule="exact"/>
              <w:jc w:val="left"/>
              <w:textAlignment w:val="center"/>
              <w:rPr>
                <w:rFonts w:hint="eastAsia" w:ascii="仿宋_GB2312" w:hAnsi="等线" w:eastAsia="仿宋_GB2312" w:cs="仿宋_GB2312"/>
                <w:bCs/>
                <w:color w:val="000000" w:themeColor="text1"/>
                <w:kern w:val="0"/>
                <w:sz w:val="24"/>
                <w:lang w:eastAsia="zh-CN" w:bidi="ar"/>
                <w14:textFill>
                  <w14:solidFill>
                    <w14:schemeClr w14:val="tx1"/>
                  </w14:solidFill>
                </w14:textFill>
              </w:rPr>
            </w:pPr>
            <w:r>
              <w:rPr>
                <w:rFonts w:hint="eastAsia" w:ascii="仿宋_GB2312" w:hAnsi="等线" w:cs="仿宋_GB2312"/>
                <w:bCs/>
                <w:color w:val="000000" w:themeColor="text1"/>
                <w:kern w:val="0"/>
                <w:sz w:val="24"/>
                <w:highlight w:val="yellow"/>
                <w:lang w:eastAsia="zh-CN" w:bidi="ar"/>
                <w14:textFill>
                  <w14:solidFill>
                    <w14:schemeClr w14:val="tx1"/>
                  </w14:solidFill>
                </w14:textFill>
              </w:rPr>
              <w:t>【否】</w:t>
            </w:r>
          </w:p>
        </w:tc>
      </w:tr>
      <w:tr w14:paraId="22D47232">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2B365E0D">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color w:val="auto"/>
                <w:szCs w:val="24"/>
                <w:highlight w:val="none"/>
                <w:u w:val="none"/>
              </w:rPr>
              <w:t>本金及收益类型</w:t>
            </w:r>
          </w:p>
        </w:tc>
        <w:tc>
          <w:tcPr>
            <w:tcW w:w="6972" w:type="dxa"/>
            <w:tcBorders>
              <w:top w:val="single" w:color="auto" w:sz="4" w:space="0"/>
              <w:left w:val="single" w:color="auto" w:sz="4" w:space="0"/>
              <w:bottom w:val="single" w:color="auto" w:sz="4" w:space="0"/>
              <w:right w:val="single" w:color="auto" w:sz="4" w:space="0"/>
            </w:tcBorders>
            <w:vAlign w:val="center"/>
          </w:tcPr>
          <w:p w14:paraId="2382CCC3">
            <w:pPr>
              <w:snapToGrid w:val="0"/>
              <w:rPr>
                <w:rFonts w:ascii="宋体" w:hAnsi="宋体"/>
                <w:color w:val="auto"/>
                <w:szCs w:val="24"/>
                <w:highlight w:val="none"/>
                <w:u w:val="none"/>
              </w:rPr>
            </w:pPr>
            <w:r>
              <w:rPr>
                <w:rFonts w:hint="eastAsia" w:ascii="宋体" w:hAnsi="宋体"/>
                <w:color w:val="auto"/>
                <w:szCs w:val="24"/>
                <w:highlight w:val="none"/>
                <w:u w:val="none"/>
              </w:rPr>
              <w:t>非保本浮动收益。本产品不保证理财本金且不保证收益。本产品的收益随投资收益浮动，投资者可能会因市场变动而蒙受损失。</w:t>
            </w:r>
          </w:p>
          <w:p w14:paraId="10127030">
            <w:pPr>
              <w:snapToGrid w:val="0"/>
              <w:rPr>
                <w:rFonts w:hint="eastAsia" w:ascii="仿宋_GB2312" w:hAnsi="等线" w:cs="仿宋_GB2312"/>
                <w:bCs/>
                <w:color w:val="000000" w:themeColor="text1"/>
                <w:kern w:val="0"/>
                <w:sz w:val="24"/>
                <w:lang w:eastAsia="zh-CN" w:bidi="ar"/>
                <w14:textFill>
                  <w14:solidFill>
                    <w14:schemeClr w14:val="tx1"/>
                  </w14:solidFill>
                </w14:textFill>
              </w:rPr>
            </w:pPr>
            <w:r>
              <w:rPr>
                <w:rFonts w:hint="eastAsia" w:ascii="宋体" w:hAnsi="宋体"/>
                <w:color w:val="auto"/>
                <w:szCs w:val="24"/>
                <w:highlight w:val="none"/>
                <w:u w:val="none"/>
              </w:rPr>
              <w:t>理财产品管理人对本产品的本金并不提供保证，也不承诺任何固定收益。</w:t>
            </w:r>
          </w:p>
        </w:tc>
      </w:tr>
      <w:tr w14:paraId="2EAD67E6">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19D96563">
            <w:pPr>
              <w:widowControl/>
              <w:spacing w:line="400" w:lineRule="exact"/>
              <w:jc w:val="center"/>
              <w:textAlignment w:val="center"/>
              <w:rPr>
                <w:rFonts w:hint="eastAsia" w:ascii="楷体_GB2312" w:hAnsi="等线" w:eastAsia="楷体_GB2312" w:cs="楷体_GB2312"/>
                <w:bCs/>
                <w:color w:val="000000" w:themeColor="text1"/>
                <w:sz w:val="24"/>
                <w14:textFill>
                  <w14:solidFill>
                    <w14:schemeClr w14:val="tx1"/>
                  </w14:solidFill>
                </w14:textFill>
              </w:rPr>
            </w:pPr>
            <w:r>
              <w:rPr>
                <w:rFonts w:hint="eastAsia" w:ascii="楷体_GB2312" w:hAnsi="等线" w:eastAsia="楷体_GB2312" w:cs="楷体_GB2312"/>
                <w:b/>
                <w:color w:val="000000" w:themeColor="text1"/>
                <w:kern w:val="0"/>
                <w:sz w:val="24"/>
                <w:lang w:bidi="ar"/>
                <w14:textFill>
                  <w14:solidFill>
                    <w14:schemeClr w14:val="tx1"/>
                  </w14:solidFill>
                </w14:textFill>
              </w:rPr>
              <w:t>（四）产品期限</w:t>
            </w:r>
          </w:p>
        </w:tc>
      </w:tr>
      <w:tr w14:paraId="6915CE95">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6AE488B">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募集起始日期</w:t>
            </w:r>
          </w:p>
        </w:tc>
        <w:tc>
          <w:tcPr>
            <w:tcW w:w="6972" w:type="dxa"/>
            <w:tcBorders>
              <w:top w:val="single" w:color="auto" w:sz="4" w:space="0"/>
              <w:left w:val="single" w:color="auto" w:sz="4" w:space="0"/>
              <w:bottom w:val="single" w:color="auto" w:sz="4" w:space="0"/>
              <w:right w:val="single" w:color="auto" w:sz="4" w:space="0"/>
            </w:tcBorders>
            <w:vAlign w:val="center"/>
          </w:tcPr>
          <w:p w14:paraId="435CCA37">
            <w:pPr>
              <w:widowControl/>
              <w:autoSpaceDE w:val="0"/>
              <w:autoSpaceDN w:val="0"/>
              <w:adjustRightInd w:val="0"/>
              <w:snapToGrid w:val="0"/>
              <w:spacing w:line="240" w:lineRule="auto"/>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r>
              <w:rPr>
                <w:rFonts w:hint="eastAsia" w:ascii="宋体" w:hAnsi="宋体"/>
                <w:b/>
                <w:szCs w:val="24"/>
                <w:highlight w:val="yellow"/>
                <w:lang w:eastAsia="zh-CN"/>
              </w:rPr>
              <w:t>【</w:t>
            </w:r>
            <w:r>
              <w:rPr>
                <w:rFonts w:hint="eastAsia" w:ascii="宋体" w:hAnsi="宋体"/>
                <w:b/>
                <w:szCs w:val="24"/>
                <w:highlight w:val="none"/>
                <w:lang w:val="en-US" w:eastAsia="zh-CN"/>
              </w:rPr>
              <w:t>XX:XX</w:t>
            </w:r>
            <w:r>
              <w:rPr>
                <w:rFonts w:hint="eastAsia" w:ascii="宋体" w:hAnsi="宋体"/>
                <w:b/>
                <w:szCs w:val="24"/>
                <w:highlight w:val="yellow"/>
                <w:lang w:eastAsia="zh-CN"/>
              </w:rPr>
              <w:t>】</w:t>
            </w:r>
          </w:p>
        </w:tc>
      </w:tr>
      <w:tr w14:paraId="1B713D66">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58401FF">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募集结束日期</w:t>
            </w:r>
          </w:p>
        </w:tc>
        <w:tc>
          <w:tcPr>
            <w:tcW w:w="6972" w:type="dxa"/>
            <w:tcBorders>
              <w:top w:val="single" w:color="auto" w:sz="4" w:space="0"/>
              <w:left w:val="single" w:color="auto" w:sz="4" w:space="0"/>
              <w:bottom w:val="single" w:color="auto" w:sz="4" w:space="0"/>
              <w:right w:val="single" w:color="auto" w:sz="4" w:space="0"/>
            </w:tcBorders>
            <w:vAlign w:val="center"/>
          </w:tcPr>
          <w:p w14:paraId="5CBDE61B">
            <w:pPr>
              <w:widowControl/>
              <w:autoSpaceDE w:val="0"/>
              <w:autoSpaceDN w:val="0"/>
              <w:adjustRightInd w:val="0"/>
              <w:snapToGrid w:val="0"/>
              <w:spacing w:line="240" w:lineRule="auto"/>
              <w:jc w:val="left"/>
              <w:textAlignment w:val="auto"/>
              <w:rPr>
                <w:rFonts w:hint="eastAsia" w:ascii="宋体" w:hAnsi="宋体"/>
                <w:b/>
                <w:szCs w:val="24"/>
                <w:highlight w:val="yellow"/>
                <w:lang w:eastAsia="zh-CN"/>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r>
              <w:rPr>
                <w:rFonts w:hint="eastAsia" w:ascii="宋体" w:hAnsi="宋体"/>
                <w:b/>
                <w:szCs w:val="24"/>
                <w:highlight w:val="yellow"/>
                <w:lang w:eastAsia="zh-CN"/>
              </w:rPr>
              <w:t>【</w:t>
            </w:r>
            <w:r>
              <w:rPr>
                <w:rFonts w:hint="eastAsia" w:ascii="宋体" w:hAnsi="宋体"/>
                <w:b/>
                <w:szCs w:val="24"/>
                <w:highlight w:val="none"/>
                <w:lang w:val="en-US" w:eastAsia="zh-CN"/>
              </w:rPr>
              <w:t>XX:XX</w:t>
            </w:r>
            <w:r>
              <w:rPr>
                <w:rFonts w:hint="eastAsia" w:ascii="宋体" w:hAnsi="宋体"/>
                <w:b/>
                <w:szCs w:val="24"/>
                <w:highlight w:val="yellow"/>
                <w:lang w:eastAsia="zh-CN"/>
              </w:rPr>
              <w:t>】</w:t>
            </w:r>
          </w:p>
          <w:p w14:paraId="13F9BB22">
            <w:pPr>
              <w:widowControl/>
              <w:autoSpaceDE w:val="0"/>
              <w:autoSpaceDN w:val="0"/>
              <w:adjustRightInd w:val="0"/>
              <w:snapToGrid w:val="0"/>
              <w:spacing w:line="240" w:lineRule="auto"/>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color w:val="auto"/>
                <w:szCs w:val="24"/>
                <w:highlight w:val="none"/>
                <w:u w:val="none"/>
              </w:rPr>
              <w:t>销售机构实际受理时间可能与说明书不一致，具体以销售机构通知为准。</w:t>
            </w:r>
            <w:r>
              <w:rPr>
                <w:rFonts w:hint="eastAsia" w:ascii="宋体" w:hAnsi="宋体"/>
                <w:b/>
                <w:color w:val="auto"/>
                <w:szCs w:val="24"/>
                <w:highlight w:val="none"/>
                <w:u w:val="none"/>
              </w:rPr>
              <w:t>管理人有权提前结束募集并提前成立理财产品或延长募集期，具体以管理人或销售机构公告为准。</w:t>
            </w:r>
          </w:p>
        </w:tc>
      </w:tr>
      <w:tr w14:paraId="735F386F">
        <w:tblPrEx>
          <w:tblCellMar>
            <w:top w:w="0" w:type="dxa"/>
            <w:left w:w="108" w:type="dxa"/>
            <w:bottom w:w="0" w:type="dxa"/>
            <w:right w:w="108" w:type="dxa"/>
          </w:tblCellMar>
        </w:tblPrEx>
        <w:trPr>
          <w:trHeight w:val="888" w:hRule="atLeast"/>
        </w:trPr>
        <w:tc>
          <w:tcPr>
            <w:tcW w:w="2453" w:type="dxa"/>
            <w:tcBorders>
              <w:top w:val="single" w:color="auto" w:sz="4" w:space="0"/>
              <w:left w:val="single" w:color="auto" w:sz="4" w:space="0"/>
              <w:bottom w:val="single" w:color="auto" w:sz="4" w:space="0"/>
              <w:right w:val="single" w:color="auto" w:sz="4" w:space="0"/>
            </w:tcBorders>
            <w:vAlign w:val="center"/>
          </w:tcPr>
          <w:p w14:paraId="77E0132E">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产品成立日期</w:t>
            </w:r>
          </w:p>
        </w:tc>
        <w:tc>
          <w:tcPr>
            <w:tcW w:w="6972" w:type="dxa"/>
            <w:tcBorders>
              <w:top w:val="single" w:color="auto" w:sz="4" w:space="0"/>
              <w:left w:val="single" w:color="auto" w:sz="4" w:space="0"/>
              <w:bottom w:val="single" w:color="auto" w:sz="4" w:space="0"/>
              <w:right w:val="single" w:color="auto" w:sz="4" w:space="0"/>
            </w:tcBorders>
            <w:vAlign w:val="center"/>
          </w:tcPr>
          <w:p w14:paraId="3B1CC0E1">
            <w:pPr>
              <w:snapToGrid w:val="0"/>
              <w:rPr>
                <w:rFonts w:hint="eastAsia" w:ascii="宋体" w:hAnsi="宋体"/>
                <w:b/>
                <w:szCs w:val="24"/>
                <w:highlight w:val="yellow"/>
                <w:lang w:eastAsia="zh-CN"/>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p>
          <w:p w14:paraId="78E5E777">
            <w:pPr>
              <w:snapToGrid w:val="0"/>
              <w:rPr>
                <w:rFonts w:ascii="宋体" w:hAnsi="宋体"/>
                <w:b/>
                <w:color w:val="auto"/>
                <w:szCs w:val="24"/>
                <w:highlight w:val="none"/>
                <w:u w:val="none"/>
              </w:rPr>
            </w:pPr>
            <w:r>
              <w:rPr>
                <w:rFonts w:hint="eastAsia" w:ascii="宋体" w:hAnsi="宋体"/>
                <w:b/>
                <w:color w:val="auto"/>
                <w:szCs w:val="24"/>
                <w:highlight w:val="none"/>
                <w:u w:val="none"/>
              </w:rPr>
              <w:t>如遇非</w:t>
            </w:r>
            <w:r>
              <w:rPr>
                <w:rFonts w:hint="eastAsia" w:ascii="宋体" w:hAnsi="宋体"/>
                <w:b/>
                <w:color w:val="auto"/>
                <w:szCs w:val="24"/>
                <w:highlight w:val="yellow"/>
                <w:u w:val="none"/>
                <w:lang w:eastAsia="zh-CN"/>
              </w:rPr>
              <w:t>【工作日</w:t>
            </w:r>
            <w:r>
              <w:rPr>
                <w:rFonts w:hint="eastAsia" w:ascii="宋体" w:hAnsi="宋体"/>
                <w:b/>
                <w:color w:val="auto"/>
                <w:szCs w:val="24"/>
                <w:highlight w:val="yellow"/>
                <w:u w:val="none"/>
                <w:lang w:val="en-US" w:eastAsia="zh-CN"/>
              </w:rPr>
              <w:t>/</w:t>
            </w:r>
            <w:r>
              <w:rPr>
                <w:rFonts w:hint="eastAsia" w:ascii="宋体" w:hAnsi="宋体"/>
                <w:b/>
                <w:color w:val="auto"/>
                <w:szCs w:val="24"/>
                <w:highlight w:val="yellow"/>
                <w:u w:val="none"/>
              </w:rPr>
              <w:t>交易日</w:t>
            </w:r>
            <w:r>
              <w:rPr>
                <w:rFonts w:hint="eastAsia" w:ascii="宋体" w:hAnsi="宋体"/>
                <w:b/>
                <w:color w:val="auto"/>
                <w:szCs w:val="24"/>
                <w:highlight w:val="yellow"/>
                <w:u w:val="none"/>
                <w:lang w:eastAsia="zh-CN"/>
              </w:rPr>
              <w:t>】</w:t>
            </w:r>
            <w:r>
              <w:rPr>
                <w:rFonts w:hint="eastAsia" w:ascii="宋体" w:hAnsi="宋体"/>
                <w:b/>
                <w:color w:val="auto"/>
                <w:szCs w:val="24"/>
                <w:highlight w:val="none"/>
                <w:u w:val="none"/>
              </w:rPr>
              <w:t>则顺延至下一</w:t>
            </w:r>
            <w:r>
              <w:rPr>
                <w:rFonts w:hint="eastAsia" w:ascii="宋体" w:hAnsi="宋体"/>
                <w:b/>
                <w:color w:val="auto"/>
                <w:szCs w:val="24"/>
                <w:highlight w:val="yellow"/>
                <w:u w:val="none"/>
                <w:lang w:eastAsia="zh-CN"/>
              </w:rPr>
              <w:t>【工作日</w:t>
            </w:r>
            <w:r>
              <w:rPr>
                <w:rFonts w:hint="eastAsia" w:ascii="宋体" w:hAnsi="宋体"/>
                <w:b/>
                <w:color w:val="auto"/>
                <w:szCs w:val="24"/>
                <w:highlight w:val="yellow"/>
                <w:u w:val="none"/>
                <w:lang w:val="en-US" w:eastAsia="zh-CN"/>
              </w:rPr>
              <w:t>/</w:t>
            </w:r>
            <w:r>
              <w:rPr>
                <w:rFonts w:hint="eastAsia" w:ascii="宋体" w:hAnsi="宋体"/>
                <w:b/>
                <w:color w:val="auto"/>
                <w:szCs w:val="24"/>
                <w:highlight w:val="yellow"/>
                <w:u w:val="none"/>
              </w:rPr>
              <w:t>交易日</w:t>
            </w:r>
            <w:r>
              <w:rPr>
                <w:rFonts w:hint="eastAsia" w:ascii="宋体" w:hAnsi="宋体"/>
                <w:b/>
                <w:color w:val="auto"/>
                <w:szCs w:val="24"/>
                <w:highlight w:val="yellow"/>
                <w:u w:val="none"/>
                <w:lang w:eastAsia="zh-CN"/>
              </w:rPr>
              <w:t>】</w:t>
            </w:r>
            <w:r>
              <w:rPr>
                <w:rFonts w:hint="eastAsia" w:ascii="宋体" w:hAnsi="宋体"/>
                <w:b/>
                <w:color w:val="auto"/>
                <w:szCs w:val="24"/>
                <w:highlight w:val="none"/>
                <w:u w:val="none"/>
              </w:rPr>
              <w:t>。</w:t>
            </w:r>
          </w:p>
          <w:p w14:paraId="4BDF3D9D">
            <w:pPr>
              <w:widowControl/>
              <w:spacing w:line="400" w:lineRule="exact"/>
              <w:jc w:val="left"/>
              <w:textAlignment w:val="center"/>
              <w:rPr>
                <w:rFonts w:hint="eastAsia" w:ascii="宋体" w:hAnsi="宋体"/>
                <w:color w:val="auto"/>
                <w:szCs w:val="24"/>
                <w:highlight w:val="none"/>
                <w:u w:val="none"/>
              </w:rPr>
            </w:pPr>
            <w:r>
              <w:rPr>
                <w:rFonts w:hint="eastAsia" w:ascii="宋体" w:hAnsi="宋体"/>
                <w:b/>
                <w:color w:val="auto"/>
                <w:szCs w:val="24"/>
                <w:highlight w:val="none"/>
                <w:u w:val="none"/>
              </w:rPr>
              <w:t>如本理财产品募集期提前终止或延长，实际成立日以管理人或销售机构公告为准。</w:t>
            </w:r>
          </w:p>
        </w:tc>
      </w:tr>
      <w:tr w14:paraId="6EF2F3AA">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43BEDA8">
            <w:pPr>
              <w:widowControl/>
              <w:spacing w:line="400" w:lineRule="exact"/>
              <w:jc w:val="center"/>
              <w:textAlignment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产品到期日期</w:t>
            </w:r>
          </w:p>
        </w:tc>
        <w:tc>
          <w:tcPr>
            <w:tcW w:w="6972" w:type="dxa"/>
            <w:tcBorders>
              <w:top w:val="single" w:color="auto" w:sz="4" w:space="0"/>
              <w:left w:val="single" w:color="auto" w:sz="4" w:space="0"/>
              <w:bottom w:val="single" w:color="auto" w:sz="4" w:space="0"/>
              <w:right w:val="single" w:color="auto" w:sz="4" w:space="0"/>
            </w:tcBorders>
            <w:vAlign w:val="center"/>
          </w:tcPr>
          <w:p w14:paraId="2B07C2EE">
            <w:pPr>
              <w:widowControl/>
              <w:spacing w:line="400" w:lineRule="exact"/>
              <w:jc w:val="left"/>
              <w:textAlignment w:val="center"/>
              <w:rPr>
                <w:rFonts w:hint="eastAsia" w:ascii="仿宋_GB2312" w:hAnsi="等线" w:cs="仿宋_GB2312"/>
                <w:bCs/>
                <w:color w:val="000000" w:themeColor="text1"/>
                <w:sz w:val="24"/>
                <w:lang w:eastAsia="zh-CN"/>
                <w14:textFill>
                  <w14:solidFill>
                    <w14:schemeClr w14:val="tx1"/>
                  </w14:solidFill>
                </w14:textFill>
              </w:rPr>
            </w:pPr>
            <w:r>
              <w:rPr>
                <w:rFonts w:hint="eastAsia" w:ascii="宋体" w:hAnsi="宋体"/>
                <w:szCs w:val="24"/>
                <w:highlight w:val="yellow"/>
                <w:lang w:eastAsia="zh-CN"/>
              </w:rPr>
              <w:t>【无固定期限</w:t>
            </w:r>
            <w:r>
              <w:rPr>
                <w:rFonts w:hint="eastAsia" w:ascii="宋体" w:hAnsi="宋体"/>
                <w:szCs w:val="24"/>
                <w:highlight w:val="yellow"/>
                <w:lang w:val="en-US" w:eastAsia="zh-CN"/>
              </w:rPr>
              <w:t>/xxxx年xx月xx日</w:t>
            </w:r>
            <w:r>
              <w:rPr>
                <w:rFonts w:hint="eastAsia" w:ascii="宋体" w:hAnsi="宋体"/>
                <w:b/>
                <w:szCs w:val="24"/>
                <w:highlight w:val="yellow"/>
                <w:lang w:eastAsia="zh-CN"/>
              </w:rPr>
              <w:t>】</w:t>
            </w:r>
          </w:p>
          <w:p w14:paraId="77954327">
            <w:pPr>
              <w:widowControl/>
              <w:spacing w:line="400" w:lineRule="exact"/>
              <w:jc w:val="left"/>
              <w:textAlignment w:val="center"/>
              <w:rPr>
                <w:rFonts w:hint="eastAsia" w:ascii="仿宋_GB2312" w:hAnsi="等线" w:cs="仿宋_GB2312"/>
                <w:bCs/>
                <w:color w:val="000000" w:themeColor="text1"/>
                <w:sz w:val="24"/>
                <w:lang w:eastAsia="zh-CN"/>
                <w14:textFill>
                  <w14:solidFill>
                    <w14:schemeClr w14:val="tx1"/>
                  </w14:solidFill>
                </w14:textFill>
              </w:rPr>
            </w:pPr>
            <w:r>
              <w:rPr>
                <w:rFonts w:hint="eastAsia" w:ascii="宋体" w:hAnsi="宋体"/>
                <w:color w:val="auto"/>
                <w:szCs w:val="24"/>
                <w:highlight w:val="none"/>
                <w:u w:val="none"/>
              </w:rPr>
              <w:t>产品管理人有权根据实际情况提前终止，并提前</w:t>
            </w:r>
            <w:r>
              <w:rPr>
                <w:rFonts w:hint="eastAsia" w:ascii="宋体" w:hAnsi="宋体"/>
                <w:b/>
                <w:szCs w:val="24"/>
                <w:highlight w:val="yellow"/>
                <w:lang w:eastAsia="zh-CN"/>
              </w:rPr>
              <w:t>【</w:t>
            </w:r>
            <w:r>
              <w:rPr>
                <w:rFonts w:hint="eastAsia" w:ascii="宋体" w:hAnsi="宋体"/>
                <w:b/>
                <w:szCs w:val="24"/>
                <w:highlight w:val="yellow"/>
                <w:lang w:val="en-US" w:eastAsia="zh-CN"/>
              </w:rPr>
              <w:t>1</w:t>
            </w:r>
            <w:r>
              <w:rPr>
                <w:rFonts w:hint="eastAsia" w:ascii="宋体" w:hAnsi="宋体"/>
                <w:b/>
                <w:szCs w:val="24"/>
                <w:highlight w:val="yellow"/>
                <w:lang w:eastAsia="zh-CN"/>
              </w:rPr>
              <w:t>】</w:t>
            </w:r>
            <w:r>
              <w:rPr>
                <w:rFonts w:hint="eastAsia" w:ascii="宋体" w:hAnsi="宋体"/>
                <w:color w:val="auto"/>
                <w:szCs w:val="24"/>
                <w:highlight w:val="none"/>
                <w:u w:val="none"/>
              </w:rPr>
              <w:t>个</w:t>
            </w:r>
            <w:r>
              <w:rPr>
                <w:rFonts w:ascii="宋体" w:hAnsi="宋体"/>
                <w:color w:val="auto"/>
                <w:szCs w:val="24"/>
                <w:highlight w:val="none"/>
                <w:u w:val="none"/>
              </w:rPr>
              <w:t>工作</w:t>
            </w:r>
            <w:r>
              <w:rPr>
                <w:rFonts w:hint="eastAsia" w:ascii="宋体" w:hAnsi="宋体"/>
                <w:color w:val="auto"/>
                <w:szCs w:val="24"/>
                <w:highlight w:val="none"/>
                <w:u w:val="none"/>
              </w:rPr>
              <w:t>日按照本《产品说明书》“信息披露”约定的方式通知投资者。</w:t>
            </w:r>
          </w:p>
        </w:tc>
      </w:tr>
      <w:tr w14:paraId="69464229">
        <w:tblPrEx>
          <w:tblCellMar>
            <w:top w:w="0" w:type="dxa"/>
            <w:left w:w="108" w:type="dxa"/>
            <w:bottom w:w="0" w:type="dxa"/>
            <w:right w:w="108" w:type="dxa"/>
          </w:tblCellMar>
        </w:tblPrEx>
        <w:trPr>
          <w:trHeight w:val="447" w:hRule="atLeast"/>
        </w:trPr>
        <w:tc>
          <w:tcPr>
            <w:tcW w:w="2453" w:type="dxa"/>
            <w:tcBorders>
              <w:top w:val="single" w:color="auto" w:sz="4" w:space="0"/>
              <w:left w:val="single" w:color="auto" w:sz="4" w:space="0"/>
              <w:bottom w:val="single" w:color="auto" w:sz="4" w:space="0"/>
              <w:right w:val="single" w:color="auto" w:sz="4" w:space="0"/>
            </w:tcBorders>
            <w:vAlign w:val="center"/>
          </w:tcPr>
          <w:p w14:paraId="7977381B">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资金到账日</w:t>
            </w:r>
          </w:p>
        </w:tc>
        <w:tc>
          <w:tcPr>
            <w:tcW w:w="6972" w:type="dxa"/>
            <w:tcBorders>
              <w:top w:val="single" w:color="auto" w:sz="4" w:space="0"/>
              <w:left w:val="single" w:color="auto" w:sz="4" w:space="0"/>
              <w:bottom w:val="single" w:color="auto" w:sz="4" w:space="0"/>
              <w:right w:val="single" w:color="auto" w:sz="4" w:space="0"/>
            </w:tcBorders>
            <w:vAlign w:val="center"/>
          </w:tcPr>
          <w:p w14:paraId="6B38B225">
            <w:pPr>
              <w:widowControl/>
              <w:spacing w:line="400" w:lineRule="exact"/>
              <w:jc w:val="left"/>
              <w:textAlignment w:val="center"/>
              <w:rPr>
                <w:rFonts w:hint="eastAsia" w:ascii="宋体" w:hAnsi="宋体" w:eastAsia="仿宋_GB2312" w:cstheme="minorBidi"/>
                <w:bCs w:val="0"/>
                <w:color w:val="auto"/>
                <w:sz w:val="24"/>
                <w:szCs w:val="24"/>
                <w:highlight w:val="none"/>
                <w:u w:val="none"/>
              </w:rPr>
            </w:pPr>
            <w:r>
              <w:rPr>
                <w:rFonts w:hint="eastAsia" w:ascii="宋体" w:hAnsi="宋体"/>
                <w:b/>
                <w:szCs w:val="24"/>
                <w:highlight w:val="yellow"/>
                <w:lang w:eastAsia="zh-CN"/>
              </w:rPr>
              <w:t>【T+0、T+1、T+2、T+3、T+4、T+5及以上】</w:t>
            </w:r>
          </w:p>
        </w:tc>
      </w:tr>
      <w:tr w14:paraId="3AFADDF3">
        <w:tblPrEx>
          <w:tblCellMar>
            <w:top w:w="0" w:type="dxa"/>
            <w:left w:w="108" w:type="dxa"/>
            <w:bottom w:w="0" w:type="dxa"/>
            <w:right w:w="108" w:type="dxa"/>
          </w:tblCellMar>
        </w:tblPrEx>
        <w:trPr>
          <w:trHeight w:val="410" w:hRule="atLeast"/>
        </w:trPr>
        <w:tc>
          <w:tcPr>
            <w:tcW w:w="2453" w:type="dxa"/>
            <w:tcBorders>
              <w:top w:val="single" w:color="auto" w:sz="4" w:space="0"/>
              <w:left w:val="single" w:color="auto" w:sz="4" w:space="0"/>
              <w:bottom w:val="single" w:color="auto" w:sz="4" w:space="0"/>
              <w:right w:val="single" w:color="auto" w:sz="4" w:space="0"/>
            </w:tcBorders>
            <w:vAlign w:val="center"/>
          </w:tcPr>
          <w:p w14:paraId="7368A6A2">
            <w:pPr>
              <w:widowControl/>
              <w:spacing w:line="400" w:lineRule="exact"/>
              <w:jc w:val="center"/>
              <w:textAlignment w:val="center"/>
              <w:rPr>
                <w:rFonts w:hint="eastAsia" w:ascii="仿宋_GB2312" w:hAnsi="等线" w:eastAsia="仿宋_GB2312" w:cs="仿宋_GB2312"/>
                <w:color w:val="000000" w:themeColor="text1"/>
                <w:sz w:val="24"/>
                <w:lang w:eastAsia="zh-CN"/>
                <w14:textFill>
                  <w14:solidFill>
                    <w14:schemeClr w14:val="tx1"/>
                  </w14:solidFill>
                </w14:textFill>
              </w:rPr>
            </w:pPr>
            <w:r>
              <w:rPr>
                <w:rFonts w:hint="eastAsia" w:ascii="仿宋_GB2312" w:hAnsi="等线" w:cs="仿宋_GB2312"/>
                <w:color w:val="000000" w:themeColor="text1"/>
                <w:sz w:val="24"/>
                <w:lang w:eastAsia="zh-CN"/>
                <w14:textFill>
                  <w14:solidFill>
                    <w14:schemeClr w14:val="tx1"/>
                  </w14:solidFill>
                </w14:textFill>
              </w:rPr>
              <w:t>定期开放周期</w:t>
            </w:r>
          </w:p>
        </w:tc>
        <w:tc>
          <w:tcPr>
            <w:tcW w:w="6972" w:type="dxa"/>
            <w:tcBorders>
              <w:top w:val="single" w:color="auto" w:sz="4" w:space="0"/>
              <w:left w:val="single" w:color="auto" w:sz="4" w:space="0"/>
              <w:bottom w:val="single" w:color="auto" w:sz="4" w:space="0"/>
              <w:right w:val="single" w:color="auto" w:sz="4" w:space="0"/>
            </w:tcBorders>
            <w:vAlign w:val="center"/>
          </w:tcPr>
          <w:p w14:paraId="6C0AD327">
            <w:pPr>
              <w:widowControl/>
              <w:spacing w:line="400" w:lineRule="exact"/>
              <w:jc w:val="left"/>
              <w:textAlignment w:val="center"/>
              <w:rPr>
                <w:rFonts w:hint="default" w:ascii="宋体" w:hAnsi="宋体" w:eastAsia="仿宋_GB2312" w:cstheme="minorBidi"/>
                <w:bCs w:val="0"/>
                <w:color w:val="auto"/>
                <w:sz w:val="24"/>
                <w:szCs w:val="24"/>
                <w:highlight w:val="none"/>
                <w:u w:val="none"/>
                <w:lang w:val="en-US" w:eastAsia="zh-CN"/>
              </w:rPr>
            </w:pPr>
            <w:r>
              <w:rPr>
                <w:rFonts w:hint="eastAsia" w:ascii="宋体" w:hAnsi="宋体" w:cstheme="minorBidi"/>
                <w:bCs w:val="0"/>
                <w:color w:val="auto"/>
                <w:kern w:val="2"/>
                <w:sz w:val="24"/>
                <w:szCs w:val="24"/>
                <w:highlight w:val="yellow"/>
                <w:u w:val="none"/>
                <w:lang w:eastAsia="zh-CN" w:bidi="ar"/>
              </w:rPr>
              <w:t>【每</w:t>
            </w:r>
            <w:r>
              <w:rPr>
                <w:rFonts w:hint="eastAsia" w:ascii="宋体" w:hAnsi="宋体" w:cstheme="minorBidi"/>
                <w:bCs w:val="0"/>
                <w:color w:val="auto"/>
                <w:kern w:val="2"/>
                <w:sz w:val="24"/>
                <w:szCs w:val="24"/>
                <w:highlight w:val="yellow"/>
                <w:u w:val="none"/>
                <w:lang w:val="en-US" w:eastAsia="zh-CN" w:bidi="ar"/>
              </w:rPr>
              <w:t>x天/周/月/年</w:t>
            </w:r>
            <w:r>
              <w:rPr>
                <w:rFonts w:hint="eastAsia" w:ascii="宋体" w:hAnsi="宋体" w:cstheme="minorBidi"/>
                <w:bCs w:val="0"/>
                <w:color w:val="auto"/>
                <w:kern w:val="2"/>
                <w:sz w:val="24"/>
                <w:szCs w:val="24"/>
                <w:highlight w:val="yellow"/>
                <w:u w:val="none"/>
                <w:lang w:eastAsia="zh-CN" w:bidi="ar"/>
              </w:rPr>
              <w:t>】</w:t>
            </w:r>
          </w:p>
        </w:tc>
      </w:tr>
      <w:tr w14:paraId="06898578">
        <w:tblPrEx>
          <w:tblCellMar>
            <w:top w:w="0" w:type="dxa"/>
            <w:left w:w="108" w:type="dxa"/>
            <w:bottom w:w="0" w:type="dxa"/>
            <w:right w:w="108" w:type="dxa"/>
          </w:tblCellMar>
        </w:tblPrEx>
        <w:trPr>
          <w:trHeight w:val="328" w:hRule="atLeast"/>
        </w:trPr>
        <w:tc>
          <w:tcPr>
            <w:tcW w:w="2453" w:type="dxa"/>
            <w:tcBorders>
              <w:top w:val="single" w:color="auto" w:sz="4" w:space="0"/>
              <w:left w:val="single" w:color="auto" w:sz="4" w:space="0"/>
              <w:bottom w:val="single" w:color="auto" w:sz="4" w:space="0"/>
              <w:right w:val="single" w:color="auto" w:sz="4" w:space="0"/>
            </w:tcBorders>
            <w:vAlign w:val="center"/>
          </w:tcPr>
          <w:p w14:paraId="55AE9497">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投资周期</w:t>
            </w:r>
          </w:p>
        </w:tc>
        <w:tc>
          <w:tcPr>
            <w:tcW w:w="6972" w:type="dxa"/>
            <w:tcBorders>
              <w:top w:val="single" w:color="auto" w:sz="4" w:space="0"/>
              <w:left w:val="single" w:color="auto" w:sz="4" w:space="0"/>
              <w:bottom w:val="single" w:color="auto" w:sz="4" w:space="0"/>
              <w:right w:val="single" w:color="auto" w:sz="4" w:space="0"/>
            </w:tcBorders>
            <w:vAlign w:val="center"/>
          </w:tcPr>
          <w:p w14:paraId="30877343">
            <w:pPr>
              <w:widowControl/>
              <w:spacing w:line="400" w:lineRule="exact"/>
              <w:jc w:val="left"/>
              <w:textAlignment w:val="center"/>
              <w:rPr>
                <w:rFonts w:hint="eastAsia" w:ascii="宋体" w:hAnsi="宋体" w:eastAsia="仿宋_GB2312" w:cstheme="minorBidi"/>
                <w:bCs w:val="0"/>
                <w:color w:val="auto"/>
                <w:sz w:val="24"/>
                <w:szCs w:val="24"/>
                <w:highlight w:val="none"/>
                <w:u w:val="none"/>
              </w:rPr>
            </w:pPr>
            <w:r>
              <w:rPr>
                <w:rFonts w:hint="eastAsia" w:ascii="宋体" w:hAnsi="宋体" w:cstheme="minorBidi"/>
                <w:bCs w:val="0"/>
                <w:color w:val="auto"/>
                <w:kern w:val="2"/>
                <w:sz w:val="24"/>
                <w:szCs w:val="24"/>
                <w:highlight w:val="yellow"/>
                <w:u w:val="none"/>
                <w:lang w:eastAsia="zh-CN" w:bidi="ar"/>
              </w:rPr>
              <w:t>【每</w:t>
            </w:r>
            <w:r>
              <w:rPr>
                <w:rFonts w:hint="eastAsia" w:ascii="宋体" w:hAnsi="宋体" w:cstheme="minorBidi"/>
                <w:bCs w:val="0"/>
                <w:color w:val="auto"/>
                <w:kern w:val="2"/>
                <w:sz w:val="24"/>
                <w:szCs w:val="24"/>
                <w:highlight w:val="yellow"/>
                <w:u w:val="none"/>
                <w:lang w:val="en-US" w:eastAsia="zh-CN" w:bidi="ar"/>
              </w:rPr>
              <w:t>x天/周/月/年</w:t>
            </w:r>
            <w:r>
              <w:rPr>
                <w:rFonts w:hint="eastAsia" w:ascii="宋体" w:hAnsi="宋体" w:cstheme="minorBidi"/>
                <w:bCs w:val="0"/>
                <w:color w:val="auto"/>
                <w:kern w:val="2"/>
                <w:sz w:val="24"/>
                <w:szCs w:val="24"/>
                <w:highlight w:val="yellow"/>
                <w:u w:val="none"/>
                <w:lang w:eastAsia="zh-CN" w:bidi="ar"/>
              </w:rPr>
              <w:t>】</w:t>
            </w:r>
          </w:p>
        </w:tc>
      </w:tr>
      <w:tr w14:paraId="5BD88D0C">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27812F3A">
            <w:pPr>
              <w:widowControl/>
              <w:spacing w:line="400" w:lineRule="exact"/>
              <w:jc w:val="center"/>
              <w:textAlignment w:val="center"/>
              <w:rPr>
                <w:rFonts w:hint="eastAsia" w:ascii="楷体_GB2312" w:hAnsi="等线" w:eastAsia="楷体_GB2312" w:cs="楷体_GB2312"/>
                <w:b/>
                <w:bCs/>
                <w:color w:val="000000" w:themeColor="text1"/>
                <w:sz w:val="24"/>
                <w14:textFill>
                  <w14:solidFill>
                    <w14:schemeClr w14:val="tx1"/>
                  </w14:solidFill>
                </w14:textFill>
              </w:rPr>
            </w:pPr>
            <w:r>
              <w:rPr>
                <w:rFonts w:hint="eastAsia" w:ascii="楷体_GB2312" w:hAnsi="等线" w:eastAsia="楷体_GB2312" w:cs="楷体_GB2312"/>
                <w:b/>
                <w:bCs/>
                <w:color w:val="000000" w:themeColor="text1"/>
                <w:kern w:val="0"/>
                <w:sz w:val="24"/>
                <w:lang w:bidi="ar"/>
                <w14:textFill>
                  <w14:solidFill>
                    <w14:schemeClr w14:val="tx1"/>
                  </w14:solidFill>
                </w14:textFill>
              </w:rPr>
              <w:t>（五）产品费用</w:t>
            </w:r>
          </w:p>
        </w:tc>
      </w:tr>
      <w:tr w14:paraId="6F26B605">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75E7A74">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销售</w:t>
            </w:r>
            <w:r>
              <w:rPr>
                <w:rFonts w:hint="eastAsia" w:ascii="仿宋_GB2312" w:hAnsi="等线" w:cs="仿宋_GB2312"/>
                <w:color w:val="000000" w:themeColor="text1"/>
                <w:kern w:val="0"/>
                <w:sz w:val="24"/>
                <w:lang w:eastAsia="zh-CN" w:bidi="ar"/>
                <w14:textFill>
                  <w14:solidFill>
                    <w14:schemeClr w14:val="tx1"/>
                  </w14:solidFill>
                </w14:textFill>
              </w:rPr>
              <w:t>服务</w:t>
            </w:r>
            <w:r>
              <w:rPr>
                <w:rFonts w:hint="eastAsia" w:ascii="仿宋_GB2312" w:hAnsi="等线" w:eastAsia="仿宋_GB2312" w:cs="仿宋_GB2312"/>
                <w:color w:val="000000" w:themeColor="text1"/>
                <w:kern w:val="0"/>
                <w:sz w:val="24"/>
                <w:lang w:bidi="ar"/>
                <w14:textFill>
                  <w14:solidFill>
                    <w14:schemeClr w14:val="tx1"/>
                  </w14:solidFill>
                </w14:textFill>
              </w:rPr>
              <w:t>费率（年化）</w:t>
            </w:r>
          </w:p>
        </w:tc>
        <w:tc>
          <w:tcPr>
            <w:tcW w:w="6972" w:type="dxa"/>
            <w:tcBorders>
              <w:top w:val="single" w:color="auto" w:sz="4" w:space="0"/>
              <w:left w:val="single" w:color="auto" w:sz="4" w:space="0"/>
              <w:bottom w:val="single" w:color="auto" w:sz="4" w:space="0"/>
              <w:right w:val="single" w:color="auto" w:sz="4" w:space="0"/>
            </w:tcBorders>
            <w:vAlign w:val="center"/>
          </w:tcPr>
          <w:p w14:paraId="57E2E203">
            <w:pPr>
              <w:widowControl/>
              <w:spacing w:line="400" w:lineRule="exact"/>
              <w:jc w:val="left"/>
              <w:textAlignment w:val="center"/>
              <w:rPr>
                <w:rFonts w:hint="default" w:ascii="宋体" w:hAnsi="宋体"/>
                <w:color w:val="auto"/>
                <w:szCs w:val="24"/>
                <w:highlight w:val="none"/>
                <w:u w:val="none"/>
                <w:lang w:val="en-US" w:eastAsia="zh-CN"/>
              </w:rPr>
            </w:pPr>
            <w:r>
              <w:rPr>
                <w:rFonts w:hint="eastAsia" w:ascii="宋体" w:hAnsi="宋体" w:cstheme="minorBidi"/>
                <w:bCs w:val="0"/>
                <w:color w:val="auto"/>
                <w:kern w:val="2"/>
                <w:sz w:val="24"/>
                <w:szCs w:val="24"/>
                <w:highlight w:val="yellow"/>
                <w:u w:val="none"/>
                <w:lang w:eastAsia="zh-CN" w:bidi="ar"/>
              </w:rPr>
              <w:t>【份额代码】</w:t>
            </w:r>
            <w:r>
              <w:rPr>
                <w:rFonts w:hint="eastAsia" w:ascii="宋体" w:hAnsi="宋体"/>
                <w:color w:val="auto"/>
                <w:szCs w:val="24"/>
                <w:highlight w:val="none"/>
                <w:u w:val="none"/>
                <w:lang w:val="en-US" w:eastAsia="zh-CN"/>
              </w:rPr>
              <w:t>：</w:t>
            </w:r>
            <w:r>
              <w:rPr>
                <w:rFonts w:hint="eastAsia" w:ascii="宋体" w:hAnsi="宋体" w:cstheme="minorBidi"/>
                <w:bCs w:val="0"/>
                <w:color w:val="auto"/>
                <w:kern w:val="2"/>
                <w:sz w:val="24"/>
                <w:szCs w:val="24"/>
                <w:highlight w:val="yellow"/>
                <w:u w:val="none"/>
                <w:lang w:eastAsia="zh-CN" w:bidi="ar"/>
              </w:rPr>
              <w:t>【费率】</w:t>
            </w:r>
          </w:p>
          <w:p w14:paraId="3F912188">
            <w:pPr>
              <w:widowControl/>
              <w:spacing w:line="400" w:lineRule="exact"/>
              <w:jc w:val="left"/>
              <w:textAlignment w:val="center"/>
              <w:rPr>
                <w:rFonts w:hint="default" w:ascii="仿宋_GB2312" w:hAnsi="等线" w:eastAsia="仿宋_GB2312" w:cs="仿宋_GB2312"/>
                <w:bCs/>
                <w:color w:val="000000" w:themeColor="text1"/>
                <w:sz w:val="24"/>
                <w:lang w:val="en-US"/>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r>
              <w:rPr>
                <w:rFonts w:hint="eastAsia" w:ascii="宋体" w:hAnsi="宋体"/>
                <w:color w:val="auto"/>
                <w:szCs w:val="24"/>
                <w:highlight w:val="none"/>
                <w:u w:val="none"/>
                <w:lang w:val="en-US" w:eastAsia="zh-CN"/>
              </w:rPr>
              <w:t>：</w:t>
            </w:r>
            <w:r>
              <w:rPr>
                <w:rFonts w:hint="eastAsia" w:ascii="宋体" w:hAnsi="宋体" w:cstheme="minorBidi"/>
                <w:bCs w:val="0"/>
                <w:color w:val="auto"/>
                <w:kern w:val="2"/>
                <w:sz w:val="24"/>
                <w:szCs w:val="24"/>
                <w:highlight w:val="yellow"/>
                <w:u w:val="none"/>
                <w:lang w:eastAsia="zh-CN" w:bidi="ar"/>
              </w:rPr>
              <w:t>【】</w:t>
            </w:r>
          </w:p>
        </w:tc>
      </w:tr>
      <w:tr w14:paraId="45716AAC">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00C2E6F">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托管费率（年化）</w:t>
            </w:r>
          </w:p>
        </w:tc>
        <w:tc>
          <w:tcPr>
            <w:tcW w:w="6972" w:type="dxa"/>
            <w:tcBorders>
              <w:top w:val="single" w:color="auto" w:sz="4" w:space="0"/>
              <w:left w:val="single" w:color="auto" w:sz="4" w:space="0"/>
              <w:bottom w:val="single" w:color="auto" w:sz="4" w:space="0"/>
              <w:right w:val="single" w:color="auto" w:sz="4" w:space="0"/>
            </w:tcBorders>
            <w:vAlign w:val="center"/>
          </w:tcPr>
          <w:p w14:paraId="5EB620B4">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【费率】</w:t>
            </w:r>
          </w:p>
        </w:tc>
      </w:tr>
      <w:tr w14:paraId="7E50AD9A">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68C0D8D">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固定</w:t>
            </w:r>
            <w:r>
              <w:rPr>
                <w:rFonts w:hint="eastAsia" w:ascii="仿宋_GB2312" w:hAnsi="等线" w:eastAsia="仿宋_GB2312" w:cs="仿宋_GB2312"/>
                <w:color w:val="000000" w:themeColor="text1"/>
                <w:kern w:val="0"/>
                <w:sz w:val="24"/>
                <w:lang w:bidi="ar"/>
                <w14:textFill>
                  <w14:solidFill>
                    <w14:schemeClr w14:val="tx1"/>
                  </w14:solidFill>
                </w14:textFill>
              </w:rPr>
              <w:t>管理费率（年化）</w:t>
            </w:r>
          </w:p>
        </w:tc>
        <w:tc>
          <w:tcPr>
            <w:tcW w:w="6972" w:type="dxa"/>
            <w:tcBorders>
              <w:top w:val="single" w:color="auto" w:sz="4" w:space="0"/>
              <w:left w:val="single" w:color="auto" w:sz="4" w:space="0"/>
              <w:bottom w:val="single" w:color="auto" w:sz="4" w:space="0"/>
              <w:right w:val="single" w:color="auto" w:sz="4" w:space="0"/>
            </w:tcBorders>
            <w:vAlign w:val="center"/>
          </w:tcPr>
          <w:p w14:paraId="17FEE567">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【费率】</w:t>
            </w:r>
          </w:p>
        </w:tc>
      </w:tr>
      <w:tr w14:paraId="34327B0B">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410CFF70">
            <w:pPr>
              <w:widowControl/>
              <w:spacing w:line="400" w:lineRule="exact"/>
              <w:jc w:val="center"/>
              <w:textAlignment w:val="center"/>
              <w:rPr>
                <w:rFonts w:hint="eastAsia" w:ascii="仿宋_GB2312" w:hAnsi="等线" w:eastAsia="仿宋_GB2312" w:cs="仿宋_GB2312"/>
                <w:color w:val="000000" w:themeColor="text1"/>
                <w:sz w:val="24"/>
                <w:lang w:eastAsia="zh-CN"/>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浮动管理费</w:t>
            </w:r>
          </w:p>
        </w:tc>
        <w:tc>
          <w:tcPr>
            <w:tcW w:w="6972" w:type="dxa"/>
            <w:tcBorders>
              <w:top w:val="single" w:color="auto" w:sz="4" w:space="0"/>
              <w:left w:val="single" w:color="auto" w:sz="4" w:space="0"/>
              <w:bottom w:val="single" w:color="auto" w:sz="4" w:space="0"/>
              <w:right w:val="single" w:color="auto" w:sz="4" w:space="0"/>
            </w:tcBorders>
            <w:vAlign w:val="center"/>
          </w:tcPr>
          <w:p w14:paraId="3F51D656">
            <w:pPr>
              <w:widowControl/>
              <w:snapToGrid/>
              <w:spacing w:line="400" w:lineRule="exact"/>
              <w:jc w:val="left"/>
              <w:textAlignment w:val="center"/>
              <w:rPr>
                <w:rFonts w:hint="eastAsia" w:ascii="宋体" w:hAnsi="宋体"/>
                <w:b/>
                <w:color w:val="auto"/>
                <w:szCs w:val="24"/>
                <w:highlight w:val="none"/>
                <w:lang w:eastAsia="zh-CN"/>
              </w:rPr>
            </w:pPr>
            <w:r>
              <w:rPr>
                <w:rFonts w:hint="eastAsia" w:ascii="宋体" w:hAnsi="宋体"/>
                <w:b/>
                <w:color w:val="auto"/>
                <w:szCs w:val="24"/>
                <w:highlight w:val="none"/>
                <w:lang w:eastAsia="zh-CN"/>
              </w:rPr>
              <w:t>浮动管理费计提基准：</w:t>
            </w:r>
            <w:r>
              <w:rPr>
                <w:rFonts w:hint="eastAsia" w:ascii="宋体" w:hAnsi="宋体" w:cstheme="minorBidi"/>
                <w:bCs w:val="0"/>
                <w:color w:val="auto"/>
                <w:kern w:val="2"/>
                <w:sz w:val="24"/>
                <w:szCs w:val="24"/>
                <w:highlight w:val="yellow"/>
                <w:u w:val="none"/>
                <w:lang w:eastAsia="zh-CN" w:bidi="ar"/>
              </w:rPr>
              <w:t>【</w:t>
            </w:r>
            <w:r>
              <w:rPr>
                <w:rFonts w:hint="eastAsia" w:ascii="宋体" w:hAnsi="宋体"/>
                <w:b/>
                <w:color w:val="auto"/>
                <w:szCs w:val="24"/>
                <w:highlight w:val="yellow"/>
              </w:rPr>
              <w:t>年化</w:t>
            </w:r>
            <w:r>
              <w:rPr>
                <w:rFonts w:hint="eastAsia" w:ascii="宋体" w:hAnsi="宋体" w:cstheme="minorBidi"/>
                <w:bCs w:val="0"/>
                <w:color w:val="auto"/>
                <w:kern w:val="2"/>
                <w:sz w:val="24"/>
                <w:szCs w:val="24"/>
                <w:highlight w:val="yellow"/>
                <w:u w:val="none"/>
                <w:lang w:eastAsia="zh-CN" w:bidi="ar"/>
              </w:rPr>
              <w:t>费率</w:t>
            </w:r>
            <w:r>
              <w:rPr>
                <w:rFonts w:hint="eastAsia" w:ascii="宋体" w:hAnsi="宋体" w:cstheme="minorBidi"/>
                <w:bCs w:val="0"/>
                <w:color w:val="auto"/>
                <w:kern w:val="2"/>
                <w:sz w:val="24"/>
                <w:szCs w:val="24"/>
                <w:highlight w:val="yellow"/>
                <w:u w:val="none"/>
                <w:lang w:val="en-US" w:eastAsia="zh-CN" w:bidi="ar"/>
              </w:rPr>
              <w:t>/无</w:t>
            </w:r>
            <w:r>
              <w:rPr>
                <w:rFonts w:hint="eastAsia" w:ascii="宋体" w:hAnsi="宋体" w:cstheme="minorBidi"/>
                <w:bCs w:val="0"/>
                <w:color w:val="auto"/>
                <w:kern w:val="2"/>
                <w:sz w:val="24"/>
                <w:szCs w:val="24"/>
                <w:highlight w:val="yellow"/>
                <w:u w:val="none"/>
                <w:lang w:eastAsia="zh-CN" w:bidi="ar"/>
              </w:rPr>
              <w:t>】</w:t>
            </w:r>
          </w:p>
          <w:p w14:paraId="65DF27EA">
            <w:pPr>
              <w:tabs>
                <w:tab w:val="left" w:pos="312"/>
              </w:tabs>
              <w:snapToGrid w:val="0"/>
              <w:rPr>
                <w:rFonts w:hint="eastAsia" w:ascii="宋体" w:hAnsi="宋体"/>
                <w:b/>
                <w:color w:val="auto"/>
                <w:szCs w:val="24"/>
                <w:highlight w:val="yellow"/>
              </w:rPr>
            </w:pPr>
            <w:r>
              <w:rPr>
                <w:rFonts w:hint="eastAsia" w:ascii="宋体" w:hAnsi="宋体"/>
                <w:b/>
                <w:color w:val="auto"/>
                <w:szCs w:val="24"/>
                <w:highlight w:val="yellow"/>
                <w:lang w:eastAsia="zh-CN"/>
              </w:rPr>
              <w:t>【□</w:t>
            </w:r>
            <w:r>
              <w:rPr>
                <w:rFonts w:hint="eastAsia" w:ascii="宋体" w:hAnsi="宋体"/>
                <w:b/>
                <w:color w:val="auto"/>
                <w:szCs w:val="24"/>
                <w:highlight w:val="yellow"/>
              </w:rPr>
              <w:t xml:space="preserve"> 产品管理人</w:t>
            </w:r>
            <w:r>
              <w:rPr>
                <w:rFonts w:hint="eastAsia" w:ascii="宋体" w:hAnsi="宋体"/>
                <w:b/>
                <w:color w:val="auto"/>
                <w:szCs w:val="24"/>
                <w:highlight w:val="yellow"/>
                <w:lang w:eastAsia="zh-CN"/>
              </w:rPr>
              <w:t>收取</w:t>
            </w:r>
            <w:r>
              <w:rPr>
                <w:rFonts w:hint="eastAsia" w:ascii="宋体" w:hAnsi="宋体"/>
                <w:b/>
                <w:color w:val="auto"/>
                <w:szCs w:val="24"/>
                <w:highlight w:val="yellow"/>
              </w:rPr>
              <w:t>理财产品浮动管理费。理财产品在扣除各项固定费用后，如年化收益率不高于</w:t>
            </w:r>
            <w:r>
              <w:rPr>
                <w:rFonts w:hint="eastAsia" w:ascii="宋体" w:hAnsi="宋体"/>
                <w:b/>
                <w:color w:val="auto"/>
                <w:szCs w:val="24"/>
                <w:highlight w:val="yellow"/>
                <w:lang w:eastAsia="zh-CN"/>
              </w:rPr>
              <w:t>【】</w:t>
            </w:r>
            <w:r>
              <w:rPr>
                <w:rFonts w:hint="eastAsia" w:ascii="宋体" w:hAnsi="宋体"/>
                <w:b/>
                <w:color w:val="auto"/>
                <w:szCs w:val="24"/>
                <w:highlight w:val="yellow"/>
              </w:rPr>
              <w:t>，则管理人不收取</w:t>
            </w:r>
            <w:r>
              <w:rPr>
                <w:rFonts w:hint="eastAsia" w:ascii="宋体" w:hAnsi="宋体"/>
                <w:b/>
                <w:color w:val="auto"/>
                <w:szCs w:val="24"/>
                <w:highlight w:val="yellow"/>
                <w:lang w:eastAsia="zh-CN"/>
              </w:rPr>
              <w:t>浮动管理费</w:t>
            </w:r>
            <w:r>
              <w:rPr>
                <w:rFonts w:hint="eastAsia" w:ascii="宋体" w:hAnsi="宋体"/>
                <w:b/>
                <w:color w:val="auto"/>
                <w:szCs w:val="24"/>
                <w:highlight w:val="yellow"/>
              </w:rPr>
              <w:t>；如年化收益率超过</w:t>
            </w:r>
            <w:r>
              <w:rPr>
                <w:rFonts w:hint="eastAsia" w:ascii="宋体" w:hAnsi="宋体"/>
                <w:b/>
                <w:color w:val="auto"/>
                <w:szCs w:val="24"/>
                <w:highlight w:val="yellow"/>
                <w:lang w:eastAsia="zh-CN"/>
              </w:rPr>
              <w:t>【】</w:t>
            </w:r>
            <w:r>
              <w:rPr>
                <w:rFonts w:hint="eastAsia" w:ascii="宋体" w:hAnsi="宋体"/>
                <w:b/>
                <w:color w:val="auto"/>
                <w:szCs w:val="24"/>
                <w:highlight w:val="yellow"/>
              </w:rPr>
              <w:t>，则</w:t>
            </w:r>
            <w:r>
              <w:rPr>
                <w:rFonts w:hint="eastAsia" w:ascii="宋体" w:hAnsi="宋体"/>
                <w:b/>
                <w:color w:val="auto"/>
                <w:szCs w:val="24"/>
                <w:highlight w:val="yellow"/>
                <w:lang w:eastAsia="zh-CN"/>
              </w:rPr>
              <w:t>【</w:t>
            </w:r>
            <w:r>
              <w:rPr>
                <w:rFonts w:hint="eastAsia" w:ascii="宋体" w:hAnsi="宋体"/>
                <w:b/>
                <w:color w:val="auto"/>
                <w:sz w:val="24"/>
                <w:highlight w:val="yellow"/>
              </w:rPr>
              <w:t>超过部分的%作为投资者浮动收益，%作为管理人的浮动管理费</w:t>
            </w:r>
            <w:r>
              <w:rPr>
                <w:rFonts w:hint="eastAsia" w:ascii="宋体" w:hAnsi="宋体"/>
                <w:b/>
                <w:color w:val="auto"/>
                <w:szCs w:val="24"/>
                <w:highlight w:val="yellow"/>
                <w:lang w:eastAsia="zh-CN"/>
              </w:rPr>
              <w:t>】</w:t>
            </w:r>
            <w:r>
              <w:rPr>
                <w:rFonts w:hint="eastAsia" w:ascii="宋体" w:hAnsi="宋体"/>
                <w:b/>
                <w:color w:val="auto"/>
                <w:szCs w:val="24"/>
                <w:highlight w:val="yellow"/>
              </w:rPr>
              <w:t>。</w:t>
            </w:r>
          </w:p>
          <w:p w14:paraId="3201FB84">
            <w:pPr>
              <w:widowControl/>
              <w:tabs>
                <w:tab w:val="left" w:pos="312"/>
              </w:tabs>
              <w:jc w:val="left"/>
              <w:rPr>
                <w:rFonts w:ascii="宋体" w:hAnsi="宋体"/>
                <w:b/>
                <w:color w:val="auto"/>
                <w:szCs w:val="24"/>
                <w:highlight w:val="yellow"/>
              </w:rPr>
            </w:pPr>
            <w:r>
              <w:rPr>
                <w:rFonts w:hint="eastAsia" w:ascii="宋体" w:hAnsi="宋体"/>
                <w:b/>
                <w:color w:val="auto"/>
                <w:szCs w:val="24"/>
                <w:highlight w:val="yellow"/>
                <w:lang w:eastAsia="zh-CN"/>
              </w:rPr>
              <w:t>□</w:t>
            </w:r>
            <w:r>
              <w:rPr>
                <w:rFonts w:hint="eastAsia" w:ascii="宋体" w:hAnsi="宋体"/>
                <w:b/>
                <w:color w:val="auto"/>
                <w:szCs w:val="24"/>
                <w:highlight w:val="yellow"/>
              </w:rPr>
              <w:t xml:space="preserve"> 产品管理人不设</w:t>
            </w:r>
            <w:r>
              <w:rPr>
                <w:rFonts w:hint="eastAsia" w:ascii="宋体" w:hAnsi="宋体"/>
                <w:b/>
                <w:color w:val="auto"/>
                <w:szCs w:val="24"/>
                <w:highlight w:val="yellow"/>
                <w:lang w:eastAsia="zh-CN"/>
              </w:rPr>
              <w:t>浮动管理费</w:t>
            </w:r>
            <w:r>
              <w:rPr>
                <w:rFonts w:hint="eastAsia" w:ascii="宋体" w:hAnsi="宋体"/>
                <w:b/>
                <w:color w:val="auto"/>
                <w:szCs w:val="24"/>
                <w:highlight w:val="yellow"/>
              </w:rPr>
              <w:t>。</w:t>
            </w:r>
            <w:r>
              <w:rPr>
                <w:rFonts w:hint="eastAsia" w:ascii="宋体" w:hAnsi="宋体"/>
                <w:b/>
                <w:color w:val="auto"/>
                <w:szCs w:val="24"/>
                <w:highlight w:val="yellow"/>
                <w:lang w:eastAsia="zh-CN"/>
              </w:rPr>
              <w:t>】</w:t>
            </w:r>
          </w:p>
          <w:p w14:paraId="017ADD6E">
            <w:pPr>
              <w:widowControl/>
              <w:snapToGrid/>
              <w:spacing w:line="400" w:lineRule="exact"/>
              <w:jc w:val="left"/>
              <w:textAlignment w:val="center"/>
              <w:rPr>
                <w:rFonts w:ascii="宋体" w:hAnsi="宋体"/>
                <w:b/>
                <w:color w:val="auto"/>
                <w:szCs w:val="24"/>
                <w:highlight w:val="none"/>
              </w:rPr>
            </w:pP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计提基准的提示：</w:t>
            </w:r>
          </w:p>
          <w:p w14:paraId="2472E5D9">
            <w:pPr>
              <w:widowControl/>
              <w:snapToGrid/>
              <w:spacing w:line="400" w:lineRule="exact"/>
              <w:jc w:val="left"/>
              <w:textAlignment w:val="center"/>
              <w:rPr>
                <w:rFonts w:ascii="宋体" w:hAnsi="宋体"/>
                <w:b/>
                <w:color w:val="auto"/>
                <w:szCs w:val="24"/>
                <w:highlight w:val="none"/>
              </w:rPr>
            </w:pPr>
            <w:r>
              <w:rPr>
                <w:rFonts w:hint="eastAsia" w:ascii="宋体" w:hAnsi="宋体"/>
                <w:b/>
                <w:color w:val="auto"/>
                <w:szCs w:val="24"/>
                <w:highlight w:val="none"/>
              </w:rPr>
              <w:t>（1）</w:t>
            </w:r>
            <w:r>
              <w:rPr>
                <w:rFonts w:hint="eastAsia" w:ascii="宋体" w:hAnsi="宋体"/>
                <w:b/>
                <w:color w:val="auto"/>
                <w:szCs w:val="24"/>
                <w:highlight w:val="none"/>
                <w:lang w:eastAsia="zh-CN"/>
              </w:rPr>
              <w:t>浮动管理费计</w:t>
            </w:r>
            <w:r>
              <w:rPr>
                <w:rFonts w:hint="eastAsia" w:ascii="宋体" w:hAnsi="宋体"/>
                <w:b/>
                <w:color w:val="auto"/>
                <w:szCs w:val="24"/>
                <w:highlight w:val="none"/>
              </w:rPr>
              <w:t>提基准仅作为管理人计算</w:t>
            </w:r>
            <w:r>
              <w:rPr>
                <w:rFonts w:hint="eastAsia" w:ascii="宋体" w:hAnsi="宋体"/>
                <w:b/>
                <w:color w:val="auto"/>
                <w:szCs w:val="24"/>
                <w:highlight w:val="none"/>
                <w:lang w:eastAsia="zh-CN"/>
              </w:rPr>
              <w:t>浮动管理费</w:t>
            </w:r>
            <w:r>
              <w:rPr>
                <w:rFonts w:hint="eastAsia" w:ascii="宋体" w:hAnsi="宋体"/>
                <w:b/>
                <w:color w:val="auto"/>
                <w:szCs w:val="24"/>
                <w:highlight w:val="none"/>
              </w:rPr>
              <w:t>的参照标准。</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计提基准不是预期收益率，不代表产品的未来表现和实际收益，不构成对产品收益的承诺。</w:t>
            </w:r>
          </w:p>
          <w:p w14:paraId="3916FF7E">
            <w:pPr>
              <w:widowControl/>
              <w:spacing w:line="400" w:lineRule="exact"/>
              <w:jc w:val="left"/>
              <w:textAlignment w:val="center"/>
              <w:rPr>
                <w:rFonts w:hint="eastAsia" w:ascii="仿宋" w:hAnsi="仿宋" w:eastAsia="仿宋" w:cs="宋体"/>
                <w:bCs/>
                <w:color w:val="000000" w:themeColor="text1"/>
                <w:kern w:val="0"/>
                <w:sz w:val="24"/>
                <w:lang w:bidi="ar"/>
                <w14:textFill>
                  <w14:solidFill>
                    <w14:schemeClr w14:val="tx1"/>
                  </w14:solidFill>
                </w14:textFill>
              </w:rPr>
            </w:pPr>
            <w:r>
              <w:rPr>
                <w:rFonts w:hint="eastAsia" w:ascii="宋体" w:hAnsi="宋体"/>
                <w:b/>
                <w:color w:val="auto"/>
                <w:szCs w:val="24"/>
                <w:highlight w:val="none"/>
              </w:rPr>
              <w:t>（2）如果法律法规、</w:t>
            </w:r>
            <w:r>
              <w:rPr>
                <w:rFonts w:ascii="宋体" w:hAnsi="宋体"/>
                <w:b/>
                <w:color w:val="auto"/>
                <w:szCs w:val="24"/>
                <w:highlight w:val="none"/>
              </w:rPr>
              <w:t>国家政策</w:t>
            </w:r>
            <w:r>
              <w:rPr>
                <w:rFonts w:hint="eastAsia" w:ascii="宋体" w:hAnsi="宋体"/>
                <w:b/>
                <w:color w:val="auto"/>
                <w:szCs w:val="24"/>
                <w:highlight w:val="none"/>
              </w:rPr>
              <w:t>发生变化，或者有其他代表性更强、更科学客观的</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计提基准适用于本产品时，经产品管理人和产品托管人协商一致后，本产品可以调整</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计提基准并及时公告。</w:t>
            </w:r>
          </w:p>
        </w:tc>
      </w:tr>
      <w:tr w14:paraId="773B0E6F">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639DD755">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认购费率</w:t>
            </w:r>
          </w:p>
        </w:tc>
        <w:tc>
          <w:tcPr>
            <w:tcW w:w="6972" w:type="dxa"/>
            <w:tcBorders>
              <w:top w:val="single" w:color="auto" w:sz="4" w:space="0"/>
              <w:left w:val="single" w:color="auto" w:sz="4" w:space="0"/>
              <w:bottom w:val="single" w:color="auto" w:sz="4" w:space="0"/>
              <w:right w:val="single" w:color="auto" w:sz="4" w:space="0"/>
            </w:tcBorders>
            <w:vAlign w:val="center"/>
          </w:tcPr>
          <w:p w14:paraId="6163F5DB">
            <w:pPr>
              <w:widowControl/>
              <w:spacing w:line="400" w:lineRule="exact"/>
              <w:jc w:val="left"/>
              <w:textAlignment w:val="center"/>
              <w:rPr>
                <w:rFonts w:hint="eastAsia" w:ascii="仿宋_GB2312" w:hAnsi="等线" w:eastAsia="仿宋_GB2312" w:cs="仿宋_GB2312"/>
                <w:bCs/>
                <w:color w:val="000000" w:themeColor="text1"/>
                <w:sz w:val="24"/>
                <w:lang w:val="en-US" w:eastAsia="zh-CN"/>
                <w14:textFill>
                  <w14:solidFill>
                    <w14:schemeClr w14:val="tx1"/>
                  </w14:solidFill>
                </w14:textFill>
              </w:rPr>
            </w:pPr>
            <w:r>
              <w:rPr>
                <w:rFonts w:hint="eastAsia" w:ascii="宋体" w:hAnsi="宋体"/>
                <w:b/>
                <w:color w:val="auto"/>
                <w:szCs w:val="24"/>
                <w:highlight w:val="none"/>
                <w:lang w:val="en-US" w:eastAsia="zh-CN"/>
              </w:rPr>
              <w:t>/</w:t>
            </w:r>
          </w:p>
        </w:tc>
      </w:tr>
      <w:tr w14:paraId="0A45A743">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25B918B">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申购费率</w:t>
            </w:r>
          </w:p>
        </w:tc>
        <w:tc>
          <w:tcPr>
            <w:tcW w:w="6972" w:type="dxa"/>
            <w:tcBorders>
              <w:top w:val="single" w:color="auto" w:sz="4" w:space="0"/>
              <w:left w:val="single" w:color="auto" w:sz="4" w:space="0"/>
              <w:bottom w:val="single" w:color="auto" w:sz="4" w:space="0"/>
              <w:right w:val="single" w:color="auto" w:sz="4" w:space="0"/>
            </w:tcBorders>
            <w:vAlign w:val="center"/>
          </w:tcPr>
          <w:p w14:paraId="406B075A">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b/>
                <w:color w:val="auto"/>
                <w:szCs w:val="24"/>
                <w:highlight w:val="none"/>
                <w:lang w:val="en-US" w:eastAsia="zh-CN"/>
              </w:rPr>
              <w:t>/</w:t>
            </w:r>
          </w:p>
        </w:tc>
      </w:tr>
      <w:tr w14:paraId="4A3945E6">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EE31359">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赎回费率</w:t>
            </w:r>
          </w:p>
        </w:tc>
        <w:tc>
          <w:tcPr>
            <w:tcW w:w="6972" w:type="dxa"/>
            <w:tcBorders>
              <w:top w:val="single" w:color="auto" w:sz="4" w:space="0"/>
              <w:left w:val="single" w:color="auto" w:sz="4" w:space="0"/>
              <w:bottom w:val="single" w:color="auto" w:sz="4" w:space="0"/>
              <w:right w:val="single" w:color="auto" w:sz="4" w:space="0"/>
            </w:tcBorders>
            <w:vAlign w:val="center"/>
          </w:tcPr>
          <w:p w14:paraId="5A877D14">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b/>
                <w:color w:val="auto"/>
                <w:szCs w:val="24"/>
                <w:highlight w:val="none"/>
                <w:lang w:val="en-US" w:eastAsia="zh-CN"/>
              </w:rPr>
              <w:t>/</w:t>
            </w:r>
          </w:p>
        </w:tc>
      </w:tr>
      <w:tr w14:paraId="0CAB5C39">
        <w:tblPrEx>
          <w:tblCellMar>
            <w:top w:w="0" w:type="dxa"/>
            <w:left w:w="108" w:type="dxa"/>
            <w:bottom w:w="0" w:type="dxa"/>
            <w:right w:w="108" w:type="dxa"/>
          </w:tblCellMar>
        </w:tblPrEx>
        <w:trPr>
          <w:trHeight w:val="830" w:hRule="atLeast"/>
        </w:trPr>
        <w:tc>
          <w:tcPr>
            <w:tcW w:w="2453" w:type="dxa"/>
            <w:tcBorders>
              <w:top w:val="single" w:color="auto" w:sz="4" w:space="0"/>
              <w:left w:val="single" w:color="auto" w:sz="4" w:space="0"/>
              <w:bottom w:val="single" w:color="auto" w:sz="4" w:space="0"/>
              <w:right w:val="single" w:color="auto" w:sz="4" w:space="0"/>
            </w:tcBorders>
            <w:vAlign w:val="center"/>
          </w:tcPr>
          <w:p w14:paraId="4802A721">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其他费用说明</w:t>
            </w:r>
          </w:p>
        </w:tc>
        <w:tc>
          <w:tcPr>
            <w:tcW w:w="6972" w:type="dxa"/>
            <w:tcBorders>
              <w:top w:val="single" w:color="auto" w:sz="4" w:space="0"/>
              <w:left w:val="single" w:color="auto" w:sz="4" w:space="0"/>
              <w:bottom w:val="single" w:color="auto" w:sz="4" w:space="0"/>
              <w:right w:val="single" w:color="auto" w:sz="4" w:space="0"/>
            </w:tcBorders>
            <w:vAlign w:val="center"/>
          </w:tcPr>
          <w:p w14:paraId="56819778">
            <w:pPr>
              <w:widowControl/>
              <w:spacing w:line="400" w:lineRule="exact"/>
              <w:jc w:val="left"/>
              <w:textAlignment w:val="center"/>
              <w:rPr>
                <w:rFonts w:hint="eastAsia" w:ascii="宋体" w:hAnsi="宋体"/>
                <w:color w:val="auto"/>
                <w:szCs w:val="24"/>
                <w:highlight w:val="none"/>
                <w:u w:val="none"/>
              </w:rPr>
            </w:pPr>
            <w:r>
              <w:rPr>
                <w:rFonts w:hint="eastAsia" w:ascii="宋体" w:hAnsi="宋体"/>
                <w:color w:val="auto"/>
                <w:szCs w:val="24"/>
                <w:highlight w:val="none"/>
                <w:u w:val="none"/>
              </w:rPr>
              <w:t>产品管理人保留调整上述理财产品收取费率标准的权利。以上费用精确到小数点后2位，小数点2位以后四舍五入。</w:t>
            </w:r>
          </w:p>
          <w:p w14:paraId="3B744A51">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b/>
                <w:bCs/>
                <w:color w:val="auto"/>
                <w:szCs w:val="24"/>
                <w:highlight w:val="none"/>
                <w:u w:val="none"/>
                <w:lang w:eastAsia="zh-CN"/>
              </w:rPr>
              <w:t>其他费用说明</w:t>
            </w:r>
            <w:r>
              <w:rPr>
                <w:rFonts w:hint="eastAsia" w:ascii="宋体" w:hAnsi="宋体"/>
                <w:b/>
                <w:bCs/>
                <w:color w:val="auto"/>
                <w:szCs w:val="24"/>
                <w:highlight w:val="none"/>
                <w:u w:val="none"/>
              </w:rPr>
              <w:t>详见</w:t>
            </w:r>
            <w:r>
              <w:rPr>
                <w:rFonts w:ascii="宋体" w:hAnsi="宋体"/>
                <w:b/>
                <w:bCs/>
                <w:color w:val="auto"/>
                <w:szCs w:val="24"/>
                <w:highlight w:val="none"/>
                <w:u w:val="none"/>
              </w:rPr>
              <w:t>第</w:t>
            </w:r>
            <w:r>
              <w:rPr>
                <w:rFonts w:hint="eastAsia" w:ascii="宋体" w:hAnsi="宋体"/>
                <w:b/>
                <w:bCs/>
                <w:color w:val="auto"/>
                <w:szCs w:val="24"/>
                <w:highlight w:val="none"/>
                <w:u w:val="none"/>
                <w:lang w:val="en-US" w:eastAsia="zh-CN"/>
              </w:rPr>
              <w:t>十</w:t>
            </w:r>
            <w:r>
              <w:rPr>
                <w:rFonts w:ascii="宋体" w:hAnsi="宋体"/>
                <w:b/>
                <w:bCs/>
                <w:color w:val="auto"/>
                <w:szCs w:val="24"/>
                <w:highlight w:val="none"/>
                <w:u w:val="none"/>
              </w:rPr>
              <w:t>节</w:t>
            </w:r>
            <w:r>
              <w:rPr>
                <w:rFonts w:hint="eastAsia" w:ascii="宋体" w:hAnsi="宋体"/>
                <w:b/>
                <w:bCs/>
                <w:color w:val="auto"/>
                <w:szCs w:val="24"/>
                <w:highlight w:val="none"/>
                <w:u w:val="none"/>
              </w:rPr>
              <w:t xml:space="preserve"> “理财</w:t>
            </w:r>
            <w:r>
              <w:rPr>
                <w:rFonts w:ascii="宋体" w:hAnsi="宋体"/>
                <w:b/>
                <w:bCs/>
                <w:color w:val="auto"/>
                <w:szCs w:val="24"/>
                <w:highlight w:val="none"/>
                <w:u w:val="none"/>
              </w:rPr>
              <w:t>产品</w:t>
            </w:r>
            <w:r>
              <w:rPr>
                <w:rFonts w:hint="eastAsia" w:ascii="宋体" w:hAnsi="宋体"/>
                <w:b/>
                <w:bCs/>
                <w:color w:val="auto"/>
                <w:szCs w:val="24"/>
                <w:highlight w:val="none"/>
                <w:u w:val="none"/>
                <w:lang w:eastAsia="zh-CN"/>
              </w:rPr>
              <w:t>的</w:t>
            </w:r>
            <w:r>
              <w:rPr>
                <w:rFonts w:ascii="宋体" w:hAnsi="宋体"/>
                <w:b/>
                <w:bCs/>
                <w:color w:val="auto"/>
                <w:szCs w:val="24"/>
                <w:highlight w:val="none"/>
                <w:u w:val="none"/>
              </w:rPr>
              <w:t>费用与税收”</w:t>
            </w:r>
            <w:r>
              <w:rPr>
                <w:rFonts w:hint="eastAsia" w:ascii="宋体" w:hAnsi="宋体"/>
                <w:b/>
                <w:bCs/>
                <w:color w:val="auto"/>
                <w:szCs w:val="24"/>
                <w:highlight w:val="none"/>
                <w:u w:val="none"/>
              </w:rPr>
              <w:t>。</w:t>
            </w:r>
          </w:p>
        </w:tc>
      </w:tr>
      <w:tr w14:paraId="4B313FDB">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6DB54B98">
            <w:pPr>
              <w:widowControl/>
              <w:spacing w:line="400" w:lineRule="exact"/>
              <w:jc w:val="center"/>
              <w:textAlignment w:val="center"/>
              <w:rPr>
                <w:rFonts w:hint="eastAsia" w:ascii="楷体_GB2312" w:hAnsi="等线" w:eastAsia="楷体_GB2312" w:cs="楷体_GB2312"/>
                <w:b/>
                <w:bCs/>
                <w:color w:val="000000" w:themeColor="text1"/>
                <w:sz w:val="24"/>
                <w14:textFill>
                  <w14:solidFill>
                    <w14:schemeClr w14:val="tx1"/>
                  </w14:solidFill>
                </w14:textFill>
              </w:rPr>
            </w:pPr>
            <w:r>
              <w:rPr>
                <w:rFonts w:hint="eastAsia" w:ascii="楷体_GB2312" w:hAnsi="等线" w:eastAsia="楷体_GB2312" w:cs="楷体_GB2312"/>
                <w:b/>
                <w:bCs/>
                <w:color w:val="000000" w:themeColor="text1"/>
                <w:kern w:val="0"/>
                <w:sz w:val="24"/>
                <w:lang w:bidi="ar"/>
                <w14:textFill>
                  <w14:solidFill>
                    <w14:schemeClr w14:val="tx1"/>
                  </w14:solidFill>
                </w14:textFill>
              </w:rPr>
              <w:t>（六）业绩比较基准</w:t>
            </w:r>
          </w:p>
        </w:tc>
      </w:tr>
      <w:tr w14:paraId="453845F5">
        <w:tblPrEx>
          <w:tblCellMar>
            <w:top w:w="0" w:type="dxa"/>
            <w:left w:w="108" w:type="dxa"/>
            <w:bottom w:w="0" w:type="dxa"/>
            <w:right w:w="108" w:type="dxa"/>
          </w:tblCellMar>
        </w:tblPrEx>
        <w:trPr>
          <w:trHeight w:val="1180" w:hRule="atLeast"/>
        </w:trPr>
        <w:tc>
          <w:tcPr>
            <w:tcW w:w="2453" w:type="dxa"/>
            <w:tcBorders>
              <w:top w:val="single" w:color="auto" w:sz="4" w:space="0"/>
              <w:left w:val="single" w:color="auto" w:sz="4" w:space="0"/>
              <w:bottom w:val="single" w:color="auto" w:sz="4" w:space="0"/>
              <w:right w:val="single" w:color="auto" w:sz="4" w:space="0"/>
            </w:tcBorders>
            <w:vAlign w:val="center"/>
          </w:tcPr>
          <w:p w14:paraId="34E038B0">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业绩比较基准</w:t>
            </w:r>
          </w:p>
        </w:tc>
        <w:tc>
          <w:tcPr>
            <w:tcW w:w="6972" w:type="dxa"/>
            <w:tcBorders>
              <w:top w:val="single" w:color="auto" w:sz="4" w:space="0"/>
              <w:left w:val="single" w:color="auto" w:sz="4" w:space="0"/>
              <w:bottom w:val="single" w:color="auto" w:sz="4" w:space="0"/>
              <w:right w:val="single" w:color="auto" w:sz="4" w:space="0"/>
            </w:tcBorders>
            <w:vAlign w:val="center"/>
          </w:tcPr>
          <w:p w14:paraId="68906A24">
            <w:pPr>
              <w:widowControl/>
              <w:spacing w:line="400" w:lineRule="exact"/>
              <w:jc w:val="left"/>
              <w:textAlignment w:val="center"/>
              <w:rPr>
                <w:rFonts w:hint="eastAsia" w:ascii="宋体" w:hAnsi="宋体"/>
                <w:b/>
                <w:color w:val="auto"/>
                <w:szCs w:val="24"/>
                <w:highlight w:val="none"/>
                <w:u w:val="none"/>
              </w:rPr>
            </w:pPr>
            <w:r>
              <w:rPr>
                <w:rFonts w:hint="eastAsia" w:ascii="宋体" w:hAnsi="宋体"/>
                <w:b/>
                <w:color w:val="auto"/>
                <w:szCs w:val="24"/>
                <w:highlight w:val="none"/>
                <w:u w:val="none"/>
                <w:lang w:val="en-US" w:eastAsia="zh-CN"/>
              </w:rPr>
              <w:t>1.</w:t>
            </w:r>
            <w:r>
              <w:rPr>
                <w:rFonts w:hint="eastAsia" w:ascii="宋体" w:hAnsi="宋体"/>
                <w:b/>
                <w:color w:val="auto"/>
                <w:szCs w:val="24"/>
                <w:highlight w:val="none"/>
                <w:u w:val="none"/>
              </w:rPr>
              <w:t>业绩比较基准设置</w:t>
            </w:r>
          </w:p>
          <w:p w14:paraId="362B9198">
            <w:pPr>
              <w:widowControl/>
              <w:spacing w:line="400" w:lineRule="exact"/>
              <w:jc w:val="left"/>
              <w:textAlignment w:val="center"/>
              <w:rPr>
                <w:rFonts w:ascii="宋体" w:hAnsi="宋体"/>
                <w:b/>
                <w:color w:val="auto"/>
                <w:szCs w:val="24"/>
                <w:highlight w:val="none"/>
                <w:u w:val="none"/>
              </w:rPr>
            </w:pPr>
            <w:r>
              <w:rPr>
                <w:rFonts w:hint="eastAsia" w:ascii="宋体" w:hAnsi="宋体" w:cstheme="minorBidi"/>
                <w:bCs w:val="0"/>
                <w:color w:val="auto"/>
                <w:kern w:val="2"/>
                <w:sz w:val="24"/>
                <w:szCs w:val="24"/>
                <w:highlight w:val="yellow"/>
                <w:u w:val="none"/>
                <w:lang w:eastAsia="zh-CN" w:bidi="ar"/>
              </w:rPr>
              <w:t>【</w:t>
            </w:r>
            <w:r>
              <w:rPr>
                <w:rFonts w:hint="eastAsia" w:ascii="宋体" w:hAnsi="宋体"/>
                <w:b/>
                <w:color w:val="auto"/>
                <w:szCs w:val="24"/>
                <w:highlight w:val="yellow"/>
                <w:u w:val="none"/>
              </w:rPr>
              <w:t>■ 设置业绩比较基准。</w:t>
            </w:r>
          </w:p>
          <w:p w14:paraId="034B8677">
            <w:pPr>
              <w:widowControl/>
              <w:spacing w:line="400" w:lineRule="exact"/>
              <w:jc w:val="left"/>
              <w:textAlignment w:val="center"/>
              <w:rPr>
                <w:rFonts w:hint="eastAsia" w:ascii="宋体" w:hAnsi="宋体"/>
                <w:b/>
                <w:color w:val="auto"/>
                <w:szCs w:val="24"/>
                <w:highlight w:val="none"/>
                <w:u w:val="none"/>
                <w:lang w:eastAsia="zh-CN"/>
              </w:rPr>
            </w:pPr>
          </w:p>
          <w:p w14:paraId="57541B58">
            <w:pPr>
              <w:widowControl/>
              <w:spacing w:line="400" w:lineRule="exact"/>
              <w:jc w:val="left"/>
              <w:textAlignment w:val="center"/>
              <w:rPr>
                <w:rFonts w:hint="eastAsia" w:ascii="宋体" w:hAnsi="宋体"/>
                <w:b/>
                <w:color w:val="auto"/>
                <w:szCs w:val="24"/>
                <w:highlight w:val="none"/>
                <w:u w:val="none"/>
                <w:lang w:eastAsia="zh-CN"/>
              </w:rPr>
            </w:pPr>
            <w:r>
              <w:rPr>
                <w:rFonts w:hint="eastAsia" w:ascii="宋体" w:hAnsi="宋体"/>
                <w:b/>
                <w:color w:val="auto"/>
                <w:szCs w:val="24"/>
                <w:highlight w:val="none"/>
                <w:u w:val="none"/>
              </w:rPr>
              <w:t>□</w:t>
            </w:r>
            <w:r>
              <w:rPr>
                <w:rFonts w:hint="eastAsia" w:ascii="宋体" w:hAnsi="宋体"/>
                <w:b/>
                <w:color w:val="auto"/>
                <w:szCs w:val="24"/>
                <w:highlight w:val="yellow"/>
                <w:u w:val="none"/>
              </w:rPr>
              <w:t xml:space="preserve"> </w:t>
            </w:r>
            <w:r>
              <w:rPr>
                <w:rFonts w:hint="eastAsia" w:ascii="宋体" w:hAnsi="宋体"/>
                <w:b/>
                <w:color w:val="auto"/>
                <w:szCs w:val="24"/>
                <w:highlight w:val="yellow"/>
                <w:u w:val="none"/>
                <w:lang w:eastAsia="zh-CN"/>
              </w:rPr>
              <w:t>无</w:t>
            </w:r>
            <w:r>
              <w:rPr>
                <w:rFonts w:hint="eastAsia" w:ascii="宋体" w:hAnsi="宋体"/>
                <w:b/>
                <w:color w:val="auto"/>
                <w:szCs w:val="24"/>
                <w:highlight w:val="yellow"/>
                <w:u w:val="none"/>
              </w:rPr>
              <w:t>业绩比较基准。</w:t>
            </w:r>
            <w:r>
              <w:rPr>
                <w:rFonts w:hint="eastAsia" w:ascii="宋体" w:hAnsi="宋体" w:cstheme="minorBidi"/>
                <w:bCs w:val="0"/>
                <w:color w:val="auto"/>
                <w:kern w:val="2"/>
                <w:sz w:val="24"/>
                <w:szCs w:val="24"/>
                <w:highlight w:val="yellow"/>
                <w:u w:val="none"/>
                <w:lang w:eastAsia="zh-CN" w:bidi="ar"/>
              </w:rPr>
              <w:t>】</w:t>
            </w:r>
          </w:p>
          <w:p w14:paraId="47BC4640">
            <w:pPr>
              <w:widowControl/>
              <w:spacing w:line="400" w:lineRule="exact"/>
              <w:jc w:val="left"/>
              <w:textAlignment w:val="center"/>
              <w:rPr>
                <w:rFonts w:hint="eastAsia" w:ascii="宋体" w:hAnsi="宋体"/>
                <w:b/>
                <w:color w:val="auto"/>
                <w:szCs w:val="24"/>
                <w:highlight w:val="none"/>
                <w:u w:val="none"/>
                <w:lang w:eastAsia="zh-CN"/>
              </w:rPr>
            </w:pPr>
            <w:r>
              <w:rPr>
                <w:rFonts w:hint="eastAsia" w:ascii="宋体" w:hAnsi="宋体"/>
                <w:b/>
                <w:color w:val="auto"/>
                <w:szCs w:val="24"/>
                <w:highlight w:val="none"/>
                <w:u w:val="none"/>
              </w:rPr>
              <w:t>2</w:t>
            </w:r>
            <w:r>
              <w:rPr>
                <w:rFonts w:ascii="宋体" w:hAnsi="宋体"/>
                <w:b/>
                <w:color w:val="auto"/>
                <w:szCs w:val="24"/>
                <w:highlight w:val="none"/>
                <w:u w:val="none"/>
              </w:rPr>
              <w:t>.</w:t>
            </w:r>
            <w:r>
              <w:rPr>
                <w:rFonts w:hint="eastAsia" w:ascii="宋体" w:hAnsi="宋体"/>
                <w:b/>
                <w:color w:val="auto"/>
                <w:szCs w:val="24"/>
                <w:highlight w:val="none"/>
                <w:u w:val="none"/>
              </w:rPr>
              <w:t>业绩</w:t>
            </w:r>
            <w:r>
              <w:rPr>
                <w:rFonts w:ascii="宋体" w:hAnsi="宋体"/>
                <w:b/>
                <w:color w:val="auto"/>
                <w:szCs w:val="24"/>
                <w:highlight w:val="none"/>
                <w:u w:val="none"/>
              </w:rPr>
              <w:t>比较基准</w:t>
            </w:r>
            <w:r>
              <w:rPr>
                <w:rFonts w:hint="eastAsia" w:ascii="宋体" w:hAnsi="宋体"/>
                <w:b/>
                <w:color w:val="auto"/>
                <w:szCs w:val="24"/>
                <w:highlight w:val="none"/>
                <w:u w:val="none"/>
              </w:rPr>
              <w:t>提示</w:t>
            </w:r>
          </w:p>
          <w:p w14:paraId="4D936AD2">
            <w:pPr>
              <w:widowControl/>
              <w:spacing w:line="400" w:lineRule="exact"/>
              <w:jc w:val="left"/>
              <w:textAlignment w:val="center"/>
              <w:rPr>
                <w:rFonts w:ascii="宋体" w:hAnsi="宋体"/>
                <w:b/>
                <w:color w:val="auto"/>
                <w:szCs w:val="24"/>
                <w:highlight w:val="none"/>
                <w:u w:val="none"/>
              </w:rPr>
            </w:pPr>
            <w:r>
              <w:rPr>
                <w:rFonts w:hint="eastAsia" w:ascii="宋体" w:hAnsi="宋体"/>
                <w:b/>
                <w:color w:val="auto"/>
                <w:szCs w:val="24"/>
                <w:highlight w:val="none"/>
                <w:u w:val="none"/>
              </w:rPr>
              <w:t>本理财产品为净值型产品，业绩表现将随市场波动，具有不确定性。业绩比较基准是管理人基于投资范围内各类资产的收益率水平、投资比例、市场情况等因素进行静态测算和情景分析所得出和设定的投资目标。</w:t>
            </w:r>
          </w:p>
          <w:p w14:paraId="1DA50D90">
            <w:pPr>
              <w:widowControl/>
              <w:snapToGrid/>
              <w:spacing w:line="400" w:lineRule="exact"/>
              <w:jc w:val="left"/>
              <w:textAlignment w:val="center"/>
              <w:rPr>
                <w:rFonts w:ascii="宋体" w:hAnsi="宋体"/>
                <w:b/>
                <w:bCs/>
                <w:color w:val="auto"/>
                <w:szCs w:val="24"/>
                <w:highlight w:val="none"/>
                <w:u w:val="none"/>
              </w:rPr>
            </w:pPr>
            <w:r>
              <w:rPr>
                <w:rFonts w:hint="eastAsia" w:asciiTheme="minorEastAsia" w:hAnsiTheme="minorEastAsia"/>
                <w:color w:val="auto"/>
                <w:kern w:val="0"/>
                <w:szCs w:val="24"/>
                <w:highlight w:val="none"/>
                <w:u w:val="none"/>
              </w:rPr>
              <w:t>本理财产品</w:t>
            </w:r>
            <w:r>
              <w:rPr>
                <w:rFonts w:hint="eastAsia" w:ascii="宋体" w:hAnsi="宋体"/>
                <w:b/>
                <w:color w:val="auto"/>
                <w:szCs w:val="24"/>
                <w:highlight w:val="none"/>
                <w:u w:val="none"/>
              </w:rPr>
              <w:t>投向</w:t>
            </w:r>
            <w:r>
              <w:rPr>
                <w:rFonts w:hint="eastAsia" w:ascii="宋体" w:hAnsi="宋体"/>
                <w:b/>
                <w:color w:val="auto"/>
                <w:szCs w:val="24"/>
                <w:highlight w:val="yellow"/>
                <w:u w:val="none"/>
                <w:lang w:eastAsia="zh-CN"/>
              </w:rPr>
              <w:t>【债权</w:t>
            </w:r>
            <w:r>
              <w:rPr>
                <w:rFonts w:hint="eastAsia" w:ascii="宋体" w:hAnsi="宋体"/>
                <w:b/>
                <w:color w:val="auto"/>
                <w:szCs w:val="24"/>
                <w:highlight w:val="yellow"/>
                <w:u w:val="none"/>
              </w:rPr>
              <w:t>类资产投资比例不低于80%，投向权益类资产、商品及金融衍生品类资产不高于20%。</w:t>
            </w:r>
            <w:r>
              <w:rPr>
                <w:rFonts w:hint="eastAsia" w:ascii="仿宋_GB2312" w:hAnsi="宋体" w:cs="宋体"/>
                <w:bCs/>
                <w:color w:val="auto"/>
                <w:kern w:val="0"/>
                <w:szCs w:val="24"/>
                <w:highlight w:val="yellow"/>
                <w:u w:val="none"/>
              </w:rPr>
              <w:t>本理财</w:t>
            </w:r>
            <w:r>
              <w:rPr>
                <w:rFonts w:ascii="仿宋_GB2312" w:hAnsi="宋体" w:cs="宋体"/>
                <w:bCs/>
                <w:color w:val="auto"/>
                <w:kern w:val="0"/>
                <w:szCs w:val="24"/>
                <w:highlight w:val="yellow"/>
                <w:u w:val="none"/>
              </w:rPr>
              <w:t>产品在投资</w:t>
            </w:r>
            <w:r>
              <w:rPr>
                <w:rFonts w:hint="eastAsia" w:ascii="仿宋_GB2312" w:hAnsi="宋体" w:cs="宋体"/>
                <w:bCs/>
                <w:color w:val="auto"/>
                <w:kern w:val="0"/>
                <w:szCs w:val="24"/>
                <w:highlight w:val="yellow"/>
                <w:u w:val="none"/>
              </w:rPr>
              <w:t>于</w:t>
            </w:r>
            <w:r>
              <w:rPr>
                <w:rFonts w:ascii="仿宋_GB2312" w:hAnsi="宋体" w:cs="宋体"/>
                <w:bCs/>
                <w:color w:val="auto"/>
                <w:kern w:val="0"/>
                <w:szCs w:val="24"/>
                <w:highlight w:val="yellow"/>
                <w:u w:val="none"/>
              </w:rPr>
              <w:t>商品及金融衍生品类资产之前，管理人应获得相应的业务经营范围或投资交易资格</w:t>
            </w:r>
            <w:r>
              <w:rPr>
                <w:rFonts w:hint="eastAsia" w:ascii="仿宋_GB2312" w:hAnsi="宋体" w:cs="宋体"/>
                <w:bCs/>
                <w:color w:val="auto"/>
                <w:kern w:val="0"/>
                <w:szCs w:val="24"/>
                <w:highlight w:val="yellow"/>
                <w:u w:val="none"/>
                <w:lang w:eastAsia="zh-CN"/>
              </w:rPr>
              <w:t>】</w:t>
            </w:r>
            <w:r>
              <w:rPr>
                <w:rFonts w:hint="eastAsia" w:ascii="宋体" w:hAnsi="宋体"/>
                <w:b/>
                <w:bCs/>
                <w:color w:val="auto"/>
                <w:szCs w:val="24"/>
                <w:highlight w:val="none"/>
                <w:u w:val="none"/>
              </w:rPr>
              <w:t>，管理人根据拟投资资产种类、配置比例、运作策略等因素，结合宏观经济情况和市场趋势的预判分析，综合测算、确定本理财产品的业绩比较基准。</w:t>
            </w:r>
          </w:p>
          <w:p w14:paraId="4559FB83">
            <w:pPr>
              <w:widowControl/>
              <w:snapToGrid/>
              <w:spacing w:line="400" w:lineRule="exact"/>
              <w:jc w:val="left"/>
              <w:textAlignment w:val="center"/>
              <w:rPr>
                <w:rFonts w:asciiTheme="minorEastAsia" w:hAnsiTheme="minorEastAsia" w:cstheme="minorEastAsia"/>
                <w:b/>
                <w:color w:val="auto"/>
                <w:highlight w:val="none"/>
                <w:u w:val="none"/>
              </w:rPr>
            </w:pPr>
            <w:r>
              <w:rPr>
                <w:rFonts w:hint="eastAsia" w:asciiTheme="minorEastAsia" w:hAnsiTheme="minorEastAsia" w:cstheme="minorEastAsia"/>
                <w:b/>
                <w:color w:val="auto"/>
                <w:highlight w:val="none"/>
                <w:u w:val="none"/>
              </w:rPr>
              <w:t>业绩比较基准不是预期收益率，不代表产品的未来表现和实际收益，仅作为业绩参考和</w:t>
            </w:r>
            <w:r>
              <w:rPr>
                <w:rFonts w:asciiTheme="minorEastAsia" w:hAnsiTheme="minorEastAsia" w:cstheme="minorEastAsia"/>
                <w:b/>
                <w:color w:val="auto"/>
                <w:highlight w:val="none"/>
                <w:u w:val="none"/>
              </w:rPr>
              <w:t>计算</w:t>
            </w:r>
            <w:r>
              <w:rPr>
                <w:rFonts w:hint="eastAsia" w:asciiTheme="minorEastAsia" w:hAnsiTheme="minorEastAsia" w:cstheme="minorEastAsia"/>
                <w:b/>
                <w:color w:val="auto"/>
                <w:highlight w:val="none"/>
                <w:u w:val="none"/>
                <w:lang w:eastAsia="zh-CN"/>
              </w:rPr>
              <w:t>浮动管理费</w:t>
            </w:r>
            <w:r>
              <w:rPr>
                <w:rFonts w:hint="eastAsia" w:asciiTheme="minorEastAsia" w:hAnsiTheme="minorEastAsia" w:cstheme="minorEastAsia"/>
                <w:b/>
                <w:color w:val="auto"/>
                <w:highlight w:val="none"/>
                <w:u w:val="none"/>
              </w:rPr>
              <w:t>（如有）的依据，不构成对该理财产品的任何收益承诺，投资者能获得的最终收益以实际支付为准。</w:t>
            </w:r>
          </w:p>
          <w:p w14:paraId="6867E59F">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Theme="minorEastAsia" w:hAnsiTheme="minorEastAsia" w:cstheme="minorEastAsia"/>
                <w:b/>
                <w:color w:val="auto"/>
                <w:highlight w:val="none"/>
                <w:u w:val="none"/>
              </w:rPr>
              <w:t>理财产品存续期内，管理人有权根据市场情况对业绩比较基准进行调整，该调整将通过本《产品说明书》之“信息披露”约定的方式进行信息披露，如未披露调整，以最新披露的业绩比较基准为准。</w:t>
            </w:r>
          </w:p>
        </w:tc>
      </w:tr>
      <w:tr w14:paraId="028064F6">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4F83A045">
            <w:pPr>
              <w:widowControl/>
              <w:spacing w:line="400" w:lineRule="exact"/>
              <w:jc w:val="center"/>
              <w:textAlignment w:val="center"/>
              <w:rPr>
                <w:rFonts w:hint="eastAsia" w:ascii="楷体_GB2312" w:hAnsi="等线" w:eastAsia="楷体_GB2312" w:cs="楷体_GB2312"/>
                <w:bCs/>
                <w:color w:val="000000" w:themeColor="text1"/>
                <w:sz w:val="24"/>
                <w14:textFill>
                  <w14:solidFill>
                    <w14:schemeClr w14:val="tx1"/>
                  </w14:solidFill>
                </w14:textFill>
              </w:rPr>
            </w:pPr>
            <w:r>
              <w:rPr>
                <w:rFonts w:hint="eastAsia" w:ascii="楷体_GB2312" w:hAnsi="等线" w:eastAsia="楷体_GB2312" w:cs="楷体_GB2312"/>
                <w:b/>
                <w:color w:val="000000" w:themeColor="text1"/>
                <w:kern w:val="0"/>
                <w:sz w:val="24"/>
                <w:lang w:bidi="ar"/>
                <w14:textFill>
                  <w14:solidFill>
                    <w14:schemeClr w14:val="tx1"/>
                  </w14:solidFill>
                </w14:textFill>
              </w:rPr>
              <w:t>（七）投资范围与策略</w:t>
            </w:r>
          </w:p>
        </w:tc>
      </w:tr>
      <w:tr w14:paraId="4E67C664">
        <w:tblPrEx>
          <w:tblCellMar>
            <w:top w:w="0" w:type="dxa"/>
            <w:left w:w="108" w:type="dxa"/>
            <w:bottom w:w="0" w:type="dxa"/>
            <w:right w:w="108" w:type="dxa"/>
          </w:tblCellMar>
        </w:tblPrEx>
        <w:trPr>
          <w:trHeight w:val="1420" w:hRule="atLeast"/>
        </w:trPr>
        <w:tc>
          <w:tcPr>
            <w:tcW w:w="2453" w:type="dxa"/>
            <w:tcBorders>
              <w:top w:val="single" w:color="auto" w:sz="4" w:space="0"/>
              <w:left w:val="single" w:color="auto" w:sz="4" w:space="0"/>
              <w:bottom w:val="single" w:color="auto" w:sz="4" w:space="0"/>
              <w:right w:val="single" w:color="auto" w:sz="4" w:space="0"/>
            </w:tcBorders>
            <w:vAlign w:val="center"/>
          </w:tcPr>
          <w:p w14:paraId="022D1787">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投资范围</w:t>
            </w:r>
          </w:p>
        </w:tc>
        <w:tc>
          <w:tcPr>
            <w:tcW w:w="6972" w:type="dxa"/>
            <w:tcBorders>
              <w:top w:val="single" w:color="auto" w:sz="4" w:space="0"/>
              <w:left w:val="single" w:color="auto" w:sz="4" w:space="0"/>
              <w:bottom w:val="single" w:color="auto" w:sz="4" w:space="0"/>
              <w:right w:val="single" w:color="auto" w:sz="4" w:space="0"/>
            </w:tcBorders>
            <w:vAlign w:val="center"/>
          </w:tcPr>
          <w:p w14:paraId="79C1AB29">
            <w:pPr>
              <w:widowControl/>
              <w:tabs>
                <w:tab w:val="left" w:pos="3119"/>
              </w:tabs>
              <w:autoSpaceDE w:val="0"/>
              <w:autoSpaceDN w:val="0"/>
              <w:spacing w:line="360" w:lineRule="auto"/>
              <w:ind w:right="31" w:rightChars="15"/>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0D72D47D">
        <w:tblPrEx>
          <w:tblCellMar>
            <w:top w:w="0" w:type="dxa"/>
            <w:left w:w="108" w:type="dxa"/>
            <w:bottom w:w="0" w:type="dxa"/>
            <w:right w:w="108" w:type="dxa"/>
          </w:tblCellMar>
        </w:tblPrEx>
        <w:trPr>
          <w:trHeight w:val="780" w:hRule="atLeast"/>
        </w:trPr>
        <w:tc>
          <w:tcPr>
            <w:tcW w:w="2453" w:type="dxa"/>
            <w:tcBorders>
              <w:top w:val="single" w:color="auto" w:sz="4" w:space="0"/>
              <w:left w:val="single" w:color="auto" w:sz="4" w:space="0"/>
              <w:bottom w:val="single" w:color="auto" w:sz="4" w:space="0"/>
              <w:right w:val="single" w:color="auto" w:sz="4" w:space="0"/>
            </w:tcBorders>
            <w:vAlign w:val="center"/>
          </w:tcPr>
          <w:p w14:paraId="695CECBC">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投资策略</w:t>
            </w:r>
          </w:p>
        </w:tc>
        <w:tc>
          <w:tcPr>
            <w:tcW w:w="6972" w:type="dxa"/>
            <w:tcBorders>
              <w:top w:val="single" w:color="auto" w:sz="4" w:space="0"/>
              <w:left w:val="single" w:color="auto" w:sz="4" w:space="0"/>
              <w:bottom w:val="single" w:color="auto" w:sz="4" w:space="0"/>
              <w:right w:val="single" w:color="auto" w:sz="4" w:space="0"/>
            </w:tcBorders>
            <w:vAlign w:val="center"/>
          </w:tcPr>
          <w:p w14:paraId="524E969D">
            <w:pPr>
              <w:widowControl/>
              <w:tabs>
                <w:tab w:val="left" w:pos="3119"/>
              </w:tabs>
              <w:autoSpaceDE w:val="0"/>
              <w:autoSpaceDN w:val="0"/>
              <w:adjustRightInd w:val="0"/>
              <w:snapToGrid w:val="0"/>
              <w:spacing w:line="360" w:lineRule="auto"/>
              <w:ind w:firstLine="0" w:firstLineChars="0"/>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00739227">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4D2855EA">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债权</w:t>
            </w:r>
            <w:r>
              <w:rPr>
                <w:rFonts w:hint="eastAsia" w:ascii="仿宋_GB2312" w:hAnsi="等线" w:eastAsia="仿宋_GB2312" w:cs="仿宋_GB2312"/>
                <w:color w:val="000000" w:themeColor="text1"/>
                <w:kern w:val="0"/>
                <w:sz w:val="24"/>
                <w:lang w:bidi="ar"/>
                <w14:textFill>
                  <w14:solidFill>
                    <w14:schemeClr w14:val="tx1"/>
                  </w14:solidFill>
                </w14:textFill>
              </w:rPr>
              <w:t>类资产投资上限</w:t>
            </w:r>
          </w:p>
        </w:tc>
        <w:tc>
          <w:tcPr>
            <w:tcW w:w="6972" w:type="dxa"/>
            <w:tcBorders>
              <w:top w:val="single" w:color="auto" w:sz="4" w:space="0"/>
              <w:left w:val="single" w:color="auto" w:sz="4" w:space="0"/>
              <w:bottom w:val="single" w:color="auto" w:sz="4" w:space="0"/>
              <w:right w:val="single" w:color="auto" w:sz="4" w:space="0"/>
            </w:tcBorders>
            <w:vAlign w:val="center"/>
          </w:tcPr>
          <w:p w14:paraId="25EC64FB">
            <w:pPr>
              <w:widowControl/>
              <w:spacing w:line="56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539C30DC">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36175F18">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债权</w:t>
            </w:r>
            <w:r>
              <w:rPr>
                <w:rFonts w:hint="eastAsia" w:ascii="仿宋_GB2312" w:hAnsi="等线" w:eastAsia="仿宋_GB2312" w:cs="仿宋_GB2312"/>
                <w:color w:val="000000" w:themeColor="text1"/>
                <w:kern w:val="0"/>
                <w:sz w:val="24"/>
                <w:lang w:bidi="ar"/>
                <w14:textFill>
                  <w14:solidFill>
                    <w14:schemeClr w14:val="tx1"/>
                  </w14:solidFill>
                </w14:textFill>
              </w:rPr>
              <w:t>类资产投资下限</w:t>
            </w:r>
          </w:p>
        </w:tc>
        <w:tc>
          <w:tcPr>
            <w:tcW w:w="6972" w:type="dxa"/>
            <w:tcBorders>
              <w:top w:val="single" w:color="auto" w:sz="4" w:space="0"/>
              <w:left w:val="single" w:color="auto" w:sz="4" w:space="0"/>
              <w:bottom w:val="single" w:color="auto" w:sz="4" w:space="0"/>
              <w:right w:val="single" w:color="auto" w:sz="4" w:space="0"/>
            </w:tcBorders>
            <w:vAlign w:val="center"/>
          </w:tcPr>
          <w:p w14:paraId="0C37CE57">
            <w:pPr>
              <w:widowControl/>
              <w:spacing w:line="56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633EEB90">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177E48A5">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权益类资产投资上限</w:t>
            </w:r>
          </w:p>
        </w:tc>
        <w:tc>
          <w:tcPr>
            <w:tcW w:w="6972" w:type="dxa"/>
            <w:tcBorders>
              <w:top w:val="single" w:color="auto" w:sz="4" w:space="0"/>
              <w:left w:val="single" w:color="auto" w:sz="4" w:space="0"/>
              <w:bottom w:val="single" w:color="auto" w:sz="4" w:space="0"/>
              <w:right w:val="single" w:color="auto" w:sz="4" w:space="0"/>
            </w:tcBorders>
            <w:vAlign w:val="center"/>
          </w:tcPr>
          <w:p w14:paraId="71E90DBD">
            <w:pPr>
              <w:widowControl/>
              <w:spacing w:line="56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6CC05407">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68F53381">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权益类资产投资下限</w:t>
            </w:r>
          </w:p>
        </w:tc>
        <w:tc>
          <w:tcPr>
            <w:tcW w:w="6972" w:type="dxa"/>
            <w:tcBorders>
              <w:top w:val="single" w:color="auto" w:sz="4" w:space="0"/>
              <w:left w:val="single" w:color="auto" w:sz="4" w:space="0"/>
              <w:bottom w:val="single" w:color="auto" w:sz="4" w:space="0"/>
              <w:right w:val="single" w:color="auto" w:sz="4" w:space="0"/>
            </w:tcBorders>
            <w:vAlign w:val="center"/>
          </w:tcPr>
          <w:p w14:paraId="14BAD8FB">
            <w:pPr>
              <w:widowControl/>
              <w:spacing w:line="56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5C859405">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6836CA7C">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商品及金融衍生品类资产投资上限</w:t>
            </w:r>
          </w:p>
        </w:tc>
        <w:tc>
          <w:tcPr>
            <w:tcW w:w="6972" w:type="dxa"/>
            <w:tcBorders>
              <w:top w:val="single" w:color="auto" w:sz="4" w:space="0"/>
              <w:left w:val="single" w:color="auto" w:sz="4" w:space="0"/>
              <w:bottom w:val="single" w:color="auto" w:sz="4" w:space="0"/>
              <w:right w:val="single" w:color="auto" w:sz="4" w:space="0"/>
            </w:tcBorders>
            <w:vAlign w:val="center"/>
          </w:tcPr>
          <w:p w14:paraId="1917070D">
            <w:pPr>
              <w:widowControl/>
              <w:spacing w:line="56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26EF06CB">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71CAEB22">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商品及金融衍生品类资产投资下限</w:t>
            </w:r>
          </w:p>
        </w:tc>
        <w:tc>
          <w:tcPr>
            <w:tcW w:w="6972" w:type="dxa"/>
            <w:tcBorders>
              <w:top w:val="single" w:color="auto" w:sz="4" w:space="0"/>
              <w:left w:val="single" w:color="auto" w:sz="4" w:space="0"/>
              <w:bottom w:val="single" w:color="auto" w:sz="4" w:space="0"/>
              <w:right w:val="single" w:color="auto" w:sz="4" w:space="0"/>
            </w:tcBorders>
            <w:vAlign w:val="center"/>
          </w:tcPr>
          <w:p w14:paraId="7847F865">
            <w:pPr>
              <w:widowControl/>
              <w:spacing w:line="560" w:lineRule="exact"/>
              <w:jc w:val="left"/>
              <w:textAlignment w:val="center"/>
              <w:rPr>
                <w:rFonts w:hint="default" w:ascii="仿宋_GB2312" w:hAnsi="等线" w:eastAsia="仿宋_GB2312" w:cs="仿宋_GB2312"/>
                <w:bCs/>
                <w:color w:val="000000" w:themeColor="text1"/>
                <w:sz w:val="24"/>
                <w:lang w:val="en-US" w:eastAsia="zh-CN"/>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7DD814DD">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2EC306DE">
            <w:pPr>
              <w:widowControl/>
              <w:spacing w:line="560" w:lineRule="exact"/>
              <w:jc w:val="center"/>
              <w:textAlignment w:val="center"/>
              <w:rPr>
                <w:rFonts w:hint="eastAsia" w:ascii="楷体_GB2312" w:hAnsi="等线" w:eastAsia="楷体_GB2312" w:cs="楷体_GB2312"/>
                <w:bCs/>
                <w:color w:val="000000" w:themeColor="text1"/>
                <w:sz w:val="24"/>
                <w14:textFill>
                  <w14:solidFill>
                    <w14:schemeClr w14:val="tx1"/>
                  </w14:solidFill>
                </w14:textFill>
              </w:rPr>
            </w:pPr>
            <w:r>
              <w:rPr>
                <w:rFonts w:hint="eastAsia" w:ascii="楷体_GB2312" w:hAnsi="等线" w:eastAsia="楷体_GB2312" w:cs="楷体_GB2312"/>
                <w:b/>
                <w:color w:val="000000" w:themeColor="text1"/>
                <w:kern w:val="0"/>
                <w:sz w:val="24"/>
                <w:lang w:bidi="ar"/>
                <w14:textFill>
                  <w14:solidFill>
                    <w14:schemeClr w14:val="tx1"/>
                  </w14:solidFill>
                </w14:textFill>
              </w:rPr>
              <w:t>（八）其他约定</w:t>
            </w:r>
          </w:p>
        </w:tc>
      </w:tr>
      <w:tr w14:paraId="6F51D563">
        <w:tblPrEx>
          <w:tblCellMar>
            <w:top w:w="0" w:type="dxa"/>
            <w:left w:w="108" w:type="dxa"/>
            <w:bottom w:w="0" w:type="dxa"/>
            <w:right w:w="108" w:type="dxa"/>
          </w:tblCellMar>
        </w:tblPrEx>
        <w:trPr>
          <w:trHeight w:val="1010" w:hRule="atLeast"/>
        </w:trPr>
        <w:tc>
          <w:tcPr>
            <w:tcW w:w="2453" w:type="dxa"/>
            <w:tcBorders>
              <w:top w:val="single" w:color="auto" w:sz="4" w:space="0"/>
              <w:left w:val="single" w:color="auto" w:sz="4" w:space="0"/>
              <w:bottom w:val="single" w:color="auto" w:sz="4" w:space="0"/>
              <w:right w:val="single" w:color="auto" w:sz="4" w:space="0"/>
            </w:tcBorders>
            <w:vAlign w:val="center"/>
          </w:tcPr>
          <w:p w14:paraId="0A78942F">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color w:val="auto"/>
                <w:kern w:val="0"/>
                <w:szCs w:val="24"/>
                <w:highlight w:val="none"/>
                <w:u w:val="none"/>
              </w:rPr>
              <w:t>信息披露</w:t>
            </w:r>
          </w:p>
        </w:tc>
        <w:tc>
          <w:tcPr>
            <w:tcW w:w="6972" w:type="dxa"/>
            <w:tcBorders>
              <w:top w:val="single" w:color="auto" w:sz="4" w:space="0"/>
              <w:left w:val="single" w:color="auto" w:sz="4" w:space="0"/>
              <w:bottom w:val="single" w:color="auto" w:sz="4" w:space="0"/>
              <w:right w:val="single" w:color="auto" w:sz="4" w:space="0"/>
            </w:tcBorders>
            <w:vAlign w:val="center"/>
          </w:tcPr>
          <w:p w14:paraId="6A10A0BD">
            <w:pPr>
              <w:snapToGrid w:val="0"/>
              <w:rPr>
                <w:rFonts w:hint="eastAsia" w:ascii="仿宋_GB2312" w:hAnsi="宋体" w:eastAsia="仿宋_GB2312" w:cs="宋体"/>
                <w:b/>
                <w:color w:val="auto"/>
                <w:kern w:val="0"/>
                <w:szCs w:val="24"/>
                <w:highlight w:val="none"/>
                <w:lang w:eastAsia="zh-CN"/>
              </w:rPr>
            </w:pPr>
            <w:r>
              <w:rPr>
                <w:rFonts w:hint="eastAsia" w:ascii="宋体" w:hAnsi="宋体"/>
                <w:b/>
                <w:color w:val="auto"/>
                <w:szCs w:val="24"/>
                <w:highlight w:val="none"/>
              </w:rPr>
              <w:t>本产品成立后，管理人将通过《产品说明书》之“信息披露”约定的方式进行信息披露。 详细内容见本《产品说明书》之“信息披露”。</w:t>
            </w:r>
          </w:p>
          <w:p w14:paraId="726950E4">
            <w:pPr>
              <w:snapToGrid w:val="0"/>
              <w:rPr>
                <w:rFonts w:hint="eastAsia" w:ascii="宋体" w:hAnsi="宋体"/>
                <w:b/>
                <w:bCs/>
                <w:iCs/>
                <w:color w:val="auto"/>
                <w:szCs w:val="24"/>
                <w:highlight w:val="none"/>
                <w:u w:val="none"/>
              </w:rPr>
            </w:pPr>
            <w:r>
              <w:rPr>
                <w:rFonts w:hint="eastAsia" w:asciiTheme="minorEastAsia" w:hAnsiTheme="minorEastAsia"/>
                <w:color w:val="auto"/>
                <w:szCs w:val="24"/>
                <w:highlight w:val="none"/>
                <w:u w:val="none"/>
              </w:rPr>
              <w:t>本产品成立、运行、到期、净值等信息将通过</w:t>
            </w:r>
            <w:r>
              <w:rPr>
                <w:rFonts w:hint="eastAsia" w:asciiTheme="minorEastAsia" w:hAnsiTheme="minorEastAsia"/>
                <w:color w:val="auto"/>
                <w:szCs w:val="24"/>
                <w:highlight w:val="none"/>
                <w:u w:val="none"/>
                <w:lang w:eastAsia="zh-CN"/>
              </w:rPr>
              <w:t>产品</w:t>
            </w:r>
            <w:r>
              <w:rPr>
                <w:rFonts w:hint="eastAsia" w:asciiTheme="minorEastAsia" w:hAnsiTheme="minorEastAsia"/>
                <w:color w:val="auto"/>
                <w:szCs w:val="24"/>
                <w:highlight w:val="none"/>
                <w:u w:val="none"/>
              </w:rPr>
              <w:t>管理人</w:t>
            </w:r>
            <w:r>
              <w:rPr>
                <w:rFonts w:asciiTheme="minorEastAsia" w:hAnsiTheme="minorEastAsia"/>
                <w:color w:val="auto"/>
                <w:szCs w:val="24"/>
                <w:highlight w:val="none"/>
                <w:u w:val="none"/>
              </w:rPr>
              <w:t>官方网站</w:t>
            </w: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www.czbank-wm.com</w:t>
            </w:r>
            <w:r>
              <w:rPr>
                <w:rFonts w:hint="eastAsia" w:ascii="仿宋_GB2312" w:hAnsi="宋体" w:cs="宋体"/>
                <w:color w:val="auto"/>
                <w:kern w:val="0"/>
                <w:szCs w:val="24"/>
                <w:highlight w:val="none"/>
                <w:u w:val="none"/>
              </w:rPr>
              <w:t>】、销售机构官方网站、个人手机银行或其他约定的方式等</w:t>
            </w:r>
            <w:r>
              <w:rPr>
                <w:rFonts w:hint="eastAsia" w:cs="宋体" w:asciiTheme="minorEastAsia" w:hAnsiTheme="minorEastAsia"/>
                <w:color w:val="auto"/>
                <w:kern w:val="0"/>
                <w:szCs w:val="24"/>
                <w:highlight w:val="none"/>
                <w:u w:val="none"/>
              </w:rPr>
              <w:t>一种或多种渠道进行信息披露，</w:t>
            </w:r>
            <w:r>
              <w:rPr>
                <w:rFonts w:hint="eastAsia" w:asciiTheme="minorEastAsia" w:hAnsiTheme="minorEastAsia"/>
                <w:color w:val="auto"/>
                <w:szCs w:val="24"/>
                <w:highlight w:val="none"/>
                <w:u w:val="none"/>
              </w:rPr>
              <w:t>请投资者持续关注并及时查看。</w:t>
            </w:r>
          </w:p>
        </w:tc>
      </w:tr>
      <w:tr w14:paraId="6ED8F736">
        <w:tblPrEx>
          <w:tblCellMar>
            <w:top w:w="0" w:type="dxa"/>
            <w:left w:w="108" w:type="dxa"/>
            <w:bottom w:w="0" w:type="dxa"/>
            <w:right w:w="108" w:type="dxa"/>
          </w:tblCellMar>
        </w:tblPrEx>
        <w:trPr>
          <w:trHeight w:val="1010" w:hRule="atLeast"/>
        </w:trPr>
        <w:tc>
          <w:tcPr>
            <w:tcW w:w="2453" w:type="dxa"/>
            <w:tcBorders>
              <w:top w:val="single" w:color="auto" w:sz="4" w:space="0"/>
              <w:left w:val="single" w:color="auto" w:sz="4" w:space="0"/>
              <w:bottom w:val="single" w:color="auto" w:sz="4" w:space="0"/>
              <w:right w:val="single" w:color="auto" w:sz="4" w:space="0"/>
            </w:tcBorders>
            <w:vAlign w:val="center"/>
          </w:tcPr>
          <w:p w14:paraId="50015FE0">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其他约定</w:t>
            </w:r>
          </w:p>
        </w:tc>
        <w:tc>
          <w:tcPr>
            <w:tcW w:w="6972" w:type="dxa"/>
            <w:tcBorders>
              <w:top w:val="single" w:color="auto" w:sz="4" w:space="0"/>
              <w:left w:val="single" w:color="auto" w:sz="4" w:space="0"/>
              <w:bottom w:val="single" w:color="auto" w:sz="4" w:space="0"/>
              <w:right w:val="single" w:color="auto" w:sz="4" w:space="0"/>
            </w:tcBorders>
            <w:vAlign w:val="center"/>
          </w:tcPr>
          <w:p w14:paraId="5332C075">
            <w:pPr>
              <w:snapToGrid w:val="0"/>
              <w:jc w:val="left"/>
              <w:rPr>
                <w:rFonts w:ascii="宋体" w:hAnsi="宋体"/>
                <w:b/>
                <w:bCs/>
                <w:iCs/>
                <w:color w:val="auto"/>
                <w:szCs w:val="24"/>
                <w:highlight w:val="none"/>
                <w:u w:val="none"/>
              </w:rPr>
            </w:pPr>
            <w:r>
              <w:rPr>
                <w:rFonts w:ascii="宋体" w:hAnsi="宋体"/>
                <w:b/>
                <w:bCs/>
                <w:iCs/>
                <w:color w:val="auto"/>
                <w:szCs w:val="24"/>
                <w:highlight w:val="none"/>
                <w:u w:val="none"/>
              </w:rPr>
              <w:t>1.</w:t>
            </w:r>
            <w:r>
              <w:rPr>
                <w:rFonts w:hint="eastAsia" w:ascii="宋体" w:hAnsi="宋体"/>
                <w:b/>
                <w:bCs/>
                <w:iCs/>
                <w:color w:val="auto"/>
                <w:szCs w:val="24"/>
                <w:highlight w:val="none"/>
                <w:u w:val="none"/>
              </w:rPr>
              <w:t>募集期内认购资金是否计息以销售机构为准，但利息不计入认购本金份额。</w:t>
            </w:r>
          </w:p>
          <w:p w14:paraId="217B3331">
            <w:pPr>
              <w:widowControl/>
              <w:snapToGrid w:val="0"/>
              <w:spacing w:line="240" w:lineRule="auto"/>
              <w:jc w:val="left"/>
              <w:textAlignment w:val="auto"/>
              <w:rPr>
                <w:rFonts w:hint="eastAsia" w:ascii="宋体" w:hAnsi="宋体"/>
                <w:b/>
                <w:bCs/>
                <w:iCs/>
                <w:color w:val="auto"/>
                <w:szCs w:val="24"/>
                <w:highlight w:val="none"/>
                <w:u w:val="none"/>
              </w:rPr>
            </w:pPr>
            <w:r>
              <w:rPr>
                <w:rFonts w:hint="eastAsia" w:ascii="宋体" w:hAnsi="宋体"/>
                <w:b/>
                <w:bCs/>
                <w:iCs/>
                <w:color w:val="auto"/>
                <w:szCs w:val="24"/>
                <w:highlight w:val="none"/>
                <w:u w:val="none"/>
              </w:rPr>
              <w:t>2.本产品到期日（或提前/延期终止日）至资金到账日期间，投资者理财资金如因清算安排实际产生利息的，相关利息归投资者所有。</w:t>
            </w:r>
          </w:p>
          <w:p w14:paraId="00707A8C">
            <w:pPr>
              <w:widowControl/>
              <w:snapToGrid w:val="0"/>
              <w:spacing w:line="240" w:lineRule="auto"/>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b/>
                <w:bCs/>
                <w:iCs/>
                <w:color w:val="auto"/>
                <w:szCs w:val="24"/>
                <w:highlight w:val="none"/>
                <w:u w:val="none"/>
              </w:rPr>
              <w:t>3.理财产品份额转让</w:t>
            </w:r>
            <w:r>
              <w:rPr>
                <w:rFonts w:ascii="宋体" w:hAnsi="宋体"/>
                <w:b/>
                <w:bCs/>
                <w:iCs/>
                <w:color w:val="auto"/>
                <w:szCs w:val="24"/>
                <w:highlight w:val="none"/>
                <w:u w:val="none"/>
              </w:rPr>
              <w:t>、</w:t>
            </w:r>
            <w:r>
              <w:rPr>
                <w:rFonts w:hint="eastAsia" w:ascii="宋体" w:hAnsi="宋体"/>
                <w:b/>
                <w:bCs/>
                <w:iCs/>
                <w:color w:val="auto"/>
                <w:szCs w:val="24"/>
                <w:highlight w:val="none"/>
                <w:u w:val="none"/>
              </w:rPr>
              <w:t>质押将依照销售机构</w:t>
            </w:r>
            <w:r>
              <w:rPr>
                <w:rFonts w:hint="eastAsia" w:ascii="宋体" w:hAnsi="宋体"/>
                <w:b/>
                <w:bCs/>
                <w:iCs/>
                <w:color w:val="auto"/>
                <w:szCs w:val="24"/>
                <w:highlight w:val="none"/>
                <w:u w:val="none"/>
                <w:lang w:eastAsia="zh-CN"/>
              </w:rPr>
              <w:t>与管理人</w:t>
            </w:r>
            <w:r>
              <w:rPr>
                <w:rFonts w:hint="eastAsia" w:ascii="宋体" w:hAnsi="宋体"/>
                <w:b/>
                <w:bCs/>
                <w:iCs/>
                <w:color w:val="auto"/>
                <w:szCs w:val="24"/>
                <w:highlight w:val="none"/>
                <w:u w:val="none"/>
              </w:rPr>
              <w:t>的业务政策执行。</w:t>
            </w:r>
          </w:p>
        </w:tc>
      </w:tr>
    </w:tbl>
    <w:p w14:paraId="6324D6FC">
      <w:pPr>
        <w:rPr>
          <w:rFonts w:hint="eastAsia"/>
          <w:color w:val="auto"/>
          <w:highlight w:val="none"/>
          <w:u w:val="none"/>
        </w:rPr>
      </w:pPr>
    </w:p>
    <w:p w14:paraId="4F89F603">
      <w:pPr>
        <w:rPr>
          <w:rFonts w:hint="eastAsia"/>
          <w:color w:val="auto"/>
          <w:highlight w:val="none"/>
          <w:u w:val="none"/>
        </w:rPr>
      </w:pPr>
    </w:p>
    <w:p w14:paraId="4C14923F">
      <w:pPr>
        <w:rPr>
          <w:rFonts w:hint="eastAsia"/>
          <w:color w:val="auto"/>
          <w:highlight w:val="none"/>
          <w:u w:val="none"/>
        </w:rPr>
      </w:pPr>
    </w:p>
    <w:p w14:paraId="6CE8B601">
      <w:pPr>
        <w:rPr>
          <w:rFonts w:hint="eastAsia"/>
          <w:color w:val="auto"/>
          <w:highlight w:val="none"/>
          <w:u w:val="none"/>
        </w:rPr>
      </w:pPr>
    </w:p>
    <w:p w14:paraId="6271F119">
      <w:pPr>
        <w:rPr>
          <w:rFonts w:hint="eastAsia"/>
          <w:color w:val="auto"/>
          <w:highlight w:val="none"/>
          <w:u w:val="none"/>
        </w:rPr>
      </w:pPr>
    </w:p>
    <w:p w14:paraId="24F35C5E">
      <w:pPr>
        <w:rPr>
          <w:rFonts w:hint="eastAsia"/>
          <w:color w:val="auto"/>
          <w:highlight w:val="none"/>
          <w:u w:val="none"/>
        </w:rPr>
      </w:pPr>
    </w:p>
    <w:p w14:paraId="54378092">
      <w:pPr>
        <w:rPr>
          <w:rFonts w:hint="eastAsia"/>
          <w:color w:val="auto"/>
          <w:highlight w:val="none"/>
          <w:u w:val="none"/>
        </w:rPr>
      </w:pPr>
    </w:p>
    <w:p w14:paraId="7ECB6F9D">
      <w:pPr>
        <w:rPr>
          <w:rFonts w:hint="eastAsia"/>
          <w:color w:val="auto"/>
          <w:highlight w:val="none"/>
          <w:u w:val="none"/>
        </w:rPr>
      </w:pPr>
    </w:p>
    <w:p w14:paraId="798DD88D">
      <w:pPr>
        <w:rPr>
          <w:rFonts w:hint="eastAsia"/>
          <w:color w:val="auto"/>
          <w:highlight w:val="none"/>
          <w:u w:val="none"/>
        </w:rPr>
      </w:pPr>
    </w:p>
    <w:p w14:paraId="03C85F90">
      <w:pPr>
        <w:rPr>
          <w:rFonts w:hint="eastAsia"/>
          <w:color w:val="auto"/>
          <w:highlight w:val="none"/>
          <w:u w:val="none"/>
        </w:rPr>
      </w:pPr>
    </w:p>
    <w:p w14:paraId="4251A4C2">
      <w:pPr>
        <w:rPr>
          <w:rFonts w:hint="eastAsia"/>
          <w:color w:val="auto"/>
          <w:highlight w:val="none"/>
          <w:u w:val="none"/>
        </w:rPr>
      </w:pPr>
    </w:p>
    <w:p w14:paraId="6E604A18">
      <w:pPr>
        <w:rPr>
          <w:rFonts w:hint="eastAsia"/>
          <w:color w:val="auto"/>
          <w:highlight w:val="none"/>
          <w:u w:val="none"/>
        </w:rPr>
      </w:pPr>
    </w:p>
    <w:p w14:paraId="188F175E">
      <w:pPr>
        <w:rPr>
          <w:rFonts w:hint="eastAsia"/>
          <w:color w:val="auto"/>
          <w:highlight w:val="none"/>
          <w:u w:val="none"/>
        </w:rPr>
      </w:pPr>
    </w:p>
    <w:p w14:paraId="14EB9056">
      <w:pPr>
        <w:rPr>
          <w:rFonts w:hint="eastAsia"/>
          <w:color w:val="auto"/>
          <w:highlight w:val="none"/>
          <w:u w:val="none"/>
        </w:rPr>
      </w:pPr>
    </w:p>
    <w:p w14:paraId="2917C4C0">
      <w:pPr>
        <w:rPr>
          <w:rFonts w:hint="eastAsia"/>
          <w:color w:val="auto"/>
          <w:highlight w:val="none"/>
          <w:u w:val="none"/>
        </w:rPr>
      </w:pPr>
    </w:p>
    <w:p w14:paraId="22A02454">
      <w:pPr>
        <w:rPr>
          <w:rFonts w:hint="eastAsia"/>
          <w:color w:val="auto"/>
          <w:highlight w:val="none"/>
          <w:u w:val="none"/>
        </w:rPr>
      </w:pPr>
      <w:r>
        <w:rPr>
          <w:rFonts w:hint="eastAsia"/>
          <w:color w:val="auto"/>
          <w:highlight w:val="none"/>
          <w:u w:val="none"/>
        </w:rPr>
        <w:br w:type="page"/>
      </w:r>
    </w:p>
    <w:p w14:paraId="2AEA0BBA">
      <w:pPr>
        <w:pStyle w:val="2"/>
        <w:rPr>
          <w:rFonts w:ascii="黑体" w:hAnsi="宋体" w:eastAsia="黑体" w:cs="宋体"/>
          <w:bCs/>
          <w:kern w:val="0"/>
          <w:sz w:val="28"/>
          <w:szCs w:val="28"/>
        </w:rPr>
      </w:pPr>
      <w:r>
        <w:rPr>
          <w:rFonts w:hint="eastAsia" w:ascii="黑体" w:hAnsi="宋体" w:eastAsia="黑体" w:cs="宋体"/>
          <w:bCs/>
          <w:kern w:val="0"/>
          <w:sz w:val="28"/>
          <w:szCs w:val="28"/>
        </w:rPr>
        <w:t>重要提示</w:t>
      </w:r>
    </w:p>
    <w:p w14:paraId="458AFD7D">
      <w:pPr>
        <w:widowControl/>
        <w:tabs>
          <w:tab w:val="left" w:pos="709"/>
        </w:tabs>
        <w:snapToGrid w:val="0"/>
        <w:spacing w:line="360" w:lineRule="auto"/>
        <w:rPr>
          <w:rFonts w:ascii="仿宋_GB2312" w:hAnsi="宋体" w:cs="宋体"/>
          <w:b/>
          <w:bCs/>
          <w:kern w:val="0"/>
          <w:szCs w:val="24"/>
        </w:rPr>
      </w:pPr>
      <w:r>
        <w:rPr>
          <w:rFonts w:hint="eastAsia" w:ascii="仿宋_GB2312" w:hAnsi="宋体" w:cs="宋体"/>
          <w:b/>
          <w:bCs/>
          <w:kern w:val="0"/>
          <w:szCs w:val="32"/>
        </w:rPr>
        <w:t>●</w:t>
      </w:r>
      <w:r>
        <w:rPr>
          <w:rFonts w:hint="eastAsia" w:ascii="仿宋_GB2312" w:hAnsi="宋体" w:cs="宋体"/>
          <w:b/>
          <w:bCs/>
          <w:kern w:val="0"/>
          <w:szCs w:val="24"/>
        </w:rPr>
        <w:t>理财非存款、产品有风险、投资须谨慎。</w:t>
      </w:r>
    </w:p>
    <w:p w14:paraId="5DF7F0A5">
      <w:pPr>
        <w:widowControl/>
        <w:tabs>
          <w:tab w:val="left" w:pos="709"/>
        </w:tabs>
        <w:snapToGrid w:val="0"/>
        <w:spacing w:line="360" w:lineRule="auto"/>
        <w:rPr>
          <w:rFonts w:ascii="仿宋_GB2312" w:hAnsi="宋体" w:cs="宋体"/>
          <w:b/>
          <w:bCs/>
          <w:kern w:val="0"/>
          <w:szCs w:val="24"/>
        </w:rPr>
      </w:pPr>
      <w:r>
        <w:rPr>
          <w:rFonts w:hint="eastAsia" w:ascii="仿宋_GB2312" w:hAnsi="宋体" w:cs="宋体"/>
          <w:b/>
          <w:bCs/>
          <w:kern w:val="0"/>
          <w:szCs w:val="24"/>
        </w:rPr>
        <w:t>●浙银理财有限责任公司（以下称“浙银</w:t>
      </w:r>
      <w:r>
        <w:rPr>
          <w:rFonts w:ascii="仿宋_GB2312" w:hAnsi="宋体" w:cs="宋体"/>
          <w:b/>
          <w:bCs/>
          <w:kern w:val="0"/>
          <w:szCs w:val="24"/>
        </w:rPr>
        <w:t>理财</w:t>
      </w:r>
      <w:r>
        <w:rPr>
          <w:rFonts w:hint="eastAsia" w:ascii="仿宋_GB2312" w:hAnsi="宋体" w:cs="宋体"/>
          <w:b/>
          <w:bCs/>
          <w:kern w:val="0"/>
          <w:szCs w:val="24"/>
        </w:rPr>
        <w:t>”）郑重提示：在购买理财产品前，请投资者应确保自己完全明白该项投资的性质和所涉及的风险，详细了解和审慎评估该理财产品的资金投资方向及风险类型等基本情况，在慎重考虑后自行决定购买与自身风险承受能力和资产管理需求匹配的理财产品，并承受由此产生的收益与风险。如影响投资者风险承受能力的因素发生变化，请及时完成风险承受能力评估</w:t>
      </w:r>
      <w:r>
        <w:rPr>
          <w:rFonts w:hint="eastAsia"/>
          <w:b/>
        </w:rPr>
        <w:t>。</w:t>
      </w:r>
    </w:p>
    <w:p w14:paraId="0CE875FF">
      <w:pPr>
        <w:pStyle w:val="13"/>
        <w:spacing w:line="360" w:lineRule="auto"/>
        <w:ind w:firstLine="0" w:firstLineChars="0"/>
        <w:rPr>
          <w:rFonts w:ascii="仿宋_GB2312" w:hAnsi="宋体" w:cs="宋体"/>
          <w:b/>
          <w:bCs/>
          <w:kern w:val="0"/>
          <w:szCs w:val="24"/>
        </w:rPr>
      </w:pPr>
      <w:r>
        <w:rPr>
          <w:rFonts w:hint="eastAsia" w:ascii="仿宋_GB2312" w:hAnsi="宋体" w:cs="宋体"/>
          <w:b/>
          <w:bCs/>
          <w:kern w:val="0"/>
          <w:szCs w:val="24"/>
        </w:rPr>
        <w:t>●</w:t>
      </w:r>
      <w:r>
        <w:rPr>
          <w:rFonts w:hint="eastAsia" w:ascii="仿宋_GB2312" w:hAnsi="宋体" w:cs="宋体"/>
          <w:bCs/>
          <w:kern w:val="0"/>
          <w:szCs w:val="24"/>
        </w:rPr>
        <w:t>本理财产品说明书与《风险揭示书》《投资协议书》《投资者权益须知》《（代理）销售协议书》等共同构成本理财产品完整</w:t>
      </w:r>
      <w:r>
        <w:rPr>
          <w:rFonts w:ascii="仿宋_GB2312" w:hAnsi="宋体" w:cs="宋体"/>
          <w:bCs/>
          <w:kern w:val="0"/>
          <w:szCs w:val="24"/>
        </w:rPr>
        <w:t>的</w:t>
      </w:r>
      <w:r>
        <w:rPr>
          <w:rFonts w:hint="eastAsia" w:ascii="仿宋_GB2312" w:hAnsi="宋体" w:cs="宋体"/>
          <w:bCs/>
          <w:kern w:val="0"/>
          <w:szCs w:val="24"/>
        </w:rPr>
        <w:t>、</w:t>
      </w:r>
      <w:r>
        <w:rPr>
          <w:rFonts w:ascii="仿宋_GB2312" w:hAnsi="宋体" w:cs="宋体"/>
          <w:bCs/>
          <w:kern w:val="0"/>
          <w:szCs w:val="24"/>
        </w:rPr>
        <w:t>不可</w:t>
      </w:r>
      <w:r>
        <w:rPr>
          <w:rFonts w:hint="eastAsia" w:ascii="仿宋_GB2312" w:hAnsi="宋体" w:cs="宋体"/>
          <w:bCs/>
          <w:kern w:val="0"/>
          <w:szCs w:val="24"/>
        </w:rPr>
        <w:t>分割</w:t>
      </w:r>
      <w:r>
        <w:rPr>
          <w:rFonts w:ascii="仿宋_GB2312" w:hAnsi="宋体" w:cs="宋体"/>
          <w:bCs/>
          <w:kern w:val="0"/>
          <w:szCs w:val="24"/>
        </w:rPr>
        <w:t>的</w:t>
      </w:r>
      <w:r>
        <w:rPr>
          <w:rFonts w:hint="eastAsia" w:ascii="仿宋_GB2312" w:hAnsi="宋体" w:cs="宋体"/>
          <w:bCs/>
          <w:kern w:val="0"/>
          <w:szCs w:val="24"/>
        </w:rPr>
        <w:t>销售文件。</w:t>
      </w:r>
      <w:r>
        <w:rPr>
          <w:rFonts w:hint="eastAsia" w:ascii="仿宋_GB2312" w:hAnsi="宋体" w:cs="宋体"/>
          <w:b/>
          <w:bCs/>
          <w:kern w:val="0"/>
          <w:szCs w:val="24"/>
        </w:rPr>
        <w:t>为了维护投资者的合法权益，请在投资前仔细阅读本说明书及其他销售文件，了解理财产品具体情况。</w:t>
      </w:r>
    </w:p>
    <w:p w14:paraId="53A249A9">
      <w:pPr>
        <w:pStyle w:val="13"/>
        <w:spacing w:line="360" w:lineRule="auto"/>
        <w:ind w:firstLine="0" w:firstLineChars="0"/>
        <w:rPr>
          <w:rFonts w:ascii="仿宋_GB2312" w:hAnsi="宋体" w:cs="宋体"/>
          <w:b/>
          <w:bCs/>
          <w:kern w:val="0"/>
          <w:szCs w:val="24"/>
        </w:rPr>
      </w:pPr>
      <w:r>
        <w:rPr>
          <w:rFonts w:hint="eastAsia" w:ascii="仿宋_GB2312" w:hAnsi="宋体" w:cs="宋体"/>
          <w:b/>
          <w:bCs/>
          <w:kern w:val="0"/>
          <w:szCs w:val="24"/>
        </w:rPr>
        <w:t>●</w:t>
      </w:r>
      <w:r>
        <w:rPr>
          <w:rFonts w:hint="eastAsia" w:ascii="仿宋_GB2312" w:hAnsi="宋体" w:cs="宋体"/>
          <w:bCs/>
          <w:kern w:val="0"/>
          <w:szCs w:val="24"/>
        </w:rPr>
        <w:t>本理财产品为</w:t>
      </w:r>
      <w:r>
        <w:rPr>
          <w:rFonts w:hint="eastAsia" w:ascii="仿宋_GB2312" w:hAnsi="宋体" w:cs="宋体"/>
          <w:b/>
          <w:bCs/>
          <w:kern w:val="0"/>
          <w:szCs w:val="24"/>
        </w:rPr>
        <w:t>非保本浮动收益型理财产品，与银行存款存在显著区别，不受</w:t>
      </w:r>
      <w:r>
        <w:rPr>
          <w:rFonts w:hint="eastAsia" w:ascii="仿宋_GB2312" w:hAnsi="宋体" w:cs="宋体"/>
          <w:b/>
          <w:bCs/>
          <w:kern w:val="0"/>
          <w:szCs w:val="32"/>
        </w:rPr>
        <w:t>存款保险及其他保障机制的保障。</w:t>
      </w:r>
      <w:r>
        <w:rPr>
          <w:rFonts w:hint="eastAsia" w:ascii="仿宋_GB2312" w:hAnsi="宋体" w:cs="宋体"/>
          <w:b/>
          <w:bCs/>
          <w:kern w:val="0"/>
          <w:szCs w:val="24"/>
        </w:rPr>
        <w:t>本理财产品不保证投资者理财本金安全及最低收益，投资者投资/持有本理财产品可能因市场变化、突发事件等因素遭受收益乃至本金损失</w:t>
      </w:r>
      <w:r>
        <w:rPr>
          <w:rFonts w:hint="eastAsia" w:ascii="仿宋_GB2312" w:hAnsi="宋体" w:cs="宋体"/>
          <w:b/>
          <w:bCs/>
          <w:kern w:val="0"/>
          <w:szCs w:val="32"/>
        </w:rPr>
        <w:t>，</w:t>
      </w:r>
      <w:r>
        <w:rPr>
          <w:rFonts w:hint="eastAsia" w:ascii="宋体" w:hAnsi="宋体" w:cs="宋体"/>
          <w:b/>
          <w:bCs/>
          <w:kern w:val="0"/>
          <w:szCs w:val="24"/>
        </w:rPr>
        <w:t>请</w:t>
      </w:r>
      <w:r>
        <w:rPr>
          <w:rFonts w:hint="eastAsia" w:ascii="仿宋_GB2312" w:hAnsi="宋体" w:cs="宋体"/>
          <w:b/>
          <w:bCs/>
          <w:kern w:val="0"/>
          <w:szCs w:val="24"/>
        </w:rPr>
        <w:t>投资者充分知晓、理解投资风险，谨慎投资。</w:t>
      </w:r>
    </w:p>
    <w:p w14:paraId="4D39BEE8">
      <w:pPr>
        <w:pStyle w:val="13"/>
        <w:spacing w:line="360" w:lineRule="auto"/>
        <w:ind w:firstLine="0" w:firstLineChars="0"/>
        <w:rPr>
          <w:rFonts w:ascii="仿宋_GB2312" w:hAnsi="宋体" w:cs="宋体"/>
          <w:b/>
          <w:bCs/>
          <w:kern w:val="0"/>
          <w:szCs w:val="24"/>
        </w:rPr>
      </w:pPr>
      <w:r>
        <w:rPr>
          <w:rFonts w:hint="eastAsia" w:ascii="仿宋_GB2312" w:hAnsi="宋体" w:cs="宋体"/>
          <w:b/>
          <w:bCs/>
          <w:kern w:val="0"/>
          <w:szCs w:val="24"/>
        </w:rPr>
        <w:t>●</w:t>
      </w:r>
      <w:r>
        <w:rPr>
          <w:rFonts w:hint="eastAsia" w:ascii="仿宋_GB2312" w:hAnsi="宋体" w:cs="宋体"/>
          <w:bCs/>
          <w:kern w:val="0"/>
          <w:szCs w:val="24"/>
        </w:rPr>
        <w:t>本理财产品涉及的主要风险包括政策风险、信用风险、市场风险、流动性风险、经营管理风险、交易对手风险、操作风险、代销风险、募集期延长/缩短风险、产品不成立风险、提前终止风险、延期分配风险、信息传递风险、关联关系及关联交易风险、再投资风险、估值风险、托管及清算风险、税务风险、不同理财产品份额类别存在差异的风险、其他风险等，</w:t>
      </w:r>
      <w:r>
        <w:rPr>
          <w:rFonts w:hint="eastAsia" w:ascii="仿宋_GB2312" w:hAnsi="宋体" w:cs="宋体"/>
          <w:b/>
          <w:bCs/>
          <w:kern w:val="0"/>
          <w:szCs w:val="24"/>
        </w:rPr>
        <w:t>请投资者仔细阅读《风险揭示书》。●本理财产品销售文件中的任何“业绩比较基准”“业绩比较基准区间”以及其他类似表述均不代表投资者可能获得的实际收益，亦不构成管理人对本理财产品的任何收益承诺，不具有法律效力。</w:t>
      </w:r>
    </w:p>
    <w:p w14:paraId="58D02011">
      <w:pPr>
        <w:pStyle w:val="13"/>
        <w:spacing w:line="360" w:lineRule="auto"/>
        <w:ind w:firstLine="0" w:firstLineChars="0"/>
        <w:rPr>
          <w:rFonts w:ascii="仿宋_GB2312" w:hAnsi="宋体" w:cs="宋体"/>
          <w:b/>
          <w:bCs/>
          <w:kern w:val="0"/>
          <w:szCs w:val="24"/>
        </w:rPr>
      </w:pPr>
      <w:r>
        <w:rPr>
          <w:rFonts w:hint="eastAsia" w:ascii="仿宋_GB2312" w:hAnsi="宋体" w:cs="宋体"/>
          <w:b/>
          <w:bCs/>
          <w:kern w:val="0"/>
          <w:szCs w:val="24"/>
        </w:rPr>
        <w:t>●本理财</w:t>
      </w:r>
      <w:r>
        <w:rPr>
          <w:rFonts w:ascii="仿宋_GB2312" w:hAnsi="宋体" w:cs="宋体"/>
          <w:b/>
          <w:bCs/>
          <w:kern w:val="0"/>
          <w:szCs w:val="24"/>
        </w:rPr>
        <w:t>产品的投资运作情况体现为产品净值变化，</w:t>
      </w:r>
      <w:r>
        <w:rPr>
          <w:rFonts w:hint="eastAsia" w:ascii="仿宋_GB2312" w:hAnsi="宋体" w:cs="宋体"/>
          <w:b/>
          <w:bCs/>
          <w:kern w:val="0"/>
          <w:szCs w:val="24"/>
        </w:rPr>
        <w:t>投资者最终理财收益以实际到账为准。本理财产品过往业绩不代表其未来表现，不等于投资者未来可获得的实际收益。</w:t>
      </w:r>
    </w:p>
    <w:p w14:paraId="4ADF4889">
      <w:pPr>
        <w:tabs>
          <w:tab w:val="left" w:pos="709"/>
        </w:tabs>
        <w:snapToGrid w:val="0"/>
        <w:spacing w:line="360" w:lineRule="auto"/>
        <w:rPr>
          <w:rFonts w:ascii="仿宋_GB2312" w:hAnsi="宋体" w:cs="宋体"/>
          <w:bCs/>
          <w:kern w:val="0"/>
          <w:szCs w:val="24"/>
        </w:rPr>
      </w:pPr>
      <w:r>
        <w:rPr>
          <w:rFonts w:hint="eastAsia" w:ascii="仿宋_GB2312" w:hAnsi="宋体" w:cs="宋体"/>
          <w:b/>
          <w:bCs/>
          <w:kern w:val="0"/>
          <w:szCs w:val="24"/>
        </w:rPr>
        <w:t>●本理财产品仅向依据中华人民共和国法律法规及监管规定可以购买本类理财产品的投资者发售。</w:t>
      </w:r>
      <w:r>
        <w:rPr>
          <w:rFonts w:ascii="仿宋_GB2312" w:hAnsi="宋体" w:cs="宋体"/>
          <w:b/>
          <w:kern w:val="0"/>
          <w:szCs w:val="24"/>
        </w:rPr>
        <w:t>投资者通过销售机构与浙银理财签订理财产品销售文件后，销售机构或浙银理财在划款时，不再通过任何方式与投资者进行最后确认，直接划款。</w:t>
      </w:r>
      <w:r>
        <w:rPr>
          <w:rFonts w:hint="eastAsia"/>
          <w:b/>
        </w:rPr>
        <w:t>投</w:t>
      </w:r>
      <w:r>
        <w:rPr>
          <w:rFonts w:ascii="仿宋_GB2312" w:hAnsi="宋体" w:cs="宋体"/>
          <w:b/>
          <w:kern w:val="0"/>
          <w:szCs w:val="24"/>
        </w:rPr>
        <w:t>资者通过销售机构电子渠道购买本理财产品，成功提交认购/申购申请后视同为投资者已完全知悉并接受本理财产品销售文件载明的风险揭示、重要提示以及其他约定，与浙银理财已完成理财产品销售</w:t>
      </w:r>
      <w:r>
        <w:rPr>
          <w:rFonts w:hint="eastAsia" w:ascii="仿宋_GB2312" w:hAnsi="宋体" w:cs="宋体"/>
          <w:b/>
          <w:kern w:val="0"/>
          <w:szCs w:val="24"/>
        </w:rPr>
        <w:t>文件</w:t>
      </w:r>
      <w:r>
        <w:rPr>
          <w:rFonts w:ascii="仿宋_GB2312" w:hAnsi="宋体" w:cs="宋体"/>
          <w:b/>
          <w:kern w:val="0"/>
          <w:szCs w:val="24"/>
        </w:rPr>
        <w:t>的签订。</w:t>
      </w:r>
    </w:p>
    <w:p w14:paraId="567BD31A">
      <w:pPr>
        <w:tabs>
          <w:tab w:val="left" w:pos="709"/>
        </w:tabs>
        <w:snapToGrid w:val="0"/>
        <w:spacing w:line="360" w:lineRule="auto"/>
        <w:rPr>
          <w:rFonts w:ascii="仿宋_GB2312" w:hAnsi="宋体" w:cs="宋体"/>
          <w:bCs/>
          <w:kern w:val="0"/>
          <w:szCs w:val="24"/>
        </w:rPr>
      </w:pPr>
      <w:r>
        <w:rPr>
          <w:rFonts w:hint="eastAsia" w:ascii="仿宋_GB2312" w:hAnsi="宋体" w:cs="宋体"/>
          <w:b/>
          <w:bCs/>
          <w:kern w:val="0"/>
          <w:szCs w:val="24"/>
        </w:rPr>
        <w:t>●</w:t>
      </w:r>
      <w:r>
        <w:rPr>
          <w:rFonts w:hint="eastAsia" w:ascii="仿宋_GB2312" w:hAnsi="宋体" w:cs="宋体"/>
          <w:bCs/>
          <w:kern w:val="0"/>
          <w:szCs w:val="24"/>
        </w:rPr>
        <w:t>投资本理财产品后，投资者应随时关注本理财产品的信息披露情况，及时获取相关信息。相关信息以销售文件约定的信息披露方式进行披露。</w:t>
      </w:r>
    </w:p>
    <w:p w14:paraId="39B22950">
      <w:pPr>
        <w:tabs>
          <w:tab w:val="left" w:pos="709"/>
        </w:tabs>
        <w:snapToGrid w:val="0"/>
        <w:spacing w:line="360" w:lineRule="auto"/>
        <w:rPr>
          <w:rFonts w:ascii="仿宋_GB2312" w:hAnsi="宋体" w:cs="宋体"/>
          <w:b/>
          <w:bCs/>
          <w:color w:val="000000"/>
          <w:kern w:val="0"/>
          <w:szCs w:val="24"/>
        </w:rPr>
      </w:pPr>
      <w:r>
        <w:rPr>
          <w:rFonts w:hint="eastAsia" w:ascii="仿宋_GB2312" w:hAnsi="宋体" w:cs="宋体"/>
          <w:b/>
          <w:bCs/>
          <w:kern w:val="0"/>
          <w:szCs w:val="24"/>
        </w:rPr>
        <w:t>●</w:t>
      </w:r>
      <w:r>
        <w:rPr>
          <w:rFonts w:hint="eastAsia" w:ascii="仿宋_GB2312" w:hAnsi="宋体" w:cs="宋体"/>
          <w:bCs/>
          <w:kern w:val="0"/>
          <w:szCs w:val="24"/>
        </w:rPr>
        <w:t>投资者承诺其用于购买本理财产品的资金来源合法合规，并且其系为合法之目的投资本理财产品，而非为洗钱等违法犯罪目的；投资者应确保用于投资本理财产品的资金不来源于贷款、发行债券等筹集的非自有资金。（受托管理的资产管理产品除外）</w:t>
      </w:r>
    </w:p>
    <w:p w14:paraId="34A2B590">
      <w:pPr>
        <w:tabs>
          <w:tab w:val="left" w:pos="709"/>
        </w:tabs>
        <w:snapToGrid w:val="0"/>
        <w:spacing w:line="360" w:lineRule="auto"/>
        <w:rPr>
          <w:rFonts w:ascii="仿宋_GB2312" w:hAnsi="宋体" w:cs="宋体"/>
          <w:bCs/>
          <w:kern w:val="0"/>
          <w:szCs w:val="24"/>
        </w:rPr>
      </w:pPr>
      <w:r>
        <w:rPr>
          <w:rFonts w:hint="eastAsia" w:ascii="仿宋_GB2312" w:hAnsi="宋体" w:cs="宋体"/>
          <w:b/>
          <w:bCs/>
          <w:kern w:val="0"/>
          <w:szCs w:val="24"/>
        </w:rPr>
        <w:t>●</w:t>
      </w:r>
      <w:r>
        <w:rPr>
          <w:rFonts w:ascii="仿宋_GB2312" w:hAnsi="宋体" w:cs="宋体"/>
          <w:b/>
          <w:kern w:val="0"/>
          <w:szCs w:val="24"/>
        </w:rPr>
        <w:t>在本理财产品存续期内，</w:t>
      </w:r>
      <w:r>
        <w:rPr>
          <w:rFonts w:ascii="仿宋_GB2312" w:hAnsi="宋体" w:cs="宋体"/>
          <w:b/>
          <w:kern w:val="0"/>
          <w:szCs w:val="32"/>
        </w:rPr>
        <w:t>如因维持本理财产品正常运营的需要且在不损害投资者利益的前提下，或因监管政策、法律法规发生变化</w:t>
      </w:r>
      <w:r>
        <w:rPr>
          <w:rFonts w:ascii="仿宋_GB2312" w:hAnsi="宋体" w:cs="宋体"/>
          <w:b/>
          <w:kern w:val="0"/>
          <w:szCs w:val="24"/>
        </w:rPr>
        <w:t>，浙银理财有权单方对本理财产品销售文件条款进行修订，并按本理财产品说明书约定的披露方式向投资者进行信息披露。浙银理财按照前述规则发布该信息披露即视为该修订通知已送达投资者并对投资者具有法律约束力。</w:t>
      </w:r>
    </w:p>
    <w:p w14:paraId="784B2B2B">
      <w:pPr>
        <w:tabs>
          <w:tab w:val="left" w:pos="709"/>
        </w:tabs>
        <w:snapToGrid w:val="0"/>
        <w:spacing w:line="360" w:lineRule="auto"/>
      </w:pPr>
      <w:r>
        <w:rPr>
          <w:rFonts w:hint="eastAsia" w:ascii="仿宋_GB2312" w:hAnsi="宋体" w:cs="宋体"/>
          <w:bCs/>
          <w:kern w:val="0"/>
          <w:szCs w:val="32"/>
        </w:rPr>
        <w:t>●如对本理财产品、服务有任何疑问、意见或建议，敬请联系您的销售服务机构，具体联系方式以《产品说明书》等销售文件的披露为准；或反馈至浙银理财服务电话：0571-57192881。</w:t>
      </w:r>
    </w:p>
    <w:p w14:paraId="3DA484C8">
      <w:r>
        <w:br w:type="page"/>
      </w:r>
    </w:p>
    <w:p w14:paraId="0BC7E91D">
      <w:pPr>
        <w:pStyle w:val="2"/>
      </w:pPr>
      <w:r>
        <w:rPr>
          <w:rFonts w:hint="eastAsia"/>
        </w:rPr>
        <w:t>释义</w:t>
      </w:r>
    </w:p>
    <w:p w14:paraId="79851ED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kern w:val="0"/>
          <w:szCs w:val="24"/>
        </w:rPr>
        <w:t>本</w:t>
      </w:r>
      <w:r>
        <w:rPr>
          <w:rFonts w:hint="eastAsia" w:ascii="仿宋_GB2312" w:hAnsi="宋体" w:cs="宋体"/>
          <w:bCs/>
          <w:color w:val="auto"/>
          <w:kern w:val="0"/>
          <w:szCs w:val="24"/>
          <w:highlight w:val="none"/>
          <w:u w:val="none"/>
        </w:rPr>
        <w:t>说明书中，除非另有明确说明，否则下列词语或简称具有如下含义：</w:t>
      </w:r>
    </w:p>
    <w:p w14:paraId="46216360">
      <w:pPr>
        <w:pStyle w:val="3"/>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产品参与主体用语</w:t>
      </w:r>
    </w:p>
    <w:p w14:paraId="39465760">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ascii="仿宋_GB2312" w:hAnsi="宋体" w:cs="宋体"/>
          <w:bCs/>
          <w:color w:val="auto"/>
          <w:kern w:val="0"/>
          <w:szCs w:val="24"/>
          <w:highlight w:val="none"/>
          <w:u w:val="none"/>
        </w:rPr>
        <w:t>管理人/产品管理人/理财产品管理人</w:t>
      </w:r>
      <w:r>
        <w:rPr>
          <w:rFonts w:hint="eastAsia" w:ascii="仿宋_GB2312" w:hAnsi="宋体" w:cs="宋体"/>
          <w:bCs/>
          <w:color w:val="auto"/>
          <w:kern w:val="0"/>
          <w:szCs w:val="24"/>
          <w:highlight w:val="none"/>
          <w:u w:val="none"/>
          <w:lang w:val="en-US" w:eastAsia="zh-CN"/>
        </w:rPr>
        <w:t>/发行机构</w:t>
      </w:r>
      <w:r>
        <w:rPr>
          <w:rFonts w:ascii="仿宋_GB2312" w:hAnsi="宋体" w:cs="宋体"/>
          <w:bCs/>
          <w:color w:val="auto"/>
          <w:kern w:val="0"/>
          <w:szCs w:val="24"/>
          <w:highlight w:val="none"/>
          <w:u w:val="none"/>
        </w:rPr>
        <w:t>：指浙银理财有限责任公司（简称“浙银理财”）。</w:t>
      </w:r>
    </w:p>
    <w:p w14:paraId="22FA9DF2">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w:t>
      </w:r>
      <w:r>
        <w:rPr>
          <w:rFonts w:hint="eastAsia" w:ascii="仿宋_GB2312" w:hAnsi="宋体" w:cs="宋体"/>
          <w:bCs/>
          <w:color w:val="auto"/>
          <w:kern w:val="0"/>
          <w:szCs w:val="24"/>
          <w:highlight w:val="none"/>
          <w:u w:val="none"/>
        </w:rPr>
        <w:t>销售机构/理财产品销售机构：指符合</w:t>
      </w:r>
      <w:r>
        <w:rPr>
          <w:rFonts w:ascii="仿宋_GB2312" w:hAnsi="宋体" w:cs="宋体"/>
          <w:bCs/>
          <w:color w:val="auto"/>
          <w:kern w:val="0"/>
          <w:szCs w:val="24"/>
          <w:highlight w:val="none"/>
          <w:u w:val="none"/>
        </w:rPr>
        <w:t>监管</w:t>
      </w:r>
      <w:r>
        <w:rPr>
          <w:rFonts w:hint="eastAsia" w:ascii="仿宋_GB2312" w:hAnsi="宋体" w:cs="宋体"/>
          <w:bCs/>
          <w:color w:val="auto"/>
          <w:kern w:val="0"/>
          <w:szCs w:val="24"/>
          <w:highlight w:val="none"/>
          <w:u w:val="none"/>
        </w:rPr>
        <w:t>规定</w:t>
      </w:r>
      <w:r>
        <w:rPr>
          <w:rFonts w:ascii="仿宋_GB2312" w:hAnsi="宋体" w:cs="宋体"/>
          <w:bCs/>
          <w:color w:val="auto"/>
          <w:kern w:val="0"/>
          <w:szCs w:val="24"/>
          <w:highlight w:val="none"/>
          <w:u w:val="none"/>
        </w:rPr>
        <w:t>具备理财产品销售资格</w:t>
      </w:r>
      <w:r>
        <w:rPr>
          <w:rFonts w:hint="eastAsia" w:ascii="仿宋_GB2312" w:hAnsi="宋体" w:cs="宋体"/>
          <w:bCs/>
          <w:color w:val="auto"/>
          <w:kern w:val="0"/>
          <w:szCs w:val="24"/>
          <w:highlight w:val="none"/>
          <w:u w:val="none"/>
        </w:rPr>
        <w:t>的</w:t>
      </w:r>
      <w:r>
        <w:rPr>
          <w:rFonts w:ascii="仿宋_GB2312" w:hAnsi="宋体" w:cs="宋体"/>
          <w:bCs/>
          <w:color w:val="auto"/>
          <w:kern w:val="0"/>
          <w:szCs w:val="24"/>
          <w:highlight w:val="none"/>
          <w:u w:val="none"/>
        </w:rPr>
        <w:t>机构</w:t>
      </w:r>
      <w:r>
        <w:rPr>
          <w:rFonts w:hint="eastAsia" w:ascii="仿宋_GB2312" w:hAnsi="宋体" w:cs="宋体"/>
          <w:bCs/>
          <w:color w:val="auto"/>
          <w:kern w:val="0"/>
          <w:szCs w:val="24"/>
          <w:highlight w:val="none"/>
          <w:u w:val="none"/>
        </w:rPr>
        <w:t>，</w:t>
      </w:r>
      <w:r>
        <w:rPr>
          <w:rFonts w:ascii="仿宋_GB2312" w:hAnsi="宋体" w:cs="宋体"/>
          <w:bCs/>
          <w:color w:val="auto"/>
          <w:kern w:val="0"/>
          <w:szCs w:val="24"/>
          <w:highlight w:val="none"/>
          <w:u w:val="none"/>
        </w:rPr>
        <w:t>销售机构在其渠道开展向投资者</w:t>
      </w:r>
      <w:r>
        <w:rPr>
          <w:rFonts w:hint="eastAsia" w:ascii="仿宋_GB2312" w:hAnsi="宋体" w:cs="宋体"/>
          <w:bCs/>
          <w:color w:val="auto"/>
          <w:kern w:val="0"/>
          <w:szCs w:val="24"/>
          <w:highlight w:val="none"/>
          <w:u w:val="none"/>
        </w:rPr>
        <w:t>进行</w:t>
      </w:r>
      <w:r>
        <w:rPr>
          <w:rFonts w:ascii="仿宋_GB2312" w:hAnsi="宋体" w:cs="宋体"/>
          <w:bCs/>
          <w:color w:val="auto"/>
          <w:kern w:val="0"/>
          <w:szCs w:val="24"/>
          <w:highlight w:val="none"/>
          <w:u w:val="none"/>
        </w:rPr>
        <w:t>宣传推介</w:t>
      </w:r>
      <w:r>
        <w:rPr>
          <w:rFonts w:hint="eastAsia" w:ascii="仿宋_GB2312" w:hAnsi="宋体" w:cs="宋体"/>
          <w:bCs/>
          <w:color w:val="auto"/>
          <w:kern w:val="0"/>
          <w:szCs w:val="24"/>
          <w:highlight w:val="none"/>
          <w:u w:val="none"/>
        </w:rPr>
        <w:t>，为</w:t>
      </w:r>
      <w:r>
        <w:rPr>
          <w:rFonts w:ascii="仿宋_GB2312" w:hAnsi="宋体" w:cs="宋体"/>
          <w:bCs/>
          <w:color w:val="auto"/>
          <w:kern w:val="0"/>
          <w:szCs w:val="24"/>
          <w:highlight w:val="none"/>
          <w:u w:val="none"/>
        </w:rPr>
        <w:t>投资者</w:t>
      </w:r>
      <w:r>
        <w:rPr>
          <w:rFonts w:hint="eastAsia" w:ascii="仿宋_GB2312" w:hAnsi="宋体" w:cs="宋体"/>
          <w:bCs/>
          <w:color w:val="auto"/>
          <w:kern w:val="0"/>
          <w:szCs w:val="24"/>
          <w:highlight w:val="none"/>
          <w:u w:val="none"/>
        </w:rPr>
        <w:t>办理理财产品认购、申购和赎回，以及监管许可的其他销售活动。理财</w:t>
      </w:r>
      <w:r>
        <w:rPr>
          <w:rFonts w:ascii="仿宋_GB2312" w:hAnsi="宋体" w:cs="宋体"/>
          <w:bCs/>
          <w:color w:val="auto"/>
          <w:kern w:val="0"/>
          <w:szCs w:val="24"/>
          <w:highlight w:val="none"/>
          <w:u w:val="none"/>
        </w:rPr>
        <w:t>产品</w:t>
      </w:r>
      <w:r>
        <w:rPr>
          <w:rFonts w:hint="eastAsia" w:ascii="仿宋_GB2312" w:hAnsi="宋体" w:cs="宋体"/>
          <w:bCs/>
          <w:color w:val="auto"/>
          <w:kern w:val="0"/>
          <w:szCs w:val="24"/>
          <w:highlight w:val="none"/>
          <w:u w:val="none"/>
        </w:rPr>
        <w:t>销售可分为直销和代理</w:t>
      </w:r>
      <w:r>
        <w:rPr>
          <w:rFonts w:ascii="仿宋_GB2312" w:hAnsi="宋体" w:cs="宋体"/>
          <w:bCs/>
          <w:color w:val="auto"/>
          <w:kern w:val="0"/>
          <w:szCs w:val="24"/>
          <w:highlight w:val="none"/>
          <w:u w:val="none"/>
        </w:rPr>
        <w:t>销售</w:t>
      </w:r>
      <w:r>
        <w:rPr>
          <w:rFonts w:hint="eastAsia" w:ascii="仿宋_GB2312" w:hAnsi="宋体" w:cs="宋体"/>
          <w:bCs/>
          <w:color w:val="auto"/>
          <w:kern w:val="0"/>
          <w:szCs w:val="24"/>
          <w:highlight w:val="none"/>
          <w:u w:val="none"/>
        </w:rPr>
        <w:t>，直销机构指销售本公司发行理财产品的理财公司，代销机构指接受理财公司委托销售发行理财产品的代理销售机构。销售机构在其渠道开展向投资者宣传推介、销售产品管理人依法发行的资产管理产品的活动。</w:t>
      </w:r>
    </w:p>
    <w:p w14:paraId="1FF1CC60">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3.</w:t>
      </w:r>
      <w:r>
        <w:rPr>
          <w:rFonts w:hint="eastAsia" w:ascii="仿宋_GB2312" w:hAnsi="宋体" w:cs="宋体"/>
          <w:bCs/>
          <w:color w:val="auto"/>
          <w:kern w:val="0"/>
          <w:szCs w:val="24"/>
          <w:highlight w:val="none"/>
          <w:u w:val="none"/>
        </w:rPr>
        <w:t>托管人</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产品托管人</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理财产品托管人</w:t>
      </w:r>
      <w:r>
        <w:rPr>
          <w:rFonts w:hint="eastAsia" w:ascii="仿宋_GB2312" w:hAnsi="宋体" w:cs="宋体"/>
          <w:bCs/>
          <w:color w:val="auto"/>
          <w:kern w:val="0"/>
          <w:szCs w:val="24"/>
          <w:highlight w:val="none"/>
          <w:u w:val="none"/>
          <w:lang w:val="en-US" w:eastAsia="zh-CN"/>
        </w:rPr>
        <w:t>/托管机构</w:t>
      </w:r>
      <w:r>
        <w:rPr>
          <w:rFonts w:hint="eastAsia" w:ascii="仿宋_GB2312" w:hAnsi="宋体" w:cs="宋体"/>
          <w:bCs/>
          <w:color w:val="auto"/>
          <w:kern w:val="0"/>
          <w:szCs w:val="24"/>
          <w:highlight w:val="none"/>
          <w:u w:val="none"/>
        </w:rPr>
        <w:t>：</w:t>
      </w:r>
      <w:r>
        <w:rPr>
          <w:rFonts w:ascii="仿宋_GB2312" w:hAnsi="宋体" w:cs="宋体"/>
          <w:bCs/>
          <w:color w:val="auto"/>
          <w:kern w:val="0"/>
          <w:szCs w:val="24"/>
          <w:highlight w:val="none"/>
          <w:u w:val="none"/>
        </w:rPr>
        <w:t>指</w:t>
      </w:r>
      <w:r>
        <w:rPr>
          <w:rFonts w:hint="eastAsia" w:ascii="仿宋_GB2312" w:hAnsi="宋体" w:cs="宋体"/>
          <w:bCs/>
          <w:color w:val="auto"/>
          <w:kern w:val="0"/>
          <w:szCs w:val="24"/>
          <w:highlight w:val="none"/>
          <w:u w:val="none"/>
        </w:rPr>
        <w:t>根据管理人委托对理财产品财产进行托管的机构。本理财</w:t>
      </w:r>
      <w:r>
        <w:rPr>
          <w:rFonts w:ascii="仿宋_GB2312" w:hAnsi="宋体" w:cs="宋体"/>
          <w:bCs/>
          <w:color w:val="auto"/>
          <w:kern w:val="0"/>
          <w:szCs w:val="24"/>
          <w:highlight w:val="none"/>
          <w:u w:val="none"/>
        </w:rPr>
        <w:t>产品托管人</w:t>
      </w:r>
      <w:r>
        <w:rPr>
          <w:rFonts w:hint="eastAsia" w:ascii="仿宋_GB2312" w:hAnsi="宋体" w:cs="宋体"/>
          <w:bCs/>
          <w:color w:val="auto"/>
          <w:kern w:val="0"/>
          <w:szCs w:val="24"/>
          <w:highlight w:val="none"/>
          <w:u w:val="none"/>
        </w:rPr>
        <w:t>指</w:t>
      </w: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none"/>
          <w:u w:val="none"/>
        </w:rPr>
        <w:t>简称</w:t>
      </w: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none"/>
          <w:u w:val="none"/>
        </w:rPr>
        <w:t>）。</w:t>
      </w: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none"/>
          <w:u w:val="none"/>
        </w:rPr>
        <w:t>具备理财产品托管资格。</w:t>
      </w:r>
    </w:p>
    <w:p w14:paraId="49D751EB">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4.投资者：指符合相关法律法规、监管规定要求的，可以购买理财产品份额的自然人、法人及</w:t>
      </w:r>
      <w:r>
        <w:rPr>
          <w:rFonts w:ascii="仿宋_GB2312" w:hAnsi="宋体" w:cs="宋体"/>
          <w:bCs/>
          <w:color w:val="auto"/>
          <w:kern w:val="0"/>
          <w:szCs w:val="24"/>
          <w:highlight w:val="none"/>
          <w:u w:val="none"/>
        </w:rPr>
        <w:t>依法成立的</w:t>
      </w:r>
      <w:r>
        <w:rPr>
          <w:rFonts w:hint="eastAsia" w:ascii="仿宋_GB2312" w:hAnsi="宋体" w:cs="宋体"/>
          <w:bCs/>
          <w:color w:val="auto"/>
          <w:kern w:val="0"/>
          <w:szCs w:val="24"/>
          <w:highlight w:val="none"/>
          <w:u w:val="none"/>
        </w:rPr>
        <w:t>其他</w:t>
      </w:r>
      <w:r>
        <w:rPr>
          <w:rFonts w:ascii="仿宋_GB2312" w:hAnsi="宋体" w:cs="宋体"/>
          <w:bCs/>
          <w:color w:val="auto"/>
          <w:kern w:val="0"/>
          <w:szCs w:val="24"/>
          <w:highlight w:val="none"/>
          <w:u w:val="none"/>
        </w:rPr>
        <w:t>组织</w:t>
      </w:r>
      <w:r>
        <w:rPr>
          <w:rFonts w:hint="eastAsia" w:ascii="仿宋_GB2312" w:hAnsi="宋体" w:cs="宋体"/>
          <w:bCs/>
          <w:color w:val="auto"/>
          <w:kern w:val="0"/>
          <w:szCs w:val="24"/>
          <w:highlight w:val="none"/>
          <w:u w:val="none"/>
        </w:rPr>
        <w:t xml:space="preserve">。 </w:t>
      </w:r>
    </w:p>
    <w:p w14:paraId="2A4678C2">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5.合格投资者：合格投资者是指具备相应风险识别能力和风险承受能力，投资于单只理财产品不低于一定金额且符合下列条件的自然人、法人或者依法成立的其他组织：</w:t>
      </w:r>
    </w:p>
    <w:p w14:paraId="66EE00E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lang w:val="en-US" w:eastAsia="zh-CN"/>
        </w:rPr>
        <w:t>1</w:t>
      </w: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rPr>
        <w:t>具有2年以上投资经历，且满足家庭金融净资产不低于300万元人民币，或者家庭金融资产不低于500万元人民币，或者近3年本人年均收入不低于40万元人民币；</w:t>
      </w:r>
    </w:p>
    <w:p w14:paraId="4C4017CD">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lang w:val="en-US" w:eastAsia="zh-CN"/>
        </w:rPr>
        <w:t>2</w:t>
      </w: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rPr>
        <w:t>最近1年末净资产不低于1000万元人民币的法人或者依法成立的其他组织；</w:t>
      </w:r>
    </w:p>
    <w:p w14:paraId="28EE9F6B">
      <w:pPr>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lang w:val="en-US" w:eastAsia="zh-CN"/>
        </w:rPr>
        <w:t>3</w:t>
      </w: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rPr>
        <w:t>国务院银行业监督管理机构规定的其他情形。</w:t>
      </w:r>
    </w:p>
    <w:p w14:paraId="34D38DF1">
      <w:pPr>
        <w:tabs>
          <w:tab w:val="left" w:pos="709"/>
        </w:tabs>
        <w:snapToGrid w:val="0"/>
        <w:spacing w:line="360" w:lineRule="auto"/>
        <w:ind w:firstLine="420" w:firstLineChars="200"/>
        <w:rPr>
          <w:rFonts w:hint="eastAsia" w:ascii="仿宋_GB2312" w:hAnsi="宋体" w:cs="宋体"/>
          <w:bCs/>
          <w:color w:val="auto"/>
          <w:kern w:val="0"/>
          <w:szCs w:val="24"/>
          <w:highlight w:val="none"/>
          <w:u w:val="none"/>
          <w:lang w:val="en-US" w:eastAsia="zh-CN"/>
        </w:rPr>
      </w:pPr>
      <w:r>
        <w:rPr>
          <w:rFonts w:hint="eastAsia" w:ascii="仿宋_GB2312" w:hAnsi="宋体" w:cs="宋体"/>
          <w:bCs/>
          <w:color w:val="auto"/>
          <w:kern w:val="0"/>
          <w:szCs w:val="24"/>
          <w:highlight w:val="none"/>
          <w:u w:val="none"/>
          <w:lang w:val="en-US" w:eastAsia="zh-CN"/>
        </w:rPr>
        <w:t>6.专业投资者：符合下列条件之一的是专业投资者：</w:t>
      </w:r>
    </w:p>
    <w:p w14:paraId="3B7B22ED">
      <w:pPr>
        <w:tabs>
          <w:tab w:val="left" w:pos="709"/>
        </w:tabs>
        <w:snapToGrid w:val="0"/>
        <w:spacing w:line="360" w:lineRule="auto"/>
        <w:ind w:firstLine="420" w:firstLineChars="200"/>
        <w:rPr>
          <w:rFonts w:hint="eastAsia" w:ascii="仿宋_GB2312" w:hAnsi="宋体" w:cs="宋体"/>
          <w:bCs/>
          <w:color w:val="auto"/>
          <w:kern w:val="0"/>
          <w:szCs w:val="24"/>
          <w:highlight w:val="none"/>
          <w:u w:val="none"/>
          <w:lang w:val="en-US" w:eastAsia="zh-CN"/>
        </w:rPr>
      </w:pPr>
      <w:r>
        <w:rPr>
          <w:rFonts w:hint="eastAsia" w:ascii="仿宋_GB2312" w:hAnsi="宋体" w:cs="宋体"/>
          <w:bCs/>
          <w:color w:val="auto"/>
          <w:kern w:val="0"/>
          <w:szCs w:val="24"/>
          <w:highlight w:val="none"/>
          <w:u w:val="none"/>
          <w:lang w:val="en-US" w:eastAsia="zh-CN"/>
        </w:rPr>
        <w:t>（1）银行业金融机构、保险业金融机构、金融控股公司、证券基金期货经营机构、私募基金管理人；</w:t>
      </w:r>
    </w:p>
    <w:p w14:paraId="1DD5BA7B">
      <w:pPr>
        <w:tabs>
          <w:tab w:val="left" w:pos="709"/>
        </w:tabs>
        <w:snapToGrid w:val="0"/>
        <w:spacing w:line="360" w:lineRule="auto"/>
        <w:ind w:firstLine="420" w:firstLineChars="200"/>
        <w:rPr>
          <w:rFonts w:hint="eastAsia" w:ascii="仿宋_GB2312" w:hAnsi="宋体" w:cs="宋体"/>
          <w:bCs/>
          <w:color w:val="auto"/>
          <w:kern w:val="0"/>
          <w:szCs w:val="24"/>
          <w:highlight w:val="none"/>
          <w:u w:val="none"/>
          <w:lang w:val="en-US" w:eastAsia="zh-CN"/>
        </w:rPr>
      </w:pPr>
      <w:r>
        <w:rPr>
          <w:rFonts w:hint="eastAsia" w:ascii="仿宋_GB2312" w:hAnsi="宋体" w:cs="宋体"/>
          <w:bCs/>
          <w:color w:val="auto"/>
          <w:kern w:val="0"/>
          <w:szCs w:val="24"/>
          <w:highlight w:val="none"/>
          <w:u w:val="none"/>
          <w:lang w:val="en-US" w:eastAsia="zh-CN"/>
        </w:rPr>
        <w:t>（2）上述机构面向投资者发行的金融产品，信托公司管理的资产服务信托、公益慈善信托；</w:t>
      </w:r>
    </w:p>
    <w:p w14:paraId="6156DB91">
      <w:pPr>
        <w:tabs>
          <w:tab w:val="left" w:pos="709"/>
        </w:tabs>
        <w:snapToGrid w:val="0"/>
        <w:spacing w:line="360" w:lineRule="auto"/>
        <w:ind w:firstLine="420" w:firstLineChars="200"/>
        <w:rPr>
          <w:rFonts w:hint="eastAsia" w:ascii="仿宋_GB2312" w:hAnsi="宋体" w:cs="宋体"/>
          <w:bCs/>
          <w:color w:val="auto"/>
          <w:kern w:val="0"/>
          <w:szCs w:val="24"/>
          <w:highlight w:val="none"/>
          <w:u w:val="none"/>
          <w:lang w:val="en-US" w:eastAsia="zh-CN"/>
        </w:rPr>
      </w:pPr>
      <w:r>
        <w:rPr>
          <w:rFonts w:hint="eastAsia" w:ascii="仿宋_GB2312" w:hAnsi="宋体" w:cs="宋体"/>
          <w:bCs/>
          <w:color w:val="auto"/>
          <w:kern w:val="0"/>
          <w:szCs w:val="24"/>
          <w:highlight w:val="none"/>
          <w:u w:val="none"/>
          <w:lang w:val="en-US" w:eastAsia="zh-CN"/>
        </w:rPr>
        <w:t>（3）社会保障基金、企业年金、职业年金等养老基金，慈善基金等社会公益基金，合格境外机构投资者（QFII）、人民币合格境外机构投资者（RQFII）。</w:t>
      </w:r>
    </w:p>
    <w:p w14:paraId="5A16300B">
      <w:pPr>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7.普通投资者：专业投资者之外的投资者为普通投资者。</w:t>
      </w:r>
    </w:p>
    <w:p w14:paraId="39BB720F">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8</w:t>
      </w:r>
      <w:r>
        <w:rPr>
          <w:rFonts w:hint="eastAsia" w:ascii="仿宋_GB2312" w:hAnsi="宋体" w:cs="宋体"/>
          <w:bCs/>
          <w:color w:val="auto"/>
          <w:kern w:val="0"/>
          <w:szCs w:val="24"/>
          <w:highlight w:val="none"/>
          <w:u w:val="none"/>
        </w:rPr>
        <w:t>.全国银行业理财信息登记系统：指供商业银行及商业银行理财公司进行理财产品电子化报告和信息登记的电子信息系统。</w:t>
      </w:r>
    </w:p>
    <w:p w14:paraId="32320F19">
      <w:pPr>
        <w:pStyle w:val="3"/>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法律文件用语 </w:t>
      </w:r>
    </w:p>
    <w:p w14:paraId="0E121E18">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1.理财产品销售文件/销售文件：指产品管理人向投资者提供的，用于描述产品特征，约定权利义务的文件。具体指</w:t>
      </w: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none"/>
          <w:u w:val="none"/>
        </w:rPr>
        <w:t>全套销售文件，包括《投资协议书》、《产品说明书》、《（代理）销售协议书》、《风险揭示书》、《投资者权益须知》以及对该文件的有效修改或补充。上述文件共同构成一份完整且不可分割的理财产品销售文件。经产品管理人委托，代理销售机构可以编制《（代理）销售协议书》、《风险揭示书》、《投资者权益须知》。</w:t>
      </w:r>
    </w:p>
    <w:p w14:paraId="6AB4A2A1">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2.《投资协议书》：指管理人统一编制的《浙银理财理财产品投资协议书》，以及对该文件的有效修改或补充。</w:t>
      </w:r>
    </w:p>
    <w:p w14:paraId="7AA60E7E">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3.《产品说明书》：指管理人统一编制的《</w:t>
      </w: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none"/>
          <w:u w:val="none"/>
          <w:lang w:eastAsia="zh-CN"/>
        </w:rPr>
        <w:t>说</w:t>
      </w:r>
      <w:r>
        <w:rPr>
          <w:rFonts w:hint="eastAsia" w:ascii="仿宋_GB2312" w:hAnsi="宋体" w:cs="宋体"/>
          <w:bCs/>
          <w:color w:val="auto"/>
          <w:kern w:val="0"/>
          <w:szCs w:val="24"/>
          <w:highlight w:val="none"/>
          <w:u w:val="none"/>
        </w:rPr>
        <w:t>明书》，以及对该文件的有效修改或补充。</w:t>
      </w:r>
    </w:p>
    <w:p w14:paraId="6C3BEBB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代理）销售协议书》：指管理人统一编制的《浙银理财理财产品（代理）销售协议书》或代理销售机构接受产品管理人委托自行编制的《理财产品（代理）销售协议书》（文件名称以代理销售机构实际编制为准），以及对该文件的有效修改或补充。</w:t>
      </w:r>
    </w:p>
    <w:p w14:paraId="152F19C4">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5.《风险揭示书》：指管理人统一编制的《</w:t>
      </w: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none"/>
          <w:u w:val="none"/>
        </w:rPr>
        <w:t>风险揭示书》或代理销售机构接受产品管理人委托自行编制的《</w:t>
      </w: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none"/>
          <w:u w:val="none"/>
        </w:rPr>
        <w:t>风险揭示书》（文件名称以代理销售机构实际编制为准），以及对该文件的有效修改或补充。</w:t>
      </w:r>
    </w:p>
    <w:p w14:paraId="486F5B7E">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投资者权益须知》：指管理人统一编制的《理财产品投资者权益须知》或代理销售机构接受产品管理人委托自行编制的《理财产品投资者权益须知》（文件名称以代理销售机构实际编制为准），以及对该文件的有效修改或补充。</w:t>
      </w:r>
    </w:p>
    <w:p w14:paraId="18E2FC72">
      <w:pPr>
        <w:pStyle w:val="3"/>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理财产品用语 </w:t>
      </w:r>
    </w:p>
    <w:p w14:paraId="6125C716">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1.理财产品登记编码</w:t>
      </w:r>
      <w:r>
        <w:rPr>
          <w:rFonts w:hint="eastAsia" w:ascii="仿宋_GB2312" w:hAnsi="宋体" w:cs="宋体"/>
          <w:bCs/>
          <w:color w:val="auto"/>
          <w:kern w:val="0"/>
          <w:szCs w:val="24"/>
          <w:highlight w:val="none"/>
          <w:u w:val="none"/>
          <w:lang w:val="en-US" w:eastAsia="zh-CN"/>
        </w:rPr>
        <w:t>/产品登记编码</w:t>
      </w:r>
      <w:r>
        <w:rPr>
          <w:rFonts w:hint="eastAsia" w:ascii="仿宋_GB2312" w:hAnsi="宋体" w:cs="宋体"/>
          <w:bCs/>
          <w:color w:val="auto"/>
          <w:kern w:val="0"/>
          <w:szCs w:val="24"/>
          <w:highlight w:val="none"/>
          <w:u w:val="none"/>
        </w:rPr>
        <w:t>：指本款理财产品在全国银行业理财信息登记系统对理财产品进行信息登记后，由全国银行业理财信息登记系统发放的唯一性的理财产品编码。投资者可依据登记编码在中国理财网（www.chinawealth.com.cn）查询产品信息。</w:t>
      </w:r>
    </w:p>
    <w:p w14:paraId="68CE5858">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2.理财产品代码/产品代码：指产品管理人在全国银行业理财信息登记系统中为理财产品设置的内部识别码。</w:t>
      </w:r>
    </w:p>
    <w:p w14:paraId="3BA6F5BE">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3.理财产品销售代码/销售代码</w:t>
      </w:r>
      <w:r>
        <w:rPr>
          <w:rFonts w:hint="eastAsia" w:ascii="仿宋_GB2312" w:hAnsi="宋体" w:cs="宋体"/>
          <w:bCs/>
          <w:color w:val="auto"/>
          <w:kern w:val="0"/>
          <w:szCs w:val="24"/>
          <w:highlight w:val="none"/>
          <w:u w:val="none"/>
          <w:lang w:val="en-US" w:eastAsia="zh-CN"/>
        </w:rPr>
        <w:t>/份额代码</w:t>
      </w:r>
      <w:r>
        <w:rPr>
          <w:rFonts w:hint="eastAsia" w:ascii="仿宋_GB2312" w:hAnsi="宋体" w:cs="宋体"/>
          <w:bCs/>
          <w:color w:val="auto"/>
          <w:kern w:val="0"/>
          <w:szCs w:val="24"/>
          <w:highlight w:val="none"/>
          <w:u w:val="none"/>
        </w:rPr>
        <w:t>：指本款理财产品若设置不同产品份额类别，为在理财产品销售管理过程中区分不同产品份额类别，管理人在同一理财产品代码项下，为每类份额类别设置的唯一性内部识别码。</w:t>
      </w:r>
    </w:p>
    <w:p w14:paraId="0A1A95AC">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理财产品风险等级：理财产品风险等级为产品管理人和销售机构经过审慎评估后确定的产品风险等级。若本产品通过代理销售机构销售的，理财产品风险等级以代理销售机构最终披露的风险等级结果为准。产品管理人和代理销售机构对理财产品的风险等级评估结果不一致时，代理销售机构应采用对应较高风险的评级结果。</w:t>
      </w:r>
      <w:r>
        <w:rPr>
          <w:rFonts w:hint="eastAsia" w:ascii="宋体" w:hAnsi="宋体"/>
          <w:b/>
          <w:bCs/>
          <w:color w:val="auto"/>
          <w:szCs w:val="24"/>
          <w:highlight w:val="none"/>
          <w:u w:val="none"/>
        </w:rPr>
        <w:t>产品管理人在符合监管政策的前提下可对产品风险评级进行动态管理，如产品风险等级发生调整，将提前通过本《产品说明书》“信息披露”约定的方式通知投资者。</w:t>
      </w:r>
    </w:p>
    <w:p w14:paraId="2ED8BB5D">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5.投资者风险承受能力评估：指销售机构对理财投资者的风险承受能力进行评价的过程。</w:t>
      </w:r>
    </w:p>
    <w:p w14:paraId="0490A0C0">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6.理财产品份额：指投资者持有本理财产品的单位数额。投资者基于其所持有的理财产品单位数额享有理财产品利益、承担理财产品风险。理财产品份额四舍五入保留</w:t>
      </w: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none"/>
          <w:u w:val="none"/>
        </w:rPr>
        <w:t>小数。</w:t>
      </w:r>
    </w:p>
    <w:p w14:paraId="038D026C">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7.理财产品资产净值/理财资产净值/产品资产净值：理财产品资产净值=理财产品资产总值-理财产品负债总值。</w:t>
      </w:r>
    </w:p>
    <w:p w14:paraId="17BB2ECB">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理财产品资产总值是指理财产品拥有的各类有价证券、银行存款、应收款项及其他资产的价值总和。</w:t>
      </w:r>
    </w:p>
    <w:p w14:paraId="63ABD729">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理财产品负债总值是指理财产品运作及融资时形成的负债价值总和，包括融资资金本息、</w:t>
      </w:r>
      <w:r>
        <w:rPr>
          <w:rFonts w:hint="eastAsia" w:ascii="仿宋_GB2312" w:hAnsi="宋体" w:cs="宋体"/>
          <w:bCs/>
          <w:color w:val="auto"/>
          <w:kern w:val="0"/>
          <w:sz w:val="22"/>
          <w:highlight w:val="none"/>
          <w:u w:val="none"/>
        </w:rPr>
        <w:t>应付各项费用</w:t>
      </w:r>
      <w:r>
        <w:rPr>
          <w:rFonts w:hint="eastAsia" w:ascii="仿宋_GB2312" w:hAnsi="宋体" w:cs="宋体"/>
          <w:bCs/>
          <w:color w:val="auto"/>
          <w:kern w:val="0"/>
          <w:szCs w:val="24"/>
          <w:highlight w:val="none"/>
          <w:u w:val="none"/>
        </w:rPr>
        <w:t>（包括</w:t>
      </w:r>
      <w:r>
        <w:rPr>
          <w:rFonts w:hint="eastAsia" w:ascii="仿宋_GB2312" w:hAnsi="宋体" w:cs="宋体"/>
          <w:bCs/>
          <w:color w:val="auto"/>
          <w:kern w:val="0"/>
          <w:szCs w:val="24"/>
          <w:highlight w:val="none"/>
          <w:u w:val="none"/>
          <w:lang w:eastAsia="zh-CN"/>
        </w:rPr>
        <w:t>托管费</w:t>
      </w:r>
      <w:r>
        <w:rPr>
          <w:rFonts w:hint="eastAsia" w:ascii="仿宋_GB2312" w:hAnsi="宋体" w:cs="宋体"/>
          <w:bCs/>
          <w:color w:val="auto"/>
          <w:kern w:val="0"/>
          <w:szCs w:val="24"/>
          <w:highlight w:val="none"/>
          <w:u w:val="none"/>
        </w:rPr>
        <w:t>、认购费、</w:t>
      </w:r>
      <w:r>
        <w:rPr>
          <w:rFonts w:hint="eastAsia" w:ascii="仿宋_GB2312" w:hAnsi="宋体" w:cs="宋体"/>
          <w:bCs/>
          <w:color w:val="auto"/>
          <w:kern w:val="0"/>
          <w:szCs w:val="24"/>
          <w:highlight w:val="none"/>
          <w:u w:val="none"/>
          <w:lang w:eastAsia="zh-CN"/>
        </w:rPr>
        <w:t>固定管理费</w:t>
      </w:r>
      <w:r>
        <w:rPr>
          <w:rFonts w:hint="eastAsia"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lang w:eastAsia="zh-CN"/>
        </w:rPr>
        <w:t>浮动管理费</w:t>
      </w:r>
      <w:r>
        <w:rPr>
          <w:rFonts w:hint="eastAsia" w:ascii="仿宋_GB2312" w:hAnsi="宋体" w:cs="宋体"/>
          <w:bCs/>
          <w:color w:val="auto"/>
          <w:kern w:val="0"/>
          <w:szCs w:val="24"/>
          <w:highlight w:val="none"/>
          <w:u w:val="none"/>
        </w:rPr>
        <w:t>、其他费用等）、应付税金及其他应付款项等。</w:t>
      </w:r>
    </w:p>
    <w:p w14:paraId="77B8C1FF">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8.理财产品份额净值/理财份额净值/产品份额净值：指理财产品份额的单位净值，即每1份理财产品份额以人民币计价的价格。理财产品份额净值=理财资产净值/产品总份额。投资者按该份额净值进行理财产品申购、赎回。理财产品份额净值四舍五入保留</w:t>
      </w: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none"/>
          <w:u w:val="none"/>
        </w:rPr>
        <w:t>小数。</w:t>
      </w:r>
    </w:p>
    <w:p w14:paraId="74F2865D">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理财产品份额净值可以展示为</w:t>
      </w:r>
      <w:r>
        <w:rPr>
          <w:rFonts w:ascii="仿宋_GB2312" w:hAnsi="宋体" w:cs="宋体"/>
          <w:b/>
          <w:color w:val="auto"/>
          <w:kern w:val="0"/>
          <w:szCs w:val="24"/>
          <w:highlight w:val="none"/>
          <w:u w:val="none"/>
        </w:rPr>
        <w:t>当前理财产品份额净值</w:t>
      </w:r>
      <w:r>
        <w:rPr>
          <w:rFonts w:hint="eastAsia" w:ascii="仿宋_GB2312" w:hAnsi="宋体" w:cs="宋体"/>
          <w:bCs/>
          <w:color w:val="auto"/>
          <w:kern w:val="0"/>
          <w:szCs w:val="24"/>
          <w:highlight w:val="none"/>
          <w:u w:val="none"/>
        </w:rPr>
        <w:t>和</w:t>
      </w:r>
      <w:r>
        <w:rPr>
          <w:rFonts w:ascii="仿宋_GB2312" w:hAnsi="宋体" w:cs="宋体"/>
          <w:b/>
          <w:color w:val="auto"/>
          <w:kern w:val="0"/>
          <w:szCs w:val="24"/>
          <w:highlight w:val="none"/>
          <w:u w:val="none"/>
        </w:rPr>
        <w:t>累计理财产品份额净值</w:t>
      </w:r>
      <w:r>
        <w:rPr>
          <w:rFonts w:hint="eastAsia" w:ascii="仿宋_GB2312" w:hAnsi="宋体" w:cs="宋体"/>
          <w:bCs/>
          <w:color w:val="auto"/>
          <w:kern w:val="0"/>
          <w:szCs w:val="24"/>
          <w:highlight w:val="none"/>
          <w:u w:val="none"/>
        </w:rPr>
        <w:t>。</w:t>
      </w:r>
    </w:p>
    <w:p w14:paraId="22E49A59">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当前理财产品份额净值，指产品当前的份额净值。</w:t>
      </w:r>
    </w:p>
    <w:p w14:paraId="32F12F5B">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累计理财产品份额净值，指产品当前份额净值及产品成立到现在单位理财产品份额分红之和。</w:t>
      </w:r>
    </w:p>
    <w:p w14:paraId="69D5DDA3">
      <w:pPr>
        <w:tabs>
          <w:tab w:val="left" w:pos="709"/>
        </w:tabs>
        <w:snapToGrid w:val="0"/>
        <w:spacing w:line="360" w:lineRule="auto"/>
        <w:ind w:firstLine="422" w:firstLineChars="200"/>
        <w:rPr>
          <w:rFonts w:ascii="仿宋_GB2312" w:hAnsi="宋体" w:cs="宋体"/>
          <w:b/>
          <w:color w:val="auto"/>
          <w:kern w:val="0"/>
          <w:szCs w:val="24"/>
          <w:highlight w:val="none"/>
          <w:u w:val="none"/>
        </w:rPr>
      </w:pPr>
      <w:r>
        <w:rPr>
          <w:rFonts w:ascii="仿宋_GB2312" w:hAnsi="宋体" w:cs="宋体"/>
          <w:b/>
          <w:color w:val="auto"/>
          <w:kern w:val="0"/>
          <w:szCs w:val="24"/>
          <w:highlight w:val="none"/>
          <w:u w:val="none"/>
        </w:rPr>
        <w:t>（注：若无特别说明，理财产品份额净值通常指当前理财产品份额净值）</w:t>
      </w:r>
    </w:p>
    <w:p w14:paraId="014AFDD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9.理财产品估值：指计算评估理财产品资产和理财产品负债的价值，以确定理财产品份额净值的过程。</w:t>
      </w:r>
    </w:p>
    <w:p w14:paraId="487B14DC">
      <w:pPr>
        <w:tabs>
          <w:tab w:val="left" w:pos="709"/>
        </w:tabs>
        <w:snapToGrid w:val="0"/>
        <w:spacing w:line="360" w:lineRule="auto"/>
        <w:ind w:firstLine="420" w:firstLineChars="200"/>
        <w:rPr>
          <w:rFonts w:ascii="仿宋_GB2312" w:hAnsi="宋体" w:cs="宋体"/>
          <w:b/>
          <w:color w:val="auto"/>
          <w:kern w:val="0"/>
          <w:szCs w:val="24"/>
          <w:highlight w:val="none"/>
          <w:u w:val="none"/>
        </w:rPr>
      </w:pPr>
      <w:r>
        <w:rPr>
          <w:rFonts w:hint="eastAsia" w:ascii="仿宋_GB2312" w:hAnsi="宋体" w:cs="宋体"/>
          <w:bCs/>
          <w:color w:val="auto"/>
          <w:kern w:val="0"/>
          <w:szCs w:val="24"/>
          <w:highlight w:val="none"/>
          <w:u w:val="none"/>
        </w:rPr>
        <w:t>10.业绩比较基准：指管理人基于过往投资经验及对产品存续期投资市场波动的预判而对本产品所设定的投资目标。</w:t>
      </w:r>
      <w:r>
        <w:rPr>
          <w:rFonts w:ascii="仿宋_GB2312" w:hAnsi="宋体" w:cs="宋体"/>
          <w:b/>
          <w:color w:val="auto"/>
          <w:kern w:val="0"/>
          <w:szCs w:val="24"/>
          <w:highlight w:val="none"/>
          <w:u w:val="none"/>
        </w:rPr>
        <w:t>业绩比较基准不代表理财产品未来表现，不等于理财产品实际收益，不作为产品收益的业绩保证，投资须谨慎。</w:t>
      </w:r>
    </w:p>
    <w:p w14:paraId="468A6046">
      <w:pPr>
        <w:tabs>
          <w:tab w:val="left" w:pos="709"/>
        </w:tabs>
        <w:snapToGrid w:val="0"/>
        <w:spacing w:line="360" w:lineRule="auto"/>
        <w:ind w:firstLine="420" w:firstLineChars="200"/>
        <w:rPr>
          <w:rFonts w:ascii="仿宋_GB2312" w:hAnsi="宋体" w:cs="宋体"/>
          <w:b/>
          <w:color w:val="auto"/>
          <w:kern w:val="0"/>
          <w:szCs w:val="24"/>
          <w:highlight w:val="none"/>
          <w:u w:val="none"/>
        </w:rPr>
      </w:pPr>
      <w:r>
        <w:rPr>
          <w:rFonts w:ascii="仿宋_GB2312" w:hAnsi="宋体" w:cs="宋体"/>
          <w:bCs/>
          <w:color w:val="auto"/>
          <w:kern w:val="0"/>
          <w:szCs w:val="24"/>
          <w:highlight w:val="none"/>
          <w:u w:val="none"/>
        </w:rPr>
        <w:t>11.</w:t>
      </w:r>
      <w:r>
        <w:rPr>
          <w:rFonts w:hint="eastAsia" w:ascii="仿宋_GB2312" w:hAnsi="宋体" w:cs="宋体"/>
          <w:bCs/>
          <w:color w:val="auto"/>
          <w:kern w:val="0"/>
          <w:szCs w:val="24"/>
          <w:highlight w:val="none"/>
          <w:u w:val="none"/>
          <w:lang w:eastAsia="zh-CN"/>
        </w:rPr>
        <w:t>浮动管理费</w:t>
      </w:r>
      <w:r>
        <w:rPr>
          <w:rFonts w:ascii="仿宋_GB2312" w:hAnsi="宋体" w:cs="宋体"/>
          <w:bCs/>
          <w:color w:val="auto"/>
          <w:kern w:val="0"/>
          <w:szCs w:val="24"/>
          <w:highlight w:val="none"/>
          <w:u w:val="none"/>
        </w:rPr>
        <w:t>计提基准：指管理人收取</w:t>
      </w:r>
      <w:r>
        <w:rPr>
          <w:rFonts w:hint="eastAsia" w:ascii="仿宋_GB2312" w:hAnsi="宋体" w:cs="宋体"/>
          <w:bCs/>
          <w:color w:val="auto"/>
          <w:kern w:val="0"/>
          <w:szCs w:val="24"/>
          <w:highlight w:val="none"/>
          <w:u w:val="none"/>
          <w:lang w:eastAsia="zh-CN"/>
        </w:rPr>
        <w:t>浮动管理费</w:t>
      </w:r>
      <w:r>
        <w:rPr>
          <w:rFonts w:ascii="仿宋_GB2312" w:hAnsi="宋体" w:cs="宋体"/>
          <w:bCs/>
          <w:color w:val="auto"/>
          <w:kern w:val="0"/>
          <w:szCs w:val="24"/>
          <w:highlight w:val="none"/>
          <w:u w:val="none"/>
        </w:rPr>
        <w:t>的参照相关数值标准。</w:t>
      </w:r>
      <w:r>
        <w:rPr>
          <w:rFonts w:hint="eastAsia" w:ascii="仿宋_GB2312" w:hAnsi="宋体" w:cs="宋体"/>
          <w:b/>
          <w:color w:val="auto"/>
          <w:kern w:val="0"/>
          <w:szCs w:val="24"/>
          <w:highlight w:val="none"/>
          <w:u w:val="none"/>
          <w:lang w:eastAsia="zh-CN"/>
        </w:rPr>
        <w:t>浮动管理费</w:t>
      </w:r>
      <w:r>
        <w:rPr>
          <w:rFonts w:ascii="仿宋_GB2312" w:hAnsi="宋体" w:cs="宋体"/>
          <w:b/>
          <w:color w:val="auto"/>
          <w:kern w:val="0"/>
          <w:szCs w:val="24"/>
          <w:highlight w:val="none"/>
          <w:u w:val="none"/>
        </w:rPr>
        <w:t>计提基准不代表理财产品未来表现，不等于理财产品实际收益，不作为产品收益的业绩保证，投资须谨慎。</w:t>
      </w:r>
    </w:p>
    <w:p w14:paraId="2DAC356D">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12.理财产品利益/理财利益</w:t>
      </w:r>
      <w:r>
        <w:rPr>
          <w:rFonts w:hint="eastAsia" w:ascii="仿宋_GB2312" w:hAnsi="宋体" w:cs="宋体"/>
          <w:bCs/>
          <w:color w:val="auto"/>
          <w:kern w:val="0"/>
          <w:szCs w:val="24"/>
          <w:highlight w:val="none"/>
          <w:u w:val="none"/>
          <w:lang w:val="en-US" w:eastAsia="zh-CN"/>
        </w:rPr>
        <w:t>/理财产品收益/理财收益</w:t>
      </w:r>
      <w:r>
        <w:rPr>
          <w:rFonts w:hint="eastAsia" w:ascii="仿宋_GB2312" w:hAnsi="宋体" w:cs="宋体"/>
          <w:bCs/>
          <w:color w:val="auto"/>
          <w:kern w:val="0"/>
          <w:szCs w:val="24"/>
          <w:highlight w:val="none"/>
          <w:u w:val="none"/>
        </w:rPr>
        <w:t>：指投资者因持有理财产品份额，按照销售文件约定取得或有权取得的理财产品管理人分配的理财产品资产。</w:t>
      </w:r>
    </w:p>
    <w:p w14:paraId="7ABF5BC2">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13.</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分配：指产品管理人向投资者进行理财产品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 xml:space="preserve">分配。 </w:t>
      </w:r>
    </w:p>
    <w:p w14:paraId="466D7E1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14.期间分配：指在理财产品终止日（不含当日）前的理财产品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 xml:space="preserve">分配。 </w:t>
      </w:r>
    </w:p>
    <w:p w14:paraId="63C681C1">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15.终止分配：指在理财产品终止日当日及之后的理财产品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w:t>
      </w:r>
    </w:p>
    <w:p w14:paraId="0A1168F3">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16.认购：指投资者根据本协议约定在认购期/募集期内申请购买本产品理财产品份额的行为。 </w:t>
      </w:r>
    </w:p>
    <w:p w14:paraId="65CE74BF">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17.申购：指理财产品成立后，在理财产品申购期内，投资者申请购买理财产品份额的行为。</w:t>
      </w:r>
    </w:p>
    <w:p w14:paraId="4689C376">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首次申购，指未进行认购的投资者，在理财产品成立后申请购买理财产品份额的行为。投资者全额赎回不再持有理财产品份额后再次申购的，视同首次申购处理。</w:t>
      </w:r>
    </w:p>
    <w:p w14:paraId="544D0EA1">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追加申购，指已经完成认购或首次申购的投资者，在理财产品成立后申请购买理财产品份额的行为。</w:t>
      </w:r>
    </w:p>
    <w:p w14:paraId="5C8AFF93">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18.赎回：指理财产品成立后，在理财产品赎回期内，投资者申请赎回理财产品份额的行为，即投资者申请将理财产品份额兑换为现金。</w:t>
      </w:r>
    </w:p>
    <w:p w14:paraId="3647354D">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19.</w:t>
      </w:r>
      <w:r>
        <w:rPr>
          <w:rFonts w:ascii="仿宋_GB2312" w:hAnsi="宋体" w:cs="宋体"/>
          <w:bCs/>
          <w:kern w:val="0"/>
          <w:szCs w:val="24"/>
          <w:highlight w:val="none"/>
        </w:rPr>
        <w:t>巨额赎回：</w:t>
      </w:r>
      <w:r>
        <w:rPr>
          <w:rFonts w:hint="eastAsia" w:ascii="仿宋_GB2312" w:hAnsi="宋体" w:cs="宋体"/>
          <w:bCs/>
          <w:kern w:val="0"/>
          <w:szCs w:val="24"/>
          <w:highlight w:val="none"/>
        </w:rPr>
        <w:t>指</w:t>
      </w:r>
      <w:r>
        <w:rPr>
          <w:rFonts w:ascii="仿宋_GB2312" w:hAnsi="宋体" w:cs="宋体"/>
          <w:bCs/>
          <w:kern w:val="0"/>
          <w:szCs w:val="24"/>
          <w:highlight w:val="none"/>
        </w:rPr>
        <w:t>在理财产品存续期内，</w:t>
      </w:r>
      <w:r>
        <w:rPr>
          <w:rFonts w:hint="eastAsia" w:ascii="仿宋_GB2312" w:hAnsi="宋体" w:cs="宋体"/>
          <w:bCs/>
          <w:kern w:val="0"/>
          <w:szCs w:val="24"/>
          <w:highlight w:val="none"/>
        </w:rPr>
        <w:t>单个申购、赎回期内产品净赎回申请（</w:t>
      </w:r>
      <w:r>
        <w:rPr>
          <w:rFonts w:ascii="仿宋_GB2312" w:hAnsi="宋体" w:cs="宋体"/>
          <w:bCs/>
          <w:kern w:val="0"/>
          <w:szCs w:val="24"/>
          <w:highlight w:val="none"/>
        </w:rPr>
        <w:t>赎回</w:t>
      </w:r>
      <w:r>
        <w:rPr>
          <w:rFonts w:hint="eastAsia" w:ascii="仿宋_GB2312" w:hAnsi="宋体" w:cs="宋体"/>
          <w:bCs/>
          <w:kern w:val="0"/>
          <w:szCs w:val="24"/>
          <w:highlight w:val="none"/>
        </w:rPr>
        <w:t>申请总份额扣除申购总份额后的余额</w:t>
      </w:r>
      <w:r>
        <w:rPr>
          <w:rFonts w:ascii="仿宋_GB2312" w:hAnsi="宋体" w:cs="宋体"/>
          <w:bCs/>
          <w:kern w:val="0"/>
          <w:szCs w:val="24"/>
          <w:highlight w:val="none"/>
        </w:rPr>
        <w:t>,下同）</w:t>
      </w:r>
      <w:r>
        <w:rPr>
          <w:rFonts w:hint="eastAsia" w:ascii="仿宋_GB2312" w:hAnsi="宋体" w:cs="宋体"/>
          <w:bCs/>
          <w:kern w:val="0"/>
          <w:szCs w:val="24"/>
          <w:highlight w:val="none"/>
        </w:rPr>
        <w:t>超过该申购、赎回期内的开放日前一日终理财产品总份额的</w:t>
      </w:r>
      <w:r>
        <w:rPr>
          <w:rFonts w:ascii="仿宋_GB2312" w:hAnsi="宋体" w:cs="宋体"/>
          <w:bCs/>
          <w:kern w:val="0"/>
          <w:szCs w:val="24"/>
          <w:highlight w:val="none"/>
        </w:rPr>
        <w:t>10</w:t>
      </w:r>
      <w:r>
        <w:rPr>
          <w:rFonts w:hint="eastAsia" w:ascii="仿宋_GB2312" w:hAnsi="宋体" w:cs="宋体"/>
          <w:bCs/>
          <w:kern w:val="0"/>
          <w:szCs w:val="24"/>
          <w:highlight w:val="none"/>
        </w:rPr>
        <w:t>％的赎回行为，国家金融监督管理总局另有规定的除外。</w:t>
      </w:r>
    </w:p>
    <w:p w14:paraId="26D5B77A">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20.流动性受限资产：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14:paraId="765C53CD">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21.7个工作日可变现资产：包括可在交易所、银行间市场正常交易的股票、债券、非金融企业债务融资工具、期货及期权合约以及同业存单，7个工作日内到期或可支取的买入返售、银行存款，7个工作日内能够确认收到的各类应收款项等。</w:t>
      </w:r>
    </w:p>
    <w:p w14:paraId="70F02063">
      <w:pPr>
        <w:numPr>
          <w:ilvl w:val="-1"/>
          <w:numId w:val="0"/>
        </w:numPr>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22.</w:t>
      </w:r>
      <w:r>
        <w:rPr>
          <w:rFonts w:hint="eastAsia" w:ascii="仿宋_GB2312" w:hAnsi="宋体" w:cs="宋体"/>
          <w:bCs/>
          <w:color w:val="auto"/>
          <w:kern w:val="0"/>
          <w:szCs w:val="24"/>
          <w:highlight w:val="none"/>
          <w:u w:val="none"/>
        </w:rPr>
        <w:t>摆动定价机制：指当开放式公募理财产品遭遇大额认/申购或赎回时，通过调整理财产品份额净值的方式，将理财产品调整投资组合的市场冲击成本分配给实际认/申购、赎回的投资者，从而减少对存量理财产品份额持有人利益的不利影响，确保投资者的合法权益不受损害并得到公平对待。</w:t>
      </w:r>
    </w:p>
    <w:p w14:paraId="61FE573F">
      <w:pPr>
        <w:keepNext w:val="0"/>
        <w:keepLines w:val="0"/>
        <w:widowControl/>
        <w:numPr>
          <w:ilvl w:val="0"/>
          <w:numId w:val="0"/>
        </w:numPr>
        <w:suppressLineNumbers w:val="0"/>
        <w:tabs>
          <w:tab w:val="left" w:pos="709"/>
        </w:tabs>
        <w:snapToGrid w:val="0"/>
        <w:spacing w:line="360" w:lineRule="auto"/>
        <w:ind w:firstLine="420" w:firstLineChars="200"/>
        <w:jc w:val="left"/>
        <w:rPr>
          <w:rFonts w:hint="eastAsia" w:ascii="仿宋_GB2312" w:hAnsi="宋体" w:eastAsia="仿宋_GB2312" w:cs="宋体"/>
          <w:bCs/>
          <w:color w:val="auto"/>
          <w:kern w:val="0"/>
          <w:sz w:val="24"/>
          <w:szCs w:val="24"/>
          <w:highlight w:val="none"/>
          <w:u w:val="none"/>
          <w:lang w:val="en-US" w:eastAsia="zh-CN" w:bidi="ar"/>
        </w:rPr>
      </w:pPr>
      <w:r>
        <w:rPr>
          <w:rFonts w:hint="eastAsia" w:ascii="仿宋_GB2312" w:hAnsi="宋体" w:cs="宋体"/>
          <w:bCs/>
          <w:color w:val="auto"/>
          <w:kern w:val="0"/>
          <w:szCs w:val="24"/>
          <w:highlight w:val="none"/>
          <w:u w:val="none"/>
          <w:lang w:val="en-US" w:eastAsia="zh-CN"/>
        </w:rPr>
        <w:t>23.</w:t>
      </w:r>
      <w:r>
        <w:rPr>
          <w:rFonts w:hint="eastAsia" w:ascii="仿宋_GB2312" w:hAnsi="宋体" w:eastAsia="仿宋_GB2312" w:cs="宋体"/>
          <w:b w:val="0"/>
          <w:bCs/>
          <w:color w:val="auto"/>
          <w:kern w:val="0"/>
          <w:sz w:val="24"/>
          <w:szCs w:val="24"/>
          <w:highlight w:val="none"/>
          <w:u w:val="none"/>
          <w:lang w:val="en-US" w:eastAsia="zh-CN" w:bidi="ar"/>
        </w:rPr>
        <w:t>短期赎回费机制：</w:t>
      </w:r>
      <w:r>
        <w:rPr>
          <w:rFonts w:hint="eastAsia" w:ascii="仿宋_GB2312" w:hAnsi="宋体" w:eastAsia="仿宋_GB2312" w:cs="宋体"/>
          <w:bCs/>
          <w:color w:val="auto"/>
          <w:kern w:val="0"/>
          <w:sz w:val="24"/>
          <w:szCs w:val="24"/>
          <w:highlight w:val="none"/>
          <w:u w:val="none"/>
          <w:lang w:val="en-US" w:eastAsia="zh-CN" w:bidi="ar"/>
        </w:rPr>
        <w:t>指当理财计划发生巨额赎回或管理人认为可能导致理财计划流动性风险的其他情形下，理财计划管理人可临时性收取短期赎回费以应对流动性风险事件，并将上述产生费用全额计入理财计划</w:t>
      </w:r>
      <w:r>
        <w:rPr>
          <w:rFonts w:hint="eastAsia" w:ascii="仿宋_GB2312" w:hAnsi="宋体" w:cs="宋体"/>
          <w:bCs/>
          <w:color w:val="auto"/>
          <w:kern w:val="0"/>
          <w:sz w:val="24"/>
          <w:szCs w:val="24"/>
          <w:highlight w:val="none"/>
          <w:u w:val="none"/>
          <w:lang w:val="en-US" w:eastAsia="zh-CN" w:bidi="ar"/>
        </w:rPr>
        <w:t>财产。</w:t>
      </w:r>
      <w:r>
        <w:rPr>
          <w:rFonts w:hint="eastAsia" w:ascii="仿宋_GB2312" w:hAnsi="宋体" w:eastAsia="仿宋_GB2312" w:cs="宋体"/>
          <w:bCs/>
          <w:color w:val="auto"/>
          <w:kern w:val="0"/>
          <w:sz w:val="24"/>
          <w:szCs w:val="24"/>
          <w:highlight w:val="none"/>
          <w:u w:val="none"/>
          <w:lang w:val="en-US" w:eastAsia="zh-CN" w:bidi="ar"/>
        </w:rPr>
        <w:t>在此情形下，投资者在提交赎回申请时，实际赎回金额可能少于按照赎回申请当日理财产品份额净值计算出的赎回金额。</w:t>
      </w:r>
    </w:p>
    <w:p w14:paraId="1A86F7DD">
      <w:pPr>
        <w:keepNext w:val="0"/>
        <w:keepLines w:val="0"/>
        <w:widowControl/>
        <w:numPr>
          <w:ilvl w:val="0"/>
          <w:numId w:val="0"/>
        </w:numPr>
        <w:suppressLineNumbers w:val="0"/>
        <w:tabs>
          <w:tab w:val="left" w:pos="709"/>
        </w:tabs>
        <w:snapToGrid w:val="0"/>
        <w:spacing w:line="360" w:lineRule="auto"/>
        <w:ind w:firstLine="420" w:firstLineChars="200"/>
        <w:jc w:val="left"/>
        <w:rPr>
          <w:rFonts w:hint="eastAsia" w:ascii="仿宋_GB2312" w:hAnsi="宋体" w:eastAsia="仿宋_GB2312" w:cs="宋体"/>
          <w:bCs/>
          <w:color w:val="auto"/>
          <w:kern w:val="0"/>
          <w:sz w:val="24"/>
          <w:szCs w:val="24"/>
          <w:highlight w:val="none"/>
          <w:u w:val="none"/>
          <w:lang w:val="en-US" w:eastAsia="zh-CN" w:bidi="ar"/>
        </w:rPr>
      </w:pPr>
      <w:r>
        <w:rPr>
          <w:rFonts w:hint="eastAsia" w:ascii="仿宋_GB2312" w:hAnsi="宋体" w:cs="宋体"/>
          <w:bCs/>
          <w:color w:val="auto"/>
          <w:kern w:val="0"/>
          <w:szCs w:val="24"/>
          <w:highlight w:val="none"/>
          <w:u w:val="none"/>
          <w:lang w:val="en-US" w:eastAsia="zh-CN"/>
        </w:rPr>
        <w:t>23.</w:t>
      </w:r>
      <w:r>
        <w:rPr>
          <w:rFonts w:hint="eastAsia" w:ascii="仿宋_GB2312" w:hAnsi="宋体" w:eastAsia="仿宋_GB2312" w:cs="宋体"/>
          <w:b w:val="0"/>
          <w:bCs/>
          <w:color w:val="auto"/>
          <w:kern w:val="0"/>
          <w:sz w:val="24"/>
          <w:szCs w:val="24"/>
          <w:highlight w:val="none"/>
          <w:u w:val="none"/>
          <w:lang w:val="en-US" w:eastAsia="zh-CN" w:bidi="ar"/>
        </w:rPr>
        <w:t>短期赎回费机制：</w:t>
      </w:r>
      <w:r>
        <w:rPr>
          <w:rFonts w:hint="eastAsia" w:ascii="仿宋_GB2312" w:hAnsi="宋体" w:eastAsia="仿宋_GB2312" w:cs="宋体"/>
          <w:bCs/>
          <w:color w:val="auto"/>
          <w:kern w:val="0"/>
          <w:sz w:val="24"/>
          <w:szCs w:val="24"/>
          <w:highlight w:val="none"/>
          <w:u w:val="none"/>
          <w:lang w:val="en-US" w:eastAsia="zh-CN" w:bidi="ar"/>
        </w:rPr>
        <w:t>指当理财计划发生巨额赎回或管理人认为可能导致理财计划流动性风险的其他情形下，理财计划管理人可临时性收取短期赎回费以应对流动性风险事件，并将上述产生费用全额计入理财计划</w:t>
      </w:r>
      <w:r>
        <w:rPr>
          <w:rFonts w:hint="eastAsia" w:ascii="仿宋_GB2312" w:hAnsi="宋体" w:cs="宋体"/>
          <w:bCs/>
          <w:color w:val="auto"/>
          <w:kern w:val="0"/>
          <w:sz w:val="24"/>
          <w:szCs w:val="24"/>
          <w:highlight w:val="none"/>
          <w:u w:val="none"/>
          <w:lang w:val="en-US" w:eastAsia="zh-CN" w:bidi="ar"/>
        </w:rPr>
        <w:t>财产。</w:t>
      </w:r>
      <w:r>
        <w:rPr>
          <w:rFonts w:hint="eastAsia" w:ascii="仿宋_GB2312" w:hAnsi="宋体" w:eastAsia="仿宋_GB2312" w:cs="宋体"/>
          <w:bCs/>
          <w:color w:val="auto"/>
          <w:kern w:val="0"/>
          <w:sz w:val="24"/>
          <w:szCs w:val="24"/>
          <w:highlight w:val="none"/>
          <w:u w:val="none"/>
          <w:lang w:val="en-US" w:eastAsia="zh-CN" w:bidi="ar"/>
        </w:rPr>
        <w:t>在此情形下，投资者在提交赎回申请时，实际赎回金额可能少于按照赎回申请当日理财产品份额净值计算出的赎回金额。</w:t>
      </w:r>
    </w:p>
    <w:p w14:paraId="4CE73895">
      <w:pPr>
        <w:pStyle w:val="3"/>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期间与日期 </w:t>
      </w:r>
    </w:p>
    <w:p w14:paraId="69577592">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1.日：指自然日。</w:t>
      </w:r>
    </w:p>
    <w:p w14:paraId="3611987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2.交易日：指证券交易所的正常开盘交易日。 </w:t>
      </w:r>
    </w:p>
    <w:p w14:paraId="34EA6BB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3.工作日：指国家法定工作日。 </w:t>
      </w:r>
    </w:p>
    <w:p w14:paraId="2699A39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4.成立日：指达到《产品说明书》约定的成立条件后本产品开始运作的日期。</w:t>
      </w:r>
    </w:p>
    <w:p w14:paraId="78FA2481">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5.到期日/终止日：指本产品终止的日期，包括理财产品正常到期之日、提前终止之日及延期终止之日。根据《产品说明书》的约定，本产品</w:t>
      </w: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yellow"/>
          <w:u w:val="none"/>
          <w:lang w:eastAsia="zh-CN"/>
        </w:rPr>
        <w:t>期限</w:t>
      </w: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none"/>
          <w:u w:val="none"/>
        </w:rPr>
        <w:t>，但管理人有权在发生终止事件时终止该理财产品。如管理人终止理财产品，将通过约定方式向投资者进行信息披露。</w:t>
      </w:r>
    </w:p>
    <w:p w14:paraId="3261C0D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分配基准日</w:t>
      </w:r>
      <w:r>
        <w:rPr>
          <w:rFonts w:hint="eastAsia" w:ascii="仿宋_GB2312" w:hAnsi="宋体" w:cs="宋体"/>
          <w:bCs/>
          <w:color w:val="auto"/>
          <w:kern w:val="0"/>
          <w:szCs w:val="24"/>
          <w:highlight w:val="none"/>
          <w:u w:val="none"/>
          <w:lang w:val="en-US" w:eastAsia="zh-CN"/>
        </w:rPr>
        <w:t>/</w:t>
      </w:r>
      <w:r>
        <w:rPr>
          <w:rFonts w:hint="eastAsia" w:ascii="仿宋_GB2312" w:hAnsi="宋体" w:cs="宋体"/>
          <w:bCs/>
          <w:color w:val="auto"/>
          <w:kern w:val="0"/>
          <w:szCs w:val="24"/>
          <w:highlight w:val="none"/>
          <w:u w:val="none"/>
        </w:rPr>
        <w:t>分配基准日：指本产品管理人以该日日终产品份额净值计算并确定可供分配的投资期间理财</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的日期。</w:t>
      </w:r>
    </w:p>
    <w:p w14:paraId="42EF06CB">
      <w:pPr>
        <w:tabs>
          <w:tab w:val="left" w:pos="709"/>
        </w:tabs>
        <w:snapToGrid w:val="0"/>
        <w:spacing w:line="360" w:lineRule="auto"/>
        <w:ind w:firstLine="420" w:firstLineChars="200"/>
        <w:rPr>
          <w:rFonts w:hint="eastAsia" w:ascii="仿宋_GB2312" w:hAnsi="宋体" w:eastAsia="仿宋_GB2312" w:cs="宋体"/>
          <w:bCs/>
          <w:color w:val="auto"/>
          <w:kern w:val="0"/>
          <w:szCs w:val="24"/>
          <w:highlight w:val="none"/>
          <w:u w:val="none"/>
          <w:lang w:eastAsia="zh-CN"/>
        </w:rPr>
      </w:pPr>
      <w:r>
        <w:rPr>
          <w:rFonts w:hint="eastAsia" w:ascii="仿宋_GB2312" w:hAnsi="宋体" w:cs="宋体"/>
          <w:bCs/>
          <w:color w:val="auto"/>
          <w:kern w:val="0"/>
          <w:szCs w:val="24"/>
          <w:highlight w:val="none"/>
          <w:u w:val="none"/>
          <w:lang w:val="en-US" w:eastAsia="zh-CN"/>
        </w:rPr>
        <w:t>7.</w:t>
      </w:r>
      <w:r>
        <w:rPr>
          <w:rFonts w:hint="eastAsia" w:ascii="仿宋_GB2312" w:hAnsi="宋体" w:cs="宋体"/>
          <w:bCs/>
          <w:color w:val="auto"/>
          <w:kern w:val="0"/>
          <w:szCs w:val="24"/>
          <w:highlight w:val="none"/>
          <w:u w:val="none"/>
        </w:rPr>
        <w:t>除权日</w:t>
      </w:r>
      <w:r>
        <w:rPr>
          <w:rFonts w:hint="eastAsia" w:ascii="仿宋_GB2312" w:hAnsi="宋体" w:cs="宋体"/>
          <w:bCs/>
          <w:color w:val="auto"/>
          <w:kern w:val="0"/>
          <w:szCs w:val="24"/>
          <w:highlight w:val="none"/>
          <w:u w:val="none"/>
          <w:lang w:eastAsia="zh-CN"/>
        </w:rPr>
        <w:t>：指本产品的份额净值扣除收益分配金额的日期。</w:t>
      </w:r>
    </w:p>
    <w:p w14:paraId="584187BC">
      <w:pPr>
        <w:tabs>
          <w:tab w:val="left" w:pos="709"/>
        </w:tabs>
        <w:snapToGrid w:val="0"/>
        <w:spacing w:line="360" w:lineRule="auto"/>
        <w:ind w:firstLine="420" w:firstLineChars="200"/>
        <w:rPr>
          <w:rFonts w:hint="eastAsia" w:ascii="仿宋_GB2312" w:hAnsi="宋体" w:eastAsia="仿宋_GB2312" w:cs="宋体"/>
          <w:bCs/>
          <w:color w:val="auto"/>
          <w:kern w:val="0"/>
          <w:szCs w:val="24"/>
          <w:highlight w:val="none"/>
          <w:u w:val="none"/>
          <w:lang w:eastAsia="zh-CN"/>
        </w:rPr>
      </w:pPr>
      <w:r>
        <w:rPr>
          <w:rFonts w:hint="eastAsia" w:ascii="仿宋_GB2312" w:hAnsi="宋体" w:cs="宋体"/>
          <w:bCs/>
          <w:color w:val="auto"/>
          <w:kern w:val="0"/>
          <w:szCs w:val="24"/>
          <w:highlight w:val="none"/>
          <w:u w:val="none"/>
          <w:lang w:val="en-US" w:eastAsia="zh-CN"/>
        </w:rPr>
        <w:t>8.</w:t>
      </w:r>
      <w:r>
        <w:rPr>
          <w:rFonts w:hint="eastAsia" w:ascii="仿宋_GB2312" w:hAnsi="宋体" w:cs="宋体"/>
          <w:bCs/>
          <w:color w:val="auto"/>
          <w:kern w:val="0"/>
          <w:szCs w:val="24"/>
          <w:highlight w:val="none"/>
          <w:u w:val="none"/>
          <w:lang w:eastAsia="zh-CN"/>
        </w:rPr>
        <w:t>权益登记日：指本产品理财产品收益分配时，权益登记日登记在册的理财产品份额持有人为分配对象。</w:t>
      </w:r>
    </w:p>
    <w:p w14:paraId="4E2C0DAB">
      <w:pPr>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9</w:t>
      </w:r>
      <w:r>
        <w:rPr>
          <w:rFonts w:hint="eastAsia" w:ascii="仿宋_GB2312" w:hAnsi="宋体" w:cs="宋体"/>
          <w:bCs/>
          <w:color w:val="auto"/>
          <w:kern w:val="0"/>
          <w:szCs w:val="24"/>
          <w:highlight w:val="none"/>
          <w:u w:val="none"/>
        </w:rPr>
        <w:t>.分配日：指产品管理人向投资者进行理财产品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分配的日期。</w:t>
      </w:r>
    </w:p>
    <w:p w14:paraId="1BD7C3C1">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10</w:t>
      </w:r>
      <w:r>
        <w:rPr>
          <w:rFonts w:hint="eastAsia" w:ascii="仿宋_GB2312" w:hAnsi="宋体" w:cs="宋体"/>
          <w:bCs/>
          <w:color w:val="auto"/>
          <w:kern w:val="0"/>
          <w:szCs w:val="24"/>
          <w:highlight w:val="none"/>
          <w:u w:val="none"/>
        </w:rPr>
        <w:t>.募集期/认购期：指理财产品成立前，理财产品管理人接受理财产品认购的时间。但在该期间内如认购人提交认购申请的认购份额提前达到《产品说明书》所载的发行规模上限的，管理人有权选择认购期提前结束并停止接受认购申请。该情形下，产品成立日维持《产品说明书》的约定，保持不变。</w:t>
      </w:r>
    </w:p>
    <w:p w14:paraId="603DD83F">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11</w:t>
      </w:r>
      <w:r>
        <w:rPr>
          <w:rFonts w:hint="eastAsia" w:ascii="仿宋_GB2312" w:hAnsi="宋体" w:cs="宋体"/>
          <w:bCs/>
          <w:color w:val="auto"/>
          <w:kern w:val="0"/>
          <w:szCs w:val="24"/>
          <w:highlight w:val="none"/>
          <w:u w:val="none"/>
        </w:rPr>
        <w:t>.持有期：指自产品成立日/申购确认日起，投资者持有该产品份额的期间。</w:t>
      </w:r>
    </w:p>
    <w:p w14:paraId="7B4DE716">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lang w:val="en-US" w:eastAsia="zh-CN"/>
        </w:rPr>
        <w:t>2</w:t>
      </w:r>
      <w:r>
        <w:rPr>
          <w:rFonts w:hint="eastAsia" w:ascii="仿宋_GB2312" w:hAnsi="宋体" w:cs="宋体"/>
          <w:bCs/>
          <w:color w:val="auto"/>
          <w:kern w:val="0"/>
          <w:szCs w:val="24"/>
          <w:highlight w:val="none"/>
          <w:u w:val="none"/>
        </w:rPr>
        <w:t>.最短</w:t>
      </w:r>
      <w:r>
        <w:rPr>
          <w:rFonts w:ascii="仿宋_GB2312" w:hAnsi="宋体" w:cs="宋体"/>
          <w:bCs/>
          <w:color w:val="auto"/>
          <w:kern w:val="0"/>
          <w:szCs w:val="24"/>
          <w:highlight w:val="none"/>
          <w:u w:val="none"/>
        </w:rPr>
        <w:t>持有期：</w:t>
      </w:r>
      <w:r>
        <w:rPr>
          <w:rFonts w:hint="eastAsia" w:ascii="仿宋_GB2312" w:hAnsi="宋体" w:cs="宋体"/>
          <w:bCs/>
          <w:color w:val="auto"/>
          <w:kern w:val="0"/>
          <w:szCs w:val="24"/>
          <w:highlight w:val="none"/>
          <w:u w:val="none"/>
        </w:rPr>
        <w:t>指自产品成立日/申购确认日起，投资者持有的产品份额被锁定持有的最短期间。在最短持有期内，投资者不能提出赎回申请，最短持有期届满后，投资者可赎回该等份额。</w:t>
      </w:r>
    </w:p>
    <w:p w14:paraId="77D84F8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lang w:val="en-US" w:eastAsia="zh-CN"/>
        </w:rPr>
        <w:t>3</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投资周期：投资周期指投资者持有理财产品份额所对应的理财资金由产品管理人进行</w:t>
      </w:r>
      <w:r>
        <w:rPr>
          <w:rFonts w:hint="eastAsia" w:ascii="仿宋_GB2312" w:hAnsi="宋体" w:cs="宋体"/>
          <w:bCs/>
          <w:color w:val="auto"/>
          <w:kern w:val="0"/>
          <w:szCs w:val="24"/>
          <w:highlight w:val="none"/>
          <w:u w:val="none"/>
          <w:lang w:eastAsia="zh-CN"/>
        </w:rPr>
        <w:t>最短</w:t>
      </w:r>
      <w:r>
        <w:rPr>
          <w:rFonts w:hint="eastAsia" w:ascii="仿宋_GB2312" w:hAnsi="宋体" w:cs="宋体"/>
          <w:bCs/>
          <w:color w:val="auto"/>
          <w:kern w:val="0"/>
          <w:szCs w:val="24"/>
          <w:highlight w:val="none"/>
          <w:u w:val="none"/>
        </w:rPr>
        <w:t>投资运作的一段完整期间，每一个投资周期为该投资周期起始日至该投资周期终止日的理财期间。</w:t>
      </w:r>
    </w:p>
    <w:p w14:paraId="40D4543F">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投资周期起始日：指每一个投资周期开始的日期。</w:t>
      </w:r>
    </w:p>
    <w:p w14:paraId="26028B26">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投资周期终止日：指每一个投资周期结束的日期。</w:t>
      </w:r>
    </w:p>
    <w:p w14:paraId="4C00750C">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lang w:val="en-US" w:eastAsia="zh-CN"/>
        </w:rPr>
        <w:t>4</w:t>
      </w:r>
      <w:r>
        <w:rPr>
          <w:rFonts w:hint="eastAsia" w:ascii="仿宋_GB2312" w:hAnsi="宋体" w:cs="宋体"/>
          <w:bCs/>
          <w:color w:val="auto"/>
          <w:kern w:val="0"/>
          <w:szCs w:val="24"/>
          <w:highlight w:val="none"/>
          <w:u w:val="none"/>
        </w:rPr>
        <w:t>.产品存续期：指自理财产品成立日起，至理财产品终止日的期间。</w:t>
      </w:r>
    </w:p>
    <w:p w14:paraId="006FC67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lang w:val="en-US" w:eastAsia="zh-CN"/>
        </w:rPr>
        <w:t>5</w:t>
      </w:r>
      <w:r>
        <w:rPr>
          <w:rFonts w:hint="eastAsia" w:ascii="仿宋_GB2312" w:hAnsi="宋体" w:cs="宋体"/>
          <w:bCs/>
          <w:color w:val="auto"/>
          <w:kern w:val="0"/>
          <w:szCs w:val="24"/>
          <w:highlight w:val="none"/>
          <w:u w:val="none"/>
        </w:rPr>
        <w:t>.清算期：指自本理财产品终止日至投资者理财</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到账日之间的期间。</w:t>
      </w:r>
    </w:p>
    <w:p w14:paraId="7EF0D63E">
      <w:pPr>
        <w:tabs>
          <w:tab w:val="left" w:pos="709"/>
        </w:tabs>
        <w:snapToGrid w:val="0"/>
        <w:spacing w:line="360" w:lineRule="auto"/>
        <w:ind w:firstLine="420" w:firstLineChars="200"/>
        <w:rPr>
          <w:rFonts w:ascii="仿宋_GB2312" w:hAnsi="宋体" w:cs="宋体"/>
          <w:bCs/>
          <w:kern w:val="0"/>
          <w:szCs w:val="24"/>
          <w:highlight w:val="none"/>
        </w:rPr>
      </w:pPr>
      <w:r>
        <w:rPr>
          <w:rFonts w:hint="eastAsia" w:ascii="仿宋_GB2312" w:hAnsi="宋体" w:cs="宋体"/>
          <w:bCs/>
          <w:kern w:val="0"/>
          <w:szCs w:val="24"/>
          <w:highlight w:val="none"/>
        </w:rPr>
        <w:t>1</w:t>
      </w:r>
      <w:r>
        <w:rPr>
          <w:rFonts w:hint="eastAsia" w:ascii="仿宋_GB2312" w:hAnsi="宋体" w:cs="宋体"/>
          <w:bCs/>
          <w:kern w:val="0"/>
          <w:szCs w:val="24"/>
          <w:highlight w:val="none"/>
          <w:lang w:val="en-US" w:eastAsia="zh-CN"/>
        </w:rPr>
        <w:t>6</w:t>
      </w:r>
      <w:r>
        <w:rPr>
          <w:rFonts w:hint="eastAsia" w:ascii="仿宋_GB2312" w:hAnsi="宋体" w:cs="宋体"/>
          <w:bCs/>
          <w:kern w:val="0"/>
          <w:szCs w:val="24"/>
          <w:highlight w:val="none"/>
        </w:rPr>
        <w:t>.申购、赎回期/开放期：指管理人接受投资者提交申购、赎回申请的期间。</w:t>
      </w:r>
    </w:p>
    <w:p w14:paraId="440349A6">
      <w:pPr>
        <w:tabs>
          <w:tab w:val="left" w:pos="709"/>
        </w:tabs>
        <w:snapToGrid w:val="0"/>
        <w:spacing w:line="360" w:lineRule="auto"/>
        <w:ind w:firstLine="420" w:firstLineChars="200"/>
        <w:rPr>
          <w:rFonts w:ascii="仿宋_GB2312" w:hAnsi="宋体" w:cs="宋体"/>
          <w:bCs/>
          <w:kern w:val="0"/>
          <w:szCs w:val="24"/>
          <w:highlight w:val="none"/>
        </w:rPr>
      </w:pPr>
      <w:r>
        <w:rPr>
          <w:rFonts w:hint="eastAsia" w:ascii="仿宋_GB2312" w:hAnsi="宋体" w:cs="宋体"/>
          <w:bCs/>
          <w:kern w:val="0"/>
          <w:szCs w:val="24"/>
          <w:highlight w:val="none"/>
        </w:rPr>
        <w:t>1</w:t>
      </w:r>
      <w:r>
        <w:rPr>
          <w:rFonts w:hint="eastAsia" w:ascii="仿宋_GB2312" w:hAnsi="宋体" w:cs="宋体"/>
          <w:bCs/>
          <w:kern w:val="0"/>
          <w:szCs w:val="24"/>
          <w:highlight w:val="none"/>
          <w:lang w:val="en-US" w:eastAsia="zh-CN"/>
        </w:rPr>
        <w:t>7</w:t>
      </w:r>
      <w:r>
        <w:rPr>
          <w:rFonts w:hint="eastAsia" w:ascii="仿宋_GB2312" w:hAnsi="宋体" w:cs="宋体"/>
          <w:bCs/>
          <w:kern w:val="0"/>
          <w:szCs w:val="24"/>
          <w:highlight w:val="none"/>
        </w:rPr>
        <w:t>.开放日：指本理财产品申购、赎回期（即“开放期”）的最后一个</w:t>
      </w:r>
      <w:r>
        <w:rPr>
          <w:rFonts w:hint="eastAsia" w:ascii="仿宋_GB2312" w:hAnsi="宋体" w:cs="宋体"/>
          <w:bCs/>
          <w:color w:val="auto"/>
          <w:kern w:val="0"/>
          <w:szCs w:val="24"/>
          <w:highlight w:val="yellow"/>
          <w:lang w:eastAsia="zh-CN"/>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工作日</w:t>
      </w:r>
      <w:r>
        <w:rPr>
          <w:rFonts w:ascii="仿宋_GB2312" w:hAnsi="宋体" w:cs="宋体"/>
          <w:bCs/>
          <w:color w:val="auto"/>
          <w:kern w:val="0"/>
          <w:szCs w:val="24"/>
          <w:highlight w:val="yellow"/>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交易日</w:t>
      </w:r>
      <w:r>
        <w:rPr>
          <w:rFonts w:hint="eastAsia" w:ascii="仿宋_GB2312" w:hAnsi="宋体" w:cs="宋体"/>
          <w:bCs/>
          <w:color w:val="auto"/>
          <w:kern w:val="0"/>
          <w:szCs w:val="24"/>
          <w:highlight w:val="yellow"/>
          <w:lang w:eastAsia="zh-CN"/>
        </w:rPr>
        <w:t>】</w:t>
      </w:r>
      <w:r>
        <w:rPr>
          <w:rFonts w:hint="eastAsia" w:ascii="仿宋_GB2312" w:hAnsi="宋体" w:cs="宋体"/>
          <w:bCs/>
          <w:kern w:val="0"/>
          <w:szCs w:val="24"/>
          <w:highlight w:val="none"/>
        </w:rPr>
        <w:t>为理财产品开放日。申购、赎回期内的申购、赎回申请，将以开放日的净值进行确认。</w:t>
      </w:r>
    </w:p>
    <w:p w14:paraId="50E9F5F3">
      <w:pPr>
        <w:tabs>
          <w:tab w:val="left" w:pos="709"/>
        </w:tabs>
        <w:snapToGrid w:val="0"/>
        <w:spacing w:line="360" w:lineRule="auto"/>
        <w:ind w:firstLine="420" w:firstLineChars="200"/>
        <w:rPr>
          <w:rFonts w:ascii="仿宋_GB2312" w:hAnsi="宋体" w:cs="宋体"/>
          <w:bCs/>
          <w:kern w:val="0"/>
          <w:szCs w:val="24"/>
          <w:highlight w:val="none"/>
        </w:rPr>
      </w:pPr>
      <w:r>
        <w:rPr>
          <w:rFonts w:hint="eastAsia" w:ascii="仿宋_GB2312" w:hAnsi="宋体" w:cs="宋体"/>
          <w:bCs/>
          <w:kern w:val="0"/>
          <w:szCs w:val="24"/>
          <w:highlight w:val="none"/>
        </w:rPr>
        <w:t>1</w:t>
      </w:r>
      <w:r>
        <w:rPr>
          <w:rFonts w:hint="eastAsia" w:ascii="仿宋_GB2312" w:hAnsi="宋体" w:cs="宋体"/>
          <w:bCs/>
          <w:kern w:val="0"/>
          <w:szCs w:val="24"/>
          <w:highlight w:val="none"/>
          <w:lang w:val="en-US" w:eastAsia="zh-CN"/>
        </w:rPr>
        <w:t>8</w:t>
      </w:r>
      <w:r>
        <w:rPr>
          <w:rFonts w:hint="eastAsia" w:ascii="仿宋_GB2312" w:hAnsi="宋体" w:cs="宋体"/>
          <w:bCs/>
          <w:kern w:val="0"/>
          <w:szCs w:val="24"/>
          <w:highlight w:val="none"/>
        </w:rPr>
        <w:t>.申购/赎回日：指投资者提交申购、赎回申请的日期。</w:t>
      </w:r>
    </w:p>
    <w:p w14:paraId="4593C7B4">
      <w:pPr>
        <w:tabs>
          <w:tab w:val="left" w:pos="709"/>
        </w:tabs>
        <w:snapToGrid w:val="0"/>
        <w:spacing w:line="360" w:lineRule="auto"/>
        <w:ind w:firstLine="420" w:firstLineChars="200"/>
        <w:rPr>
          <w:rFonts w:hint="eastAsia" w:ascii="仿宋_GB2312" w:hAnsi="宋体" w:eastAsia="仿宋_GB2312" w:cs="宋体"/>
          <w:bCs/>
          <w:kern w:val="0"/>
          <w:szCs w:val="24"/>
          <w:highlight w:val="none"/>
          <w:lang w:eastAsia="zh-CN"/>
        </w:rPr>
      </w:pPr>
      <w:r>
        <w:rPr>
          <w:rFonts w:hint="eastAsia" w:ascii="仿宋_GB2312" w:hAnsi="宋体" w:cs="宋体"/>
          <w:bCs/>
          <w:kern w:val="0"/>
          <w:szCs w:val="24"/>
          <w:highlight w:val="none"/>
        </w:rPr>
        <w:t>1</w:t>
      </w:r>
      <w:r>
        <w:rPr>
          <w:rFonts w:hint="eastAsia" w:ascii="仿宋_GB2312" w:hAnsi="宋体" w:cs="宋体"/>
          <w:bCs/>
          <w:kern w:val="0"/>
          <w:szCs w:val="24"/>
          <w:highlight w:val="none"/>
          <w:lang w:val="en-US" w:eastAsia="zh-CN"/>
        </w:rPr>
        <w:t>9</w:t>
      </w:r>
      <w:r>
        <w:rPr>
          <w:rFonts w:hint="eastAsia" w:ascii="仿宋_GB2312" w:hAnsi="宋体" w:cs="宋体"/>
          <w:bCs/>
          <w:kern w:val="0"/>
          <w:szCs w:val="24"/>
          <w:highlight w:val="none"/>
        </w:rPr>
        <w:t>.申购/赎回确认日：指投资者提交申购、赎回申请后，管理人对申购、赎回申请进行确认的日期</w:t>
      </w:r>
      <w:r>
        <w:rPr>
          <w:rFonts w:hint="eastAsia" w:ascii="仿宋_GB2312" w:hAnsi="宋体" w:cs="宋体"/>
          <w:bCs/>
          <w:kern w:val="0"/>
          <w:szCs w:val="24"/>
          <w:highlight w:val="none"/>
          <w:lang w:eastAsia="zh-CN"/>
        </w:rPr>
        <w:t>。</w:t>
      </w:r>
    </w:p>
    <w:p w14:paraId="3FF7E20C">
      <w:pPr>
        <w:tabs>
          <w:tab w:val="left" w:pos="709"/>
        </w:tabs>
        <w:snapToGrid w:val="0"/>
        <w:spacing w:line="360" w:lineRule="auto"/>
        <w:ind w:firstLine="420" w:firstLineChars="200"/>
        <w:rPr>
          <w:rFonts w:ascii="仿宋_GB2312" w:hAnsi="宋体" w:cs="宋体"/>
          <w:bCs/>
          <w:kern w:val="0"/>
          <w:szCs w:val="24"/>
          <w:highlight w:val="none"/>
        </w:rPr>
      </w:pPr>
      <w:r>
        <w:rPr>
          <w:rFonts w:hint="eastAsia" w:ascii="仿宋_GB2312" w:hAnsi="宋体" w:cs="宋体"/>
          <w:bCs/>
          <w:kern w:val="0"/>
          <w:szCs w:val="24"/>
          <w:highlight w:val="none"/>
          <w:lang w:val="en-US" w:eastAsia="zh-CN"/>
        </w:rPr>
        <w:t>20</w:t>
      </w:r>
      <w:r>
        <w:rPr>
          <w:rFonts w:hint="eastAsia" w:ascii="仿宋_GB2312" w:hAnsi="宋体" w:cs="宋体"/>
          <w:bCs/>
          <w:kern w:val="0"/>
          <w:szCs w:val="24"/>
          <w:highlight w:val="none"/>
        </w:rPr>
        <w:t>.T日：指某一事件或行为发生的当日。</w:t>
      </w:r>
    </w:p>
    <w:p w14:paraId="7DC54A0A">
      <w:pPr>
        <w:tabs>
          <w:tab w:val="left" w:pos="709"/>
        </w:tabs>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kern w:val="0"/>
          <w:szCs w:val="24"/>
          <w:highlight w:val="none"/>
          <w:lang w:val="en-US" w:eastAsia="zh-CN"/>
        </w:rPr>
        <w:t>21</w:t>
      </w:r>
      <w:r>
        <w:rPr>
          <w:rFonts w:hint="eastAsia" w:ascii="仿宋_GB2312" w:hAnsi="宋体" w:cs="宋体"/>
          <w:bCs/>
          <w:kern w:val="0"/>
          <w:szCs w:val="24"/>
          <w:highlight w:val="none"/>
        </w:rPr>
        <w:t>.T+n日：指T日后（不包括T日）的第n</w:t>
      </w:r>
      <w:r>
        <w:rPr>
          <w:rFonts w:hint="eastAsia" w:ascii="仿宋_GB2312" w:hAnsi="宋体" w:cs="宋体"/>
          <w:bCs/>
          <w:color w:val="auto"/>
          <w:kern w:val="0"/>
          <w:szCs w:val="24"/>
          <w:highlight w:val="none"/>
        </w:rPr>
        <w:t>个</w:t>
      </w:r>
      <w:r>
        <w:rPr>
          <w:rFonts w:hint="eastAsia" w:ascii="仿宋_GB2312" w:hAnsi="宋体" w:cs="宋体"/>
          <w:bCs/>
          <w:color w:val="auto"/>
          <w:kern w:val="0"/>
          <w:szCs w:val="24"/>
          <w:highlight w:val="yellow"/>
          <w:lang w:eastAsia="zh-CN"/>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工作日</w:t>
      </w:r>
      <w:r>
        <w:rPr>
          <w:rFonts w:ascii="仿宋_GB2312" w:hAnsi="宋体" w:cs="宋体"/>
          <w:bCs/>
          <w:color w:val="auto"/>
          <w:kern w:val="0"/>
          <w:szCs w:val="24"/>
          <w:highlight w:val="yellow"/>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交易日</w:t>
      </w: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none"/>
        </w:rPr>
        <w:t>。</w:t>
      </w:r>
    </w:p>
    <w:p w14:paraId="7B25C837">
      <w:pPr>
        <w:tabs>
          <w:tab w:val="left" w:pos="709"/>
        </w:tabs>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lang w:val="en-US" w:eastAsia="zh-CN"/>
        </w:rPr>
        <w:t>22</w:t>
      </w:r>
      <w:r>
        <w:rPr>
          <w:rFonts w:hint="eastAsia" w:ascii="仿宋_GB2312" w:hAnsi="宋体" w:cs="宋体"/>
          <w:bCs/>
          <w:color w:val="auto"/>
          <w:kern w:val="0"/>
          <w:szCs w:val="24"/>
          <w:highlight w:val="none"/>
        </w:rPr>
        <w:t>.T-n日：指T日前（不包括T日）的第n个</w:t>
      </w:r>
      <w:r>
        <w:rPr>
          <w:rFonts w:hint="eastAsia" w:ascii="仿宋_GB2312" w:hAnsi="宋体" w:cs="宋体"/>
          <w:bCs/>
          <w:color w:val="auto"/>
          <w:kern w:val="0"/>
          <w:szCs w:val="24"/>
          <w:highlight w:val="yellow"/>
          <w:lang w:eastAsia="zh-CN"/>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工作日</w:t>
      </w:r>
      <w:r>
        <w:rPr>
          <w:rFonts w:ascii="仿宋_GB2312" w:hAnsi="宋体" w:cs="宋体"/>
          <w:bCs/>
          <w:color w:val="auto"/>
          <w:kern w:val="0"/>
          <w:szCs w:val="24"/>
          <w:highlight w:val="yellow"/>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交易日</w:t>
      </w: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none"/>
        </w:rPr>
        <w:t>。</w:t>
      </w:r>
    </w:p>
    <w:p w14:paraId="0878E805">
      <w:pPr>
        <w:pStyle w:val="3"/>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费用</w:t>
      </w:r>
    </w:p>
    <w:p w14:paraId="26A0B1B4">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1.认购费：指投资者认购产品时需缴纳的费用。</w:t>
      </w:r>
    </w:p>
    <w:p w14:paraId="1E30C859">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2.申购费：指投资者申购产品时需缴纳的费用。</w:t>
      </w:r>
    </w:p>
    <w:p w14:paraId="75410E4E">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3.赎回费：指投资者赎回产品时需缴纳的费用。</w:t>
      </w:r>
    </w:p>
    <w:p w14:paraId="4B7A72B9">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4.销售服务费：指因理财产品销售行为产生，销售机构所收取的费用。</w:t>
      </w:r>
    </w:p>
    <w:p w14:paraId="1582AA2C">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w:t>
      </w:r>
      <w:r>
        <w:rPr>
          <w:rFonts w:hint="eastAsia" w:ascii="仿宋_GB2312" w:hAnsi="宋体" w:cs="宋体"/>
          <w:bCs/>
          <w:color w:val="auto"/>
          <w:kern w:val="0"/>
          <w:szCs w:val="24"/>
          <w:highlight w:val="none"/>
          <w:u w:val="none"/>
          <w:lang w:eastAsia="zh-CN"/>
        </w:rPr>
        <w:t>固定</w:t>
      </w:r>
      <w:r>
        <w:rPr>
          <w:rFonts w:hint="eastAsia" w:ascii="仿宋_GB2312" w:hAnsi="宋体" w:cs="宋体"/>
          <w:bCs/>
          <w:color w:val="auto"/>
          <w:kern w:val="0"/>
          <w:szCs w:val="24"/>
          <w:highlight w:val="none"/>
          <w:u w:val="none"/>
        </w:rPr>
        <w:t>管理费：指因理财产品投资管理产生，管理人所收取的费用。</w:t>
      </w:r>
    </w:p>
    <w:p w14:paraId="7F414E3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6.托管费：指因理财产品进行托管产生，托管人收取的费用。</w:t>
      </w:r>
    </w:p>
    <w:p w14:paraId="16A3352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7.</w:t>
      </w:r>
      <w:r>
        <w:rPr>
          <w:rFonts w:hint="eastAsia" w:ascii="仿宋_GB2312" w:hAnsi="宋体" w:cs="宋体"/>
          <w:bCs/>
          <w:color w:val="auto"/>
          <w:kern w:val="0"/>
          <w:szCs w:val="24"/>
          <w:highlight w:val="none"/>
          <w:u w:val="none"/>
          <w:lang w:eastAsia="zh-CN"/>
        </w:rPr>
        <w:t>浮动管理费</w:t>
      </w:r>
      <w:r>
        <w:rPr>
          <w:rFonts w:hint="eastAsia" w:ascii="仿宋_GB2312" w:hAnsi="宋体" w:cs="宋体"/>
          <w:bCs/>
          <w:color w:val="auto"/>
          <w:kern w:val="0"/>
          <w:szCs w:val="24"/>
          <w:highlight w:val="none"/>
          <w:u w:val="none"/>
        </w:rPr>
        <w:t>：指产品管理人依照理财产品销售文件约定规则收取的浮动性质的管理费用。</w:t>
      </w:r>
    </w:p>
    <w:p w14:paraId="465B5375">
      <w:pPr>
        <w:tabs>
          <w:tab w:val="left" w:pos="709"/>
        </w:tabs>
        <w:snapToGrid w:val="0"/>
        <w:spacing w:line="360" w:lineRule="auto"/>
        <w:ind w:firstLine="420" w:firstLineChars="200"/>
        <w:rPr>
          <w:color w:val="auto"/>
          <w:highlight w:val="none"/>
          <w:u w:val="none"/>
        </w:rPr>
      </w:pPr>
      <w:r>
        <w:rPr>
          <w:rFonts w:hint="eastAsia" w:ascii="仿宋_GB2312" w:hAnsi="宋体" w:cs="宋体"/>
          <w:bCs/>
          <w:color w:val="auto"/>
          <w:kern w:val="0"/>
          <w:szCs w:val="24"/>
          <w:highlight w:val="none"/>
          <w:u w:val="none"/>
        </w:rPr>
        <w:t>8.其他费用（如有）：</w:t>
      </w:r>
      <w:r>
        <w:rPr>
          <w:rFonts w:hint="eastAsia"/>
          <w:color w:val="auto"/>
          <w:highlight w:val="none"/>
          <w:u w:val="none"/>
        </w:rPr>
        <w:t>与理财</w:t>
      </w:r>
      <w:r>
        <w:rPr>
          <w:color w:val="auto"/>
          <w:highlight w:val="none"/>
          <w:u w:val="none"/>
        </w:rPr>
        <w:t>产品相关的</w:t>
      </w:r>
      <w:r>
        <w:rPr>
          <w:rFonts w:hint="eastAsia"/>
          <w:color w:val="auto"/>
          <w:highlight w:val="none"/>
          <w:u w:val="none"/>
        </w:rPr>
        <w:t>账户服务费用、资产服务费用、交易费用（包括但不限于交易佣金、撮合费用等）、注册登记费、验资费、审计费、信息披露费、</w:t>
      </w:r>
      <w:r>
        <w:rPr>
          <w:rFonts w:hint="eastAsia"/>
          <w:color w:val="auto"/>
          <w:highlight w:val="yellow"/>
          <w:u w:val="none"/>
          <w:lang w:eastAsia="zh-CN"/>
        </w:rPr>
        <w:t>信息服务费用、</w:t>
      </w:r>
      <w:r>
        <w:rPr>
          <w:rFonts w:hint="eastAsia"/>
          <w:color w:val="auto"/>
          <w:highlight w:val="none"/>
          <w:u w:val="none"/>
        </w:rPr>
        <w:t>清算费用、执行费用（包括但不限于律师费、诉讼费、仲裁费、公证费、保全费、执行费等）以及按照法律法规、监管规定和理财产品销售文件约定可以列入的其他费用，具体以实际发生为准。</w:t>
      </w:r>
    </w:p>
    <w:p w14:paraId="5BD37E33">
      <w:pPr>
        <w:tabs>
          <w:tab w:val="left" w:pos="709"/>
        </w:tabs>
        <w:snapToGrid w:val="0"/>
        <w:spacing w:line="360" w:lineRule="auto"/>
        <w:ind w:firstLine="422" w:firstLineChars="200"/>
        <w:rPr>
          <w:rFonts w:ascii="仿宋_GB2312" w:hAnsi="宋体" w:cs="宋体"/>
          <w:bCs/>
          <w:color w:val="auto"/>
          <w:kern w:val="0"/>
          <w:szCs w:val="24"/>
          <w:highlight w:val="none"/>
          <w:u w:val="none"/>
        </w:rPr>
      </w:pPr>
      <w:r>
        <w:rPr>
          <w:rFonts w:hint="eastAsia" w:ascii="仿宋_GB2312" w:hAnsi="宋体" w:cs="宋体"/>
          <w:b/>
          <w:bCs/>
          <w:color w:val="auto"/>
          <w:kern w:val="0"/>
          <w:szCs w:val="24"/>
          <w:highlight w:val="none"/>
          <w:u w:val="none"/>
        </w:rPr>
        <w:t>（六）其他</w:t>
      </w:r>
      <w:r>
        <w:rPr>
          <w:rFonts w:hint="eastAsia" w:ascii="仿宋_GB2312" w:hAnsi="宋体" w:cs="宋体"/>
          <w:bCs/>
          <w:color w:val="auto"/>
          <w:kern w:val="0"/>
          <w:szCs w:val="24"/>
          <w:highlight w:val="none"/>
          <w:u w:val="none"/>
        </w:rPr>
        <w:t xml:space="preserve"> </w:t>
      </w:r>
    </w:p>
    <w:p w14:paraId="599ED580">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1.不可抗力：指理财产品各方不能预见、不能避免且不能克服的客观情况，该事件妨碍、影响或延误任何一方依相关理财产品销售文件履行其全部或部分义务。该事件包括但不限于：</w:t>
      </w:r>
    </w:p>
    <w:p w14:paraId="0403D66A">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A、地震、台风、海啸、洪水、火灾、停电、瘟疫；</w:t>
      </w:r>
    </w:p>
    <w:p w14:paraId="318BAA3C">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B、战争、政变、恐怖主义行动、骚乱、罢工；</w:t>
      </w:r>
    </w:p>
    <w:p w14:paraId="71797859">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C、新的适用法律或国家政策的颁布或实施、对原适用法律或国家政策的修改；</w:t>
      </w:r>
    </w:p>
    <w:p w14:paraId="296932B1">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D、金融管理部门强制要求终止理财产品（该等强制要求不可归咎于任何一方）；</w:t>
      </w:r>
    </w:p>
    <w:p w14:paraId="6BB28F39">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E、因理财产品各方和/或其关联方运营网络系统遭受黑客攻击、电信部门技术调整或故障等原因而造成的理财产品各方和/或其关联方之服务、营业的中断或者延迟。</w:t>
      </w:r>
    </w:p>
    <w:p w14:paraId="6288B52A">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2.元：指人民币元。 </w:t>
      </w:r>
    </w:p>
    <w:p w14:paraId="149925B6">
      <w:pPr>
        <w:tabs>
          <w:tab w:val="left" w:pos="709"/>
        </w:tabs>
        <w:snapToGrid w:val="0"/>
        <w:spacing w:line="360" w:lineRule="auto"/>
        <w:ind w:firstLine="420" w:firstLineChars="200"/>
        <w:rPr>
          <w:rFonts w:ascii="仿宋_GB2312" w:hAnsi="宋体" w:cs="宋体"/>
          <w:bCs/>
          <w:kern w:val="0"/>
          <w:szCs w:val="24"/>
        </w:rPr>
      </w:pPr>
      <w:r>
        <w:rPr>
          <w:rFonts w:hint="eastAsia" w:ascii="仿宋_GB2312" w:hAnsi="宋体" w:cs="宋体"/>
          <w:bCs/>
          <w:color w:val="auto"/>
          <w:kern w:val="0"/>
          <w:szCs w:val="24"/>
          <w:highlight w:val="none"/>
          <w:u w:val="none"/>
        </w:rPr>
        <w:t>3.适用法律：指在理财产品销售文件签署日和履行过程中，适用中华人民共和国法律（为本协议之目的，在此不包括香港、澳门特别行政区和台湾地区的法律），包括中国任何立法机构、政府部门、银行业理财登记托管中心、银行间交易商协会、证券交易所、证券登记结算机构、相关行业协会依法颁布的，适用于本理财产品相关事宜的法律、行政法规、地方法规、部委规章、地方政府规章、规范性文件、规则、通知、须知、业务指南、指引或操作规程，及其有效的修改、更新或补充。</w:t>
      </w:r>
    </w:p>
    <w:p w14:paraId="51217E07">
      <w:pPr>
        <w:rPr>
          <w:rFonts w:ascii="仿宋_GB2312" w:hAnsi="宋体" w:cs="宋体"/>
          <w:bCs/>
          <w:kern w:val="0"/>
          <w:szCs w:val="24"/>
        </w:rPr>
      </w:pPr>
      <w:r>
        <w:rPr>
          <w:rFonts w:hint="eastAsia" w:ascii="仿宋_GB2312" w:hAnsi="宋体" w:cs="宋体"/>
          <w:bCs/>
          <w:kern w:val="0"/>
          <w:szCs w:val="24"/>
        </w:rPr>
        <w:br w:type="page"/>
      </w:r>
    </w:p>
    <w:p w14:paraId="02EC4495">
      <w:pPr>
        <w:pStyle w:val="2"/>
      </w:pPr>
      <w:r>
        <w:rPr>
          <w:rFonts w:hint="eastAsia"/>
        </w:rPr>
        <w:t>理财产品的认购与成立</w:t>
      </w:r>
    </w:p>
    <w:p w14:paraId="03E2A5B2">
      <w:pPr>
        <w:pStyle w:val="3"/>
        <w:widowControl/>
        <w:tabs>
          <w:tab w:val="left" w:pos="709"/>
        </w:tabs>
        <w:adjustRightInd w:val="0"/>
        <w:snapToGrid w:val="0"/>
        <w:ind w:firstLine="482"/>
        <w:rPr>
          <w:rFonts w:ascii="仿宋_GB2312" w:hAnsi="宋体" w:cs="宋体"/>
          <w:bCs/>
          <w:kern w:val="0"/>
          <w:szCs w:val="24"/>
        </w:rPr>
      </w:pPr>
      <w:r>
        <w:rPr>
          <w:rFonts w:hint="eastAsia" w:ascii="仿宋_GB2312" w:hAnsi="宋体" w:cs="宋体"/>
          <w:bCs/>
          <w:kern w:val="0"/>
          <w:szCs w:val="24"/>
        </w:rPr>
        <w:t>参与主体及主要职责</w:t>
      </w:r>
    </w:p>
    <w:p w14:paraId="19CF109F">
      <w:pPr>
        <w:widowControl/>
        <w:tabs>
          <w:tab w:val="left" w:pos="709"/>
        </w:tabs>
        <w:adjustRightInd w:val="0"/>
        <w:snapToGrid w:val="0"/>
        <w:spacing w:line="360" w:lineRule="auto"/>
        <w:ind w:firstLine="420" w:firstLineChars="200"/>
        <w:rPr>
          <w:rFonts w:ascii="仿宋_GB2312" w:hAnsi="宋体" w:cs="宋体"/>
          <w:bCs/>
          <w:kern w:val="0"/>
          <w:szCs w:val="24"/>
        </w:rPr>
      </w:pPr>
      <w:r>
        <w:rPr>
          <w:rFonts w:ascii="仿宋_GB2312" w:hAnsi="宋体" w:cs="宋体"/>
          <w:bCs/>
          <w:kern w:val="0"/>
          <w:szCs w:val="24"/>
        </w:rPr>
        <w:t>1.</w:t>
      </w:r>
      <w:r>
        <w:rPr>
          <w:rFonts w:hint="eastAsia" w:ascii="仿宋_GB2312" w:hAnsi="宋体" w:cs="宋体"/>
          <w:bCs/>
          <w:kern w:val="0"/>
          <w:szCs w:val="24"/>
        </w:rPr>
        <w:t>产品管理人</w:t>
      </w:r>
    </w:p>
    <w:p w14:paraId="56868218">
      <w:pPr>
        <w:widowControl/>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名称：浙银理财有限责任公司</w:t>
      </w:r>
    </w:p>
    <w:p w14:paraId="7621598F">
      <w:pPr>
        <w:widowControl/>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注册地：浙江省杭州市萧山区宁围街道民和路939号浙江商会大厦2幢20-22楼</w:t>
      </w:r>
    </w:p>
    <w:p w14:paraId="4231824E">
      <w:pPr>
        <w:widowControl/>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浙银理财负责本产品的投资运作和产品管理，</w:t>
      </w:r>
      <w:r>
        <w:rPr>
          <w:rFonts w:hint="eastAsia" w:ascii="仿宋_GB2312" w:hAnsi="宋体" w:cs="宋体"/>
          <w:b/>
          <w:kern w:val="0"/>
          <w:szCs w:val="24"/>
        </w:rPr>
        <w:t>投资者在此授权并同意浙银理财享有以下权利</w:t>
      </w:r>
      <w:r>
        <w:rPr>
          <w:rFonts w:hint="eastAsia" w:ascii="仿宋_GB2312" w:hAnsi="宋体" w:cs="宋体"/>
          <w:bCs/>
          <w:kern w:val="0"/>
          <w:szCs w:val="24"/>
        </w:rPr>
        <w:t>：</w:t>
      </w:r>
    </w:p>
    <w:p w14:paraId="6032026F">
      <w:pPr>
        <w:widowControl/>
        <w:numPr>
          <w:ilvl w:val="0"/>
          <w:numId w:val="8"/>
        </w:numPr>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按照本产品销售文件的约定，管理、运用和处分理财产品资金；</w:t>
      </w:r>
    </w:p>
    <w:p w14:paraId="41522E0F">
      <w:pPr>
        <w:widowControl/>
        <w:numPr>
          <w:ilvl w:val="0"/>
          <w:numId w:val="8"/>
        </w:numPr>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按照本产品销售文件的约定，及时、足额获得管理费和本产品说明书约定的其他费用（如有）；</w:t>
      </w:r>
    </w:p>
    <w:p w14:paraId="6CED3594">
      <w:pPr>
        <w:widowControl/>
        <w:numPr>
          <w:ilvl w:val="0"/>
          <w:numId w:val="8"/>
        </w:numPr>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管理人以其固有财产先行垫付因处理本产品相关事务所支出的理财产品费用及税费的，对理财产品资金享有优先受偿权；</w:t>
      </w:r>
    </w:p>
    <w:p w14:paraId="4460EC89">
      <w:pPr>
        <w:widowControl/>
        <w:numPr>
          <w:ilvl w:val="0"/>
          <w:numId w:val="8"/>
        </w:numPr>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管理人有权根据本产品销售文件的约定提前终止或延长本理财产品的期限；</w:t>
      </w:r>
    </w:p>
    <w:p w14:paraId="52E032F8">
      <w:pPr>
        <w:widowControl/>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（5）管理人有权单方调整本产品的发行规模上限、认/申购起点金额、投资者累计认/申购上限、赎回上限等要素；</w:t>
      </w:r>
    </w:p>
    <w:p w14:paraId="2D5B39FB">
      <w:pPr>
        <w:widowControl/>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（6）管理人有权按照法律法规和监管机构的要求将投资者的信息向有权部门或相关机构披露；</w:t>
      </w:r>
    </w:p>
    <w:p w14:paraId="4A25C8EF">
      <w:pPr>
        <w:widowControl/>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（7）以理财产品管理人的名义，依照法律法规相关规定以及为理财产品的利益，对被投资的各类资产行使出资人/投资者权利（包括但不限于表决投票的权利）；</w:t>
      </w:r>
    </w:p>
    <w:p w14:paraId="7E120681">
      <w:pPr>
        <w:widowControl/>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8）以理财产品管理人的名义，依照法律法规相关规定以及代表理财产品份额持有人的利益代为行使追索的权利（包括但不限于提起诉讼/仲裁、申请保全/执行的权利）或者实施其他风险处置、行使、放弃、变更相关权利义务的法律行为；</w:t>
      </w:r>
    </w:p>
    <w:p w14:paraId="7563E08C">
      <w:pPr>
        <w:widowControl/>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（9）法律法规、监管政策及本产品销售文件约定的其他权利。</w:t>
      </w:r>
    </w:p>
    <w:p w14:paraId="1A524F55">
      <w:pPr>
        <w:widowControl/>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2.产品托管机构</w:t>
      </w:r>
    </w:p>
    <w:p w14:paraId="4162957E">
      <w:pPr>
        <w:widowControl/>
        <w:tabs>
          <w:tab w:val="left" w:pos="709"/>
        </w:tabs>
        <w:adjustRightInd w:val="0"/>
        <w:snapToGrid w:val="0"/>
        <w:spacing w:line="360" w:lineRule="auto"/>
        <w:ind w:firstLine="420" w:firstLineChars="200"/>
        <w:rPr>
          <w:rFonts w:hint="eastAsia" w:ascii="仿宋_GB2312" w:hAnsi="宋体" w:eastAsia="仿宋_GB2312" w:cs="宋体"/>
          <w:bCs/>
          <w:kern w:val="0"/>
          <w:szCs w:val="24"/>
          <w:highlight w:val="none"/>
          <w:lang w:eastAsia="zh-CN"/>
        </w:rPr>
      </w:pPr>
      <w:r>
        <w:rPr>
          <w:rFonts w:hint="eastAsia" w:ascii="仿宋_GB2312" w:hAnsi="宋体" w:cs="宋体"/>
          <w:bCs/>
          <w:kern w:val="0"/>
          <w:szCs w:val="24"/>
          <w:highlight w:val="none"/>
        </w:rPr>
        <w:t>名称：</w:t>
      </w:r>
      <w:r>
        <w:rPr>
          <w:rFonts w:hint="eastAsia"/>
          <w:szCs w:val="24"/>
          <w:highlight w:val="yellow"/>
          <w:lang w:eastAsia="zh-CN"/>
        </w:rPr>
        <w:t>【】</w:t>
      </w:r>
    </w:p>
    <w:p w14:paraId="19103197">
      <w:pPr>
        <w:widowControl/>
        <w:tabs>
          <w:tab w:val="left" w:pos="709"/>
        </w:tabs>
        <w:adjustRightInd w:val="0"/>
        <w:snapToGrid w:val="0"/>
        <w:spacing w:line="360" w:lineRule="auto"/>
        <w:ind w:firstLine="420" w:firstLineChars="200"/>
        <w:rPr>
          <w:rFonts w:hint="eastAsia" w:ascii="仿宋_GB2312" w:hAnsi="宋体" w:eastAsia="仿宋_GB2312" w:cs="宋体"/>
          <w:bCs/>
          <w:kern w:val="0"/>
          <w:szCs w:val="24"/>
          <w:highlight w:val="none"/>
          <w:lang w:eastAsia="zh-CN"/>
        </w:rPr>
      </w:pPr>
      <w:r>
        <w:rPr>
          <w:rFonts w:hint="eastAsia" w:ascii="仿宋_GB2312" w:hAnsi="宋体" w:cs="宋体"/>
          <w:bCs/>
          <w:kern w:val="0"/>
          <w:szCs w:val="24"/>
          <w:highlight w:val="none"/>
        </w:rPr>
        <w:t>注册地：</w:t>
      </w:r>
      <w:r>
        <w:rPr>
          <w:rFonts w:hint="eastAsia" w:ascii="仿宋_GB2312" w:hAnsi="宋体" w:cs="宋体"/>
          <w:bCs/>
          <w:kern w:val="0"/>
          <w:szCs w:val="24"/>
          <w:highlight w:val="yellow"/>
          <w:lang w:eastAsia="zh-CN"/>
        </w:rPr>
        <w:t>【】</w:t>
      </w:r>
    </w:p>
    <w:p w14:paraId="6787F78D">
      <w:pPr>
        <w:widowControl/>
        <w:tabs>
          <w:tab w:val="left" w:pos="709"/>
        </w:tabs>
        <w:adjustRightInd w:val="0"/>
        <w:snapToGrid w:val="0"/>
        <w:spacing w:line="360" w:lineRule="auto"/>
        <w:ind w:firstLine="420" w:firstLineChars="200"/>
        <w:rPr>
          <w:rFonts w:hint="default" w:ascii="仿宋_GB2312" w:hAnsi="宋体" w:eastAsia="仿宋_GB2312" w:cs="宋体"/>
          <w:bCs/>
          <w:kern w:val="0"/>
          <w:szCs w:val="24"/>
          <w:highlight w:val="none"/>
          <w:lang w:val="en-US" w:eastAsia="zh-CN"/>
        </w:rPr>
      </w:pPr>
      <w:r>
        <w:rPr>
          <w:rFonts w:hint="eastAsia" w:ascii="仿宋_GB2312" w:hAnsi="宋体" w:cs="宋体"/>
          <w:bCs/>
          <w:kern w:val="0"/>
          <w:szCs w:val="24"/>
          <w:highlight w:val="none"/>
        </w:rPr>
        <w:t>客户服务热线：</w:t>
      </w:r>
      <w:r>
        <w:rPr>
          <w:rFonts w:hint="eastAsia" w:ascii="仿宋_GB2312" w:hAnsi="宋体" w:cs="宋体"/>
          <w:bCs/>
          <w:kern w:val="0"/>
          <w:szCs w:val="24"/>
          <w:highlight w:val="yellow"/>
          <w:lang w:val="en-US" w:eastAsia="zh-CN"/>
        </w:rPr>
        <w:t>【】</w:t>
      </w:r>
    </w:p>
    <w:p w14:paraId="2AA6B93A">
      <w:pPr>
        <w:widowControl/>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托管机构主要职责：提供包括账户开立、资金保管、资金清算、估值核算、投资监督等理财产品托管服务。</w:t>
      </w:r>
    </w:p>
    <w:p w14:paraId="607F1FAB">
      <w:pPr>
        <w:widowControl/>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产品管理人为理财产品资金管理之目的，以本产品的名义在托管人处单独开立资金账户，理财产品资金的一切收支活动，包括但不限于划付对外投资资金、缴纳理财产品税费、接收理财产品回收资金、支付理财产品费用，均必须通过该账户进行。</w:t>
      </w:r>
    </w:p>
    <w:p w14:paraId="0765A4AE">
      <w:pPr>
        <w:widowControl/>
        <w:tabs>
          <w:tab w:val="left" w:pos="709"/>
        </w:tabs>
        <w:adjustRightInd w:val="0"/>
        <w:snapToGrid w:val="0"/>
        <w:spacing w:line="360" w:lineRule="auto"/>
        <w:ind w:firstLine="420" w:firstLineChars="200"/>
        <w:rPr>
          <w:rFonts w:ascii="仿宋_GB2312" w:hAnsi="宋体" w:cs="宋体"/>
          <w:bCs/>
          <w:kern w:val="0"/>
          <w:szCs w:val="24"/>
        </w:rPr>
      </w:pPr>
      <w:r>
        <w:rPr>
          <w:rFonts w:ascii="仿宋_GB2312" w:hAnsi="宋体" w:cs="宋体"/>
          <w:bCs/>
          <w:kern w:val="0"/>
          <w:szCs w:val="24"/>
        </w:rPr>
        <w:t>3.</w:t>
      </w:r>
      <w:r>
        <w:rPr>
          <w:rFonts w:hint="eastAsia" w:ascii="仿宋_GB2312" w:hAnsi="宋体" w:cs="宋体"/>
          <w:bCs/>
          <w:kern w:val="0"/>
          <w:szCs w:val="24"/>
        </w:rPr>
        <w:t>产品销售机构</w:t>
      </w:r>
    </w:p>
    <w:p w14:paraId="7986964D">
      <w:pPr>
        <w:widowControl/>
        <w:tabs>
          <w:tab w:val="left" w:pos="709"/>
        </w:tabs>
        <w:adjustRightInd w:val="0"/>
        <w:snapToGrid w:val="0"/>
        <w:spacing w:line="360" w:lineRule="auto"/>
        <w:ind w:firstLine="420" w:firstLineChars="200"/>
        <w:rPr>
          <w:rFonts w:hint="eastAsia" w:ascii="仿宋_GB2312" w:hAnsi="宋体" w:eastAsia="仿宋_GB2312" w:cs="宋体"/>
          <w:bCs/>
          <w:kern w:val="0"/>
          <w:szCs w:val="24"/>
          <w:highlight w:val="none"/>
          <w:lang w:eastAsia="zh-CN"/>
        </w:rPr>
      </w:pPr>
      <w:r>
        <w:rPr>
          <w:rFonts w:hint="eastAsia" w:ascii="仿宋_GB2312" w:hAnsi="宋体" w:cs="宋体"/>
          <w:bCs/>
          <w:kern w:val="0"/>
          <w:szCs w:val="24"/>
          <w:highlight w:val="none"/>
        </w:rPr>
        <w:t>名称：</w:t>
      </w:r>
      <w:r>
        <w:rPr>
          <w:rFonts w:hint="eastAsia"/>
          <w:szCs w:val="24"/>
          <w:highlight w:val="yellow"/>
          <w:lang w:eastAsia="zh-CN"/>
        </w:rPr>
        <w:t>【】</w:t>
      </w:r>
    </w:p>
    <w:p w14:paraId="131EF5BB">
      <w:pPr>
        <w:widowControl/>
        <w:tabs>
          <w:tab w:val="left" w:pos="709"/>
        </w:tabs>
        <w:adjustRightInd w:val="0"/>
        <w:snapToGrid w:val="0"/>
        <w:spacing w:line="360" w:lineRule="auto"/>
        <w:ind w:firstLine="420" w:firstLineChars="200"/>
        <w:rPr>
          <w:rFonts w:hint="eastAsia" w:ascii="仿宋_GB2312" w:hAnsi="宋体" w:eastAsia="仿宋_GB2312" w:cs="宋体"/>
          <w:bCs/>
          <w:kern w:val="0"/>
          <w:szCs w:val="24"/>
          <w:highlight w:val="none"/>
          <w:lang w:eastAsia="zh-CN"/>
        </w:rPr>
      </w:pPr>
      <w:r>
        <w:rPr>
          <w:rFonts w:hint="eastAsia" w:ascii="仿宋_GB2312" w:hAnsi="宋体" w:cs="宋体"/>
          <w:bCs/>
          <w:kern w:val="0"/>
          <w:szCs w:val="24"/>
          <w:highlight w:val="none"/>
        </w:rPr>
        <w:t>注册地：</w:t>
      </w:r>
      <w:r>
        <w:rPr>
          <w:rFonts w:hint="eastAsia" w:ascii="仿宋_GB2312" w:hAnsi="宋体" w:cs="宋体"/>
          <w:bCs/>
          <w:kern w:val="0"/>
          <w:szCs w:val="24"/>
          <w:highlight w:val="yellow"/>
          <w:lang w:eastAsia="zh-CN"/>
        </w:rPr>
        <w:t>【】</w:t>
      </w:r>
    </w:p>
    <w:p w14:paraId="26FB19AA">
      <w:pPr>
        <w:widowControl/>
        <w:tabs>
          <w:tab w:val="left" w:pos="709"/>
        </w:tabs>
        <w:adjustRightInd w:val="0"/>
        <w:snapToGrid w:val="0"/>
        <w:spacing w:line="360" w:lineRule="auto"/>
        <w:ind w:firstLine="420" w:firstLineChars="200"/>
        <w:rPr>
          <w:rFonts w:hint="default" w:ascii="仿宋_GB2312" w:hAnsi="宋体" w:eastAsia="仿宋_GB2312" w:cs="宋体"/>
          <w:bCs/>
          <w:kern w:val="0"/>
          <w:szCs w:val="24"/>
          <w:highlight w:val="none"/>
          <w:lang w:val="en-US" w:eastAsia="zh-CN"/>
        </w:rPr>
      </w:pPr>
      <w:r>
        <w:rPr>
          <w:rFonts w:hint="eastAsia" w:ascii="仿宋_GB2312" w:hAnsi="宋体" w:cs="宋体"/>
          <w:bCs/>
          <w:kern w:val="0"/>
          <w:szCs w:val="24"/>
          <w:highlight w:val="none"/>
        </w:rPr>
        <w:t>客户服务热线：</w:t>
      </w:r>
      <w:r>
        <w:rPr>
          <w:rFonts w:hint="eastAsia" w:ascii="仿宋_GB2312" w:hAnsi="宋体" w:cs="宋体"/>
          <w:bCs/>
          <w:kern w:val="0"/>
          <w:szCs w:val="24"/>
          <w:highlight w:val="yellow"/>
          <w:lang w:val="en-US" w:eastAsia="zh-CN"/>
        </w:rPr>
        <w:t>【】</w:t>
      </w:r>
    </w:p>
    <w:p w14:paraId="07BBCC75">
      <w:pPr>
        <w:widowControl/>
        <w:tabs>
          <w:tab w:val="left" w:pos="709"/>
        </w:tabs>
        <w:adjustRightInd w:val="0"/>
        <w:snapToGrid w:val="0"/>
        <w:spacing w:line="360" w:lineRule="auto"/>
        <w:ind w:firstLine="420" w:firstLineChars="200"/>
        <w:rPr>
          <w:rFonts w:ascii="仿宋_GB2312" w:hAnsi="宋体" w:cs="宋体"/>
          <w:bCs/>
          <w:color w:val="000000"/>
          <w:kern w:val="0"/>
          <w:szCs w:val="24"/>
          <w:highlight w:val="none"/>
        </w:rPr>
      </w:pPr>
      <w:r>
        <w:rPr>
          <w:rFonts w:hint="eastAsia" w:ascii="仿宋_GB2312" w:hAnsi="宋体" w:cs="宋体"/>
          <w:bCs/>
          <w:color w:val="000000"/>
          <w:kern w:val="0"/>
          <w:szCs w:val="24"/>
          <w:highlight w:val="none"/>
        </w:rPr>
        <w:t>本产品的认购将通过销售机构的</w:t>
      </w:r>
      <w:r>
        <w:rPr>
          <w:rFonts w:ascii="仿宋_GB2312" w:hAnsi="宋体" w:cs="宋体"/>
          <w:bCs/>
          <w:color w:val="000000"/>
          <w:kern w:val="0"/>
          <w:szCs w:val="24"/>
          <w:highlight w:val="none"/>
        </w:rPr>
        <w:t>销售渠道</w:t>
      </w:r>
      <w:r>
        <w:rPr>
          <w:rFonts w:hint="eastAsia" w:ascii="仿宋_GB2312" w:hAnsi="宋体" w:cs="宋体"/>
          <w:bCs/>
          <w:color w:val="000000"/>
          <w:kern w:val="0"/>
          <w:szCs w:val="24"/>
          <w:highlight w:val="none"/>
        </w:rPr>
        <w:t>进行（</w:t>
      </w:r>
      <w:r>
        <w:rPr>
          <w:rFonts w:ascii="仿宋_GB2312" w:hAnsi="宋体" w:cs="宋体"/>
          <w:bCs/>
          <w:color w:val="000000"/>
          <w:kern w:val="0"/>
          <w:szCs w:val="24"/>
          <w:highlight w:val="none"/>
        </w:rPr>
        <w:t>具体以销售机构提供的方式为准)。本产品销售机构包括但不限于</w:t>
      </w:r>
      <w:r>
        <w:rPr>
          <w:rFonts w:hint="eastAsia" w:ascii="仿宋_GB2312" w:hAnsi="宋体" w:cs="宋体"/>
          <w:bCs/>
          <w:color w:val="000000" w:themeColor="text1"/>
          <w:kern w:val="0"/>
          <w:szCs w:val="24"/>
          <w:highlight w:val="yellow"/>
          <w:lang w:eastAsia="zh-CN"/>
          <w14:textFill>
            <w14:solidFill>
              <w14:schemeClr w14:val="tx1"/>
            </w14:solidFill>
          </w14:textFill>
        </w:rPr>
        <w:t>【】</w:t>
      </w:r>
      <w:r>
        <w:rPr>
          <w:rFonts w:hint="eastAsia" w:ascii="仿宋_GB2312" w:hAnsi="宋体" w:cs="宋体"/>
          <w:bCs/>
          <w:color w:val="000000" w:themeColor="text1"/>
          <w:kern w:val="0"/>
          <w:szCs w:val="24"/>
          <w:highlight w:val="none"/>
          <w:lang w:eastAsia="zh-CN"/>
          <w14:textFill>
            <w14:solidFill>
              <w14:schemeClr w14:val="tx1"/>
            </w14:solidFill>
          </w14:textFill>
        </w:rPr>
        <w:t>等</w:t>
      </w:r>
      <w:r>
        <w:rPr>
          <w:rFonts w:hint="eastAsia" w:ascii="仿宋_GB2312" w:hAnsi="宋体" w:cs="宋体"/>
          <w:bCs/>
          <w:color w:val="000000"/>
          <w:kern w:val="0"/>
          <w:szCs w:val="24"/>
          <w:highlight w:val="none"/>
        </w:rPr>
        <w:t>机构，如有</w:t>
      </w:r>
      <w:r>
        <w:rPr>
          <w:rFonts w:ascii="仿宋_GB2312" w:hAnsi="宋体" w:cs="宋体"/>
          <w:bCs/>
          <w:color w:val="000000"/>
          <w:kern w:val="0"/>
          <w:szCs w:val="24"/>
          <w:highlight w:val="none"/>
        </w:rPr>
        <w:t>变更以管理人</w:t>
      </w:r>
      <w:r>
        <w:rPr>
          <w:rFonts w:hint="eastAsia" w:ascii="仿宋_GB2312" w:hAnsi="宋体" w:cs="宋体"/>
          <w:bCs/>
          <w:color w:val="000000"/>
          <w:kern w:val="0"/>
          <w:szCs w:val="24"/>
          <w:highlight w:val="none"/>
        </w:rPr>
        <w:t>信息披露为准。</w:t>
      </w:r>
    </w:p>
    <w:p w14:paraId="1730BEA7">
      <w:pPr>
        <w:widowControl/>
        <w:tabs>
          <w:tab w:val="left" w:pos="709"/>
        </w:tabs>
        <w:adjustRightInd w:val="0"/>
        <w:snapToGrid w:val="0"/>
        <w:spacing w:line="360" w:lineRule="auto"/>
        <w:ind w:firstLine="420" w:firstLineChars="200"/>
        <w:rPr>
          <w:rFonts w:ascii="仿宋_GB2312" w:hAnsi="宋体" w:cs="宋体"/>
          <w:bCs/>
          <w:color w:val="000000"/>
          <w:kern w:val="0"/>
          <w:szCs w:val="24"/>
        </w:rPr>
      </w:pPr>
      <w:r>
        <w:rPr>
          <w:rFonts w:hint="eastAsia" w:ascii="仿宋_GB2312" w:hAnsi="宋体" w:cs="宋体"/>
          <w:bCs/>
          <w:color w:val="000000"/>
          <w:kern w:val="0"/>
          <w:szCs w:val="24"/>
          <w:highlight w:val="none"/>
        </w:rPr>
        <w:t>销售</w:t>
      </w:r>
      <w:r>
        <w:rPr>
          <w:rFonts w:ascii="仿宋_GB2312" w:hAnsi="宋体" w:cs="宋体"/>
          <w:bCs/>
          <w:color w:val="000000"/>
          <w:kern w:val="0"/>
          <w:szCs w:val="24"/>
          <w:highlight w:val="none"/>
        </w:rPr>
        <w:t>机构</w:t>
      </w:r>
      <w:r>
        <w:rPr>
          <w:rFonts w:hint="eastAsia" w:ascii="仿宋_GB2312" w:hAnsi="宋体" w:cs="宋体"/>
          <w:bCs/>
          <w:color w:val="000000"/>
          <w:kern w:val="0"/>
          <w:szCs w:val="24"/>
          <w:highlight w:val="none"/>
        </w:rPr>
        <w:t>主要职责：理财产品宣传推介；为</w:t>
      </w:r>
      <w:r>
        <w:rPr>
          <w:rFonts w:ascii="仿宋_GB2312" w:hAnsi="宋体" w:cs="宋体"/>
          <w:bCs/>
          <w:color w:val="000000"/>
          <w:kern w:val="0"/>
          <w:szCs w:val="24"/>
          <w:highlight w:val="none"/>
        </w:rPr>
        <w:t>投资者办</w:t>
      </w:r>
      <w:r>
        <w:rPr>
          <w:rFonts w:ascii="仿宋_GB2312" w:hAnsi="宋体" w:cs="宋体"/>
          <w:bCs/>
          <w:color w:val="000000"/>
          <w:kern w:val="0"/>
          <w:szCs w:val="24"/>
        </w:rPr>
        <w:t>理</w:t>
      </w:r>
      <w:r>
        <w:rPr>
          <w:rFonts w:hint="eastAsia" w:ascii="仿宋_GB2312" w:hAnsi="宋体" w:cs="宋体"/>
          <w:bCs/>
          <w:color w:val="000000"/>
          <w:kern w:val="0"/>
          <w:szCs w:val="24"/>
        </w:rPr>
        <w:t>理财产品份额认购</w:t>
      </w:r>
      <w:r>
        <w:rPr>
          <w:rFonts w:ascii="仿宋_GB2312" w:hAnsi="宋体" w:cs="宋体"/>
          <w:bCs/>
          <w:color w:val="000000"/>
          <w:kern w:val="0"/>
          <w:szCs w:val="24"/>
        </w:rPr>
        <w:t>/</w:t>
      </w:r>
      <w:r>
        <w:rPr>
          <w:rFonts w:hint="eastAsia" w:ascii="仿宋_GB2312" w:hAnsi="宋体" w:cs="宋体"/>
          <w:bCs/>
          <w:color w:val="000000"/>
          <w:kern w:val="0"/>
          <w:szCs w:val="24"/>
        </w:rPr>
        <w:t>申购</w:t>
      </w:r>
      <w:r>
        <w:rPr>
          <w:rFonts w:ascii="仿宋_GB2312" w:hAnsi="宋体" w:cs="宋体"/>
          <w:bCs/>
          <w:color w:val="000000"/>
          <w:kern w:val="0"/>
          <w:szCs w:val="24"/>
        </w:rPr>
        <w:t>/</w:t>
      </w:r>
      <w:r>
        <w:rPr>
          <w:rFonts w:hint="eastAsia" w:ascii="仿宋_GB2312" w:hAnsi="宋体" w:cs="宋体"/>
          <w:bCs/>
          <w:color w:val="000000"/>
          <w:kern w:val="0"/>
          <w:szCs w:val="24"/>
        </w:rPr>
        <w:t>赎回服务；投资者风险承受能力评估和投资者适当性管理；</w:t>
      </w:r>
      <w:r>
        <w:rPr>
          <w:rFonts w:hint="eastAsia" w:ascii="仿宋_GB2312"/>
          <w:color w:val="000000"/>
        </w:rPr>
        <w:t>反洗钱、反恐怖融资、反扩散融资及非居民金融账户涉税信息尽职调查等</w:t>
      </w:r>
      <w:r>
        <w:rPr>
          <w:rFonts w:ascii="仿宋_GB2312"/>
          <w:color w:val="000000"/>
        </w:rPr>
        <w:t>；</w:t>
      </w:r>
      <w:r>
        <w:rPr>
          <w:rFonts w:hint="eastAsia" w:ascii="仿宋_GB2312"/>
          <w:color w:val="000000"/>
        </w:rPr>
        <w:t>协助投资者与管理人沟通</w:t>
      </w:r>
      <w:r>
        <w:rPr>
          <w:rFonts w:hint="eastAsia" w:ascii="仿宋_GB2312" w:hAnsi="宋体" w:cs="宋体"/>
          <w:bCs/>
          <w:color w:val="000000"/>
          <w:kern w:val="0"/>
          <w:szCs w:val="24"/>
        </w:rPr>
        <w:t>和客户维护等销售服务；国务院银行业监督管理机构规定的其他职责。</w:t>
      </w:r>
    </w:p>
    <w:p w14:paraId="4A2A0EBB">
      <w:pPr>
        <w:widowControl/>
        <w:tabs>
          <w:tab w:val="left" w:pos="709"/>
        </w:tabs>
        <w:adjustRightInd w:val="0"/>
        <w:snapToGrid w:val="0"/>
        <w:spacing w:line="360" w:lineRule="auto"/>
        <w:ind w:firstLine="422" w:firstLineChars="200"/>
        <w:rPr>
          <w:rFonts w:ascii="仿宋_GB2312" w:hAnsi="宋体" w:cs="宋体"/>
          <w:b/>
          <w:bCs/>
          <w:color w:val="000000"/>
          <w:kern w:val="0"/>
          <w:szCs w:val="24"/>
        </w:rPr>
      </w:pPr>
      <w:r>
        <w:rPr>
          <w:rFonts w:hint="eastAsia" w:ascii="仿宋_GB2312" w:hAnsi="宋体" w:cs="宋体"/>
          <w:b/>
          <w:bCs/>
          <w:color w:val="000000"/>
          <w:kern w:val="0"/>
          <w:szCs w:val="24"/>
        </w:rPr>
        <w:t>★重要</w:t>
      </w:r>
      <w:r>
        <w:rPr>
          <w:rFonts w:ascii="仿宋_GB2312" w:hAnsi="宋体" w:cs="宋体"/>
          <w:b/>
          <w:bCs/>
          <w:color w:val="000000"/>
          <w:kern w:val="0"/>
          <w:szCs w:val="24"/>
        </w:rPr>
        <w:t>提示：</w:t>
      </w:r>
      <w:r>
        <w:rPr>
          <w:rFonts w:hint="eastAsia" w:ascii="仿宋_GB2312" w:hAnsi="宋体" w:cs="宋体"/>
          <w:b/>
          <w:bCs/>
          <w:kern w:val="0"/>
          <w:szCs w:val="24"/>
        </w:rPr>
        <w:t>浙银理财委托托管机构托管理财产品或委托销售机构销售理财产品的，可能涉及委托浙商银行股份有限公司（以下简称“浙商银行”）担任理财产品的托管机构或销售机构。浙银理财是浙商银行控股的子公司，双方存在关联关系。如浙银理财委托浙商银行托管或销售本理财产品，将严格履行现行法律法规和监管规定所规定必须履行的程序。前述关联关系可能导致影响管理人独立决策的潜在风险。投资者确认已充分知悉前述关联关系，并接受理财产品由销售机构代理销售、托管机构托管。</w:t>
      </w:r>
    </w:p>
    <w:p w14:paraId="5D43F482">
      <w:pPr>
        <w:pStyle w:val="3"/>
        <w:widowControl/>
        <w:tabs>
          <w:tab w:val="left" w:pos="709"/>
        </w:tabs>
        <w:adjustRightInd w:val="0"/>
        <w:snapToGrid w:val="0"/>
        <w:ind w:firstLine="482"/>
      </w:pPr>
      <w:r>
        <w:t>募集期</w:t>
      </w:r>
    </w:p>
    <w:p w14:paraId="0D5F760A">
      <w:pPr>
        <w:widowControl/>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产品募集期内，投资者可多次对本产品认购、追加、</w:t>
      </w:r>
      <w:r>
        <w:rPr>
          <w:rFonts w:hint="eastAsia"/>
        </w:rPr>
        <w:t>撤单</w:t>
      </w:r>
      <w:r>
        <w:rPr>
          <w:rFonts w:hint="eastAsia" w:ascii="仿宋_GB2312" w:hAnsi="宋体" w:cs="宋体"/>
          <w:bCs/>
          <w:kern w:val="0"/>
          <w:szCs w:val="24"/>
        </w:rPr>
        <w:t>。如投资者认购成功，销售机构有权冻结投资者认购资金，</w:t>
      </w:r>
      <w:r>
        <w:rPr>
          <w:rFonts w:hint="eastAsia" w:ascii="仿宋_GB2312" w:hAnsi="宋体" w:cs="宋体"/>
          <w:b/>
          <w:kern w:val="0"/>
          <w:szCs w:val="24"/>
        </w:rPr>
        <w:t>但募集期内认购资金是否计息以销售机构规则为准，利息不计入认购本金份额。</w:t>
      </w:r>
      <w:r>
        <w:rPr>
          <w:rFonts w:hint="eastAsia" w:ascii="仿宋_GB2312" w:hAnsi="宋体" w:cs="宋体"/>
          <w:bCs/>
          <w:kern w:val="0"/>
          <w:szCs w:val="24"/>
        </w:rPr>
        <w:t>销售机构实际受理投资者成功提交的认购申请时间可能与说明书不一致，具体以销售机构信息为准。</w:t>
      </w:r>
    </w:p>
    <w:p w14:paraId="7D223263">
      <w:pPr>
        <w:widowControl/>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本理财产品累计认购份额达到发行规模上限时，销售机构有权停止接受认购申请。管理人有权根据募集情况提前终止或延长产品募集期，</w:t>
      </w:r>
      <w:r>
        <w:rPr>
          <w:rFonts w:ascii="仿宋_GB2312" w:hAnsi="宋体" w:cs="宋体"/>
          <w:bCs/>
          <w:kern w:val="0"/>
          <w:szCs w:val="24"/>
        </w:rPr>
        <w:t>如有变动</w:t>
      </w:r>
      <w:r>
        <w:rPr>
          <w:rFonts w:hint="eastAsia" w:ascii="仿宋_GB2312" w:hAnsi="宋体" w:cs="宋体"/>
          <w:bCs/>
          <w:kern w:val="0"/>
          <w:szCs w:val="24"/>
        </w:rPr>
        <w:t>以管理人或销售机构公告为准。</w:t>
      </w:r>
    </w:p>
    <w:p w14:paraId="3D95FA6E">
      <w:pPr>
        <w:pStyle w:val="3"/>
        <w:widowControl/>
        <w:tabs>
          <w:tab w:val="left" w:pos="709"/>
        </w:tabs>
        <w:snapToGrid w:val="0"/>
        <w:ind w:firstLine="482"/>
        <w:rPr>
          <w:rStyle w:val="15"/>
          <w:rFonts w:ascii="仿宋_GB2312" w:hAnsi="宋体"/>
          <w:b w:val="0"/>
        </w:rPr>
      </w:pPr>
      <w:r>
        <w:rPr>
          <w:rFonts w:hint="eastAsia" w:ascii="仿宋_GB2312" w:hAnsi="宋体" w:cs="宋体"/>
          <w:bCs/>
          <w:kern w:val="0"/>
          <w:szCs w:val="24"/>
        </w:rPr>
        <w:t>投资者</w:t>
      </w:r>
      <w:r>
        <w:rPr>
          <w:rFonts w:ascii="仿宋_GB2312" w:hAnsi="宋体" w:cs="宋体"/>
          <w:bCs/>
          <w:kern w:val="0"/>
          <w:szCs w:val="24"/>
        </w:rPr>
        <w:t>范围</w:t>
      </w:r>
    </w:p>
    <w:p w14:paraId="19B2C81F">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06673D6D">
      <w:pPr>
        <w:pStyle w:val="3"/>
        <w:ind w:firstLine="482"/>
        <w:rPr>
          <w:color w:val="auto"/>
          <w:highlight w:val="none"/>
          <w:u w:val="none"/>
        </w:rPr>
      </w:pPr>
      <w:r>
        <w:rPr>
          <w:rFonts w:hint="eastAsia"/>
          <w:color w:val="auto"/>
          <w:highlight w:val="none"/>
          <w:u w:val="none"/>
        </w:rPr>
        <w:t>认购的</w:t>
      </w:r>
      <w:r>
        <w:rPr>
          <w:color w:val="auto"/>
          <w:highlight w:val="none"/>
          <w:u w:val="none"/>
        </w:rPr>
        <w:t>价格</w:t>
      </w:r>
    </w:p>
    <w:p w14:paraId="62AA83F7">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本产品的认购价格为每份理财份额人民币1.00</w:t>
      </w:r>
      <w:r>
        <w:rPr>
          <w:rFonts w:ascii="仿宋_GB2312" w:hAnsi="宋体" w:cs="宋体"/>
          <w:bCs/>
          <w:color w:val="auto"/>
          <w:kern w:val="0"/>
          <w:szCs w:val="24"/>
          <w:highlight w:val="none"/>
          <w:u w:val="none"/>
        </w:rPr>
        <w:t>0</w:t>
      </w:r>
      <w:r>
        <w:rPr>
          <w:rFonts w:hint="eastAsia" w:ascii="仿宋_GB2312" w:hAnsi="宋体" w:cs="宋体"/>
          <w:bCs/>
          <w:color w:val="auto"/>
          <w:kern w:val="0"/>
          <w:szCs w:val="24"/>
          <w:highlight w:val="none"/>
          <w:u w:val="none"/>
          <w:lang w:val="en-US" w:eastAsia="zh-CN"/>
        </w:rPr>
        <w:t>00</w:t>
      </w:r>
      <w:r>
        <w:rPr>
          <w:rFonts w:ascii="仿宋_GB2312" w:hAnsi="宋体" w:cs="宋体"/>
          <w:bCs/>
          <w:color w:val="auto"/>
          <w:kern w:val="0"/>
          <w:szCs w:val="24"/>
          <w:highlight w:val="none"/>
          <w:u w:val="none"/>
        </w:rPr>
        <w:t>0</w:t>
      </w:r>
      <w:r>
        <w:rPr>
          <w:rFonts w:hint="eastAsia" w:ascii="仿宋_GB2312" w:hAnsi="宋体" w:cs="宋体"/>
          <w:bCs/>
          <w:color w:val="auto"/>
          <w:kern w:val="0"/>
          <w:szCs w:val="24"/>
          <w:highlight w:val="none"/>
          <w:u w:val="none"/>
          <w:lang w:val="en-US" w:eastAsia="zh-CN"/>
        </w:rPr>
        <w:t>00</w:t>
      </w:r>
      <w:r>
        <w:rPr>
          <w:rFonts w:hint="eastAsia" w:ascii="仿宋_GB2312" w:hAnsi="宋体" w:cs="宋体"/>
          <w:bCs/>
          <w:color w:val="auto"/>
          <w:kern w:val="0"/>
          <w:szCs w:val="24"/>
          <w:highlight w:val="none"/>
          <w:u w:val="none"/>
        </w:rPr>
        <w:t>元。</w:t>
      </w:r>
    </w:p>
    <w:p w14:paraId="5F0589F8">
      <w:pPr>
        <w:pStyle w:val="3"/>
        <w:widowControl/>
        <w:tabs>
          <w:tab w:val="left" w:pos="709"/>
        </w:tabs>
        <w:snapToGrid w:val="0"/>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认购</w:t>
      </w:r>
      <w:r>
        <w:rPr>
          <w:rFonts w:ascii="仿宋_GB2312" w:hAnsi="宋体" w:cs="宋体"/>
          <w:bCs/>
          <w:color w:val="auto"/>
          <w:kern w:val="0"/>
          <w:szCs w:val="24"/>
          <w:highlight w:val="none"/>
          <w:u w:val="none"/>
        </w:rPr>
        <w:t>份额</w:t>
      </w:r>
      <w:r>
        <w:rPr>
          <w:rFonts w:hint="eastAsia" w:ascii="仿宋_GB2312" w:hAnsi="宋体" w:cs="宋体"/>
          <w:bCs/>
          <w:color w:val="auto"/>
          <w:kern w:val="0"/>
          <w:szCs w:val="24"/>
          <w:highlight w:val="none"/>
          <w:u w:val="none"/>
        </w:rPr>
        <w:t>的</w:t>
      </w:r>
      <w:r>
        <w:rPr>
          <w:rFonts w:ascii="仿宋_GB2312" w:hAnsi="宋体" w:cs="宋体"/>
          <w:bCs/>
          <w:color w:val="auto"/>
          <w:kern w:val="0"/>
          <w:szCs w:val="24"/>
          <w:highlight w:val="none"/>
          <w:u w:val="none"/>
        </w:rPr>
        <w:t>计算</w:t>
      </w:r>
    </w:p>
    <w:p w14:paraId="2A14C2DA">
      <w:pPr>
        <w:widowControl/>
        <w:tabs>
          <w:tab w:val="left" w:pos="709"/>
        </w:tabs>
        <w:snapToGrid w:val="0"/>
        <w:spacing w:line="360" w:lineRule="auto"/>
        <w:ind w:firstLine="420" w:firstLineChars="200"/>
        <w:rPr>
          <w:rFonts w:ascii="仿宋_GB2312" w:hAnsi="宋体" w:cs="宋体"/>
          <w:bCs/>
          <w:color w:val="000000"/>
          <w:kern w:val="0"/>
          <w:szCs w:val="24"/>
          <w:highlight w:val="none"/>
        </w:rPr>
      </w:pPr>
      <w:r>
        <w:rPr>
          <w:rFonts w:hint="eastAsia" w:ascii="仿宋_GB2312" w:hAnsi="宋体" w:cs="宋体"/>
          <w:bCs/>
          <w:color w:val="000000"/>
          <w:kern w:val="0"/>
          <w:szCs w:val="24"/>
          <w:highlight w:val="none"/>
        </w:rPr>
        <w:t>本产品采用金额认购方法，认购时计算方法如下：</w:t>
      </w:r>
      <w:r>
        <w:rPr>
          <w:rFonts w:ascii="仿宋_GB2312" w:hAnsi="宋体" w:cs="宋体"/>
          <w:bCs/>
          <w:color w:val="000000"/>
          <w:kern w:val="0"/>
          <w:szCs w:val="24"/>
          <w:highlight w:val="none"/>
        </w:rPr>
        <w:t xml:space="preserve"> </w:t>
      </w:r>
    </w:p>
    <w:p w14:paraId="44F77A39">
      <w:pPr>
        <w:widowControl/>
        <w:tabs>
          <w:tab w:val="left" w:pos="709"/>
        </w:tabs>
        <w:snapToGrid w:val="0"/>
        <w:spacing w:line="360" w:lineRule="auto"/>
        <w:ind w:firstLine="420" w:firstLineChars="200"/>
        <w:rPr>
          <w:rFonts w:ascii="仿宋_GB2312" w:hAnsi="宋体" w:cs="宋体"/>
          <w:bCs/>
          <w:color w:val="000000"/>
          <w:kern w:val="0"/>
          <w:szCs w:val="24"/>
          <w:highlight w:val="none"/>
        </w:rPr>
      </w:pPr>
      <w:r>
        <w:rPr>
          <w:rFonts w:hint="eastAsia" w:ascii="仿宋_GB2312" w:hAnsi="宋体" w:cs="宋体"/>
          <w:bCs/>
          <w:color w:val="000000"/>
          <w:kern w:val="0"/>
          <w:szCs w:val="24"/>
          <w:highlight w:val="none"/>
        </w:rPr>
        <w:t>净认购金额=认购金额/（1+认购费率）（认购</w:t>
      </w:r>
      <w:r>
        <w:rPr>
          <w:rFonts w:ascii="仿宋_GB2312" w:hAnsi="宋体" w:cs="宋体"/>
          <w:bCs/>
          <w:color w:val="000000"/>
          <w:kern w:val="0"/>
          <w:szCs w:val="24"/>
          <w:highlight w:val="none"/>
        </w:rPr>
        <w:t>费</w:t>
      </w:r>
      <w:r>
        <w:rPr>
          <w:rFonts w:hint="eastAsia" w:ascii="仿宋_GB2312" w:hAnsi="宋体" w:cs="宋体"/>
          <w:bCs/>
          <w:color w:val="000000"/>
          <w:kern w:val="0"/>
          <w:szCs w:val="24"/>
          <w:highlight w:val="none"/>
        </w:rPr>
        <w:t>率详见产品说明书</w:t>
      </w:r>
      <w:r>
        <w:rPr>
          <w:rFonts w:ascii="仿宋_GB2312" w:hAnsi="宋体" w:cs="宋体"/>
          <w:bCs/>
          <w:color w:val="000000"/>
          <w:kern w:val="0"/>
          <w:szCs w:val="24"/>
          <w:highlight w:val="none"/>
        </w:rPr>
        <w:t>关于费用</w:t>
      </w:r>
      <w:r>
        <w:rPr>
          <w:rFonts w:hint="eastAsia" w:ascii="仿宋_GB2312" w:hAnsi="宋体" w:cs="宋体"/>
          <w:bCs/>
          <w:color w:val="000000"/>
          <w:kern w:val="0"/>
          <w:szCs w:val="24"/>
          <w:highlight w:val="none"/>
        </w:rPr>
        <w:t>的说明）</w:t>
      </w:r>
    </w:p>
    <w:p w14:paraId="5FECB55B">
      <w:pPr>
        <w:widowControl/>
        <w:tabs>
          <w:tab w:val="left" w:pos="709"/>
        </w:tabs>
        <w:snapToGrid w:val="0"/>
        <w:spacing w:line="360" w:lineRule="auto"/>
        <w:ind w:firstLine="420" w:firstLineChars="200"/>
        <w:rPr>
          <w:rFonts w:ascii="仿宋_GB2312" w:hAnsi="宋体" w:cs="宋体"/>
          <w:bCs/>
          <w:color w:val="000000"/>
          <w:kern w:val="0"/>
          <w:szCs w:val="24"/>
          <w:highlight w:val="none"/>
        </w:rPr>
      </w:pPr>
      <w:r>
        <w:rPr>
          <w:rFonts w:hint="eastAsia" w:ascii="仿宋_GB2312" w:hAnsi="宋体" w:cs="宋体"/>
          <w:bCs/>
          <w:color w:val="000000"/>
          <w:kern w:val="0"/>
          <w:szCs w:val="24"/>
          <w:highlight w:val="none"/>
        </w:rPr>
        <w:t>认购</w:t>
      </w:r>
      <w:r>
        <w:rPr>
          <w:rFonts w:ascii="仿宋_GB2312" w:hAnsi="宋体" w:cs="宋体"/>
          <w:bCs/>
          <w:color w:val="000000"/>
          <w:kern w:val="0"/>
          <w:szCs w:val="24"/>
          <w:highlight w:val="none"/>
        </w:rPr>
        <w:t>费用=</w:t>
      </w:r>
      <w:r>
        <w:rPr>
          <w:rFonts w:hint="eastAsia" w:ascii="仿宋_GB2312" w:hAnsi="宋体" w:cs="宋体"/>
          <w:bCs/>
          <w:color w:val="000000"/>
          <w:kern w:val="0"/>
          <w:szCs w:val="24"/>
          <w:highlight w:val="none"/>
        </w:rPr>
        <w:t>净认购金额×认购费率</w:t>
      </w:r>
    </w:p>
    <w:p w14:paraId="1C20DE13">
      <w:pPr>
        <w:widowControl/>
        <w:tabs>
          <w:tab w:val="left" w:pos="709"/>
        </w:tabs>
        <w:snapToGrid w:val="0"/>
        <w:spacing w:line="360" w:lineRule="auto"/>
        <w:ind w:firstLine="420" w:firstLineChars="200"/>
        <w:rPr>
          <w:rFonts w:ascii="仿宋_GB2312" w:hAnsi="宋体" w:cs="宋体"/>
          <w:bCs/>
          <w:color w:val="000000"/>
          <w:kern w:val="0"/>
          <w:szCs w:val="24"/>
          <w:highlight w:val="none"/>
        </w:rPr>
      </w:pPr>
      <w:r>
        <w:rPr>
          <w:rFonts w:hint="eastAsia" w:ascii="仿宋_GB2312" w:hAnsi="宋体" w:cs="宋体"/>
          <w:bCs/>
          <w:color w:val="000000"/>
          <w:kern w:val="0"/>
          <w:szCs w:val="24"/>
          <w:highlight w:val="none"/>
        </w:rPr>
        <w:t>认购</w:t>
      </w:r>
      <w:r>
        <w:rPr>
          <w:rFonts w:ascii="仿宋_GB2312" w:hAnsi="宋体" w:cs="宋体"/>
          <w:bCs/>
          <w:color w:val="000000"/>
          <w:kern w:val="0"/>
          <w:szCs w:val="24"/>
          <w:highlight w:val="none"/>
        </w:rPr>
        <w:t>份额=净认购金额</w:t>
      </w:r>
      <w:r>
        <w:rPr>
          <w:rFonts w:hint="eastAsia" w:ascii="仿宋_GB2312" w:hAnsi="宋体" w:cs="宋体"/>
          <w:bCs/>
          <w:color w:val="000000"/>
          <w:kern w:val="0"/>
          <w:szCs w:val="24"/>
          <w:highlight w:val="none"/>
        </w:rPr>
        <w:t>/理财产品单位份额净值</w:t>
      </w:r>
    </w:p>
    <w:p w14:paraId="68B4060D">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000000"/>
          <w:kern w:val="0"/>
          <w:szCs w:val="24"/>
          <w:highlight w:val="none"/>
        </w:rPr>
        <w:t>认购份额以四舍五入的方法保留到小数点后两位。</w:t>
      </w:r>
    </w:p>
    <w:p w14:paraId="02A413C1">
      <w:pPr>
        <w:pStyle w:val="3"/>
        <w:ind w:firstLine="482"/>
        <w:rPr>
          <w:color w:val="auto"/>
          <w:highlight w:val="none"/>
          <w:u w:val="none"/>
        </w:rPr>
      </w:pPr>
      <w:r>
        <w:rPr>
          <w:rFonts w:hint="eastAsia"/>
          <w:color w:val="auto"/>
          <w:highlight w:val="none"/>
          <w:u w:val="none"/>
        </w:rPr>
        <w:t>认购</w:t>
      </w:r>
      <w:r>
        <w:rPr>
          <w:rFonts w:hint="eastAsia"/>
          <w:color w:val="auto"/>
          <w:highlight w:val="none"/>
          <w:u w:val="none"/>
          <w:lang w:eastAsia="zh-CN"/>
        </w:rPr>
        <w:t>的</w:t>
      </w:r>
      <w:r>
        <w:rPr>
          <w:rFonts w:hint="eastAsia"/>
          <w:color w:val="auto"/>
          <w:highlight w:val="none"/>
          <w:u w:val="none"/>
        </w:rPr>
        <w:t>起点</w:t>
      </w:r>
      <w:r>
        <w:rPr>
          <w:rFonts w:hint="eastAsia"/>
          <w:color w:val="auto"/>
          <w:highlight w:val="none"/>
          <w:u w:val="none"/>
          <w:lang w:eastAsia="zh-CN"/>
        </w:rPr>
        <w:t>销售金额</w:t>
      </w:r>
      <w:r>
        <w:rPr>
          <w:rFonts w:hint="eastAsia"/>
          <w:color w:val="auto"/>
          <w:highlight w:val="none"/>
          <w:u w:val="none"/>
        </w:rPr>
        <w:t>和</w:t>
      </w:r>
      <w:r>
        <w:rPr>
          <w:rFonts w:hint="eastAsia"/>
          <w:color w:val="auto"/>
          <w:highlight w:val="none"/>
          <w:u w:val="none"/>
          <w:lang w:eastAsia="zh-CN"/>
        </w:rPr>
        <w:t>追加</w:t>
      </w:r>
      <w:r>
        <w:rPr>
          <w:rFonts w:hint="eastAsia"/>
          <w:color w:val="auto"/>
          <w:highlight w:val="none"/>
          <w:u w:val="none"/>
        </w:rPr>
        <w:t>递增</w:t>
      </w:r>
      <w:r>
        <w:rPr>
          <w:color w:val="auto"/>
          <w:highlight w:val="none"/>
          <w:u w:val="none"/>
        </w:rPr>
        <w:t>金额</w:t>
      </w:r>
    </w:p>
    <w:p w14:paraId="094DE3B3">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16C2FC4C">
      <w:pPr>
        <w:pStyle w:val="3"/>
        <w:widowControl/>
        <w:tabs>
          <w:tab w:val="left" w:pos="709"/>
        </w:tabs>
        <w:snapToGrid w:val="0"/>
        <w:ind w:firstLine="482"/>
        <w:rPr>
          <w:rFonts w:ascii="仿宋_GB2312" w:hAnsi="宋体" w:cs="宋体"/>
          <w:bCs/>
          <w:kern w:val="0"/>
          <w:szCs w:val="24"/>
        </w:rPr>
      </w:pPr>
      <w:r>
        <w:rPr>
          <w:rFonts w:hint="eastAsia" w:ascii="仿宋_GB2312" w:hAnsi="宋体" w:cs="宋体"/>
          <w:bCs/>
          <w:kern w:val="0"/>
          <w:szCs w:val="24"/>
        </w:rPr>
        <w:t>认购确认</w:t>
      </w:r>
    </w:p>
    <w:p w14:paraId="0945E145">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投资者提交认购申请后，如管理人在认购</w:t>
      </w:r>
      <w:r>
        <w:rPr>
          <w:rFonts w:ascii="仿宋_GB2312" w:hAnsi="宋体" w:cs="宋体"/>
          <w:bCs/>
          <w:color w:val="auto"/>
          <w:kern w:val="0"/>
          <w:szCs w:val="24"/>
          <w:highlight w:val="none"/>
          <w:u w:val="none"/>
        </w:rPr>
        <w:t>确认日</w:t>
      </w:r>
      <w:r>
        <w:rPr>
          <w:rFonts w:hint="eastAsia" w:ascii="仿宋_GB2312" w:hAnsi="宋体" w:cs="宋体"/>
          <w:bCs/>
          <w:color w:val="auto"/>
          <w:kern w:val="0"/>
          <w:szCs w:val="24"/>
          <w:highlight w:val="none"/>
          <w:u w:val="none"/>
        </w:rPr>
        <w:t>成功登记投资者认购份额，则视为投资者的认购申请生效。销售机构成功登记投资者认购份额、投资者认购申请生效并不代表销售机构对该认购申请结果的成功确认或承诺，而仅代表其收到认购申请，认购申请结果是否成功以管理人确认为准。本产品认购确认日为本产品成立日。</w:t>
      </w:r>
    </w:p>
    <w:p w14:paraId="67481E6C">
      <w:pPr>
        <w:pStyle w:val="3"/>
        <w:widowControl/>
        <w:tabs>
          <w:tab w:val="left" w:pos="709"/>
        </w:tabs>
        <w:snapToGrid w:val="0"/>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认购撤销</w:t>
      </w:r>
    </w:p>
    <w:p w14:paraId="21570050">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募集期内投资者可以撤销已提交的认购申请，具体请以销售机构规定为准。</w:t>
      </w:r>
    </w:p>
    <w:p w14:paraId="42A45B8F">
      <w:pPr>
        <w:pStyle w:val="3"/>
        <w:widowControl/>
        <w:tabs>
          <w:tab w:val="left" w:pos="709"/>
        </w:tabs>
        <w:snapToGrid w:val="0"/>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认购数量</w:t>
      </w:r>
      <w:r>
        <w:rPr>
          <w:rFonts w:ascii="仿宋_GB2312" w:hAnsi="宋体" w:cs="宋体"/>
          <w:bCs/>
          <w:color w:val="auto"/>
          <w:kern w:val="0"/>
          <w:szCs w:val="24"/>
          <w:highlight w:val="none"/>
          <w:u w:val="none"/>
        </w:rPr>
        <w:t>限制</w:t>
      </w:r>
    </w:p>
    <w:p w14:paraId="4104388E">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230B537D">
      <w:pPr>
        <w:pStyle w:val="3"/>
        <w:ind w:firstLine="482"/>
        <w:rPr>
          <w:color w:val="auto"/>
          <w:highlight w:val="none"/>
          <w:u w:val="none"/>
        </w:rPr>
      </w:pPr>
      <w:r>
        <w:rPr>
          <w:rFonts w:hint="eastAsia"/>
          <w:color w:val="auto"/>
          <w:highlight w:val="none"/>
          <w:u w:val="none"/>
        </w:rPr>
        <w:t>产品成立</w:t>
      </w:r>
    </w:p>
    <w:p w14:paraId="49CA930B">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1.募集期届满，募集总资金累计金额不低于产品最低成立规模时，产品成立。</w:t>
      </w:r>
    </w:p>
    <w:p w14:paraId="7B17E109">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w:t>
      </w:r>
      <w:r>
        <w:rPr>
          <w:rFonts w:hint="eastAsia" w:ascii="仿宋_GB2312" w:hAnsi="宋体" w:cs="宋体"/>
          <w:b/>
          <w:bCs/>
          <w:color w:val="auto"/>
          <w:kern w:val="0"/>
          <w:szCs w:val="24"/>
          <w:highlight w:val="none"/>
          <w:u w:val="none"/>
        </w:rPr>
        <w:t>本产品募集期限内，如募集总金额未达到产品最低成立规模，或国家宏观政策以及市场相关法规政策发生变化，或市场发生剧烈波动，或发生其他经管理人合理判断难以履行本理财产品说明书约定或可能导致投资者权益受损的情形，管理人有权利但无义务宣布本理财产品不成立</w:t>
      </w:r>
      <w:r>
        <w:rPr>
          <w:rFonts w:hint="eastAsia" w:ascii="仿宋_GB2312" w:hAnsi="宋体"/>
          <w:b/>
          <w:color w:val="auto"/>
          <w:kern w:val="0"/>
          <w:szCs w:val="24"/>
          <w:highlight w:val="none"/>
          <w:u w:val="none"/>
        </w:rPr>
        <w:t>，亦有权延长募集期或调整募集规模</w:t>
      </w:r>
      <w:r>
        <w:rPr>
          <w:rFonts w:hint="eastAsia" w:ascii="仿宋_GB2312" w:hAnsi="宋体" w:cs="宋体"/>
          <w:b/>
          <w:bCs/>
          <w:color w:val="auto"/>
          <w:kern w:val="0"/>
          <w:szCs w:val="24"/>
          <w:highlight w:val="none"/>
          <w:u w:val="none"/>
        </w:rPr>
        <w:t>。</w:t>
      </w:r>
    </w:p>
    <w:p w14:paraId="7ABCAA20">
      <w:pPr>
        <w:widowControl/>
        <w:tabs>
          <w:tab w:val="left" w:pos="709"/>
        </w:tabs>
        <w:snapToGrid w:val="0"/>
        <w:spacing w:line="360" w:lineRule="auto"/>
        <w:ind w:firstLine="420" w:firstLineChars="200"/>
        <w:rPr>
          <w:rFonts w:ascii="仿宋_GB2312" w:hAnsi="宋体" w:cs="宋体"/>
          <w:b/>
          <w:bCs/>
          <w:color w:val="auto"/>
          <w:kern w:val="0"/>
          <w:szCs w:val="24"/>
          <w:highlight w:val="none"/>
          <w:u w:val="none"/>
        </w:rPr>
      </w:pPr>
      <w:r>
        <w:rPr>
          <w:rFonts w:hint="eastAsia" w:ascii="仿宋_GB2312" w:hAnsi="宋体" w:cs="宋体"/>
          <w:bCs/>
          <w:color w:val="auto"/>
          <w:kern w:val="0"/>
          <w:szCs w:val="24"/>
          <w:highlight w:val="none"/>
          <w:u w:val="none"/>
        </w:rPr>
        <w:t>（1）产品不成立：管理人决定理财产品不成立，将及时通过本产品说明书约定的</w:t>
      </w:r>
      <w:r>
        <w:rPr>
          <w:rFonts w:ascii="仿宋_GB2312" w:hAnsi="宋体" w:cs="宋体"/>
          <w:bCs/>
          <w:color w:val="auto"/>
          <w:kern w:val="0"/>
          <w:szCs w:val="24"/>
          <w:highlight w:val="none"/>
          <w:u w:val="none"/>
        </w:rPr>
        <w:t>方式</w:t>
      </w:r>
      <w:r>
        <w:rPr>
          <w:rFonts w:hint="eastAsia" w:ascii="仿宋_GB2312" w:hAnsi="宋体" w:cs="宋体"/>
          <w:bCs/>
          <w:color w:val="auto"/>
          <w:kern w:val="0"/>
          <w:szCs w:val="24"/>
          <w:highlight w:val="none"/>
          <w:u w:val="none"/>
        </w:rPr>
        <w:t>披露产品不成立相关信息，并在不晚于产品原计划成立日后的3个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通过销售机构将理财投资本金退回投资者指定账户。</w:t>
      </w:r>
    </w:p>
    <w:p w14:paraId="11623673">
      <w:pPr>
        <w:widowControl/>
        <w:tabs>
          <w:tab w:val="left" w:pos="709"/>
        </w:tabs>
        <w:snapToGrid w:val="0"/>
        <w:spacing w:line="360" w:lineRule="auto"/>
        <w:ind w:firstLine="420" w:firstLineChars="200"/>
        <w:rPr>
          <w:rFonts w:ascii="仿宋_GB2312" w:hAnsi="宋体"/>
          <w:color w:val="auto"/>
          <w:kern w:val="0"/>
          <w:szCs w:val="24"/>
          <w:highlight w:val="none"/>
          <w:u w:val="none"/>
        </w:rPr>
      </w:pPr>
      <w:r>
        <w:rPr>
          <w:rFonts w:hint="eastAsia" w:ascii="仿宋_GB2312" w:hAnsi="宋体" w:cs="宋体"/>
          <w:bCs/>
          <w:color w:val="auto"/>
          <w:kern w:val="0"/>
          <w:szCs w:val="24"/>
          <w:highlight w:val="none"/>
          <w:u w:val="none"/>
        </w:rPr>
        <w:t>（2）</w:t>
      </w:r>
      <w:r>
        <w:rPr>
          <w:rFonts w:hint="eastAsia" w:ascii="仿宋_GB2312" w:hAnsi="宋体"/>
          <w:color w:val="auto"/>
          <w:kern w:val="0"/>
          <w:szCs w:val="24"/>
          <w:highlight w:val="none"/>
          <w:u w:val="none"/>
        </w:rPr>
        <w:t>延长产品募集期:</w:t>
      </w:r>
      <w:r>
        <w:rPr>
          <w:rFonts w:hint="eastAsia" w:ascii="仿宋_GB2312" w:hAnsi="宋体" w:cs="宋体"/>
          <w:bCs/>
          <w:color w:val="auto"/>
          <w:kern w:val="0"/>
          <w:szCs w:val="24"/>
          <w:highlight w:val="none"/>
          <w:u w:val="none"/>
        </w:rPr>
        <w:t>管理人决定延长产品募集期，</w:t>
      </w:r>
      <w:r>
        <w:rPr>
          <w:rFonts w:hint="eastAsia" w:ascii="仿宋_GB2312" w:hAnsi="宋体"/>
          <w:color w:val="auto"/>
          <w:kern w:val="0"/>
          <w:szCs w:val="24"/>
          <w:highlight w:val="none"/>
          <w:u w:val="none"/>
        </w:rPr>
        <w:t>将在理财</w:t>
      </w:r>
      <w:r>
        <w:rPr>
          <w:rFonts w:ascii="仿宋_GB2312" w:hAnsi="宋体"/>
          <w:color w:val="auto"/>
          <w:kern w:val="0"/>
          <w:szCs w:val="24"/>
          <w:highlight w:val="none"/>
          <w:u w:val="none"/>
        </w:rPr>
        <w:t>产品</w:t>
      </w:r>
      <w:r>
        <w:rPr>
          <w:rFonts w:hint="eastAsia" w:ascii="仿宋_GB2312" w:hAnsi="宋体"/>
          <w:color w:val="auto"/>
          <w:kern w:val="0"/>
          <w:szCs w:val="24"/>
          <w:highlight w:val="none"/>
          <w:u w:val="none"/>
        </w:rPr>
        <w:t>原定成立日前</w:t>
      </w:r>
      <w:r>
        <w:rPr>
          <w:rFonts w:hint="eastAsia" w:ascii="仿宋_GB2312" w:hAnsi="宋体" w:cs="宋体"/>
          <w:bCs/>
          <w:color w:val="auto"/>
          <w:kern w:val="0"/>
          <w:szCs w:val="24"/>
          <w:highlight w:val="none"/>
          <w:u w:val="none"/>
        </w:rPr>
        <w:t>通过本产品说明书约定</w:t>
      </w:r>
      <w:r>
        <w:rPr>
          <w:rFonts w:ascii="仿宋_GB2312" w:hAnsi="宋体" w:cs="宋体"/>
          <w:bCs/>
          <w:color w:val="auto"/>
          <w:kern w:val="0"/>
          <w:szCs w:val="24"/>
          <w:highlight w:val="none"/>
          <w:u w:val="none"/>
        </w:rPr>
        <w:t>方式</w:t>
      </w:r>
      <w:r>
        <w:rPr>
          <w:rFonts w:hint="eastAsia" w:ascii="仿宋_GB2312" w:hAnsi="宋体"/>
          <w:color w:val="auto"/>
          <w:kern w:val="0"/>
          <w:szCs w:val="24"/>
          <w:highlight w:val="none"/>
          <w:u w:val="none"/>
        </w:rPr>
        <w:t>发布募集期延长公告。</w:t>
      </w:r>
    </w:p>
    <w:p w14:paraId="30E53200">
      <w:pPr>
        <w:widowControl/>
        <w:tabs>
          <w:tab w:val="left" w:pos="709"/>
        </w:tabs>
        <w:snapToGrid w:val="0"/>
        <w:spacing w:line="360" w:lineRule="auto"/>
        <w:ind w:firstLine="420" w:firstLineChars="200"/>
        <w:rPr>
          <w:rFonts w:hint="eastAsia" w:ascii="仿宋_GB2312" w:hAnsi="宋体"/>
          <w:color w:val="auto"/>
          <w:kern w:val="0"/>
          <w:szCs w:val="24"/>
          <w:highlight w:val="none"/>
          <w:u w:val="none"/>
        </w:rPr>
      </w:pPr>
      <w:r>
        <w:rPr>
          <w:rFonts w:hint="eastAsia" w:ascii="仿宋_GB2312" w:hAnsi="宋体" w:cs="宋体"/>
          <w:bCs/>
          <w:color w:val="auto"/>
          <w:kern w:val="0"/>
          <w:szCs w:val="24"/>
          <w:highlight w:val="none"/>
          <w:u w:val="none"/>
        </w:rPr>
        <w:t>（3）</w:t>
      </w:r>
      <w:r>
        <w:rPr>
          <w:rFonts w:hint="eastAsia" w:ascii="仿宋_GB2312" w:hAnsi="宋体"/>
          <w:color w:val="auto"/>
          <w:kern w:val="0"/>
          <w:szCs w:val="24"/>
          <w:highlight w:val="none"/>
          <w:u w:val="none"/>
        </w:rPr>
        <w:t>调整产品募集规模：</w:t>
      </w:r>
      <w:r>
        <w:rPr>
          <w:rFonts w:hint="eastAsia" w:ascii="仿宋_GB2312" w:hAnsi="宋体" w:cs="宋体"/>
          <w:bCs/>
          <w:color w:val="auto"/>
          <w:kern w:val="0"/>
          <w:szCs w:val="24"/>
          <w:highlight w:val="none"/>
          <w:u w:val="none"/>
        </w:rPr>
        <w:t>管理人决定调整产品募集规模，</w:t>
      </w:r>
      <w:r>
        <w:rPr>
          <w:rFonts w:hint="eastAsia" w:ascii="仿宋_GB2312" w:hAnsi="宋体"/>
          <w:color w:val="auto"/>
          <w:kern w:val="0"/>
          <w:szCs w:val="24"/>
          <w:highlight w:val="none"/>
          <w:u w:val="none"/>
        </w:rPr>
        <w:t>将及时通过</w:t>
      </w:r>
      <w:r>
        <w:rPr>
          <w:rFonts w:hint="eastAsia" w:ascii="仿宋_GB2312" w:hAnsi="宋体" w:cs="宋体"/>
          <w:bCs/>
          <w:color w:val="auto"/>
          <w:kern w:val="0"/>
          <w:szCs w:val="24"/>
          <w:highlight w:val="none"/>
          <w:u w:val="none"/>
        </w:rPr>
        <w:t>本产品说明书约定</w:t>
      </w:r>
      <w:r>
        <w:rPr>
          <w:rFonts w:ascii="仿宋_GB2312" w:hAnsi="宋体" w:cs="宋体"/>
          <w:bCs/>
          <w:color w:val="auto"/>
          <w:kern w:val="0"/>
          <w:szCs w:val="24"/>
          <w:highlight w:val="none"/>
          <w:u w:val="none"/>
        </w:rPr>
        <w:t>方式</w:t>
      </w:r>
      <w:r>
        <w:rPr>
          <w:rFonts w:hint="eastAsia" w:ascii="仿宋_GB2312" w:hAnsi="宋体"/>
          <w:color w:val="auto"/>
          <w:kern w:val="0"/>
          <w:szCs w:val="24"/>
          <w:highlight w:val="none"/>
          <w:u w:val="none"/>
        </w:rPr>
        <w:t>发布产品募集规模调整公告。</w:t>
      </w:r>
    </w:p>
    <w:p w14:paraId="348D309B">
      <w:pPr>
        <w:widowControl/>
        <w:tabs>
          <w:tab w:val="left" w:pos="709"/>
        </w:tabs>
        <w:snapToGrid w:val="0"/>
        <w:spacing w:line="360" w:lineRule="auto"/>
        <w:ind w:firstLine="420" w:firstLineChars="200"/>
        <w:rPr>
          <w:rFonts w:hint="eastAsia" w:ascii="仿宋_GB2312" w:hAnsi="宋体"/>
          <w:color w:val="auto"/>
          <w:kern w:val="0"/>
          <w:szCs w:val="24"/>
          <w:highlight w:val="none"/>
          <w:u w:val="none"/>
        </w:rPr>
      </w:pPr>
    </w:p>
    <w:p w14:paraId="3F7CB162">
      <w:pPr>
        <w:rPr>
          <w:rFonts w:hint="eastAsia" w:ascii="仿宋_GB2312" w:hAnsi="宋体"/>
          <w:color w:val="auto"/>
          <w:kern w:val="0"/>
          <w:szCs w:val="24"/>
          <w:highlight w:val="none"/>
          <w:u w:val="none"/>
        </w:rPr>
      </w:pPr>
      <w:r>
        <w:rPr>
          <w:rFonts w:hint="eastAsia" w:ascii="仿宋_GB2312" w:hAnsi="宋体"/>
          <w:color w:val="auto"/>
          <w:kern w:val="0"/>
          <w:szCs w:val="24"/>
          <w:highlight w:val="none"/>
          <w:u w:val="none"/>
        </w:rPr>
        <w:br w:type="page"/>
      </w:r>
    </w:p>
    <w:p w14:paraId="78F8A7FA">
      <w:pPr>
        <w:pStyle w:val="2"/>
        <w:widowControl/>
        <w:tabs>
          <w:tab w:val="left" w:pos="709"/>
        </w:tabs>
        <w:snapToGrid w:val="0"/>
        <w:ind w:firstLine="560"/>
        <w:rPr>
          <w:rFonts w:ascii="仿宋_GB2312" w:hAnsi="宋体"/>
          <w:kern w:val="0"/>
          <w:szCs w:val="24"/>
        </w:rPr>
      </w:pPr>
      <w:r>
        <w:rPr>
          <w:rFonts w:hint="eastAsia"/>
        </w:rPr>
        <w:t>理财产品的申购与赎回</w:t>
      </w:r>
    </w:p>
    <w:p w14:paraId="7DAC1FDA">
      <w:pPr>
        <w:pStyle w:val="3"/>
        <w:adjustRightInd w:val="0"/>
        <w:snapToGrid w:val="0"/>
        <w:ind w:firstLine="482"/>
      </w:pPr>
      <w:r>
        <w:rPr>
          <w:rFonts w:hint="eastAsia"/>
        </w:rPr>
        <w:t>申购、赎回原则</w:t>
      </w:r>
    </w:p>
    <w:p w14:paraId="526C8EDA">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1.“金额申购、份额赎回”原则，即申购以金额申请，赎回以份额申请。</w:t>
      </w:r>
    </w:p>
    <w:p w14:paraId="3AA2712C">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2.申购和赎回采用“未知价”原则，即本产品申购申请和赎回申请提交时，适用的产品份额净值都是未知的。</w:t>
      </w:r>
    </w:p>
    <w:p w14:paraId="09DAF8D0">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3.申购、赎回申请可以在</w:t>
      </w:r>
      <w:r>
        <w:rPr>
          <w:rFonts w:hint="eastAsia" w:ascii="仿宋_GB2312" w:hAnsi="宋体" w:cs="宋体"/>
          <w:bCs/>
          <w:kern w:val="0"/>
          <w:szCs w:val="24"/>
          <w:lang w:eastAsia="zh-CN"/>
        </w:rPr>
        <w:t>开放期内任一</w:t>
      </w:r>
      <w:r>
        <w:rPr>
          <w:rFonts w:hint="eastAsia" w:ascii="仿宋_GB2312" w:hAnsi="宋体" w:cs="宋体"/>
          <w:bCs/>
          <w:color w:val="auto"/>
          <w:kern w:val="0"/>
          <w:szCs w:val="24"/>
          <w:highlight w:val="yellow"/>
          <w:lang w:eastAsia="zh-CN"/>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工作日</w:t>
      </w:r>
      <w:r>
        <w:rPr>
          <w:rFonts w:ascii="仿宋_GB2312" w:hAnsi="宋体" w:cs="宋体"/>
          <w:bCs/>
          <w:color w:val="auto"/>
          <w:kern w:val="0"/>
          <w:szCs w:val="24"/>
          <w:highlight w:val="yellow"/>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交易日</w:t>
      </w: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yellow"/>
          <w:lang w:val="en-US" w:eastAsia="zh-CN"/>
        </w:rPr>
        <w:t>17</w:t>
      </w:r>
      <w:r>
        <w:rPr>
          <w:rFonts w:hint="eastAsia" w:ascii="宋体" w:hAnsi="宋体"/>
          <w:b/>
          <w:color w:val="auto"/>
          <w:szCs w:val="24"/>
          <w:highlight w:val="yellow"/>
          <w:lang w:val="en-US" w:eastAsia="zh-CN"/>
        </w:rPr>
        <w:t>:00</w:t>
      </w: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none"/>
        </w:rPr>
        <w:t>前（</w:t>
      </w:r>
      <w:r>
        <w:rPr>
          <w:rFonts w:hint="eastAsia" w:ascii="仿宋_GB2312" w:hAnsi="宋体" w:cs="宋体"/>
          <w:bCs/>
          <w:kern w:val="0"/>
          <w:szCs w:val="24"/>
        </w:rPr>
        <w:t>含）撤销，最终申请确认情况以产品管理人确认的结果为准。</w:t>
      </w:r>
    </w:p>
    <w:p w14:paraId="16448AA4">
      <w:pPr>
        <w:pStyle w:val="3"/>
        <w:adjustRightInd w:val="0"/>
        <w:snapToGrid w:val="0"/>
        <w:ind w:firstLine="482"/>
      </w:pPr>
      <w:r>
        <w:rPr>
          <w:rFonts w:hint="eastAsia"/>
        </w:rPr>
        <w:t>理财</w:t>
      </w:r>
      <w:r>
        <w:t>产品</w:t>
      </w:r>
      <w:r>
        <w:rPr>
          <w:rFonts w:hint="eastAsia"/>
        </w:rPr>
        <w:t>的</w:t>
      </w:r>
      <w:r>
        <w:t>申购</w:t>
      </w:r>
    </w:p>
    <w:p w14:paraId="0DF4EFC9">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1.申购的时间</w:t>
      </w:r>
    </w:p>
    <w:p w14:paraId="6CA8115C">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本产品具体申购时间以《产品说明书》“</w:t>
      </w:r>
      <w:r>
        <w:rPr>
          <w:rFonts w:hint="eastAsia" w:ascii="仿宋_GB2312" w:hAnsi="宋体" w:cs="宋体"/>
          <w:bCs/>
          <w:kern w:val="0"/>
          <w:szCs w:val="24"/>
          <w:lang w:eastAsia="zh-CN"/>
        </w:rPr>
        <w:t>第一节 理财产品说明书关键要素</w:t>
      </w:r>
      <w:r>
        <w:rPr>
          <w:rFonts w:hint="eastAsia" w:ascii="仿宋_GB2312" w:hAnsi="宋体" w:cs="宋体"/>
          <w:bCs/>
          <w:kern w:val="0"/>
          <w:szCs w:val="24"/>
        </w:rPr>
        <w:t>”为准。</w:t>
      </w:r>
    </w:p>
    <w:p w14:paraId="3FEFB493">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2.申购的方式</w:t>
      </w:r>
    </w:p>
    <w:p w14:paraId="09EA0AAB">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投资者可通过销售机构的销售渠道申购。不同销售机构的销售渠道，申购确认时效可能存在差异。</w:t>
      </w:r>
    </w:p>
    <w:p w14:paraId="1A9E299F">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投资者通过销售机构线下渠道申购的，应签署有关理财产品销售文件。</w:t>
      </w:r>
    </w:p>
    <w:p w14:paraId="24013731">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投资者通过销售机构线上渠道申购的，应根据销售机构线上渠道的具体要求执行。</w:t>
      </w:r>
    </w:p>
    <w:p w14:paraId="4431E60C">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3.申购的确认</w:t>
      </w:r>
    </w:p>
    <w:p w14:paraId="6C74C8A2">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本产品申购确认详见《产品说明书》“</w:t>
      </w:r>
      <w:r>
        <w:rPr>
          <w:rFonts w:hint="eastAsia" w:ascii="仿宋_GB2312" w:hAnsi="宋体" w:cs="宋体"/>
          <w:bCs/>
          <w:kern w:val="0"/>
          <w:szCs w:val="24"/>
          <w:lang w:eastAsia="zh-CN"/>
        </w:rPr>
        <w:t>第一节 理财产品说明书关键要素</w:t>
      </w:r>
      <w:r>
        <w:rPr>
          <w:rFonts w:hint="eastAsia" w:ascii="仿宋_GB2312" w:hAnsi="宋体" w:cs="宋体"/>
          <w:bCs/>
          <w:kern w:val="0"/>
          <w:szCs w:val="24"/>
        </w:rPr>
        <w:t>”。</w:t>
      </w:r>
    </w:p>
    <w:p w14:paraId="371D0884">
      <w:pPr>
        <w:tabs>
          <w:tab w:val="left" w:pos="312"/>
        </w:tabs>
        <w:adjustRightInd w:val="0"/>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投资者提交申购申请并不代表申购成功，产品管理人将在申购确认日确认投资者是否申购成功。申购是否成功以管理人的确认结果为准。投资者可以在申购确认日系统完成处理后，查询产品份额。</w:t>
      </w:r>
    </w:p>
    <w:p w14:paraId="2282B262">
      <w:pPr>
        <w:tabs>
          <w:tab w:val="left" w:pos="312"/>
        </w:tabs>
        <w:adjustRightInd w:val="0"/>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4.申购的价格</w:t>
      </w:r>
    </w:p>
    <w:p w14:paraId="14E6101D">
      <w:pPr>
        <w:tabs>
          <w:tab w:val="left" w:pos="312"/>
        </w:tabs>
        <w:adjustRightInd w:val="0"/>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申购价格为开放日的产品份额净值。</w:t>
      </w:r>
    </w:p>
    <w:p w14:paraId="2836D705">
      <w:pPr>
        <w:tabs>
          <w:tab w:val="left" w:pos="312"/>
        </w:tabs>
        <w:adjustRightInd w:val="0"/>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5.申购的费用</w:t>
      </w:r>
    </w:p>
    <w:p w14:paraId="50EAE524">
      <w:pPr>
        <w:tabs>
          <w:tab w:val="left" w:pos="312"/>
        </w:tabs>
        <w:adjustRightInd w:val="0"/>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本产品申购费率详见《产品说明书》“</w:t>
      </w:r>
      <w:r>
        <w:rPr>
          <w:rFonts w:hint="eastAsia" w:ascii="仿宋_GB2312" w:hAnsi="宋体" w:cs="宋体"/>
          <w:bCs/>
          <w:kern w:val="0"/>
          <w:szCs w:val="24"/>
          <w:lang w:eastAsia="zh-CN"/>
        </w:rPr>
        <w:t>第一节 理财产品说明书关键要素</w:t>
      </w:r>
      <w:r>
        <w:rPr>
          <w:rFonts w:hint="eastAsia" w:ascii="仿宋_GB2312" w:hAnsi="宋体" w:cs="宋体"/>
          <w:bCs/>
          <w:kern w:val="0"/>
          <w:szCs w:val="24"/>
        </w:rPr>
        <w:t>”。</w:t>
      </w:r>
    </w:p>
    <w:p w14:paraId="37941D3A">
      <w:pPr>
        <w:tabs>
          <w:tab w:val="left" w:pos="312"/>
        </w:tabs>
        <w:adjustRightInd w:val="0"/>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 xml:space="preserve">6.申购份额计算 </w:t>
      </w:r>
    </w:p>
    <w:p w14:paraId="7EA54B76">
      <w:pPr>
        <w:tabs>
          <w:tab w:val="left" w:pos="312"/>
        </w:tabs>
        <w:adjustRightInd w:val="0"/>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本产品的申购金额包括申购费用和净申购金额。申购份额的计算公式为：</w:t>
      </w:r>
    </w:p>
    <w:p w14:paraId="043D4410">
      <w:pPr>
        <w:tabs>
          <w:tab w:val="left" w:pos="312"/>
        </w:tabs>
        <w:adjustRightInd w:val="0"/>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净申购金额=申购金额/（1+申购费率）（申购费率详见产品说明书关于费用的说明）</w:t>
      </w:r>
    </w:p>
    <w:p w14:paraId="1DDB9B76">
      <w:pPr>
        <w:tabs>
          <w:tab w:val="left" w:pos="312"/>
        </w:tabs>
        <w:adjustRightInd w:val="0"/>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申购费用=申购金额－净申购金额</w:t>
      </w:r>
    </w:p>
    <w:p w14:paraId="589E2125">
      <w:pPr>
        <w:tabs>
          <w:tab w:val="left" w:pos="312"/>
        </w:tabs>
        <w:adjustRightInd w:val="0"/>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申购份额=净申购金额/开放日的产品份额净值</w:t>
      </w:r>
    </w:p>
    <w:p w14:paraId="7E462ECE">
      <w:pPr>
        <w:tabs>
          <w:tab w:val="left" w:pos="312"/>
        </w:tabs>
        <w:adjustRightInd w:val="0"/>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上述计算结果均按四舍五入方法，保留到小数点后2位，由此产生的收益或损失由理财产品承担。</w:t>
      </w:r>
    </w:p>
    <w:p w14:paraId="636A6C35">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kern w:val="0"/>
          <w:szCs w:val="24"/>
        </w:rPr>
        <w:t>7.</w:t>
      </w:r>
      <w:r>
        <w:rPr>
          <w:rFonts w:hint="eastAsia" w:ascii="仿宋_GB2312" w:hAnsi="宋体" w:cs="宋体"/>
          <w:bCs/>
          <w:color w:val="auto"/>
          <w:kern w:val="0"/>
          <w:szCs w:val="24"/>
          <w:highlight w:val="none"/>
          <w:u w:val="none"/>
        </w:rPr>
        <w:t>申购的起点</w:t>
      </w:r>
      <w:r>
        <w:rPr>
          <w:rFonts w:hint="eastAsia" w:ascii="仿宋_GB2312" w:hAnsi="宋体" w:cs="宋体"/>
          <w:bCs/>
          <w:color w:val="auto"/>
          <w:kern w:val="0"/>
          <w:szCs w:val="24"/>
          <w:highlight w:val="none"/>
          <w:u w:val="none"/>
          <w:lang w:eastAsia="zh-CN"/>
        </w:rPr>
        <w:t>销售金额</w:t>
      </w:r>
      <w:r>
        <w:rPr>
          <w:rFonts w:hint="eastAsia" w:ascii="仿宋_GB2312" w:hAnsi="宋体" w:cs="宋体"/>
          <w:bCs/>
          <w:color w:val="auto"/>
          <w:kern w:val="0"/>
          <w:szCs w:val="24"/>
          <w:highlight w:val="none"/>
          <w:u w:val="none"/>
        </w:rPr>
        <w:t>和</w:t>
      </w:r>
      <w:r>
        <w:rPr>
          <w:rFonts w:hint="eastAsia" w:ascii="仿宋_GB2312" w:hAnsi="宋体" w:cs="宋体"/>
          <w:bCs/>
          <w:color w:val="auto"/>
          <w:kern w:val="0"/>
          <w:szCs w:val="24"/>
          <w:highlight w:val="none"/>
          <w:u w:val="none"/>
          <w:lang w:eastAsia="zh-CN"/>
        </w:rPr>
        <w:t>追加</w:t>
      </w:r>
      <w:r>
        <w:rPr>
          <w:rFonts w:hint="eastAsia" w:ascii="仿宋_GB2312" w:hAnsi="宋体" w:cs="宋体"/>
          <w:bCs/>
          <w:color w:val="auto"/>
          <w:kern w:val="0"/>
          <w:szCs w:val="24"/>
          <w:highlight w:val="none"/>
          <w:u w:val="none"/>
        </w:rPr>
        <w:t xml:space="preserve">递增金额 </w:t>
      </w:r>
    </w:p>
    <w:p w14:paraId="44C5BADF">
      <w:pPr>
        <w:tabs>
          <w:tab w:val="left" w:pos="312"/>
        </w:tabs>
        <w:adjustRightInd w:val="0"/>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详见《产品说明书》“</w:t>
      </w:r>
      <w:r>
        <w:rPr>
          <w:rFonts w:hint="eastAsia" w:ascii="仿宋_GB2312" w:hAnsi="宋体" w:cs="宋体"/>
          <w:bCs/>
          <w:kern w:val="0"/>
          <w:szCs w:val="24"/>
          <w:lang w:eastAsia="zh-CN"/>
        </w:rPr>
        <w:t>第一节 理财产品说明书关键要素</w:t>
      </w:r>
      <w:r>
        <w:rPr>
          <w:rFonts w:hint="eastAsia" w:ascii="仿宋_GB2312" w:hAnsi="宋体" w:cs="宋体"/>
          <w:bCs/>
          <w:kern w:val="0"/>
          <w:szCs w:val="24"/>
        </w:rPr>
        <w:t>”。</w:t>
      </w:r>
    </w:p>
    <w:p w14:paraId="550F1EF7">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8.申购的数量限制</w:t>
      </w:r>
    </w:p>
    <w:p w14:paraId="79E5371D">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详见《产品说明书》“</w:t>
      </w:r>
      <w:r>
        <w:rPr>
          <w:rFonts w:hint="eastAsia" w:ascii="仿宋_GB2312" w:hAnsi="宋体" w:cs="宋体"/>
          <w:bCs/>
          <w:kern w:val="0"/>
          <w:szCs w:val="24"/>
          <w:lang w:eastAsia="zh-CN"/>
        </w:rPr>
        <w:t>第一节 理财产品说明书关键要素</w:t>
      </w:r>
      <w:r>
        <w:rPr>
          <w:rFonts w:hint="eastAsia" w:ascii="仿宋_GB2312" w:hAnsi="宋体" w:cs="宋体"/>
          <w:bCs/>
          <w:kern w:val="0"/>
          <w:szCs w:val="24"/>
        </w:rPr>
        <w:t>”。</w:t>
      </w:r>
    </w:p>
    <w:p w14:paraId="110DB55E">
      <w:pPr>
        <w:adjustRightInd w:val="0"/>
        <w:snapToGrid w:val="0"/>
        <w:spacing w:line="360" w:lineRule="auto"/>
        <w:ind w:firstLine="420" w:firstLineChars="200"/>
      </w:pPr>
      <w:r>
        <w:rPr>
          <w:rFonts w:hint="eastAsia" w:ascii="仿宋_GB2312" w:hAnsi="宋体" w:cs="宋体"/>
          <w:bCs/>
          <w:kern w:val="0"/>
          <w:szCs w:val="24"/>
        </w:rPr>
        <w:t>9.</w:t>
      </w:r>
      <w:r>
        <w:rPr>
          <w:rFonts w:hint="eastAsia"/>
        </w:rPr>
        <w:t>拒绝或暂停申购</w:t>
      </w:r>
    </w:p>
    <w:p w14:paraId="4108D0B6">
      <w:pPr>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除本理财产品说明书另有规定外，当出现以下情形之一时，管理人有权拒绝投资者提交的理财产品申购申请并确认投资者申购失败，或通知销售机构暂停投资者申购并关闭系统申购交易功能，并在3个工作日内公告。在拒绝、暂停申购的情况消除后，管理人应及时通知销售机构恢复理财产品申购业务的办理。</w:t>
      </w:r>
    </w:p>
    <w:p w14:paraId="085DDB09">
      <w:pPr>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1.因不可抗力导致管理人无法接受投资者的申购申请；</w:t>
      </w:r>
    </w:p>
    <w:p w14:paraId="000C04FC">
      <w:pPr>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2.证券交易场所依法决定临时停市，导致管理人无法计算当日产品资产净值；</w:t>
      </w:r>
    </w:p>
    <w:p w14:paraId="134CF220">
      <w:pPr>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3.当管理人认为某笔申购申请会有损于其他产品份额持有人利益时，可拒绝该笔申购申请；</w:t>
      </w:r>
    </w:p>
    <w:p w14:paraId="50987993">
      <w:pPr>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4.法律、法规规定认定的其他情形。</w:t>
      </w:r>
    </w:p>
    <w:p w14:paraId="4C0B0DCB">
      <w:pPr>
        <w:pStyle w:val="3"/>
        <w:adjustRightInd w:val="0"/>
        <w:snapToGrid w:val="0"/>
        <w:ind w:firstLine="482"/>
        <w:rPr>
          <w:rFonts w:ascii="仿宋_GB2312" w:hAnsi="宋体" w:cs="宋体"/>
          <w:bCs/>
          <w:kern w:val="0"/>
          <w:szCs w:val="24"/>
        </w:rPr>
      </w:pPr>
      <w:r>
        <w:rPr>
          <w:rFonts w:hint="eastAsia" w:ascii="仿宋_GB2312" w:hAnsi="宋体" w:cs="宋体"/>
          <w:bCs/>
          <w:kern w:val="0"/>
          <w:szCs w:val="24"/>
        </w:rPr>
        <w:t>理财产品的赎回</w:t>
      </w:r>
      <w:r>
        <w:rPr>
          <w:rFonts w:ascii="仿宋_GB2312" w:hAnsi="宋体" w:cs="宋体"/>
          <w:bCs/>
          <w:kern w:val="0"/>
          <w:szCs w:val="24"/>
        </w:rPr>
        <w:t xml:space="preserve"> </w:t>
      </w:r>
    </w:p>
    <w:p w14:paraId="2BD4E4ED">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1.赎回的时间</w:t>
      </w:r>
    </w:p>
    <w:p w14:paraId="48E8153F">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本产品具体赎回时间以《产品说明书》“</w:t>
      </w:r>
      <w:r>
        <w:rPr>
          <w:rFonts w:hint="eastAsia" w:ascii="仿宋_GB2312" w:hAnsi="宋体" w:cs="宋体"/>
          <w:bCs/>
          <w:kern w:val="0"/>
          <w:szCs w:val="24"/>
          <w:lang w:eastAsia="zh-CN"/>
        </w:rPr>
        <w:t>第一节 理财产品说明书关键要素</w:t>
      </w:r>
      <w:r>
        <w:rPr>
          <w:rFonts w:hint="eastAsia" w:ascii="仿宋_GB2312" w:hAnsi="宋体" w:cs="宋体"/>
          <w:bCs/>
          <w:kern w:val="0"/>
          <w:szCs w:val="24"/>
        </w:rPr>
        <w:t>”为准。</w:t>
      </w:r>
    </w:p>
    <w:p w14:paraId="7EEC6A1E">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2.赎回的方式</w:t>
      </w:r>
    </w:p>
    <w:p w14:paraId="2EA194AA">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投资者可通过销售机构的销售渠道赎回。不同销售机构的销售渠道，赎回确认时效可能存在差异。</w:t>
      </w:r>
    </w:p>
    <w:p w14:paraId="6B99658D">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投资者通过销售机构线下渠道赎回的，应签署有关理财产品销售文件。</w:t>
      </w:r>
    </w:p>
    <w:p w14:paraId="54134E11">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投资者通过销售机构线上渠道赎回的，应根据销售机构线上渠道的具体要求执行。</w:t>
      </w:r>
    </w:p>
    <w:p w14:paraId="4836EB2E">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3.赎回的确认</w:t>
      </w:r>
    </w:p>
    <w:p w14:paraId="169ED5DC">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本产品赎回确认详见《产品说明书》“</w:t>
      </w:r>
      <w:r>
        <w:rPr>
          <w:rFonts w:hint="eastAsia" w:ascii="仿宋_GB2312" w:hAnsi="宋体" w:cs="宋体"/>
          <w:bCs/>
          <w:kern w:val="0"/>
          <w:szCs w:val="24"/>
          <w:lang w:eastAsia="zh-CN"/>
        </w:rPr>
        <w:t>第一节 理财产品说明书关键要素</w:t>
      </w:r>
      <w:r>
        <w:rPr>
          <w:rFonts w:hint="eastAsia" w:ascii="仿宋_GB2312" w:hAnsi="宋体" w:cs="宋体"/>
          <w:bCs/>
          <w:kern w:val="0"/>
          <w:szCs w:val="24"/>
        </w:rPr>
        <w:t>”。</w:t>
      </w:r>
    </w:p>
    <w:p w14:paraId="51B0C061">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投资者提交赎回申请并不代表赎回成功，产品管理人将在赎回确认日确认投资者是否赎回成功。赎回是否成功以管理人的确认结果为准。</w:t>
      </w:r>
    </w:p>
    <w:p w14:paraId="425F7E3F">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4.赎回的价格</w:t>
      </w:r>
    </w:p>
    <w:p w14:paraId="3E941A41">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赎回价格为开放日的产品份额净值。</w:t>
      </w:r>
    </w:p>
    <w:p w14:paraId="5C8B16FC">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5.赎回的费用</w:t>
      </w:r>
    </w:p>
    <w:p w14:paraId="11F87E3D">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本产品赎回费用详见《产品说明书》“</w:t>
      </w:r>
      <w:r>
        <w:rPr>
          <w:rFonts w:hint="eastAsia" w:ascii="仿宋_GB2312" w:hAnsi="宋体" w:cs="宋体"/>
          <w:bCs/>
          <w:kern w:val="0"/>
          <w:szCs w:val="24"/>
          <w:lang w:eastAsia="zh-CN"/>
        </w:rPr>
        <w:t>第一节 理财产品说明书关键要素</w:t>
      </w:r>
      <w:r>
        <w:rPr>
          <w:rFonts w:hint="eastAsia" w:ascii="仿宋_GB2312" w:hAnsi="宋体" w:cs="宋体"/>
          <w:bCs/>
          <w:kern w:val="0"/>
          <w:szCs w:val="24"/>
        </w:rPr>
        <w:t>”。</w:t>
      </w:r>
    </w:p>
    <w:p w14:paraId="7E511C20">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 xml:space="preserve">6.赎回金额计算 </w:t>
      </w:r>
    </w:p>
    <w:p w14:paraId="0C20FD5F">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本产品赎回金额的计算公式如下：</w:t>
      </w:r>
    </w:p>
    <w:p w14:paraId="372D3F18">
      <w:pPr>
        <w:tabs>
          <w:tab w:val="left" w:pos="312"/>
        </w:tabs>
        <w:adjustRightInd w:val="0"/>
        <w:snapToGrid w:val="0"/>
        <w:spacing w:line="360" w:lineRule="auto"/>
        <w:ind w:firstLine="420" w:firstLineChars="200"/>
        <w:rPr>
          <w:rFonts w:ascii="仿宋_GB2312" w:hAnsi="宋体" w:cs="宋体"/>
          <w:bCs/>
          <w:kern w:val="0"/>
          <w:szCs w:val="24"/>
          <w:highlight w:val="yellow"/>
        </w:rPr>
      </w:pP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rPr>
        <w:t>赎回总金额=赎回份额×开放日的产品份额净值</w:t>
      </w:r>
    </w:p>
    <w:p w14:paraId="0640A15A">
      <w:pPr>
        <w:tabs>
          <w:tab w:val="left" w:pos="312"/>
        </w:tabs>
        <w:adjustRightInd w:val="0"/>
        <w:snapToGrid w:val="0"/>
        <w:spacing w:line="360" w:lineRule="auto"/>
        <w:ind w:firstLine="420" w:firstLineChars="200"/>
        <w:rPr>
          <w:rFonts w:ascii="仿宋_GB2312" w:hAnsi="宋体" w:cs="宋体"/>
          <w:bCs/>
          <w:kern w:val="0"/>
          <w:szCs w:val="24"/>
          <w:highlight w:val="yellow"/>
        </w:rPr>
      </w:pPr>
      <w:r>
        <w:rPr>
          <w:rFonts w:hint="eastAsia" w:ascii="仿宋_GB2312" w:hAnsi="宋体" w:cs="宋体"/>
          <w:bCs/>
          <w:kern w:val="0"/>
          <w:szCs w:val="24"/>
          <w:highlight w:val="yellow"/>
        </w:rPr>
        <w:t>赎回费用=赎回总金额×该产品份额赎回费率</w:t>
      </w:r>
    </w:p>
    <w:p w14:paraId="45A088D7">
      <w:pPr>
        <w:tabs>
          <w:tab w:val="left" w:pos="312"/>
        </w:tabs>
        <w:adjustRightInd w:val="0"/>
        <w:snapToGrid w:val="0"/>
        <w:spacing w:line="360" w:lineRule="auto"/>
        <w:ind w:firstLine="420" w:firstLineChars="200"/>
        <w:rPr>
          <w:rFonts w:hint="eastAsia" w:ascii="仿宋_GB2312" w:hAnsi="宋体" w:cs="宋体"/>
          <w:bCs/>
          <w:kern w:val="0"/>
          <w:szCs w:val="24"/>
          <w:highlight w:val="yellow"/>
        </w:rPr>
      </w:pPr>
      <w:r>
        <w:rPr>
          <w:rFonts w:hint="eastAsia" w:ascii="仿宋_GB2312" w:hAnsi="宋体" w:cs="宋体"/>
          <w:bCs/>
          <w:kern w:val="0"/>
          <w:szCs w:val="24"/>
          <w:highlight w:val="yellow"/>
        </w:rPr>
        <w:t>净赎回金额=赎回总金额-赎回费用</w:t>
      </w:r>
    </w:p>
    <w:p w14:paraId="34F2EE28">
      <w:pPr>
        <w:tabs>
          <w:tab w:val="left" w:pos="312"/>
        </w:tabs>
        <w:adjustRightInd w:val="0"/>
        <w:snapToGrid w:val="0"/>
        <w:spacing w:line="360" w:lineRule="auto"/>
        <w:ind w:firstLine="420" w:firstLineChars="200"/>
        <w:rPr>
          <w:rFonts w:hint="eastAsia" w:ascii="仿宋_GB2312" w:hAnsi="宋体" w:cs="宋体"/>
          <w:bCs/>
          <w:kern w:val="0"/>
          <w:szCs w:val="24"/>
          <w:highlight w:val="yellow"/>
          <w:lang w:eastAsia="zh-CN"/>
        </w:rPr>
      </w:pPr>
      <w:r>
        <w:rPr>
          <w:rFonts w:hint="eastAsia" w:ascii="仿宋_GB2312" w:hAnsi="宋体" w:cs="宋体"/>
          <w:bCs/>
          <w:kern w:val="0"/>
          <w:szCs w:val="24"/>
          <w:highlight w:val="yellow"/>
          <w:lang w:eastAsia="zh-CN"/>
        </w:rPr>
        <w:t>若本理财产品设置不同的产品份额类别，当某一份额类别因投资者赎回致使该份额类别剩余份额归零，产品管理人将以开放日该份额类别对应的总资产净值，向持有该份额类别的投资者进行兑付。</w:t>
      </w:r>
    </w:p>
    <w:p w14:paraId="39E5F2C4">
      <w:pPr>
        <w:tabs>
          <w:tab w:val="left" w:pos="312"/>
        </w:tabs>
        <w:adjustRightInd w:val="0"/>
        <w:snapToGrid w:val="0"/>
        <w:spacing w:line="360" w:lineRule="auto"/>
        <w:ind w:firstLine="420" w:firstLineChars="200"/>
        <w:rPr>
          <w:rFonts w:hint="eastAsia" w:ascii="仿宋_GB2312" w:hAnsi="宋体" w:cs="宋体"/>
          <w:bCs/>
          <w:kern w:val="0"/>
          <w:szCs w:val="24"/>
          <w:highlight w:val="yellow"/>
          <w:lang w:eastAsia="zh-CN"/>
        </w:rPr>
      </w:pPr>
      <w:r>
        <w:rPr>
          <w:rFonts w:hint="eastAsia" w:ascii="仿宋_GB2312" w:hAnsi="宋体" w:cs="宋体"/>
          <w:bCs/>
          <w:kern w:val="0"/>
          <w:szCs w:val="24"/>
          <w:highlight w:val="yellow"/>
          <w:lang w:eastAsia="zh-CN"/>
        </w:rPr>
        <w:t>该情形下投资者赎回金额计算公式如下：</w:t>
      </w:r>
    </w:p>
    <w:p w14:paraId="5B36F843">
      <w:pPr>
        <w:tabs>
          <w:tab w:val="left" w:pos="312"/>
        </w:tabs>
        <w:adjustRightInd w:val="0"/>
        <w:snapToGrid w:val="0"/>
        <w:spacing w:line="360" w:lineRule="auto"/>
        <w:ind w:firstLine="420" w:firstLineChars="200"/>
        <w:rPr>
          <w:rFonts w:hint="eastAsia" w:ascii="仿宋_GB2312" w:hAnsi="宋体" w:cs="宋体"/>
          <w:bCs/>
          <w:kern w:val="0"/>
          <w:szCs w:val="24"/>
          <w:highlight w:val="yellow"/>
          <w:lang w:eastAsia="zh-CN"/>
        </w:rPr>
      </w:pPr>
      <w:r>
        <w:rPr>
          <w:rFonts w:hint="eastAsia" w:ascii="仿宋_GB2312" w:hAnsi="宋体" w:cs="宋体"/>
          <w:bCs/>
          <w:kern w:val="0"/>
          <w:szCs w:val="24"/>
          <w:highlight w:val="yellow"/>
          <w:lang w:eastAsia="zh-CN"/>
        </w:rPr>
        <w:t>赎回总金额=投资者在开放日持有的该份额类别份额/该份额类别总份额*该份额类别开放日总资产净值</w:t>
      </w:r>
    </w:p>
    <w:p w14:paraId="1D90E4D5">
      <w:pPr>
        <w:tabs>
          <w:tab w:val="left" w:pos="312"/>
        </w:tabs>
        <w:adjustRightInd w:val="0"/>
        <w:snapToGrid w:val="0"/>
        <w:spacing w:line="360" w:lineRule="auto"/>
        <w:ind w:firstLine="420" w:firstLineChars="200"/>
        <w:rPr>
          <w:rFonts w:hint="eastAsia" w:ascii="仿宋_GB2312" w:hAnsi="宋体" w:cs="宋体"/>
          <w:bCs/>
          <w:kern w:val="0"/>
          <w:szCs w:val="24"/>
          <w:highlight w:val="yellow"/>
          <w:lang w:eastAsia="zh-CN"/>
        </w:rPr>
      </w:pPr>
      <w:r>
        <w:rPr>
          <w:rFonts w:hint="eastAsia" w:ascii="仿宋_GB2312" w:hAnsi="宋体" w:cs="宋体"/>
          <w:bCs/>
          <w:kern w:val="0"/>
          <w:szCs w:val="24"/>
          <w:highlight w:val="yellow"/>
          <w:lang w:eastAsia="zh-CN"/>
        </w:rPr>
        <w:t>赎回费用=赎回总金额×该产品份额赎回费率</w:t>
      </w:r>
    </w:p>
    <w:p w14:paraId="3A6448C7">
      <w:pPr>
        <w:tabs>
          <w:tab w:val="left" w:pos="312"/>
        </w:tabs>
        <w:adjustRightInd w:val="0"/>
        <w:snapToGrid w:val="0"/>
        <w:spacing w:line="360" w:lineRule="auto"/>
        <w:ind w:firstLine="420" w:firstLineChars="200"/>
        <w:rPr>
          <w:rFonts w:hint="eastAsia" w:ascii="仿宋_GB2312" w:hAnsi="宋体" w:cs="宋体"/>
          <w:bCs/>
          <w:kern w:val="0"/>
          <w:szCs w:val="24"/>
          <w:highlight w:val="yellow"/>
          <w:lang w:eastAsia="zh-CN"/>
        </w:rPr>
      </w:pPr>
      <w:r>
        <w:rPr>
          <w:rFonts w:hint="eastAsia" w:ascii="仿宋_GB2312" w:hAnsi="宋体" w:cs="宋体"/>
          <w:bCs/>
          <w:kern w:val="0"/>
          <w:szCs w:val="24"/>
          <w:highlight w:val="yellow"/>
          <w:lang w:eastAsia="zh-CN"/>
        </w:rPr>
        <w:t>净赎回金额=赎回总金额-赎回费用</w:t>
      </w:r>
    </w:p>
    <w:p w14:paraId="78D88395">
      <w:pPr>
        <w:tabs>
          <w:tab w:val="left" w:pos="312"/>
        </w:tabs>
        <w:adjustRightInd w:val="0"/>
        <w:snapToGrid w:val="0"/>
        <w:spacing w:line="360" w:lineRule="auto"/>
        <w:ind w:firstLine="420" w:firstLineChars="200"/>
        <w:rPr>
          <w:rFonts w:hint="eastAsia" w:ascii="仿宋_GB2312" w:hAnsi="宋体" w:eastAsia="仿宋_GB2312" w:cs="宋体"/>
          <w:bCs/>
          <w:kern w:val="0"/>
          <w:szCs w:val="24"/>
          <w:highlight w:val="yellow"/>
          <w:lang w:eastAsia="zh-CN"/>
        </w:rPr>
      </w:pPr>
      <w:r>
        <w:rPr>
          <w:rFonts w:hint="eastAsia" w:ascii="仿宋_GB2312" w:hAnsi="宋体" w:cs="宋体"/>
          <w:bCs/>
          <w:kern w:val="0"/>
          <w:szCs w:val="24"/>
          <w:highlight w:val="yellow"/>
        </w:rPr>
        <w:t>上述计算结果均按四舍五入方法，保留到小数点后2位，由此产生的收益或损失由理财产品承担。</w:t>
      </w:r>
      <w:r>
        <w:rPr>
          <w:rFonts w:hint="eastAsia" w:ascii="仿宋_GB2312" w:hAnsi="宋体" w:cs="宋体"/>
          <w:bCs/>
          <w:kern w:val="0"/>
          <w:szCs w:val="24"/>
          <w:highlight w:val="yellow"/>
          <w:lang w:eastAsia="zh-CN"/>
        </w:rPr>
        <w:t>】</w:t>
      </w:r>
    </w:p>
    <w:p w14:paraId="4F6C0762">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7.赎回的数量限制</w:t>
      </w:r>
    </w:p>
    <w:p w14:paraId="386855AB">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详见《产品说明书》“</w:t>
      </w:r>
      <w:r>
        <w:rPr>
          <w:rFonts w:hint="eastAsia" w:ascii="仿宋_GB2312" w:hAnsi="宋体" w:cs="宋体"/>
          <w:bCs/>
          <w:kern w:val="0"/>
          <w:szCs w:val="24"/>
          <w:lang w:eastAsia="zh-CN"/>
        </w:rPr>
        <w:t>第一节 理财产品说明书关键要素</w:t>
      </w:r>
      <w:r>
        <w:rPr>
          <w:rFonts w:hint="eastAsia" w:ascii="仿宋_GB2312" w:hAnsi="宋体" w:cs="宋体"/>
          <w:bCs/>
          <w:kern w:val="0"/>
          <w:szCs w:val="24"/>
        </w:rPr>
        <w:t>”。</w:t>
      </w:r>
    </w:p>
    <w:p w14:paraId="33F9D06D">
      <w:pPr>
        <w:pStyle w:val="3"/>
        <w:adjustRightInd w:val="0"/>
        <w:snapToGrid w:val="0"/>
        <w:ind w:firstLine="482"/>
        <w:rPr>
          <w:rFonts w:ascii="仿宋_GB2312" w:hAnsi="宋体" w:cs="宋体"/>
          <w:bCs/>
          <w:kern w:val="0"/>
          <w:szCs w:val="24"/>
        </w:rPr>
      </w:pPr>
      <w:r>
        <w:rPr>
          <w:rFonts w:hint="eastAsia" w:ascii="仿宋_GB2312" w:hAnsi="宋体" w:cs="宋体"/>
          <w:bCs/>
          <w:kern w:val="0"/>
          <w:szCs w:val="24"/>
        </w:rPr>
        <w:t>巨额赎回的情形及处理方式</w:t>
      </w:r>
      <w:r>
        <w:rPr>
          <w:rFonts w:ascii="仿宋_GB2312" w:hAnsi="宋体" w:cs="宋体"/>
          <w:bCs/>
          <w:kern w:val="0"/>
          <w:szCs w:val="24"/>
        </w:rPr>
        <w:t xml:space="preserve"> </w:t>
      </w:r>
    </w:p>
    <w:p w14:paraId="5A8C7942">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1.巨额赎回的认定</w:t>
      </w:r>
    </w:p>
    <w:p w14:paraId="05F10FFD">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详见《产品说明书》“</w:t>
      </w:r>
      <w:r>
        <w:rPr>
          <w:rFonts w:hint="eastAsia" w:ascii="仿宋_GB2312" w:hAnsi="宋体" w:cs="宋体"/>
          <w:bCs/>
          <w:kern w:val="0"/>
          <w:szCs w:val="24"/>
          <w:lang w:eastAsia="zh-CN"/>
        </w:rPr>
        <w:t>第一节 理财产品说明书关键要素</w:t>
      </w:r>
      <w:r>
        <w:rPr>
          <w:rFonts w:hint="eastAsia" w:ascii="仿宋_GB2312" w:hAnsi="宋体" w:cs="宋体"/>
          <w:bCs/>
          <w:kern w:val="0"/>
          <w:szCs w:val="24"/>
        </w:rPr>
        <w:t>”。</w:t>
      </w:r>
    </w:p>
    <w:p w14:paraId="1859C10C">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2.巨额赎回的处理方式</w:t>
      </w:r>
    </w:p>
    <w:p w14:paraId="31949CA4">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详见《产品说明书》“</w:t>
      </w:r>
      <w:r>
        <w:rPr>
          <w:rFonts w:hint="eastAsia" w:ascii="仿宋_GB2312" w:hAnsi="宋体" w:cs="宋体"/>
          <w:bCs/>
          <w:kern w:val="0"/>
          <w:szCs w:val="24"/>
          <w:lang w:eastAsia="zh-CN"/>
        </w:rPr>
        <w:t>第一节 理财产品说明书关键要素</w:t>
      </w:r>
      <w:r>
        <w:rPr>
          <w:rFonts w:hint="eastAsia" w:ascii="仿宋_GB2312" w:hAnsi="宋体" w:cs="宋体"/>
          <w:bCs/>
          <w:kern w:val="0"/>
          <w:szCs w:val="24"/>
        </w:rPr>
        <w:t>”。</w:t>
      </w:r>
    </w:p>
    <w:p w14:paraId="2C4CB709">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3.巨额赎回的公告</w:t>
      </w:r>
    </w:p>
    <w:p w14:paraId="71FEBACA">
      <w:pPr>
        <w:autoSpaceDE w:val="0"/>
        <w:autoSpaceDN w:val="0"/>
        <w:adjustRightInd w:val="0"/>
        <w:snapToGrid w:val="0"/>
        <w:spacing w:line="360" w:lineRule="auto"/>
        <w:ind w:firstLine="420" w:firstLineChars="200"/>
        <w:rPr>
          <w:rFonts w:ascii="仿宋_GB2312" w:hAnsi="宋体"/>
          <w:b/>
          <w:kern w:val="0"/>
          <w:szCs w:val="24"/>
        </w:rPr>
      </w:pPr>
      <w:r>
        <w:rPr>
          <w:rFonts w:hint="eastAsia" w:ascii="仿宋_GB2312" w:hAnsi="宋体" w:cs="宋体"/>
          <w:bCs/>
          <w:kern w:val="0"/>
          <w:szCs w:val="24"/>
        </w:rPr>
        <w:t>在发生巨额赎回产品管理人</w:t>
      </w:r>
      <w:r>
        <w:rPr>
          <w:rFonts w:hint="eastAsia" w:ascii="宋体" w:hAnsi="宋体"/>
          <w:color w:val="000000"/>
          <w:szCs w:val="24"/>
        </w:rPr>
        <w:t>暂停接受或延期办理</w:t>
      </w:r>
      <w:r>
        <w:rPr>
          <w:rFonts w:hint="eastAsia" w:ascii="仿宋_GB2312" w:hAnsi="宋体" w:cs="宋体"/>
          <w:bCs/>
          <w:kern w:val="0"/>
          <w:szCs w:val="24"/>
        </w:rPr>
        <w:t>投资者赎回申请时，产品管理人将依约定发布相关公告信息。</w:t>
      </w:r>
    </w:p>
    <w:p w14:paraId="744B7DF0">
      <w:pPr>
        <w:widowControl/>
        <w:jc w:val="left"/>
        <w:rPr>
          <w:rFonts w:eastAsia="黑体"/>
          <w:kern w:val="44"/>
          <w:sz w:val="28"/>
        </w:rPr>
      </w:pPr>
      <w:r>
        <w:br w:type="page"/>
      </w:r>
    </w:p>
    <w:p w14:paraId="016053A7">
      <w:pPr>
        <w:pStyle w:val="2"/>
      </w:pPr>
      <w:r>
        <w:rPr>
          <w:rFonts w:hint="eastAsia"/>
        </w:rPr>
        <w:t>理财产品的投资</w:t>
      </w:r>
    </w:p>
    <w:p w14:paraId="2AD02C06">
      <w:pPr>
        <w:pStyle w:val="3"/>
        <w:ind w:firstLine="482"/>
      </w:pPr>
      <w:r>
        <w:rPr>
          <w:rFonts w:hint="eastAsia"/>
        </w:rPr>
        <w:t>投资范围</w:t>
      </w:r>
    </w:p>
    <w:p w14:paraId="3A552B9F">
      <w:pPr>
        <w:tabs>
          <w:tab w:val="left" w:pos="3119"/>
        </w:tabs>
        <w:autoSpaceDE w:val="0"/>
        <w:autoSpaceDN w:val="0"/>
        <w:adjustRightInd w:val="0"/>
        <w:snapToGrid w:val="0"/>
        <w:spacing w:line="360" w:lineRule="auto"/>
        <w:ind w:right="0" w:rightChars="0" w:firstLine="480" w:firstLineChars="200"/>
        <w:rPr>
          <w:rFonts w:hint="default" w:ascii="仿宋_GB2312" w:hAnsi="宋体" w:eastAsia="仿宋_GB2312" w:cs="宋体"/>
          <w:bCs/>
          <w:color w:val="auto"/>
          <w:kern w:val="0"/>
          <w:sz w:val="24"/>
          <w:szCs w:val="32"/>
          <w:highlight w:val="yellow"/>
          <w:lang w:val="en-US"/>
        </w:rPr>
      </w:pPr>
      <w:r>
        <w:rPr>
          <w:rFonts w:hint="eastAsia" w:ascii="仿宋_GB2312" w:hAnsi="宋体" w:cs="宋体"/>
          <w:bCs/>
          <w:color w:val="auto"/>
          <w:kern w:val="0"/>
          <w:sz w:val="24"/>
          <w:szCs w:val="32"/>
          <w:highlight w:val="yellow"/>
          <w:lang w:eastAsia="zh-CN"/>
        </w:rPr>
        <w:t>【</w:t>
      </w:r>
      <w:r>
        <w:rPr>
          <w:rFonts w:hint="eastAsia" w:ascii="仿宋_GB2312" w:hAnsi="宋体" w:cs="宋体"/>
          <w:bCs/>
          <w:color w:val="auto"/>
          <w:kern w:val="0"/>
          <w:sz w:val="24"/>
          <w:szCs w:val="32"/>
          <w:highlight w:val="yellow"/>
          <w:lang w:val="en-US" w:eastAsia="zh-CN"/>
        </w:rPr>
        <w:t>...</w:t>
      </w:r>
    </w:p>
    <w:p w14:paraId="644630EA">
      <w:pPr>
        <w:tabs>
          <w:tab w:val="left" w:pos="3119"/>
        </w:tabs>
        <w:autoSpaceDE w:val="0"/>
        <w:autoSpaceDN w:val="0"/>
        <w:adjustRightInd w:val="0"/>
        <w:snapToGrid w:val="0"/>
        <w:spacing w:line="360" w:lineRule="auto"/>
        <w:ind w:right="0" w:rightChars="0" w:firstLine="480" w:firstLineChars="200"/>
        <w:rPr>
          <w:rFonts w:hint="eastAsia" w:ascii="仿宋_GB2312" w:hAnsi="宋体" w:eastAsia="仿宋_GB2312" w:cs="宋体"/>
          <w:bCs/>
          <w:color w:val="auto"/>
          <w:kern w:val="0"/>
          <w:sz w:val="24"/>
          <w:szCs w:val="32"/>
          <w:highlight w:val="yellow"/>
        </w:rPr>
      </w:pPr>
      <w:r>
        <w:rPr>
          <w:rFonts w:hint="eastAsia" w:ascii="仿宋_GB2312" w:hAnsi="宋体" w:eastAsia="仿宋_GB2312" w:cs="宋体"/>
          <w:bCs/>
          <w:color w:val="auto"/>
          <w:kern w:val="0"/>
          <w:sz w:val="24"/>
          <w:szCs w:val="32"/>
          <w:highlight w:val="yellow"/>
        </w:rPr>
        <w:t>本理财产品在投资于商品及金融衍生品类资产之前，管理人应获得相应的业务经营范围或投资交易资格。</w:t>
      </w:r>
    </w:p>
    <w:p w14:paraId="5667C135">
      <w:pPr>
        <w:tabs>
          <w:tab w:val="left" w:pos="3119"/>
        </w:tabs>
        <w:autoSpaceDE w:val="0"/>
        <w:autoSpaceDN w:val="0"/>
        <w:adjustRightInd w:val="0"/>
        <w:snapToGrid w:val="0"/>
        <w:spacing w:line="360" w:lineRule="auto"/>
        <w:ind w:right="0" w:rightChars="0" w:firstLine="420" w:firstLineChars="200"/>
        <w:rPr>
          <w:rFonts w:hint="eastAsia" w:ascii="仿宋_GB2312" w:hAnsi="宋体" w:eastAsia="仿宋_GB2312" w:cs="宋体"/>
          <w:bCs/>
          <w:kern w:val="0"/>
          <w:szCs w:val="24"/>
          <w:highlight w:val="yellow"/>
          <w:u w:val="none"/>
          <w:lang w:eastAsia="zh-CN"/>
        </w:rPr>
      </w:pPr>
      <w:r>
        <w:rPr>
          <w:rFonts w:hint="eastAsia" w:ascii="仿宋_GB2312" w:hAnsi="宋体" w:cs="宋体"/>
          <w:bCs/>
          <w:kern w:val="0"/>
          <w:szCs w:val="24"/>
          <w:highlight w:val="yellow"/>
          <w:u w:val="none"/>
        </w:rPr>
        <w:t>本理财产品在投资于境外资产之前，管理人应获得相应的业务经营范围或投资交易资格。</w:t>
      </w:r>
      <w:r>
        <w:rPr>
          <w:rFonts w:hint="eastAsia" w:ascii="仿宋_GB2312" w:hAnsi="宋体" w:cs="宋体"/>
          <w:bCs/>
          <w:kern w:val="0"/>
          <w:szCs w:val="24"/>
          <w:highlight w:val="yellow"/>
          <w:u w:val="none"/>
          <w:lang w:eastAsia="zh-CN"/>
        </w:rPr>
        <w:t>】</w:t>
      </w:r>
    </w:p>
    <w:p w14:paraId="329E1B6F">
      <w:pPr>
        <w:tabs>
          <w:tab w:val="left" w:pos="3119"/>
        </w:tabs>
        <w:autoSpaceDE w:val="0"/>
        <w:autoSpaceDN w:val="0"/>
        <w:spacing w:line="360" w:lineRule="auto"/>
        <w:ind w:right="31" w:rightChars="15" w:firstLine="420" w:firstLineChars="200"/>
      </w:pPr>
      <w:r>
        <w:rPr>
          <w:rFonts w:hint="eastAsia" w:ascii="仿宋_GB2312" w:hAnsi="宋体" w:cs="宋体"/>
          <w:bCs/>
          <w:color w:val="000000"/>
          <w:kern w:val="0"/>
          <w:szCs w:val="24"/>
        </w:rPr>
        <w:t>本理财产品投资的资产范围须完全符合法律法规或监管规定，如因法律法规或监管规定的变更、修订或更新导致本理财产品投资某类资产受到限制或禁止的，该类资产将被视为从上述资产范围中自动剔除。</w:t>
      </w:r>
    </w:p>
    <w:p w14:paraId="6A2B87E1">
      <w:pPr>
        <w:pStyle w:val="3"/>
        <w:ind w:firstLine="482"/>
      </w:pPr>
      <w:r>
        <w:rPr>
          <w:rFonts w:hint="eastAsia"/>
        </w:rPr>
        <w:t>投资比例</w:t>
      </w:r>
    </w:p>
    <w:p w14:paraId="30EEE295">
      <w:pPr>
        <w:tabs>
          <w:tab w:val="left" w:pos="3119"/>
        </w:tabs>
        <w:autoSpaceDE w:val="0"/>
        <w:autoSpaceDN w:val="0"/>
        <w:adjustRightInd w:val="0"/>
        <w:spacing w:line="360" w:lineRule="auto"/>
        <w:ind w:right="31" w:rightChars="15" w:firstLine="420" w:firstLineChars="200"/>
        <w:contextualSpacing/>
        <w:rPr>
          <w:rFonts w:ascii="仿宋_GB2312" w:hAnsi="宋体" w:cs="宋体"/>
          <w:bCs/>
          <w:kern w:val="0"/>
          <w:szCs w:val="24"/>
        </w:rPr>
      </w:pPr>
      <w:r>
        <w:rPr>
          <w:rFonts w:ascii="仿宋_GB2312" w:hAnsi="宋体" w:cs="宋体"/>
          <w:bCs/>
          <w:kern w:val="0"/>
          <w:szCs w:val="24"/>
        </w:rPr>
        <w:t>1.本产品各投资资产占比如下：</w:t>
      </w:r>
    </w:p>
    <w:tbl>
      <w:tblPr>
        <w:tblStyle w:val="8"/>
        <w:tblW w:w="0" w:type="auto"/>
        <w:tblInd w:w="18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89"/>
        <w:gridCol w:w="1325"/>
      </w:tblGrid>
      <w:tr w14:paraId="744B5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9" w:type="dxa"/>
            <w:vAlign w:val="top"/>
          </w:tcPr>
          <w:p w14:paraId="733743F7">
            <w:pPr>
              <w:widowControl/>
              <w:spacing w:line="360" w:lineRule="auto"/>
              <w:jc w:val="center"/>
              <w:rPr>
                <w:rFonts w:ascii="仿宋_GB2312" w:hAnsi="宋体" w:cs="宋体"/>
                <w:bCs/>
                <w:kern w:val="0"/>
                <w:szCs w:val="24"/>
              </w:rPr>
            </w:pPr>
            <w:r>
              <w:rPr>
                <w:rFonts w:hint="eastAsia" w:ascii="仿宋_GB2312" w:hAnsi="宋体" w:cs="宋体"/>
                <w:bCs/>
                <w:color w:val="auto"/>
                <w:kern w:val="0"/>
                <w:szCs w:val="24"/>
                <w:highlight w:val="none"/>
                <w:u w:val="none"/>
              </w:rPr>
              <w:t>投资资产</w:t>
            </w:r>
          </w:p>
        </w:tc>
        <w:tc>
          <w:tcPr>
            <w:tcW w:w="1325" w:type="dxa"/>
            <w:vAlign w:val="top"/>
          </w:tcPr>
          <w:p w14:paraId="1EF1272B">
            <w:pPr>
              <w:widowControl/>
              <w:spacing w:line="360" w:lineRule="auto"/>
              <w:jc w:val="center"/>
              <w:rPr>
                <w:rFonts w:ascii="仿宋_GB2312" w:hAnsi="宋体" w:cs="宋体"/>
                <w:bCs/>
                <w:kern w:val="0"/>
                <w:szCs w:val="24"/>
              </w:rPr>
            </w:pPr>
            <w:r>
              <w:rPr>
                <w:rFonts w:hint="eastAsia" w:ascii="仿宋_GB2312" w:hAnsi="宋体" w:cs="宋体"/>
                <w:bCs/>
                <w:color w:val="auto"/>
                <w:kern w:val="0"/>
                <w:szCs w:val="24"/>
                <w:highlight w:val="none"/>
                <w:u w:val="none"/>
              </w:rPr>
              <w:t>投资比例</w:t>
            </w:r>
          </w:p>
        </w:tc>
      </w:tr>
      <w:tr w14:paraId="7D3DA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9" w:type="dxa"/>
            <w:vAlign w:val="top"/>
          </w:tcPr>
          <w:p w14:paraId="2AA6B3D7">
            <w:pPr>
              <w:widowControl/>
              <w:spacing w:line="360" w:lineRule="auto"/>
              <w:jc w:val="center"/>
              <w:rPr>
                <w:rFonts w:ascii="仿宋_GB2312" w:hAnsi="宋体" w:cs="宋体"/>
                <w:bCs/>
                <w:kern w:val="0"/>
                <w:szCs w:val="24"/>
              </w:rPr>
            </w:pP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rPr>
              <w:t>债权类资产</w:t>
            </w:r>
            <w:r>
              <w:rPr>
                <w:rFonts w:hint="eastAsia" w:ascii="仿宋_GB2312" w:hAnsi="宋体" w:cs="宋体"/>
                <w:bCs/>
                <w:kern w:val="0"/>
                <w:szCs w:val="24"/>
                <w:highlight w:val="yellow"/>
                <w:lang w:eastAsia="zh-CN"/>
              </w:rPr>
              <w:t>】</w:t>
            </w:r>
          </w:p>
        </w:tc>
        <w:tc>
          <w:tcPr>
            <w:tcW w:w="1325" w:type="dxa"/>
            <w:vAlign w:val="top"/>
          </w:tcPr>
          <w:p w14:paraId="713413FA">
            <w:pPr>
              <w:widowControl/>
              <w:spacing w:line="360" w:lineRule="auto"/>
              <w:jc w:val="center"/>
              <w:rPr>
                <w:rFonts w:hint="eastAsia" w:ascii="仿宋_GB2312" w:hAnsi="宋体" w:eastAsia="仿宋_GB2312" w:cs="宋体"/>
                <w:bCs/>
                <w:kern w:val="0"/>
                <w:szCs w:val="24"/>
                <w:lang w:eastAsia="zh-CN"/>
              </w:rPr>
            </w:pPr>
            <w:r>
              <w:rPr>
                <w:rFonts w:hint="eastAsia" w:ascii="仿宋_GB2312" w:hAnsi="宋体" w:cs="宋体"/>
                <w:bCs/>
                <w:kern w:val="0"/>
                <w:szCs w:val="24"/>
                <w:highlight w:val="yellow"/>
                <w:lang w:eastAsia="zh-CN"/>
              </w:rPr>
              <w:t>【】</w:t>
            </w:r>
          </w:p>
        </w:tc>
      </w:tr>
      <w:tr w14:paraId="52891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9" w:type="dxa"/>
            <w:vAlign w:val="top"/>
          </w:tcPr>
          <w:p w14:paraId="3BBFAC39">
            <w:pPr>
              <w:widowControl/>
              <w:spacing w:line="360" w:lineRule="auto"/>
              <w:jc w:val="center"/>
              <w:rPr>
                <w:rFonts w:hint="eastAsia" w:ascii="仿宋_GB2312" w:hAnsi="宋体" w:eastAsia="仿宋_GB2312" w:cs="宋体"/>
                <w:bCs/>
                <w:kern w:val="0"/>
                <w:szCs w:val="24"/>
                <w:lang w:eastAsia="zh-CN"/>
              </w:rPr>
            </w:pPr>
            <w:r>
              <w:rPr>
                <w:rFonts w:hint="eastAsia" w:ascii="仿宋_GB2312" w:hAnsi="宋体" w:cs="宋体"/>
                <w:bCs/>
                <w:kern w:val="0"/>
                <w:szCs w:val="24"/>
                <w:highlight w:val="yellow"/>
                <w:u w:val="none"/>
                <w:lang w:eastAsia="zh-CN"/>
              </w:rPr>
              <w:t>【</w:t>
            </w:r>
            <w:r>
              <w:rPr>
                <w:rFonts w:hint="eastAsia" w:ascii="仿宋_GB2312" w:hAnsi="宋体" w:cs="宋体"/>
                <w:bCs/>
                <w:color w:val="auto"/>
                <w:kern w:val="0"/>
                <w:szCs w:val="24"/>
                <w:highlight w:val="none"/>
                <w:u w:val="none"/>
              </w:rPr>
              <w:t>权益类资产</w:t>
            </w:r>
            <w:r>
              <w:rPr>
                <w:rFonts w:hint="eastAsia" w:ascii="仿宋_GB2312" w:hAnsi="宋体" w:cs="宋体"/>
                <w:bCs/>
                <w:kern w:val="0"/>
                <w:szCs w:val="24"/>
                <w:highlight w:val="yellow"/>
                <w:u w:val="none"/>
                <w:lang w:eastAsia="zh-CN"/>
              </w:rPr>
              <w:t>】</w:t>
            </w:r>
          </w:p>
        </w:tc>
        <w:tc>
          <w:tcPr>
            <w:tcW w:w="1325" w:type="dxa"/>
            <w:vAlign w:val="top"/>
          </w:tcPr>
          <w:p w14:paraId="707AEC2C">
            <w:pPr>
              <w:widowControl/>
              <w:spacing w:line="360" w:lineRule="auto"/>
              <w:jc w:val="center"/>
              <w:rPr>
                <w:rFonts w:hint="eastAsia" w:ascii="仿宋_GB2312" w:hAnsi="宋体" w:eastAsia="仿宋_GB2312" w:cs="宋体"/>
                <w:bCs/>
                <w:kern w:val="0"/>
                <w:szCs w:val="24"/>
                <w:lang w:eastAsia="zh-CN"/>
              </w:rPr>
            </w:pPr>
            <w:r>
              <w:rPr>
                <w:rFonts w:hint="eastAsia" w:ascii="仿宋_GB2312" w:hAnsi="宋体" w:cs="宋体"/>
                <w:bCs/>
                <w:kern w:val="0"/>
                <w:szCs w:val="24"/>
                <w:highlight w:val="yellow"/>
                <w:lang w:eastAsia="zh-CN"/>
              </w:rPr>
              <w:t>【】</w:t>
            </w:r>
          </w:p>
        </w:tc>
      </w:tr>
      <w:tr w14:paraId="54603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9" w:type="dxa"/>
            <w:vAlign w:val="top"/>
          </w:tcPr>
          <w:p w14:paraId="05CAC3FE">
            <w:pPr>
              <w:widowControl/>
              <w:spacing w:line="360" w:lineRule="auto"/>
              <w:jc w:val="center"/>
              <w:rPr>
                <w:rFonts w:hint="eastAsia" w:ascii="仿宋_GB2312" w:hAnsi="宋体" w:cs="宋体"/>
                <w:bCs/>
                <w:kern w:val="0"/>
                <w:szCs w:val="24"/>
                <w:highlight w:val="yellow"/>
                <w:u w:val="none"/>
                <w:lang w:eastAsia="zh-CN"/>
              </w:rPr>
            </w:pPr>
            <w:r>
              <w:rPr>
                <w:rFonts w:hint="eastAsia" w:ascii="仿宋_GB2312" w:hAnsi="宋体" w:cs="宋体"/>
                <w:bCs/>
                <w:kern w:val="0"/>
                <w:szCs w:val="24"/>
                <w:highlight w:val="yellow"/>
                <w:u w:val="none"/>
                <w:lang w:eastAsia="zh-CN"/>
              </w:rPr>
              <w:t>【</w:t>
            </w:r>
            <w:r>
              <w:rPr>
                <w:rFonts w:hint="eastAsia" w:ascii="仿宋_GB2312" w:hAnsi="宋体" w:cs="宋体"/>
                <w:bCs/>
                <w:color w:val="auto"/>
                <w:kern w:val="0"/>
                <w:szCs w:val="24"/>
                <w:highlight w:val="none"/>
                <w:u w:val="none"/>
              </w:rPr>
              <w:t>商品及金融衍生品类</w:t>
            </w:r>
            <w:r>
              <w:rPr>
                <w:rFonts w:hint="eastAsia" w:ascii="仿宋_GB2312" w:hAnsi="宋体" w:cs="宋体"/>
                <w:bCs/>
                <w:color w:val="auto"/>
                <w:kern w:val="0"/>
                <w:szCs w:val="24"/>
                <w:highlight w:val="none"/>
                <w:u w:val="none"/>
                <w:lang w:eastAsia="zh-CN"/>
              </w:rPr>
              <w:t>资产</w:t>
            </w:r>
            <w:r>
              <w:rPr>
                <w:rFonts w:hint="eastAsia" w:ascii="仿宋_GB2312" w:hAnsi="宋体" w:cs="宋体"/>
                <w:bCs/>
                <w:kern w:val="0"/>
                <w:szCs w:val="24"/>
                <w:highlight w:val="yellow"/>
                <w:u w:val="none"/>
                <w:lang w:eastAsia="zh-CN"/>
              </w:rPr>
              <w:t>】</w:t>
            </w:r>
          </w:p>
        </w:tc>
        <w:tc>
          <w:tcPr>
            <w:tcW w:w="1325" w:type="dxa"/>
            <w:vAlign w:val="top"/>
          </w:tcPr>
          <w:p w14:paraId="1CEF1DF5">
            <w:pPr>
              <w:widowControl/>
              <w:spacing w:line="360" w:lineRule="auto"/>
              <w:jc w:val="center"/>
              <w:rPr>
                <w:rFonts w:hint="eastAsia" w:ascii="仿宋_GB2312" w:hAnsi="宋体" w:cs="宋体"/>
                <w:bCs/>
                <w:kern w:val="0"/>
                <w:szCs w:val="24"/>
                <w:highlight w:val="yellow"/>
                <w:lang w:eastAsia="zh-CN"/>
              </w:rPr>
            </w:pPr>
            <w:r>
              <w:rPr>
                <w:rFonts w:hint="eastAsia" w:ascii="仿宋_GB2312" w:hAnsi="宋体" w:cs="宋体"/>
                <w:bCs/>
                <w:kern w:val="0"/>
                <w:szCs w:val="24"/>
                <w:highlight w:val="yellow"/>
                <w:lang w:eastAsia="zh-CN"/>
              </w:rPr>
              <w:t>【】</w:t>
            </w:r>
          </w:p>
        </w:tc>
      </w:tr>
    </w:tbl>
    <w:p w14:paraId="0305E673">
      <w:pPr>
        <w:autoSpaceDE w:val="0"/>
        <w:autoSpaceDN w:val="0"/>
        <w:adjustRightInd w:val="0"/>
        <w:snapToGrid w:val="0"/>
        <w:spacing w:line="360" w:lineRule="auto"/>
        <w:jc w:val="left"/>
        <w:rPr>
          <w:rFonts w:ascii="仿宋_GB2312" w:hAnsi="宋体" w:cs="宋体"/>
          <w:bCs/>
          <w:kern w:val="0"/>
          <w:szCs w:val="24"/>
        </w:rPr>
      </w:pPr>
    </w:p>
    <w:p w14:paraId="7E8FF2C8">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管理人将在产品成立后一个月内使资产配置比例符合上述规定。</w:t>
      </w:r>
    </w:p>
    <w:p w14:paraId="41A20511">
      <w:pPr>
        <w:pStyle w:val="3"/>
        <w:ind w:firstLine="482"/>
      </w:pPr>
      <w:r>
        <w:rPr>
          <w:rFonts w:hint="eastAsia"/>
        </w:rPr>
        <w:t>投资限制</w:t>
      </w:r>
    </w:p>
    <w:p w14:paraId="3E5BB91A">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none"/>
        </w:rPr>
        <w:t>投资限制中列示的资产品种不代表管理人的实际投向，本理财计划投资范围以“投资范围”章节表述为准。</w:t>
      </w:r>
    </w:p>
    <w:p w14:paraId="67340B2E">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1．投资集中度限制</w:t>
      </w:r>
    </w:p>
    <w:p w14:paraId="56F46922">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（1）本理财计划持有单只证券或单只公募证券投资基金的市值不得超过该理财计划净资产的10%。</w:t>
      </w:r>
    </w:p>
    <w:p w14:paraId="3F0141E1">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（2）管理人发行的全部公募理财计划持有单只证券或单只公募证券投资基金的市值，不得超过该证券市值或该公募证券投资基金市值的30%。</w:t>
      </w:r>
    </w:p>
    <w:p w14:paraId="4CAFB7F0">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（3）管理人发行的全部理财计划持有单一上市公司发行的股票，不得超过该上市公司可流通股票的30%。</w:t>
      </w:r>
    </w:p>
    <w:p w14:paraId="07CE057B">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（4）管理人发行的全部开放式公募理财计划投资单一上市公司发行的股票,不得超过该上市公司可流通股票的15%。</w:t>
      </w:r>
    </w:p>
    <w:p w14:paraId="43F033CA">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国务院银行业监督管理机构另有规定的除外。</w:t>
      </w:r>
    </w:p>
    <w:p w14:paraId="050CA6DE">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14:paraId="343A4364">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2．投资期限限制</w:t>
      </w:r>
    </w:p>
    <w:p w14:paraId="2B69CE6E">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本理财计划投资的非标准化债权类资产到期日不得晚于理财计划最近一次开放日。</w:t>
      </w:r>
    </w:p>
    <w:p w14:paraId="4CD653F0">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lang w:val="en-US" w:eastAsia="zh-CN"/>
        </w:rPr>
        <w:t>3</w:t>
      </w:r>
      <w:r>
        <w:rPr>
          <w:rFonts w:hint="eastAsia" w:ascii="仿宋_GB2312" w:hAnsi="宋体" w:cs="宋体"/>
          <w:bCs/>
          <w:color w:val="auto"/>
          <w:kern w:val="0"/>
          <w:szCs w:val="24"/>
          <w:highlight w:val="none"/>
        </w:rPr>
        <w:t>．流动性限制</w:t>
      </w:r>
    </w:p>
    <w:p w14:paraId="6CB8AC5F">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（1）本理财计划直接投资于流动性受限资产的市值在开放日不得超过该理财计划资产净值的15%。</w:t>
      </w:r>
    </w:p>
    <w:p w14:paraId="622BC2CA">
      <w:pPr>
        <w:tabs>
          <w:tab w:val="left" w:pos="3119"/>
        </w:tabs>
        <w:autoSpaceDE w:val="0"/>
        <w:autoSpaceDN w:val="0"/>
        <w:adjustRightInd w:val="0"/>
        <w:spacing w:line="360" w:lineRule="auto"/>
        <w:ind w:right="31" w:rightChars="15" w:firstLine="420" w:firstLineChars="200"/>
        <w:contextualSpacing/>
        <w:rPr>
          <w:rFonts w:hint="eastAsia" w:ascii="仿宋_GB2312" w:hAnsi="宋体" w:eastAsia="仿宋_GB2312" w:cs="宋体"/>
          <w:bCs/>
          <w:color w:val="auto"/>
          <w:kern w:val="0"/>
          <w:szCs w:val="24"/>
          <w:highlight w:val="none"/>
          <w:lang w:eastAsia="zh-CN"/>
        </w:rPr>
      </w:pPr>
      <w:r>
        <w:rPr>
          <w:rFonts w:hint="eastAsia" w:ascii="仿宋_GB2312" w:hAnsi="宋体" w:cs="宋体"/>
          <w:bCs/>
          <w:color w:val="auto"/>
          <w:kern w:val="0"/>
          <w:szCs w:val="24"/>
          <w:highlight w:val="none"/>
        </w:rPr>
        <w:t>（2）本理财计划还应满足以下限制</w:t>
      </w:r>
      <w:r>
        <w:rPr>
          <w:rFonts w:hint="eastAsia" w:ascii="仿宋_GB2312" w:hAnsi="宋体" w:cs="宋体"/>
          <w:bCs/>
          <w:color w:val="auto"/>
          <w:kern w:val="0"/>
          <w:szCs w:val="24"/>
          <w:highlight w:val="yellow"/>
          <w:lang w:eastAsia="zh-CN"/>
        </w:rPr>
        <w:t>【】</w:t>
      </w:r>
    </w:p>
    <w:p w14:paraId="0E4CF6A9">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a. 本理财计划应当持有不低于该理财计划资产净值5%的现金或者到期日在一年以内的国债、中央银行票据和政策性金融债券。</w:t>
      </w:r>
    </w:p>
    <w:p w14:paraId="282F1773">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b. 本理财计划应当在开放日及开放日前7个工作日内持有不低于该理财计划资产净值5%的现金或者到期日在一年以内的国债、中央银行票据和政策性金融债券。</w:t>
      </w:r>
    </w:p>
    <w:p w14:paraId="4D9DEC64">
      <w:pPr>
        <w:tabs>
          <w:tab w:val="left" w:pos="3119"/>
        </w:tabs>
        <w:autoSpaceDE w:val="0"/>
        <w:autoSpaceDN w:val="0"/>
        <w:adjustRightInd w:val="0"/>
        <w:spacing w:line="360" w:lineRule="auto"/>
        <w:ind w:right="31" w:rightChars="15" w:firstLine="422" w:firstLineChars="200"/>
        <w:contextualSpacing/>
        <w:rPr>
          <w:rFonts w:hint="eastAsia" w:ascii="仿宋_GB2312" w:hAnsi="宋体" w:cs="宋体"/>
          <w:b/>
          <w:bCs w:val="0"/>
          <w:kern w:val="0"/>
          <w:szCs w:val="24"/>
          <w:highlight w:val="none"/>
        </w:rPr>
      </w:pPr>
      <w:r>
        <w:rPr>
          <w:rFonts w:hint="eastAsia" w:ascii="仿宋_GB2312" w:hAnsi="宋体" w:cs="宋体"/>
          <w:b/>
          <w:bCs w:val="0"/>
          <w:kern w:val="0"/>
          <w:szCs w:val="24"/>
          <w:highlight w:val="none"/>
        </w:rPr>
        <w:t>c. 本理财计划</w:t>
      </w:r>
      <w:r>
        <w:rPr>
          <w:rFonts w:hint="eastAsia" w:ascii="仿宋_GB2312" w:hAnsi="宋体" w:cs="宋体"/>
          <w:b/>
          <w:bCs w:val="0"/>
          <w:kern w:val="0"/>
          <w:szCs w:val="24"/>
          <w:highlight w:val="none"/>
          <w:lang w:eastAsia="zh-CN"/>
        </w:rPr>
        <w:t>投向</w:t>
      </w:r>
      <w:r>
        <w:rPr>
          <w:rFonts w:hint="eastAsia" w:ascii="仿宋_GB2312" w:hAnsi="宋体" w:cs="宋体"/>
          <w:b/>
          <w:bCs w:val="0"/>
          <w:kern w:val="0"/>
          <w:szCs w:val="24"/>
          <w:highlight w:val="none"/>
        </w:rPr>
        <w:t>不存在活跃交易市场，并且需要采用估值技术确定公允价值的资产比例</w:t>
      </w:r>
      <w:r>
        <w:rPr>
          <w:rFonts w:hint="eastAsia" w:ascii="仿宋_GB2312" w:hAnsi="宋体" w:cs="宋体"/>
          <w:b/>
          <w:bCs w:val="0"/>
          <w:kern w:val="0"/>
          <w:szCs w:val="24"/>
          <w:highlight w:val="none"/>
          <w:lang w:eastAsia="zh-CN"/>
        </w:rPr>
        <w:t>可超过</w:t>
      </w:r>
      <w:r>
        <w:rPr>
          <w:rFonts w:hint="eastAsia" w:ascii="仿宋_GB2312" w:hAnsi="宋体" w:cs="宋体"/>
          <w:b/>
          <w:bCs w:val="0"/>
          <w:kern w:val="0"/>
          <w:szCs w:val="24"/>
          <w:highlight w:val="none"/>
        </w:rPr>
        <w:t xml:space="preserve">理财产品净资产50%以上。  </w:t>
      </w:r>
    </w:p>
    <w:p w14:paraId="72360516">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（3）在开放日前一工作日内，本理财计划7个工作日可变现资产的可变现价值应当不低于该理财计划资产净值的10%。</w:t>
      </w:r>
    </w:p>
    <w:p w14:paraId="608476DC">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lang w:val="en-US" w:eastAsia="zh-CN"/>
        </w:rPr>
        <w:t>4</w:t>
      </w:r>
      <w:r>
        <w:rPr>
          <w:rFonts w:hint="eastAsia" w:ascii="仿宋_GB2312" w:hAnsi="宋体" w:cs="宋体"/>
          <w:bCs/>
          <w:color w:val="auto"/>
          <w:kern w:val="0"/>
          <w:szCs w:val="24"/>
          <w:highlight w:val="none"/>
        </w:rPr>
        <w:t>．其他投资限制</w:t>
      </w:r>
    </w:p>
    <w:p w14:paraId="33D7FDD8">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yellow"/>
        </w:rPr>
      </w:pPr>
      <w:r>
        <w:rPr>
          <w:rFonts w:hint="eastAsia" w:ascii="仿宋_GB2312" w:hAnsi="宋体" w:cs="宋体"/>
          <w:bCs/>
          <w:color w:val="000000"/>
          <w:kern w:val="0"/>
          <w:szCs w:val="24"/>
          <w:highlight w:val="yellow"/>
          <w:lang w:eastAsia="zh-CN"/>
        </w:rPr>
        <w:t>【</w:t>
      </w:r>
      <w:r>
        <w:rPr>
          <w:rFonts w:hint="eastAsia" w:ascii="仿宋_GB2312" w:hAnsi="宋体" w:cs="宋体"/>
          <w:bCs/>
          <w:color w:val="000000"/>
          <w:kern w:val="0"/>
          <w:szCs w:val="24"/>
          <w:highlight w:val="yellow"/>
        </w:rPr>
        <w:t>本产品投资于非标准化债权资产小于产品资产净值的</w:t>
      </w:r>
      <w:r>
        <w:rPr>
          <w:rFonts w:hint="eastAsia" w:ascii="仿宋_GB2312" w:hAnsi="宋体" w:cs="宋体"/>
          <w:bCs/>
          <w:color w:val="000000"/>
          <w:kern w:val="0"/>
          <w:szCs w:val="24"/>
          <w:highlight w:val="yellow"/>
          <w:lang w:val="en-US" w:eastAsia="zh-CN"/>
        </w:rPr>
        <w:t>50</w:t>
      </w:r>
      <w:r>
        <w:rPr>
          <w:rFonts w:ascii="仿宋_GB2312" w:hAnsi="宋体" w:cs="宋体"/>
          <w:bCs/>
          <w:color w:val="000000"/>
          <w:kern w:val="0"/>
          <w:szCs w:val="24"/>
          <w:highlight w:val="yellow"/>
        </w:rPr>
        <w:t>%</w:t>
      </w:r>
      <w:r>
        <w:rPr>
          <w:rFonts w:hint="eastAsia" w:ascii="仿宋_GB2312" w:hAnsi="宋体" w:cs="宋体"/>
          <w:bCs/>
          <w:color w:val="000000"/>
          <w:kern w:val="0"/>
          <w:szCs w:val="24"/>
          <w:highlight w:val="yellow"/>
          <w:lang w:eastAsia="zh-CN"/>
        </w:rPr>
        <w:t>。】</w:t>
      </w:r>
    </w:p>
    <w:p w14:paraId="1DA51C29">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本理财计划不得直接投资于信贷资产，不得直接或间接投资于浙商银行信贷资产，不得直接或间接投资于浙商银行或其他银行业金融机构发行的理财产品，不得直接或间接投资于浙商银行发行的次级档信贷资产支持证券，不得直接或间接投资于未上市公司股权及其受（收）益权。</w:t>
      </w:r>
    </w:p>
    <w:p w14:paraId="2932C1CA">
      <w:pPr>
        <w:tabs>
          <w:tab w:val="left" w:pos="3119"/>
        </w:tabs>
        <w:autoSpaceDE w:val="0"/>
        <w:autoSpaceDN w:val="0"/>
        <w:adjustRightInd w:val="0"/>
        <w:spacing w:line="360" w:lineRule="auto"/>
        <w:ind w:right="31" w:rightChars="15" w:firstLine="420" w:firstLineChars="200"/>
        <w:contextualSpacing/>
        <w:rPr>
          <w:rFonts w:hint="eastAsia" w:ascii="仿宋_GB2312" w:hAnsi="宋体" w:eastAsia="仿宋_GB2312" w:cs="宋体"/>
          <w:bCs/>
          <w:color w:val="FF0000"/>
          <w:kern w:val="0"/>
          <w:szCs w:val="24"/>
          <w:lang w:eastAsia="zh-CN"/>
        </w:rPr>
      </w:pPr>
      <w:r>
        <w:rPr>
          <w:rFonts w:hint="eastAsia" w:ascii="仿宋_GB2312" w:hAnsi="宋体" w:cs="宋体"/>
          <w:bCs/>
          <w:color w:val="auto"/>
          <w:kern w:val="0"/>
          <w:szCs w:val="24"/>
          <w:highlight w:val="none"/>
        </w:rPr>
        <w:t>以上限制，如监管有最新规定的，将参照监管规定调整。</w:t>
      </w:r>
      <w:r>
        <w:rPr>
          <w:rFonts w:hint="eastAsia" w:ascii="仿宋_GB2312" w:hAnsi="宋体" w:cs="宋体"/>
          <w:bCs/>
          <w:color w:val="auto"/>
          <w:kern w:val="0"/>
          <w:szCs w:val="24"/>
          <w:highlight w:val="yellow"/>
          <w:lang w:eastAsia="zh-CN"/>
        </w:rPr>
        <w:t>】</w:t>
      </w:r>
    </w:p>
    <w:p w14:paraId="15FB6C5E">
      <w:pPr>
        <w:tabs>
          <w:tab w:val="left" w:pos="3119"/>
        </w:tabs>
        <w:autoSpaceDE w:val="0"/>
        <w:autoSpaceDN w:val="0"/>
        <w:adjustRightInd w:val="0"/>
        <w:spacing w:line="360" w:lineRule="auto"/>
        <w:ind w:right="31" w:rightChars="15" w:firstLine="420" w:firstLineChars="200"/>
        <w:contextualSpacing/>
        <w:rPr>
          <w:rFonts w:ascii="仿宋_GB2312" w:hAnsi="宋体" w:cs="宋体"/>
          <w:bCs/>
          <w:kern w:val="0"/>
          <w:szCs w:val="24"/>
        </w:rPr>
      </w:pPr>
      <w:r>
        <w:rPr>
          <w:rFonts w:hint="eastAsia" w:ascii="仿宋_GB2312" w:hAnsi="宋体" w:cs="宋体"/>
          <w:bCs/>
          <w:color w:val="000000"/>
          <w:kern w:val="0"/>
          <w:szCs w:val="24"/>
        </w:rPr>
        <w:t>本产品存续期内非</w:t>
      </w:r>
      <w:r>
        <w:rPr>
          <w:rFonts w:ascii="仿宋_GB2312" w:hAnsi="宋体" w:cs="宋体"/>
          <w:bCs/>
          <w:color w:val="000000"/>
          <w:kern w:val="0"/>
          <w:szCs w:val="24"/>
        </w:rPr>
        <w:t>因</w:t>
      </w:r>
      <w:r>
        <w:rPr>
          <w:rFonts w:hint="eastAsia" w:ascii="仿宋_GB2312" w:hAnsi="宋体" w:cs="宋体"/>
          <w:bCs/>
          <w:color w:val="000000"/>
          <w:kern w:val="0"/>
          <w:szCs w:val="24"/>
        </w:rPr>
        <w:t>产品</w:t>
      </w:r>
      <w:r>
        <w:rPr>
          <w:rFonts w:ascii="仿宋_GB2312" w:hAnsi="宋体" w:cs="宋体"/>
          <w:bCs/>
          <w:color w:val="000000"/>
          <w:kern w:val="0"/>
          <w:szCs w:val="24"/>
        </w:rPr>
        <w:t>管理人主</w:t>
      </w:r>
      <w:r>
        <w:rPr>
          <w:rFonts w:hint="eastAsia" w:ascii="仿宋_GB2312" w:hAnsi="宋体" w:cs="宋体"/>
          <w:bCs/>
          <w:color w:val="000000"/>
          <w:kern w:val="0"/>
          <w:szCs w:val="24"/>
        </w:rPr>
        <w:t>观</w:t>
      </w:r>
      <w:r>
        <w:rPr>
          <w:rFonts w:ascii="仿宋_GB2312" w:hAnsi="宋体" w:cs="宋体"/>
          <w:bCs/>
          <w:color w:val="000000"/>
          <w:kern w:val="0"/>
          <w:szCs w:val="24"/>
        </w:rPr>
        <w:t>因素</w:t>
      </w:r>
      <w:r>
        <w:rPr>
          <w:rFonts w:hint="eastAsia" w:ascii="仿宋_GB2312" w:hAnsi="宋体" w:cs="宋体"/>
          <w:bCs/>
          <w:color w:val="000000"/>
          <w:kern w:val="0"/>
          <w:szCs w:val="24"/>
        </w:rPr>
        <w:t>导致产品投资突破上述限制的，管理人将尽合理努力，</w:t>
      </w:r>
      <w:r>
        <w:rPr>
          <w:rFonts w:hint="eastAsia" w:ascii="仿宋_GB2312" w:hAnsi="宋体" w:cs="宋体"/>
          <w:bCs/>
          <w:color w:val="000000"/>
          <w:kern w:val="0"/>
          <w:szCs w:val="24"/>
          <w:highlight w:val="none"/>
        </w:rPr>
        <w:t>在15个交易日内</w:t>
      </w:r>
      <w:r>
        <w:rPr>
          <w:rFonts w:hint="eastAsia" w:ascii="仿宋_GB2312" w:hAnsi="宋体" w:cs="宋体"/>
          <w:bCs/>
          <w:color w:val="000000"/>
          <w:kern w:val="0"/>
          <w:szCs w:val="24"/>
        </w:rPr>
        <w:t>调整至符合要求。</w:t>
      </w:r>
    </w:p>
    <w:p w14:paraId="28BBBDD0">
      <w:pPr>
        <w:pStyle w:val="3"/>
        <w:ind w:firstLine="482"/>
      </w:pPr>
      <w:r>
        <w:rPr>
          <w:rFonts w:hint="eastAsia"/>
        </w:rPr>
        <w:t>投资范围调整</w:t>
      </w:r>
    </w:p>
    <w:p w14:paraId="482ECCA0">
      <w:pPr>
        <w:tabs>
          <w:tab w:val="left" w:pos="3119"/>
        </w:tabs>
        <w:autoSpaceDE w:val="0"/>
        <w:autoSpaceDN w:val="0"/>
        <w:adjustRightInd w:val="0"/>
        <w:snapToGrid w:val="0"/>
        <w:spacing w:line="360" w:lineRule="auto"/>
        <w:ind w:firstLine="422" w:firstLineChars="200"/>
        <w:rPr>
          <w:rFonts w:ascii="仿宋_GB2312" w:hAnsi="宋体" w:cs="宋体"/>
          <w:kern w:val="0"/>
          <w:szCs w:val="24"/>
        </w:rPr>
      </w:pPr>
      <w:r>
        <w:rPr>
          <w:rFonts w:hint="eastAsia" w:ascii="仿宋_GB2312" w:hAnsi="宋体" w:cs="宋体"/>
          <w:b/>
          <w:bCs/>
          <w:kern w:val="0"/>
          <w:szCs w:val="24"/>
        </w:rPr>
        <w:t>在不违反法律、法规、规章和监管规定的强制性规范的前提下，管理人有权根据市场情况，对本产品的投资范围、投资资产种类或投资比例等进行调整，在调整前将通过本产品说明书约定的信息披露渠道进行信息披露。</w:t>
      </w:r>
      <w:r>
        <w:rPr>
          <w:rFonts w:hint="eastAsia" w:ascii="仿宋_GB2312" w:hAnsi="宋体" w:cs="宋体"/>
          <w:kern w:val="0"/>
          <w:szCs w:val="24"/>
        </w:rPr>
        <w:t>上述情况下管理人可能开放赎回，具体以信息披露内容为准。投资者不同意信息披露内容的，可在信息披露中约定的时间内赎回本产品。如投资者未在上述约定时间内赎回本产品，则视为投资者对上述调整无异议并同意继续持有本产品。除高风险类型的理财产品超出比例范围投资较低风险资产的情况外，管理人应提前取得投资者书面同意，并履行登记备案等法律法规以及金融监督管理部门规定的程序。</w:t>
      </w:r>
    </w:p>
    <w:p w14:paraId="21F47206">
      <w:pPr>
        <w:pStyle w:val="3"/>
        <w:autoSpaceDE w:val="0"/>
        <w:autoSpaceDN w:val="0"/>
        <w:adjustRightInd w:val="0"/>
        <w:snapToGrid w:val="0"/>
        <w:ind w:right="31" w:rightChars="15" w:firstLine="482"/>
      </w:pPr>
      <w:r>
        <w:rPr>
          <w:rFonts w:hint="eastAsia"/>
        </w:rPr>
        <w:t>投资策略</w:t>
      </w:r>
    </w:p>
    <w:p w14:paraId="0A0AEEA1">
      <w:pPr>
        <w:tabs>
          <w:tab w:val="left" w:pos="3119"/>
        </w:tabs>
        <w:autoSpaceDE w:val="0"/>
        <w:autoSpaceDN w:val="0"/>
        <w:adjustRightInd w:val="0"/>
        <w:snapToGrid w:val="0"/>
        <w:spacing w:line="360" w:lineRule="auto"/>
        <w:ind w:firstLine="420" w:firstLineChars="200"/>
        <w:rPr>
          <w:rFonts w:hint="eastAsia" w:eastAsia="仿宋_GB2312"/>
          <w:color w:val="auto"/>
          <w:highlight w:val="yellow"/>
          <w:lang w:eastAsia="zh-CN"/>
        </w:rPr>
      </w:pPr>
      <w:r>
        <w:rPr>
          <w:rFonts w:hint="eastAsia"/>
          <w:color w:val="auto"/>
          <w:highlight w:val="yellow"/>
          <w:lang w:eastAsia="zh-CN"/>
        </w:rPr>
        <w:t>【】</w:t>
      </w:r>
    </w:p>
    <w:p w14:paraId="591426A0">
      <w:pPr>
        <w:tabs>
          <w:tab w:val="left" w:pos="3119"/>
        </w:tabs>
        <w:autoSpaceDE w:val="0"/>
        <w:autoSpaceDN w:val="0"/>
        <w:adjustRightInd w:val="0"/>
        <w:snapToGrid w:val="0"/>
        <w:spacing w:line="360" w:lineRule="auto"/>
        <w:ind w:firstLine="422" w:firstLineChars="200"/>
        <w:rPr>
          <w:rFonts w:ascii="仿宋_GB2312" w:hAnsi="宋体" w:cs="宋体"/>
          <w:b/>
          <w:bCs/>
          <w:kern w:val="0"/>
          <w:szCs w:val="24"/>
          <w:highlight w:val="none"/>
        </w:rPr>
      </w:pPr>
      <w:r>
        <w:rPr>
          <w:rFonts w:hint="eastAsia" w:ascii="仿宋_GB2312" w:hAnsi="宋体" w:cs="宋体"/>
          <w:b/>
          <w:bCs/>
          <w:kern w:val="0"/>
          <w:szCs w:val="24"/>
          <w:highlight w:val="none"/>
        </w:rPr>
        <w:t>本产品可在符合监管规定的前提下适当运用杠杆原理，通过回购操作，增强投资组合的收益水平,但本理财产品总资产不超过净资产的</w:t>
      </w:r>
      <w:r>
        <w:rPr>
          <w:rFonts w:hint="eastAsia" w:ascii="仿宋_GB2312" w:hAnsi="宋体" w:cs="宋体"/>
          <w:b/>
          <w:bCs/>
          <w:kern w:val="0"/>
          <w:szCs w:val="24"/>
          <w:highlight w:val="yellow"/>
          <w:lang w:eastAsia="zh-CN"/>
        </w:rPr>
        <w:t>【】</w:t>
      </w:r>
      <w:r>
        <w:rPr>
          <w:rFonts w:hint="eastAsia" w:ascii="仿宋_GB2312" w:hAnsi="宋体" w:cs="宋体"/>
          <w:b/>
          <w:bCs/>
          <w:kern w:val="0"/>
          <w:szCs w:val="24"/>
          <w:highlight w:val="none"/>
        </w:rPr>
        <w:t>。</w:t>
      </w:r>
    </w:p>
    <w:p w14:paraId="427BEC46">
      <w:pPr>
        <w:pStyle w:val="3"/>
        <w:ind w:firstLine="482"/>
      </w:pPr>
      <w:r>
        <w:rPr>
          <w:rFonts w:hint="eastAsia"/>
        </w:rPr>
        <w:t>投资</w:t>
      </w:r>
      <w:r>
        <w:t>合作机构</w:t>
      </w:r>
    </w:p>
    <w:p w14:paraId="267FB908">
      <w:pPr>
        <w:tabs>
          <w:tab w:val="left" w:pos="3119"/>
        </w:tabs>
        <w:autoSpaceDE w:val="0"/>
        <w:autoSpaceDN w:val="0"/>
        <w:adjustRightInd w:val="0"/>
        <w:snapToGrid w:val="0"/>
        <w:spacing w:line="360" w:lineRule="auto"/>
        <w:ind w:right="31" w:rightChars="15" w:firstLine="420" w:firstLineChars="200"/>
        <w:rPr>
          <w:rFonts w:ascii="仿宋_GB2312" w:hAnsi="宋体" w:cs="宋体"/>
          <w:bCs/>
          <w:kern w:val="0"/>
          <w:szCs w:val="24"/>
        </w:rPr>
      </w:pPr>
      <w:r>
        <w:rPr>
          <w:rFonts w:hint="eastAsia" w:ascii="仿宋_GB2312" w:hAnsi="宋体" w:cs="宋体"/>
          <w:bCs/>
          <w:kern w:val="0"/>
          <w:szCs w:val="24"/>
        </w:rPr>
        <w:t>投资合作机构包括但不限于理财产品所投资资产管理产品的发行机构、根据合同约定从事理财产品受托投资的机构、与理财产品投资管理相关的投资顾问等。本理财产品的投资合作机构主要职责为对受托资金进行投资和管理，根据合同约定从事受托投资或提供投资顾问等服务，具体职责以管理人与投资合作机构签署的合同为准。</w:t>
      </w:r>
    </w:p>
    <w:p w14:paraId="24F1F53C">
      <w:pPr>
        <w:tabs>
          <w:tab w:val="left" w:pos="3119"/>
        </w:tabs>
        <w:autoSpaceDE w:val="0"/>
        <w:autoSpaceDN w:val="0"/>
        <w:adjustRightInd w:val="0"/>
        <w:snapToGrid w:val="0"/>
        <w:spacing w:line="360" w:lineRule="auto"/>
        <w:ind w:right="31" w:rightChars="15" w:firstLine="420" w:firstLineChars="200"/>
        <w:rPr>
          <w:rFonts w:ascii="仿宋_GB2312" w:hAnsi="宋体" w:cs="宋体"/>
          <w:bCs/>
          <w:kern w:val="0"/>
          <w:szCs w:val="24"/>
        </w:rPr>
      </w:pPr>
      <w:r>
        <w:rPr>
          <w:rFonts w:hint="eastAsia" w:ascii="仿宋_GB2312" w:hAnsi="宋体" w:cs="宋体"/>
          <w:bCs/>
          <w:kern w:val="0"/>
          <w:szCs w:val="24"/>
        </w:rPr>
        <w:t>本理财产品的投资合作机构均为具有专业资质并受国家金融监督管理总局监管的金融机构或国务院银行业监督管理机构认可的其他机构。本理财产品成立时暂无特定投资合作机构，具体以后续信息披露为准。</w:t>
      </w:r>
    </w:p>
    <w:p w14:paraId="141F9CCC">
      <w:pPr>
        <w:tabs>
          <w:tab w:val="left" w:pos="3119"/>
        </w:tabs>
        <w:autoSpaceDE w:val="0"/>
        <w:autoSpaceDN w:val="0"/>
        <w:adjustRightInd w:val="0"/>
        <w:snapToGrid w:val="0"/>
        <w:ind w:right="31" w:rightChars="15"/>
      </w:pPr>
      <w:r>
        <w:rPr>
          <w:rFonts w:hint="eastAsia" w:ascii="仿宋_GB2312" w:hAnsi="宋体" w:cs="宋体"/>
          <w:bCs/>
          <w:kern w:val="0"/>
          <w:szCs w:val="24"/>
        </w:rPr>
        <w:br w:type="page"/>
      </w:r>
    </w:p>
    <w:p w14:paraId="4A62FE94">
      <w:pPr>
        <w:pStyle w:val="2"/>
        <w:tabs>
          <w:tab w:val="left" w:pos="3119"/>
          <w:tab w:val="clear" w:pos="0"/>
        </w:tabs>
        <w:autoSpaceDE w:val="0"/>
        <w:autoSpaceDN w:val="0"/>
        <w:adjustRightInd w:val="0"/>
        <w:spacing w:before="240"/>
        <w:ind w:right="31" w:rightChars="15" w:firstLine="560"/>
        <w:contextualSpacing/>
      </w:pPr>
      <w:r>
        <w:rPr>
          <w:rFonts w:hint="eastAsia"/>
        </w:rPr>
        <w:t>理财产品的托管</w:t>
      </w:r>
    </w:p>
    <w:p w14:paraId="569EA51E">
      <w:pPr>
        <w:tabs>
          <w:tab w:val="left" w:pos="3119"/>
        </w:tabs>
        <w:autoSpaceDE w:val="0"/>
        <w:autoSpaceDN w:val="0"/>
        <w:adjustRightInd w:val="0"/>
        <w:spacing w:before="240" w:line="360" w:lineRule="auto"/>
        <w:ind w:right="31" w:rightChars="15" w:firstLine="422" w:firstLineChars="200"/>
        <w:contextualSpacing/>
        <w:rPr>
          <w:rFonts w:ascii="仿宋_GB2312" w:hAnsi="宋体" w:cs="宋体"/>
          <w:bCs/>
          <w:color w:val="auto"/>
          <w:kern w:val="0"/>
          <w:szCs w:val="24"/>
          <w:highlight w:val="none"/>
          <w:u w:val="none"/>
        </w:rPr>
      </w:pPr>
      <w:r>
        <w:rPr>
          <w:rFonts w:hint="eastAsia" w:ascii="仿宋_GB2312" w:hAnsi="宋体" w:cs="宋体"/>
          <w:b/>
          <w:color w:val="auto"/>
          <w:kern w:val="0"/>
          <w:szCs w:val="24"/>
          <w:highlight w:val="none"/>
          <w:u w:val="none"/>
        </w:rPr>
        <w:t>本理财产品托管人为</w:t>
      </w:r>
      <w:r>
        <w:rPr>
          <w:rFonts w:hint="eastAsia" w:ascii="仿宋_GB2312" w:hAnsi="宋体" w:cs="宋体"/>
          <w:b/>
          <w:kern w:val="0"/>
          <w:szCs w:val="24"/>
          <w:highlight w:val="yellow"/>
          <w:lang w:eastAsia="zh-CN"/>
        </w:rPr>
        <w:t>【】</w:t>
      </w:r>
      <w:r>
        <w:rPr>
          <w:rFonts w:hint="eastAsia" w:ascii="仿宋_GB2312" w:hAnsi="宋体" w:cs="宋体"/>
          <w:b/>
          <w:color w:val="auto"/>
          <w:kern w:val="0"/>
          <w:szCs w:val="24"/>
          <w:highlight w:val="none"/>
          <w:u w:val="none"/>
        </w:rPr>
        <w:t>。托管</w:t>
      </w:r>
      <w:r>
        <w:rPr>
          <w:rFonts w:hint="eastAsia" w:ascii="仿宋_GB2312" w:hAnsi="宋体" w:cs="宋体"/>
          <w:b/>
          <w:bCs w:val="0"/>
          <w:color w:val="auto"/>
          <w:kern w:val="0"/>
          <w:szCs w:val="24"/>
          <w:highlight w:val="none"/>
          <w:u w:val="none"/>
        </w:rPr>
        <w:t>人</w:t>
      </w:r>
      <w:r>
        <w:rPr>
          <w:rFonts w:hint="eastAsia" w:ascii="仿宋_GB2312" w:hAnsi="宋体" w:cs="宋体"/>
          <w:b/>
          <w:kern w:val="0"/>
          <w:szCs w:val="24"/>
          <w:highlight w:val="yellow"/>
          <w:lang w:eastAsia="zh-CN"/>
        </w:rPr>
        <w:t>【</w:t>
      </w:r>
      <w:r>
        <w:rPr>
          <w:rFonts w:hint="eastAsia" w:ascii="仿宋_GB2312" w:hAnsi="宋体" w:cs="宋体"/>
          <w:b/>
          <w:kern w:val="0"/>
          <w:szCs w:val="24"/>
          <w:highlight w:val="none"/>
        </w:rPr>
        <w:t>是</w:t>
      </w:r>
      <w:r>
        <w:rPr>
          <w:rFonts w:hint="eastAsia" w:ascii="仿宋_GB2312" w:hAnsi="宋体" w:cs="宋体"/>
          <w:b/>
          <w:kern w:val="0"/>
          <w:szCs w:val="24"/>
          <w:highlight w:val="none"/>
          <w:lang w:val="en-US" w:eastAsia="zh-CN"/>
        </w:rPr>
        <w:t>/</w:t>
      </w:r>
      <w:r>
        <w:rPr>
          <w:rFonts w:hint="eastAsia" w:ascii="仿宋_GB2312" w:hAnsi="宋体"/>
          <w:b/>
          <w:szCs w:val="24"/>
          <w:highlight w:val="none"/>
        </w:rPr>
        <w:t>非</w:t>
      </w:r>
      <w:r>
        <w:rPr>
          <w:rFonts w:hint="eastAsia" w:ascii="仿宋_GB2312" w:hAnsi="宋体" w:cs="宋体"/>
          <w:b/>
          <w:kern w:val="0"/>
          <w:szCs w:val="24"/>
          <w:highlight w:val="yellow"/>
          <w:lang w:eastAsia="zh-CN"/>
        </w:rPr>
        <w:t>】</w:t>
      </w:r>
      <w:r>
        <w:rPr>
          <w:rFonts w:hint="eastAsia" w:ascii="仿宋_GB2312" w:hAnsi="宋体" w:cs="宋体"/>
          <w:b/>
          <w:bCs w:val="0"/>
          <w:color w:val="auto"/>
          <w:kern w:val="0"/>
          <w:szCs w:val="24"/>
          <w:highlight w:val="none"/>
          <w:u w:val="none"/>
        </w:rPr>
        <w:t>产品管理人</w:t>
      </w:r>
      <w:r>
        <w:rPr>
          <w:rFonts w:hint="eastAsia" w:ascii="仿宋_GB2312" w:hAnsi="宋体" w:cs="宋体"/>
          <w:b/>
          <w:color w:val="auto"/>
          <w:kern w:val="0"/>
          <w:szCs w:val="24"/>
          <w:highlight w:val="none"/>
          <w:u w:val="none"/>
        </w:rPr>
        <w:t>的关联方。</w:t>
      </w:r>
    </w:p>
    <w:p w14:paraId="1DEC7EC2">
      <w:pPr>
        <w:tabs>
          <w:tab w:val="left" w:pos="3119"/>
        </w:tabs>
        <w:autoSpaceDE w:val="0"/>
        <w:autoSpaceDN w:val="0"/>
        <w:adjustRightInd w:val="0"/>
        <w:spacing w:before="240" w:line="360" w:lineRule="auto"/>
        <w:ind w:right="31" w:rightChars="15" w:firstLine="422" w:firstLineChars="200"/>
        <w:contextualSpacing/>
        <w:rPr>
          <w:rFonts w:ascii="仿宋_GB2312" w:hAnsi="宋体" w:cs="宋体"/>
          <w:bCs/>
          <w:kern w:val="0"/>
          <w:szCs w:val="24"/>
          <w:highlight w:val="none"/>
        </w:rPr>
      </w:pPr>
      <w:r>
        <w:rPr>
          <w:rFonts w:hint="eastAsia" w:ascii="仿宋_GB2312" w:hAnsi="宋体" w:cs="宋体"/>
          <w:b/>
          <w:kern w:val="0"/>
          <w:szCs w:val="24"/>
          <w:highlight w:val="yellow"/>
          <w:lang w:eastAsia="zh-CN"/>
        </w:rPr>
        <w:t>【】</w:t>
      </w:r>
      <w:r>
        <w:rPr>
          <w:rFonts w:hint="eastAsia" w:ascii="仿宋_GB2312" w:hAnsi="宋体" w:cs="宋体"/>
          <w:bCs/>
          <w:color w:val="auto"/>
          <w:kern w:val="0"/>
          <w:szCs w:val="24"/>
          <w:highlight w:val="none"/>
          <w:u w:val="none"/>
        </w:rPr>
        <w:t>具</w:t>
      </w:r>
      <w:r>
        <w:rPr>
          <w:rFonts w:hint="eastAsia" w:ascii="仿宋_GB2312" w:hAnsi="宋体" w:cs="宋体"/>
          <w:bCs/>
          <w:kern w:val="0"/>
          <w:szCs w:val="24"/>
          <w:highlight w:val="none"/>
        </w:rPr>
        <w:t>具备监管机构认可的理财产品托管资格，主要履行职责包括：</w:t>
      </w:r>
    </w:p>
    <w:p w14:paraId="37B54D9C">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kern w:val="0"/>
          <w:szCs w:val="24"/>
          <w:highlight w:val="none"/>
        </w:rPr>
      </w:pPr>
      <w:r>
        <w:rPr>
          <w:rFonts w:hint="eastAsia" w:ascii="仿宋_GB2312" w:hAnsi="宋体" w:cs="宋体"/>
          <w:bCs/>
          <w:kern w:val="0"/>
          <w:szCs w:val="24"/>
          <w:highlight w:val="none"/>
        </w:rPr>
        <w:t>（一）安全保管理财产品财产；</w:t>
      </w:r>
    </w:p>
    <w:p w14:paraId="7E217180">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kern w:val="0"/>
          <w:szCs w:val="24"/>
        </w:rPr>
      </w:pPr>
      <w:r>
        <w:rPr>
          <w:rFonts w:hint="eastAsia" w:ascii="仿宋_GB2312" w:hAnsi="宋体" w:cs="宋体"/>
          <w:bCs/>
          <w:kern w:val="0"/>
          <w:szCs w:val="24"/>
        </w:rPr>
        <w:t>（二）确保托管资金安全，保证其托管的理财产品财产与其自有资产相互独立；为每只理财产品开设独立的托管账户，不同托管账户中的资产应当相互独立；</w:t>
      </w:r>
    </w:p>
    <w:p w14:paraId="4BB38D3F">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kern w:val="0"/>
          <w:szCs w:val="24"/>
        </w:rPr>
      </w:pPr>
      <w:r>
        <w:rPr>
          <w:rFonts w:hint="eastAsia" w:ascii="仿宋_GB2312" w:hAnsi="宋体" w:cs="宋体"/>
          <w:bCs/>
          <w:kern w:val="0"/>
          <w:szCs w:val="24"/>
        </w:rPr>
        <w:t>（三）按照托管协议约定和管理人的投资指令，及时办理清算、交割事宜；</w:t>
      </w:r>
    </w:p>
    <w:p w14:paraId="3FBBEDA4">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kern w:val="0"/>
          <w:szCs w:val="24"/>
        </w:rPr>
      </w:pPr>
      <w:r>
        <w:rPr>
          <w:rFonts w:hint="eastAsia" w:ascii="仿宋_GB2312" w:hAnsi="宋体" w:cs="宋体"/>
          <w:bCs/>
          <w:kern w:val="0"/>
          <w:szCs w:val="24"/>
        </w:rPr>
        <w:t>（四）建立与管理人的对账机制，复核、审查理财产品资金头寸、资产账目、资产净值、认购和赎回价格等数据，及时核查认购、赎回以及投资资金的支付和到账情况；</w:t>
      </w:r>
    </w:p>
    <w:p w14:paraId="0A476449">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kern w:val="0"/>
          <w:szCs w:val="24"/>
        </w:rPr>
      </w:pPr>
      <w:r>
        <w:rPr>
          <w:rFonts w:hint="eastAsia" w:ascii="仿宋_GB2312" w:hAnsi="宋体" w:cs="宋体"/>
          <w:bCs/>
          <w:kern w:val="0"/>
          <w:szCs w:val="24"/>
        </w:rPr>
        <w:t>（五）监督理财产品投资运作，发现理财产品违反法律、行政法规、规章规定或合同约定进行投资的，应当拒绝执行，及时通知管理人并报告银行业监督管理机构；</w:t>
      </w:r>
    </w:p>
    <w:p w14:paraId="2FE13E5A">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kern w:val="0"/>
          <w:szCs w:val="24"/>
        </w:rPr>
      </w:pPr>
      <w:r>
        <w:rPr>
          <w:rFonts w:hint="eastAsia" w:ascii="仿宋_GB2312" w:hAnsi="宋体" w:cs="宋体"/>
          <w:bCs/>
          <w:kern w:val="0"/>
          <w:szCs w:val="24"/>
        </w:rPr>
        <w:t>（六）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298B89A4">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kern w:val="0"/>
          <w:szCs w:val="24"/>
        </w:rPr>
      </w:pPr>
      <w:r>
        <w:rPr>
          <w:rFonts w:hint="eastAsia" w:ascii="仿宋_GB2312" w:hAnsi="宋体" w:cs="宋体"/>
          <w:bCs/>
          <w:kern w:val="0"/>
          <w:szCs w:val="24"/>
        </w:rPr>
        <w:t>（七）理财托管业务活动的记录、账册、报表和其他相关资料保存</w:t>
      </w:r>
      <w:r>
        <w:rPr>
          <w:rFonts w:ascii="仿宋_GB2312" w:hAnsi="宋体" w:cs="宋体"/>
          <w:bCs/>
          <w:kern w:val="0"/>
          <w:szCs w:val="24"/>
        </w:rPr>
        <w:t>15年以上；</w:t>
      </w:r>
    </w:p>
    <w:p w14:paraId="6E79A283">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kern w:val="0"/>
          <w:szCs w:val="24"/>
        </w:rPr>
      </w:pPr>
      <w:r>
        <w:rPr>
          <w:rFonts w:hint="eastAsia" w:ascii="仿宋_GB2312" w:hAnsi="宋体" w:cs="宋体"/>
          <w:bCs/>
          <w:kern w:val="0"/>
          <w:szCs w:val="24"/>
        </w:rPr>
        <w:t>（八）对理财产品投资信息和相关资料承担保密责任，除法律、行政法规、规章规定、审计要求或者合同约定外，不得向任何机构或者个人提供相关信息和资料；</w:t>
      </w:r>
    </w:p>
    <w:p w14:paraId="76B00671">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kern w:val="0"/>
          <w:szCs w:val="24"/>
        </w:rPr>
      </w:pPr>
      <w:r>
        <w:rPr>
          <w:rFonts w:hint="eastAsia" w:ascii="仿宋_GB2312" w:hAnsi="宋体" w:cs="宋体"/>
          <w:bCs/>
          <w:kern w:val="0"/>
          <w:szCs w:val="24"/>
        </w:rPr>
        <w:t>（九）托管人的董事、监事、高级管理人员和其他托管业务人员不得有《商业银行理财业务监督管理办法》第二十四条第二款所列行为；</w:t>
      </w:r>
    </w:p>
    <w:p w14:paraId="53725CD3">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kern w:val="0"/>
          <w:szCs w:val="24"/>
        </w:rPr>
      </w:pPr>
      <w:r>
        <w:rPr>
          <w:rFonts w:hint="eastAsia" w:ascii="仿宋_GB2312" w:hAnsi="宋体" w:cs="宋体"/>
          <w:bCs/>
          <w:kern w:val="0"/>
          <w:szCs w:val="24"/>
        </w:rPr>
        <w:t>（十</w:t>
      </w:r>
      <w:r>
        <w:rPr>
          <w:rFonts w:ascii="仿宋_GB2312" w:hAnsi="宋体" w:cs="宋体"/>
          <w:bCs/>
          <w:kern w:val="0"/>
          <w:szCs w:val="24"/>
        </w:rPr>
        <w:t>）</w:t>
      </w:r>
      <w:r>
        <w:rPr>
          <w:rFonts w:hint="eastAsia" w:ascii="仿宋_GB2312" w:hAnsi="宋体" w:cs="宋体"/>
          <w:bCs/>
          <w:kern w:val="0"/>
          <w:szCs w:val="24"/>
        </w:rPr>
        <w:t>配合提供托管人相应关联方信息；</w:t>
      </w:r>
    </w:p>
    <w:p w14:paraId="36F6FC99">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kern w:val="0"/>
          <w:szCs w:val="24"/>
          <w:highlight w:val="none"/>
        </w:rPr>
      </w:pPr>
      <w:r>
        <w:rPr>
          <w:rFonts w:hint="eastAsia" w:ascii="仿宋_GB2312" w:hAnsi="宋体" w:cs="宋体"/>
          <w:bCs/>
          <w:kern w:val="0"/>
          <w:szCs w:val="24"/>
        </w:rPr>
        <w:t>（</w:t>
      </w:r>
      <w:r>
        <w:rPr>
          <w:rFonts w:hint="eastAsia" w:ascii="仿宋_GB2312" w:hAnsi="宋体" w:cs="宋体"/>
          <w:bCs/>
          <w:kern w:val="0"/>
          <w:szCs w:val="24"/>
          <w:highlight w:val="none"/>
        </w:rPr>
        <w:t>十</w:t>
      </w:r>
      <w:r>
        <w:rPr>
          <w:rFonts w:ascii="仿宋_GB2312" w:hAnsi="宋体" w:cs="宋体"/>
          <w:bCs/>
          <w:kern w:val="0"/>
          <w:szCs w:val="24"/>
          <w:highlight w:val="none"/>
        </w:rPr>
        <w:t>一）</w:t>
      </w:r>
      <w:r>
        <w:rPr>
          <w:rFonts w:hint="eastAsia" w:ascii="仿宋_GB2312" w:hAnsi="宋体" w:cs="宋体"/>
          <w:bCs/>
          <w:kern w:val="0"/>
          <w:szCs w:val="24"/>
          <w:highlight w:val="none"/>
        </w:rPr>
        <w:t>国务院银行业监督管理机构规定的其他职责。</w:t>
      </w:r>
    </w:p>
    <w:p w14:paraId="62A7996A">
      <w:pPr>
        <w:rPr>
          <w:rFonts w:ascii="仿宋_GB2312" w:hAnsi="宋体" w:cs="宋体"/>
          <w:bCs/>
          <w:kern w:val="0"/>
          <w:szCs w:val="24"/>
          <w:highlight w:val="none"/>
        </w:rPr>
      </w:pPr>
      <w:r>
        <w:rPr>
          <w:rFonts w:ascii="仿宋_GB2312" w:hAnsi="宋体" w:cs="宋体"/>
          <w:bCs/>
          <w:kern w:val="0"/>
          <w:szCs w:val="24"/>
          <w:highlight w:val="none"/>
        </w:rPr>
        <w:br w:type="page"/>
      </w:r>
    </w:p>
    <w:p w14:paraId="6C96A019">
      <w:pPr>
        <w:pStyle w:val="2"/>
        <w:rPr>
          <w:highlight w:val="none"/>
        </w:rPr>
      </w:pPr>
      <w:r>
        <w:rPr>
          <w:rFonts w:hint="eastAsia"/>
          <w:highlight w:val="none"/>
        </w:rPr>
        <w:t>理财产品资产估值</w:t>
      </w:r>
    </w:p>
    <w:p w14:paraId="6E48DFAD">
      <w:pPr>
        <w:pStyle w:val="3"/>
        <w:ind w:firstLine="482"/>
        <w:rPr>
          <w:highlight w:val="none"/>
        </w:rPr>
      </w:pPr>
      <w:r>
        <w:rPr>
          <w:rFonts w:hint="eastAsia"/>
          <w:highlight w:val="none"/>
        </w:rPr>
        <w:t>估值日</w:t>
      </w:r>
    </w:p>
    <w:p w14:paraId="4A4FB41D">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highlight w:val="yellow"/>
          <w:lang w:eastAsia="zh-CN"/>
        </w:rPr>
        <w:t>【</w:t>
      </w:r>
      <w:r>
        <w:rPr>
          <w:rFonts w:hint="eastAsia"/>
          <w:color w:val="auto"/>
          <w:highlight w:val="none"/>
          <w:u w:val="none"/>
        </w:rPr>
        <w:t>本产品的估值日为</w:t>
      </w:r>
      <w:r>
        <w:rPr>
          <w:rFonts w:hint="eastAsia"/>
          <w:highlight w:val="yellow"/>
          <w:lang w:eastAsia="zh-CN"/>
        </w:rPr>
        <w:t>】</w:t>
      </w:r>
      <w:r>
        <w:rPr>
          <w:rFonts w:hint="eastAsia"/>
          <w:color w:val="auto"/>
          <w:highlight w:val="none"/>
          <w:u w:val="none"/>
        </w:rPr>
        <w:t>。</w:t>
      </w:r>
    </w:p>
    <w:p w14:paraId="79D31712">
      <w:pPr>
        <w:pStyle w:val="3"/>
        <w:ind w:firstLine="482"/>
        <w:rPr>
          <w:highlight w:val="none"/>
        </w:rPr>
      </w:pPr>
      <w:r>
        <w:rPr>
          <w:rFonts w:hint="eastAsia"/>
          <w:highlight w:val="none"/>
        </w:rPr>
        <w:t>估值对象</w:t>
      </w:r>
    </w:p>
    <w:p w14:paraId="3FDFE353">
      <w:pPr>
        <w:autoSpaceDE w:val="0"/>
        <w:autoSpaceDN w:val="0"/>
        <w:adjustRightInd w:val="0"/>
        <w:snapToGrid w:val="0"/>
        <w:spacing w:line="360" w:lineRule="auto"/>
        <w:ind w:firstLine="404" w:firstLineChars="200"/>
        <w:jc w:val="left"/>
        <w:rPr>
          <w:rFonts w:ascii="仿宋_GB2312" w:hAnsi="宋体" w:cs="宋体"/>
          <w:bCs/>
          <w:spacing w:val="-4"/>
          <w:kern w:val="0"/>
          <w:szCs w:val="24"/>
          <w:highlight w:val="none"/>
        </w:rPr>
      </w:pPr>
      <w:r>
        <w:rPr>
          <w:rFonts w:hint="eastAsia" w:ascii="仿宋_GB2312" w:hAnsi="宋体" w:cs="宋体"/>
          <w:bCs/>
          <w:spacing w:val="-4"/>
          <w:kern w:val="0"/>
          <w:szCs w:val="24"/>
          <w:highlight w:val="none"/>
        </w:rPr>
        <w:t>本理财产品估值的对象为本理财产品所持有的一切资产和负债。</w:t>
      </w:r>
    </w:p>
    <w:p w14:paraId="0FA0F940">
      <w:pPr>
        <w:pStyle w:val="3"/>
        <w:ind w:firstLine="482"/>
        <w:rPr>
          <w:highlight w:val="none"/>
        </w:rPr>
      </w:pPr>
      <w:r>
        <w:rPr>
          <w:rFonts w:hint="eastAsia"/>
          <w:highlight w:val="none"/>
        </w:rPr>
        <w:t>估值方法</w:t>
      </w:r>
    </w:p>
    <w:p w14:paraId="041B130B">
      <w:pPr>
        <w:autoSpaceDE w:val="0"/>
        <w:autoSpaceDN w:val="0"/>
        <w:adjustRightInd w:val="0"/>
        <w:snapToGrid w:val="0"/>
        <w:spacing w:line="360" w:lineRule="auto"/>
        <w:ind w:firstLine="420" w:firstLineChars="200"/>
        <w:jc w:val="left"/>
        <w:rPr>
          <w:rFonts w:ascii="仿宋_GB2312" w:hAnsi="宋体" w:cs="宋体"/>
          <w:bCs/>
          <w:kern w:val="0"/>
          <w:szCs w:val="24"/>
          <w:highlight w:val="none"/>
        </w:rPr>
      </w:pPr>
      <w:r>
        <w:rPr>
          <w:rFonts w:hint="eastAsia" w:ascii="仿宋_GB2312" w:hAnsi="宋体" w:cs="宋体"/>
          <w:bCs/>
          <w:kern w:val="0"/>
          <w:szCs w:val="24"/>
          <w:highlight w:val="none"/>
        </w:rPr>
        <w:t>1.货币市场工具类资产的估值</w:t>
      </w:r>
    </w:p>
    <w:p w14:paraId="5D47EDB6">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highlight w:val="none"/>
        </w:rPr>
        <w:t>（1）银行存款及回购按其商定利率或协议利率在实际持有期内逐日</w:t>
      </w:r>
      <w:r>
        <w:rPr>
          <w:rFonts w:hint="eastAsia" w:ascii="仿宋_GB2312" w:hAnsi="宋体" w:cs="宋体"/>
          <w:bCs/>
          <w:kern w:val="0"/>
          <w:szCs w:val="24"/>
        </w:rPr>
        <w:t>计提收益。</w:t>
      </w:r>
    </w:p>
    <w:p w14:paraId="701DDA90">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（2）货币基金按最近披露的基金份额净值进行估值，并依据该基金公布的前一日每万份收益计提收益。</w:t>
      </w:r>
    </w:p>
    <w:p w14:paraId="090FE466">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2.在证券交易所和银行间市场交易的债券的估值</w:t>
      </w:r>
    </w:p>
    <w:p w14:paraId="00475D9E">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（1）不含转股权的债券，按照第三方估值机构（中债、中证等）提供的估值数据对本理财产品所持有债券进行估值，具体的第三方估值机构有管理人与托管人协商确定；</w:t>
      </w:r>
    </w:p>
    <w:p w14:paraId="4777558B">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（2）含转股权的债券（如可转债券等），实行全价交易的，选取估值日收盘价进行估值；实行净价交易的，选取估值日收盘价并加计债券应计利息后的全价进行估值；</w:t>
      </w:r>
    </w:p>
    <w:p w14:paraId="7E6E1363">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3）对于暂不具备活跃交易市场，或者在活跃市场中没有公允报价的资产，采用估值技术确定其公允价值。在估值技术难以可靠计量公允价值的情况下，可按照监管机构认可的符合企业会计准则的其他方法进行估值；</w:t>
      </w:r>
    </w:p>
    <w:p w14:paraId="6EF685A4">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（4）如监管对债券估值另有规定，按照监管的最新规定进行调整。</w:t>
      </w:r>
    </w:p>
    <w:p w14:paraId="4E17B860">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3.优先股按第三方估值机构（中证、中债等）提供的估值数据进行估值；无第三方估值数据的，由管理人与托管人根据合理判断按反映产品公允价值的计量方案进行估值。</w:t>
      </w:r>
    </w:p>
    <w:p w14:paraId="348C3EBB">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4.交易所上市的有价证券（包括股票、权证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6F00B66D">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5.投资非货币证券投资基金的估值</w:t>
      </w:r>
    </w:p>
    <w:p w14:paraId="1BEA79FE">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（1）未上市非货币基金，按所投资基金管理人估值日披露的最新份额净值进行估值；</w:t>
      </w:r>
    </w:p>
    <w:p w14:paraId="41C4C8C8">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（2）上市基金估值</w:t>
      </w:r>
    </w:p>
    <w:p w14:paraId="081A7BF7">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交易所上市流通的基金（含公募REITs），以估值日其所在证券交易所的收盘价估值；境内上市的开放式基金（LOF），以所投资基金披露的最新份额净值进行估值。</w:t>
      </w:r>
    </w:p>
    <w:p w14:paraId="37319DA5">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（3）如遇所投资基金不公布基金份额净值、进行折算或拆分、估值日无交易等特殊情况，则按以下原则进行估值：</w:t>
      </w:r>
    </w:p>
    <w:p w14:paraId="2EDD30EB">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①以所投资基金的基金份额净值估值的，若所投资基金管理人未公布估值日基金份额净值，则按最近公布的基金份额净值为基础估值。</w:t>
      </w:r>
    </w:p>
    <w:p w14:paraId="4BA41272">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②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场及重大变化因素调整最近交易市场，确定公允价值。</w:t>
      </w:r>
    </w:p>
    <w:p w14:paraId="2EA44D44">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③如果所投资基金前一估值日至估值日期间发生分红除权、折算或拆分，理财产品管理人应根据基金份额净值或收盘价、单位基金份额分红金额、折算拆分比例、持仓份额等因素合理确定公允价值。</w:t>
      </w:r>
    </w:p>
    <w:p w14:paraId="5CC259C9">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6.投资符合投资范围内的其他各类资产管理产品的估值，以估值日截止时点获得的、由所投资资产管理人披露的最新份额净值或者投资收益情况进行估值；或由产品管理人和托管人根据合理判断按反映产品公允价值的估值方案进行估值。</w:t>
      </w:r>
    </w:p>
    <w:p w14:paraId="5722F3C0">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7.商品与金融衍生品类资产的估值</w:t>
      </w:r>
    </w:p>
    <w:p w14:paraId="2A191864">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（1）场内交易的商品与金融衍生品类资产，以交易所最近交易日的结算价或者收盘价进行估值；</w:t>
      </w:r>
    </w:p>
    <w:p w14:paraId="1AA5692B">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（2）场外交易的商品与金融衍生品类资产，采用估值技术确定其公允价值，按照外部机构提供的价格数据或管理人与托管人认可的估值方案进行估值。</w:t>
      </w:r>
    </w:p>
    <w:p w14:paraId="482FDA80">
      <w:pPr>
        <w:tabs>
          <w:tab w:val="left" w:pos="3119"/>
        </w:tabs>
        <w:autoSpaceDE w:val="0"/>
        <w:autoSpaceDN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８</w:t>
      </w:r>
      <w:r>
        <w:rPr>
          <w:rFonts w:ascii="仿宋_GB2312" w:hAnsi="宋体" w:cs="宋体"/>
          <w:bCs/>
          <w:kern w:val="0"/>
          <w:szCs w:val="24"/>
        </w:rPr>
        <w:t>.若理财产品存续期间持有其他投资品种，以理财产品管理人与托管人共同认可的估值方法估值。</w:t>
      </w:r>
    </w:p>
    <w:p w14:paraId="1976CFEF">
      <w:pPr>
        <w:tabs>
          <w:tab w:val="left" w:pos="3119"/>
        </w:tabs>
        <w:autoSpaceDE w:val="0"/>
        <w:autoSpaceDN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９</w:t>
      </w:r>
      <w:r>
        <w:rPr>
          <w:rFonts w:ascii="仿宋_GB2312" w:hAnsi="宋体" w:cs="宋体"/>
          <w:bCs/>
          <w:kern w:val="0"/>
          <w:szCs w:val="24"/>
        </w:rPr>
        <w:t>.</w:t>
      </w:r>
      <w:r>
        <w:rPr>
          <w:rFonts w:hint="eastAsia" w:ascii="仿宋_GB2312" w:hAnsi="宋体" w:cs="宋体"/>
          <w:bCs/>
          <w:kern w:val="0"/>
          <w:szCs w:val="24"/>
        </w:rPr>
        <w:t>在任何情况下，如采用以上规定的方法对资产进行估值，均应被认为采用了适当的估值方法。如管理人有证据表明上述规定不能客观反映理财产品资产公允价值的，管理人可根据具体情况，在综合考虑市场成交价、市场报价、流动性、收益率曲线与标的信用风险等多种因素基础上，按最能反映理财产品资产公允价值的方法进行估值。</w:t>
      </w:r>
    </w:p>
    <w:p w14:paraId="261F29FD">
      <w:pPr>
        <w:pStyle w:val="3"/>
        <w:ind w:firstLine="482"/>
      </w:pPr>
      <w:r>
        <w:rPr>
          <w:rFonts w:hint="eastAsia"/>
        </w:rPr>
        <w:t>估值错误处理</w:t>
      </w:r>
    </w:p>
    <w:p w14:paraId="051DEEFE">
      <w:pPr>
        <w:tabs>
          <w:tab w:val="left" w:pos="3119"/>
        </w:tabs>
        <w:autoSpaceDE w:val="0"/>
        <w:autoSpaceDN w:val="0"/>
        <w:adjustRightInd w:val="0"/>
        <w:snapToGrid w:val="0"/>
        <w:spacing w:line="360" w:lineRule="auto"/>
        <w:ind w:right="31" w:rightChars="15" w:firstLine="420" w:firstLineChars="200"/>
        <w:rPr>
          <w:rFonts w:ascii="仿宋_GB2312" w:hAnsi="宋体" w:cs="宋体"/>
          <w:bCs/>
          <w:kern w:val="0"/>
          <w:szCs w:val="24"/>
        </w:rPr>
      </w:pPr>
      <w:r>
        <w:rPr>
          <w:rFonts w:hint="eastAsia" w:ascii="仿宋_GB2312" w:hAnsi="宋体" w:cs="宋体"/>
          <w:bCs/>
          <w:kern w:val="0"/>
          <w:szCs w:val="24"/>
        </w:rPr>
        <w:t>理财</w:t>
      </w:r>
      <w:r>
        <w:rPr>
          <w:rFonts w:ascii="仿宋_GB2312" w:hAnsi="宋体" w:cs="宋体"/>
          <w:bCs/>
          <w:kern w:val="0"/>
          <w:szCs w:val="24"/>
        </w:rPr>
        <w:t>产品</w:t>
      </w:r>
      <w:r>
        <w:rPr>
          <w:rFonts w:hint="eastAsia" w:ascii="仿宋_GB2312" w:hAnsi="宋体" w:cs="宋体"/>
          <w:bCs/>
          <w:kern w:val="0"/>
          <w:szCs w:val="24"/>
        </w:rPr>
        <w:t>管理人和</w:t>
      </w:r>
      <w:r>
        <w:rPr>
          <w:rFonts w:ascii="仿宋_GB2312" w:hAnsi="宋体" w:cs="宋体"/>
          <w:bCs/>
          <w:kern w:val="0"/>
          <w:szCs w:val="24"/>
        </w:rPr>
        <w:t>理财产品托管人</w:t>
      </w:r>
      <w:r>
        <w:rPr>
          <w:rFonts w:hint="eastAsia" w:ascii="仿宋_GB2312" w:hAnsi="宋体" w:cs="宋体"/>
          <w:bCs/>
          <w:kern w:val="0"/>
          <w:szCs w:val="24"/>
        </w:rPr>
        <w:t>将采取必要、适当、合理的措施确保产品资产估值的准确性、及时性。</w:t>
      </w:r>
    </w:p>
    <w:p w14:paraId="5946AFB2">
      <w:pPr>
        <w:tabs>
          <w:tab w:val="left" w:pos="3119"/>
        </w:tabs>
        <w:autoSpaceDE w:val="0"/>
        <w:autoSpaceDN w:val="0"/>
        <w:adjustRightInd w:val="0"/>
        <w:snapToGrid w:val="0"/>
        <w:spacing w:line="360" w:lineRule="auto"/>
        <w:ind w:right="31" w:rightChars="15" w:firstLine="420" w:firstLineChars="200"/>
        <w:rPr>
          <w:rFonts w:ascii="仿宋_GB2312" w:hAnsi="宋体" w:cs="宋体"/>
          <w:bCs/>
          <w:kern w:val="0"/>
          <w:szCs w:val="24"/>
        </w:rPr>
      </w:pPr>
      <w:r>
        <w:rPr>
          <w:rFonts w:hint="eastAsia" w:ascii="仿宋_GB2312" w:hAnsi="宋体" w:cs="宋体"/>
          <w:bCs/>
          <w:kern w:val="0"/>
          <w:szCs w:val="24"/>
        </w:rPr>
        <w:t>1.估值错误处理原则</w:t>
      </w:r>
    </w:p>
    <w:p w14:paraId="1C64503D">
      <w:pPr>
        <w:tabs>
          <w:tab w:val="left" w:pos="3119"/>
        </w:tabs>
        <w:autoSpaceDE w:val="0"/>
        <w:autoSpaceDN w:val="0"/>
        <w:adjustRightInd w:val="0"/>
        <w:snapToGrid w:val="0"/>
        <w:spacing w:line="360" w:lineRule="auto"/>
        <w:ind w:right="31" w:rightChars="15" w:firstLine="420" w:firstLineChars="200"/>
        <w:rPr>
          <w:rFonts w:ascii="仿宋_GB2312" w:hAnsi="宋体" w:cs="宋体"/>
          <w:bCs/>
          <w:kern w:val="0"/>
          <w:szCs w:val="24"/>
        </w:rPr>
      </w:pPr>
      <w:r>
        <w:rPr>
          <w:rFonts w:hint="eastAsia" w:ascii="仿宋_GB2312" w:hAnsi="宋体" w:cs="宋体"/>
          <w:bCs/>
          <w:kern w:val="0"/>
          <w:szCs w:val="24"/>
        </w:rPr>
        <w:t>（1）由于理财产品管理人或理财产品托管人自身过错造成的估值错误，导致投资者遭受损失的，由估值错误责任方按照各自过错程度对该估值错误导致投资者遭受的直接损失给予赔偿，承担赔偿责任。</w:t>
      </w:r>
    </w:p>
    <w:p w14:paraId="654EFD66">
      <w:pPr>
        <w:tabs>
          <w:tab w:val="left" w:pos="3119"/>
        </w:tabs>
        <w:autoSpaceDE w:val="0"/>
        <w:autoSpaceDN w:val="0"/>
        <w:adjustRightInd w:val="0"/>
        <w:snapToGrid w:val="0"/>
        <w:spacing w:line="360" w:lineRule="auto"/>
        <w:ind w:right="31" w:rightChars="15" w:firstLine="420" w:firstLineChars="200"/>
        <w:rPr>
          <w:rFonts w:ascii="仿宋_GB2312" w:hAnsi="宋体" w:cs="宋体"/>
          <w:bCs/>
          <w:kern w:val="0"/>
          <w:szCs w:val="24"/>
        </w:rPr>
      </w:pPr>
      <w:r>
        <w:rPr>
          <w:rFonts w:hint="eastAsia" w:ascii="仿宋_GB2312" w:hAnsi="宋体" w:cs="宋体"/>
          <w:bCs/>
          <w:kern w:val="0"/>
          <w:szCs w:val="24"/>
        </w:rPr>
        <w:t>（2）对因技术原因引起的差错，若系同行业现有技术水平无法预见、无法避免、无法抗拒，属不可抗力。由于不可抗力原因，或由于证券交易所、期货交易所、第三方估值机构、信托公司、基金公司等发送数据错误等非管理人和托管人原因，管理人和托管人虽然已经采取必要、适当、合理的措施进行检查，但未能发现错误的，由此造成的估值错误，管理人和托管人免除赔偿责任。但管理人、托管人应当积极采取必要的措施减轻或消除由此造成的影响。但因该差错取得不当得利的投资者仍应负有返还不当得利的义务。</w:t>
      </w:r>
    </w:p>
    <w:p w14:paraId="675E1065">
      <w:pPr>
        <w:tabs>
          <w:tab w:val="left" w:pos="3119"/>
        </w:tabs>
        <w:autoSpaceDE w:val="0"/>
        <w:autoSpaceDN w:val="0"/>
        <w:adjustRightInd w:val="0"/>
        <w:snapToGrid w:val="0"/>
        <w:spacing w:line="360" w:lineRule="auto"/>
        <w:ind w:right="31" w:rightChars="15" w:firstLine="420" w:firstLineChars="200"/>
        <w:rPr>
          <w:rFonts w:ascii="仿宋_GB2312" w:hAnsi="宋体" w:cs="宋体"/>
          <w:bCs/>
          <w:kern w:val="0"/>
          <w:szCs w:val="24"/>
        </w:rPr>
      </w:pPr>
      <w:r>
        <w:rPr>
          <w:rFonts w:hint="eastAsia" w:ascii="仿宋_GB2312" w:hAnsi="宋体" w:cs="宋体"/>
          <w:bCs/>
          <w:kern w:val="0"/>
          <w:szCs w:val="24"/>
        </w:rPr>
        <w:t>（3）若因理财产品托管人估值错误造成财产损失，理财产品管理人应向托管人追偿；若因理财产品管理人与理财产品托管人之外的第三方估值差错造成财产的损失，并拒绝进行赔偿时，由理财产品管理人负责向差错方追偿，追偿过程中产生的有关费用，应当列入理财产品费用，由理财产品承担。</w:t>
      </w:r>
    </w:p>
    <w:p w14:paraId="4345D3E0">
      <w:pPr>
        <w:tabs>
          <w:tab w:val="left" w:pos="3119"/>
        </w:tabs>
        <w:autoSpaceDE w:val="0"/>
        <w:autoSpaceDN w:val="0"/>
        <w:adjustRightInd w:val="0"/>
        <w:snapToGrid w:val="0"/>
        <w:spacing w:line="360" w:lineRule="auto"/>
        <w:ind w:right="31" w:rightChars="15" w:firstLine="420" w:firstLineChars="200"/>
        <w:rPr>
          <w:rFonts w:ascii="仿宋_GB2312" w:hAnsi="宋体" w:cs="宋体"/>
          <w:bCs/>
          <w:kern w:val="0"/>
          <w:szCs w:val="24"/>
        </w:rPr>
      </w:pPr>
      <w:r>
        <w:rPr>
          <w:rFonts w:hint="eastAsia" w:ascii="仿宋_GB2312" w:hAnsi="宋体" w:cs="宋体"/>
          <w:bCs/>
          <w:kern w:val="0"/>
          <w:szCs w:val="24"/>
        </w:rPr>
        <w:t>（4）因估值错误而获得不当得利的投资者负有及时返还不当得利的义务。</w:t>
      </w:r>
    </w:p>
    <w:p w14:paraId="2A8F176E">
      <w:pPr>
        <w:tabs>
          <w:tab w:val="left" w:pos="3119"/>
        </w:tabs>
        <w:autoSpaceDE w:val="0"/>
        <w:autoSpaceDN w:val="0"/>
        <w:adjustRightInd w:val="0"/>
        <w:snapToGrid w:val="0"/>
        <w:spacing w:line="360" w:lineRule="auto"/>
        <w:ind w:right="31" w:rightChars="15" w:firstLine="420" w:firstLineChars="200"/>
        <w:rPr>
          <w:rFonts w:ascii="仿宋_GB2312" w:hAnsi="宋体" w:cs="宋体"/>
          <w:bCs/>
          <w:kern w:val="0"/>
          <w:szCs w:val="24"/>
        </w:rPr>
      </w:pPr>
      <w:r>
        <w:rPr>
          <w:rFonts w:hint="eastAsia" w:ascii="仿宋_GB2312" w:hAnsi="宋体" w:cs="宋体"/>
          <w:bCs/>
          <w:kern w:val="0"/>
          <w:szCs w:val="24"/>
        </w:rPr>
        <w:t>（5）按法律法规规定的其他原则处理估值错误。</w:t>
      </w:r>
    </w:p>
    <w:p w14:paraId="09CED205">
      <w:pPr>
        <w:tabs>
          <w:tab w:val="left" w:pos="3119"/>
        </w:tabs>
        <w:autoSpaceDE w:val="0"/>
        <w:autoSpaceDN w:val="0"/>
        <w:adjustRightInd w:val="0"/>
        <w:snapToGrid w:val="0"/>
        <w:spacing w:line="360" w:lineRule="auto"/>
        <w:ind w:right="31" w:rightChars="15" w:firstLine="420" w:firstLineChars="200"/>
        <w:rPr>
          <w:rFonts w:ascii="仿宋_GB2312" w:hAnsi="宋体" w:cs="宋体"/>
          <w:bCs/>
          <w:kern w:val="0"/>
          <w:szCs w:val="24"/>
        </w:rPr>
      </w:pPr>
      <w:r>
        <w:rPr>
          <w:rFonts w:hint="eastAsia" w:ascii="仿宋_GB2312" w:hAnsi="宋体" w:cs="宋体"/>
          <w:bCs/>
          <w:kern w:val="0"/>
          <w:szCs w:val="24"/>
        </w:rPr>
        <w:t>2.估值错误处理程序</w:t>
      </w:r>
    </w:p>
    <w:p w14:paraId="02680799">
      <w:pPr>
        <w:tabs>
          <w:tab w:val="left" w:pos="3119"/>
        </w:tabs>
        <w:autoSpaceDE w:val="0"/>
        <w:autoSpaceDN w:val="0"/>
        <w:adjustRightInd w:val="0"/>
        <w:snapToGrid w:val="0"/>
        <w:spacing w:line="360" w:lineRule="auto"/>
        <w:ind w:right="31" w:rightChars="15" w:firstLine="420" w:firstLineChars="200"/>
        <w:rPr>
          <w:rFonts w:ascii="仿宋_GB2312" w:hAnsi="宋体" w:cs="宋体"/>
          <w:bCs/>
          <w:kern w:val="0"/>
          <w:szCs w:val="24"/>
        </w:rPr>
      </w:pPr>
      <w:r>
        <w:rPr>
          <w:rFonts w:hint="eastAsia" w:ascii="仿宋_GB2312" w:hAnsi="宋体" w:cs="宋体"/>
          <w:bCs/>
          <w:kern w:val="0"/>
          <w:szCs w:val="24"/>
        </w:rPr>
        <w:t>估值错误被发现后，理财产品管理人与理财产品托管人应当及时进行处理，处理的程序如下：</w:t>
      </w:r>
    </w:p>
    <w:p w14:paraId="2E786103">
      <w:pPr>
        <w:tabs>
          <w:tab w:val="left" w:pos="3119"/>
        </w:tabs>
        <w:autoSpaceDE w:val="0"/>
        <w:autoSpaceDN w:val="0"/>
        <w:adjustRightInd w:val="0"/>
        <w:snapToGrid w:val="0"/>
        <w:spacing w:line="360" w:lineRule="auto"/>
        <w:ind w:right="31" w:rightChars="15" w:firstLine="420" w:firstLineChars="200"/>
        <w:rPr>
          <w:rFonts w:ascii="仿宋_GB2312" w:hAnsi="宋体" w:cs="宋体"/>
          <w:bCs/>
          <w:kern w:val="0"/>
          <w:szCs w:val="24"/>
        </w:rPr>
      </w:pPr>
      <w:r>
        <w:rPr>
          <w:rFonts w:hint="eastAsia" w:ascii="仿宋_GB2312" w:hAnsi="宋体" w:cs="宋体"/>
          <w:bCs/>
          <w:kern w:val="0"/>
          <w:szCs w:val="24"/>
        </w:rPr>
        <w:t>（1）查明估值差错发生的原因，根据估值错误发生的原因确定估值错误的责任方；</w:t>
      </w:r>
    </w:p>
    <w:p w14:paraId="7F1E65D8">
      <w:pPr>
        <w:tabs>
          <w:tab w:val="left" w:pos="3119"/>
        </w:tabs>
        <w:autoSpaceDE w:val="0"/>
        <w:autoSpaceDN w:val="0"/>
        <w:adjustRightInd w:val="0"/>
        <w:snapToGrid w:val="0"/>
        <w:spacing w:line="360" w:lineRule="auto"/>
        <w:ind w:right="31" w:rightChars="15" w:firstLine="420" w:firstLineChars="200"/>
        <w:rPr>
          <w:rFonts w:ascii="仿宋_GB2312" w:hAnsi="宋体" w:cs="宋体"/>
          <w:bCs/>
          <w:kern w:val="0"/>
          <w:szCs w:val="24"/>
        </w:rPr>
      </w:pPr>
      <w:r>
        <w:rPr>
          <w:rFonts w:hint="eastAsia" w:ascii="仿宋_GB2312" w:hAnsi="宋体" w:cs="宋体"/>
          <w:bCs/>
          <w:kern w:val="0"/>
          <w:szCs w:val="24"/>
        </w:rPr>
        <w:t>（2）根据估值错误处理原则对因估值错误造成的损失进行评估；</w:t>
      </w:r>
    </w:p>
    <w:p w14:paraId="55B7AC04">
      <w:pPr>
        <w:tabs>
          <w:tab w:val="left" w:pos="3119"/>
        </w:tabs>
        <w:autoSpaceDE w:val="0"/>
        <w:autoSpaceDN w:val="0"/>
        <w:adjustRightInd w:val="0"/>
        <w:snapToGrid w:val="0"/>
        <w:spacing w:line="360" w:lineRule="auto"/>
        <w:ind w:right="31" w:rightChars="15" w:firstLine="420" w:firstLineChars="200"/>
        <w:rPr>
          <w:rFonts w:ascii="仿宋_GB2312" w:hAnsi="宋体" w:cs="宋体"/>
          <w:bCs/>
          <w:kern w:val="0"/>
          <w:szCs w:val="24"/>
        </w:rPr>
      </w:pPr>
      <w:r>
        <w:rPr>
          <w:rFonts w:hint="eastAsia" w:ascii="仿宋_GB2312" w:hAnsi="宋体" w:cs="宋体"/>
          <w:bCs/>
          <w:kern w:val="0"/>
          <w:szCs w:val="24"/>
        </w:rPr>
        <w:t>（3）根据估值错误处理原则或理财产品管理人与托管人协商的方法，由理财产品管理人与托管人共同进行更正，由估值错误的责任方进行赔偿损失。</w:t>
      </w:r>
    </w:p>
    <w:p w14:paraId="64130E41">
      <w:pPr>
        <w:pStyle w:val="3"/>
        <w:ind w:firstLine="482"/>
      </w:pPr>
      <w:r>
        <w:rPr>
          <w:rFonts w:hint="eastAsia"/>
        </w:rPr>
        <w:t>暂停估值的情形</w:t>
      </w:r>
    </w:p>
    <w:p w14:paraId="2B5CA021">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1.当资产估值因不可抗力或其他情形致使本产品管理人和托管人无法准确评估资产价值时；</w:t>
      </w:r>
    </w:p>
    <w:p w14:paraId="57AE127D">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2．理财产品投资所涉及的交易市场遇法定节假日或因其他原因暂停营业时；</w:t>
      </w:r>
    </w:p>
    <w:p w14:paraId="216C5710">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3.理财产品投资的其他资产产品合同约定暂停估值或无法估值的情形发生，导致理财产品无法估值时；</w:t>
      </w:r>
    </w:p>
    <w:p w14:paraId="6B3A0409">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4</w:t>
      </w:r>
      <w:r>
        <w:rPr>
          <w:rFonts w:ascii="仿宋_GB2312" w:hAnsi="宋体" w:cs="宋体"/>
          <w:bCs/>
          <w:kern w:val="0"/>
          <w:szCs w:val="24"/>
        </w:rPr>
        <w:t>.</w:t>
      </w:r>
      <w:r>
        <w:rPr>
          <w:rFonts w:hint="eastAsia" w:ascii="仿宋_GB2312" w:hAnsi="宋体" w:cs="宋体"/>
          <w:bCs/>
          <w:kern w:val="0"/>
          <w:szCs w:val="24"/>
        </w:rPr>
        <w:t>当前一估值日理财产品资产净值5</w:t>
      </w:r>
      <w:r>
        <w:rPr>
          <w:rFonts w:ascii="仿宋_GB2312" w:hAnsi="宋体" w:cs="宋体"/>
          <w:bCs/>
          <w:kern w:val="0"/>
          <w:szCs w:val="24"/>
        </w:rPr>
        <w:t>0</w:t>
      </w:r>
      <w:r>
        <w:rPr>
          <w:rFonts w:hint="eastAsia" w:ascii="仿宋_GB2312" w:hAnsi="宋体" w:cs="宋体"/>
          <w:bCs/>
          <w:kern w:val="0"/>
          <w:szCs w:val="24"/>
        </w:rPr>
        <w:t>%以上的资产不具备活跃市场或在活跃市场中无报价，且采用估值技术不能可靠计量公允价值时；</w:t>
      </w:r>
    </w:p>
    <w:p w14:paraId="19558FC2">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ascii="仿宋_GB2312" w:hAnsi="宋体" w:cs="宋体"/>
          <w:bCs/>
          <w:kern w:val="0"/>
          <w:szCs w:val="24"/>
        </w:rPr>
        <w:t>5</w:t>
      </w:r>
      <w:r>
        <w:rPr>
          <w:rFonts w:hint="eastAsia" w:ascii="仿宋_GB2312" w:hAnsi="宋体" w:cs="宋体"/>
          <w:bCs/>
          <w:kern w:val="0"/>
          <w:szCs w:val="24"/>
        </w:rPr>
        <w:t>.国家金融监督管理总局认定的其他情形或理财产品管理人、托管人有合理理由认为将影响本理财产品估值的其他情形。</w:t>
      </w:r>
    </w:p>
    <w:p w14:paraId="3564BDC2">
      <w:pPr>
        <w:jc w:val="left"/>
        <w:rPr>
          <w:rFonts w:ascii="仿宋_GB2312" w:hAnsi="宋体" w:cs="宋体"/>
          <w:bCs/>
          <w:kern w:val="0"/>
          <w:szCs w:val="24"/>
        </w:rPr>
      </w:pPr>
      <w:r>
        <w:rPr>
          <w:rFonts w:hint="eastAsia" w:ascii="仿宋_GB2312" w:hAnsi="宋体" w:cs="宋体"/>
          <w:bCs/>
          <w:kern w:val="0"/>
          <w:szCs w:val="24"/>
        </w:rPr>
        <w:br w:type="page"/>
      </w:r>
    </w:p>
    <w:p w14:paraId="1AC4058C">
      <w:pPr>
        <w:pStyle w:val="2"/>
        <w:rPr>
          <w:highlight w:val="none"/>
        </w:rPr>
      </w:pPr>
      <w:r>
        <w:rPr>
          <w:rFonts w:hint="eastAsia"/>
          <w:highlight w:val="none"/>
        </w:rPr>
        <w:t>理财产品的</w:t>
      </w:r>
      <w:r>
        <w:rPr>
          <w:rFonts w:hint="eastAsia"/>
          <w:highlight w:val="none"/>
          <w:lang w:eastAsia="zh-CN"/>
        </w:rPr>
        <w:t>收益</w:t>
      </w:r>
      <w:r>
        <w:rPr>
          <w:rFonts w:hint="eastAsia"/>
          <w:highlight w:val="none"/>
        </w:rPr>
        <w:t>分配</w:t>
      </w:r>
    </w:p>
    <w:p w14:paraId="2ECC572B">
      <w:pPr>
        <w:pStyle w:val="3"/>
        <w:tabs>
          <w:tab w:val="left" w:pos="709"/>
          <w:tab w:val="left" w:pos="3261"/>
        </w:tabs>
        <w:ind w:firstLine="482"/>
        <w:rPr>
          <w:color w:val="000000"/>
          <w:highlight w:val="none"/>
        </w:rPr>
      </w:pPr>
      <w:r>
        <w:rPr>
          <w:rFonts w:hint="eastAsia"/>
          <w:color w:val="000000"/>
          <w:highlight w:val="none"/>
        </w:rPr>
        <w:t>理财产品的收益构成</w:t>
      </w:r>
    </w:p>
    <w:p w14:paraId="3674F982">
      <w:pPr>
        <w:pStyle w:val="3"/>
        <w:numPr>
          <w:ilvl w:val="0"/>
          <w:numId w:val="0"/>
        </w:numPr>
        <w:tabs>
          <w:tab w:val="left" w:pos="709"/>
          <w:tab w:val="left" w:pos="3261"/>
        </w:tabs>
        <w:ind w:firstLine="482"/>
        <w:rPr>
          <w:color w:val="auto"/>
          <w:highlight w:val="none"/>
          <w:u w:val="none"/>
        </w:rPr>
      </w:pPr>
      <w:r>
        <w:rPr>
          <w:rFonts w:hint="eastAsia"/>
          <w:color w:val="auto"/>
          <w:highlight w:val="none"/>
          <w:u w:val="none"/>
        </w:rPr>
        <w:t>本理财产品的收益包括：投资债券、货币市场工具等</w:t>
      </w:r>
      <w:r>
        <w:rPr>
          <w:rFonts w:hint="eastAsia"/>
          <w:color w:val="auto"/>
          <w:highlight w:val="none"/>
          <w:u w:val="none"/>
          <w:lang w:eastAsia="zh-CN"/>
        </w:rPr>
        <w:t>投资范围内的资产和</w:t>
      </w:r>
      <w:r>
        <w:rPr>
          <w:rFonts w:hint="eastAsia"/>
          <w:color w:val="auto"/>
          <w:highlight w:val="none"/>
          <w:u w:val="none"/>
        </w:rPr>
        <w:t>监管机构认可的资产或资产管理产品所产生的利息收入、买卖证券差价收入、银行存款利息以及其他合法收入。该收益构成不代表投资者一定可以获得的收益。</w:t>
      </w:r>
    </w:p>
    <w:p w14:paraId="2322C71A">
      <w:pPr>
        <w:pStyle w:val="3"/>
        <w:ind w:firstLine="482"/>
        <w:rPr>
          <w:color w:val="auto"/>
          <w:highlight w:val="none"/>
          <w:u w:val="none"/>
        </w:rPr>
      </w:pPr>
      <w:r>
        <w:rPr>
          <w:rFonts w:hint="eastAsia"/>
          <w:color w:val="auto"/>
          <w:highlight w:val="none"/>
          <w:u w:val="none"/>
        </w:rPr>
        <w:t>理财</w:t>
      </w:r>
      <w:r>
        <w:rPr>
          <w:rFonts w:hint="eastAsia"/>
          <w:color w:val="auto"/>
          <w:highlight w:val="none"/>
          <w:u w:val="none"/>
          <w:lang w:eastAsia="zh-CN"/>
        </w:rPr>
        <w:t>收益</w:t>
      </w:r>
      <w:r>
        <w:rPr>
          <w:rFonts w:hint="eastAsia"/>
          <w:color w:val="auto"/>
          <w:highlight w:val="none"/>
          <w:u w:val="none"/>
        </w:rPr>
        <w:t>的分配类型</w:t>
      </w:r>
    </w:p>
    <w:p w14:paraId="63359744">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1.依据分配时点，理财</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的分配可分为“期间分配”与“终止分配”。</w:t>
      </w:r>
    </w:p>
    <w:p w14:paraId="5E0B9C14">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2.依据分配方式，理财</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的分配可分为“现金分配”与“非现金分配”。</w:t>
      </w:r>
    </w:p>
    <w:p w14:paraId="56679F8C">
      <w:pPr>
        <w:pStyle w:val="3"/>
        <w:ind w:firstLine="482"/>
        <w:rPr>
          <w:color w:val="auto"/>
          <w:highlight w:val="none"/>
          <w:u w:val="none"/>
        </w:rPr>
      </w:pPr>
      <w:r>
        <w:rPr>
          <w:rFonts w:hint="eastAsia"/>
          <w:color w:val="auto"/>
          <w:highlight w:val="none"/>
          <w:u w:val="none"/>
        </w:rPr>
        <w:t>理财</w:t>
      </w:r>
      <w:r>
        <w:rPr>
          <w:rFonts w:hint="eastAsia"/>
          <w:color w:val="auto"/>
          <w:highlight w:val="none"/>
          <w:u w:val="none"/>
          <w:lang w:eastAsia="zh-CN"/>
        </w:rPr>
        <w:t>收益</w:t>
      </w:r>
      <w:r>
        <w:rPr>
          <w:rFonts w:hint="eastAsia"/>
          <w:color w:val="auto"/>
          <w:highlight w:val="none"/>
          <w:u w:val="none"/>
        </w:rPr>
        <w:t>的分配原则</w:t>
      </w:r>
    </w:p>
    <w:p w14:paraId="5FAB39E8">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1.本产品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分配应遵循下列原则：</w:t>
      </w:r>
    </w:p>
    <w:p w14:paraId="0C8E8EE8">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（1）每一产品份额享有同等分配权。</w:t>
      </w:r>
    </w:p>
    <w:p w14:paraId="75055230">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（2）在不</w:t>
      </w:r>
      <w:r>
        <w:rPr>
          <w:rFonts w:ascii="仿宋_GB2312" w:hAnsi="宋体" w:cs="宋体"/>
          <w:bCs/>
          <w:color w:val="auto"/>
          <w:kern w:val="0"/>
          <w:szCs w:val="24"/>
          <w:highlight w:val="none"/>
          <w:u w:val="none"/>
        </w:rPr>
        <w:t>违反法律法规、理财产品销售文件约定以及对份额持有人权益无实质性不利影响的情况下，产品管理人可</w:t>
      </w:r>
      <w:r>
        <w:rPr>
          <w:rFonts w:hint="eastAsia" w:ascii="仿宋_GB2312" w:hAnsi="宋体" w:cs="宋体"/>
          <w:bCs/>
          <w:color w:val="auto"/>
          <w:kern w:val="0"/>
          <w:szCs w:val="24"/>
          <w:highlight w:val="none"/>
          <w:u w:val="none"/>
        </w:rPr>
        <w:t>调整</w:t>
      </w:r>
      <w:r>
        <w:rPr>
          <w:rFonts w:ascii="仿宋_GB2312" w:hAnsi="宋体" w:cs="宋体"/>
          <w:bCs/>
          <w:color w:val="auto"/>
          <w:kern w:val="0"/>
          <w:szCs w:val="24"/>
          <w:highlight w:val="none"/>
          <w:u w:val="none"/>
        </w:rPr>
        <w:t>本理财产品</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的分配原则与支付方式。法律</w:t>
      </w:r>
      <w:r>
        <w:rPr>
          <w:rFonts w:hint="eastAsia" w:ascii="仿宋_GB2312" w:hAnsi="宋体" w:cs="宋体"/>
          <w:bCs/>
          <w:color w:val="auto"/>
          <w:kern w:val="0"/>
          <w:szCs w:val="24"/>
          <w:highlight w:val="none"/>
          <w:u w:val="none"/>
        </w:rPr>
        <w:t>法规</w:t>
      </w:r>
      <w:r>
        <w:rPr>
          <w:rFonts w:ascii="仿宋_GB2312" w:hAnsi="宋体" w:cs="宋体"/>
          <w:bCs/>
          <w:color w:val="auto"/>
          <w:kern w:val="0"/>
          <w:szCs w:val="24"/>
          <w:highlight w:val="none"/>
          <w:u w:val="none"/>
        </w:rPr>
        <w:t>或监管机构另有规定的从其规定。</w:t>
      </w:r>
    </w:p>
    <w:p w14:paraId="36BD49F6">
      <w:pPr>
        <w:pStyle w:val="3"/>
        <w:autoSpaceDE w:val="0"/>
        <w:autoSpaceDN w:val="0"/>
        <w:adjustRightInd w:val="0"/>
        <w:snapToGrid w:val="0"/>
        <w:ind w:firstLine="482"/>
        <w:rPr>
          <w:color w:val="auto"/>
          <w:highlight w:val="none"/>
          <w:u w:val="none"/>
        </w:rPr>
      </w:pPr>
      <w:r>
        <w:rPr>
          <w:rFonts w:hint="eastAsia"/>
          <w:color w:val="auto"/>
          <w:highlight w:val="none"/>
          <w:u w:val="none"/>
        </w:rPr>
        <w:t>理财</w:t>
      </w:r>
      <w:r>
        <w:rPr>
          <w:rFonts w:hint="eastAsia"/>
          <w:color w:val="auto"/>
          <w:highlight w:val="none"/>
          <w:u w:val="none"/>
          <w:lang w:eastAsia="zh-CN"/>
        </w:rPr>
        <w:t>收益</w:t>
      </w:r>
      <w:r>
        <w:rPr>
          <w:rFonts w:hint="eastAsia"/>
          <w:color w:val="auto"/>
          <w:highlight w:val="none"/>
          <w:u w:val="none"/>
        </w:rPr>
        <w:t xml:space="preserve">的分配方案 </w:t>
      </w:r>
    </w:p>
    <w:p w14:paraId="3F84BE98">
      <w:pPr>
        <w:autoSpaceDE w:val="0"/>
        <w:autoSpaceDN w:val="0"/>
        <w:adjustRightInd w:val="0"/>
        <w:snapToGrid w:val="0"/>
        <w:spacing w:line="360" w:lineRule="auto"/>
        <w:ind w:firstLine="420" w:firstLineChars="200"/>
        <w:jc w:val="left"/>
        <w:rPr>
          <w:color w:val="auto"/>
          <w:highlight w:val="none"/>
          <w:u w:val="none"/>
        </w:rPr>
      </w:pPr>
      <w:r>
        <w:rPr>
          <w:rFonts w:hint="eastAsia" w:ascii="仿宋_GB2312" w:hAnsi="宋体" w:cs="宋体"/>
          <w:bCs/>
          <w:color w:val="auto"/>
          <w:kern w:val="0"/>
          <w:szCs w:val="24"/>
          <w:highlight w:val="none"/>
          <w:u w:val="none"/>
        </w:rPr>
        <w:t>1.</w:t>
      </w:r>
      <w:r>
        <w:rPr>
          <w:rFonts w:hint="eastAsia"/>
          <w:color w:val="auto"/>
          <w:highlight w:val="none"/>
          <w:u w:val="none"/>
        </w:rPr>
        <w:t>分配方案要点：</w:t>
      </w:r>
    </w:p>
    <w:p w14:paraId="6B0B25FD">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w:t>
      </w:r>
      <w:r>
        <w:rPr>
          <w:rFonts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rPr>
        <w:t>本</w:t>
      </w:r>
      <w:r>
        <w:rPr>
          <w:rFonts w:ascii="仿宋_GB2312" w:hAnsi="宋体" w:cs="宋体"/>
          <w:bCs/>
          <w:color w:val="auto"/>
          <w:kern w:val="0"/>
          <w:szCs w:val="24"/>
          <w:highlight w:val="none"/>
          <w:u w:val="none"/>
        </w:rPr>
        <w:t>理财产品的分配时点包括</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rPr>
        <w:t>“期间分配”</w:t>
      </w:r>
      <w:r>
        <w:rPr>
          <w:rFonts w:hint="eastAsia" w:ascii="仿宋_GB2312" w:hAnsi="宋体" w:cs="宋体"/>
          <w:bCs/>
          <w:kern w:val="0"/>
          <w:szCs w:val="24"/>
          <w:highlight w:val="none"/>
        </w:rPr>
        <w:sym w:font="Wingdings 2" w:char="00A3"/>
      </w:r>
      <w:r>
        <w:rPr>
          <w:rFonts w:hint="eastAsia" w:ascii="仿宋_GB2312" w:hAnsi="宋体" w:cs="宋体"/>
          <w:bCs/>
          <w:kern w:val="0"/>
          <w:szCs w:val="24"/>
          <w:highlight w:val="none"/>
        </w:rPr>
        <w:t>“终止分配”</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w:t>
      </w:r>
    </w:p>
    <w:p w14:paraId="024513C9">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本</w:t>
      </w:r>
      <w:r>
        <w:rPr>
          <w:rFonts w:ascii="仿宋_GB2312" w:hAnsi="宋体" w:cs="宋体"/>
          <w:bCs/>
          <w:color w:val="auto"/>
          <w:kern w:val="0"/>
          <w:szCs w:val="24"/>
          <w:highlight w:val="none"/>
          <w:u w:val="none"/>
        </w:rPr>
        <w:t>理财产品的分配</w:t>
      </w:r>
      <w:r>
        <w:rPr>
          <w:rFonts w:hint="eastAsia" w:ascii="仿宋_GB2312" w:hAnsi="宋体" w:cs="宋体"/>
          <w:bCs/>
          <w:color w:val="auto"/>
          <w:kern w:val="0"/>
          <w:szCs w:val="24"/>
          <w:highlight w:val="none"/>
          <w:u w:val="none"/>
        </w:rPr>
        <w:t>方式</w:t>
      </w:r>
      <w:r>
        <w:rPr>
          <w:rFonts w:ascii="仿宋_GB2312" w:hAnsi="宋体" w:cs="宋体"/>
          <w:bCs/>
          <w:color w:val="auto"/>
          <w:kern w:val="0"/>
          <w:szCs w:val="24"/>
          <w:highlight w:val="none"/>
          <w:u w:val="none"/>
        </w:rPr>
        <w:t>采取</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rPr>
        <w:t>“现金分配”</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rPr>
        <w:t>“</w:t>
      </w:r>
      <w:r>
        <w:rPr>
          <w:rFonts w:hint="eastAsia" w:ascii="仿宋_GB2312" w:hAnsi="宋体" w:cs="宋体"/>
          <w:bCs/>
          <w:kern w:val="0"/>
          <w:szCs w:val="24"/>
          <w:highlight w:val="none"/>
          <w:lang w:eastAsia="zh-CN"/>
        </w:rPr>
        <w:t>非</w:t>
      </w:r>
      <w:r>
        <w:rPr>
          <w:rFonts w:hint="eastAsia" w:ascii="仿宋_GB2312" w:hAnsi="宋体" w:cs="宋体"/>
          <w:bCs/>
          <w:kern w:val="0"/>
          <w:szCs w:val="24"/>
          <w:highlight w:val="none"/>
        </w:rPr>
        <w:t>现金分配”</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w:t>
      </w:r>
    </w:p>
    <w:p w14:paraId="25E9147E">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w:t>
      </w:r>
      <w:r>
        <w:rPr>
          <w:rFonts w:hint="eastAsia" w:ascii="仿宋_GB2312" w:hAnsi="宋体" w:cs="宋体"/>
          <w:bCs/>
          <w:color w:val="auto"/>
          <w:kern w:val="0"/>
          <w:szCs w:val="24"/>
          <w:highlight w:val="none"/>
          <w:u w:val="none"/>
        </w:rPr>
        <w:t>具体</w:t>
      </w:r>
      <w:r>
        <w:rPr>
          <w:rFonts w:ascii="仿宋_GB2312" w:hAnsi="宋体" w:cs="宋体"/>
          <w:bCs/>
          <w:color w:val="auto"/>
          <w:kern w:val="0"/>
          <w:szCs w:val="24"/>
          <w:highlight w:val="none"/>
          <w:u w:val="none"/>
        </w:rPr>
        <w:t>理财产品</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分配方案由产品管理人拟定，并由产品托管人复核后确定。</w:t>
      </w:r>
    </w:p>
    <w:p w14:paraId="26F2F3D7">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3.理财</w:t>
      </w:r>
      <w:r>
        <w:rPr>
          <w:rFonts w:ascii="仿宋_GB2312" w:hAnsi="宋体" w:cs="宋体"/>
          <w:bCs/>
          <w:color w:val="auto"/>
          <w:kern w:val="0"/>
          <w:szCs w:val="24"/>
          <w:highlight w:val="none"/>
          <w:u w:val="none"/>
        </w:rPr>
        <w:t>产品存续期间，产品管理人有权</w:t>
      </w:r>
      <w:r>
        <w:rPr>
          <w:rFonts w:hint="eastAsia" w:ascii="仿宋_GB2312" w:hAnsi="宋体" w:cs="宋体"/>
          <w:bCs/>
          <w:color w:val="auto"/>
          <w:kern w:val="0"/>
          <w:szCs w:val="24"/>
          <w:highlight w:val="none"/>
          <w:u w:val="none"/>
        </w:rPr>
        <w:t>视</w:t>
      </w:r>
      <w:r>
        <w:rPr>
          <w:rFonts w:ascii="仿宋_GB2312" w:hAnsi="宋体" w:cs="宋体"/>
          <w:bCs/>
          <w:color w:val="auto"/>
          <w:kern w:val="0"/>
          <w:szCs w:val="24"/>
          <w:highlight w:val="none"/>
          <w:u w:val="none"/>
        </w:rPr>
        <w:t>理财产品收益情况进行主动分配，相应</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分配基准日、分配方案由管理人及时披露。</w:t>
      </w:r>
    </w:p>
    <w:p w14:paraId="3F624DAF">
      <w:pPr>
        <w:pStyle w:val="3"/>
        <w:tabs>
          <w:tab w:val="left" w:pos="0"/>
          <w:tab w:val="left" w:pos="709"/>
        </w:tabs>
        <w:ind w:firstLine="482" w:firstLineChars="0"/>
        <w:rPr>
          <w:color w:val="auto"/>
          <w:highlight w:val="none"/>
          <w:u w:val="none"/>
        </w:rPr>
      </w:pPr>
      <w:r>
        <w:rPr>
          <w:rFonts w:hint="eastAsia"/>
          <w:color w:val="auto"/>
          <w:highlight w:val="none"/>
          <w:u w:val="none"/>
        </w:rPr>
        <w:t>理财</w:t>
      </w:r>
      <w:r>
        <w:rPr>
          <w:rFonts w:hint="eastAsia"/>
          <w:color w:val="auto"/>
          <w:highlight w:val="none"/>
          <w:u w:val="none"/>
          <w:lang w:eastAsia="zh-CN"/>
        </w:rPr>
        <w:t>收益</w:t>
      </w:r>
      <w:r>
        <w:rPr>
          <w:rFonts w:hint="eastAsia"/>
          <w:color w:val="auto"/>
          <w:highlight w:val="none"/>
          <w:u w:val="none"/>
        </w:rPr>
        <w:t>的分配</w:t>
      </w:r>
    </w:p>
    <w:p w14:paraId="469084A8">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1.理财</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的分配日</w:t>
      </w:r>
    </w:p>
    <w:p w14:paraId="31BF727A">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若</w:t>
      </w:r>
      <w:r>
        <w:rPr>
          <w:rFonts w:ascii="仿宋_GB2312" w:hAnsi="宋体" w:cs="宋体"/>
          <w:bCs/>
          <w:color w:val="auto"/>
          <w:kern w:val="0"/>
          <w:szCs w:val="24"/>
          <w:highlight w:val="none"/>
          <w:u w:val="none"/>
        </w:rPr>
        <w:t>为期间分配的，原则上产品管理人应于分配基准日后</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lang w:val="en-US" w:eastAsia="zh-CN"/>
        </w:rPr>
        <w:t>5</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rPr>
        <w:t>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ascii="仿宋_GB2312" w:hAnsi="宋体" w:cs="宋体"/>
          <w:bCs/>
          <w:color w:val="auto"/>
          <w:kern w:val="0"/>
          <w:szCs w:val="24"/>
          <w:highlight w:val="none"/>
          <w:u w:val="none"/>
        </w:rPr>
        <w:t>内分配理财</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如有</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w:t>
      </w:r>
    </w:p>
    <w:p w14:paraId="7387FD00">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若为</w:t>
      </w:r>
      <w:r>
        <w:rPr>
          <w:rFonts w:ascii="仿宋_GB2312" w:hAnsi="宋体" w:cs="宋体"/>
          <w:bCs/>
          <w:color w:val="auto"/>
          <w:kern w:val="0"/>
          <w:szCs w:val="24"/>
          <w:highlight w:val="none"/>
          <w:u w:val="none"/>
        </w:rPr>
        <w:t>终止分配的，</w:t>
      </w:r>
      <w:r>
        <w:rPr>
          <w:rFonts w:hint="eastAsia" w:ascii="仿宋_GB2312" w:hAnsi="宋体" w:cs="宋体"/>
          <w:bCs/>
          <w:color w:val="auto"/>
          <w:kern w:val="0"/>
          <w:szCs w:val="24"/>
          <w:highlight w:val="none"/>
          <w:u w:val="none"/>
        </w:rPr>
        <w:t>产品</w:t>
      </w:r>
      <w:r>
        <w:rPr>
          <w:rFonts w:ascii="仿宋_GB2312" w:hAnsi="宋体" w:cs="宋体"/>
          <w:bCs/>
          <w:color w:val="auto"/>
          <w:kern w:val="0"/>
          <w:szCs w:val="24"/>
          <w:highlight w:val="none"/>
          <w:u w:val="none"/>
        </w:rPr>
        <w:t>管理人应按“</w:t>
      </w:r>
      <w:r>
        <w:rPr>
          <w:rFonts w:hint="eastAsia" w:ascii="仿宋_GB2312" w:hAnsi="宋体" w:cs="宋体"/>
          <w:bCs/>
          <w:color w:val="auto"/>
          <w:kern w:val="0"/>
          <w:szCs w:val="24"/>
          <w:highlight w:val="none"/>
          <w:u w:val="none"/>
        </w:rPr>
        <w:t>第十</w:t>
      </w:r>
      <w:r>
        <w:rPr>
          <w:rFonts w:hint="eastAsia" w:ascii="仿宋_GB2312" w:hAnsi="宋体" w:cs="宋体"/>
          <w:bCs/>
          <w:color w:val="auto"/>
          <w:kern w:val="0"/>
          <w:szCs w:val="24"/>
          <w:highlight w:val="none"/>
          <w:u w:val="none"/>
          <w:lang w:eastAsia="zh-CN"/>
        </w:rPr>
        <w:t>一</w:t>
      </w:r>
      <w:r>
        <w:rPr>
          <w:rFonts w:hint="eastAsia" w:ascii="仿宋_GB2312" w:hAnsi="宋体" w:cs="宋体"/>
          <w:bCs/>
          <w:color w:val="auto"/>
          <w:kern w:val="0"/>
          <w:szCs w:val="24"/>
          <w:highlight w:val="none"/>
          <w:u w:val="none"/>
        </w:rPr>
        <w:t>节 理财</w:t>
      </w:r>
      <w:r>
        <w:rPr>
          <w:rFonts w:ascii="仿宋_GB2312" w:hAnsi="宋体" w:cs="宋体"/>
          <w:bCs/>
          <w:color w:val="auto"/>
          <w:kern w:val="0"/>
          <w:szCs w:val="24"/>
          <w:highlight w:val="none"/>
          <w:u w:val="none"/>
        </w:rPr>
        <w:t>产品终止与清算”</w:t>
      </w:r>
      <w:r>
        <w:rPr>
          <w:rFonts w:hint="eastAsia" w:ascii="仿宋_GB2312" w:hAnsi="宋体" w:cs="宋体"/>
          <w:bCs/>
          <w:color w:val="auto"/>
          <w:kern w:val="0"/>
          <w:szCs w:val="24"/>
          <w:highlight w:val="none"/>
          <w:u w:val="none"/>
        </w:rPr>
        <w:t>中</w:t>
      </w:r>
      <w:r>
        <w:rPr>
          <w:rFonts w:ascii="仿宋_GB2312" w:hAnsi="宋体" w:cs="宋体"/>
          <w:bCs/>
          <w:color w:val="auto"/>
          <w:kern w:val="0"/>
          <w:szCs w:val="24"/>
          <w:highlight w:val="none"/>
          <w:u w:val="none"/>
        </w:rPr>
        <w:t>产品清算期的相关约定向投资者分配</w:t>
      </w:r>
      <w:r>
        <w:rPr>
          <w:rFonts w:hint="eastAsia" w:ascii="仿宋_GB2312" w:hAnsi="宋体" w:cs="宋体"/>
          <w:bCs/>
          <w:color w:val="auto"/>
          <w:kern w:val="0"/>
          <w:szCs w:val="24"/>
          <w:highlight w:val="none"/>
          <w:u w:val="none"/>
        </w:rPr>
        <w:t>理财</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如有</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w:t>
      </w:r>
    </w:p>
    <w:p w14:paraId="56BC05E2">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w:t>
      </w:r>
      <w:r>
        <w:rPr>
          <w:rFonts w:hint="eastAsia" w:ascii="仿宋_GB2312" w:hAnsi="宋体" w:cs="宋体"/>
          <w:bCs/>
          <w:color w:val="auto"/>
          <w:kern w:val="0"/>
          <w:szCs w:val="24"/>
          <w:highlight w:val="none"/>
          <w:u w:val="none"/>
        </w:rPr>
        <w:t>具体</w:t>
      </w:r>
      <w:r>
        <w:rPr>
          <w:rFonts w:ascii="仿宋_GB2312" w:hAnsi="宋体" w:cs="宋体"/>
          <w:bCs/>
          <w:color w:val="auto"/>
          <w:kern w:val="0"/>
          <w:szCs w:val="24"/>
          <w:highlight w:val="none"/>
          <w:u w:val="none"/>
        </w:rPr>
        <w:t>的理财产品分配</w:t>
      </w:r>
      <w:r>
        <w:rPr>
          <w:rFonts w:hint="eastAsia" w:ascii="仿宋_GB2312" w:hAnsi="宋体" w:cs="宋体"/>
          <w:bCs/>
          <w:color w:val="auto"/>
          <w:kern w:val="0"/>
          <w:szCs w:val="24"/>
          <w:highlight w:val="none"/>
          <w:u w:val="none"/>
        </w:rPr>
        <w:t>以</w:t>
      </w:r>
      <w:r>
        <w:rPr>
          <w:rFonts w:ascii="仿宋_GB2312" w:hAnsi="宋体" w:cs="宋体"/>
          <w:bCs/>
          <w:color w:val="auto"/>
          <w:kern w:val="0"/>
          <w:szCs w:val="24"/>
          <w:highlight w:val="none"/>
          <w:u w:val="none"/>
        </w:rPr>
        <w:t>管理人实际分配的为准。</w:t>
      </w:r>
    </w:p>
    <w:p w14:paraId="0540BCD1">
      <w:pPr>
        <w:pStyle w:val="14"/>
        <w:widowControl/>
        <w:snapToGrid w:val="0"/>
        <w:spacing w:line="360" w:lineRule="auto"/>
        <w:ind w:firstLine="480" w:firstLineChars="200"/>
      </w:pPr>
      <w:r>
        <w:rPr>
          <w:rFonts w:hint="eastAsia" w:ascii="仿宋_GB2312" w:hAnsi="宋体" w:eastAsia="仿宋_GB2312"/>
          <w:bCs/>
        </w:rPr>
        <w:br w:type="page"/>
      </w:r>
    </w:p>
    <w:p w14:paraId="52643D6E">
      <w:pPr>
        <w:pStyle w:val="2"/>
      </w:pPr>
      <w:r>
        <w:rPr>
          <w:rFonts w:hint="eastAsia"/>
        </w:rPr>
        <w:t>理财产品的费用与税收</w:t>
      </w:r>
    </w:p>
    <w:p w14:paraId="0FC95EAE">
      <w:pPr>
        <w:pStyle w:val="3"/>
        <w:tabs>
          <w:tab w:val="left" w:pos="0"/>
          <w:tab w:val="left" w:pos="709"/>
        </w:tabs>
        <w:ind w:firstLine="482" w:firstLineChars="0"/>
      </w:pPr>
      <w:r>
        <w:rPr>
          <w:rFonts w:hint="eastAsia"/>
        </w:rPr>
        <w:t>理财费用</w:t>
      </w:r>
    </w:p>
    <w:p w14:paraId="69DB8A42">
      <w:pPr>
        <w:widowControl/>
        <w:tabs>
          <w:tab w:val="left" w:pos="709"/>
        </w:tabs>
        <w:snapToGrid w:val="0"/>
        <w:spacing w:line="360" w:lineRule="auto"/>
        <w:ind w:firstLine="420" w:firstLineChars="200"/>
        <w:rPr>
          <w:rFonts w:ascii="仿宋_GB2312" w:hAnsi="宋体" w:cs="宋体"/>
          <w:bCs/>
          <w:kern w:val="0"/>
          <w:szCs w:val="24"/>
        </w:rPr>
      </w:pPr>
      <w:r>
        <w:rPr>
          <w:rFonts w:ascii="仿宋_GB2312" w:hAnsi="宋体" w:cs="宋体"/>
          <w:bCs/>
          <w:kern w:val="0"/>
          <w:szCs w:val="24"/>
        </w:rPr>
        <w:t>1.理财产品费用的种类</w:t>
      </w:r>
    </w:p>
    <w:p w14:paraId="32BDB7CD">
      <w:pPr>
        <w:widowControl/>
        <w:tabs>
          <w:tab w:val="left" w:pos="709"/>
        </w:tabs>
        <w:snapToGrid w:val="0"/>
        <w:spacing w:line="360" w:lineRule="auto"/>
        <w:ind w:firstLine="420" w:firstLineChars="200"/>
        <w:rPr>
          <w:rFonts w:ascii="仿宋_GB2312" w:hAnsi="宋体" w:cs="宋体"/>
          <w:bCs/>
          <w:kern w:val="0"/>
          <w:szCs w:val="24"/>
        </w:rPr>
      </w:pPr>
      <w:r>
        <w:rPr>
          <w:rFonts w:ascii="仿宋_GB2312" w:hAnsi="宋体" w:cs="宋体"/>
          <w:bCs/>
          <w:kern w:val="0"/>
          <w:szCs w:val="24"/>
        </w:rPr>
        <w:t>（1）理财产品的认购费、申购费、赎回费；</w:t>
      </w:r>
    </w:p>
    <w:p w14:paraId="3EA86387">
      <w:pPr>
        <w:widowControl/>
        <w:tabs>
          <w:tab w:val="left" w:pos="709"/>
        </w:tabs>
        <w:snapToGrid w:val="0"/>
        <w:spacing w:line="360" w:lineRule="auto"/>
        <w:ind w:firstLine="420" w:firstLineChars="200"/>
        <w:rPr>
          <w:rFonts w:ascii="仿宋_GB2312" w:hAnsi="宋体" w:cs="宋体"/>
          <w:bCs/>
          <w:kern w:val="0"/>
          <w:szCs w:val="24"/>
        </w:rPr>
      </w:pPr>
      <w:r>
        <w:rPr>
          <w:rFonts w:ascii="仿宋_GB2312" w:hAnsi="宋体" w:cs="宋体"/>
          <w:bCs/>
          <w:kern w:val="0"/>
          <w:szCs w:val="24"/>
        </w:rPr>
        <w:t>（2）理财产品的销售服务费；</w:t>
      </w:r>
    </w:p>
    <w:p w14:paraId="26741A8C">
      <w:pPr>
        <w:widowControl/>
        <w:tabs>
          <w:tab w:val="left" w:pos="709"/>
        </w:tabs>
        <w:snapToGrid w:val="0"/>
        <w:spacing w:line="360" w:lineRule="auto"/>
        <w:ind w:firstLine="420" w:firstLineChars="200"/>
        <w:rPr>
          <w:rFonts w:ascii="仿宋_GB2312" w:hAnsi="宋体" w:cs="宋体"/>
          <w:bCs/>
          <w:kern w:val="0"/>
          <w:szCs w:val="24"/>
        </w:rPr>
      </w:pPr>
      <w:r>
        <w:rPr>
          <w:rFonts w:ascii="仿宋_GB2312" w:hAnsi="宋体" w:cs="宋体"/>
          <w:bCs/>
          <w:kern w:val="0"/>
          <w:szCs w:val="24"/>
        </w:rPr>
        <w:t>（3）理财产品的</w:t>
      </w:r>
      <w:r>
        <w:rPr>
          <w:rFonts w:hint="eastAsia" w:ascii="仿宋_GB2312" w:hAnsi="宋体" w:cs="宋体"/>
          <w:bCs/>
          <w:kern w:val="0"/>
          <w:szCs w:val="24"/>
          <w:lang w:eastAsia="zh-CN"/>
        </w:rPr>
        <w:t>固定管理费</w:t>
      </w:r>
      <w:r>
        <w:rPr>
          <w:rFonts w:ascii="仿宋_GB2312" w:hAnsi="宋体" w:cs="宋体"/>
          <w:bCs/>
          <w:kern w:val="0"/>
          <w:szCs w:val="24"/>
        </w:rPr>
        <w:t>及</w:t>
      </w:r>
      <w:r>
        <w:rPr>
          <w:rFonts w:hint="eastAsia" w:ascii="仿宋_GB2312" w:hAnsi="宋体" w:cs="宋体"/>
          <w:bCs/>
          <w:kern w:val="0"/>
          <w:szCs w:val="24"/>
          <w:lang w:eastAsia="zh-CN"/>
        </w:rPr>
        <w:t>浮动管理费</w:t>
      </w:r>
      <w:r>
        <w:rPr>
          <w:rFonts w:ascii="仿宋_GB2312" w:hAnsi="宋体" w:cs="宋体"/>
          <w:bCs/>
          <w:kern w:val="0"/>
          <w:szCs w:val="24"/>
        </w:rPr>
        <w:t>；</w:t>
      </w:r>
    </w:p>
    <w:p w14:paraId="4EE05F82">
      <w:pPr>
        <w:widowControl/>
        <w:tabs>
          <w:tab w:val="left" w:pos="709"/>
        </w:tabs>
        <w:snapToGrid w:val="0"/>
        <w:spacing w:line="360" w:lineRule="auto"/>
        <w:ind w:firstLine="420" w:firstLineChars="200"/>
        <w:rPr>
          <w:rFonts w:ascii="仿宋_GB2312" w:hAnsi="宋体" w:cs="宋体"/>
          <w:bCs/>
          <w:kern w:val="0"/>
          <w:szCs w:val="24"/>
        </w:rPr>
      </w:pPr>
      <w:r>
        <w:rPr>
          <w:rFonts w:ascii="仿宋_GB2312" w:hAnsi="宋体" w:cs="宋体"/>
          <w:bCs/>
          <w:kern w:val="0"/>
          <w:szCs w:val="24"/>
        </w:rPr>
        <w:t>（4）理财产品的</w:t>
      </w:r>
      <w:r>
        <w:rPr>
          <w:rFonts w:hint="eastAsia" w:ascii="仿宋_GB2312" w:hAnsi="宋体" w:cs="宋体"/>
          <w:bCs/>
          <w:kern w:val="0"/>
          <w:szCs w:val="24"/>
          <w:lang w:eastAsia="zh-CN"/>
        </w:rPr>
        <w:t>托管费</w:t>
      </w:r>
      <w:r>
        <w:rPr>
          <w:rFonts w:ascii="仿宋_GB2312" w:hAnsi="宋体" w:cs="宋体"/>
          <w:bCs/>
          <w:kern w:val="0"/>
          <w:szCs w:val="24"/>
        </w:rPr>
        <w:t>；</w:t>
      </w:r>
    </w:p>
    <w:p w14:paraId="4D070E81">
      <w:pPr>
        <w:widowControl/>
        <w:tabs>
          <w:tab w:val="left" w:pos="709"/>
        </w:tabs>
        <w:snapToGrid w:val="0"/>
        <w:spacing w:line="360" w:lineRule="auto"/>
        <w:ind w:firstLine="420" w:firstLineChars="200"/>
        <w:rPr>
          <w:rFonts w:ascii="仿宋_GB2312" w:hAnsi="宋体" w:cs="宋体"/>
          <w:bCs/>
          <w:kern w:val="0"/>
          <w:szCs w:val="24"/>
        </w:rPr>
      </w:pPr>
      <w:r>
        <w:rPr>
          <w:rFonts w:ascii="仿宋_GB2312" w:hAnsi="宋体" w:cs="宋体"/>
          <w:bCs/>
          <w:kern w:val="0"/>
          <w:szCs w:val="24"/>
        </w:rPr>
        <w:t>（5）</w:t>
      </w:r>
      <w:r>
        <w:rPr>
          <w:rFonts w:hint="eastAsia" w:ascii="仿宋_GB2312" w:hAnsi="宋体" w:cs="宋体"/>
          <w:bCs/>
          <w:kern w:val="0"/>
          <w:szCs w:val="24"/>
        </w:rPr>
        <w:t>其他费用，包括但不限于：与</w:t>
      </w:r>
      <w:r>
        <w:rPr>
          <w:rFonts w:ascii="仿宋_GB2312" w:hAnsi="宋体" w:cs="宋体"/>
          <w:bCs/>
          <w:kern w:val="0"/>
          <w:szCs w:val="24"/>
        </w:rPr>
        <w:t>理财产品相关的</w:t>
      </w:r>
      <w:r>
        <w:rPr>
          <w:rFonts w:hint="eastAsia" w:ascii="仿宋_GB2312" w:hAnsi="宋体" w:cs="宋体"/>
          <w:bCs/>
          <w:kern w:val="0"/>
          <w:szCs w:val="24"/>
        </w:rPr>
        <w:t>账户服务费用、资产服务费用、交易费用（包括但不限于交易佣金、撮合费用等）、注册登记费、验资费、审计费、信息披露费、</w:t>
      </w:r>
      <w:r>
        <w:rPr>
          <w:rFonts w:hint="eastAsia" w:ascii="仿宋_GB2312" w:hAnsi="宋体" w:cs="宋体"/>
          <w:bCs/>
          <w:kern w:val="0"/>
          <w:szCs w:val="24"/>
          <w:highlight w:val="yellow"/>
          <w:lang w:eastAsia="zh-CN"/>
        </w:rPr>
        <w:t>信息服务费用、</w:t>
      </w:r>
      <w:r>
        <w:rPr>
          <w:rFonts w:hint="eastAsia" w:ascii="仿宋_GB2312" w:hAnsi="宋体" w:cs="宋体"/>
          <w:bCs/>
          <w:kern w:val="0"/>
          <w:szCs w:val="24"/>
        </w:rPr>
        <w:t>清算费用、执行费用（包括但不限于律师费、诉讼费、仲裁费、公证费、保全费、执行费等）以及按照法律法规、监管规定和理财产品销售文件约定可以列入的其他费用，具体以实际发生为准。</w:t>
      </w:r>
    </w:p>
    <w:p w14:paraId="5ED6A1B5">
      <w:pPr>
        <w:widowControl/>
        <w:tabs>
          <w:tab w:val="left" w:pos="709"/>
        </w:tabs>
        <w:snapToGrid w:val="0"/>
        <w:spacing w:line="360" w:lineRule="auto"/>
        <w:ind w:firstLine="420" w:firstLineChars="200"/>
        <w:rPr>
          <w:rFonts w:ascii="仿宋_GB2312" w:hAnsi="宋体" w:cs="宋体"/>
          <w:bCs/>
          <w:kern w:val="0"/>
          <w:szCs w:val="24"/>
        </w:rPr>
      </w:pPr>
      <w:r>
        <w:rPr>
          <w:rFonts w:hint="eastAsia" w:ascii="宋体" w:hAnsi="宋体" w:cs="宋体"/>
          <w:kern w:val="0"/>
          <w:szCs w:val="24"/>
        </w:rPr>
        <w:t>本产品可能根据投资者购买理财产品的</w:t>
      </w:r>
      <w:r>
        <w:rPr>
          <w:rFonts w:hint="eastAsia" w:ascii="仿宋_GB2312" w:hAnsi="宋体" w:cs="宋体"/>
          <w:bCs/>
          <w:kern w:val="0"/>
          <w:szCs w:val="24"/>
        </w:rPr>
        <w:t>金额、销售渠道、客户类型</w:t>
      </w:r>
      <w:r>
        <w:rPr>
          <w:rFonts w:hint="eastAsia" w:ascii="宋体" w:hAnsi="宋体" w:cs="宋体"/>
          <w:kern w:val="0"/>
          <w:szCs w:val="24"/>
        </w:rPr>
        <w:t>等因素设置不同产品份额</w:t>
      </w:r>
      <w:r>
        <w:rPr>
          <w:rFonts w:hint="eastAsia" w:ascii="仿宋_GB2312" w:hAnsi="宋体" w:cs="宋体"/>
          <w:bCs/>
          <w:kern w:val="0"/>
          <w:szCs w:val="24"/>
        </w:rPr>
        <w:t>类别</w:t>
      </w:r>
      <w:r>
        <w:rPr>
          <w:rFonts w:hint="eastAsia" w:ascii="宋体" w:hAnsi="宋体" w:cs="宋体"/>
          <w:kern w:val="0"/>
          <w:szCs w:val="24"/>
        </w:rPr>
        <w:t>，各类产品份额</w:t>
      </w:r>
      <w:r>
        <w:rPr>
          <w:rFonts w:hint="eastAsia" w:ascii="仿宋_GB2312" w:hAnsi="宋体" w:cs="宋体"/>
          <w:bCs/>
          <w:kern w:val="0"/>
          <w:szCs w:val="24"/>
        </w:rPr>
        <w:t>可能分别设置不同的</w:t>
      </w:r>
      <w:r>
        <w:rPr>
          <w:rFonts w:ascii="仿宋_GB2312" w:hAnsi="宋体" w:cs="宋体"/>
          <w:bCs/>
          <w:kern w:val="0"/>
          <w:szCs w:val="24"/>
        </w:rPr>
        <w:t>销售服务</w:t>
      </w:r>
      <w:r>
        <w:rPr>
          <w:rFonts w:ascii="宋体" w:hAnsi="宋体" w:cs="宋体"/>
          <w:kern w:val="0"/>
          <w:szCs w:val="24"/>
        </w:rPr>
        <w:t>费率，</w:t>
      </w:r>
      <w:r>
        <w:rPr>
          <w:rFonts w:ascii="仿宋_GB2312" w:hAnsi="宋体" w:cs="宋体"/>
          <w:bCs/>
          <w:kern w:val="0"/>
          <w:szCs w:val="24"/>
        </w:rPr>
        <w:t>费率具体数值以《产品说明书》“</w:t>
      </w:r>
      <w:r>
        <w:rPr>
          <w:rFonts w:hint="eastAsia" w:ascii="仿宋_GB2312" w:hAnsi="宋体" w:cs="宋体"/>
          <w:bCs/>
          <w:kern w:val="0"/>
          <w:szCs w:val="24"/>
          <w:lang w:eastAsia="zh-CN"/>
        </w:rPr>
        <w:t>第一节 理财产品说明书关键要素</w:t>
      </w:r>
      <w:r>
        <w:rPr>
          <w:rFonts w:ascii="仿宋_GB2312" w:hAnsi="宋体" w:cs="宋体"/>
          <w:bCs/>
          <w:kern w:val="0"/>
          <w:szCs w:val="24"/>
        </w:rPr>
        <w:t>”为准。</w:t>
      </w:r>
    </w:p>
    <w:p w14:paraId="5D26546F">
      <w:pPr>
        <w:widowControl/>
        <w:tabs>
          <w:tab w:val="left" w:pos="709"/>
        </w:tabs>
        <w:snapToGrid w:val="0"/>
        <w:spacing w:line="360" w:lineRule="auto"/>
        <w:ind w:firstLine="420" w:firstLineChars="200"/>
        <w:rPr>
          <w:rFonts w:ascii="仿宋_GB2312" w:hAnsi="宋体" w:cs="宋体"/>
          <w:bCs/>
          <w:kern w:val="0"/>
          <w:szCs w:val="24"/>
        </w:rPr>
      </w:pPr>
      <w:r>
        <w:rPr>
          <w:rFonts w:ascii="仿宋_GB2312" w:hAnsi="宋体" w:cs="宋体"/>
          <w:bCs/>
          <w:kern w:val="0"/>
          <w:szCs w:val="24"/>
        </w:rPr>
        <w:t>2.理财产品费用计提方法、计提标准和支付方式</w:t>
      </w:r>
    </w:p>
    <w:p w14:paraId="0659A1D2">
      <w:pPr>
        <w:widowControl/>
        <w:tabs>
          <w:tab w:val="left" w:pos="709"/>
        </w:tabs>
        <w:snapToGrid w:val="0"/>
        <w:spacing w:line="360" w:lineRule="auto"/>
        <w:ind w:firstLine="420" w:firstLineChars="200"/>
        <w:rPr>
          <w:rFonts w:ascii="仿宋_GB2312" w:hAnsi="宋体" w:cs="宋体"/>
          <w:bCs/>
          <w:kern w:val="0"/>
          <w:szCs w:val="24"/>
        </w:rPr>
      </w:pPr>
      <w:r>
        <w:rPr>
          <w:rFonts w:ascii="仿宋_GB2312" w:hAnsi="宋体" w:cs="宋体"/>
          <w:bCs/>
          <w:kern w:val="0"/>
          <w:szCs w:val="24"/>
        </w:rPr>
        <w:t>（1）理财产品的认购费、申购费、赎回费</w:t>
      </w:r>
    </w:p>
    <w:p w14:paraId="31607B36">
      <w:pPr>
        <w:widowControl/>
        <w:tabs>
          <w:tab w:val="left" w:pos="709"/>
        </w:tabs>
        <w:snapToGrid w:val="0"/>
        <w:spacing w:line="360" w:lineRule="auto"/>
        <w:ind w:firstLine="420" w:firstLineChars="200"/>
        <w:rPr>
          <w:rFonts w:ascii="仿宋_GB2312" w:hAnsi="宋体" w:cs="宋体"/>
          <w:bCs/>
          <w:kern w:val="0"/>
          <w:szCs w:val="24"/>
        </w:rPr>
      </w:pPr>
      <w:r>
        <w:rPr>
          <w:rFonts w:ascii="仿宋_GB2312" w:hAnsi="宋体" w:cs="宋体"/>
          <w:bCs/>
          <w:kern w:val="0"/>
          <w:szCs w:val="24"/>
        </w:rPr>
        <w:t>1）认购费：费率具体数值以《产品说明书》“</w:t>
      </w:r>
      <w:r>
        <w:rPr>
          <w:rFonts w:hint="eastAsia" w:ascii="仿宋_GB2312" w:hAnsi="宋体" w:cs="宋体"/>
          <w:bCs/>
          <w:kern w:val="0"/>
          <w:szCs w:val="24"/>
          <w:lang w:eastAsia="zh-CN"/>
        </w:rPr>
        <w:t>第一节 理财产品说明书关键要素</w:t>
      </w:r>
      <w:r>
        <w:rPr>
          <w:rFonts w:ascii="仿宋_GB2312" w:hAnsi="宋体" w:cs="宋体"/>
          <w:bCs/>
          <w:kern w:val="0"/>
          <w:szCs w:val="24"/>
        </w:rPr>
        <w:t>”为准。</w:t>
      </w:r>
    </w:p>
    <w:p w14:paraId="3B8A7A46">
      <w:pPr>
        <w:widowControl/>
        <w:tabs>
          <w:tab w:val="left" w:pos="709"/>
        </w:tabs>
        <w:snapToGrid w:val="0"/>
        <w:spacing w:line="360" w:lineRule="auto"/>
        <w:ind w:firstLine="420" w:firstLineChars="200"/>
        <w:rPr>
          <w:rFonts w:ascii="仿宋_GB2312" w:hAnsi="宋体" w:cs="宋体"/>
          <w:bCs/>
          <w:kern w:val="0"/>
          <w:szCs w:val="24"/>
          <w:highlight w:val="none"/>
        </w:rPr>
      </w:pPr>
      <w:r>
        <w:rPr>
          <w:rFonts w:ascii="仿宋_GB2312" w:hAnsi="宋体" w:cs="宋体"/>
          <w:bCs/>
          <w:kern w:val="0"/>
          <w:szCs w:val="24"/>
        </w:rPr>
        <w:t>2）申购费：费率具体</w:t>
      </w:r>
      <w:r>
        <w:rPr>
          <w:rFonts w:ascii="仿宋_GB2312" w:hAnsi="宋体" w:cs="宋体"/>
          <w:bCs/>
          <w:kern w:val="0"/>
          <w:szCs w:val="24"/>
          <w:highlight w:val="none"/>
        </w:rPr>
        <w:t>数值以《产品说明书》“</w:t>
      </w:r>
      <w:r>
        <w:rPr>
          <w:rFonts w:hint="eastAsia" w:ascii="仿宋_GB2312" w:hAnsi="宋体" w:cs="宋体"/>
          <w:bCs/>
          <w:kern w:val="0"/>
          <w:szCs w:val="24"/>
          <w:highlight w:val="none"/>
          <w:lang w:eastAsia="zh-CN"/>
        </w:rPr>
        <w:t>第一节 理财产品说明书关键要素</w:t>
      </w:r>
      <w:r>
        <w:rPr>
          <w:rFonts w:ascii="仿宋_GB2312" w:hAnsi="宋体" w:cs="宋体"/>
          <w:bCs/>
          <w:kern w:val="0"/>
          <w:szCs w:val="24"/>
          <w:highlight w:val="none"/>
        </w:rPr>
        <w:t>”为准。</w:t>
      </w:r>
    </w:p>
    <w:p w14:paraId="105A9D89">
      <w:pPr>
        <w:widowControl/>
        <w:tabs>
          <w:tab w:val="left" w:pos="709"/>
        </w:tabs>
        <w:snapToGrid w:val="0"/>
        <w:spacing w:line="360" w:lineRule="auto"/>
        <w:ind w:firstLine="420" w:firstLineChars="200"/>
        <w:rPr>
          <w:rFonts w:ascii="仿宋_GB2312" w:hAnsi="宋体" w:cs="宋体"/>
          <w:bCs/>
          <w:kern w:val="0"/>
          <w:szCs w:val="24"/>
          <w:highlight w:val="none"/>
        </w:rPr>
      </w:pPr>
      <w:r>
        <w:rPr>
          <w:rFonts w:ascii="仿宋_GB2312" w:hAnsi="宋体" w:cs="宋体"/>
          <w:bCs/>
          <w:kern w:val="0"/>
          <w:szCs w:val="24"/>
          <w:highlight w:val="none"/>
        </w:rPr>
        <w:t>3）赎回费：费率具体数值以《产品说明书》“</w:t>
      </w:r>
      <w:r>
        <w:rPr>
          <w:rFonts w:hint="eastAsia" w:ascii="仿宋_GB2312" w:hAnsi="宋体" w:cs="宋体"/>
          <w:bCs/>
          <w:kern w:val="0"/>
          <w:szCs w:val="24"/>
          <w:highlight w:val="none"/>
          <w:lang w:eastAsia="zh-CN"/>
        </w:rPr>
        <w:t>第一节 理财产品说明书关键要素</w:t>
      </w:r>
      <w:r>
        <w:rPr>
          <w:rFonts w:hint="eastAsia" w:ascii="仿宋_GB2312" w:hAnsi="宋体" w:cs="宋体"/>
          <w:bCs/>
          <w:kern w:val="0"/>
          <w:szCs w:val="24"/>
          <w:highlight w:val="none"/>
        </w:rPr>
        <w:t>”为准。</w:t>
      </w:r>
    </w:p>
    <w:p w14:paraId="4FBC2C0A">
      <w:pPr>
        <w:widowControl/>
        <w:tabs>
          <w:tab w:val="left" w:pos="709"/>
        </w:tabs>
        <w:snapToGrid w:val="0"/>
        <w:spacing w:line="360" w:lineRule="auto"/>
        <w:ind w:firstLine="420" w:firstLineChars="200"/>
        <w:rPr>
          <w:rFonts w:ascii="仿宋_GB2312" w:hAnsi="宋体" w:cs="宋体"/>
          <w:bCs/>
          <w:kern w:val="0"/>
          <w:szCs w:val="24"/>
          <w:highlight w:val="none"/>
        </w:rPr>
      </w:pPr>
      <w:r>
        <w:rPr>
          <w:rFonts w:hint="eastAsia" w:ascii="仿宋_GB2312" w:hAnsi="宋体" w:cs="宋体"/>
          <w:bCs/>
          <w:kern w:val="0"/>
          <w:szCs w:val="24"/>
          <w:highlight w:val="none"/>
        </w:rPr>
        <w:t>（2）理财产品的销售服务费</w:t>
      </w:r>
    </w:p>
    <w:p w14:paraId="352863E9">
      <w:pPr>
        <w:tabs>
          <w:tab w:val="left" w:pos="3119"/>
        </w:tabs>
        <w:autoSpaceDE w:val="0"/>
        <w:autoSpaceDN w:val="0"/>
        <w:snapToGrid w:val="0"/>
        <w:spacing w:line="360" w:lineRule="auto"/>
        <w:ind w:firstLine="420" w:firstLineChars="200"/>
        <w:rPr>
          <w:rFonts w:ascii="仿宋_GB2312" w:hAnsi="宋体" w:cs="宋体"/>
          <w:bCs/>
          <w:spacing w:val="-4"/>
          <w:kern w:val="0"/>
          <w:szCs w:val="24"/>
          <w:highlight w:val="yellow"/>
        </w:rPr>
      </w:pP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rPr>
        <w:t>本产品的销售服务费按</w:t>
      </w:r>
      <w:r>
        <w:rPr>
          <w:rFonts w:hint="eastAsia" w:ascii="仿宋_GB2312" w:hAnsi="宋体" w:cs="宋体"/>
          <w:bCs/>
          <w:kern w:val="0"/>
          <w:szCs w:val="24"/>
          <w:highlight w:val="yellow"/>
          <w:lang w:eastAsia="zh-CN"/>
        </w:rPr>
        <w:t>当日日终份额</w:t>
      </w:r>
      <w:r>
        <w:rPr>
          <w:rFonts w:hint="eastAsia" w:ascii="仿宋_GB2312" w:hAnsi="宋体" w:cs="宋体"/>
          <w:bCs/>
          <w:kern w:val="0"/>
          <w:szCs w:val="24"/>
          <w:highlight w:val="yellow"/>
        </w:rPr>
        <w:t>与销售服务费费率每日计提。</w:t>
      </w:r>
      <w:r>
        <w:rPr>
          <w:rFonts w:hint="eastAsia" w:ascii="仿宋_GB2312" w:hAnsi="宋体" w:cs="宋体"/>
          <w:bCs/>
          <w:spacing w:val="-4"/>
          <w:kern w:val="0"/>
          <w:szCs w:val="24"/>
          <w:highlight w:val="yellow"/>
        </w:rPr>
        <w:t>管理人可按季或产品开放周期（如有）收取，或与后续季度、开放周期（如有）合并收取</w:t>
      </w:r>
      <w:r>
        <w:rPr>
          <w:rFonts w:hint="eastAsia" w:ascii="仿宋_GB2312" w:hAnsi="宋体" w:cs="宋体"/>
          <w:bCs/>
          <w:kern w:val="0"/>
          <w:szCs w:val="24"/>
          <w:highlight w:val="yellow"/>
        </w:rPr>
        <w:t>。销售服务费</w:t>
      </w:r>
      <w:r>
        <w:rPr>
          <w:rFonts w:hint="eastAsia" w:ascii="仿宋_GB2312" w:hAnsi="宋体" w:cs="宋体"/>
          <w:bCs/>
          <w:spacing w:val="-4"/>
          <w:kern w:val="0"/>
          <w:szCs w:val="24"/>
          <w:highlight w:val="yellow"/>
        </w:rPr>
        <w:t>精确到小数点后2位，小数点2位以后四舍五入。</w:t>
      </w:r>
    </w:p>
    <w:p w14:paraId="23E16D44">
      <w:pPr>
        <w:widowControl/>
        <w:tabs>
          <w:tab w:val="left" w:pos="709"/>
        </w:tabs>
        <w:snapToGrid w:val="0"/>
        <w:spacing w:line="360" w:lineRule="auto"/>
        <w:ind w:firstLine="420" w:firstLineChars="200"/>
        <w:rPr>
          <w:rFonts w:ascii="仿宋_GB2312" w:hAnsi="宋体" w:cs="宋体"/>
          <w:bCs/>
          <w:kern w:val="0"/>
          <w:szCs w:val="24"/>
          <w:highlight w:val="yellow"/>
        </w:rPr>
      </w:pPr>
      <w:r>
        <w:rPr>
          <w:rFonts w:hint="eastAsia" w:ascii="仿宋_GB2312" w:hAnsi="宋体" w:cs="宋体"/>
          <w:bCs/>
          <w:kern w:val="0"/>
          <w:szCs w:val="24"/>
          <w:highlight w:val="yellow"/>
        </w:rPr>
        <w:t>销售服务费的计算方法如下：</w:t>
      </w:r>
    </w:p>
    <w:p w14:paraId="6922B2B7">
      <w:pPr>
        <w:widowControl/>
        <w:tabs>
          <w:tab w:val="left" w:pos="709"/>
        </w:tabs>
        <w:snapToGrid w:val="0"/>
        <w:spacing w:line="360" w:lineRule="auto"/>
        <w:ind w:firstLine="420" w:firstLineChars="200"/>
        <w:rPr>
          <w:rFonts w:ascii="仿宋_GB2312" w:hAnsi="宋体" w:cs="宋体"/>
          <w:bCs/>
          <w:kern w:val="0"/>
          <w:szCs w:val="24"/>
          <w:highlight w:val="yellow"/>
        </w:rPr>
      </w:pPr>
      <w:r>
        <w:rPr>
          <w:rFonts w:hint="eastAsia" w:ascii="仿宋_GB2312" w:hAnsi="宋体" w:cs="宋体"/>
          <w:bCs/>
          <w:kern w:val="0"/>
          <w:szCs w:val="24"/>
          <w:highlight w:val="yellow"/>
        </w:rPr>
        <w:t>H＝E×销售服务费年费率÷365</w:t>
      </w:r>
    </w:p>
    <w:p w14:paraId="3ABAF82D">
      <w:pPr>
        <w:widowControl/>
        <w:tabs>
          <w:tab w:val="left" w:pos="709"/>
        </w:tabs>
        <w:snapToGrid w:val="0"/>
        <w:spacing w:line="360" w:lineRule="auto"/>
        <w:ind w:firstLine="420" w:firstLineChars="200"/>
        <w:rPr>
          <w:rFonts w:ascii="仿宋_GB2312" w:hAnsi="宋体" w:cs="宋体"/>
          <w:bCs/>
          <w:kern w:val="0"/>
          <w:szCs w:val="24"/>
          <w:highlight w:val="yellow"/>
        </w:rPr>
      </w:pPr>
      <w:r>
        <w:rPr>
          <w:rFonts w:hint="eastAsia" w:ascii="仿宋_GB2312" w:hAnsi="宋体" w:cs="宋体"/>
          <w:bCs/>
          <w:kern w:val="0"/>
          <w:szCs w:val="24"/>
          <w:highlight w:val="yellow"/>
        </w:rPr>
        <w:t>H为每日应计提的销售服务费</w:t>
      </w:r>
    </w:p>
    <w:p w14:paraId="19CEC423">
      <w:pPr>
        <w:widowControl/>
        <w:tabs>
          <w:tab w:val="left" w:pos="709"/>
        </w:tabs>
        <w:snapToGrid w:val="0"/>
        <w:spacing w:line="360" w:lineRule="auto"/>
        <w:ind w:firstLine="420" w:firstLineChars="200"/>
        <w:rPr>
          <w:rFonts w:hint="eastAsia" w:ascii="仿宋_GB2312" w:hAnsi="宋体" w:eastAsia="仿宋_GB2312" w:cs="宋体"/>
          <w:bCs/>
          <w:kern w:val="0"/>
          <w:szCs w:val="24"/>
          <w:highlight w:val="yellow"/>
          <w:lang w:eastAsia="zh-CN"/>
        </w:rPr>
      </w:pPr>
      <w:r>
        <w:rPr>
          <w:rFonts w:hint="eastAsia" w:ascii="仿宋_GB2312" w:hAnsi="宋体" w:cs="宋体"/>
          <w:bCs/>
          <w:kern w:val="0"/>
          <w:szCs w:val="24"/>
          <w:highlight w:val="yellow"/>
        </w:rPr>
        <w:t>E为</w:t>
      </w:r>
      <w:r>
        <w:rPr>
          <w:rFonts w:hint="eastAsia" w:ascii="仿宋_GB2312" w:hAnsi="宋体" w:cs="宋体"/>
          <w:bCs/>
          <w:kern w:val="0"/>
          <w:szCs w:val="24"/>
          <w:highlight w:val="yellow"/>
          <w:lang w:eastAsia="zh-CN"/>
        </w:rPr>
        <w:t>当日日终份额】</w:t>
      </w:r>
    </w:p>
    <w:p w14:paraId="575559AB">
      <w:pPr>
        <w:widowControl/>
        <w:tabs>
          <w:tab w:val="left" w:pos="709"/>
        </w:tabs>
        <w:snapToGrid w:val="0"/>
        <w:spacing w:line="360" w:lineRule="auto"/>
        <w:ind w:firstLine="420" w:firstLineChars="200"/>
        <w:rPr>
          <w:rFonts w:ascii="仿宋_GB2312" w:hAnsi="宋体" w:cs="宋体"/>
          <w:bCs/>
          <w:kern w:val="0"/>
          <w:szCs w:val="24"/>
          <w:highlight w:val="none"/>
        </w:rPr>
      </w:pPr>
      <w:r>
        <w:rPr>
          <w:rFonts w:hint="eastAsia" w:ascii="仿宋_GB2312" w:hAnsi="宋体" w:cs="宋体"/>
          <w:bCs/>
          <w:kern w:val="0"/>
          <w:szCs w:val="24"/>
          <w:highlight w:val="none"/>
        </w:rPr>
        <w:t>销售服务费依照上述约定，从理财财产中支付。费率具体数值以《产品说明书》“</w:t>
      </w:r>
      <w:r>
        <w:rPr>
          <w:rFonts w:hint="eastAsia" w:ascii="仿宋_GB2312" w:hAnsi="宋体" w:cs="宋体"/>
          <w:bCs/>
          <w:kern w:val="0"/>
          <w:szCs w:val="24"/>
          <w:highlight w:val="none"/>
          <w:lang w:eastAsia="zh-CN"/>
        </w:rPr>
        <w:t>第一节 理财产品说明书关键要素</w:t>
      </w:r>
      <w:r>
        <w:rPr>
          <w:rFonts w:hint="eastAsia" w:ascii="仿宋_GB2312" w:hAnsi="宋体" w:cs="宋体"/>
          <w:bCs/>
          <w:kern w:val="0"/>
          <w:szCs w:val="24"/>
          <w:highlight w:val="none"/>
        </w:rPr>
        <w:t>”为准。</w:t>
      </w:r>
    </w:p>
    <w:p w14:paraId="5379E629">
      <w:pPr>
        <w:widowControl/>
        <w:tabs>
          <w:tab w:val="left" w:pos="709"/>
        </w:tabs>
        <w:snapToGrid w:val="0"/>
        <w:spacing w:line="360" w:lineRule="auto"/>
        <w:ind w:firstLine="420" w:firstLineChars="200"/>
        <w:rPr>
          <w:rFonts w:hint="eastAsia" w:ascii="仿宋_GB2312" w:hAnsi="宋体" w:eastAsia="仿宋_GB2312" w:cs="宋体"/>
          <w:bCs/>
          <w:kern w:val="0"/>
          <w:szCs w:val="24"/>
          <w:highlight w:val="none"/>
          <w:lang w:eastAsia="zh-CN"/>
        </w:rPr>
      </w:pPr>
      <w:r>
        <w:rPr>
          <w:rFonts w:hint="eastAsia" w:ascii="仿宋_GB2312" w:hAnsi="宋体" w:cs="宋体"/>
          <w:bCs/>
          <w:kern w:val="0"/>
          <w:szCs w:val="24"/>
          <w:highlight w:val="none"/>
        </w:rPr>
        <w:t>（3）理财产品的</w:t>
      </w:r>
      <w:r>
        <w:rPr>
          <w:rFonts w:hint="eastAsia" w:ascii="仿宋_GB2312" w:hAnsi="宋体" w:cs="宋体"/>
          <w:bCs/>
          <w:kern w:val="0"/>
          <w:szCs w:val="24"/>
          <w:highlight w:val="none"/>
          <w:lang w:eastAsia="zh-CN"/>
        </w:rPr>
        <w:t>固定管理费</w:t>
      </w:r>
    </w:p>
    <w:p w14:paraId="0D640755">
      <w:pPr>
        <w:widowControl/>
        <w:tabs>
          <w:tab w:val="left" w:pos="709"/>
        </w:tabs>
        <w:snapToGrid w:val="0"/>
        <w:spacing w:line="360" w:lineRule="auto"/>
        <w:ind w:firstLine="420" w:firstLineChars="200"/>
        <w:rPr>
          <w:rFonts w:ascii="仿宋_GB2312" w:hAnsi="宋体" w:cs="宋体"/>
          <w:bCs/>
          <w:kern w:val="0"/>
          <w:szCs w:val="24"/>
          <w:highlight w:val="yellow"/>
        </w:rPr>
      </w:pP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rPr>
        <w:t>本产品的</w:t>
      </w:r>
      <w:r>
        <w:rPr>
          <w:rFonts w:hint="eastAsia" w:ascii="仿宋_GB2312" w:hAnsi="宋体" w:cs="宋体"/>
          <w:bCs/>
          <w:kern w:val="0"/>
          <w:szCs w:val="24"/>
          <w:highlight w:val="yellow"/>
          <w:lang w:eastAsia="zh-CN"/>
        </w:rPr>
        <w:t>固定管理费</w:t>
      </w:r>
      <w:r>
        <w:rPr>
          <w:rFonts w:hint="eastAsia" w:ascii="仿宋_GB2312" w:hAnsi="宋体" w:cs="宋体"/>
          <w:bCs/>
          <w:kern w:val="0"/>
          <w:szCs w:val="24"/>
          <w:highlight w:val="yellow"/>
        </w:rPr>
        <w:t>按</w:t>
      </w:r>
      <w:r>
        <w:rPr>
          <w:rFonts w:hint="eastAsia" w:ascii="仿宋_GB2312" w:hAnsi="宋体" w:cs="宋体"/>
          <w:bCs/>
          <w:kern w:val="0"/>
          <w:szCs w:val="24"/>
          <w:highlight w:val="yellow"/>
          <w:lang w:eastAsia="zh-CN"/>
        </w:rPr>
        <w:t>当日日终份额</w:t>
      </w:r>
      <w:r>
        <w:rPr>
          <w:rFonts w:hint="eastAsia" w:ascii="仿宋_GB2312" w:hAnsi="宋体" w:cs="宋体"/>
          <w:bCs/>
          <w:kern w:val="0"/>
          <w:szCs w:val="24"/>
          <w:highlight w:val="yellow"/>
        </w:rPr>
        <w:t>与</w:t>
      </w:r>
      <w:r>
        <w:rPr>
          <w:rFonts w:hint="eastAsia" w:ascii="仿宋_GB2312" w:hAnsi="宋体" w:cs="宋体"/>
          <w:bCs/>
          <w:kern w:val="0"/>
          <w:szCs w:val="24"/>
          <w:highlight w:val="yellow"/>
          <w:lang w:eastAsia="zh-CN"/>
        </w:rPr>
        <w:t>固定管理费</w:t>
      </w:r>
      <w:r>
        <w:rPr>
          <w:rFonts w:hint="eastAsia" w:ascii="仿宋_GB2312" w:hAnsi="宋体" w:cs="宋体"/>
          <w:bCs/>
          <w:kern w:val="0"/>
          <w:szCs w:val="24"/>
          <w:highlight w:val="yellow"/>
        </w:rPr>
        <w:t>费率每日计提，</w:t>
      </w:r>
      <w:r>
        <w:rPr>
          <w:rFonts w:hint="eastAsia" w:ascii="仿宋_GB2312" w:hAnsi="宋体" w:cs="宋体"/>
          <w:bCs/>
          <w:spacing w:val="-4"/>
          <w:kern w:val="0"/>
          <w:szCs w:val="24"/>
          <w:highlight w:val="yellow"/>
        </w:rPr>
        <w:t>管理人可按季或产品开放周期（如有）收取，或与后续季度、开放周期（如有）合并收取。</w:t>
      </w:r>
      <w:r>
        <w:rPr>
          <w:rFonts w:hint="eastAsia" w:ascii="仿宋_GB2312" w:hAnsi="宋体" w:cs="宋体"/>
          <w:bCs/>
          <w:kern w:val="0"/>
          <w:szCs w:val="24"/>
          <w:highlight w:val="yellow"/>
          <w:lang w:eastAsia="zh-CN"/>
        </w:rPr>
        <w:t>固定管理费</w:t>
      </w:r>
      <w:r>
        <w:rPr>
          <w:rFonts w:hint="eastAsia" w:ascii="仿宋_GB2312" w:hAnsi="宋体" w:cs="宋体"/>
          <w:bCs/>
          <w:spacing w:val="-4"/>
          <w:kern w:val="0"/>
          <w:szCs w:val="24"/>
          <w:highlight w:val="yellow"/>
        </w:rPr>
        <w:t>精确到小数点后2位，小数点2位以后四舍五入</w:t>
      </w:r>
      <w:r>
        <w:rPr>
          <w:rFonts w:hint="eastAsia" w:ascii="仿宋_GB2312" w:hAnsi="宋体" w:cs="宋体"/>
          <w:bCs/>
          <w:kern w:val="0"/>
          <w:szCs w:val="24"/>
          <w:highlight w:val="yellow"/>
        </w:rPr>
        <w:t>。</w:t>
      </w:r>
    </w:p>
    <w:p w14:paraId="74FF9EE4">
      <w:pPr>
        <w:widowControl/>
        <w:tabs>
          <w:tab w:val="left" w:pos="709"/>
        </w:tabs>
        <w:snapToGrid w:val="0"/>
        <w:spacing w:line="360" w:lineRule="auto"/>
        <w:ind w:firstLine="420" w:firstLineChars="200"/>
        <w:rPr>
          <w:rFonts w:ascii="仿宋_GB2312" w:hAnsi="宋体" w:cs="宋体"/>
          <w:bCs/>
          <w:kern w:val="0"/>
          <w:szCs w:val="24"/>
          <w:highlight w:val="yellow"/>
        </w:rPr>
      </w:pPr>
      <w:r>
        <w:rPr>
          <w:rFonts w:hint="eastAsia" w:ascii="仿宋_GB2312" w:hAnsi="宋体" w:cs="宋体"/>
          <w:bCs/>
          <w:kern w:val="0"/>
          <w:szCs w:val="24"/>
          <w:highlight w:val="yellow"/>
          <w:lang w:eastAsia="zh-CN"/>
        </w:rPr>
        <w:t>固定管理费</w:t>
      </w:r>
      <w:r>
        <w:rPr>
          <w:rFonts w:hint="eastAsia" w:ascii="仿宋_GB2312" w:hAnsi="宋体" w:cs="宋体"/>
          <w:bCs/>
          <w:kern w:val="0"/>
          <w:szCs w:val="24"/>
          <w:highlight w:val="yellow"/>
        </w:rPr>
        <w:t>的计算方法如下：</w:t>
      </w:r>
    </w:p>
    <w:p w14:paraId="1D08FC4F">
      <w:pPr>
        <w:widowControl/>
        <w:tabs>
          <w:tab w:val="left" w:pos="709"/>
        </w:tabs>
        <w:snapToGrid w:val="0"/>
        <w:spacing w:line="360" w:lineRule="auto"/>
        <w:ind w:firstLine="420" w:firstLineChars="200"/>
        <w:rPr>
          <w:rFonts w:ascii="仿宋_GB2312" w:hAnsi="宋体" w:cs="宋体"/>
          <w:bCs/>
          <w:kern w:val="0"/>
          <w:szCs w:val="24"/>
          <w:highlight w:val="yellow"/>
        </w:rPr>
      </w:pPr>
      <w:r>
        <w:rPr>
          <w:rFonts w:hint="eastAsia" w:ascii="仿宋_GB2312" w:hAnsi="宋体" w:cs="宋体"/>
          <w:bCs/>
          <w:kern w:val="0"/>
          <w:szCs w:val="24"/>
          <w:highlight w:val="yellow"/>
        </w:rPr>
        <w:t>H＝E×</w:t>
      </w:r>
      <w:r>
        <w:rPr>
          <w:rFonts w:hint="eastAsia" w:ascii="仿宋_GB2312" w:hAnsi="宋体" w:cs="宋体"/>
          <w:bCs/>
          <w:kern w:val="0"/>
          <w:szCs w:val="24"/>
          <w:highlight w:val="yellow"/>
          <w:lang w:eastAsia="zh-CN"/>
        </w:rPr>
        <w:t>固定管理费</w:t>
      </w:r>
      <w:r>
        <w:rPr>
          <w:rFonts w:hint="eastAsia" w:ascii="仿宋_GB2312" w:hAnsi="宋体" w:cs="宋体"/>
          <w:bCs/>
          <w:kern w:val="0"/>
          <w:szCs w:val="24"/>
          <w:highlight w:val="yellow"/>
        </w:rPr>
        <w:t>年费率÷365</w:t>
      </w:r>
    </w:p>
    <w:p w14:paraId="200857CF">
      <w:pPr>
        <w:widowControl/>
        <w:tabs>
          <w:tab w:val="left" w:pos="709"/>
        </w:tabs>
        <w:snapToGrid w:val="0"/>
        <w:spacing w:line="360" w:lineRule="auto"/>
        <w:ind w:firstLine="420" w:firstLineChars="200"/>
        <w:rPr>
          <w:rFonts w:hint="eastAsia" w:ascii="仿宋_GB2312" w:hAnsi="宋体" w:eastAsia="仿宋_GB2312" w:cs="宋体"/>
          <w:bCs/>
          <w:kern w:val="0"/>
          <w:szCs w:val="24"/>
          <w:highlight w:val="yellow"/>
          <w:lang w:eastAsia="zh-CN"/>
        </w:rPr>
      </w:pPr>
      <w:r>
        <w:rPr>
          <w:rFonts w:hint="eastAsia" w:ascii="仿宋_GB2312" w:hAnsi="宋体" w:cs="宋体"/>
          <w:bCs/>
          <w:kern w:val="0"/>
          <w:szCs w:val="24"/>
          <w:highlight w:val="yellow"/>
        </w:rPr>
        <w:t>H为每日应计提的产品</w:t>
      </w:r>
      <w:r>
        <w:rPr>
          <w:rFonts w:hint="eastAsia" w:ascii="仿宋_GB2312" w:hAnsi="宋体" w:cs="宋体"/>
          <w:bCs/>
          <w:kern w:val="0"/>
          <w:szCs w:val="24"/>
          <w:highlight w:val="yellow"/>
          <w:lang w:eastAsia="zh-CN"/>
        </w:rPr>
        <w:t>固定管理费</w:t>
      </w:r>
    </w:p>
    <w:p w14:paraId="0C4AE3C2">
      <w:pPr>
        <w:widowControl/>
        <w:tabs>
          <w:tab w:val="left" w:pos="709"/>
        </w:tabs>
        <w:snapToGrid w:val="0"/>
        <w:spacing w:line="360" w:lineRule="auto"/>
        <w:ind w:firstLine="420" w:firstLineChars="200"/>
        <w:rPr>
          <w:rFonts w:ascii="仿宋_GB2312" w:hAnsi="宋体" w:cs="宋体"/>
          <w:bCs/>
          <w:kern w:val="0"/>
          <w:szCs w:val="24"/>
          <w:highlight w:val="yellow"/>
        </w:rPr>
      </w:pPr>
      <w:r>
        <w:rPr>
          <w:rFonts w:hint="eastAsia" w:ascii="仿宋_GB2312" w:hAnsi="宋体" w:cs="宋体"/>
          <w:bCs/>
          <w:kern w:val="0"/>
          <w:szCs w:val="24"/>
          <w:highlight w:val="yellow"/>
        </w:rPr>
        <w:t>E为</w:t>
      </w:r>
      <w:r>
        <w:rPr>
          <w:rFonts w:hint="eastAsia" w:ascii="仿宋_GB2312" w:hAnsi="宋体" w:cs="宋体"/>
          <w:bCs/>
          <w:kern w:val="0"/>
          <w:szCs w:val="24"/>
          <w:highlight w:val="yellow"/>
          <w:lang w:eastAsia="zh-CN"/>
        </w:rPr>
        <w:t>当日日终份额】</w:t>
      </w:r>
    </w:p>
    <w:p w14:paraId="01155451">
      <w:pPr>
        <w:widowControl/>
        <w:tabs>
          <w:tab w:val="left" w:pos="709"/>
        </w:tabs>
        <w:snapToGrid w:val="0"/>
        <w:spacing w:line="360" w:lineRule="auto"/>
        <w:ind w:firstLine="420" w:firstLineChars="200"/>
        <w:rPr>
          <w:rFonts w:ascii="仿宋_GB2312" w:hAnsi="宋体" w:cs="宋体"/>
          <w:bCs/>
          <w:kern w:val="0"/>
          <w:szCs w:val="24"/>
          <w:highlight w:val="none"/>
        </w:rPr>
      </w:pPr>
      <w:r>
        <w:rPr>
          <w:rFonts w:hint="eastAsia" w:ascii="仿宋_GB2312" w:hAnsi="宋体" w:cs="宋体"/>
          <w:bCs/>
          <w:kern w:val="0"/>
          <w:szCs w:val="24"/>
          <w:highlight w:val="none"/>
          <w:lang w:eastAsia="zh-CN"/>
        </w:rPr>
        <w:t>固定管理费</w:t>
      </w:r>
      <w:r>
        <w:rPr>
          <w:rFonts w:hint="eastAsia" w:ascii="仿宋_GB2312" w:hAnsi="宋体" w:cs="宋体"/>
          <w:bCs/>
          <w:kern w:val="0"/>
          <w:szCs w:val="24"/>
          <w:highlight w:val="none"/>
        </w:rPr>
        <w:t>依照上述约定，从理财财产中支付。费率具体数值以《产品说明书》“</w:t>
      </w:r>
      <w:r>
        <w:rPr>
          <w:rFonts w:hint="eastAsia" w:ascii="仿宋_GB2312" w:hAnsi="宋体" w:cs="宋体"/>
          <w:bCs/>
          <w:kern w:val="0"/>
          <w:szCs w:val="24"/>
          <w:highlight w:val="none"/>
          <w:lang w:eastAsia="zh-CN"/>
        </w:rPr>
        <w:t>第一节 理财产品说明书关键要素</w:t>
      </w:r>
      <w:r>
        <w:rPr>
          <w:rFonts w:hint="eastAsia" w:ascii="仿宋_GB2312" w:hAnsi="宋体" w:cs="宋体"/>
          <w:bCs/>
          <w:kern w:val="0"/>
          <w:szCs w:val="24"/>
          <w:highlight w:val="none"/>
        </w:rPr>
        <w:t>”为准。</w:t>
      </w:r>
    </w:p>
    <w:p w14:paraId="305FBD28">
      <w:pPr>
        <w:pStyle w:val="13"/>
        <w:widowControl/>
        <w:snapToGrid w:val="0"/>
        <w:spacing w:line="360" w:lineRule="auto"/>
        <w:ind w:firstLine="480"/>
        <w:rPr>
          <w:rFonts w:hint="eastAsia" w:eastAsia="仿宋_GB2312"/>
          <w:highlight w:val="none"/>
          <w:lang w:eastAsia="zh-CN"/>
        </w:rPr>
      </w:pPr>
      <w:r>
        <w:rPr>
          <w:rFonts w:hint="eastAsia" w:ascii="仿宋_GB2312" w:hAnsi="宋体" w:cs="宋体"/>
          <w:bCs/>
          <w:kern w:val="0"/>
          <w:szCs w:val="24"/>
          <w:highlight w:val="none"/>
        </w:rPr>
        <w:t>（4）</w:t>
      </w:r>
      <w:r>
        <w:rPr>
          <w:rFonts w:hint="eastAsia" w:ascii="仿宋_GB2312" w:hAnsi="宋体" w:cs="宋体"/>
          <w:bCs/>
          <w:kern w:val="0"/>
          <w:szCs w:val="24"/>
          <w:highlight w:val="none"/>
          <w:lang w:eastAsia="zh-CN"/>
        </w:rPr>
        <w:t>浮动管理费</w:t>
      </w:r>
    </w:p>
    <w:p w14:paraId="7160FFD1">
      <w:pPr>
        <w:pStyle w:val="13"/>
        <w:widowControl/>
        <w:snapToGrid w:val="0"/>
        <w:spacing w:line="360" w:lineRule="auto"/>
        <w:ind w:left="420" w:firstLine="0" w:firstLineChars="0"/>
        <w:rPr>
          <w:rFonts w:hint="eastAsia" w:ascii="仿宋_GB2312" w:hAnsi="宋体" w:eastAsia="仿宋_GB2312" w:cs="宋体"/>
          <w:bCs/>
          <w:kern w:val="0"/>
          <w:szCs w:val="24"/>
          <w:highlight w:val="yellow"/>
          <w:lang w:eastAsia="zh-CN"/>
        </w:rPr>
      </w:pP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rPr>
        <w:t>本产品</w:t>
      </w:r>
      <w:r>
        <w:rPr>
          <w:rFonts w:ascii="仿宋_GB2312" w:hAnsi="宋体" w:cs="宋体"/>
          <w:bCs/>
          <w:kern w:val="0"/>
          <w:szCs w:val="24"/>
          <w:highlight w:val="yellow"/>
        </w:rPr>
        <w:t>无</w:t>
      </w:r>
      <w:r>
        <w:rPr>
          <w:rFonts w:hint="eastAsia" w:ascii="仿宋_GB2312" w:hAnsi="宋体" w:cs="宋体"/>
          <w:bCs/>
          <w:kern w:val="0"/>
          <w:szCs w:val="24"/>
          <w:highlight w:val="yellow"/>
          <w:lang w:eastAsia="zh-CN"/>
        </w:rPr>
        <w:t>浮动管理费</w:t>
      </w:r>
      <w:r>
        <w:rPr>
          <w:rFonts w:ascii="仿宋_GB2312" w:hAnsi="宋体" w:cs="宋体"/>
          <w:bCs/>
          <w:kern w:val="0"/>
          <w:szCs w:val="24"/>
          <w:highlight w:val="yellow"/>
        </w:rPr>
        <w:t>。</w:t>
      </w:r>
      <w:r>
        <w:rPr>
          <w:rFonts w:hint="eastAsia" w:ascii="仿宋_GB2312" w:hAnsi="宋体" w:cs="宋体"/>
          <w:bCs/>
          <w:kern w:val="0"/>
          <w:szCs w:val="24"/>
          <w:highlight w:val="yellow"/>
          <w:lang w:eastAsia="zh-CN"/>
        </w:rPr>
        <w:t>】</w:t>
      </w:r>
    </w:p>
    <w:p w14:paraId="4472E577">
      <w:pPr>
        <w:widowControl/>
        <w:tabs>
          <w:tab w:val="left" w:pos="709"/>
        </w:tabs>
        <w:snapToGrid w:val="0"/>
        <w:spacing w:line="360" w:lineRule="auto"/>
        <w:ind w:firstLine="420" w:firstLineChars="200"/>
        <w:rPr>
          <w:color w:val="000000"/>
          <w:highlight w:val="yellow"/>
        </w:rPr>
      </w:pPr>
      <w:r>
        <w:rPr>
          <w:rFonts w:hint="eastAsia" w:ascii="仿宋_GB2312" w:hAnsi="宋体" w:cs="宋体"/>
          <w:bCs/>
          <w:color w:val="000000"/>
          <w:kern w:val="0"/>
          <w:szCs w:val="24"/>
          <w:highlight w:val="yellow"/>
          <w:lang w:eastAsia="zh-CN"/>
        </w:rPr>
        <w:t>【</w:t>
      </w:r>
      <w:r>
        <w:rPr>
          <w:rFonts w:hint="eastAsia" w:ascii="仿宋_GB2312" w:hAnsi="宋体" w:cs="宋体"/>
          <w:bCs/>
          <w:kern w:val="0"/>
          <w:szCs w:val="24"/>
          <w:highlight w:val="yellow"/>
          <w:lang w:eastAsia="zh-CN"/>
        </w:rPr>
        <w:t>□</w:t>
      </w:r>
      <w:r>
        <w:rPr>
          <w:rFonts w:hint="eastAsia" w:ascii="仿宋_GB2312" w:hAnsi="宋体" w:cs="宋体"/>
          <w:bCs/>
          <w:color w:val="000000"/>
          <w:kern w:val="0"/>
          <w:szCs w:val="24"/>
          <w:highlight w:val="yellow"/>
        </w:rPr>
        <w:t>理财产品管理人收取理财产品</w:t>
      </w:r>
      <w:r>
        <w:rPr>
          <w:rFonts w:hint="eastAsia" w:ascii="仿宋_GB2312" w:hAnsi="宋体" w:cs="宋体"/>
          <w:bCs/>
          <w:color w:val="000000"/>
          <w:kern w:val="0"/>
          <w:szCs w:val="24"/>
          <w:highlight w:val="yellow"/>
          <w:lang w:eastAsia="zh-CN"/>
        </w:rPr>
        <w:t>浮动管理费</w:t>
      </w:r>
      <w:r>
        <w:rPr>
          <w:rFonts w:hint="eastAsia" w:ascii="仿宋_GB2312" w:hAnsi="宋体" w:cs="宋体"/>
          <w:bCs/>
          <w:color w:val="000000"/>
          <w:kern w:val="0"/>
          <w:szCs w:val="24"/>
          <w:highlight w:val="yellow"/>
        </w:rPr>
        <w:t>。</w:t>
      </w:r>
      <w:r>
        <w:rPr>
          <w:rFonts w:hint="eastAsia" w:ascii="仿宋_GB2312" w:hAnsi="宋体" w:cs="宋体"/>
          <w:bCs/>
          <w:color w:val="000000"/>
          <w:kern w:val="0"/>
          <w:szCs w:val="24"/>
          <w:highlight w:val="yellow"/>
          <w:lang w:eastAsia="zh-CN"/>
        </w:rPr>
        <w:t>浮动管理费</w:t>
      </w:r>
      <w:r>
        <w:rPr>
          <w:rFonts w:hint="eastAsia" w:ascii="仿宋_GB2312" w:hAnsi="宋体" w:cs="宋体"/>
          <w:bCs/>
          <w:color w:val="000000"/>
          <w:kern w:val="0"/>
          <w:szCs w:val="24"/>
          <w:highlight w:val="yellow"/>
        </w:rPr>
        <w:t>每日计提，在产品开放周期收取，或与后续开放周期合并收取。在理财产品到期日时</w:t>
      </w:r>
      <w:r>
        <w:rPr>
          <w:rFonts w:hint="eastAsia"/>
          <w:color w:val="000000"/>
          <w:highlight w:val="yellow"/>
        </w:rPr>
        <w:t>，若理财资产扣除销售服务费、</w:t>
      </w:r>
      <w:r>
        <w:rPr>
          <w:rFonts w:hint="eastAsia"/>
          <w:color w:val="000000"/>
          <w:highlight w:val="yellow"/>
          <w:lang w:eastAsia="zh-CN"/>
        </w:rPr>
        <w:t>托管费</w:t>
      </w:r>
      <w:r>
        <w:rPr>
          <w:rFonts w:hint="eastAsia"/>
          <w:color w:val="000000"/>
          <w:highlight w:val="yellow"/>
        </w:rPr>
        <w:t>和</w:t>
      </w:r>
      <w:r>
        <w:rPr>
          <w:rFonts w:hint="eastAsia"/>
          <w:color w:val="000000"/>
          <w:highlight w:val="yellow"/>
          <w:lang w:eastAsia="zh-CN"/>
        </w:rPr>
        <w:t>固定管理费</w:t>
      </w:r>
      <w:r>
        <w:rPr>
          <w:rFonts w:hint="eastAsia"/>
          <w:color w:val="000000"/>
          <w:highlight w:val="yellow"/>
        </w:rPr>
        <w:t>等相关费用和税收后，产品年化收益率超过</w:t>
      </w:r>
      <w:r>
        <w:rPr>
          <w:rFonts w:hint="eastAsia"/>
          <w:color w:val="000000"/>
          <w:highlight w:val="yellow"/>
          <w:lang w:eastAsia="zh-CN"/>
        </w:rPr>
        <w:t>浮动管理费</w:t>
      </w:r>
      <w:r>
        <w:rPr>
          <w:rFonts w:hint="eastAsia"/>
          <w:color w:val="000000"/>
          <w:highlight w:val="yellow"/>
        </w:rPr>
        <w:t>计提基准，则产品管理人收取超出部分的一定比例作为</w:t>
      </w:r>
      <w:r>
        <w:rPr>
          <w:rFonts w:hint="eastAsia"/>
          <w:color w:val="000000"/>
          <w:highlight w:val="yellow"/>
          <w:lang w:eastAsia="zh-CN"/>
        </w:rPr>
        <w:t>浮动管理费</w:t>
      </w:r>
      <w:r>
        <w:rPr>
          <w:rFonts w:hint="eastAsia"/>
          <w:color w:val="000000"/>
          <w:highlight w:val="yellow"/>
        </w:rPr>
        <w:t>。</w:t>
      </w:r>
    </w:p>
    <w:p w14:paraId="615698DC">
      <w:pPr>
        <w:widowControl/>
        <w:tabs>
          <w:tab w:val="left" w:pos="709"/>
        </w:tabs>
        <w:snapToGrid w:val="0"/>
        <w:spacing w:line="360" w:lineRule="auto"/>
        <w:ind w:firstLine="420" w:firstLineChars="200"/>
        <w:rPr>
          <w:rFonts w:ascii="仿宋_GB2312" w:hAnsi="宋体" w:cs="宋体"/>
          <w:bCs/>
          <w:color w:val="000000"/>
          <w:kern w:val="0"/>
          <w:szCs w:val="24"/>
          <w:highlight w:val="yellow"/>
        </w:rPr>
      </w:pPr>
      <w:r>
        <w:rPr>
          <w:rFonts w:hint="eastAsia" w:ascii="仿宋_GB2312" w:hAnsi="宋体" w:cs="宋体"/>
          <w:bCs/>
          <w:color w:val="000000"/>
          <w:kern w:val="0"/>
          <w:szCs w:val="24"/>
          <w:highlight w:val="yellow"/>
          <w:lang w:eastAsia="zh-CN"/>
        </w:rPr>
        <w:t>浮动管理费</w:t>
      </w:r>
      <w:r>
        <w:rPr>
          <w:rFonts w:hint="eastAsia" w:ascii="仿宋_GB2312" w:hAnsi="宋体" w:cs="宋体"/>
          <w:bCs/>
          <w:color w:val="000000"/>
          <w:kern w:val="0"/>
          <w:szCs w:val="24"/>
          <w:highlight w:val="yellow"/>
        </w:rPr>
        <w:t>计提基准的设置、</w:t>
      </w:r>
      <w:r>
        <w:rPr>
          <w:rFonts w:hint="eastAsia"/>
          <w:color w:val="000000"/>
          <w:highlight w:val="yellow"/>
          <w:lang w:eastAsia="zh-CN"/>
        </w:rPr>
        <w:t>浮动管理费</w:t>
      </w:r>
      <w:r>
        <w:rPr>
          <w:rFonts w:hint="eastAsia" w:ascii="仿宋_GB2312" w:hAnsi="宋体" w:cs="宋体"/>
          <w:bCs/>
          <w:color w:val="000000"/>
          <w:kern w:val="0"/>
          <w:szCs w:val="24"/>
          <w:highlight w:val="yellow"/>
        </w:rPr>
        <w:t>的具体比例数值以《产品说明书》“</w:t>
      </w:r>
      <w:r>
        <w:rPr>
          <w:rFonts w:hint="eastAsia" w:ascii="仿宋_GB2312" w:hAnsi="宋体" w:cs="宋体"/>
          <w:bCs/>
          <w:color w:val="000000"/>
          <w:kern w:val="0"/>
          <w:szCs w:val="24"/>
          <w:highlight w:val="yellow"/>
          <w:lang w:eastAsia="zh-CN"/>
        </w:rPr>
        <w:t>第一节 理财产品说明书关键要素</w:t>
      </w:r>
      <w:r>
        <w:rPr>
          <w:rFonts w:hint="eastAsia" w:ascii="仿宋_GB2312" w:hAnsi="宋体" w:cs="宋体"/>
          <w:bCs/>
          <w:color w:val="000000"/>
          <w:kern w:val="0"/>
          <w:szCs w:val="24"/>
          <w:highlight w:val="yellow"/>
        </w:rPr>
        <w:t>”为准。</w:t>
      </w:r>
    </w:p>
    <w:p w14:paraId="26D69A14">
      <w:pPr>
        <w:widowControl/>
        <w:tabs>
          <w:tab w:val="left" w:pos="709"/>
        </w:tabs>
        <w:snapToGrid w:val="0"/>
        <w:spacing w:line="360" w:lineRule="auto"/>
        <w:ind w:firstLine="420" w:firstLineChars="200"/>
        <w:rPr>
          <w:rFonts w:ascii="仿宋_GB2312" w:hAnsi="宋体" w:cs="宋体"/>
          <w:bCs/>
          <w:color w:val="000000"/>
          <w:kern w:val="0"/>
          <w:szCs w:val="24"/>
          <w:highlight w:val="yellow"/>
        </w:rPr>
      </w:pPr>
      <w:r>
        <w:rPr>
          <w:rFonts w:hint="eastAsia"/>
          <w:color w:val="000000"/>
          <w:highlight w:val="yellow"/>
          <w:lang w:eastAsia="zh-CN"/>
        </w:rPr>
        <w:t>浮动管理费</w:t>
      </w:r>
      <w:r>
        <w:rPr>
          <w:rFonts w:hint="eastAsia" w:ascii="仿宋_GB2312" w:hAnsi="宋体" w:cs="宋体"/>
          <w:bCs/>
          <w:color w:val="000000"/>
          <w:kern w:val="0"/>
          <w:szCs w:val="24"/>
          <w:highlight w:val="yellow"/>
        </w:rPr>
        <w:t xml:space="preserve">的计提/收取如下： </w:t>
      </w:r>
    </w:p>
    <w:p w14:paraId="3C6A2743">
      <w:pPr>
        <w:widowControl/>
        <w:tabs>
          <w:tab w:val="left" w:pos="709"/>
        </w:tabs>
        <w:snapToGrid w:val="0"/>
        <w:spacing w:line="360" w:lineRule="auto"/>
        <w:ind w:firstLine="420" w:firstLineChars="200"/>
        <w:rPr>
          <w:rFonts w:ascii="仿宋_GB2312" w:hAnsi="宋体" w:cs="宋体"/>
          <w:bCs/>
          <w:color w:val="000000"/>
          <w:kern w:val="0"/>
          <w:szCs w:val="24"/>
          <w:highlight w:val="yellow"/>
        </w:rPr>
      </w:pPr>
      <w:r>
        <w:rPr>
          <w:rFonts w:hint="eastAsia" w:ascii="仿宋_GB2312" w:hAnsi="宋体" w:cs="宋体"/>
          <w:bCs/>
          <w:color w:val="000000"/>
          <w:kern w:val="0"/>
          <w:szCs w:val="24"/>
          <w:highlight w:val="yellow"/>
        </w:rPr>
        <w:t>产品年化收益率</w:t>
      </w:r>
      <w:r>
        <w:rPr>
          <w:rFonts w:ascii="仿宋_GB2312" w:hAnsi="宋体" w:cs="宋体"/>
          <w:bCs/>
          <w:color w:val="000000"/>
          <w:kern w:val="0"/>
          <w:szCs w:val="24"/>
          <w:highlight w:val="yellow"/>
        </w:rPr>
        <w:t>R</w:t>
      </w:r>
      <w:r>
        <w:rPr>
          <w:rFonts w:hint="eastAsia" w:ascii="仿宋_GB2312" w:hAnsi="宋体" w:cs="宋体"/>
          <w:bCs/>
          <w:color w:val="000000"/>
          <w:kern w:val="0"/>
          <w:szCs w:val="24"/>
          <w:highlight w:val="yellow"/>
        </w:rPr>
        <w:t>的计算公式，R=（</w:t>
      </w:r>
      <w:r>
        <w:rPr>
          <w:rFonts w:ascii="仿宋_GB2312" w:hAnsi="宋体" w:cs="宋体"/>
          <w:bCs/>
          <w:color w:val="000000"/>
          <w:kern w:val="0"/>
          <w:szCs w:val="24"/>
          <w:highlight w:val="yellow"/>
        </w:rPr>
        <w:t>V</w:t>
      </w:r>
      <w:r>
        <w:rPr>
          <w:rFonts w:hint="eastAsia" w:ascii="仿宋_GB2312" w:hAnsi="宋体" w:cs="宋体"/>
          <w:bCs/>
          <w:color w:val="000000"/>
          <w:kern w:val="0"/>
          <w:sz w:val="13"/>
          <w:szCs w:val="24"/>
          <w:highlight w:val="yellow"/>
        </w:rPr>
        <w:t>计提/到期日产品份额累计净值</w:t>
      </w:r>
      <w:r>
        <w:rPr>
          <w:rFonts w:hint="eastAsia" w:ascii="仿宋_GB2312" w:hAnsi="宋体" w:cs="宋体"/>
          <w:bCs/>
          <w:color w:val="000000"/>
          <w:kern w:val="0"/>
          <w:szCs w:val="24"/>
          <w:highlight w:val="yellow"/>
        </w:rPr>
        <w:t>-V</w:t>
      </w:r>
      <w:r>
        <w:rPr>
          <w:rFonts w:hint="eastAsia" w:ascii="仿宋_GB2312" w:hAnsi="宋体" w:cs="宋体"/>
          <w:bCs/>
          <w:color w:val="000000"/>
          <w:kern w:val="0"/>
          <w:sz w:val="13"/>
          <w:szCs w:val="24"/>
          <w:highlight w:val="yellow"/>
        </w:rPr>
        <w:t>期初份额净值</w:t>
      </w:r>
      <w:r>
        <w:rPr>
          <w:rFonts w:hint="eastAsia" w:ascii="仿宋_GB2312" w:hAnsi="宋体" w:cs="宋体"/>
          <w:bCs/>
          <w:color w:val="000000"/>
          <w:kern w:val="0"/>
          <w:szCs w:val="24"/>
          <w:highlight w:val="yellow"/>
        </w:rPr>
        <w:t>）/V</w:t>
      </w:r>
      <w:r>
        <w:rPr>
          <w:rFonts w:hint="eastAsia" w:ascii="仿宋_GB2312" w:hAnsi="宋体" w:cs="宋体"/>
          <w:bCs/>
          <w:color w:val="000000"/>
          <w:kern w:val="0"/>
          <w:sz w:val="13"/>
          <w:szCs w:val="24"/>
          <w:highlight w:val="yellow"/>
        </w:rPr>
        <w:t>期初份额净值</w:t>
      </w:r>
      <w:r>
        <w:rPr>
          <w:rFonts w:hint="eastAsia" w:ascii="仿宋_GB2312" w:hAnsi="宋体" w:cs="宋体"/>
          <w:bCs/>
          <w:color w:val="000000"/>
          <w:kern w:val="0"/>
          <w:szCs w:val="24"/>
          <w:highlight w:val="yellow"/>
        </w:rPr>
        <w:t>/（</w:t>
      </w:r>
      <w:r>
        <w:rPr>
          <w:rFonts w:ascii="仿宋_GB2312" w:hAnsi="宋体" w:cs="宋体"/>
          <w:bCs/>
          <w:color w:val="000000"/>
          <w:kern w:val="0"/>
          <w:szCs w:val="24"/>
          <w:highlight w:val="yellow"/>
        </w:rPr>
        <w:t>D+1</w:t>
      </w:r>
      <w:r>
        <w:rPr>
          <w:rFonts w:hint="eastAsia" w:ascii="仿宋_GB2312" w:hAnsi="宋体" w:cs="宋体"/>
          <w:bCs/>
          <w:color w:val="000000"/>
          <w:kern w:val="0"/>
          <w:szCs w:val="24"/>
          <w:highlight w:val="yellow"/>
        </w:rPr>
        <w:t>）</w:t>
      </w:r>
      <w:r>
        <w:rPr>
          <w:rFonts w:ascii="仿宋_GB2312" w:hAnsi="宋体" w:cs="宋体"/>
          <w:bCs/>
          <w:color w:val="000000"/>
          <w:kern w:val="0"/>
          <w:szCs w:val="24"/>
          <w:highlight w:val="yellow"/>
        </w:rPr>
        <w:t>*365*100</w:t>
      </w:r>
      <w:r>
        <w:rPr>
          <w:rFonts w:hint="eastAsia" w:ascii="仿宋_GB2312" w:hAnsi="宋体" w:cs="宋体"/>
          <w:bCs/>
          <w:color w:val="000000"/>
          <w:kern w:val="0"/>
          <w:szCs w:val="24"/>
          <w:highlight w:val="yellow"/>
        </w:rPr>
        <w:t>%</w:t>
      </w:r>
    </w:p>
    <w:p w14:paraId="0A7F2AAF">
      <w:pPr>
        <w:widowControl/>
        <w:tabs>
          <w:tab w:val="left" w:pos="709"/>
        </w:tabs>
        <w:snapToGrid w:val="0"/>
        <w:spacing w:line="360" w:lineRule="auto"/>
        <w:ind w:firstLine="420" w:firstLineChars="200"/>
        <w:rPr>
          <w:rFonts w:ascii="仿宋_GB2312" w:hAnsi="宋体" w:cs="宋体"/>
          <w:bCs/>
          <w:color w:val="000000"/>
          <w:kern w:val="0"/>
          <w:szCs w:val="24"/>
          <w:highlight w:val="yellow"/>
        </w:rPr>
      </w:pPr>
      <w:r>
        <w:rPr>
          <w:rFonts w:hint="eastAsia" w:ascii="仿宋_GB2312" w:hAnsi="宋体" w:cs="宋体"/>
          <w:bCs/>
          <w:color w:val="000000"/>
          <w:kern w:val="0"/>
          <w:szCs w:val="24"/>
          <w:highlight w:val="yellow"/>
        </w:rPr>
        <w:t>产品管理人对产品年化收益率</w:t>
      </w:r>
      <w:r>
        <w:rPr>
          <w:rFonts w:ascii="仿宋_GB2312" w:hAnsi="宋体" w:cs="宋体"/>
          <w:bCs/>
          <w:color w:val="000000"/>
          <w:kern w:val="0"/>
          <w:szCs w:val="24"/>
          <w:highlight w:val="yellow"/>
        </w:rPr>
        <w:t>超过</w:t>
      </w:r>
      <w:r>
        <w:rPr>
          <w:rFonts w:hint="eastAsia" w:ascii="仿宋_GB2312" w:hAnsi="宋体" w:cs="宋体"/>
          <w:bCs/>
          <w:color w:val="000000"/>
          <w:kern w:val="0"/>
          <w:szCs w:val="24"/>
          <w:highlight w:val="yellow"/>
          <w:lang w:eastAsia="zh-CN"/>
        </w:rPr>
        <w:t>浮动管理费</w:t>
      </w:r>
      <w:r>
        <w:rPr>
          <w:rFonts w:hint="eastAsia" w:ascii="仿宋_GB2312" w:hAnsi="宋体" w:cs="宋体"/>
          <w:bCs/>
          <w:color w:val="000000"/>
          <w:kern w:val="0"/>
          <w:szCs w:val="24"/>
          <w:highlight w:val="yellow"/>
        </w:rPr>
        <w:t>计提基准的部分，按</w:t>
      </w:r>
      <w:r>
        <w:rPr>
          <w:rFonts w:hint="eastAsia" w:ascii="仿宋_GB2312" w:hAnsi="宋体" w:cs="宋体"/>
          <w:bCs/>
          <w:color w:val="000000"/>
          <w:kern w:val="0"/>
          <w:szCs w:val="24"/>
          <w:highlight w:val="yellow"/>
          <w:lang w:eastAsia="zh-CN"/>
        </w:rPr>
        <w:t>浮动管理费</w:t>
      </w:r>
      <w:r>
        <w:rPr>
          <w:rFonts w:hint="eastAsia" w:ascii="仿宋_GB2312" w:hAnsi="宋体" w:cs="宋体"/>
          <w:bCs/>
          <w:color w:val="000000"/>
          <w:kern w:val="0"/>
          <w:szCs w:val="24"/>
          <w:highlight w:val="yellow"/>
        </w:rPr>
        <w:t>分成比例</w:t>
      </w:r>
      <w:r>
        <w:rPr>
          <w:rFonts w:ascii="仿宋_GB2312" w:hAnsi="宋体" w:cs="宋体"/>
          <w:bCs/>
          <w:color w:val="000000"/>
          <w:kern w:val="0"/>
          <w:szCs w:val="24"/>
          <w:highlight w:val="yellow"/>
        </w:rPr>
        <w:t>以及产品份额持有天数</w:t>
      </w:r>
      <w:r>
        <w:rPr>
          <w:rFonts w:hint="eastAsia" w:ascii="仿宋_GB2312" w:hAnsi="宋体" w:cs="宋体"/>
          <w:bCs/>
          <w:color w:val="000000"/>
          <w:kern w:val="0"/>
          <w:szCs w:val="24"/>
          <w:highlight w:val="yellow"/>
        </w:rPr>
        <w:t>计提/收取</w:t>
      </w:r>
      <w:r>
        <w:rPr>
          <w:rFonts w:hint="eastAsia"/>
          <w:color w:val="000000"/>
          <w:highlight w:val="yellow"/>
          <w:lang w:eastAsia="zh-CN"/>
        </w:rPr>
        <w:t>浮动管理费</w:t>
      </w:r>
      <w:r>
        <w:rPr>
          <w:rFonts w:hint="eastAsia" w:ascii="仿宋_GB2312" w:hAnsi="宋体" w:cs="宋体"/>
          <w:bCs/>
          <w:color w:val="000000"/>
          <w:kern w:val="0"/>
          <w:szCs w:val="24"/>
          <w:highlight w:val="yellow"/>
        </w:rPr>
        <w:t>，计算方法如下：</w:t>
      </w:r>
    </w:p>
    <w:p w14:paraId="60F4166C">
      <w:pPr>
        <w:widowControl/>
        <w:tabs>
          <w:tab w:val="left" w:pos="709"/>
        </w:tabs>
        <w:snapToGrid w:val="0"/>
        <w:spacing w:line="360" w:lineRule="auto"/>
        <w:ind w:firstLine="420" w:firstLineChars="200"/>
        <w:rPr>
          <w:rFonts w:ascii="仿宋_GB2312" w:hAnsi="宋体" w:cs="宋体"/>
          <w:bCs/>
          <w:color w:val="000000"/>
          <w:kern w:val="0"/>
          <w:szCs w:val="24"/>
          <w:highlight w:val="yellow"/>
        </w:rPr>
      </w:pPr>
      <w:r>
        <w:rPr>
          <w:rFonts w:hint="eastAsia" w:ascii="仿宋_GB2312" w:hAnsi="宋体" w:cs="宋体"/>
          <w:bCs/>
          <w:color w:val="000000"/>
          <w:kern w:val="0"/>
          <w:szCs w:val="24"/>
          <w:highlight w:val="yellow"/>
        </w:rPr>
        <w:t>当</w:t>
      </w:r>
      <w:r>
        <w:rPr>
          <w:rFonts w:ascii="仿宋_GB2312" w:hAnsi="宋体" w:cs="宋体"/>
          <w:bCs/>
          <w:color w:val="000000"/>
          <w:kern w:val="0"/>
          <w:szCs w:val="24"/>
          <w:highlight w:val="yellow"/>
        </w:rPr>
        <w:t>R≤</w:t>
      </w:r>
      <w:r>
        <w:rPr>
          <w:rFonts w:hint="eastAsia" w:ascii="仿宋_GB2312" w:hAnsi="宋体" w:cs="宋体"/>
          <w:bCs/>
          <w:color w:val="000000"/>
          <w:kern w:val="0"/>
          <w:szCs w:val="24"/>
          <w:highlight w:val="yellow"/>
          <w:lang w:eastAsia="zh-CN"/>
        </w:rPr>
        <w:t>浮动管理费</w:t>
      </w:r>
      <w:r>
        <w:rPr>
          <w:rFonts w:hint="eastAsia" w:ascii="仿宋_GB2312" w:hAnsi="宋体" w:cs="宋体"/>
          <w:bCs/>
          <w:color w:val="000000"/>
          <w:kern w:val="0"/>
          <w:szCs w:val="24"/>
          <w:highlight w:val="yellow"/>
        </w:rPr>
        <w:t>计提基准，可计提/收取</w:t>
      </w:r>
      <w:r>
        <w:rPr>
          <w:rFonts w:hint="eastAsia"/>
          <w:color w:val="000000"/>
          <w:highlight w:val="yellow"/>
          <w:lang w:eastAsia="zh-CN"/>
        </w:rPr>
        <w:t>浮动管理费</w:t>
      </w:r>
      <w:r>
        <w:rPr>
          <w:rFonts w:ascii="仿宋_GB2312" w:hAnsi="宋体" w:cs="宋体"/>
          <w:bCs/>
          <w:color w:val="000000"/>
          <w:kern w:val="0"/>
          <w:szCs w:val="24"/>
          <w:highlight w:val="yellow"/>
        </w:rPr>
        <w:t>=0；</w:t>
      </w:r>
    </w:p>
    <w:p w14:paraId="309E9AA7">
      <w:pPr>
        <w:widowControl/>
        <w:tabs>
          <w:tab w:val="left" w:pos="709"/>
        </w:tabs>
        <w:snapToGrid w:val="0"/>
        <w:spacing w:line="360" w:lineRule="auto"/>
        <w:ind w:firstLine="420" w:firstLineChars="200"/>
        <w:rPr>
          <w:rFonts w:ascii="仿宋_GB2312" w:hAnsi="宋体" w:cs="宋体"/>
          <w:bCs/>
          <w:color w:val="000000"/>
          <w:kern w:val="0"/>
          <w:szCs w:val="24"/>
          <w:highlight w:val="yellow"/>
        </w:rPr>
      </w:pPr>
      <w:r>
        <w:rPr>
          <w:rFonts w:hint="eastAsia" w:ascii="仿宋_GB2312" w:hAnsi="宋体" w:cs="宋体"/>
          <w:bCs/>
          <w:color w:val="000000"/>
          <w:kern w:val="0"/>
          <w:szCs w:val="24"/>
          <w:highlight w:val="yellow"/>
        </w:rPr>
        <w:t>当</w:t>
      </w:r>
      <w:r>
        <w:rPr>
          <w:rFonts w:ascii="仿宋_GB2312" w:hAnsi="宋体" w:cs="宋体"/>
          <w:bCs/>
          <w:color w:val="000000"/>
          <w:kern w:val="0"/>
          <w:szCs w:val="24"/>
          <w:highlight w:val="yellow"/>
        </w:rPr>
        <w:t>R＞</w:t>
      </w:r>
      <w:r>
        <w:rPr>
          <w:rFonts w:hint="eastAsia" w:ascii="仿宋_GB2312" w:hAnsi="宋体" w:cs="宋体"/>
          <w:bCs/>
          <w:color w:val="000000"/>
          <w:kern w:val="0"/>
          <w:szCs w:val="24"/>
          <w:highlight w:val="yellow"/>
          <w:lang w:eastAsia="zh-CN"/>
        </w:rPr>
        <w:t>浮动管理费</w:t>
      </w:r>
      <w:r>
        <w:rPr>
          <w:rFonts w:hint="eastAsia" w:ascii="仿宋_GB2312" w:hAnsi="宋体" w:cs="宋体"/>
          <w:bCs/>
          <w:color w:val="000000"/>
          <w:kern w:val="0"/>
          <w:szCs w:val="24"/>
          <w:highlight w:val="yellow"/>
        </w:rPr>
        <w:t>计提基准，可计提/收取</w:t>
      </w:r>
      <w:r>
        <w:rPr>
          <w:rFonts w:hint="eastAsia"/>
          <w:color w:val="000000"/>
          <w:highlight w:val="yellow"/>
          <w:lang w:eastAsia="zh-CN"/>
        </w:rPr>
        <w:t>浮动管理费</w:t>
      </w:r>
      <w:r>
        <w:rPr>
          <w:rFonts w:ascii="仿宋_GB2312" w:hAnsi="宋体" w:cs="宋体"/>
          <w:bCs/>
          <w:color w:val="000000"/>
          <w:kern w:val="0"/>
          <w:szCs w:val="24"/>
          <w:highlight w:val="yellow"/>
        </w:rPr>
        <w:t>=</w:t>
      </w:r>
      <w:r>
        <w:rPr>
          <w:rFonts w:hint="eastAsia" w:ascii="仿宋_GB2312" w:hAnsi="宋体" w:cs="宋体"/>
          <w:bCs/>
          <w:color w:val="000000"/>
          <w:kern w:val="0"/>
          <w:szCs w:val="24"/>
          <w:highlight w:val="yellow"/>
        </w:rPr>
        <w:t>产品计提/到期日投资者持有的产品份额×V</w:t>
      </w:r>
      <w:r>
        <w:rPr>
          <w:rFonts w:hint="eastAsia" w:ascii="仿宋_GB2312" w:hAnsi="宋体" w:cs="宋体"/>
          <w:bCs/>
          <w:color w:val="000000"/>
          <w:kern w:val="0"/>
          <w:sz w:val="13"/>
          <w:szCs w:val="24"/>
          <w:highlight w:val="yellow"/>
        </w:rPr>
        <w:t>期初份额净值</w:t>
      </w:r>
      <w:r>
        <w:rPr>
          <w:rFonts w:hint="eastAsia" w:ascii="仿宋_GB2312" w:hAnsi="宋体" w:cs="宋体"/>
          <w:bCs/>
          <w:color w:val="000000"/>
          <w:kern w:val="0"/>
          <w:szCs w:val="24"/>
          <w:highlight w:val="yellow"/>
        </w:rPr>
        <w:t>×（</w:t>
      </w:r>
      <w:r>
        <w:rPr>
          <w:rFonts w:ascii="仿宋_GB2312" w:hAnsi="宋体" w:cs="宋体"/>
          <w:bCs/>
          <w:color w:val="000000"/>
          <w:kern w:val="0"/>
          <w:szCs w:val="24"/>
          <w:highlight w:val="yellow"/>
        </w:rPr>
        <w:t>R-</w:t>
      </w:r>
      <w:r>
        <w:rPr>
          <w:rFonts w:hint="eastAsia" w:ascii="仿宋_GB2312" w:hAnsi="宋体" w:cs="宋体"/>
          <w:bCs/>
          <w:color w:val="000000"/>
          <w:kern w:val="0"/>
          <w:szCs w:val="24"/>
          <w:highlight w:val="yellow"/>
          <w:lang w:eastAsia="zh-CN"/>
        </w:rPr>
        <w:t>浮动管理费</w:t>
      </w:r>
      <w:r>
        <w:rPr>
          <w:rFonts w:hint="eastAsia" w:ascii="仿宋_GB2312" w:hAnsi="宋体" w:cs="宋体"/>
          <w:bCs/>
          <w:color w:val="000000"/>
          <w:kern w:val="0"/>
          <w:szCs w:val="24"/>
          <w:highlight w:val="yellow"/>
        </w:rPr>
        <w:t>计提基准）×</w:t>
      </w:r>
      <w:r>
        <w:rPr>
          <w:rFonts w:ascii="仿宋_GB2312" w:hAnsi="宋体" w:cs="宋体"/>
          <w:bCs/>
          <w:color w:val="000000"/>
          <w:kern w:val="0"/>
          <w:szCs w:val="24"/>
          <w:highlight w:val="yellow"/>
        </w:rPr>
        <w:t>N×</w:t>
      </w:r>
      <w:r>
        <w:rPr>
          <w:rFonts w:hint="eastAsia" w:ascii="仿宋_GB2312" w:hAnsi="宋体" w:cs="宋体"/>
          <w:bCs/>
          <w:color w:val="000000"/>
          <w:kern w:val="0"/>
          <w:szCs w:val="24"/>
          <w:highlight w:val="yellow"/>
        </w:rPr>
        <w:t>（D</w:t>
      </w:r>
      <w:r>
        <w:rPr>
          <w:rFonts w:ascii="仿宋_GB2312" w:hAnsi="宋体" w:cs="宋体"/>
          <w:bCs/>
          <w:color w:val="000000"/>
          <w:kern w:val="0"/>
          <w:szCs w:val="24"/>
          <w:highlight w:val="yellow"/>
        </w:rPr>
        <w:t>+1</w:t>
      </w:r>
      <w:r>
        <w:rPr>
          <w:rFonts w:hint="eastAsia" w:ascii="仿宋_GB2312" w:hAnsi="宋体" w:cs="宋体"/>
          <w:bCs/>
          <w:color w:val="000000"/>
          <w:kern w:val="0"/>
          <w:szCs w:val="24"/>
          <w:highlight w:val="yellow"/>
        </w:rPr>
        <w:t>）</w:t>
      </w:r>
      <w:r>
        <w:rPr>
          <w:rFonts w:ascii="仿宋_GB2312" w:hAnsi="宋体" w:cs="宋体"/>
          <w:bCs/>
          <w:color w:val="000000"/>
          <w:kern w:val="0"/>
          <w:szCs w:val="24"/>
          <w:highlight w:val="yellow"/>
        </w:rPr>
        <w:t>/365。</w:t>
      </w:r>
    </w:p>
    <w:p w14:paraId="4A99E2E2">
      <w:pPr>
        <w:widowControl/>
        <w:tabs>
          <w:tab w:val="left" w:pos="709"/>
        </w:tabs>
        <w:snapToGrid w:val="0"/>
        <w:spacing w:line="360" w:lineRule="auto"/>
        <w:ind w:firstLine="420" w:firstLineChars="200"/>
        <w:rPr>
          <w:rFonts w:hint="eastAsia" w:ascii="仿宋_GB2312" w:hAnsi="宋体" w:eastAsia="仿宋_GB2312" w:cs="宋体"/>
          <w:bCs/>
          <w:color w:val="000000"/>
          <w:kern w:val="0"/>
          <w:szCs w:val="24"/>
          <w:highlight w:val="yellow"/>
          <w:lang w:eastAsia="zh-CN"/>
        </w:rPr>
      </w:pPr>
      <w:r>
        <w:rPr>
          <w:rFonts w:hint="eastAsia" w:ascii="仿宋_GB2312" w:hAnsi="宋体" w:cs="宋体"/>
          <w:bCs/>
          <w:color w:val="000000"/>
          <w:kern w:val="0"/>
          <w:szCs w:val="24"/>
          <w:highlight w:val="yellow"/>
        </w:rPr>
        <w:t>其中，</w:t>
      </w:r>
      <w:r>
        <w:rPr>
          <w:rFonts w:ascii="仿宋_GB2312" w:hAnsi="宋体" w:cs="宋体"/>
          <w:bCs/>
          <w:color w:val="000000"/>
          <w:kern w:val="0"/>
          <w:szCs w:val="24"/>
          <w:highlight w:val="yellow"/>
        </w:rPr>
        <w:t>V</w:t>
      </w:r>
      <w:r>
        <w:rPr>
          <w:rFonts w:hint="eastAsia" w:ascii="仿宋_GB2312" w:hAnsi="宋体" w:cs="宋体"/>
          <w:bCs/>
          <w:color w:val="000000"/>
          <w:kern w:val="0"/>
          <w:sz w:val="13"/>
          <w:szCs w:val="24"/>
          <w:highlight w:val="yellow"/>
        </w:rPr>
        <w:t>计提/到期日产品份额累计净值</w:t>
      </w:r>
      <w:r>
        <w:rPr>
          <w:rFonts w:hint="eastAsia" w:ascii="仿宋_GB2312" w:hAnsi="宋体" w:cs="宋体"/>
          <w:bCs/>
          <w:color w:val="000000"/>
          <w:kern w:val="0"/>
          <w:szCs w:val="24"/>
          <w:highlight w:val="yellow"/>
        </w:rPr>
        <w:t>表示产品计提/到期日的产品份额累计净值（未扣除</w:t>
      </w:r>
      <w:r>
        <w:rPr>
          <w:rFonts w:hint="eastAsia" w:ascii="仿宋_GB2312" w:hAnsi="宋体" w:cs="宋体"/>
          <w:bCs/>
          <w:color w:val="000000"/>
          <w:kern w:val="0"/>
          <w:szCs w:val="24"/>
          <w:highlight w:val="yellow"/>
          <w:lang w:eastAsia="zh-CN"/>
        </w:rPr>
        <w:t>浮动管理费</w:t>
      </w:r>
      <w:r>
        <w:rPr>
          <w:rFonts w:hint="eastAsia" w:ascii="仿宋_GB2312" w:hAnsi="宋体" w:cs="宋体"/>
          <w:bCs/>
          <w:color w:val="000000"/>
          <w:kern w:val="0"/>
          <w:szCs w:val="24"/>
          <w:highlight w:val="yellow"/>
        </w:rPr>
        <w:t>），V</w:t>
      </w:r>
      <w:r>
        <w:rPr>
          <w:rFonts w:hint="eastAsia" w:ascii="仿宋_GB2312" w:hAnsi="宋体" w:cs="宋体"/>
          <w:bCs/>
          <w:color w:val="000000"/>
          <w:kern w:val="0"/>
          <w:sz w:val="13"/>
          <w:szCs w:val="24"/>
          <w:highlight w:val="yellow"/>
        </w:rPr>
        <w:t>期初份额净值</w:t>
      </w:r>
      <w:r>
        <w:rPr>
          <w:rFonts w:hint="eastAsia" w:ascii="仿宋_GB2312" w:hAnsi="宋体" w:cs="宋体"/>
          <w:bCs/>
          <w:color w:val="000000"/>
          <w:kern w:val="0"/>
          <w:szCs w:val="24"/>
          <w:highlight w:val="yellow"/>
        </w:rPr>
        <w:t>表示产品成立日的产品份额净值，D表示产品到期日-产品成立日，N表示</w:t>
      </w:r>
      <w:r>
        <w:rPr>
          <w:rFonts w:hint="eastAsia" w:ascii="仿宋_GB2312" w:hAnsi="宋体" w:cs="宋体"/>
          <w:bCs/>
          <w:color w:val="000000"/>
          <w:kern w:val="0"/>
          <w:szCs w:val="24"/>
          <w:highlight w:val="yellow"/>
          <w:lang w:eastAsia="zh-CN"/>
        </w:rPr>
        <w:t>浮动管理费</w:t>
      </w:r>
      <w:r>
        <w:rPr>
          <w:rFonts w:hint="eastAsia" w:ascii="仿宋_GB2312" w:hAnsi="宋体" w:cs="宋体"/>
          <w:bCs/>
          <w:color w:val="000000"/>
          <w:kern w:val="0"/>
          <w:szCs w:val="24"/>
          <w:highlight w:val="yellow"/>
        </w:rPr>
        <w:t>分成比例。</w:t>
      </w:r>
      <w:r>
        <w:rPr>
          <w:rFonts w:hint="eastAsia" w:ascii="仿宋_GB2312" w:hAnsi="宋体" w:cs="宋体"/>
          <w:bCs/>
          <w:color w:val="000000"/>
          <w:kern w:val="0"/>
          <w:szCs w:val="24"/>
          <w:highlight w:val="yellow"/>
          <w:lang w:eastAsia="zh-CN"/>
        </w:rPr>
        <w:t>】</w:t>
      </w:r>
    </w:p>
    <w:p w14:paraId="61EB135C">
      <w:pPr>
        <w:widowControl/>
        <w:tabs>
          <w:tab w:val="left" w:pos="709"/>
        </w:tabs>
        <w:snapToGrid w:val="0"/>
        <w:spacing w:line="360" w:lineRule="auto"/>
        <w:ind w:firstLine="420" w:firstLineChars="200"/>
        <w:rPr>
          <w:rFonts w:hint="eastAsia" w:ascii="仿宋_GB2312" w:hAnsi="宋体" w:eastAsia="仿宋_GB2312" w:cs="宋体"/>
          <w:bCs/>
          <w:kern w:val="0"/>
          <w:szCs w:val="24"/>
          <w:highlight w:val="none"/>
          <w:lang w:eastAsia="zh-CN"/>
        </w:rPr>
      </w:pPr>
      <w:r>
        <w:rPr>
          <w:rFonts w:hint="eastAsia" w:ascii="仿宋_GB2312" w:hAnsi="宋体" w:cs="宋体"/>
          <w:bCs/>
          <w:kern w:val="0"/>
          <w:szCs w:val="24"/>
          <w:highlight w:val="none"/>
        </w:rPr>
        <w:t>（5）理财产品的</w:t>
      </w:r>
      <w:r>
        <w:rPr>
          <w:rFonts w:hint="eastAsia" w:ascii="仿宋_GB2312" w:hAnsi="宋体" w:cs="宋体"/>
          <w:bCs/>
          <w:kern w:val="0"/>
          <w:szCs w:val="24"/>
          <w:highlight w:val="none"/>
          <w:lang w:eastAsia="zh-CN"/>
        </w:rPr>
        <w:t>托管费</w:t>
      </w:r>
    </w:p>
    <w:p w14:paraId="4574E303">
      <w:pPr>
        <w:widowControl/>
        <w:tabs>
          <w:tab w:val="left" w:pos="709"/>
        </w:tabs>
        <w:snapToGrid w:val="0"/>
        <w:spacing w:line="360" w:lineRule="auto"/>
        <w:ind w:firstLine="420" w:firstLineChars="200"/>
        <w:rPr>
          <w:rFonts w:ascii="仿宋_GB2312" w:hAnsi="宋体" w:cs="宋体"/>
          <w:bCs/>
          <w:kern w:val="0"/>
          <w:szCs w:val="24"/>
          <w:highlight w:val="yellow"/>
        </w:rPr>
      </w:pP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rPr>
        <w:t>本产品的</w:t>
      </w:r>
      <w:r>
        <w:rPr>
          <w:rFonts w:hint="eastAsia" w:ascii="仿宋_GB2312" w:hAnsi="宋体" w:cs="宋体"/>
          <w:bCs/>
          <w:kern w:val="0"/>
          <w:szCs w:val="24"/>
          <w:highlight w:val="yellow"/>
          <w:lang w:eastAsia="zh-CN"/>
        </w:rPr>
        <w:t>托管费</w:t>
      </w:r>
      <w:r>
        <w:rPr>
          <w:rFonts w:hint="eastAsia" w:ascii="仿宋_GB2312" w:hAnsi="宋体" w:cs="宋体"/>
          <w:bCs/>
          <w:kern w:val="0"/>
          <w:szCs w:val="24"/>
          <w:highlight w:val="yellow"/>
        </w:rPr>
        <w:t>按</w:t>
      </w:r>
      <w:r>
        <w:rPr>
          <w:rFonts w:hint="eastAsia" w:ascii="仿宋_GB2312" w:hAnsi="宋体" w:cs="宋体"/>
          <w:bCs/>
          <w:kern w:val="0"/>
          <w:szCs w:val="24"/>
          <w:highlight w:val="yellow"/>
          <w:lang w:eastAsia="zh-CN"/>
        </w:rPr>
        <w:t>当日日终份额</w:t>
      </w:r>
      <w:r>
        <w:rPr>
          <w:rFonts w:hint="eastAsia" w:ascii="仿宋_GB2312" w:hAnsi="宋体" w:cs="宋体"/>
          <w:bCs/>
          <w:kern w:val="0"/>
          <w:szCs w:val="24"/>
          <w:highlight w:val="yellow"/>
        </w:rPr>
        <w:t>与</w:t>
      </w:r>
      <w:r>
        <w:rPr>
          <w:rFonts w:hint="eastAsia" w:ascii="仿宋_GB2312" w:hAnsi="宋体" w:cs="宋体"/>
          <w:bCs/>
          <w:kern w:val="0"/>
          <w:szCs w:val="24"/>
          <w:highlight w:val="yellow"/>
          <w:lang w:eastAsia="zh-CN"/>
        </w:rPr>
        <w:t>托管费</w:t>
      </w:r>
      <w:r>
        <w:rPr>
          <w:rFonts w:hint="eastAsia" w:ascii="仿宋_GB2312" w:hAnsi="宋体" w:cs="宋体"/>
          <w:bCs/>
          <w:kern w:val="0"/>
          <w:szCs w:val="24"/>
          <w:highlight w:val="yellow"/>
        </w:rPr>
        <w:t>费率每日计提，</w:t>
      </w:r>
      <w:r>
        <w:rPr>
          <w:rFonts w:hint="eastAsia" w:ascii="仿宋_GB2312" w:hAnsi="宋体" w:cs="宋体"/>
          <w:bCs/>
          <w:spacing w:val="-4"/>
          <w:kern w:val="0"/>
          <w:szCs w:val="24"/>
          <w:highlight w:val="yellow"/>
        </w:rPr>
        <w:t>管理人可按季或产品开放周期（如有）收取，或与后续季度、开放周期（如有）合并收取。</w:t>
      </w:r>
      <w:r>
        <w:rPr>
          <w:rFonts w:hint="eastAsia" w:ascii="仿宋_GB2312" w:hAnsi="宋体" w:cs="宋体"/>
          <w:bCs/>
          <w:kern w:val="0"/>
          <w:szCs w:val="24"/>
          <w:highlight w:val="yellow"/>
          <w:lang w:eastAsia="zh-CN"/>
        </w:rPr>
        <w:t>托管费</w:t>
      </w:r>
      <w:r>
        <w:rPr>
          <w:rFonts w:hint="eastAsia" w:ascii="仿宋_GB2312" w:hAnsi="宋体" w:cs="宋体"/>
          <w:bCs/>
          <w:spacing w:val="-4"/>
          <w:kern w:val="0"/>
          <w:szCs w:val="24"/>
          <w:highlight w:val="yellow"/>
        </w:rPr>
        <w:t>精确到小数点后2位，小数点2位以后四舍五入</w:t>
      </w:r>
      <w:r>
        <w:rPr>
          <w:rFonts w:hint="eastAsia" w:ascii="仿宋_GB2312" w:hAnsi="宋体" w:cs="宋体"/>
          <w:bCs/>
          <w:kern w:val="0"/>
          <w:szCs w:val="24"/>
          <w:highlight w:val="yellow"/>
        </w:rPr>
        <w:t>。</w:t>
      </w:r>
    </w:p>
    <w:p w14:paraId="5A346F16">
      <w:pPr>
        <w:widowControl/>
        <w:tabs>
          <w:tab w:val="left" w:pos="709"/>
        </w:tabs>
        <w:snapToGrid w:val="0"/>
        <w:spacing w:line="360" w:lineRule="auto"/>
        <w:ind w:firstLine="420" w:firstLineChars="200"/>
        <w:rPr>
          <w:rFonts w:ascii="仿宋_GB2312" w:hAnsi="宋体" w:cs="宋体"/>
          <w:bCs/>
          <w:kern w:val="0"/>
          <w:szCs w:val="24"/>
          <w:highlight w:val="yellow"/>
        </w:rPr>
      </w:pPr>
      <w:r>
        <w:rPr>
          <w:rFonts w:hint="eastAsia" w:ascii="仿宋_GB2312" w:hAnsi="宋体" w:cs="宋体"/>
          <w:bCs/>
          <w:kern w:val="0"/>
          <w:szCs w:val="24"/>
          <w:highlight w:val="yellow"/>
          <w:lang w:eastAsia="zh-CN"/>
        </w:rPr>
        <w:t>托管费</w:t>
      </w:r>
      <w:r>
        <w:rPr>
          <w:rFonts w:hint="eastAsia" w:ascii="仿宋_GB2312" w:hAnsi="宋体" w:cs="宋体"/>
          <w:bCs/>
          <w:kern w:val="0"/>
          <w:szCs w:val="24"/>
          <w:highlight w:val="yellow"/>
        </w:rPr>
        <w:t>的计算方法如下：</w:t>
      </w:r>
    </w:p>
    <w:p w14:paraId="59189CEA">
      <w:pPr>
        <w:widowControl/>
        <w:tabs>
          <w:tab w:val="left" w:pos="709"/>
        </w:tabs>
        <w:snapToGrid w:val="0"/>
        <w:spacing w:line="360" w:lineRule="auto"/>
        <w:ind w:firstLine="420" w:firstLineChars="200"/>
        <w:rPr>
          <w:rFonts w:ascii="仿宋_GB2312" w:hAnsi="宋体" w:cs="宋体"/>
          <w:bCs/>
          <w:kern w:val="0"/>
          <w:szCs w:val="24"/>
          <w:highlight w:val="yellow"/>
        </w:rPr>
      </w:pPr>
      <w:r>
        <w:rPr>
          <w:rFonts w:hint="eastAsia" w:ascii="仿宋_GB2312" w:hAnsi="宋体" w:cs="宋体"/>
          <w:bCs/>
          <w:kern w:val="0"/>
          <w:szCs w:val="24"/>
          <w:highlight w:val="yellow"/>
        </w:rPr>
        <w:t>H＝E×</w:t>
      </w:r>
      <w:r>
        <w:rPr>
          <w:rFonts w:hint="eastAsia" w:ascii="仿宋_GB2312" w:hAnsi="宋体" w:cs="宋体"/>
          <w:bCs/>
          <w:kern w:val="0"/>
          <w:szCs w:val="24"/>
          <w:highlight w:val="yellow"/>
          <w:lang w:eastAsia="zh-CN"/>
        </w:rPr>
        <w:t>托管费</w:t>
      </w:r>
      <w:r>
        <w:rPr>
          <w:rFonts w:hint="eastAsia" w:ascii="仿宋_GB2312" w:hAnsi="宋体" w:cs="宋体"/>
          <w:bCs/>
          <w:kern w:val="0"/>
          <w:szCs w:val="24"/>
          <w:highlight w:val="yellow"/>
        </w:rPr>
        <w:t>年费率÷365</w:t>
      </w:r>
    </w:p>
    <w:p w14:paraId="1C69F249">
      <w:pPr>
        <w:widowControl/>
        <w:tabs>
          <w:tab w:val="left" w:pos="709"/>
        </w:tabs>
        <w:snapToGrid w:val="0"/>
        <w:spacing w:line="360" w:lineRule="auto"/>
        <w:ind w:firstLine="420" w:firstLineChars="200"/>
        <w:rPr>
          <w:rFonts w:hint="eastAsia" w:ascii="仿宋_GB2312" w:hAnsi="宋体" w:eastAsia="仿宋_GB2312" w:cs="宋体"/>
          <w:bCs/>
          <w:kern w:val="0"/>
          <w:szCs w:val="24"/>
          <w:highlight w:val="yellow"/>
          <w:lang w:eastAsia="zh-CN"/>
        </w:rPr>
      </w:pPr>
      <w:r>
        <w:rPr>
          <w:rFonts w:hint="eastAsia" w:ascii="仿宋_GB2312" w:hAnsi="宋体" w:cs="宋体"/>
          <w:bCs/>
          <w:kern w:val="0"/>
          <w:szCs w:val="24"/>
          <w:highlight w:val="yellow"/>
        </w:rPr>
        <w:t>H为每日应计提的</w:t>
      </w:r>
      <w:r>
        <w:rPr>
          <w:rFonts w:hint="eastAsia" w:ascii="仿宋_GB2312" w:hAnsi="宋体" w:cs="宋体"/>
          <w:bCs/>
          <w:kern w:val="0"/>
          <w:szCs w:val="24"/>
          <w:highlight w:val="yellow"/>
          <w:lang w:eastAsia="zh-CN"/>
        </w:rPr>
        <w:t>托管费</w:t>
      </w:r>
    </w:p>
    <w:p w14:paraId="1801C2DA">
      <w:pPr>
        <w:widowControl/>
        <w:tabs>
          <w:tab w:val="left" w:pos="709"/>
        </w:tabs>
        <w:snapToGrid w:val="0"/>
        <w:spacing w:line="360" w:lineRule="auto"/>
        <w:ind w:firstLine="420" w:firstLineChars="200"/>
        <w:rPr>
          <w:rFonts w:hint="eastAsia" w:ascii="仿宋_GB2312" w:hAnsi="宋体" w:eastAsia="仿宋_GB2312" w:cs="宋体"/>
          <w:bCs/>
          <w:kern w:val="0"/>
          <w:szCs w:val="24"/>
          <w:highlight w:val="yellow"/>
          <w:lang w:eastAsia="zh-CN"/>
        </w:rPr>
      </w:pPr>
      <w:r>
        <w:rPr>
          <w:rFonts w:hint="eastAsia" w:ascii="仿宋_GB2312" w:hAnsi="宋体" w:cs="宋体"/>
          <w:bCs/>
          <w:kern w:val="0"/>
          <w:szCs w:val="24"/>
          <w:highlight w:val="yellow"/>
        </w:rPr>
        <w:t>E为</w:t>
      </w:r>
      <w:r>
        <w:rPr>
          <w:rFonts w:hint="eastAsia" w:ascii="仿宋_GB2312" w:hAnsi="宋体" w:cs="宋体"/>
          <w:bCs/>
          <w:kern w:val="0"/>
          <w:szCs w:val="24"/>
          <w:highlight w:val="yellow"/>
          <w:lang w:eastAsia="zh-CN"/>
        </w:rPr>
        <w:t>当日日终份额】</w:t>
      </w:r>
    </w:p>
    <w:p w14:paraId="4C2ABFB5">
      <w:pPr>
        <w:widowControl/>
        <w:tabs>
          <w:tab w:val="left" w:pos="709"/>
        </w:tabs>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highlight w:val="none"/>
          <w:lang w:eastAsia="zh-CN"/>
        </w:rPr>
        <w:t>托管费</w:t>
      </w:r>
      <w:r>
        <w:rPr>
          <w:rFonts w:hint="eastAsia" w:ascii="仿宋_GB2312" w:hAnsi="宋体" w:cs="宋体"/>
          <w:bCs/>
          <w:kern w:val="0"/>
          <w:szCs w:val="24"/>
          <w:highlight w:val="none"/>
        </w:rPr>
        <w:t>依照上述约定，从理财财产中支付</w:t>
      </w:r>
      <w:r>
        <w:rPr>
          <w:rFonts w:hint="eastAsia" w:ascii="仿宋_GB2312" w:hAnsi="宋体" w:cs="宋体"/>
          <w:bCs/>
          <w:kern w:val="0"/>
          <w:szCs w:val="24"/>
        </w:rPr>
        <w:t>。费率具体数值以《产品说明书》“</w:t>
      </w:r>
      <w:r>
        <w:rPr>
          <w:rFonts w:hint="eastAsia" w:ascii="仿宋_GB2312" w:hAnsi="宋体" w:cs="宋体"/>
          <w:bCs/>
          <w:kern w:val="0"/>
          <w:szCs w:val="24"/>
          <w:lang w:eastAsia="zh-CN"/>
        </w:rPr>
        <w:t>第一节 理财产品说明书关键要素</w:t>
      </w:r>
      <w:r>
        <w:rPr>
          <w:rFonts w:hint="eastAsia" w:ascii="仿宋_GB2312" w:hAnsi="宋体" w:cs="宋体"/>
          <w:bCs/>
          <w:kern w:val="0"/>
          <w:szCs w:val="24"/>
        </w:rPr>
        <w:t>”为准。</w:t>
      </w:r>
    </w:p>
    <w:p w14:paraId="1D6E47E0">
      <w:pPr>
        <w:widowControl/>
        <w:tabs>
          <w:tab w:val="left" w:pos="709"/>
        </w:tabs>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（6）其他费用</w:t>
      </w:r>
    </w:p>
    <w:p w14:paraId="144FB1DA">
      <w:pPr>
        <w:widowControl/>
        <w:tabs>
          <w:tab w:val="left" w:pos="709"/>
        </w:tabs>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与理财产品相关的其他费用，按照实际发生金额从产品资产中列支。若产品管理人先行垫付其他费用的，管理人有权从理财产品资产中优先受偿。</w:t>
      </w:r>
    </w:p>
    <w:p w14:paraId="67E588D1">
      <w:pPr>
        <w:widowControl/>
        <w:tabs>
          <w:tab w:val="left" w:pos="709"/>
        </w:tabs>
        <w:snapToGrid w:val="0"/>
        <w:spacing w:line="360" w:lineRule="auto"/>
        <w:ind w:firstLine="422" w:firstLineChars="200"/>
        <w:rPr>
          <w:rFonts w:ascii="仿宋_GB2312" w:hAnsi="宋体" w:cs="宋体"/>
          <w:b/>
          <w:bCs/>
          <w:kern w:val="0"/>
          <w:szCs w:val="24"/>
        </w:rPr>
      </w:pPr>
      <w:r>
        <w:rPr>
          <w:rFonts w:ascii="仿宋_GB2312" w:hAnsi="宋体" w:cs="宋体"/>
          <w:b/>
          <w:bCs/>
          <w:kern w:val="0"/>
          <w:szCs w:val="24"/>
        </w:rPr>
        <w:t>3</w:t>
      </w:r>
      <w:r>
        <w:rPr>
          <w:rFonts w:hint="eastAsia" w:ascii="仿宋_GB2312" w:hAnsi="宋体" w:cs="宋体"/>
          <w:b/>
          <w:bCs/>
          <w:kern w:val="0"/>
          <w:szCs w:val="24"/>
        </w:rPr>
        <w:t>.费用调整</w:t>
      </w:r>
    </w:p>
    <w:p w14:paraId="6420986E">
      <w:pPr>
        <w:widowControl/>
        <w:tabs>
          <w:tab w:val="left" w:pos="709"/>
        </w:tabs>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产品管理人有权根据相关法律和国家政策规定，对理财产品费用的收费项目、收费条件、收费标准和收费方式等进行调整。产品管理人对费用的调整按本说明书约定的方式进行信息披露。投资者有权不接受调整，并按照信息披露内容中约定的方式提前赎回理财产品。</w:t>
      </w:r>
    </w:p>
    <w:p w14:paraId="65A7F69F">
      <w:pPr>
        <w:pStyle w:val="3"/>
        <w:ind w:firstLine="482"/>
      </w:pPr>
      <w:r>
        <w:rPr>
          <w:rFonts w:hint="eastAsia"/>
        </w:rPr>
        <w:t>税收说明</w:t>
      </w:r>
    </w:p>
    <w:p w14:paraId="30BE8EBD">
      <w:pPr>
        <w:tabs>
          <w:tab w:val="left" w:pos="709"/>
        </w:tabs>
        <w:snapToGrid w:val="0"/>
        <w:spacing w:line="360" w:lineRule="auto"/>
        <w:ind w:firstLine="420" w:firstLineChars="200"/>
      </w:pPr>
      <w:r>
        <w:rPr>
          <w:rFonts w:hint="eastAsia" w:ascii="仿宋_GB2312" w:hAnsi="宋体" w:cs="宋体"/>
          <w:bCs/>
          <w:kern w:val="0"/>
          <w:szCs w:val="24"/>
        </w:rPr>
        <w:t>本理财产品运作过程中涉及的各纳税主体的纳税义务按国家税收法律、法规执行。除法律法规特别要求外，理财产品运营过程中发生的增值税应税行为，由理财产品承担增值税及附加税费，并由理财产品管理人进行计算、申报和缴纳，该等税费将直接从理财产品财产中支付。后续国家法律法规如对相关税收政策进行调整，管理人有权根据税收政策相应调整理财产品运营过程中发生的税费的承担方式。理财收益的应纳税款以及其他的投资者应纳税款由投资者自行申报及缴纳，管理人不承担代扣代缴或纳税的义务。</w:t>
      </w:r>
    </w:p>
    <w:p w14:paraId="2B540EDA">
      <w:pPr>
        <w:jc w:val="left"/>
        <w:rPr>
          <w:rFonts w:ascii="仿宋_GB2312" w:hAnsi="宋体" w:cs="宋体"/>
          <w:bCs/>
          <w:kern w:val="0"/>
          <w:szCs w:val="24"/>
        </w:rPr>
      </w:pPr>
      <w:r>
        <w:rPr>
          <w:rFonts w:hint="eastAsia" w:ascii="仿宋_GB2312" w:hAnsi="宋体" w:cs="宋体"/>
          <w:bCs/>
          <w:kern w:val="0"/>
          <w:szCs w:val="24"/>
        </w:rPr>
        <w:br w:type="page"/>
      </w:r>
    </w:p>
    <w:p w14:paraId="1BEC8930">
      <w:pPr>
        <w:pStyle w:val="2"/>
      </w:pPr>
      <w:r>
        <w:rPr>
          <w:rFonts w:hint="eastAsia"/>
        </w:rPr>
        <w:t>理财产品的终止与清算</w:t>
      </w:r>
    </w:p>
    <w:p w14:paraId="6623AACD">
      <w:pPr>
        <w:pStyle w:val="3"/>
        <w:ind w:firstLine="482"/>
      </w:pPr>
      <w:r>
        <w:rPr>
          <w:rFonts w:hint="eastAsia"/>
        </w:rPr>
        <w:t>理财产品到期</w:t>
      </w:r>
    </w:p>
    <w:p w14:paraId="702A8EEE">
      <w:pPr>
        <w:widowControl/>
        <w:tabs>
          <w:tab w:val="left" w:pos="709"/>
        </w:tabs>
        <w:adjustRightInd w:val="0"/>
        <w:snapToGrid w:val="0"/>
        <w:spacing w:line="360" w:lineRule="auto"/>
        <w:ind w:firstLine="422" w:firstLineChars="200"/>
        <w:rPr>
          <w:rFonts w:ascii="仿宋_GB2312" w:hAnsi="宋体" w:cs="宋体"/>
          <w:bCs/>
          <w:kern w:val="0"/>
          <w:szCs w:val="24"/>
        </w:rPr>
      </w:pPr>
      <w:r>
        <w:rPr>
          <w:rFonts w:hint="eastAsia" w:ascii="仿宋_GB2312" w:hAnsi="宋体" w:cs="宋体"/>
          <w:b/>
          <w:bCs/>
          <w:kern w:val="0"/>
          <w:szCs w:val="24"/>
        </w:rPr>
        <w:t>本理财产品</w:t>
      </w:r>
      <w:r>
        <w:rPr>
          <w:rFonts w:hint="eastAsia" w:ascii="仿宋_GB2312" w:hAnsi="宋体" w:cs="宋体"/>
          <w:b/>
          <w:bCs/>
          <w:kern w:val="0"/>
          <w:szCs w:val="24"/>
          <w:highlight w:val="yellow"/>
          <w:lang w:eastAsia="zh-CN"/>
        </w:rPr>
        <w:t>【</w:t>
      </w:r>
      <w:r>
        <w:rPr>
          <w:rFonts w:hint="eastAsia" w:ascii="仿宋_GB2312" w:hAnsi="宋体" w:cs="宋体"/>
          <w:b/>
          <w:bCs/>
          <w:color w:val="auto"/>
          <w:kern w:val="0"/>
          <w:szCs w:val="24"/>
          <w:highlight w:val="yellow"/>
          <w:u w:val="none"/>
          <w:lang w:eastAsia="zh-CN"/>
        </w:rPr>
        <w:t>期限</w:t>
      </w:r>
      <w:r>
        <w:rPr>
          <w:rFonts w:hint="eastAsia" w:ascii="仿宋_GB2312" w:hAnsi="宋体" w:cs="宋体"/>
          <w:b/>
          <w:bCs/>
          <w:color w:val="auto"/>
          <w:kern w:val="0"/>
          <w:szCs w:val="24"/>
          <w:highlight w:val="yellow"/>
          <w:u w:val="none"/>
        </w:rPr>
        <w:t>50年</w:t>
      </w:r>
      <w:r>
        <w:rPr>
          <w:rFonts w:hint="eastAsia" w:ascii="仿宋_GB2312" w:hAnsi="宋体" w:cs="宋体"/>
          <w:b/>
          <w:bCs/>
          <w:kern w:val="0"/>
          <w:szCs w:val="24"/>
          <w:highlight w:val="yellow"/>
          <w:lang w:eastAsia="zh-CN"/>
        </w:rPr>
        <w:t>】</w:t>
      </w:r>
      <w:r>
        <w:rPr>
          <w:rFonts w:hint="eastAsia" w:ascii="仿宋_GB2312" w:hAnsi="宋体" w:cs="宋体"/>
          <w:bCs/>
          <w:kern w:val="0"/>
          <w:szCs w:val="24"/>
          <w:highlight w:val="none"/>
        </w:rPr>
        <w:t>，</w:t>
      </w:r>
      <w:r>
        <w:rPr>
          <w:rFonts w:hint="eastAsia" w:ascii="宋体" w:hAnsi="宋体"/>
          <w:szCs w:val="24"/>
        </w:rPr>
        <w:t>如产品提前终止或延期终止，除有特别约定外，实际终止日为到期日。</w:t>
      </w:r>
    </w:p>
    <w:p w14:paraId="070C84E6">
      <w:pPr>
        <w:widowControl/>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理财产品不因投资者死亡、丧失民事行为能力、破产而终止；投资者的法定继承人、承继人或指定受益人以及继任管理人承担本理财产品销售文件项下的相应权利和义务，产品管理人以及代销机构有权要求投资者的继承人或者指定受益人等相关主体配合办理相关变更手续。</w:t>
      </w:r>
    </w:p>
    <w:p w14:paraId="76329848">
      <w:pPr>
        <w:pStyle w:val="3"/>
        <w:ind w:firstLine="482"/>
      </w:pPr>
      <w:r>
        <w:rPr>
          <w:rFonts w:hint="eastAsia"/>
        </w:rPr>
        <w:t>理财产品提前终止</w:t>
      </w:r>
    </w:p>
    <w:p w14:paraId="3B460AAE">
      <w:pPr>
        <w:widowControl/>
        <w:tabs>
          <w:tab w:val="left" w:pos="709"/>
        </w:tabs>
        <w:snapToGrid w:val="0"/>
        <w:spacing w:line="360" w:lineRule="auto"/>
        <w:ind w:firstLine="422" w:firstLineChars="200"/>
        <w:rPr>
          <w:rFonts w:ascii="仿宋_GB2312" w:hAnsi="宋体" w:cs="宋体"/>
          <w:b/>
          <w:bCs/>
          <w:kern w:val="0"/>
          <w:szCs w:val="24"/>
        </w:rPr>
      </w:pPr>
      <w:r>
        <w:rPr>
          <w:rFonts w:hint="eastAsia" w:ascii="仿宋_GB2312" w:hAnsi="宋体" w:cs="宋体"/>
          <w:b/>
          <w:bCs/>
          <w:kern w:val="0"/>
          <w:szCs w:val="24"/>
        </w:rPr>
        <w:t>本理财产品存续期间，投资者无提前终止权。如出现以下情形，管理人有权但无义务提前终止本产品：</w:t>
      </w:r>
      <w:r>
        <w:rPr>
          <w:rFonts w:ascii="仿宋_GB2312" w:hAnsi="宋体" w:cs="宋体"/>
          <w:b/>
          <w:bCs/>
          <w:kern w:val="0"/>
          <w:szCs w:val="24"/>
        </w:rPr>
        <w:t xml:space="preserve"> </w:t>
      </w:r>
    </w:p>
    <w:p w14:paraId="3A210014">
      <w:pPr>
        <w:widowControl/>
        <w:tabs>
          <w:tab w:val="left" w:pos="709"/>
        </w:tabs>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1.自然灾害、疫情、金融市场危机、战争等不可抗力因素及/或意外事件导致理财产品无法继续运作。</w:t>
      </w:r>
    </w:p>
    <w:p w14:paraId="71776F17">
      <w:pPr>
        <w:widowControl/>
        <w:tabs>
          <w:tab w:val="left" w:pos="709"/>
        </w:tabs>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2.遇有市场出现剧烈波动、异常风险事件等情形导致理财产品收益出现大幅波动或严重影响理财产品的资产安全。</w:t>
      </w:r>
    </w:p>
    <w:p w14:paraId="37828A44">
      <w:pPr>
        <w:widowControl/>
        <w:tabs>
          <w:tab w:val="left" w:pos="709"/>
        </w:tabs>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3.因投资者理财资金被有权机关扣划等原因导致理财产品剩余资产无法满足相关法律法规规定、所投资市场要求或协议等相关法律文件约定，或者继续存续无法实现投资目标。</w:t>
      </w:r>
    </w:p>
    <w:p w14:paraId="35B47664">
      <w:pPr>
        <w:widowControl/>
        <w:tabs>
          <w:tab w:val="left" w:pos="709"/>
        </w:tabs>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4.因相关投资管理机构解散、破产、撤销、被取消业务资格等原因无法继续履行相应职责导致产品无法继续运作。</w:t>
      </w:r>
    </w:p>
    <w:p w14:paraId="56F5BB93">
      <w:pPr>
        <w:widowControl/>
        <w:tabs>
          <w:tab w:val="left" w:pos="709"/>
        </w:tabs>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5.相关投资管理机构或运用理财资金的第三方主体实施符合法律法规规定或协议等相关文件约定的行为导致理财产品被动提前终止。</w:t>
      </w:r>
    </w:p>
    <w:p w14:paraId="04464AC9">
      <w:pPr>
        <w:widowControl/>
        <w:tabs>
          <w:tab w:val="left" w:pos="709"/>
        </w:tabs>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6.因法律法规变化或国家金融政策调整、紧急措施出台影响产品继续正常运作。</w:t>
      </w:r>
    </w:p>
    <w:p w14:paraId="32EBCC0B">
      <w:pPr>
        <w:widowControl/>
        <w:tabs>
          <w:tab w:val="left" w:pos="709"/>
        </w:tabs>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7.提前终止产品比维持产品运作更有利于保护产品持有人的权益。</w:t>
      </w:r>
    </w:p>
    <w:p w14:paraId="60506308">
      <w:pPr>
        <w:widowControl/>
        <w:tabs>
          <w:tab w:val="left" w:pos="709"/>
        </w:tabs>
        <w:snapToGrid w:val="0"/>
        <w:spacing w:line="360" w:lineRule="auto"/>
        <w:ind w:firstLine="420" w:firstLineChars="200"/>
        <w:rPr>
          <w:rFonts w:ascii="仿宋_GB2312" w:hAnsi="宋体" w:cs="宋体"/>
          <w:bCs/>
          <w:kern w:val="0"/>
          <w:szCs w:val="24"/>
        </w:rPr>
      </w:pPr>
      <w:r>
        <w:rPr>
          <w:rFonts w:ascii="仿宋_GB2312" w:hAnsi="宋体" w:cs="宋体"/>
          <w:bCs/>
          <w:kern w:val="0"/>
          <w:szCs w:val="24"/>
        </w:rPr>
        <w:t>8</w:t>
      </w:r>
      <w:r>
        <w:rPr>
          <w:rFonts w:hint="eastAsia" w:ascii="仿宋_GB2312" w:hAnsi="宋体" w:cs="宋体"/>
          <w:bCs/>
          <w:kern w:val="0"/>
          <w:szCs w:val="24"/>
        </w:rPr>
        <w:t>.遇国家政策出现重大调整并影响到本产品的正常运行。</w:t>
      </w:r>
    </w:p>
    <w:p w14:paraId="72D6C59B">
      <w:pPr>
        <w:tabs>
          <w:tab w:val="left" w:pos="709"/>
        </w:tabs>
        <w:snapToGrid w:val="0"/>
        <w:spacing w:line="360" w:lineRule="auto"/>
        <w:ind w:firstLine="420" w:firstLineChars="200"/>
        <w:rPr>
          <w:rFonts w:ascii="仿宋_GB2312" w:hAnsi="宋体" w:cs="宋体"/>
          <w:bCs/>
          <w:kern w:val="0"/>
          <w:szCs w:val="24"/>
        </w:rPr>
      </w:pPr>
      <w:r>
        <w:rPr>
          <w:rFonts w:ascii="仿宋_GB2312" w:hAnsi="宋体" w:cs="宋体"/>
          <w:bCs/>
          <w:kern w:val="0"/>
          <w:szCs w:val="24"/>
        </w:rPr>
        <w:t>9</w:t>
      </w:r>
      <w:r>
        <w:rPr>
          <w:rFonts w:hint="eastAsia" w:ascii="仿宋_GB2312" w:hAnsi="宋体" w:cs="宋体"/>
          <w:bCs/>
          <w:kern w:val="0"/>
          <w:szCs w:val="24"/>
        </w:rPr>
        <w:t>.因本产品投资的资产部分或全部提前终止或发生其他影响本产品正常投资运作的重大事件。</w:t>
      </w:r>
    </w:p>
    <w:p w14:paraId="56240DC7">
      <w:pPr>
        <w:widowControl/>
        <w:tabs>
          <w:tab w:val="left" w:pos="709"/>
        </w:tabs>
        <w:snapToGrid w:val="0"/>
        <w:spacing w:line="360" w:lineRule="auto"/>
        <w:ind w:firstLine="420" w:firstLineChars="200"/>
        <w:rPr>
          <w:rFonts w:ascii="仿宋_GB2312" w:hAnsi="宋体" w:cs="宋体"/>
          <w:bCs/>
          <w:kern w:val="0"/>
          <w:szCs w:val="24"/>
        </w:rPr>
      </w:pPr>
      <w:r>
        <w:rPr>
          <w:rFonts w:ascii="仿宋_GB2312" w:hAnsi="宋体" w:cs="宋体"/>
          <w:bCs/>
          <w:kern w:val="0"/>
          <w:szCs w:val="24"/>
        </w:rPr>
        <w:t>10</w:t>
      </w:r>
      <w:r>
        <w:rPr>
          <w:rFonts w:hint="eastAsia" w:ascii="仿宋_GB2312" w:hAnsi="宋体" w:cs="宋体"/>
          <w:bCs/>
          <w:kern w:val="0"/>
          <w:szCs w:val="24"/>
        </w:rPr>
        <w:t>.本产品存续期内，所投资资产种类已全部调整为现金资产且无其他投资安排。</w:t>
      </w:r>
    </w:p>
    <w:p w14:paraId="1BA48D4B">
      <w:pPr>
        <w:widowControl/>
        <w:tabs>
          <w:tab w:val="left" w:pos="709"/>
        </w:tabs>
        <w:snapToGrid w:val="0"/>
        <w:spacing w:line="360" w:lineRule="auto"/>
        <w:ind w:firstLine="420" w:firstLineChars="200"/>
        <w:rPr>
          <w:rFonts w:ascii="仿宋_GB2312" w:hAnsi="宋体" w:cs="宋体"/>
          <w:bCs/>
          <w:kern w:val="0"/>
          <w:szCs w:val="24"/>
        </w:rPr>
      </w:pPr>
      <w:r>
        <w:rPr>
          <w:rFonts w:ascii="仿宋_GB2312" w:hAnsi="宋体" w:cs="宋体"/>
          <w:bCs/>
          <w:kern w:val="0"/>
          <w:szCs w:val="24"/>
        </w:rPr>
        <w:t>11</w:t>
      </w:r>
      <w:r>
        <w:rPr>
          <w:rFonts w:hint="eastAsia" w:ascii="仿宋_GB2312" w:hAnsi="宋体" w:cs="宋体"/>
          <w:bCs/>
          <w:kern w:val="0"/>
          <w:szCs w:val="24"/>
        </w:rPr>
        <w:t>.管理人认为有必要提前终止本产品的其他情形。</w:t>
      </w:r>
    </w:p>
    <w:p w14:paraId="1546F5FE">
      <w:pPr>
        <w:widowControl/>
        <w:tabs>
          <w:tab w:val="left" w:pos="709"/>
        </w:tabs>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管理人将至少于提前终止日前</w:t>
      </w:r>
      <w:r>
        <w:rPr>
          <w:rFonts w:hint="eastAsia" w:ascii="仿宋_GB2312" w:hAnsi="宋体" w:cs="宋体"/>
          <w:bCs/>
          <w:kern w:val="0"/>
          <w:szCs w:val="24"/>
          <w:lang w:val="en-US" w:eastAsia="zh-CN"/>
        </w:rPr>
        <w:t>1</w:t>
      </w:r>
      <w:r>
        <w:rPr>
          <w:rFonts w:hint="eastAsia" w:ascii="仿宋_GB2312" w:hAnsi="宋体" w:cs="宋体"/>
          <w:bCs/>
          <w:kern w:val="0"/>
          <w:szCs w:val="24"/>
        </w:rPr>
        <w:t>个工作日通过本产品说明书约定</w:t>
      </w:r>
      <w:r>
        <w:rPr>
          <w:rFonts w:ascii="仿宋_GB2312" w:hAnsi="宋体" w:cs="宋体"/>
          <w:bCs/>
          <w:kern w:val="0"/>
          <w:szCs w:val="24"/>
        </w:rPr>
        <w:t>方式</w:t>
      </w:r>
      <w:r>
        <w:rPr>
          <w:rFonts w:hint="eastAsia" w:ascii="仿宋_GB2312" w:hAnsi="宋体" w:cs="宋体"/>
          <w:bCs/>
          <w:kern w:val="0"/>
          <w:szCs w:val="24"/>
        </w:rPr>
        <w:t>发布本产品提前终止公告，并于提前终止日后5个工作日内通过销售机构将兑付理财资金划至投资者指定账户。</w:t>
      </w:r>
    </w:p>
    <w:p w14:paraId="24DF94F4">
      <w:pPr>
        <w:pStyle w:val="3"/>
        <w:ind w:firstLine="482"/>
      </w:pPr>
      <w:r>
        <w:rPr>
          <w:rFonts w:hint="eastAsia" w:ascii="楷体_GB2312" w:hAnsi="宋体" w:eastAsia="楷体_GB2312" w:cs="宋体"/>
          <w:bCs/>
          <w:kern w:val="0"/>
          <w:szCs w:val="24"/>
        </w:rPr>
        <w:t>理财产品到期清算</w:t>
      </w:r>
    </w:p>
    <w:p w14:paraId="669039E2">
      <w:pPr>
        <w:widowControl/>
        <w:tabs>
          <w:tab w:val="left" w:pos="709"/>
        </w:tabs>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1.清算程序</w:t>
      </w:r>
    </w:p>
    <w:p w14:paraId="726F1E41">
      <w:pPr>
        <w:widowControl/>
        <w:tabs>
          <w:tab w:val="left" w:pos="709"/>
        </w:tabs>
        <w:snapToGrid w:val="0"/>
        <w:spacing w:line="360" w:lineRule="auto"/>
        <w:ind w:firstLine="420" w:firstLineChars="200"/>
        <w:rPr>
          <w:rFonts w:ascii="仿宋_GB2312" w:hAnsi="宋体" w:cs="宋体"/>
          <w:bCs/>
          <w:kern w:val="0"/>
          <w:szCs w:val="24"/>
          <w:highlight w:val="none"/>
        </w:rPr>
      </w:pPr>
      <w:r>
        <w:rPr>
          <w:rFonts w:hint="eastAsia" w:ascii="仿宋_GB2312" w:hAnsi="宋体" w:cs="宋体"/>
          <w:bCs/>
          <w:kern w:val="0"/>
          <w:szCs w:val="24"/>
          <w:highlight w:val="none"/>
        </w:rPr>
        <w:t>产品到期（含提前终止）后，理财产品终止运作，本理财产品</w:t>
      </w:r>
      <w:r>
        <w:rPr>
          <w:highlight w:val="none"/>
        </w:rPr>
        <w:t>管</w:t>
      </w:r>
      <w:r>
        <w:rPr>
          <w:rFonts w:hint="eastAsia" w:ascii="仿宋_GB2312" w:hAnsi="宋体" w:cs="宋体"/>
          <w:bCs/>
          <w:kern w:val="0"/>
          <w:szCs w:val="24"/>
          <w:highlight w:val="none"/>
        </w:rPr>
        <w:t>理人启动产品清算，理财资产清</w:t>
      </w:r>
      <w:r>
        <w:rPr>
          <w:rFonts w:ascii="仿宋_GB2312" w:hAnsi="宋体" w:cs="宋体"/>
          <w:bCs/>
          <w:kern w:val="0"/>
          <w:szCs w:val="24"/>
          <w:highlight w:val="none"/>
        </w:rPr>
        <w:t>算后扣除理财相关费用、缴纳所欠税款并清偿理财产品负债后，</w:t>
      </w:r>
      <w:r>
        <w:rPr>
          <w:highlight w:val="none"/>
        </w:rPr>
        <w:t>管</w:t>
      </w:r>
      <w:r>
        <w:rPr>
          <w:rFonts w:hint="eastAsia" w:ascii="仿宋_GB2312" w:hAnsi="宋体" w:cs="宋体"/>
          <w:bCs/>
          <w:kern w:val="0"/>
          <w:szCs w:val="24"/>
          <w:highlight w:val="none"/>
        </w:rPr>
        <w:t>理人通过销售机构将投资者应得资金（如有，下同）划至投资者指定账户。本产品到期（含提前终止）时，如本产品项下财产全部变现，管理人将在产品到期后5个工作日内向投资者完成</w:t>
      </w:r>
      <w:r>
        <w:rPr>
          <w:rFonts w:ascii="仿宋_GB2312" w:hAnsi="宋体" w:cs="宋体"/>
          <w:bCs/>
          <w:kern w:val="0"/>
          <w:szCs w:val="24"/>
          <w:highlight w:val="none"/>
        </w:rPr>
        <w:t>分配</w:t>
      </w:r>
      <w:r>
        <w:rPr>
          <w:rFonts w:hint="eastAsia" w:ascii="仿宋_GB2312" w:hAnsi="宋体" w:cs="宋体"/>
          <w:bCs/>
          <w:kern w:val="0"/>
          <w:szCs w:val="24"/>
          <w:highlight w:val="none"/>
        </w:rPr>
        <w:t>。产品到期日/终止日至资金到账日期间，投资者理财资金如因清算安排实际产生利息的，相关利息归投资者所有。</w:t>
      </w:r>
    </w:p>
    <w:p w14:paraId="28FC3251">
      <w:pPr>
        <w:widowControl/>
        <w:tabs>
          <w:tab w:val="left" w:pos="709"/>
        </w:tabs>
        <w:snapToGrid w:val="0"/>
        <w:spacing w:line="360" w:lineRule="auto"/>
        <w:ind w:firstLine="420" w:firstLineChars="200"/>
        <w:rPr>
          <w:rFonts w:ascii="仿宋_GB2312" w:hAnsi="宋体" w:cs="宋体"/>
          <w:bCs/>
          <w:kern w:val="0"/>
          <w:szCs w:val="24"/>
          <w:highlight w:val="none"/>
        </w:rPr>
      </w:pPr>
      <w:r>
        <w:rPr>
          <w:rFonts w:hint="eastAsia" w:ascii="仿宋_GB2312" w:hAnsi="宋体" w:cs="宋体"/>
          <w:bCs/>
          <w:kern w:val="0"/>
          <w:szCs w:val="24"/>
          <w:highlight w:val="none"/>
        </w:rPr>
        <w:t>如因清算需要，本产品无法在到期后5个工作日内向投资者完成</w:t>
      </w:r>
      <w:r>
        <w:rPr>
          <w:rFonts w:ascii="仿宋_GB2312" w:hAnsi="宋体" w:cs="宋体"/>
          <w:bCs/>
          <w:kern w:val="0"/>
          <w:szCs w:val="24"/>
          <w:highlight w:val="none"/>
        </w:rPr>
        <w:t>分配</w:t>
      </w:r>
      <w:r>
        <w:rPr>
          <w:rFonts w:hint="eastAsia" w:ascii="仿宋_GB2312" w:hAnsi="宋体" w:cs="宋体"/>
          <w:bCs/>
          <w:kern w:val="0"/>
          <w:szCs w:val="24"/>
          <w:highlight w:val="none"/>
        </w:rPr>
        <w:t>的，管理人有权延后产品可得资金分配并于产品到期日前公告。</w:t>
      </w:r>
    </w:p>
    <w:p w14:paraId="2136D4C4">
      <w:pPr>
        <w:widowControl/>
        <w:tabs>
          <w:tab w:val="left" w:pos="709"/>
        </w:tabs>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2.清算费用分别按照实际发生费用从产品资产中列支。</w:t>
      </w:r>
    </w:p>
    <w:p w14:paraId="1543EADB">
      <w:pPr>
        <w:widowControl/>
        <w:tabs>
          <w:tab w:val="left" w:pos="709"/>
        </w:tabs>
        <w:snapToGrid w:val="0"/>
        <w:spacing w:line="360" w:lineRule="auto"/>
        <w:ind w:firstLine="420" w:firstLineChars="200"/>
        <w:rPr>
          <w:rFonts w:ascii="仿宋_GB2312" w:hAnsi="宋体" w:cs="宋体"/>
          <w:bCs/>
          <w:kern w:val="0"/>
          <w:szCs w:val="24"/>
        </w:rPr>
      </w:pPr>
      <w:r>
        <w:rPr>
          <w:rFonts w:ascii="仿宋_GB2312" w:hAnsi="宋体" w:cs="宋体"/>
          <w:bCs/>
          <w:kern w:val="0"/>
          <w:szCs w:val="24"/>
        </w:rPr>
        <w:t>3.产品资产清算剩余资产的分配</w:t>
      </w:r>
    </w:p>
    <w:p w14:paraId="4B1DDEBC">
      <w:pPr>
        <w:widowControl/>
        <w:tabs>
          <w:tab w:val="left" w:pos="709"/>
        </w:tabs>
        <w:snapToGrid w:val="0"/>
        <w:spacing w:line="360" w:lineRule="auto"/>
        <w:ind w:firstLine="420" w:firstLineChars="200"/>
        <w:rPr>
          <w:rFonts w:ascii="仿宋_GB2312" w:hAnsi="宋体" w:cs="宋体"/>
          <w:bCs/>
          <w:kern w:val="0"/>
          <w:szCs w:val="24"/>
        </w:rPr>
      </w:pPr>
      <w:r>
        <w:rPr>
          <w:rFonts w:ascii="仿宋_GB2312" w:hAnsi="宋体" w:cs="宋体"/>
          <w:bCs/>
          <w:kern w:val="0"/>
          <w:szCs w:val="24"/>
        </w:rPr>
        <w:t>产品资产按下列顺序清偿：</w:t>
      </w:r>
    </w:p>
    <w:p w14:paraId="0778FD1C">
      <w:pPr>
        <w:widowControl/>
        <w:tabs>
          <w:tab w:val="left" w:pos="709"/>
        </w:tabs>
        <w:snapToGrid w:val="0"/>
        <w:spacing w:line="360" w:lineRule="auto"/>
        <w:ind w:firstLine="420" w:firstLineChars="200"/>
        <w:rPr>
          <w:rFonts w:ascii="仿宋_GB2312" w:hAnsi="宋体" w:cs="宋体"/>
          <w:bCs/>
          <w:kern w:val="0"/>
          <w:szCs w:val="24"/>
        </w:rPr>
      </w:pPr>
      <w:r>
        <w:rPr>
          <w:rFonts w:ascii="仿宋_GB2312" w:hAnsi="宋体" w:cs="宋体"/>
          <w:bCs/>
          <w:kern w:val="0"/>
          <w:szCs w:val="24"/>
        </w:rPr>
        <w:t>（1）支付清算费用和交纳所欠税款；</w:t>
      </w:r>
    </w:p>
    <w:p w14:paraId="1053171A">
      <w:pPr>
        <w:widowControl/>
        <w:tabs>
          <w:tab w:val="left" w:pos="709"/>
        </w:tabs>
        <w:snapToGrid w:val="0"/>
        <w:spacing w:line="360" w:lineRule="auto"/>
        <w:ind w:firstLine="420" w:firstLineChars="200"/>
        <w:rPr>
          <w:rFonts w:ascii="仿宋_GB2312" w:hAnsi="宋体" w:cs="宋体"/>
          <w:bCs/>
          <w:kern w:val="0"/>
          <w:szCs w:val="24"/>
        </w:rPr>
      </w:pPr>
      <w:r>
        <w:rPr>
          <w:rFonts w:ascii="仿宋_GB2312" w:hAnsi="宋体" w:cs="宋体"/>
          <w:bCs/>
          <w:kern w:val="0"/>
          <w:szCs w:val="24"/>
        </w:rPr>
        <w:t>（2）清偿产品债务；</w:t>
      </w:r>
    </w:p>
    <w:p w14:paraId="3B157D9B">
      <w:pPr>
        <w:widowControl/>
        <w:tabs>
          <w:tab w:val="left" w:pos="709"/>
        </w:tabs>
        <w:snapToGrid w:val="0"/>
        <w:spacing w:line="360" w:lineRule="auto"/>
        <w:ind w:firstLine="420" w:firstLineChars="200"/>
        <w:rPr>
          <w:rFonts w:ascii="仿宋_GB2312" w:hAnsi="宋体" w:cs="宋体"/>
          <w:bCs/>
          <w:kern w:val="0"/>
          <w:szCs w:val="24"/>
        </w:rPr>
      </w:pPr>
      <w:r>
        <w:rPr>
          <w:rFonts w:ascii="仿宋_GB2312" w:hAnsi="宋体" w:cs="宋体"/>
          <w:bCs/>
          <w:kern w:val="0"/>
          <w:szCs w:val="24"/>
        </w:rPr>
        <w:t>（3）按产品份额持有人持有的产品份额比例进行分配。</w:t>
      </w:r>
    </w:p>
    <w:p w14:paraId="4CA90D5B">
      <w:pPr>
        <w:widowControl/>
        <w:tabs>
          <w:tab w:val="left" w:pos="709"/>
        </w:tabs>
        <w:snapToGrid w:val="0"/>
        <w:spacing w:line="360" w:lineRule="auto"/>
        <w:ind w:firstLine="420" w:firstLineChars="200"/>
        <w:rPr>
          <w:rFonts w:ascii="仿宋_GB2312" w:hAnsi="宋体" w:cs="宋体"/>
          <w:bCs/>
          <w:kern w:val="0"/>
          <w:szCs w:val="24"/>
        </w:rPr>
      </w:pPr>
      <w:r>
        <w:rPr>
          <w:rFonts w:ascii="仿宋_GB2312" w:hAnsi="宋体" w:cs="宋体"/>
          <w:bCs/>
          <w:kern w:val="0"/>
          <w:szCs w:val="24"/>
        </w:rPr>
        <w:t>4.产品终止投资者到账资金计算</w:t>
      </w:r>
    </w:p>
    <w:p w14:paraId="1A78E418">
      <w:pPr>
        <w:widowControl/>
        <w:tabs>
          <w:tab w:val="left" w:pos="709"/>
        </w:tabs>
        <w:snapToGrid w:val="0"/>
        <w:spacing w:line="360" w:lineRule="auto"/>
        <w:ind w:firstLine="420" w:firstLineChars="200"/>
        <w:rPr>
          <w:rFonts w:ascii="仿宋_GB2312" w:hAnsi="宋体" w:cs="宋体"/>
          <w:bCs/>
          <w:kern w:val="0"/>
          <w:szCs w:val="24"/>
          <w:highlight w:val="none"/>
        </w:rPr>
      </w:pPr>
      <w:r>
        <w:rPr>
          <w:rFonts w:ascii="仿宋_GB2312" w:hAnsi="宋体" w:cs="宋体"/>
          <w:bCs/>
          <w:color w:val="000000"/>
          <w:kern w:val="0"/>
          <w:szCs w:val="24"/>
        </w:rPr>
        <w:t>若产品终止或提前终止时本理财产品项下资产全部变现，产品管理人将</w:t>
      </w:r>
      <w:r>
        <w:rPr>
          <w:rFonts w:hint="eastAsia" w:ascii="仿宋_GB2312" w:hAnsi="宋体" w:cs="宋体"/>
          <w:bCs/>
          <w:color w:val="000000"/>
          <w:kern w:val="0"/>
          <w:szCs w:val="24"/>
        </w:rPr>
        <w:t>扣除理财产品财产清算费用、缴纳所欠税款并清偿理财产品债务后</w:t>
      </w:r>
      <w:r>
        <w:rPr>
          <w:rFonts w:hint="eastAsia" w:ascii="仿宋_GB2312" w:hAnsi="宋体" w:cs="宋体"/>
          <w:bCs/>
          <w:color w:val="000000"/>
          <w:kern w:val="0"/>
          <w:szCs w:val="24"/>
          <w:highlight w:val="none"/>
        </w:rPr>
        <w:t>，按照各投资者持有理财产品份额占理财产品总份额的比例于</w:t>
      </w:r>
      <w:r>
        <w:rPr>
          <w:rFonts w:ascii="仿宋_GB2312" w:hAnsi="宋体" w:cs="宋体"/>
          <w:bCs/>
          <w:color w:val="000000"/>
          <w:kern w:val="0"/>
          <w:szCs w:val="24"/>
          <w:highlight w:val="none"/>
        </w:rPr>
        <w:t>产品</w:t>
      </w:r>
      <w:r>
        <w:rPr>
          <w:rFonts w:ascii="仿宋_GB2312" w:hAnsi="宋体" w:cs="宋体"/>
          <w:bCs/>
          <w:kern w:val="0"/>
          <w:szCs w:val="24"/>
          <w:highlight w:val="none"/>
        </w:rPr>
        <w:t>到期日后</w:t>
      </w:r>
      <w:r>
        <w:rPr>
          <w:rFonts w:hint="eastAsia" w:ascii="仿宋_GB2312" w:hAnsi="宋体" w:cs="宋体"/>
          <w:bCs/>
          <w:kern w:val="0"/>
          <w:szCs w:val="24"/>
          <w:highlight w:val="none"/>
        </w:rPr>
        <w:t>5</w:t>
      </w:r>
      <w:r>
        <w:rPr>
          <w:rFonts w:ascii="仿宋_GB2312" w:hAnsi="宋体" w:cs="宋体"/>
          <w:bCs/>
          <w:kern w:val="0"/>
          <w:szCs w:val="24"/>
          <w:highlight w:val="none"/>
        </w:rPr>
        <w:t>个</w:t>
      </w:r>
      <w:r>
        <w:rPr>
          <w:rFonts w:hint="eastAsia" w:ascii="仿宋_GB2312" w:hAnsi="宋体" w:cs="宋体"/>
          <w:bCs/>
          <w:kern w:val="0"/>
          <w:szCs w:val="24"/>
          <w:highlight w:val="none"/>
        </w:rPr>
        <w:t>工作日</w:t>
      </w:r>
      <w:r>
        <w:rPr>
          <w:rFonts w:ascii="仿宋_GB2312" w:hAnsi="宋体" w:cs="宋体"/>
          <w:bCs/>
          <w:kern w:val="0"/>
          <w:szCs w:val="24"/>
          <w:highlight w:val="none"/>
        </w:rPr>
        <w:t>内或提前终止日后</w:t>
      </w:r>
      <w:r>
        <w:rPr>
          <w:rFonts w:hint="eastAsia" w:ascii="仿宋_GB2312" w:hAnsi="宋体" w:cs="宋体"/>
          <w:bCs/>
          <w:kern w:val="0"/>
          <w:szCs w:val="24"/>
          <w:highlight w:val="none"/>
        </w:rPr>
        <w:t>5</w:t>
      </w:r>
      <w:r>
        <w:rPr>
          <w:rFonts w:ascii="仿宋_GB2312" w:hAnsi="宋体" w:cs="宋体"/>
          <w:bCs/>
          <w:kern w:val="0"/>
          <w:szCs w:val="24"/>
          <w:highlight w:val="none"/>
        </w:rPr>
        <w:t>个</w:t>
      </w:r>
      <w:r>
        <w:rPr>
          <w:rFonts w:hint="eastAsia" w:ascii="仿宋_GB2312" w:hAnsi="宋体" w:cs="宋体"/>
          <w:bCs/>
          <w:kern w:val="0"/>
          <w:szCs w:val="24"/>
          <w:highlight w:val="none"/>
        </w:rPr>
        <w:t>工作日通过销售机构</w:t>
      </w:r>
      <w:r>
        <w:rPr>
          <w:rFonts w:ascii="仿宋_GB2312" w:hAnsi="宋体" w:cs="宋体"/>
          <w:bCs/>
          <w:kern w:val="0"/>
          <w:szCs w:val="24"/>
          <w:highlight w:val="none"/>
        </w:rPr>
        <w:t>内将投资者应得资金划转投资者指定账户。计算公式如下：</w:t>
      </w:r>
    </w:p>
    <w:p w14:paraId="4A2AC90C">
      <w:pPr>
        <w:widowControl/>
        <w:tabs>
          <w:tab w:val="left" w:pos="709"/>
        </w:tabs>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本产品兑付金额(理财产品总资产净值)=理财产品资产总值-理财产品负债总值</w:t>
      </w:r>
    </w:p>
    <w:p w14:paraId="55D121FA">
      <w:pPr>
        <w:widowControl/>
        <w:tabs>
          <w:tab w:val="left" w:pos="709"/>
        </w:tabs>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其中，投资者到账金额计算公式如下：</w:t>
      </w:r>
    </w:p>
    <w:p w14:paraId="52D2710A">
      <w:pPr>
        <w:widowControl/>
        <w:tabs>
          <w:tab w:val="left" w:pos="709"/>
        </w:tabs>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本产品投资者到账金额=投资者在到期日持有理财产品份额/理财产品总份额*理财产品总资产净值，</w:t>
      </w:r>
      <w:r>
        <w:rPr>
          <w:rFonts w:ascii="仿宋_GB2312" w:hAnsi="宋体" w:cs="宋体"/>
          <w:bCs/>
          <w:kern w:val="0"/>
          <w:szCs w:val="24"/>
        </w:rPr>
        <w:t>最终资金以实际到账为准。</w:t>
      </w:r>
    </w:p>
    <w:p w14:paraId="5379E142">
      <w:pPr>
        <w:widowControl/>
        <w:tabs>
          <w:tab w:val="left" w:pos="709"/>
        </w:tabs>
        <w:snapToGrid w:val="0"/>
        <w:spacing w:line="360" w:lineRule="auto"/>
        <w:ind w:firstLine="420" w:firstLineChars="200"/>
        <w:rPr>
          <w:rFonts w:ascii="仿宋_GB2312" w:hAnsi="宋体" w:cs="宋体"/>
          <w:bCs/>
          <w:kern w:val="0"/>
          <w:szCs w:val="24"/>
        </w:rPr>
      </w:pPr>
      <w:r>
        <w:rPr>
          <w:rFonts w:ascii="仿宋_GB2312" w:hAnsi="宋体" w:cs="宋体"/>
          <w:bCs/>
          <w:kern w:val="0"/>
          <w:szCs w:val="24"/>
        </w:rPr>
        <w:t>产品终止日，如产品投资资产因市场风险、信用风险以及监管风险等原因不能全部变现且产品管理人未对本产品进行延期则本产品进入延期清算程序。产品延期清算时，产品管理人将提前发布相关公告。产品管理人将产品持有的现金类资产在扣除支付清算费用和交纳所欠税款、清偿产品债务后，如仍有剩余资金可</w:t>
      </w:r>
      <w:r>
        <w:rPr>
          <w:rFonts w:hint="eastAsia" w:ascii="仿宋_GB2312" w:hAnsi="宋体" w:cs="宋体"/>
          <w:bCs/>
          <w:kern w:val="0"/>
          <w:szCs w:val="24"/>
        </w:rPr>
        <w:t>按照各投资者持有理财产品份额占理财产品总份额的比例</w:t>
      </w:r>
      <w:r>
        <w:rPr>
          <w:rFonts w:ascii="仿宋_GB2312" w:hAnsi="宋体" w:cs="宋体"/>
          <w:bCs/>
          <w:kern w:val="0"/>
          <w:szCs w:val="24"/>
        </w:rPr>
        <w:t>分配给</w:t>
      </w:r>
      <w:r>
        <w:rPr>
          <w:rFonts w:hint="eastAsia" w:ascii="仿宋_GB2312" w:hAnsi="宋体" w:cs="宋体"/>
          <w:bCs/>
          <w:kern w:val="0"/>
          <w:szCs w:val="24"/>
        </w:rPr>
        <w:t>投资者</w:t>
      </w:r>
      <w:r>
        <w:rPr>
          <w:rFonts w:ascii="仿宋_GB2312" w:hAnsi="宋体" w:cs="宋体"/>
          <w:bCs/>
          <w:kern w:val="0"/>
          <w:szCs w:val="24"/>
        </w:rPr>
        <w:t>。对于未变现资产部分，产品管理人以投资者利益最大化的原则，寻求未变现资产变现方式，在资产变现后，产品持有的现金类资产在扣除剩余未支付的清算费用和交纳所欠税款、清偿产品债务后，</w:t>
      </w:r>
      <w:r>
        <w:rPr>
          <w:rFonts w:hint="eastAsia" w:ascii="仿宋_GB2312" w:hAnsi="宋体" w:cs="宋体"/>
          <w:bCs/>
          <w:kern w:val="0"/>
          <w:szCs w:val="24"/>
        </w:rPr>
        <w:t>按照各投资者持有理财产品份额占理财产品总份额的比例</w:t>
      </w:r>
      <w:r>
        <w:rPr>
          <w:rFonts w:ascii="仿宋_GB2312" w:hAnsi="宋体" w:cs="宋体"/>
          <w:bCs/>
          <w:kern w:val="0"/>
          <w:szCs w:val="24"/>
        </w:rPr>
        <w:t>于产品清算完毕后的</w:t>
      </w:r>
      <w:r>
        <w:rPr>
          <w:rFonts w:hint="eastAsia" w:ascii="仿宋_GB2312" w:hAnsi="宋体" w:cs="宋体"/>
          <w:bCs/>
          <w:kern w:val="0"/>
          <w:szCs w:val="24"/>
        </w:rPr>
        <w:t>5</w:t>
      </w:r>
      <w:r>
        <w:rPr>
          <w:rFonts w:ascii="仿宋_GB2312" w:hAnsi="宋体" w:cs="宋体"/>
          <w:bCs/>
          <w:kern w:val="0"/>
          <w:szCs w:val="24"/>
        </w:rPr>
        <w:t>个</w:t>
      </w:r>
      <w:r>
        <w:rPr>
          <w:rFonts w:hint="eastAsia" w:ascii="仿宋_GB2312" w:hAnsi="宋体" w:cs="宋体"/>
          <w:bCs/>
          <w:kern w:val="0"/>
          <w:szCs w:val="24"/>
        </w:rPr>
        <w:t>工作日</w:t>
      </w:r>
      <w:r>
        <w:rPr>
          <w:rFonts w:ascii="仿宋_GB2312" w:hAnsi="宋体" w:cs="宋体"/>
          <w:bCs/>
          <w:kern w:val="0"/>
          <w:szCs w:val="24"/>
        </w:rPr>
        <w:t>内分配给</w:t>
      </w:r>
      <w:r>
        <w:rPr>
          <w:rFonts w:hint="eastAsia" w:ascii="仿宋_GB2312" w:hAnsi="宋体" w:cs="宋体"/>
          <w:bCs/>
          <w:kern w:val="0"/>
          <w:szCs w:val="24"/>
        </w:rPr>
        <w:t>投资者</w:t>
      </w:r>
      <w:r>
        <w:rPr>
          <w:rFonts w:ascii="仿宋_GB2312" w:hAnsi="宋体" w:cs="宋体"/>
          <w:bCs/>
          <w:kern w:val="0"/>
          <w:szCs w:val="24"/>
        </w:rPr>
        <w:t>。</w:t>
      </w:r>
    </w:p>
    <w:p w14:paraId="05A033D2">
      <w:pPr>
        <w:widowControl/>
        <w:tabs>
          <w:tab w:val="left" w:pos="709"/>
        </w:tabs>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产品管理人拟进行二次或多次清算的，管理人应向投资者及时披露。</w:t>
      </w:r>
    </w:p>
    <w:p w14:paraId="46637823">
      <w:pPr>
        <w:jc w:val="left"/>
        <w:rPr>
          <w:rFonts w:ascii="仿宋_GB2312" w:hAnsi="宋体" w:cs="宋体"/>
          <w:bCs/>
          <w:kern w:val="0"/>
          <w:szCs w:val="24"/>
        </w:rPr>
      </w:pPr>
      <w:r>
        <w:rPr>
          <w:rFonts w:ascii="仿宋_GB2312" w:hAnsi="宋体" w:cs="宋体"/>
          <w:bCs/>
          <w:kern w:val="0"/>
          <w:szCs w:val="24"/>
        </w:rPr>
        <w:br w:type="page"/>
      </w:r>
    </w:p>
    <w:p w14:paraId="443AEBB1">
      <w:pPr>
        <w:pStyle w:val="2"/>
      </w:pPr>
      <w:r>
        <w:rPr>
          <w:rFonts w:hint="eastAsia"/>
        </w:rPr>
        <w:t>理财产品的信息披露</w:t>
      </w:r>
    </w:p>
    <w:p w14:paraId="3748164C">
      <w:pPr>
        <w:pStyle w:val="3"/>
        <w:ind w:firstLine="482"/>
      </w:pPr>
      <w:r>
        <w:rPr>
          <w:rFonts w:hint="eastAsia"/>
        </w:rPr>
        <w:t>信息披露方式</w:t>
      </w:r>
    </w:p>
    <w:p w14:paraId="413AD9F8">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本理财产品将通过</w:t>
      </w:r>
      <w:r>
        <w:rPr>
          <w:rFonts w:hint="eastAsia" w:ascii="仿宋_GB2312" w:hAnsi="宋体" w:cs="宋体"/>
          <w:b/>
          <w:color w:val="auto"/>
          <w:kern w:val="0"/>
          <w:szCs w:val="24"/>
          <w:highlight w:val="yellow"/>
          <w:u w:val="none"/>
          <w:lang w:eastAsia="zh-CN"/>
        </w:rPr>
        <w:t>【中国理财网】</w:t>
      </w:r>
      <w:r>
        <w:rPr>
          <w:rFonts w:hint="eastAsia" w:ascii="仿宋_GB2312" w:hAnsi="宋体" w:cs="宋体"/>
          <w:b/>
          <w:color w:val="auto"/>
          <w:kern w:val="0"/>
          <w:szCs w:val="24"/>
          <w:highlight w:val="none"/>
          <w:u w:val="none"/>
          <w:lang w:eastAsia="zh-CN"/>
        </w:rPr>
        <w:t>、</w:t>
      </w:r>
      <w:r>
        <w:rPr>
          <w:rFonts w:hint="eastAsia" w:ascii="仿宋_GB2312" w:hAnsi="宋体" w:cs="宋体"/>
          <w:b/>
          <w:color w:val="auto"/>
          <w:kern w:val="0"/>
          <w:szCs w:val="24"/>
          <w:highlight w:val="none"/>
          <w:u w:val="none"/>
        </w:rPr>
        <w:t>产品管理人官方网站</w:t>
      </w:r>
      <w:r>
        <w:rPr>
          <w:rFonts w:hint="eastAsia" w:ascii="仿宋_GB2312" w:hAnsi="宋体" w:cs="宋体"/>
          <w:b/>
          <w:color w:val="auto"/>
          <w:kern w:val="0"/>
          <w:szCs w:val="24"/>
          <w:highlight w:val="yellow"/>
          <w:u w:val="none"/>
        </w:rPr>
        <w:t>【</w:t>
      </w:r>
      <w:r>
        <w:rPr>
          <w:rFonts w:ascii="仿宋_GB2312" w:hAnsi="宋体" w:cs="宋体"/>
          <w:b/>
          <w:color w:val="auto"/>
          <w:kern w:val="0"/>
          <w:szCs w:val="24"/>
          <w:highlight w:val="yellow"/>
          <w:u w:val="none"/>
        </w:rPr>
        <w:t>www.czbank-wm.com</w:t>
      </w:r>
      <w:r>
        <w:rPr>
          <w:rFonts w:hint="eastAsia" w:ascii="仿宋_GB2312" w:hAnsi="宋体" w:cs="宋体"/>
          <w:b/>
          <w:color w:val="auto"/>
          <w:kern w:val="0"/>
          <w:szCs w:val="24"/>
          <w:highlight w:val="yellow"/>
          <w:u w:val="none"/>
        </w:rPr>
        <w:t>】</w:t>
      </w:r>
      <w:r>
        <w:rPr>
          <w:rFonts w:hint="eastAsia"/>
          <w:color w:val="auto"/>
          <w:highlight w:val="none"/>
          <w:u w:val="none"/>
        </w:rPr>
        <w:t>、</w:t>
      </w:r>
      <w:r>
        <w:rPr>
          <w:rFonts w:hint="eastAsia" w:ascii="仿宋_GB2312" w:hAnsi="宋体" w:cs="宋体"/>
          <w:b/>
          <w:color w:val="auto"/>
          <w:kern w:val="0"/>
          <w:szCs w:val="24"/>
          <w:highlight w:val="none"/>
          <w:u w:val="none"/>
        </w:rPr>
        <w:t>销售机构官方网站</w:t>
      </w:r>
      <w:r>
        <w:rPr>
          <w:rFonts w:hint="eastAsia" w:ascii="仿宋_GB2312" w:hAnsi="宋体" w:cs="宋体"/>
          <w:b/>
          <w:color w:val="auto"/>
          <w:kern w:val="0"/>
          <w:szCs w:val="24"/>
          <w:highlight w:val="none"/>
          <w:u w:val="none"/>
          <w:lang w:eastAsia="zh-CN"/>
        </w:rPr>
        <w:t>、</w:t>
      </w:r>
      <w:r>
        <w:rPr>
          <w:rFonts w:hint="eastAsia" w:ascii="仿宋_GB2312" w:hAnsi="宋体" w:cs="宋体"/>
          <w:b/>
          <w:color w:val="auto"/>
          <w:kern w:val="0"/>
          <w:szCs w:val="24"/>
          <w:highlight w:val="none"/>
          <w:u w:val="none"/>
        </w:rPr>
        <w:t>个人手机银行或其他约定的方式等</w:t>
      </w:r>
      <w:r>
        <w:rPr>
          <w:rFonts w:hint="eastAsia" w:cs="宋体" w:asciiTheme="minorEastAsia" w:hAnsiTheme="minorEastAsia"/>
          <w:b/>
          <w:color w:val="auto"/>
          <w:kern w:val="0"/>
          <w:szCs w:val="24"/>
          <w:highlight w:val="none"/>
          <w:u w:val="none"/>
        </w:rPr>
        <w:t>一种或多种渠道</w:t>
      </w:r>
      <w:r>
        <w:rPr>
          <w:rFonts w:hint="eastAsia" w:ascii="仿宋_GB2312" w:hAnsi="宋体" w:cs="宋体"/>
          <w:b/>
          <w:color w:val="auto"/>
          <w:kern w:val="0"/>
          <w:szCs w:val="24"/>
          <w:highlight w:val="none"/>
          <w:u w:val="none"/>
        </w:rPr>
        <w:t>进行信息披露。相关信息自披露之日即视为已送达投资者，也视为产品管理人已适当披露理财产品相关信息。投资者应及时查看，以免因未及时获知信息而错过资金使用和再投资的机会。若由于投资者原因未能及时登陆产品管理人官方网站、销售机构信息披露渠道获取披露信息，所造成的后果将由投资者自行承担，产品管理人不承担相应责任。</w:t>
      </w:r>
    </w:p>
    <w:p w14:paraId="61DCC876">
      <w:pPr>
        <w:pStyle w:val="3"/>
        <w:ind w:firstLine="482"/>
        <w:rPr>
          <w:color w:val="auto"/>
          <w:highlight w:val="none"/>
          <w:u w:val="none"/>
        </w:rPr>
      </w:pPr>
      <w:r>
        <w:rPr>
          <w:rFonts w:hint="eastAsia"/>
          <w:color w:val="auto"/>
          <w:highlight w:val="none"/>
          <w:u w:val="none"/>
        </w:rPr>
        <w:t>信息披露内容</w:t>
      </w:r>
    </w:p>
    <w:p w14:paraId="461BE74F">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1.产品类型、募集信息、产品净值、产品规模、收益情况；</w:t>
      </w:r>
    </w:p>
    <w:p w14:paraId="66327E31">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2.产品直接和间接投资的资产种类、投资比例、</w:t>
      </w:r>
      <w:r>
        <w:rPr>
          <w:rFonts w:hint="eastAsia" w:ascii="仿宋_GB2312" w:hAnsi="宋体" w:cs="宋体"/>
          <w:b/>
          <w:color w:val="auto"/>
          <w:kern w:val="0"/>
          <w:szCs w:val="24"/>
          <w:highlight w:val="none"/>
          <w:u w:val="none"/>
          <w:lang w:val="zh-CN"/>
        </w:rPr>
        <w:t>前十项资产具体名称、规模和比例等信息、</w:t>
      </w:r>
      <w:r>
        <w:rPr>
          <w:rFonts w:hint="eastAsia" w:ascii="仿宋_GB2312" w:hAnsi="宋体" w:cs="宋体"/>
          <w:b/>
          <w:color w:val="auto"/>
          <w:kern w:val="0"/>
          <w:szCs w:val="24"/>
          <w:highlight w:val="none"/>
          <w:u w:val="none"/>
        </w:rPr>
        <w:t>杠杆水平以及流动性风险分析；</w:t>
      </w:r>
    </w:p>
    <w:p w14:paraId="53D3E500">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3.产品估值方法、托管安排；</w:t>
      </w:r>
    </w:p>
    <w:p w14:paraId="1BDCFB23">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4.产品收益分配、各项费用情况及主要投资风险；</w:t>
      </w:r>
    </w:p>
    <w:p w14:paraId="5BB3155B">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5.如本理财产品投资于理财产品管理人或托管机构的主要股东、实际控制人、一致行动人、最终受益人，托管机构，同一股东或托管机构控股的机构，或者与理财产品管理人或托管机构有重大利害关系的机构，以及国家金融监督管理机构关于关联交易管理相关规定中涉及的其他关联方发行或承销的证券、发行的资产管理产品，或者从事其他关联交易的，应当在理财产品管理人官方网站或者行业统一渠道披露关联交易信息，在理财产品管理人年报中披露当年关联交易总体情况，并应向投资者充分披露。</w:t>
      </w:r>
    </w:p>
    <w:p w14:paraId="6A6C4EBC">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6.其他影响本产品投资运作的重大事项、突发事件、临时性信息披露等。</w:t>
      </w:r>
    </w:p>
    <w:p w14:paraId="608C6704">
      <w:pPr>
        <w:pStyle w:val="3"/>
        <w:tabs>
          <w:tab w:val="left" w:pos="0"/>
          <w:tab w:val="left" w:pos="709"/>
        </w:tabs>
        <w:ind w:firstLine="480" w:firstLineChars="0"/>
        <w:rPr>
          <w:color w:val="auto"/>
          <w:highlight w:val="none"/>
          <w:u w:val="none"/>
        </w:rPr>
      </w:pPr>
      <w:r>
        <w:rPr>
          <w:rFonts w:hint="eastAsia"/>
          <w:color w:val="auto"/>
          <w:highlight w:val="none"/>
          <w:u w:val="none"/>
        </w:rPr>
        <w:t>信息披露频率</w:t>
      </w:r>
    </w:p>
    <w:p w14:paraId="0FBBFD45">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ascii="仿宋_GB2312" w:hAnsi="宋体" w:cs="宋体"/>
          <w:color w:val="auto"/>
          <w:kern w:val="0"/>
          <w:szCs w:val="24"/>
          <w:highlight w:val="none"/>
          <w:u w:val="none"/>
        </w:rPr>
        <w:t>1.发行公告：本产品成立后5个工作日（含）内，将发布本理财产品成立公告；如</w:t>
      </w:r>
      <w:r>
        <w:rPr>
          <w:rFonts w:hint="eastAsia" w:ascii="仿宋_GB2312" w:hAnsi="宋体" w:cs="宋体"/>
          <w:color w:val="auto"/>
          <w:kern w:val="0"/>
          <w:szCs w:val="24"/>
          <w:highlight w:val="none"/>
          <w:u w:val="none"/>
        </w:rPr>
        <w:t>产品</w:t>
      </w:r>
      <w:r>
        <w:rPr>
          <w:rFonts w:ascii="仿宋_GB2312" w:hAnsi="宋体" w:cs="宋体"/>
          <w:color w:val="auto"/>
          <w:kern w:val="0"/>
          <w:szCs w:val="24"/>
          <w:highlight w:val="none"/>
          <w:u w:val="none"/>
        </w:rPr>
        <w:t>管理人决定本理财产品募集期延长，将于原定成立日前发布理财产品募集期延长公告；</w:t>
      </w:r>
      <w:r>
        <w:rPr>
          <w:rFonts w:hint="eastAsia" w:ascii="仿宋_GB2312" w:hAnsi="宋体" w:cs="宋体"/>
          <w:color w:val="auto"/>
          <w:kern w:val="0"/>
          <w:szCs w:val="24"/>
          <w:highlight w:val="none"/>
          <w:u w:val="none"/>
        </w:rPr>
        <w:t>产品</w:t>
      </w:r>
      <w:r>
        <w:rPr>
          <w:rFonts w:ascii="仿宋_GB2312" w:hAnsi="宋体" w:cs="宋体"/>
          <w:color w:val="auto"/>
          <w:kern w:val="0"/>
          <w:szCs w:val="24"/>
          <w:highlight w:val="none"/>
          <w:u w:val="none"/>
        </w:rPr>
        <w:t>管理人决定本理财产品不成立，将在理财产品原定成立日后的2个工作日（含）内发布理财产品不成立公告。</w:t>
      </w:r>
    </w:p>
    <w:p w14:paraId="2DC68CF2">
      <w:pPr>
        <w:spacing w:line="360" w:lineRule="auto"/>
        <w:ind w:firstLine="420" w:firstLineChars="200"/>
        <w:rPr>
          <w:rFonts w:hint="eastAsia" w:ascii="仿宋_GB2312" w:hAnsi="宋体" w:eastAsia="仿宋_GB2312" w:cs="宋体"/>
          <w:kern w:val="0"/>
          <w:szCs w:val="24"/>
          <w:highlight w:val="none"/>
          <w:lang w:val="en-US" w:eastAsia="zh-CN"/>
        </w:rPr>
      </w:pPr>
      <w:r>
        <w:rPr>
          <w:rFonts w:hint="default" w:ascii="仿宋_GB2312" w:hAnsi="宋体" w:cs="宋体"/>
          <w:kern w:val="0"/>
          <w:szCs w:val="24"/>
          <w:highlight w:val="none"/>
          <w:lang w:val="en-US" w:eastAsia="zh-CN"/>
        </w:rPr>
        <w:t>2.</w:t>
      </w:r>
      <w:r>
        <w:rPr>
          <w:rFonts w:hint="default" w:ascii="仿宋_GB2312" w:hAnsi="宋体" w:cs="宋体"/>
          <w:b w:val="0"/>
          <w:kern w:val="0"/>
          <w:szCs w:val="24"/>
          <w:highlight w:val="none"/>
        </w:rPr>
        <w:t>本产品成立后，管理人将按【周</w:t>
      </w:r>
      <w:r>
        <w:rPr>
          <w:rFonts w:ascii="仿宋_GB2312" w:hAnsi="宋体" w:cs="宋体"/>
          <w:b w:val="0"/>
          <w:kern w:val="0"/>
          <w:szCs w:val="24"/>
          <w:highlight w:val="none"/>
        </w:rPr>
        <w:t>】</w:t>
      </w:r>
      <w:r>
        <w:rPr>
          <w:rFonts w:hint="default" w:ascii="仿宋_GB2312" w:hAnsi="宋体" w:cs="宋体"/>
          <w:b w:val="0"/>
          <w:kern w:val="0"/>
          <w:szCs w:val="24"/>
          <w:highlight w:val="none"/>
        </w:rPr>
        <w:t>披露理财产品份额净值、份额累计净值和资产净值。</w:t>
      </w:r>
      <w:r>
        <w:rPr>
          <w:rFonts w:ascii="仿宋_GB2312" w:hAnsi="宋体" w:cs="宋体"/>
          <w:b w:val="0"/>
          <w:kern w:val="0"/>
          <w:szCs w:val="24"/>
          <w:highlight w:val="none"/>
        </w:rPr>
        <w:t>(如遇特殊情况以产品管理人</w:t>
      </w:r>
      <w:r>
        <w:rPr>
          <w:rFonts w:hint="default" w:ascii="仿宋_GB2312" w:hAnsi="宋体" w:cs="宋体"/>
          <w:b w:val="0"/>
          <w:kern w:val="0"/>
          <w:szCs w:val="24"/>
          <w:highlight w:val="none"/>
        </w:rPr>
        <w:t>披露</w:t>
      </w:r>
      <w:r>
        <w:rPr>
          <w:rFonts w:ascii="仿宋_GB2312" w:hAnsi="宋体" w:cs="宋体"/>
          <w:b w:val="0"/>
          <w:kern w:val="0"/>
          <w:szCs w:val="24"/>
          <w:highlight w:val="none"/>
        </w:rPr>
        <w:t>为准)</w:t>
      </w:r>
      <w:r>
        <w:rPr>
          <w:rFonts w:hint="default" w:ascii="仿宋_GB2312" w:hAnsi="宋体" w:cs="宋体"/>
          <w:b w:val="0"/>
          <w:kern w:val="0"/>
          <w:szCs w:val="24"/>
          <w:highlight w:val="none"/>
        </w:rPr>
        <w:t>。</w:t>
      </w:r>
    </w:p>
    <w:p w14:paraId="12BCBFC5">
      <w:pPr>
        <w:widowControl/>
        <w:numPr>
          <w:ilvl w:val="0"/>
          <w:numId w:val="0"/>
        </w:numPr>
        <w:tabs>
          <w:tab w:val="left" w:pos="1261"/>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3</w:t>
      </w:r>
      <w:r>
        <w:rPr>
          <w:rFonts w:ascii="仿宋_GB2312" w:hAnsi="宋体" w:cs="宋体"/>
          <w:color w:val="auto"/>
          <w:kern w:val="0"/>
          <w:szCs w:val="24"/>
          <w:highlight w:val="none"/>
          <w:u w:val="none"/>
        </w:rPr>
        <w:t>.定期公告：本产品在</w:t>
      </w:r>
      <w:r>
        <w:rPr>
          <w:rFonts w:hint="eastAsia" w:ascii="仿宋_GB2312" w:hAnsi="宋体" w:cs="宋体"/>
          <w:color w:val="auto"/>
          <w:kern w:val="0"/>
          <w:szCs w:val="24"/>
          <w:highlight w:val="none"/>
          <w:u w:val="none"/>
        </w:rPr>
        <w:t>每个季度结束之日起十五个工作日内披露产品的季度报告，每年8月31日前披露产品的半年度报告，每年4月30日前披露产品上一年度的年度报告。产品成立不足</w:t>
      </w:r>
      <w:r>
        <w:rPr>
          <w:rFonts w:ascii="仿宋_GB2312" w:hAnsi="宋体" w:cs="宋体"/>
          <w:color w:val="auto"/>
          <w:kern w:val="0"/>
          <w:szCs w:val="24"/>
          <w:highlight w:val="none"/>
          <w:u w:val="none"/>
        </w:rPr>
        <w:t>90</w:t>
      </w:r>
      <w:r>
        <w:rPr>
          <w:rFonts w:hint="eastAsia" w:ascii="仿宋_GB2312" w:hAnsi="宋体" w:cs="宋体"/>
          <w:color w:val="auto"/>
          <w:kern w:val="0"/>
          <w:szCs w:val="24"/>
          <w:highlight w:val="none"/>
          <w:u w:val="none"/>
        </w:rPr>
        <w:t>个</w:t>
      </w:r>
      <w:r>
        <w:rPr>
          <w:rFonts w:hint="eastAsia" w:ascii="仿宋_GB2312" w:hAnsi="宋体" w:cs="宋体"/>
          <w:color w:val="auto"/>
          <w:kern w:val="0"/>
          <w:szCs w:val="24"/>
          <w:highlight w:val="none"/>
          <w:u w:val="none"/>
          <w:lang w:eastAsia="zh-CN"/>
        </w:rPr>
        <w:t>自然日</w:t>
      </w:r>
      <w:r>
        <w:rPr>
          <w:rFonts w:hint="eastAsia" w:ascii="仿宋_GB2312" w:hAnsi="宋体" w:cs="宋体"/>
          <w:color w:val="auto"/>
          <w:kern w:val="0"/>
          <w:szCs w:val="24"/>
          <w:highlight w:val="none"/>
          <w:u w:val="none"/>
        </w:rPr>
        <w:t>或者</w:t>
      </w:r>
      <w:r>
        <w:rPr>
          <w:rFonts w:hint="eastAsia" w:ascii="仿宋_GB2312"/>
          <w:color w:val="auto"/>
          <w:szCs w:val="32"/>
          <w:highlight w:val="none"/>
        </w:rPr>
        <w:t>理财产品剩余存续期不足完整报告期，且到期公告或清算报告包括对应定期报告内容的</w:t>
      </w:r>
      <w:r>
        <w:rPr>
          <w:rFonts w:hint="eastAsia" w:ascii="仿宋_GB2312" w:hAnsi="宋体" w:cs="宋体"/>
          <w:color w:val="auto"/>
          <w:kern w:val="0"/>
          <w:szCs w:val="24"/>
          <w:highlight w:val="none"/>
          <w:u w:val="none"/>
        </w:rPr>
        <w:t>，</w:t>
      </w:r>
      <w:r>
        <w:rPr>
          <w:rFonts w:hint="eastAsia" w:ascii="仿宋_GB2312" w:hAnsi="宋体" w:cs="宋体"/>
          <w:color w:val="auto"/>
          <w:kern w:val="0"/>
          <w:szCs w:val="24"/>
          <w:highlight w:val="none"/>
          <w:u w:val="none"/>
          <w:lang w:eastAsia="zh-CN"/>
        </w:rPr>
        <w:t>可</w:t>
      </w:r>
      <w:r>
        <w:rPr>
          <w:rFonts w:hint="eastAsia" w:ascii="仿宋_GB2312" w:hAnsi="宋体" w:cs="宋体"/>
          <w:color w:val="auto"/>
          <w:kern w:val="0"/>
          <w:szCs w:val="24"/>
          <w:highlight w:val="none"/>
          <w:u w:val="none"/>
        </w:rPr>
        <w:t>不编制本产品当期的季度、半年和年度报告。</w:t>
      </w:r>
    </w:p>
    <w:p w14:paraId="222BCE1A">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ascii="仿宋_GB2312" w:hAnsi="宋体" w:cs="宋体"/>
          <w:color w:val="auto"/>
          <w:kern w:val="0"/>
          <w:szCs w:val="24"/>
          <w:highlight w:val="none"/>
          <w:u w:val="none"/>
        </w:rPr>
        <w:t>3.到期公告：本产品在终止后5</w:t>
      </w:r>
      <w:r>
        <w:rPr>
          <w:rFonts w:hint="eastAsia" w:ascii="仿宋_GB2312" w:hAnsi="宋体" w:cs="宋体"/>
          <w:color w:val="auto"/>
          <w:kern w:val="0"/>
          <w:szCs w:val="24"/>
          <w:highlight w:val="none"/>
          <w:u w:val="none"/>
        </w:rPr>
        <w:t>个工作日内，披露本产品到期公告，包括理财产品的存续期限、终止日期、收费情况和收益分配情况等信息。本产品终止后5个工作日内，产品管理人发布产品到期公告。</w:t>
      </w:r>
    </w:p>
    <w:p w14:paraId="1A86BA30">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如果产品管理人提前或</w:t>
      </w:r>
      <w:r>
        <w:rPr>
          <w:rFonts w:ascii="仿宋_GB2312" w:hAnsi="宋体" w:cs="宋体"/>
          <w:color w:val="auto"/>
          <w:kern w:val="0"/>
          <w:szCs w:val="24"/>
          <w:highlight w:val="none"/>
          <w:u w:val="none"/>
        </w:rPr>
        <w:t>延后</w:t>
      </w:r>
      <w:r>
        <w:rPr>
          <w:rFonts w:hint="eastAsia" w:ascii="仿宋_GB2312" w:hAnsi="宋体" w:cs="宋体"/>
          <w:color w:val="auto"/>
          <w:kern w:val="0"/>
          <w:szCs w:val="24"/>
          <w:highlight w:val="none"/>
          <w:u w:val="none"/>
        </w:rPr>
        <w:t>终止本产品，产品管理人将提前</w:t>
      </w: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个工作日进行公告。</w:t>
      </w:r>
    </w:p>
    <w:p w14:paraId="39227EE4">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ascii="仿宋_GB2312" w:hAnsi="宋体" w:cs="宋体"/>
          <w:color w:val="auto"/>
          <w:kern w:val="0"/>
          <w:szCs w:val="24"/>
          <w:highlight w:val="none"/>
          <w:u w:val="none"/>
        </w:rPr>
        <w:t>4.开放日</w:t>
      </w:r>
      <w:r>
        <w:rPr>
          <w:rFonts w:hint="eastAsia" w:ascii="仿宋_GB2312" w:hAnsi="宋体" w:cs="宋体"/>
          <w:color w:val="auto"/>
          <w:kern w:val="0"/>
          <w:szCs w:val="24"/>
          <w:highlight w:val="none"/>
          <w:u w:val="none"/>
        </w:rPr>
        <w:t>（估值日</w:t>
      </w:r>
      <w:r>
        <w:rPr>
          <w:rFonts w:ascii="仿宋_GB2312" w:hAnsi="宋体" w:cs="宋体"/>
          <w:color w:val="auto"/>
          <w:kern w:val="0"/>
          <w:szCs w:val="24"/>
          <w:highlight w:val="none"/>
          <w:u w:val="none"/>
        </w:rPr>
        <w:t>）公告：</w:t>
      </w:r>
      <w:r>
        <w:rPr>
          <w:rFonts w:hint="eastAsia" w:ascii="仿宋_GB2312" w:hAnsi="宋体" w:cs="宋体"/>
          <w:color w:val="auto"/>
          <w:kern w:val="0"/>
          <w:szCs w:val="24"/>
          <w:highlight w:val="none"/>
          <w:u w:val="none"/>
        </w:rPr>
        <w:t>产品管理人在</w:t>
      </w:r>
      <w:r>
        <w:rPr>
          <w:rFonts w:hint="eastAsia" w:ascii="仿宋_GB2312" w:hAnsi="宋体" w:cs="宋体"/>
          <w:color w:val="auto"/>
          <w:kern w:val="0"/>
          <w:szCs w:val="24"/>
          <w:highlight w:val="none"/>
          <w:u w:val="none"/>
          <w:lang w:eastAsia="zh-CN"/>
        </w:rPr>
        <w:t>开放</w:t>
      </w:r>
      <w:r>
        <w:rPr>
          <w:rFonts w:ascii="仿宋_GB2312" w:hAnsi="宋体" w:cs="宋体"/>
          <w:color w:val="auto"/>
          <w:kern w:val="0"/>
          <w:szCs w:val="24"/>
          <w:highlight w:val="none"/>
          <w:u w:val="none"/>
        </w:rPr>
        <w:t>日结束后2</w:t>
      </w:r>
      <w:r>
        <w:rPr>
          <w:rFonts w:hint="eastAsia" w:ascii="仿宋_GB2312" w:hAnsi="宋体" w:cs="宋体"/>
          <w:color w:val="auto"/>
          <w:kern w:val="0"/>
          <w:szCs w:val="24"/>
          <w:highlight w:val="none"/>
          <w:u w:val="none"/>
        </w:rPr>
        <w:t>个工作日内披露开放日公告，公告内容包括申购日</w:t>
      </w:r>
      <w:r>
        <w:rPr>
          <w:rFonts w:ascii="仿宋_GB2312" w:hAnsi="宋体" w:cs="宋体"/>
          <w:color w:val="auto"/>
          <w:kern w:val="0"/>
          <w:szCs w:val="24"/>
          <w:highlight w:val="none"/>
          <w:u w:val="none"/>
        </w:rPr>
        <w:t>/赎回日的产品份额净值、产品份额累计净值、</w:t>
      </w:r>
      <w:r>
        <w:rPr>
          <w:rFonts w:hint="eastAsia" w:ascii="仿宋_GB2312" w:hAnsi="宋体" w:cs="宋体"/>
          <w:color w:val="auto"/>
          <w:kern w:val="0"/>
          <w:szCs w:val="24"/>
          <w:highlight w:val="none"/>
          <w:u w:val="none"/>
        </w:rPr>
        <w:t>申购/赎回</w:t>
      </w:r>
      <w:r>
        <w:rPr>
          <w:rFonts w:ascii="仿宋_GB2312" w:hAnsi="宋体" w:cs="宋体"/>
          <w:color w:val="auto"/>
          <w:kern w:val="0"/>
          <w:szCs w:val="24"/>
          <w:highlight w:val="none"/>
          <w:u w:val="none"/>
        </w:rPr>
        <w:t>价格</w:t>
      </w:r>
      <w:r>
        <w:rPr>
          <w:rFonts w:hint="eastAsia" w:ascii="仿宋_GB2312" w:hAnsi="宋体" w:cs="宋体"/>
          <w:color w:val="auto"/>
          <w:kern w:val="0"/>
          <w:szCs w:val="24"/>
          <w:highlight w:val="none"/>
          <w:u w:val="none"/>
        </w:rPr>
        <w:t>。如遇法定节假日顺延。如遇产品到期日、季度末、半年度末、年度末等时间节点，产品管理人将增加估值日。此外，如遇其他特殊情况，以产品管理人信息披露为准。</w:t>
      </w:r>
    </w:p>
    <w:p w14:paraId="676F3F56">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5</w:t>
      </w:r>
      <w:r>
        <w:rPr>
          <w:rFonts w:ascii="仿宋_GB2312" w:hAnsi="宋体" w:cs="宋体"/>
          <w:color w:val="auto"/>
          <w:kern w:val="0"/>
          <w:szCs w:val="24"/>
          <w:highlight w:val="none"/>
          <w:u w:val="none"/>
        </w:rPr>
        <w:t>.</w:t>
      </w:r>
      <w:r>
        <w:rPr>
          <w:rFonts w:hint="eastAsia" w:ascii="仿宋_GB2312" w:hAnsi="宋体" w:cs="宋体"/>
          <w:color w:val="auto"/>
          <w:kern w:val="0"/>
          <w:szCs w:val="24"/>
          <w:highlight w:val="none"/>
          <w:u w:val="none"/>
        </w:rPr>
        <w:t>产品临时公告</w:t>
      </w:r>
    </w:p>
    <w:p w14:paraId="376E5669">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1</w:t>
      </w:r>
      <w:r>
        <w:rPr>
          <w:rFonts w:hint="eastAsia" w:ascii="仿宋_GB2312" w:hAnsi="宋体" w:cs="宋体"/>
          <w:color w:val="auto"/>
          <w:kern w:val="0"/>
          <w:szCs w:val="24"/>
          <w:highlight w:val="none"/>
          <w:u w:val="none"/>
        </w:rPr>
        <w:t>）产品管理人对产品类型、投资范围、资产种类、投资比例、风险等级、产品期限、运作方式、认（申）购和赎回安排（包含认购或申购赎回时间、金额上下限等）、估值方法、收益分配安排</w:t>
      </w:r>
      <w:r>
        <w:rPr>
          <w:rFonts w:hint="eastAsia" w:ascii="仿宋_GB2312" w:hAnsi="宋体" w:cs="宋体"/>
          <w:color w:val="auto"/>
          <w:kern w:val="0"/>
          <w:szCs w:val="24"/>
          <w:highlight w:val="none"/>
          <w:u w:val="none"/>
          <w:lang w:eastAsia="zh-CN"/>
        </w:rPr>
        <w:t>、</w:t>
      </w:r>
      <w:r>
        <w:rPr>
          <w:rFonts w:hint="eastAsia" w:ascii="仿宋_GB2312"/>
          <w:color w:val="auto"/>
          <w:szCs w:val="32"/>
          <w:highlight w:val="none"/>
        </w:rPr>
        <w:t>份额类别</w:t>
      </w:r>
      <w:r>
        <w:rPr>
          <w:rFonts w:hint="eastAsia" w:ascii="仿宋_GB2312"/>
          <w:color w:val="auto"/>
          <w:szCs w:val="32"/>
          <w:highlight w:val="none"/>
          <w:lang w:eastAsia="zh-CN"/>
        </w:rPr>
        <w:t>、</w:t>
      </w:r>
      <w:r>
        <w:rPr>
          <w:rFonts w:hint="eastAsia" w:ascii="仿宋_GB2312" w:hAnsi="宋体" w:cs="宋体"/>
          <w:color w:val="auto"/>
          <w:kern w:val="0"/>
          <w:szCs w:val="24"/>
          <w:highlight w:val="none"/>
          <w:u w:val="none"/>
        </w:rPr>
        <w:t>收费项目、收费条件、收费标准、收费方式</w:t>
      </w:r>
      <w:r>
        <w:rPr>
          <w:rFonts w:hint="eastAsia" w:ascii="仿宋_GB2312" w:hAnsi="宋体" w:cs="宋体"/>
          <w:color w:val="auto"/>
          <w:kern w:val="0"/>
          <w:szCs w:val="24"/>
          <w:highlight w:val="none"/>
          <w:u w:val="none"/>
          <w:lang w:eastAsia="zh-CN"/>
        </w:rPr>
        <w:t>、费用优惠措施</w:t>
      </w:r>
      <w:r>
        <w:rPr>
          <w:rFonts w:hint="eastAsia" w:ascii="仿宋_GB2312" w:hAnsi="宋体" w:cs="宋体"/>
          <w:color w:val="auto"/>
          <w:kern w:val="0"/>
          <w:szCs w:val="24"/>
          <w:highlight w:val="none"/>
          <w:u w:val="none"/>
        </w:rPr>
        <w:t>等保留调整的权利，如发生调整，调整后的要素以产品管理人发布的公告中所载明的内容为准。产品管理人将提前</w:t>
      </w: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个工作日发布公告。</w:t>
      </w:r>
    </w:p>
    <w:p w14:paraId="731D69D1">
      <w:pPr>
        <w:widowControl/>
        <w:tabs>
          <w:tab w:val="left" w:pos="709"/>
        </w:tabs>
        <w:adjustRightInd w:val="0"/>
        <w:snapToGrid w:val="0"/>
        <w:spacing w:line="360" w:lineRule="auto"/>
        <w:ind w:firstLine="422" w:firstLineChars="20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w:t>
      </w:r>
      <w:r>
        <w:rPr>
          <w:rFonts w:ascii="仿宋_GB2312" w:hAnsi="宋体" w:cs="宋体"/>
          <w:b/>
          <w:bCs/>
          <w:color w:val="auto"/>
          <w:kern w:val="0"/>
          <w:szCs w:val="24"/>
          <w:highlight w:val="none"/>
          <w:u w:val="none"/>
        </w:rPr>
        <w:t>2）在发生产品管理人拒绝或暂停接受投资者认购/申购申请、</w:t>
      </w:r>
      <w:r>
        <w:rPr>
          <w:rFonts w:hint="eastAsia" w:ascii="仿宋_GB2312" w:hAnsi="宋体" w:cs="宋体"/>
          <w:b/>
          <w:bCs/>
          <w:color w:val="auto"/>
          <w:kern w:val="0"/>
          <w:szCs w:val="24"/>
          <w:highlight w:val="none"/>
          <w:u w:val="none"/>
        </w:rPr>
        <w:t>延期办理巨额赎回申请、</w:t>
      </w:r>
      <w:r>
        <w:rPr>
          <w:rFonts w:ascii="仿宋_GB2312" w:hAnsi="宋体" w:cs="宋体"/>
          <w:b/>
          <w:bCs/>
          <w:color w:val="auto"/>
          <w:kern w:val="0"/>
          <w:szCs w:val="24"/>
          <w:highlight w:val="none"/>
          <w:u w:val="none"/>
        </w:rPr>
        <w:t>暂停接受投资者赎回申请、延缓支付赎回款项、暂停理财产品估值、</w:t>
      </w:r>
      <w:r>
        <w:rPr>
          <w:rFonts w:hint="eastAsia" w:ascii="仿宋_GB2312" w:hAnsi="宋体" w:cs="宋体"/>
          <w:b/>
          <w:bCs/>
          <w:color w:val="auto"/>
          <w:kern w:val="0"/>
          <w:szCs w:val="24"/>
          <w:highlight w:val="none"/>
          <w:u w:val="none"/>
          <w:lang w:eastAsia="zh-CN"/>
        </w:rPr>
        <w:t>收取短期赎回费、</w:t>
      </w:r>
      <w:r>
        <w:rPr>
          <w:rFonts w:ascii="仿宋_GB2312" w:hAnsi="宋体" w:cs="宋体"/>
          <w:b/>
          <w:bCs/>
          <w:color w:val="auto"/>
          <w:kern w:val="0"/>
          <w:szCs w:val="24"/>
          <w:highlight w:val="none"/>
          <w:u w:val="none"/>
        </w:rPr>
        <w:t>采用摆动定价等情形时，产品管理人将于</w:t>
      </w:r>
      <w:r>
        <w:rPr>
          <w:rFonts w:hint="eastAsia" w:ascii="仿宋_GB2312" w:hAnsi="宋体" w:cs="宋体"/>
          <w:b/>
          <w:bCs/>
          <w:color w:val="auto"/>
          <w:kern w:val="0"/>
          <w:szCs w:val="24"/>
          <w:highlight w:val="none"/>
          <w:u w:val="none"/>
        </w:rPr>
        <w:t>情形发生</w:t>
      </w:r>
      <w:r>
        <w:rPr>
          <w:rFonts w:hint="eastAsia" w:ascii="仿宋_GB2312" w:hAnsi="宋体" w:cs="宋体"/>
          <w:b/>
          <w:bCs/>
          <w:color w:val="auto"/>
          <w:kern w:val="0"/>
          <w:szCs w:val="24"/>
          <w:highlight w:val="none"/>
          <w:u w:val="none"/>
          <w:lang w:val="en-US" w:eastAsia="zh-CN"/>
        </w:rPr>
        <w:t>后</w:t>
      </w:r>
      <w:r>
        <w:rPr>
          <w:rFonts w:ascii="仿宋_GB2312" w:hAnsi="宋体" w:cs="宋体"/>
          <w:b/>
          <w:bCs/>
          <w:color w:val="auto"/>
          <w:kern w:val="0"/>
          <w:szCs w:val="24"/>
          <w:highlight w:val="none"/>
          <w:u w:val="none"/>
        </w:rPr>
        <w:t>3</w:t>
      </w:r>
      <w:r>
        <w:rPr>
          <w:rFonts w:hint="eastAsia" w:ascii="仿宋_GB2312" w:hAnsi="宋体" w:cs="宋体"/>
          <w:b/>
          <w:bCs/>
          <w:color w:val="auto"/>
          <w:kern w:val="0"/>
          <w:szCs w:val="24"/>
          <w:highlight w:val="none"/>
          <w:u w:val="none"/>
        </w:rPr>
        <w:t>个</w:t>
      </w:r>
      <w:r>
        <w:rPr>
          <w:rFonts w:hint="eastAsia" w:ascii="仿宋_GB2312" w:hAnsi="宋体" w:cs="宋体"/>
          <w:b/>
          <w:bCs/>
          <w:color w:val="auto"/>
          <w:kern w:val="0"/>
          <w:szCs w:val="24"/>
          <w:highlight w:val="none"/>
          <w:u w:val="none"/>
          <w:lang w:eastAsia="zh-CN"/>
        </w:rPr>
        <w:t>交易日</w:t>
      </w:r>
      <w:r>
        <w:rPr>
          <w:rFonts w:hint="eastAsia" w:ascii="仿宋_GB2312" w:hAnsi="宋体" w:cs="宋体"/>
          <w:b/>
          <w:bCs/>
          <w:color w:val="auto"/>
          <w:kern w:val="0"/>
          <w:szCs w:val="24"/>
          <w:highlight w:val="none"/>
          <w:u w:val="none"/>
        </w:rPr>
        <w:t>内告知投资者，并说明运用相关措施的原因和拟采取的应对安排等。在发生涉及产品认购、申购或赎回事项调整或潜在影响投资者赎回等事项时，管理人将发布临时公告。</w:t>
      </w:r>
    </w:p>
    <w:p w14:paraId="26D9F92C">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3）理财产品清算期超过5</w:t>
      </w:r>
      <w:r>
        <w:rPr>
          <w:rFonts w:hint="eastAsia" w:ascii="仿宋_GB2312" w:hAnsi="宋体" w:cs="宋体"/>
          <w:color w:val="auto"/>
          <w:kern w:val="0"/>
          <w:szCs w:val="24"/>
          <w:highlight w:val="none"/>
          <w:u w:val="none"/>
        </w:rPr>
        <w:t>个工作日的，产品管理人应当在理财产品终止前</w:t>
      </w: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个</w:t>
      </w:r>
      <w:r>
        <w:rPr>
          <w:rFonts w:ascii="仿宋_GB2312" w:hAnsi="宋体" w:cs="宋体"/>
          <w:color w:val="auto"/>
          <w:kern w:val="0"/>
          <w:szCs w:val="24"/>
          <w:highlight w:val="none"/>
          <w:u w:val="none"/>
        </w:rPr>
        <w:t>工作日</w:t>
      </w:r>
      <w:r>
        <w:rPr>
          <w:rFonts w:hint="eastAsia" w:ascii="仿宋_GB2312" w:hAnsi="宋体" w:cs="宋体"/>
          <w:color w:val="auto"/>
          <w:kern w:val="0"/>
          <w:szCs w:val="24"/>
          <w:highlight w:val="none"/>
          <w:u w:val="none"/>
        </w:rPr>
        <w:t>，根据与投资者约定的渠道向投资者进行信息披露。</w:t>
      </w:r>
    </w:p>
    <w:p w14:paraId="154374FC">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（4）在本产品存续期内，如因国家法律法规、监管规定发生变化，或是出于维护本产品正常运营的需要，在不损害投资者权益的前提下，产品管理人有权对理财产品销售文件进行修订，并提前</w:t>
      </w:r>
      <w:r>
        <w:rPr>
          <w:rFonts w:hint="eastAsia" w:ascii="仿宋_GB2312" w:hAnsi="宋体" w:cs="宋体"/>
          <w:b/>
          <w:color w:val="auto"/>
          <w:kern w:val="0"/>
          <w:szCs w:val="24"/>
          <w:highlight w:val="none"/>
          <w:u w:val="none"/>
          <w:lang w:val="en-US" w:eastAsia="zh-CN"/>
        </w:rPr>
        <w:t>1</w:t>
      </w:r>
      <w:r>
        <w:rPr>
          <w:rFonts w:hint="eastAsia" w:ascii="仿宋_GB2312" w:hAnsi="宋体" w:cs="宋体"/>
          <w:b/>
          <w:color w:val="auto"/>
          <w:kern w:val="0"/>
          <w:szCs w:val="24"/>
          <w:highlight w:val="none"/>
          <w:u w:val="none"/>
        </w:rPr>
        <w:t>个工作日进行公告。</w:t>
      </w:r>
    </w:p>
    <w:p w14:paraId="59578BE3">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5）其他临时性公告</w:t>
      </w:r>
    </w:p>
    <w:p w14:paraId="350AA831">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除前述事项外，如出现产品</w:t>
      </w:r>
      <w:r>
        <w:rPr>
          <w:rFonts w:ascii="仿宋_GB2312" w:hAnsi="宋体" w:cs="宋体"/>
          <w:color w:val="auto"/>
          <w:kern w:val="0"/>
          <w:szCs w:val="24"/>
          <w:highlight w:val="none"/>
          <w:u w:val="none"/>
        </w:rPr>
        <w:t>二次清算</w:t>
      </w:r>
      <w:r>
        <w:rPr>
          <w:rFonts w:hint="eastAsia" w:ascii="仿宋_GB2312" w:hAnsi="宋体" w:cs="宋体"/>
          <w:color w:val="auto"/>
          <w:kern w:val="0"/>
          <w:szCs w:val="24"/>
          <w:highlight w:val="none"/>
          <w:u w:val="none"/>
        </w:rPr>
        <w:t>等其他突发事件，应在完成再次清算之日起两个工作日内，向投资者披露清算资金分配情况等信息。</w:t>
      </w:r>
    </w:p>
    <w:p w14:paraId="05D42FF5">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在本产品存续期内，当产品管理人对理财产品进行相应调整（包括调整投资范围、投资资产种类、投资比例或收费项目、收费条件、收费标准、收费方式等）时，若构成对投资者利益产生实质性不利影响或涉及当事人权利义务的重大变更的，投资者有权不接受调整，在符合法律法规及监管政策的前提下，可由产品管理人决定投资者提前赎回的方式，并通过公告进行披露。若投资者未选择赎回本产品的，则视为已理解并接受产品管理人的相应调整。</w:t>
      </w:r>
    </w:p>
    <w:p w14:paraId="199A6319">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lang w:eastAsia="zh-CN"/>
        </w:rPr>
      </w:pP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对于理财产品存续期间发生的以下事项，应于知晓或应当知晓相关事项后五个工作日内向投资者披露</w:t>
      </w:r>
      <w:r>
        <w:rPr>
          <w:rFonts w:hint="eastAsia" w:ascii="仿宋_GB2312" w:hAnsi="宋体" w:cs="宋体"/>
          <w:color w:val="auto"/>
          <w:kern w:val="0"/>
          <w:szCs w:val="24"/>
          <w:highlight w:val="none"/>
          <w:u w:val="none"/>
          <w:lang w:eastAsia="zh-CN"/>
        </w:rPr>
        <w:t>：</w:t>
      </w:r>
    </w:p>
    <w:p w14:paraId="75B1435C">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更换理财产品管理人或</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变更实际控制人，更换托管机构，</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或托管</w:t>
      </w:r>
      <w:r>
        <w:rPr>
          <w:rFonts w:hint="eastAsia" w:ascii="仿宋_GB2312" w:hAnsi="宋体" w:cs="宋体"/>
          <w:color w:val="auto"/>
          <w:kern w:val="0"/>
          <w:szCs w:val="24"/>
          <w:highlight w:val="none"/>
          <w:u w:val="none"/>
          <w:lang w:eastAsia="zh-CN"/>
        </w:rPr>
        <w:t>人</w:t>
      </w:r>
      <w:r>
        <w:rPr>
          <w:rFonts w:hint="eastAsia" w:ascii="仿宋_GB2312" w:hAnsi="宋体" w:cs="宋体"/>
          <w:color w:val="auto"/>
          <w:kern w:val="0"/>
          <w:szCs w:val="24"/>
          <w:highlight w:val="none"/>
          <w:u w:val="none"/>
        </w:rPr>
        <w:t>的法定名称、住所发生变更。</w:t>
      </w:r>
    </w:p>
    <w:p w14:paraId="259E9FBF">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2）</w:t>
      </w:r>
      <w:r>
        <w:rPr>
          <w:rFonts w:hint="eastAsia" w:ascii="仿宋_GB2312" w:hAnsi="宋体" w:cs="宋体"/>
          <w:color w:val="auto"/>
          <w:kern w:val="0"/>
          <w:szCs w:val="24"/>
          <w:highlight w:val="none"/>
          <w:u w:val="none"/>
        </w:rPr>
        <w:t>涉及产品穿透后持仓百分之十及以上的单笔资产的诉讼或仲裁，并可能对产品或其投资者权益有重大影响的。</w:t>
      </w:r>
    </w:p>
    <w:p w14:paraId="366A3524">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3</w:t>
      </w:r>
      <w:r>
        <w:rPr>
          <w:rFonts w:hint="eastAsia" w:ascii="仿宋_GB2312" w:hAnsi="宋体" w:cs="宋体"/>
          <w:color w:val="auto"/>
          <w:kern w:val="0"/>
          <w:szCs w:val="24"/>
          <w:highlight w:val="none"/>
          <w:u w:val="none"/>
        </w:rPr>
        <w:t>）产品穿透后持仓百分之十及以上的非标准化债权类资产的融资主体、担保主体发生重大行政处罚、重大诉讼或仲裁，或破产、兼并、重组等重大事项，并对其还款能力或担保能力造成重大不利影响；或上述融资主体对其公开市场债务出现不能按时足额还本付息情况的。</w:t>
      </w:r>
    </w:p>
    <w:p w14:paraId="29E3D2E7">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理财产品投资的非标准化资产本身为不良资产及其收益权的，可以不进行临时披露，但应当在季度、半年度、年度报告中披露相关情况。</w:t>
      </w:r>
    </w:p>
    <w:p w14:paraId="66461CEC">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4）</w:t>
      </w:r>
      <w:r>
        <w:rPr>
          <w:rFonts w:hint="eastAsia" w:ascii="仿宋_GB2312" w:hAnsi="宋体" w:cs="宋体"/>
          <w:color w:val="auto"/>
          <w:kern w:val="0"/>
          <w:szCs w:val="24"/>
          <w:highlight w:val="none"/>
          <w:u w:val="none"/>
        </w:rPr>
        <w:t>涉及产品穿透后持仓百分之十及以上的单笔资产的债券违约、股票停牌或退市的。</w:t>
      </w:r>
    </w:p>
    <w:p w14:paraId="0070CB31">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5）</w:t>
      </w:r>
      <w:r>
        <w:rPr>
          <w:rFonts w:hint="eastAsia" w:ascii="仿宋_GB2312" w:hAnsi="宋体" w:cs="宋体"/>
          <w:color w:val="auto"/>
          <w:kern w:val="0"/>
          <w:szCs w:val="24"/>
          <w:highlight w:val="none"/>
          <w:u w:val="none"/>
        </w:rPr>
        <w:t>理财产品份额净值计价错误达份额净值百分之零点五。</w:t>
      </w:r>
    </w:p>
    <w:p w14:paraId="3CA5F45F">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6）</w:t>
      </w:r>
      <w:r>
        <w:rPr>
          <w:rFonts w:hint="eastAsia" w:ascii="仿宋_GB2312" w:hAnsi="宋体" w:cs="宋体"/>
          <w:color w:val="auto"/>
          <w:kern w:val="0"/>
          <w:szCs w:val="24"/>
          <w:highlight w:val="none"/>
          <w:u w:val="none"/>
        </w:rPr>
        <w:t>金融市场发生重大变化导致理财产品投资比例暂时超出浮动区间且可能对理财产品收益产生重大影响的。</w:t>
      </w:r>
    </w:p>
    <w:p w14:paraId="4ACC4B1D">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7）</w:t>
      </w:r>
      <w:r>
        <w:rPr>
          <w:rFonts w:hint="eastAsia" w:ascii="仿宋_GB2312" w:hAnsi="宋体" w:cs="宋体"/>
          <w:color w:val="auto"/>
          <w:kern w:val="0"/>
          <w:szCs w:val="24"/>
          <w:highlight w:val="none"/>
          <w:u w:val="none"/>
        </w:rPr>
        <w:t>法律法规以及监管规定的其他内容，或者</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认为可能对投资者权益产生重大不利影响的其他事项。</w:t>
      </w:r>
    </w:p>
    <w:p w14:paraId="59CA5E3A">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u w:val="none"/>
        </w:rPr>
      </w:pPr>
    </w:p>
    <w:p w14:paraId="7AD2E354">
      <w:pPr>
        <w:widowControl/>
        <w:jc w:val="left"/>
        <w:rPr>
          <w:rFonts w:eastAsia="黑体"/>
          <w:color w:val="auto"/>
          <w:kern w:val="44"/>
          <w:sz w:val="28"/>
          <w:highlight w:val="none"/>
          <w:u w:val="none"/>
        </w:rPr>
      </w:pPr>
      <w:r>
        <w:rPr>
          <w:color w:val="auto"/>
          <w:highlight w:val="none"/>
          <w:u w:val="none"/>
        </w:rPr>
        <w:br w:type="page"/>
      </w:r>
    </w:p>
    <w:p w14:paraId="772DBC6D">
      <w:pPr>
        <w:pStyle w:val="2"/>
        <w:rPr>
          <w:color w:val="auto"/>
          <w:highlight w:val="none"/>
          <w:u w:val="none"/>
        </w:rPr>
      </w:pPr>
      <w:r>
        <w:rPr>
          <w:rFonts w:hint="eastAsia"/>
          <w:color w:val="auto"/>
          <w:highlight w:val="none"/>
          <w:u w:val="none"/>
          <w:lang w:eastAsia="zh-CN"/>
        </w:rPr>
        <w:t>风险揭示</w:t>
      </w:r>
    </w:p>
    <w:p w14:paraId="2BD65159">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lang w:eastAsia="zh-CN"/>
        </w:rPr>
        <w:t>【</w:t>
      </w:r>
      <w:r>
        <w:rPr>
          <w:rFonts w:hint="default" w:ascii="仿宋_GB2312" w:hAnsi="宋体" w:cs="宋体"/>
          <w:b w:val="0"/>
          <w:color w:val="auto"/>
          <w:kern w:val="0"/>
          <w:szCs w:val="24"/>
          <w:highlight w:val="yellow"/>
          <w:u w:val="none"/>
        </w:rPr>
        <w:t>本产品不保证本金和收益，投资者的本金有可能蒙受损失，极端情况下，可能全部或部分受损。投资者应充分认识投资风险，谨慎投资。</w:t>
      </w:r>
      <w:r>
        <w:rPr>
          <w:rFonts w:hint="eastAsia" w:ascii="仿宋_GB2312" w:hAnsi="宋体" w:cs="宋体"/>
          <w:b w:val="0"/>
          <w:color w:val="auto"/>
          <w:kern w:val="0"/>
          <w:szCs w:val="24"/>
          <w:highlight w:val="yellow"/>
          <w:u w:val="none"/>
          <w:lang w:eastAsia="zh-CN"/>
        </w:rPr>
        <w:t>风险列示</w:t>
      </w:r>
      <w:r>
        <w:rPr>
          <w:rFonts w:hint="default" w:ascii="仿宋_GB2312" w:hAnsi="宋体" w:cs="宋体"/>
          <w:b w:val="0"/>
          <w:color w:val="auto"/>
          <w:kern w:val="0"/>
          <w:szCs w:val="24"/>
          <w:highlight w:val="yellow"/>
          <w:u w:val="none"/>
        </w:rPr>
        <w:t>如下：</w:t>
      </w:r>
    </w:p>
    <w:p w14:paraId="01A0FA72">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（一）政策风险</w:t>
      </w:r>
    </w:p>
    <w:p w14:paraId="56EB79DD">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是根据当前相关法律法规、监管规定和国家政策设计的。如国家宏观政策以及市场相关法律法规、监管规定发生变化，可能影响本理财产品的发行、交易、投资、兑付等工作流程的正常进行，从而影响本理财产品的投资运作，则投资者可能面临本金和收益遭受部分甚至全部损失的风险。</w:t>
      </w:r>
    </w:p>
    <w:p w14:paraId="5B063681">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（二）信用风险</w:t>
      </w:r>
    </w:p>
    <w:p w14:paraId="1DED5CC1">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本理财产品所投资的资产或资产组合项下义务人可能出现信用违约情形，无法如期偿付融资本金与利息，则投资者可能面临本金和收益遭受部分甚至全部损失的风险。</w:t>
      </w:r>
    </w:p>
    <w:p w14:paraId="5C0E503D">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（三）市场风险</w:t>
      </w:r>
    </w:p>
    <w:p w14:paraId="7A03E936">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存续期内，由于市场利率、汇率变化，债券、股票等投资品市场价格波动，以及市场已出现或未来可能出现的其他重要因素影响，将导致本理财产品所投资的资产或资产组合出现估值波动，从而影响本理财产品的净值，投资者可能面临投资本金和收益遭受部分甚至全部损失的风险。</w:t>
      </w:r>
    </w:p>
    <w:p w14:paraId="7679BA62">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（四）流动性风险</w:t>
      </w:r>
    </w:p>
    <w:p w14:paraId="6FCF9AA1">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当市场出现极端情况或开放式产品投资者集中、大额赎回等情形下，理财产品可能因持有现金头寸不足或所投资的资产无法及时变现，导致无法按约定向投资者及时兑付理财资金，投资者可能面临理财资金无法及时到账及/或持有的本理财产品整体损益出现不利情形的风险。</w:t>
      </w:r>
    </w:p>
    <w:p w14:paraId="30352134">
      <w:pPr>
        <w:widowControl/>
        <w:tabs>
          <w:tab w:val="left" w:pos="709"/>
        </w:tabs>
        <w:adjustRightInd w:val="0"/>
        <w:snapToGrid w:val="0"/>
        <w:spacing w:line="360" w:lineRule="auto"/>
        <w:ind w:firstLine="422" w:firstLineChars="200"/>
        <w:rPr>
          <w:rFonts w:hint="default" w:ascii="仿宋_GB2312" w:hAnsi="宋体" w:cs="宋体"/>
          <w:b w:val="0"/>
          <w:color w:val="auto"/>
          <w:kern w:val="0"/>
          <w:szCs w:val="24"/>
          <w:highlight w:val="yellow"/>
          <w:u w:val="none"/>
        </w:rPr>
      </w:pPr>
      <w:r>
        <w:rPr>
          <w:rFonts w:hint="default" w:ascii="仿宋_GB2312" w:hAnsi="宋体" w:cs="宋体"/>
          <w:b/>
          <w:bCs/>
          <w:color w:val="auto"/>
          <w:kern w:val="0"/>
          <w:szCs w:val="24"/>
          <w:highlight w:val="yellow"/>
          <w:u w:val="none"/>
        </w:rPr>
        <w:t>投资者在本理财产品说明书约定的封闭期、最短持有期及/或其他不可赎回时段内不享有提前赎回权。</w:t>
      </w:r>
      <w:r>
        <w:rPr>
          <w:rFonts w:hint="default" w:ascii="仿宋_GB2312" w:hAnsi="宋体" w:cs="宋体"/>
          <w:b w:val="0"/>
          <w:color w:val="auto"/>
          <w:kern w:val="0"/>
          <w:szCs w:val="24"/>
          <w:highlight w:val="yellow"/>
          <w:u w:val="none"/>
        </w:rPr>
        <w:t>如果投资者面临用款需求与其他投资机会，可能因所持有的理财产品不能随时赎回或变现，存在用款需求无法满足或错过其他投资机会的风险。</w:t>
      </w:r>
    </w:p>
    <w:p w14:paraId="0EBD2A9A">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拟投资市场、资产的流动性风险评估：</w:t>
      </w:r>
    </w:p>
    <w:p w14:paraId="013CB9D0">
      <w:pPr>
        <w:tabs>
          <w:tab w:val="left" w:pos="3119"/>
        </w:tabs>
        <w:autoSpaceDE w:val="0"/>
        <w:autoSpaceDN w:val="0"/>
        <w:spacing w:line="360" w:lineRule="auto"/>
        <w:ind w:right="31" w:rightChars="15"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本理财产品投资范围包括</w:t>
      </w:r>
      <w:r>
        <w:rPr>
          <w:rFonts w:hint="eastAsia" w:ascii="仿宋_GB2312" w:hAnsi="宋体" w:cs="宋体"/>
          <w:b w:val="0"/>
          <w:color w:val="auto"/>
          <w:kern w:val="0"/>
          <w:szCs w:val="24"/>
          <w:highlight w:val="yellow"/>
          <w:u w:val="none"/>
          <w:lang w:eastAsia="zh-CN"/>
        </w:rPr>
        <w:t>【</w:t>
      </w:r>
      <w:r>
        <w:rPr>
          <w:rFonts w:hint="eastAsia" w:ascii="仿宋_GB2312" w:hAnsi="宋体" w:eastAsia="仿宋_GB2312" w:cs="宋体"/>
          <w:bCs/>
          <w:color w:val="auto"/>
          <w:kern w:val="0"/>
          <w:sz w:val="24"/>
          <w:szCs w:val="24"/>
          <w:highlight w:val="yellow"/>
          <w:u w:val="none"/>
        </w:rPr>
        <w:t>境内外市场的现金、银行存款、大额存单、同业存单、同业存放、回购等货币市场工具，国债、中央银行票据、地方政府债、政府支持机构债、金融债、非金融企业债务融资工具、公司债、企业债、可交换债券、可转换债券、资产支持票据、资产支持证券、非标准化债权类资产等固定收益类资产，优先股、上市公司股票、公募REITs、交易型开放式指数基金(ETF)等权益类资产，国债期货、股指期货、收益互换等金融衍生品类资产，主要投向上述资产类别且符合监管机构要求的公募证券投资基金、信托计划、资产管理计划等资产管理产品以及国务院银行业监督管理机构认可的其他资产</w:t>
      </w:r>
      <w:r>
        <w:rPr>
          <w:rFonts w:hint="default" w:ascii="仿宋_GB2312" w:hAnsi="宋体" w:cs="宋体"/>
          <w:b w:val="0"/>
          <w:color w:val="auto"/>
          <w:kern w:val="0"/>
          <w:szCs w:val="24"/>
          <w:highlight w:val="yellow"/>
          <w:u w:val="none"/>
        </w:rPr>
        <w:t>。</w:t>
      </w:r>
      <w:r>
        <w:rPr>
          <w:rFonts w:hint="eastAsia" w:ascii="仿宋_GB2312" w:hAnsi="宋体" w:cs="宋体"/>
          <w:b w:val="0"/>
          <w:color w:val="auto"/>
          <w:kern w:val="0"/>
          <w:szCs w:val="24"/>
          <w:highlight w:val="yellow"/>
          <w:u w:val="none"/>
          <w:lang w:eastAsia="zh-CN"/>
        </w:rPr>
        <w:t>】</w:t>
      </w:r>
      <w:r>
        <w:rPr>
          <w:rFonts w:hint="default" w:ascii="仿宋_GB2312" w:hAnsi="宋体" w:cs="宋体"/>
          <w:b w:val="0"/>
          <w:color w:val="auto"/>
          <w:kern w:val="0"/>
          <w:szCs w:val="24"/>
          <w:highlight w:val="yellow"/>
          <w:u w:val="none"/>
        </w:rPr>
        <w:t>标的资产主要为标准化债券金融工具，一般情况下具有较好的流动性，同时，本理财产品严格控制开放期内投资于流动性受限资产的投资品种比例。本理财产品管理人会进行标的的分散化投资并结合对各类标的资产的预期流动性状况进行合理配置，以防范流动性风险。</w:t>
      </w:r>
    </w:p>
    <w:p w14:paraId="7C4F4BD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流动性应对措施及对投资者的潜在影响：</w:t>
      </w:r>
    </w:p>
    <w:p w14:paraId="2E1AFE9E">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本理财产品管理人将合理安排组合流动性，统筹考虑产品期限、各类标的资产的预期流动性，合理进行资产配置，最大程度防范流动性风险。</w:t>
      </w:r>
    </w:p>
    <w:p w14:paraId="669A0004">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产品管理人可依照法律法规及理财产品销售文件的约定，综合运用各类流动性应对措施，作为特定情形下流动性风险管理的辅助手段，包括但不限于：</w:t>
      </w:r>
    </w:p>
    <w:p w14:paraId="15A368C9">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（1）认购/申购风险应对措施，包括:设定单一投资者认购/申购金额上限、设定本理财产品单日净认购/申购比例上限、拒绝大额认购/申购、暂停认购/申购，以及国家金融监督管理总局规定的其他措施。</w:t>
      </w:r>
    </w:p>
    <w:p w14:paraId="1330A16B">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（2）赎回风险应对措施，包括：设置赎回上限、延期办理巨额赎回申请、暂停接受赎回申请、延缓支付赎回款项、收取短期赎回费、暂停理财产品估值、摆动定价，以及国家金融监督管理总局规定的其他措施。</w:t>
      </w:r>
    </w:p>
    <w:p w14:paraId="269AB2D9">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1)延期办理巨额赎回申请</w:t>
      </w:r>
    </w:p>
    <w:p w14:paraId="617DB242">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若理财产品管理人采用延期办理巨额赎回申请的流动性风险应对措施，投资者的赎回申请将无法按时全额获得确认，投资者自身的流动性可能受到影响，并将额外承担市场波动对本理财产品净值的影响。</w:t>
      </w:r>
    </w:p>
    <w:p w14:paraId="4A5F5945">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2）暂停接受赎回申请或延缓支付赎回款项</w:t>
      </w:r>
    </w:p>
    <w:p w14:paraId="5594CB47">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若理财产品管理人采用暂停接受赎回申请或延缓支付赎回款项的流动性风险应对措施，投资者面临在暂停赎回期间将无法赎回其持有的产品份额的风险，接收赎回款项的时间将可能比一般正常情形下有所延迟。</w:t>
      </w:r>
    </w:p>
    <w:p w14:paraId="1D341DF0">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3</w:t>
      </w:r>
      <w:r>
        <w:rPr>
          <w:rFonts w:hint="eastAsia" w:ascii="仿宋_GB2312" w:hAnsi="宋体" w:cs="宋体"/>
          <w:b/>
          <w:bCs/>
          <w:color w:val="auto"/>
          <w:kern w:val="0"/>
          <w:szCs w:val="24"/>
          <w:highlight w:val="yellow"/>
          <w:u w:val="none"/>
          <w:lang w:eastAsia="zh-CN"/>
        </w:rPr>
        <w:t>）</w:t>
      </w:r>
      <w:r>
        <w:rPr>
          <w:rFonts w:hint="default" w:ascii="仿宋_GB2312" w:hAnsi="宋体" w:cs="宋体"/>
          <w:b/>
          <w:bCs/>
          <w:color w:val="auto"/>
          <w:kern w:val="0"/>
          <w:szCs w:val="24"/>
          <w:highlight w:val="yellow"/>
          <w:u w:val="none"/>
        </w:rPr>
        <w:t>暂停理财产品估值</w:t>
      </w:r>
    </w:p>
    <w:p w14:paraId="77F55878">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若理财产品管理人采用暂停理财产品估值的流动性风险应对措施，投资人没有可供参考的产品份额净值，同时赎回申请可能被暂停接受，或被延缓支付赎回款项。</w:t>
      </w:r>
    </w:p>
    <w:p w14:paraId="56B15B6B">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4</w:t>
      </w:r>
      <w:r>
        <w:rPr>
          <w:rFonts w:hint="eastAsia" w:ascii="仿宋_GB2312" w:hAnsi="宋体" w:cs="宋体"/>
          <w:b/>
          <w:bCs/>
          <w:color w:val="auto"/>
          <w:kern w:val="0"/>
          <w:szCs w:val="24"/>
          <w:highlight w:val="yellow"/>
          <w:u w:val="none"/>
          <w:lang w:eastAsia="zh-CN"/>
        </w:rPr>
        <w:t>）</w:t>
      </w:r>
      <w:r>
        <w:rPr>
          <w:rFonts w:hint="default" w:ascii="仿宋_GB2312" w:hAnsi="宋体" w:cs="宋体"/>
          <w:b/>
          <w:bCs/>
          <w:color w:val="auto"/>
          <w:kern w:val="0"/>
          <w:szCs w:val="24"/>
          <w:highlight w:val="yellow"/>
          <w:u w:val="none"/>
        </w:rPr>
        <w:t>摆动定价</w:t>
      </w:r>
    </w:p>
    <w:p w14:paraId="53325732">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若理财产品管理人采用摆动定价机制的流动性风险应对措施，则通过调整理财产品份额净值的方式，将理财产品调整投资组合的市场冲击成本分配给实际申购、赎回的投资者，以期减少对存量投资者利益的不利影响。</w:t>
      </w:r>
    </w:p>
    <w:p w14:paraId="0F558AA7">
      <w:pPr>
        <w:widowControl/>
        <w:numPr>
          <w:ilvl w:val="0"/>
          <w:numId w:val="9"/>
        </w:numPr>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lang w:val="en-US" w:eastAsia="zh-CN"/>
        </w:rPr>
      </w:pPr>
      <w:r>
        <w:rPr>
          <w:rFonts w:hint="default" w:ascii="仿宋_GB2312" w:hAnsi="宋体" w:cs="宋体"/>
          <w:b/>
          <w:bCs/>
          <w:color w:val="auto"/>
          <w:kern w:val="0"/>
          <w:szCs w:val="24"/>
          <w:highlight w:val="yellow"/>
          <w:u w:val="none"/>
          <w:lang w:val="en-US" w:eastAsia="zh-CN"/>
        </w:rPr>
        <w:t>收取短期赎回费</w:t>
      </w:r>
    </w:p>
    <w:p w14:paraId="35737E6A">
      <w:pPr>
        <w:widowControl/>
        <w:numPr>
          <w:ilvl w:val="0"/>
          <w:numId w:val="0"/>
        </w:numPr>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lang w:val="en-US" w:eastAsia="zh-CN"/>
        </w:rPr>
        <w:t>对持续持有期少于</w:t>
      </w:r>
      <w:r>
        <w:rPr>
          <w:rFonts w:hint="eastAsia" w:ascii="仿宋_GB2312" w:hAnsi="宋体" w:cs="宋体"/>
          <w:b/>
          <w:bCs/>
          <w:color w:val="auto"/>
          <w:kern w:val="0"/>
          <w:szCs w:val="24"/>
          <w:highlight w:val="yellow"/>
          <w:u w:val="none"/>
          <w:lang w:val="en-US" w:eastAsia="zh-CN"/>
        </w:rPr>
        <w:t>【】</w:t>
      </w:r>
      <w:r>
        <w:rPr>
          <w:rFonts w:hint="default" w:ascii="仿宋_GB2312" w:hAnsi="宋体" w:cs="宋体"/>
          <w:b/>
          <w:bCs/>
          <w:color w:val="auto"/>
          <w:kern w:val="0"/>
          <w:szCs w:val="24"/>
          <w:highlight w:val="yellow"/>
          <w:u w:val="none"/>
          <w:lang w:val="en-US" w:eastAsia="zh-CN"/>
        </w:rPr>
        <w:t>日的投资者收取一定比例的赎回费，并全额计入理财财产。在此情形下，投资者在提交赎回申请时，实际赎回金额可能少于按照赎回申请当日理财产品份额净值计算出的赎回金额。若实施收取短期赎回费措施，管理人应于3个交易日内告知本理财产品的相关投资者。</w:t>
      </w:r>
    </w:p>
    <w:p w14:paraId="554C9F3F">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具体应对措施使用情形及程序详见</w:t>
      </w:r>
      <w:r>
        <w:rPr>
          <w:rFonts w:hint="eastAsia" w:ascii="仿宋_GB2312" w:hAnsi="宋体" w:cs="宋体"/>
          <w:b/>
          <w:bCs/>
          <w:color w:val="auto"/>
          <w:kern w:val="0"/>
          <w:szCs w:val="24"/>
          <w:highlight w:val="yellow"/>
          <w:u w:val="none"/>
          <w:lang w:eastAsia="zh-CN"/>
        </w:rPr>
        <w:t>“</w:t>
      </w:r>
      <w:r>
        <w:rPr>
          <w:rFonts w:hint="default" w:ascii="仿宋_GB2312" w:hAnsi="宋体" w:cs="宋体"/>
          <w:b/>
          <w:bCs/>
          <w:color w:val="auto"/>
          <w:kern w:val="0"/>
          <w:szCs w:val="24"/>
          <w:highlight w:val="yellow"/>
          <w:u w:val="none"/>
        </w:rPr>
        <w:t>第一节</w:t>
      </w:r>
      <w:r>
        <w:rPr>
          <w:rFonts w:hint="eastAsia" w:ascii="仿宋_GB2312" w:hAnsi="宋体" w:cs="宋体"/>
          <w:b/>
          <w:bCs/>
          <w:color w:val="auto"/>
          <w:kern w:val="0"/>
          <w:szCs w:val="24"/>
          <w:highlight w:val="yellow"/>
          <w:u w:val="none"/>
          <w:lang w:val="en-US" w:eastAsia="zh-CN"/>
        </w:rPr>
        <w:t xml:space="preserve"> </w:t>
      </w:r>
      <w:r>
        <w:rPr>
          <w:rFonts w:hint="default" w:ascii="仿宋_GB2312" w:hAnsi="宋体" w:cs="宋体"/>
          <w:b/>
          <w:bCs/>
          <w:color w:val="auto"/>
          <w:kern w:val="0"/>
          <w:szCs w:val="24"/>
          <w:highlight w:val="yellow"/>
          <w:u w:val="none"/>
        </w:rPr>
        <w:t>理财产品说明书关键要素</w:t>
      </w:r>
      <w:r>
        <w:rPr>
          <w:rFonts w:hint="eastAsia" w:ascii="仿宋_GB2312" w:hAnsi="宋体" w:cs="宋体"/>
          <w:b/>
          <w:bCs/>
          <w:color w:val="auto"/>
          <w:kern w:val="0"/>
          <w:szCs w:val="24"/>
          <w:highlight w:val="yellow"/>
          <w:u w:val="none"/>
          <w:lang w:eastAsia="zh-CN"/>
        </w:rPr>
        <w:t>”“第四节</w:t>
      </w:r>
      <w:r>
        <w:rPr>
          <w:rFonts w:hint="eastAsia" w:ascii="仿宋_GB2312" w:hAnsi="宋体" w:cs="宋体"/>
          <w:b/>
          <w:bCs/>
          <w:color w:val="auto"/>
          <w:kern w:val="0"/>
          <w:szCs w:val="24"/>
          <w:highlight w:val="yellow"/>
          <w:u w:val="none"/>
          <w:lang w:val="en-US" w:eastAsia="zh-CN"/>
        </w:rPr>
        <w:t xml:space="preserve"> </w:t>
      </w:r>
      <w:r>
        <w:rPr>
          <w:rFonts w:hint="eastAsia" w:ascii="仿宋_GB2312" w:hAnsi="宋体" w:cs="宋体"/>
          <w:b/>
          <w:bCs/>
          <w:color w:val="auto"/>
          <w:kern w:val="0"/>
          <w:szCs w:val="24"/>
          <w:highlight w:val="yellow"/>
          <w:u w:val="none"/>
          <w:lang w:eastAsia="zh-CN"/>
        </w:rPr>
        <w:t>理财产品的认购与成立”“第五节</w:t>
      </w:r>
      <w:r>
        <w:rPr>
          <w:rFonts w:hint="eastAsia" w:ascii="仿宋_GB2312" w:hAnsi="宋体" w:cs="宋体"/>
          <w:b/>
          <w:bCs/>
          <w:color w:val="auto"/>
          <w:kern w:val="0"/>
          <w:szCs w:val="24"/>
          <w:highlight w:val="yellow"/>
          <w:u w:val="none"/>
          <w:lang w:val="en-US" w:eastAsia="zh-CN"/>
        </w:rPr>
        <w:t xml:space="preserve"> </w:t>
      </w:r>
      <w:r>
        <w:rPr>
          <w:rFonts w:hint="eastAsia" w:ascii="仿宋_GB2312" w:hAnsi="宋体" w:cs="宋体"/>
          <w:b/>
          <w:bCs/>
          <w:color w:val="auto"/>
          <w:kern w:val="0"/>
          <w:szCs w:val="24"/>
          <w:highlight w:val="yellow"/>
          <w:u w:val="none"/>
          <w:lang w:eastAsia="zh-CN"/>
        </w:rPr>
        <w:t>理财产品的申购与赎回”</w:t>
      </w:r>
      <w:r>
        <w:rPr>
          <w:rFonts w:hint="default" w:ascii="仿宋_GB2312" w:hAnsi="宋体" w:cs="宋体"/>
          <w:b/>
          <w:bCs/>
          <w:color w:val="auto"/>
          <w:kern w:val="0"/>
          <w:szCs w:val="24"/>
          <w:highlight w:val="yellow"/>
          <w:u w:val="none"/>
        </w:rPr>
        <w:t>。敬请投资者留意管理人运用上述流动性风险应对措施的相关风险。</w:t>
      </w:r>
    </w:p>
    <w:p w14:paraId="0631786A">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（五）经营管理风险</w:t>
      </w:r>
    </w:p>
    <w:p w14:paraId="58E24FD9">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在本理财产品运作过程中，投资管理各方受经验、技能、判断力、执行力等综合因素的限制，可能对本理财产品的运作与管理形成一定影响，投资者可能面临本金和收益遭受部分甚至全部损失的风险。</w:t>
      </w:r>
    </w:p>
    <w:p w14:paraId="7FDE93E4">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（六）交易对手风险</w:t>
      </w:r>
    </w:p>
    <w:p w14:paraId="6B065708">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由于交易对手受偿付能力、流动性管理能力以及及时履约意愿等因素影响，导致交易对手不履约，可能影响本理财产品的投资管理，则投资者可能面临本金和收益遭受部分甚至全部损失的风险。</w:t>
      </w:r>
    </w:p>
    <w:p w14:paraId="0040436F">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（七）操作风险</w:t>
      </w:r>
    </w:p>
    <w:p w14:paraId="7F281565">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产品运作过程中，由于理财产品管理人及理财合作机构因技术系统故障、内部控制存在缺陷或人为因素，导致操作失误或违反操作规程等引起的风险，如内部作业、人员管理、系统操作及事务处理不当或失误等，则投资者可能面临本金和收益遭受部分甚至全部损失的风险。</w:t>
      </w:r>
    </w:p>
    <w:p w14:paraId="19BDDDEB">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（八）代销风险（如有）</w:t>
      </w:r>
    </w:p>
    <w:p w14:paraId="425289E5">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如本理财产品通过代理销售渠道销售，投资者购买理财产品的资金将由销售机构从投资者清算账户扣收并划付产品管理人，产品到期/终止/赎回时理财本金及收益相应款项由产品管理人按理财产品销售文件约定划付至销售机构清算账户，并由销售机构向投资者支付投资者应得理财本金及收益。如因销售机构清算账户余额不足，或销售机构未及时足额划付资金，或销售机构清算账户内资金被依法冻结或扣划、账户处于被挂失、冻结、注销或其他非正常状态等原因而导致交易失败，由销售机构与投资者依法协商解决，产品管理人对此不承担责任，但前述约定不免除因产品管理人过错依法应由产品管理人承担的责任。</w:t>
      </w:r>
    </w:p>
    <w:p w14:paraId="0E562705">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（九）募集期延长/缩短风险</w:t>
      </w:r>
    </w:p>
    <w:p w14:paraId="2F66E994">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在本理财产品募集期内，国家宏观政策以及市场相关法律法规政策发生变化、产品募集状况未达到/已达到产品说明书约定的成立条件，或其他经理财产品管理人合理判断需延长/缩短募集期的情形，产品管理人有权宣布本理财产品募集期延长/缩短，本理财产品可能延后/提前成立。</w:t>
      </w:r>
    </w:p>
    <w:p w14:paraId="79EB813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（十）产品不成立风险</w:t>
      </w:r>
    </w:p>
    <w:p w14:paraId="19BBAE61">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如果本理财产品因募集规模低于《产品说明书》约定的本理财产品最低成立规模，或出现政策、法规、市场或其他因素导致本理财产品不能成立的情形，理财产品管理人有权宣布本理财产品不成立，投资者将面临再投资的风险。</w:t>
      </w:r>
    </w:p>
    <w:p w14:paraId="07E27CF9">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（十一）提前终止风险</w:t>
      </w:r>
    </w:p>
    <w:p w14:paraId="0B498387">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存续期间，由于国家宏观政策变化、市场相关法律法规及政策变化、本理财产品所投资资产提前结清、意外事件、不可抗力（包括但不限于政府行为、自然灾害、疫情等）以及其他可能导致理财产品管理人无法继续履行本理财产品投资管理义务或经理财产品管理人合理评估且审慎判断不适宜本理财产品继续存续运作的情形，为保护投资者权益，理财产品管理人有权按照理财产品销售文件的约定部分/全部提前终止本理财产品，投资者可能面临本理财产品部分/全部提前终止后再投资的风险。</w:t>
      </w:r>
    </w:p>
    <w:p w14:paraId="0C7256EB">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（十二）延期分配风险</w:t>
      </w:r>
    </w:p>
    <w:p w14:paraId="0CB277A1">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因缺乏交易对手、市场成交量不足、资产限制赎回、暂停交易、所投资产发生风险或不能及时变现、发生不可抗力（包括但不限于政府行为、自然灾害、疫情等）及其他理财产品管理人认为需要延期分配的情形，可能导致理财产品管理人无法在理财产品销售文件约定的清算期内完成理财资金的清算与分配，投资者可能面临理财产品资金延期分配、分配方案调整等风险，投资者由此可能面临投资本金和收益遭受部分甚至全部损失的风险。</w:t>
      </w:r>
    </w:p>
    <w:p w14:paraId="128DC62D">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（十三）信息传递风险</w:t>
      </w:r>
    </w:p>
    <w:p w14:paraId="7866B366">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理财产品管理人将按照理财产品销售文件中约定的信息披露方式、披露途径向投资者披露涉及本理财产品的各类信息和重大事件，投资者应及时查询了解。如投资者未及时查询相关信息或由于不可抗力（包括但不限于政府行为、自然灾害、疫情等）或意外事件的影响使得投资者无法及时了解本理财产品信息，进而影响投资者的投资决策行为，因此而产生的责任和风险由投资者承担。如投资者未及时告知理财产品管理人联系方式变更或理财产品管理人在其认为需要时无法及时联系到投资者，使得投资者无法及时获知本理财产品信息，进而影响投资者的投资决策行为，因此而产生的责任和风险由投资者承担。</w:t>
      </w:r>
    </w:p>
    <w:p w14:paraId="635FBF18">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（十四）关联关系及关联交易风险</w:t>
      </w:r>
    </w:p>
    <w:p w14:paraId="3C8A8194">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浙银理财作为本理财产品的发行人、管理人，独立履行产品管理职责；浙银理财委托托管机构托管理财产品或委托销售机构销售理财产品的，可能涉及委托浙商银行股份有限公司（以下简称“浙商银行”）担任理财产品的托管机构或销售机构，负责理财产品的托管或代理销售工作。浙银理财是浙商银行控股的子公司，双方存在关联关系。</w:t>
      </w:r>
    </w:p>
    <w:p w14:paraId="105D001A">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可能投资于管理人、个别销售机构或托管人的主要股东、实际控制人、一致行动人、最终受益人，托管人，同一股东或托管人控股的机构，或者与管理人或托管人有重大利害关系的机构发行或承销的证券，或者从事其他关联交易，本理财产品也可能由管理人的关联方进行托管或代理销售。上述各方在业务执行及实施上具有隔离机制，并符合相关法律法规要求，且上述各方将依照恪尽职守、诚实信用、谨慎勤勉的原则按照市场公允定价进行公平交易，但仍可能存在利益冲突。提请投资者充分知悉、关注本理财产品关联关系和关联交易风险，投资者签署本理财产品销售文件即代表投资者认可且同意上述可能发生的关联交易并自愿承担相关风险。</w:t>
      </w:r>
    </w:p>
    <w:p w14:paraId="541B39D9">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（十五）再投资风险</w:t>
      </w:r>
    </w:p>
    <w:p w14:paraId="3C75283A">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由于浙银理财有权根据市场状况和产品余额情况提前终止本理财产品，因市场利率下滑，投资者可能面临本金和收益再投资收益率降低的风险。</w:t>
      </w:r>
    </w:p>
    <w:p w14:paraId="623B4D59">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（十六）估值风险</w:t>
      </w:r>
    </w:p>
    <w:p w14:paraId="19032A43">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按《产品说明书》的估值方法进行估值，理财产品估值与实际变现价值可能发生偏离，投资者应知晓该风险。本理财产品管理人估值仅作为参考，本理财产品管理人不承担第三方再次使用该估值引发的其他风险。本理财产品所投资的资产管理产品以其估值日截止时点能够取得的最新份额净值进行估值。因此，在前述情况下可能会出现本理财产品净值不能完全反映所投资资产管理计划或基金等资产管理产品估值日当日净值的情形。</w:t>
      </w:r>
    </w:p>
    <w:p w14:paraId="6538E8F8">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可能投资符合监管要求的资产管理产品（包括但不限于信托计划、公募基金、基金公司或子公司资产管理计划、证券公司资产管理计划、期货资产管理计划、保险资产管理计划等，具体以《产品说明书》或理财产品定期报告披露为准），前述资产管理产品的管理人可能收取</w:t>
      </w:r>
      <w:r>
        <w:rPr>
          <w:rFonts w:hint="eastAsia" w:ascii="仿宋_GB2312" w:hAnsi="宋体" w:cs="宋体"/>
          <w:b w:val="0"/>
          <w:color w:val="auto"/>
          <w:kern w:val="0"/>
          <w:szCs w:val="24"/>
          <w:highlight w:val="yellow"/>
          <w:u w:val="none"/>
          <w:lang w:eastAsia="zh-CN"/>
        </w:rPr>
        <w:t>浮动管理费</w:t>
      </w:r>
      <w:r>
        <w:rPr>
          <w:rFonts w:hint="default" w:ascii="仿宋_GB2312" w:hAnsi="宋体" w:cs="宋体"/>
          <w:b w:val="0"/>
          <w:color w:val="auto"/>
          <w:kern w:val="0"/>
          <w:szCs w:val="24"/>
          <w:highlight w:val="yellow"/>
          <w:u w:val="none"/>
        </w:rPr>
        <w:t>，当前述资产管理产品计提</w:t>
      </w:r>
      <w:r>
        <w:rPr>
          <w:rFonts w:hint="eastAsia" w:ascii="仿宋_GB2312" w:hAnsi="宋体" w:cs="宋体"/>
          <w:b w:val="0"/>
          <w:color w:val="auto"/>
          <w:kern w:val="0"/>
          <w:szCs w:val="24"/>
          <w:highlight w:val="yellow"/>
          <w:u w:val="none"/>
          <w:lang w:eastAsia="zh-CN"/>
        </w:rPr>
        <w:t>浮动管理费</w:t>
      </w:r>
      <w:r>
        <w:rPr>
          <w:rFonts w:hint="default" w:ascii="仿宋_GB2312" w:hAnsi="宋体" w:cs="宋体"/>
          <w:b w:val="0"/>
          <w:color w:val="auto"/>
          <w:kern w:val="0"/>
          <w:szCs w:val="24"/>
          <w:highlight w:val="yellow"/>
          <w:u w:val="none"/>
        </w:rPr>
        <w:t>时，本理财产品的产品份额净值存在下跌风险。</w:t>
      </w:r>
    </w:p>
    <w:p w14:paraId="57E280FB">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（十七）托管及清算风险</w:t>
      </w:r>
    </w:p>
    <w:p w14:paraId="7BEFBF21">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本理财产品存在托管人，若因托管人操作失误或因任何原因未能按约履行托管人职责，或丧失进行托管的能力或法定资格，均可能给本理财产品带来风险。</w:t>
      </w:r>
    </w:p>
    <w:p w14:paraId="6AED4B3F">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（十八）税务风险</w:t>
      </w:r>
    </w:p>
    <w:p w14:paraId="5EED37AF">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根据国家相关法律法规，理财产品运营过程中发生的应由理财产品承担的增值税应税行为，由产品管理人申报和缴纳增值税及附加税费。该等税款将直接从理财产品中扣付缴纳，本理财产品将因为前述增值税等税负承担导致税费支出增加、理财产品净值或实际收益降低，从而降低投资者的收益水平。</w:t>
      </w:r>
    </w:p>
    <w:p w14:paraId="20F5CCC8">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（十九）不同理财产品份额类别存在差异的风险</w:t>
      </w:r>
    </w:p>
    <w:p w14:paraId="4AD60235">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管理人有权根据投资者购买理财产品的金额、销售渠道、客户类型等因素，对投资者所持有的理财产品份额设置不同的理财产品份额类别。不同类别的理财产品份额可能在产品销售名称、产品</w:t>
      </w:r>
      <w:r>
        <w:rPr>
          <w:rFonts w:hint="eastAsia" w:ascii="仿宋_GB2312" w:hAnsi="宋体" w:cs="宋体"/>
          <w:b w:val="0"/>
          <w:color w:val="auto"/>
          <w:kern w:val="0"/>
          <w:szCs w:val="24"/>
          <w:highlight w:val="yellow"/>
          <w:u w:val="none"/>
          <w:lang w:eastAsia="zh-CN"/>
        </w:rPr>
        <w:t>份额</w:t>
      </w:r>
      <w:r>
        <w:rPr>
          <w:rFonts w:hint="default" w:ascii="仿宋_GB2312" w:hAnsi="宋体" w:cs="宋体"/>
          <w:b w:val="0"/>
          <w:color w:val="auto"/>
          <w:kern w:val="0"/>
          <w:szCs w:val="24"/>
          <w:highlight w:val="yellow"/>
          <w:u w:val="none"/>
        </w:rPr>
        <w:t>代码、销售渠道、销售</w:t>
      </w:r>
      <w:r>
        <w:rPr>
          <w:rFonts w:hint="eastAsia" w:ascii="仿宋_GB2312" w:hAnsi="宋体" w:cs="宋体"/>
          <w:b w:val="0"/>
          <w:color w:val="auto"/>
          <w:kern w:val="0"/>
          <w:szCs w:val="24"/>
          <w:highlight w:val="yellow"/>
          <w:u w:val="none"/>
          <w:lang w:eastAsia="zh-CN"/>
        </w:rPr>
        <w:t>对象</w:t>
      </w:r>
      <w:r>
        <w:rPr>
          <w:rFonts w:hint="default" w:ascii="仿宋_GB2312" w:hAnsi="宋体" w:cs="宋体"/>
          <w:b w:val="0"/>
          <w:color w:val="auto"/>
          <w:kern w:val="0"/>
          <w:szCs w:val="24"/>
          <w:highlight w:val="yellow"/>
          <w:u w:val="none"/>
        </w:rPr>
        <w:t>、销售服务费率、托管费率、收费方式、业绩比较基准、起点</w:t>
      </w:r>
      <w:r>
        <w:rPr>
          <w:rFonts w:hint="eastAsia" w:ascii="仿宋_GB2312" w:hAnsi="宋体" w:cs="宋体"/>
          <w:b w:val="0"/>
          <w:color w:val="auto"/>
          <w:kern w:val="0"/>
          <w:szCs w:val="24"/>
          <w:highlight w:val="yellow"/>
          <w:u w:val="none"/>
          <w:lang w:eastAsia="zh-CN"/>
        </w:rPr>
        <w:t>销售</w:t>
      </w:r>
      <w:r>
        <w:rPr>
          <w:rFonts w:hint="default" w:ascii="仿宋_GB2312" w:hAnsi="宋体" w:cs="宋体"/>
          <w:b w:val="0"/>
          <w:color w:val="auto"/>
          <w:kern w:val="0"/>
          <w:szCs w:val="24"/>
          <w:highlight w:val="yellow"/>
          <w:u w:val="none"/>
        </w:rPr>
        <w:t>金额及</w:t>
      </w:r>
      <w:r>
        <w:rPr>
          <w:rFonts w:hint="eastAsia" w:ascii="仿宋_GB2312" w:hAnsi="宋体" w:cs="宋体"/>
          <w:b w:val="0"/>
          <w:color w:val="auto"/>
          <w:kern w:val="0"/>
          <w:szCs w:val="24"/>
          <w:highlight w:val="yellow"/>
          <w:u w:val="none"/>
          <w:lang w:eastAsia="zh-CN"/>
        </w:rPr>
        <w:t>追加</w:t>
      </w:r>
      <w:r>
        <w:rPr>
          <w:rFonts w:hint="default" w:ascii="仿宋_GB2312" w:hAnsi="宋体" w:cs="宋体"/>
          <w:b w:val="0"/>
          <w:color w:val="auto"/>
          <w:kern w:val="0"/>
          <w:szCs w:val="24"/>
          <w:highlight w:val="yellow"/>
          <w:u w:val="none"/>
        </w:rPr>
        <w:t>递增金额、认/申购上限金额、认/申购和赎回数量限制、持有金额上/下限、单一投资者持有份额占比上限、产品规模上限、产品份额净值的计算结果及信息披露等方面存在差异。</w:t>
      </w:r>
    </w:p>
    <w:p w14:paraId="1DDAA75B">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（二十）投资特定风险</w:t>
      </w:r>
    </w:p>
    <w:p w14:paraId="50401CA5">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本理财产品因拟投资市场和资产类别可能面临的特定风险如下：</w:t>
      </w:r>
    </w:p>
    <w:p w14:paraId="526A5FF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1.投资于固定收益类资产</w:t>
      </w:r>
      <w:r>
        <w:rPr>
          <w:rFonts w:hint="eastAsia" w:ascii="仿宋_GB2312" w:hAnsi="宋体" w:cs="宋体"/>
          <w:b/>
          <w:bCs/>
          <w:color w:val="auto"/>
          <w:kern w:val="0"/>
          <w:szCs w:val="24"/>
          <w:highlight w:val="yellow"/>
          <w:u w:val="none"/>
          <w:lang w:eastAsia="zh-CN"/>
        </w:rPr>
        <w:t>（如有）</w:t>
      </w:r>
      <w:r>
        <w:rPr>
          <w:rFonts w:hint="default" w:ascii="仿宋_GB2312" w:hAnsi="宋体" w:cs="宋体"/>
          <w:b/>
          <w:bCs/>
          <w:color w:val="auto"/>
          <w:kern w:val="0"/>
          <w:szCs w:val="24"/>
          <w:highlight w:val="yellow"/>
          <w:u w:val="none"/>
        </w:rPr>
        <w:t>的可能风险：</w:t>
      </w:r>
    </w:p>
    <w:p w14:paraId="6428492B">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1）国家政策、经济周期、利率、汇率等因素可能发生的变化导致的市场风险。（2）债券发行人、担保人的经营状况、信用质量降低等可能发生的变化导致的信用风险。（3）债券发行人、担保人信用等级降低导致债券价格下降，可能影响投资者收益，甚至使产品本金遭受损失。（4）非公开定向债务融资工具的流通和转让限制导致的流动性风险。（5）债券市场出现整体下跌，导致债券市场的系统性风险等。（6）可转/交换债券投资风险（如有）：可转/交换债券收益与对应标的股票股价直接挂钩，债券价格可能受之影响；转股期内，对应标的股票价格可能低于转股价格，若选择转股，产品将承受标的股票价格低于转股价格之间的价差；转股价格向下修正条款触发时，存在发行方不同意修正转股价格的风险；赎回条款可能导致债券提前兑付或转股期缩短而影响投资收益的风险；存在因政策限制导致无法转股的风险，可转/交换债券投资受到包括但不限于上述因素影响时，可能影响投资者收益，甚至使产品本金遭受损失。（7）永续债投资风险（如有）：永续债发行人可能延期支付利息，且永续债无到期日，可能因流动性差无法变现、无法收回本金，使产品出现流动性风险；永续债附加的回售或赎回权，可能会导致管理人以不利价格出售永续债，从而影响投资者收益。</w:t>
      </w:r>
    </w:p>
    <w:p w14:paraId="18375226">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2.投资于股票等权益类资产（如有）的可能风险：</w:t>
      </w:r>
    </w:p>
    <w:p w14:paraId="1A5884F7">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国家货币、财政、产业等政策变化对证券市场产生一定的影响，导致市场价格水平波动的风险；宏观经济运行周期性波动，对股票市场的收益水平产生影响的风险；上市公司的经营状况受多种因素影响，如市场、技术、竞争、管理、财务等都可能导致公司盈利发生变化，从而导致股票价格下跌，影响投资者收益，甚至使产品本金遭受损失；股票遭流通和转让限制导致的流动性风险；投资于不同板块、不同市场股票，如投资科创板、创业板、港股通股票等，可能面临因投资标的、市场制度、交易规则、监管法规等差异造成的风险等。</w:t>
      </w:r>
    </w:p>
    <w:p w14:paraId="13A890EE">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优先股具有固定收益证券的特征，但优先股发行方无到期归还本金的义务，可能发生发行人经营状况恶化、无法足额支付股息的风险，从而影响产品和投资者收益；优先股属于权益类资产，价格受国家各类政策、宏观经济、行业发展等多种因素影响，可能发生波动从而影响产品收益，甚至使产品本金遭受损失。</w:t>
      </w:r>
    </w:p>
    <w:p w14:paraId="66D0F83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3.投资于商品及金融衍生品类资产（如有）的可能风险：</w:t>
      </w:r>
    </w:p>
    <w:p w14:paraId="4B56338F">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基础产品价格波动造成衍生品价格波动，高杠杆和跨期交易可能加剧衍生品价格波动的市场风险；衍生品发行方或交易对手方违约或不履行合约的导致的信用风险；缺乏交易对手导致无法平仓/变现、流动资金不足或无法追加保证金导致被迫平仓造成亏损的风险；因内部程序、人员、系统操作不当或因外部事件导致损失的操作风险；部分衍生品操作相关法律法规的滞后，交易合约在法律范围内无效而无法履约或交易合约订立不当产生的法律风险。由于期货与现货间的价差的波动，影响套期保值或套利效果，使之发生意外损益的基差风险。</w:t>
      </w:r>
    </w:p>
    <w:p w14:paraId="16E90E9E">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（二十一）其他风险</w:t>
      </w:r>
    </w:p>
    <w:p w14:paraId="1C968C76">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自然灾害、疫情、战争、金融危机等不能预见、不能避免、不能克服的不可抗力因素的出现，或系统故障、通讯故障、投资市场停止交易等意外事件的发生，可能对本理财产品的受理、成立、投资运作、资金返还、信息披露等造成影响，甚至可能导致本理财产品本金和收益的降低或损失，以及本金和收益延迟支付。对于由不可抗力及意外事件风险导致的任何损失和延迟支付，须投资者承担。</w:t>
      </w:r>
    </w:p>
    <w:p w14:paraId="72A06B1C">
      <w:pPr>
        <w:widowControl/>
        <w:tabs>
          <w:tab w:val="left" w:pos="709"/>
        </w:tabs>
        <w:adjustRightInd w:val="0"/>
        <w:snapToGrid w:val="0"/>
        <w:spacing w:line="360" w:lineRule="auto"/>
        <w:ind w:firstLine="420" w:firstLineChars="200"/>
        <w:rPr>
          <w:rFonts w:hint="eastAsia" w:ascii="仿宋_GB2312" w:hAnsi="宋体" w:eastAsia="仿宋_GB2312" w:cs="宋体"/>
          <w:b w:val="0"/>
          <w:bCs w:val="0"/>
          <w:color w:val="auto"/>
          <w:kern w:val="0"/>
          <w:sz w:val="24"/>
          <w:szCs w:val="24"/>
          <w:highlight w:val="yellow"/>
          <w:u w:val="none"/>
          <w:lang w:eastAsia="zh-CN"/>
        </w:rPr>
      </w:pPr>
      <w:r>
        <w:rPr>
          <w:rFonts w:hint="default" w:ascii="仿宋_GB2312" w:hAnsi="宋体" w:cs="宋体"/>
          <w:b w:val="0"/>
          <w:color w:val="auto"/>
          <w:kern w:val="0"/>
          <w:szCs w:val="24"/>
          <w:highlight w:val="yellow"/>
          <w:u w:val="none"/>
        </w:rPr>
        <w:t>以上所揭示事项仅为列举性质，未能尽述列明投资者投资本理财产品所面临的全部风险和可能导致投资者资产损失的所有因素。投资者应充分认识投资风险，谨慎投资</w:t>
      </w:r>
      <w:r>
        <w:rPr>
          <w:rFonts w:hint="default" w:ascii="仿宋_GB2312" w:hAnsi="宋体" w:eastAsia="仿宋_GB2312" w:cs="宋体"/>
          <w:b w:val="0"/>
          <w:bCs w:val="0"/>
          <w:color w:val="auto"/>
          <w:kern w:val="0"/>
          <w:sz w:val="24"/>
          <w:szCs w:val="24"/>
          <w:highlight w:val="yellow"/>
          <w:u w:val="none"/>
        </w:rPr>
        <w:t>。</w:t>
      </w:r>
      <w:r>
        <w:rPr>
          <w:rFonts w:hint="eastAsia" w:ascii="仿宋_GB2312" w:hAnsi="宋体" w:cs="宋体"/>
          <w:b w:val="0"/>
          <w:bCs w:val="0"/>
          <w:color w:val="auto"/>
          <w:kern w:val="0"/>
          <w:sz w:val="24"/>
          <w:szCs w:val="24"/>
          <w:highlight w:val="yellow"/>
          <w:u w:val="none"/>
          <w:lang w:eastAsia="zh-CN"/>
        </w:rPr>
        <w:t>】</w:t>
      </w:r>
    </w:p>
    <w:p w14:paraId="073116DA">
      <w:pPr>
        <w:widowControl/>
        <w:tabs>
          <w:tab w:val="left" w:pos="709"/>
        </w:tabs>
        <w:adjustRightInd w:val="0"/>
        <w:snapToGrid w:val="0"/>
        <w:spacing w:line="360" w:lineRule="auto"/>
        <w:ind w:firstLine="480" w:firstLineChars="200"/>
        <w:rPr>
          <w:rFonts w:hint="default" w:ascii="仿宋_GB2312" w:hAnsi="宋体" w:eastAsia="仿宋_GB2312" w:cs="宋体"/>
          <w:b w:val="0"/>
          <w:bCs w:val="0"/>
          <w:color w:val="auto"/>
          <w:kern w:val="0"/>
          <w:sz w:val="24"/>
          <w:szCs w:val="24"/>
          <w:highlight w:val="yellow"/>
          <w:u w:val="none"/>
        </w:rPr>
      </w:pPr>
    </w:p>
    <w:p w14:paraId="45C3B62B">
      <w:pPr>
        <w:widowControl/>
        <w:tabs>
          <w:tab w:val="left" w:pos="709"/>
        </w:tabs>
        <w:adjustRightInd w:val="0"/>
        <w:snapToGrid w:val="0"/>
        <w:spacing w:line="360" w:lineRule="auto"/>
        <w:ind w:firstLine="480" w:firstLineChars="200"/>
        <w:rPr>
          <w:rFonts w:hint="default" w:ascii="仿宋_GB2312" w:hAnsi="宋体" w:eastAsia="仿宋_GB2312" w:cs="宋体"/>
          <w:b w:val="0"/>
          <w:bCs w:val="0"/>
          <w:color w:val="auto"/>
          <w:kern w:val="0"/>
          <w:sz w:val="24"/>
          <w:szCs w:val="24"/>
          <w:highlight w:val="yellow"/>
          <w:u w:val="none"/>
        </w:rPr>
      </w:pPr>
    </w:p>
    <w:p w14:paraId="314120DC">
      <w:pPr>
        <w:widowControl/>
        <w:tabs>
          <w:tab w:val="left" w:pos="709"/>
        </w:tabs>
        <w:adjustRightInd w:val="0"/>
        <w:snapToGrid w:val="0"/>
        <w:spacing w:line="360" w:lineRule="auto"/>
        <w:ind w:firstLine="480" w:firstLineChars="200"/>
        <w:rPr>
          <w:rFonts w:hint="default" w:ascii="仿宋_GB2312" w:hAnsi="宋体" w:eastAsia="仿宋_GB2312" w:cs="宋体"/>
          <w:b w:val="0"/>
          <w:bCs w:val="0"/>
          <w:color w:val="auto"/>
          <w:kern w:val="0"/>
          <w:sz w:val="24"/>
          <w:szCs w:val="24"/>
          <w:highlight w:val="none"/>
          <w:u w:val="none"/>
        </w:rPr>
      </w:pPr>
    </w:p>
    <w:p w14:paraId="1C092CAF">
      <w:pPr>
        <w:widowControl/>
        <w:tabs>
          <w:tab w:val="left" w:pos="709"/>
        </w:tabs>
        <w:adjustRightInd w:val="0"/>
        <w:snapToGrid w:val="0"/>
        <w:spacing w:line="360" w:lineRule="auto"/>
        <w:ind w:firstLine="480" w:firstLineChars="200"/>
        <w:rPr>
          <w:rFonts w:hint="default" w:ascii="仿宋_GB2312" w:hAnsi="宋体" w:eastAsia="仿宋_GB2312" w:cs="宋体"/>
          <w:b w:val="0"/>
          <w:bCs w:val="0"/>
          <w:color w:val="auto"/>
          <w:kern w:val="0"/>
          <w:sz w:val="24"/>
          <w:szCs w:val="24"/>
          <w:highlight w:val="none"/>
          <w:u w:val="none"/>
        </w:rPr>
      </w:pPr>
    </w:p>
    <w:p w14:paraId="1110190F">
      <w:pPr>
        <w:rPr>
          <w:rFonts w:hint="default" w:ascii="仿宋_GB2312" w:hAnsi="宋体" w:eastAsia="仿宋_GB2312" w:cs="宋体"/>
          <w:b w:val="0"/>
          <w:bCs w:val="0"/>
          <w:color w:val="auto"/>
          <w:kern w:val="0"/>
          <w:sz w:val="24"/>
          <w:szCs w:val="24"/>
          <w:highlight w:val="none"/>
          <w:u w:val="none"/>
        </w:rPr>
      </w:pPr>
      <w:r>
        <w:rPr>
          <w:rFonts w:hint="default" w:ascii="仿宋_GB2312" w:hAnsi="宋体" w:eastAsia="仿宋_GB2312" w:cs="宋体"/>
          <w:b w:val="0"/>
          <w:bCs w:val="0"/>
          <w:color w:val="auto"/>
          <w:kern w:val="0"/>
          <w:sz w:val="24"/>
          <w:szCs w:val="24"/>
          <w:highlight w:val="none"/>
          <w:u w:val="none"/>
        </w:rPr>
        <w:br w:type="page"/>
      </w:r>
    </w:p>
    <w:p w14:paraId="280706A9">
      <w:pPr>
        <w:pStyle w:val="2"/>
      </w:pPr>
      <w:r>
        <w:rPr>
          <w:rFonts w:hint="eastAsia"/>
          <w:color w:val="auto"/>
          <w:highlight w:val="none"/>
          <w:u w:val="none"/>
          <w:lang w:eastAsia="zh-CN"/>
        </w:rPr>
        <w:t>特别提示</w:t>
      </w:r>
    </w:p>
    <w:p w14:paraId="7F5A16B0">
      <w:pPr>
        <w:widowControl/>
        <w:tabs>
          <w:tab w:val="left" w:pos="709"/>
        </w:tabs>
        <w:snapToGrid w:val="0"/>
        <w:spacing w:line="360" w:lineRule="auto"/>
        <w:ind w:firstLine="422" w:firstLineChars="20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若本理财产品所投资资产到期不能全部偿付导致资产减值甚至本金大幅损失，则浙银理财将以产品管理人名义，代表投资者利益行使诉讼权利或者实施其他法律行为。</w:t>
      </w:r>
    </w:p>
    <w:p w14:paraId="7956305F">
      <w:pPr>
        <w:widowControl/>
        <w:tabs>
          <w:tab w:val="left" w:pos="709"/>
        </w:tabs>
        <w:snapToGrid w:val="0"/>
        <w:spacing w:line="360" w:lineRule="auto"/>
        <w:ind w:firstLine="422" w:firstLineChars="20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产品管理人对投资者信息负有保密义务，不得无故向任何组织、个人提供或泄露与投资者有关的业务资料及信息。产品管理人向确有知悉必要的雇员提供投资者信息，或按照有关法律、法规、监管要求向司法机关、行政机关等有关政府部门、投资合作机构及第三方专业机构提供的，不视为对保密义务的违反。</w:t>
      </w:r>
    </w:p>
    <w:p w14:paraId="4A731343">
      <w:pPr>
        <w:widowControl/>
        <w:tabs>
          <w:tab w:val="left" w:pos="709"/>
        </w:tabs>
        <w:snapToGrid w:val="0"/>
        <w:spacing w:line="360" w:lineRule="auto"/>
        <w:ind w:firstLine="422" w:firstLineChars="20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产品管理人根据适用的法律法规和监管机构要求，向监管机构和/或其他有权机关（包括但不限于理财登记中心数据交换平台）报送投资者身份信息及投资者持有本产品份额及其变动情况等相关信息。产品管理人对向监管机构和/或监管机构指定机构报送的相关信息负有保密义务,并在报送信息过程中,采取有效措施确保信息安全与保密。</w:t>
      </w:r>
    </w:p>
    <w:p w14:paraId="4409E409">
      <w:pPr>
        <w:widowControl/>
        <w:tabs>
          <w:tab w:val="left" w:pos="709"/>
        </w:tabs>
        <w:snapToGrid w:val="0"/>
        <w:spacing w:line="360" w:lineRule="auto"/>
        <w:ind w:firstLine="420" w:firstLineChars="200"/>
        <w:rPr>
          <w:rFonts w:ascii="仿宋_GB2312" w:hAnsi="宋体" w:cs="宋体"/>
          <w:b/>
          <w:bCs/>
          <w:color w:val="auto"/>
          <w:kern w:val="0"/>
          <w:szCs w:val="24"/>
          <w:highlight w:val="none"/>
          <w:u w:val="none"/>
        </w:rPr>
      </w:pPr>
      <w:r>
        <w:rPr>
          <w:rFonts w:hint="eastAsia"/>
          <w:color w:val="auto"/>
          <w:highlight w:val="none"/>
          <w:u w:val="none"/>
        </w:rPr>
        <w:t>本产品的转让将依照理财产品销售文件及销售机构的业务政策执行。</w:t>
      </w:r>
    </w:p>
    <w:p w14:paraId="76C62E95">
      <w:pPr>
        <w:tabs>
          <w:tab w:val="left" w:pos="709"/>
        </w:tabs>
        <w:snapToGrid w:val="0"/>
        <w:spacing w:line="360" w:lineRule="auto"/>
        <w:ind w:firstLine="420" w:firstLineChars="200"/>
        <w:rPr>
          <w:color w:val="auto"/>
          <w:highlight w:val="none"/>
          <w:u w:val="none"/>
        </w:rPr>
      </w:pPr>
      <w:r>
        <w:rPr>
          <w:rFonts w:hint="eastAsia" w:ascii="仿宋_GB2312" w:hAnsi="宋体" w:cs="宋体"/>
          <w:bCs/>
          <w:color w:val="auto"/>
          <w:kern w:val="0"/>
          <w:szCs w:val="24"/>
          <w:highlight w:val="none"/>
          <w:u w:val="none"/>
        </w:rPr>
        <w:t>投资者对本理财产品有任何意见或异议，</w:t>
      </w:r>
      <w:r>
        <w:rPr>
          <w:rFonts w:hint="eastAsia" w:ascii="仿宋_GB2312" w:cs="宋体" w:hAnsiTheme="minorEastAsia"/>
          <w:bCs/>
          <w:color w:val="auto"/>
          <w:kern w:val="0"/>
          <w:szCs w:val="32"/>
          <w:highlight w:val="none"/>
          <w:u w:val="none"/>
        </w:rPr>
        <w:t>敬请联系您的销售服务机构，具体联系方式以《产品说明书》等销售文件的披露为准;或反馈至浙银理财，浙银理财服务电话：0571-57192881。</w:t>
      </w:r>
    </w:p>
    <w:p w14:paraId="3A1CCC29">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2A3FCC8B">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459C33AD">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274FA9DD">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670BCD8B">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000CDF7D">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47F5333F">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5E47D0CE">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69AC33F8">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341D922B">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6A42A604">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28DE5941">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1877CE9F">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6EC7F181">
      <w:pPr>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br w:type="page"/>
      </w:r>
    </w:p>
    <w:p w14:paraId="7AB08A9B">
      <w:pPr>
        <w:widowControl/>
        <w:tabs>
          <w:tab w:val="left" w:pos="709"/>
        </w:tabs>
        <w:snapToGrid w:val="0"/>
        <w:spacing w:line="360" w:lineRule="auto"/>
        <w:ind w:firstLine="420" w:firstLineChars="200"/>
        <w:rPr>
          <w:rFonts w:hint="eastAsia"/>
          <w:color w:val="auto"/>
          <w:highlight w:val="none"/>
          <w:u w:val="none"/>
          <w:lang w:val="en-US" w:eastAsia="zh-CN"/>
        </w:rPr>
      </w:pPr>
      <w:r>
        <w:rPr>
          <w:rFonts w:hint="eastAsia"/>
          <w:color w:val="auto"/>
          <w:highlight w:val="none"/>
          <w:u w:val="none"/>
          <w:lang w:val="en-US" w:eastAsia="zh-CN"/>
        </w:rPr>
        <w:t xml:space="preserve">（本页为签署页，无正文） </w:t>
      </w:r>
    </w:p>
    <w:p w14:paraId="0AD2EE60">
      <w:pPr>
        <w:widowControl/>
        <w:tabs>
          <w:tab w:val="left" w:pos="709"/>
        </w:tabs>
        <w:snapToGrid w:val="0"/>
        <w:spacing w:line="360" w:lineRule="auto"/>
        <w:ind w:firstLine="420" w:firstLineChars="200"/>
        <w:rPr>
          <w:rFonts w:hint="eastAsia"/>
          <w:color w:val="auto"/>
          <w:highlight w:val="none"/>
          <w:u w:val="none"/>
          <w:lang w:val="en-US" w:eastAsia="zh-CN"/>
        </w:rPr>
      </w:pPr>
      <w:r>
        <w:rPr>
          <w:rFonts w:hint="eastAsia"/>
          <w:color w:val="auto"/>
          <w:highlight w:val="none"/>
          <w:u w:val="none"/>
          <w:lang w:val="en-US" w:eastAsia="zh-CN"/>
        </w:rPr>
        <w:t>投资者（个人客户签名） ：</w:t>
      </w:r>
    </w:p>
    <w:p w14:paraId="5D9736B5">
      <w:pPr>
        <w:widowControl/>
        <w:tabs>
          <w:tab w:val="left" w:pos="709"/>
        </w:tabs>
        <w:snapToGrid w:val="0"/>
        <w:spacing w:line="360" w:lineRule="auto"/>
        <w:ind w:firstLine="420" w:firstLineChars="200"/>
        <w:rPr>
          <w:rFonts w:hint="eastAsia"/>
          <w:color w:val="auto"/>
          <w:highlight w:val="none"/>
          <w:u w:val="none"/>
          <w:lang w:val="en-US" w:eastAsia="zh-CN"/>
        </w:rPr>
      </w:pPr>
    </w:p>
    <w:p w14:paraId="4C80ACBD">
      <w:pPr>
        <w:widowControl/>
        <w:tabs>
          <w:tab w:val="left" w:pos="709"/>
        </w:tabs>
        <w:snapToGrid w:val="0"/>
        <w:spacing w:line="360" w:lineRule="auto"/>
        <w:ind w:firstLine="420" w:firstLineChars="200"/>
        <w:rPr>
          <w:rFonts w:hint="eastAsia"/>
          <w:color w:val="auto"/>
          <w:highlight w:val="none"/>
          <w:u w:val="none"/>
        </w:rPr>
      </w:pPr>
      <w:r>
        <w:rPr>
          <w:rFonts w:hint="eastAsia"/>
          <w:color w:val="auto"/>
          <w:highlight w:val="none"/>
          <w:u w:val="none"/>
          <w:lang w:val="en-US" w:eastAsia="zh-CN"/>
        </w:rPr>
        <w:t>投资者（机构客户盖公章） ：</w:t>
      </w:r>
    </w:p>
    <w:p w14:paraId="610D1B1A">
      <w:pPr>
        <w:widowControl/>
        <w:tabs>
          <w:tab w:val="left" w:pos="709"/>
        </w:tabs>
        <w:snapToGrid w:val="0"/>
        <w:spacing w:line="360" w:lineRule="auto"/>
        <w:ind w:firstLine="420" w:firstLineChars="200"/>
        <w:rPr>
          <w:rFonts w:hint="eastAsia"/>
          <w:color w:val="auto"/>
          <w:highlight w:val="none"/>
          <w:u w:val="none"/>
        </w:rPr>
      </w:pPr>
      <w:r>
        <w:rPr>
          <w:rFonts w:hint="eastAsia"/>
          <w:color w:val="auto"/>
          <w:highlight w:val="none"/>
          <w:u w:val="none"/>
          <w:lang w:val="en-US" w:eastAsia="zh-CN"/>
        </w:rPr>
        <w:t xml:space="preserve">法定代表人或授权代理人（签名或盖个人名章）： </w:t>
      </w:r>
    </w:p>
    <w:p w14:paraId="524F96C1">
      <w:pPr>
        <w:widowControl/>
        <w:tabs>
          <w:tab w:val="left" w:pos="709"/>
        </w:tabs>
        <w:snapToGrid w:val="0"/>
        <w:spacing w:line="360" w:lineRule="auto"/>
        <w:ind w:firstLine="420" w:firstLineChars="200"/>
        <w:rPr>
          <w:rFonts w:hint="eastAsia"/>
          <w:color w:val="auto"/>
          <w:highlight w:val="none"/>
          <w:u w:val="none"/>
          <w:lang w:val="en-US" w:eastAsia="zh-CN"/>
        </w:rPr>
      </w:pPr>
    </w:p>
    <w:p w14:paraId="03D3C711">
      <w:pPr>
        <w:widowControl/>
        <w:tabs>
          <w:tab w:val="left" w:pos="709"/>
        </w:tabs>
        <w:snapToGrid w:val="0"/>
        <w:spacing w:line="360" w:lineRule="auto"/>
        <w:ind w:firstLine="420" w:firstLineChars="200"/>
        <w:rPr>
          <w:rFonts w:hint="eastAsia"/>
          <w:color w:val="auto"/>
          <w:highlight w:val="none"/>
          <w:u w:val="none"/>
        </w:rPr>
      </w:pPr>
      <w:r>
        <w:rPr>
          <w:rFonts w:hint="eastAsia"/>
          <w:color w:val="auto"/>
          <w:highlight w:val="none"/>
          <w:u w:val="none"/>
          <w:lang w:val="en-US" w:eastAsia="zh-CN"/>
        </w:rPr>
        <w:t>签约日期:_______年______月______日</w:t>
      </w:r>
    </w:p>
    <w:p w14:paraId="6062B10A">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58304581">
      <w:pPr>
        <w:widowControl/>
        <w:jc w:val="left"/>
        <w:rPr>
          <w:color w:val="auto"/>
          <w:szCs w:val="24"/>
          <w:highlight w:val="none"/>
          <w:u w:val="none"/>
        </w:rPr>
      </w:pPr>
    </w:p>
    <w:p w14:paraId="27646B2F">
      <w:pPr>
        <w:widowControl/>
        <w:jc w:val="left"/>
        <w:rPr>
          <w:color w:val="auto"/>
          <w:szCs w:val="24"/>
          <w:highlight w:val="none"/>
          <w:u w:val="none"/>
        </w:rPr>
      </w:pPr>
    </w:p>
    <w:p w14:paraId="5FEB1936">
      <w:pPr>
        <w:rPr>
          <w:color w:val="auto"/>
          <w:szCs w:val="24"/>
          <w:highlight w:val="none"/>
          <w:u w:val="none"/>
        </w:rPr>
      </w:pPr>
      <w:r>
        <w:rPr>
          <w:color w:val="auto"/>
          <w:szCs w:val="24"/>
          <w:highlight w:val="none"/>
          <w:u w:val="none"/>
        </w:rPr>
        <w:br w:type="page"/>
      </w:r>
    </w:p>
    <w:p w14:paraId="4B7ABF01">
      <w:pPr>
        <w:jc w:val="left"/>
        <w:rPr>
          <w:rFonts w:hint="eastAsia"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t>附件6：</w:t>
      </w:r>
    </w:p>
    <w:p w14:paraId="6E848400">
      <w:pPr>
        <w:widowControl/>
        <w:snapToGrid w:val="0"/>
        <w:jc w:val="center"/>
        <w:rPr>
          <w:rFonts w:hint="eastAsia" w:ascii="方正小标宋简体" w:hAnsi="宋体" w:eastAsia="方正小标宋简体" w:cs="宋体"/>
          <w:bCs/>
          <w:color w:val="auto"/>
          <w:kern w:val="0"/>
          <w:sz w:val="36"/>
          <w:szCs w:val="36"/>
          <w:highlight w:val="none"/>
        </w:rPr>
      </w:pPr>
      <w:r>
        <w:rPr>
          <w:rFonts w:hint="eastAsia" w:ascii="方正小标宋简体" w:hAnsi="宋体" w:eastAsia="方正小标宋简体" w:cs="宋体"/>
          <w:bCs/>
          <w:color w:val="auto"/>
          <w:kern w:val="0"/>
          <w:sz w:val="36"/>
          <w:szCs w:val="36"/>
          <w:highlight w:val="none"/>
        </w:rPr>
        <w:t>浙银理财</w:t>
      </w:r>
      <w:r>
        <w:rPr>
          <w:rFonts w:hint="eastAsia" w:ascii="方正小标宋简体" w:hAnsi="宋体" w:eastAsia="方正小标宋简体" w:cs="宋体"/>
          <w:bCs/>
          <w:color w:val="auto"/>
          <w:kern w:val="0"/>
          <w:sz w:val="36"/>
          <w:szCs w:val="36"/>
          <w:highlight w:val="yellow"/>
          <w:u w:val="none"/>
          <w:lang w:eastAsia="zh-CN"/>
        </w:rPr>
        <w:t>【】</w:t>
      </w:r>
    </w:p>
    <w:p w14:paraId="17CE8C96">
      <w:pPr>
        <w:widowControl/>
        <w:snapToGrid w:val="0"/>
        <w:jc w:val="center"/>
        <w:rPr>
          <w:rFonts w:hint="eastAsia" w:ascii="方正小标宋简体" w:hAnsi="宋体" w:eastAsia="方正小标宋简体" w:cs="宋体"/>
          <w:bCs/>
          <w:color w:val="auto"/>
          <w:kern w:val="0"/>
          <w:sz w:val="36"/>
          <w:szCs w:val="36"/>
          <w:highlight w:val="none"/>
        </w:rPr>
      </w:pPr>
      <w:r>
        <w:rPr>
          <w:rFonts w:hint="eastAsia" w:ascii="方正小标宋简体" w:hAnsi="宋体" w:eastAsia="方正小标宋简体" w:cs="宋体"/>
          <w:bCs/>
          <w:color w:val="auto"/>
          <w:kern w:val="0"/>
          <w:sz w:val="36"/>
          <w:szCs w:val="36"/>
          <w:highlight w:val="none"/>
        </w:rPr>
        <w:t>理财产品说明书</w:t>
      </w:r>
    </w:p>
    <w:p w14:paraId="512699F9">
      <w:pPr>
        <w:widowControl/>
        <w:snapToGrid w:val="0"/>
        <w:jc w:val="center"/>
        <w:rPr>
          <w:rFonts w:hint="eastAsia" w:ascii="方正小标宋简体" w:hAnsi="宋体" w:eastAsia="方正小标宋简体" w:cs="宋体"/>
          <w:bCs/>
          <w:color w:val="auto"/>
          <w:kern w:val="0"/>
          <w:sz w:val="36"/>
          <w:szCs w:val="36"/>
          <w:highlight w:val="none"/>
        </w:rPr>
      </w:pPr>
      <w:r>
        <w:rPr>
          <w:rFonts w:hint="eastAsia" w:ascii="方正小标宋简体" w:hAnsi="宋体" w:eastAsia="方正小标宋简体" w:cs="宋体"/>
          <w:bCs/>
          <w:color w:val="auto"/>
          <w:kern w:val="0"/>
          <w:sz w:val="28"/>
          <w:szCs w:val="28"/>
          <w:highlight w:val="none"/>
        </w:rPr>
        <w:t>（全国银行业理财信息登记系统产品登记编码：</w:t>
      </w:r>
      <w:r>
        <w:rPr>
          <w:rFonts w:hint="eastAsia" w:ascii="宋体" w:hAnsi="宋体" w:eastAsia="宋体" w:cs="宋体"/>
          <w:b/>
          <w:bCs/>
          <w:color w:val="auto"/>
          <w:kern w:val="0"/>
          <w:sz w:val="28"/>
          <w:szCs w:val="28"/>
          <w:highlight w:val="yellow"/>
          <w:u w:val="none"/>
          <w:lang w:val="en-US" w:eastAsia="zh-CN" w:bidi="ar"/>
        </w:rPr>
        <w:t>【】</w:t>
      </w:r>
      <w:r>
        <w:rPr>
          <w:rFonts w:hint="eastAsia" w:ascii="方正小标宋简体" w:hAnsi="宋体" w:eastAsia="方正小标宋简体" w:cs="宋体"/>
          <w:bCs/>
          <w:color w:val="auto"/>
          <w:kern w:val="0"/>
          <w:sz w:val="28"/>
          <w:szCs w:val="28"/>
          <w:highlight w:val="none"/>
        </w:rPr>
        <w:t>）</w:t>
      </w:r>
    </w:p>
    <w:p w14:paraId="400BD607">
      <w:pPr>
        <w:widowControl/>
        <w:snapToGrid w:val="0"/>
        <w:jc w:val="center"/>
        <w:rPr>
          <w:rFonts w:hint="eastAsia" w:ascii="方正小标宋简体" w:hAnsi="宋体" w:eastAsia="方正小标宋简体" w:cs="宋体"/>
          <w:bCs/>
          <w:color w:val="auto"/>
          <w:kern w:val="0"/>
          <w:sz w:val="18"/>
          <w:szCs w:val="18"/>
          <w:highlight w:val="none"/>
        </w:rPr>
      </w:pPr>
      <w:r>
        <w:rPr>
          <w:rFonts w:hint="eastAsia" w:ascii="方正小标宋简体" w:hAnsi="宋体" w:eastAsia="方正小标宋简体" w:cs="宋体"/>
          <w:bCs/>
          <w:color w:val="auto"/>
          <w:kern w:val="0"/>
          <w:sz w:val="18"/>
          <w:szCs w:val="18"/>
          <w:highlight w:val="none"/>
        </w:rPr>
        <w:t>（投资者可依据该编码在中国理财网www.chinawealth.com.cn查询产品信息）</w:t>
      </w:r>
    </w:p>
    <w:p w14:paraId="39926C27">
      <w:pPr>
        <w:widowControl/>
        <w:snapToGrid w:val="0"/>
        <w:ind w:firstLine="420" w:firstLineChars="200"/>
        <w:rPr>
          <w:rFonts w:hint="eastAsia" w:ascii="黑体" w:hAnsi="宋体" w:eastAsia="黑体" w:cs="宋体"/>
          <w:bCs/>
          <w:color w:val="auto"/>
          <w:kern w:val="0"/>
          <w:szCs w:val="32"/>
          <w:highlight w:val="none"/>
        </w:rPr>
      </w:pPr>
    </w:p>
    <w:p w14:paraId="744AEAB2">
      <w:pPr>
        <w:pStyle w:val="2"/>
        <w:numPr>
          <w:ilvl w:val="0"/>
          <w:numId w:val="10"/>
        </w:numPr>
        <w:rPr>
          <w:rFonts w:hint="eastAsia"/>
          <w:color w:val="auto"/>
          <w:highlight w:val="none"/>
          <w:u w:val="none"/>
        </w:rPr>
      </w:pPr>
      <w:r>
        <w:rPr>
          <w:rFonts w:hint="eastAsia"/>
          <w:color w:val="auto"/>
          <w:highlight w:val="none"/>
          <w:u w:val="none"/>
        </w:rPr>
        <w:t>理财产品</w:t>
      </w:r>
      <w:r>
        <w:rPr>
          <w:rFonts w:hint="eastAsia"/>
          <w:color w:val="auto"/>
          <w:highlight w:val="none"/>
          <w:u w:val="none"/>
          <w:lang w:eastAsia="zh-CN"/>
        </w:rPr>
        <w:t>说明书关键要素</w:t>
      </w:r>
    </w:p>
    <w:tbl>
      <w:tblPr>
        <w:tblStyle w:val="7"/>
        <w:tblW w:w="9425" w:type="dxa"/>
        <w:tblInd w:w="-341" w:type="dxa"/>
        <w:tblLayout w:type="fixed"/>
        <w:tblCellMar>
          <w:top w:w="0" w:type="dxa"/>
          <w:left w:w="108" w:type="dxa"/>
          <w:bottom w:w="0" w:type="dxa"/>
          <w:right w:w="108" w:type="dxa"/>
        </w:tblCellMar>
      </w:tblPr>
      <w:tblGrid>
        <w:gridCol w:w="2453"/>
        <w:gridCol w:w="6972"/>
      </w:tblGrid>
      <w:tr w14:paraId="5F1013FA">
        <w:tblPrEx>
          <w:tblCellMar>
            <w:top w:w="0" w:type="dxa"/>
            <w:left w:w="108" w:type="dxa"/>
            <w:bottom w:w="0" w:type="dxa"/>
            <w:right w:w="108" w:type="dxa"/>
          </w:tblCellMar>
        </w:tblPrEx>
        <w:trPr>
          <w:trHeight w:val="1394" w:hRule="atLeast"/>
        </w:trPr>
        <w:tc>
          <w:tcPr>
            <w:tcW w:w="9425" w:type="dxa"/>
            <w:gridSpan w:val="2"/>
            <w:tcBorders>
              <w:top w:val="single" w:color="000000" w:sz="8" w:space="0"/>
              <w:left w:val="single" w:color="000000" w:sz="8" w:space="0"/>
              <w:bottom w:val="single" w:color="000000" w:sz="4" w:space="0"/>
              <w:right w:val="single" w:color="000000" w:sz="8" w:space="0"/>
            </w:tcBorders>
            <w:vAlign w:val="center"/>
          </w:tcPr>
          <w:p w14:paraId="06B52E6B">
            <w:pPr>
              <w:widowControl/>
              <w:spacing w:line="600" w:lineRule="exact"/>
              <w:jc w:val="center"/>
              <w:textAlignment w:val="center"/>
              <w:rPr>
                <w:rFonts w:hint="eastAsia" w:ascii="方正小标宋简体" w:hAnsi="方正小标宋简体" w:eastAsia="方正小标宋简体" w:cs="方正小标宋简体"/>
                <w:color w:val="000000"/>
                <w:sz w:val="40"/>
                <w:szCs w:val="40"/>
              </w:rPr>
            </w:pPr>
            <w:r>
              <w:rPr>
                <w:rFonts w:hint="eastAsia" w:ascii="方正小标宋简体" w:hAnsi="方正小标宋简体" w:eastAsia="方正小标宋简体" w:cs="方正小标宋简体"/>
                <w:color w:val="000000"/>
                <w:kern w:val="0"/>
                <w:sz w:val="40"/>
                <w:szCs w:val="40"/>
                <w:lang w:bidi="ar"/>
              </w:rPr>
              <w:t>理财产品说明书关键要素</w:t>
            </w:r>
          </w:p>
        </w:tc>
      </w:tr>
      <w:tr w14:paraId="24417385">
        <w:tblPrEx>
          <w:tblCellMar>
            <w:top w:w="0" w:type="dxa"/>
            <w:left w:w="108" w:type="dxa"/>
            <w:bottom w:w="0" w:type="dxa"/>
            <w:right w:w="108" w:type="dxa"/>
          </w:tblCellMar>
        </w:tblPrEx>
        <w:trPr>
          <w:trHeight w:val="980" w:hRule="atLeast"/>
        </w:trPr>
        <w:tc>
          <w:tcPr>
            <w:tcW w:w="9425" w:type="dxa"/>
            <w:gridSpan w:val="2"/>
            <w:tcBorders>
              <w:top w:val="single" w:color="000000" w:sz="4" w:space="0"/>
              <w:left w:val="single" w:color="000000" w:sz="8" w:space="0"/>
              <w:bottom w:val="nil"/>
              <w:right w:val="single" w:color="000000" w:sz="8" w:space="0"/>
            </w:tcBorders>
            <w:vAlign w:val="center"/>
          </w:tcPr>
          <w:p w14:paraId="3E1AC75C">
            <w:pPr>
              <w:widowControl/>
              <w:spacing w:line="400" w:lineRule="exact"/>
              <w:jc w:val="center"/>
              <w:textAlignment w:val="center"/>
              <w:rPr>
                <w:rFonts w:hint="eastAsia" w:ascii="仿宋_GB2312" w:hAnsi="等线" w:eastAsia="仿宋_GB2312" w:cs="仿宋_GB2312"/>
                <w:color w:val="000000"/>
                <w:sz w:val="24"/>
              </w:rPr>
            </w:pPr>
            <w:r>
              <w:rPr>
                <w:rFonts w:hint="eastAsia" w:cs="仿宋_GB2312"/>
                <w:sz w:val="22"/>
                <w:szCs w:val="22"/>
                <w:lang w:bidi="ar"/>
              </w:rPr>
              <w:t>本表格提供本理财产品的重要信息，是理财产品说明书的一部分。</w:t>
            </w:r>
            <w:r>
              <w:rPr>
                <w:rFonts w:hint="eastAsia" w:cs="仿宋_GB2312"/>
                <w:sz w:val="22"/>
                <w:szCs w:val="22"/>
                <w:lang w:bidi="ar"/>
              </w:rPr>
              <w:br w:type="textWrapping"/>
            </w:r>
            <w:r>
              <w:rPr>
                <w:rFonts w:hint="eastAsia" w:cs="仿宋_GB2312"/>
                <w:sz w:val="22"/>
                <w:szCs w:val="22"/>
                <w:lang w:bidi="ar"/>
              </w:rPr>
              <w:t>作出投资决定前，请阅读完整的理财产品说明书等销售文件。</w:t>
            </w:r>
          </w:p>
        </w:tc>
      </w:tr>
      <w:tr w14:paraId="709356D0">
        <w:tblPrEx>
          <w:tblCellMar>
            <w:top w:w="0" w:type="dxa"/>
            <w:left w:w="108" w:type="dxa"/>
            <w:bottom w:w="0" w:type="dxa"/>
            <w:right w:w="108" w:type="dxa"/>
          </w:tblCellMar>
        </w:tblPrEx>
        <w:trPr>
          <w:trHeight w:val="270" w:hRule="atLeast"/>
        </w:trPr>
        <w:tc>
          <w:tcPr>
            <w:tcW w:w="9425" w:type="dxa"/>
            <w:gridSpan w:val="2"/>
            <w:tcBorders>
              <w:top w:val="single" w:color="000000" w:sz="4" w:space="0"/>
              <w:left w:val="single" w:color="000000" w:sz="8" w:space="0"/>
              <w:bottom w:val="single" w:color="auto" w:sz="4" w:space="0"/>
              <w:right w:val="single" w:color="000000" w:sz="8" w:space="0"/>
            </w:tcBorders>
            <w:vAlign w:val="center"/>
          </w:tcPr>
          <w:p w14:paraId="1C271902">
            <w:pPr>
              <w:widowControl/>
              <w:spacing w:line="400" w:lineRule="exact"/>
              <w:jc w:val="center"/>
              <w:textAlignment w:val="center"/>
              <w:rPr>
                <w:rFonts w:hint="eastAsia" w:ascii="楷体_GB2312" w:hAnsi="等线" w:eastAsia="楷体_GB2312" w:cs="楷体_GB2312"/>
                <w:b/>
                <w:bCs/>
                <w:color w:val="000000"/>
                <w:sz w:val="24"/>
              </w:rPr>
            </w:pPr>
            <w:r>
              <w:rPr>
                <w:rFonts w:hint="eastAsia" w:ascii="楷体_GB2312" w:hAnsi="等线" w:eastAsia="楷体_GB2312" w:cs="楷体_GB2312"/>
                <w:b/>
                <w:bCs/>
                <w:color w:val="000000"/>
                <w:kern w:val="0"/>
                <w:sz w:val="24"/>
                <w:lang w:bidi="ar"/>
              </w:rPr>
              <w:t>（一）理财产品基本信息</w:t>
            </w:r>
          </w:p>
        </w:tc>
      </w:tr>
      <w:tr w14:paraId="36CA7BED">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74C8D962">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产品登记编码</w:t>
            </w:r>
          </w:p>
        </w:tc>
        <w:tc>
          <w:tcPr>
            <w:tcW w:w="6972" w:type="dxa"/>
            <w:tcBorders>
              <w:top w:val="single" w:color="auto" w:sz="4" w:space="0"/>
              <w:left w:val="single" w:color="auto" w:sz="4" w:space="0"/>
              <w:bottom w:val="single" w:color="auto" w:sz="4" w:space="0"/>
              <w:right w:val="single" w:color="auto" w:sz="4" w:space="0"/>
            </w:tcBorders>
            <w:vAlign w:val="center"/>
          </w:tcPr>
          <w:p w14:paraId="4B3A8505">
            <w:pPr>
              <w:widowControl/>
              <w:spacing w:line="400" w:lineRule="exact"/>
              <w:jc w:val="left"/>
              <w:textAlignment w:val="center"/>
              <w:rPr>
                <w:rFonts w:hint="eastAsia" w:ascii="宋体" w:hAnsi="宋体"/>
                <w:color w:val="auto"/>
                <w:szCs w:val="24"/>
                <w:highlight w:val="yellow"/>
                <w:u w:val="none"/>
              </w:rPr>
            </w:pPr>
            <w:r>
              <w:rPr>
                <w:rFonts w:hint="eastAsia" w:ascii="宋体" w:hAnsi="宋体"/>
                <w:color w:val="auto"/>
                <w:szCs w:val="24"/>
                <w:highlight w:val="yellow"/>
                <w:u w:val="none"/>
              </w:rPr>
              <w:t>【】</w:t>
            </w:r>
          </w:p>
          <w:p w14:paraId="51F11998">
            <w:pPr>
              <w:widowControl/>
              <w:spacing w:line="400" w:lineRule="exact"/>
              <w:jc w:val="left"/>
              <w:textAlignment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仿宋_GB2312" w:hAnsi="仿宋_GB2312" w:cs="仿宋_GB2312"/>
                <w:sz w:val="22"/>
                <w:szCs w:val="22"/>
                <w:lang w:bidi="ar"/>
              </w:rPr>
              <w:t>（重要提示：可依据该登记编码在中国理财网www.chinawealth.com.cn查询产品信息）</w:t>
            </w:r>
          </w:p>
        </w:tc>
      </w:tr>
      <w:tr w14:paraId="42BCD6F0">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63C4CA0">
            <w:pPr>
              <w:widowControl/>
              <w:spacing w:line="400" w:lineRule="exact"/>
              <w:jc w:val="center"/>
              <w:textAlignment w:val="center"/>
              <w:rPr>
                <w:rFonts w:hint="eastAsia" w:ascii="仿宋_GB2312" w:hAnsi="等线" w:cs="仿宋_GB2312"/>
                <w:color w:val="000000" w:themeColor="text1"/>
                <w:kern w:val="0"/>
                <w:sz w:val="24"/>
                <w:lang w:eastAsia="zh-CN" w:bidi="ar"/>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产品代码</w:t>
            </w:r>
          </w:p>
        </w:tc>
        <w:tc>
          <w:tcPr>
            <w:tcW w:w="6972" w:type="dxa"/>
            <w:tcBorders>
              <w:top w:val="single" w:color="auto" w:sz="4" w:space="0"/>
              <w:left w:val="single" w:color="auto" w:sz="4" w:space="0"/>
              <w:bottom w:val="single" w:color="auto" w:sz="4" w:space="0"/>
              <w:right w:val="single" w:color="auto" w:sz="4" w:space="0"/>
            </w:tcBorders>
            <w:vAlign w:val="center"/>
          </w:tcPr>
          <w:p w14:paraId="724F7A28">
            <w:pPr>
              <w:widowControl/>
              <w:spacing w:line="400" w:lineRule="exact"/>
              <w:jc w:val="left"/>
              <w:textAlignment w:val="center"/>
              <w:rPr>
                <w:rFonts w:hint="eastAsia" w:ascii="宋体" w:hAnsi="宋体"/>
                <w:color w:val="auto"/>
                <w:szCs w:val="24"/>
                <w:highlight w:val="none"/>
                <w:u w:val="none"/>
              </w:rPr>
            </w:pPr>
            <w:r>
              <w:rPr>
                <w:rFonts w:hint="eastAsia" w:ascii="宋体" w:hAnsi="宋体"/>
                <w:color w:val="auto"/>
                <w:szCs w:val="24"/>
                <w:highlight w:val="yellow"/>
                <w:u w:val="none"/>
              </w:rPr>
              <w:t>【】</w:t>
            </w:r>
          </w:p>
        </w:tc>
      </w:tr>
      <w:tr w14:paraId="33F2827C">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715248F">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理财</w:t>
            </w:r>
            <w:r>
              <w:rPr>
                <w:rFonts w:hint="eastAsia" w:ascii="仿宋_GB2312" w:hAnsi="等线" w:eastAsia="仿宋_GB2312" w:cs="仿宋_GB2312"/>
                <w:color w:val="000000" w:themeColor="text1"/>
                <w:kern w:val="0"/>
                <w:sz w:val="24"/>
                <w:lang w:bidi="ar"/>
                <w14:textFill>
                  <w14:solidFill>
                    <w14:schemeClr w14:val="tx1"/>
                  </w14:solidFill>
                </w14:textFill>
              </w:rPr>
              <w:t>产品名称</w:t>
            </w:r>
          </w:p>
        </w:tc>
        <w:tc>
          <w:tcPr>
            <w:tcW w:w="6972" w:type="dxa"/>
            <w:tcBorders>
              <w:top w:val="single" w:color="auto" w:sz="4" w:space="0"/>
              <w:left w:val="single" w:color="auto" w:sz="4" w:space="0"/>
              <w:bottom w:val="single" w:color="auto" w:sz="4" w:space="0"/>
              <w:right w:val="single" w:color="auto" w:sz="4" w:space="0"/>
            </w:tcBorders>
            <w:vAlign w:val="center"/>
          </w:tcPr>
          <w:p w14:paraId="76B44BB1">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olor w:val="auto"/>
                <w:szCs w:val="24"/>
                <w:highlight w:val="yellow"/>
                <w:u w:val="none"/>
              </w:rPr>
              <w:t>【】</w:t>
            </w:r>
          </w:p>
        </w:tc>
      </w:tr>
      <w:tr w14:paraId="45F20615">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AFB0198">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份额代码</w:t>
            </w:r>
          </w:p>
        </w:tc>
        <w:tc>
          <w:tcPr>
            <w:tcW w:w="6972" w:type="dxa"/>
            <w:tcBorders>
              <w:top w:val="single" w:color="auto" w:sz="4" w:space="0"/>
              <w:left w:val="single" w:color="auto" w:sz="4" w:space="0"/>
              <w:bottom w:val="single" w:color="auto" w:sz="4" w:space="0"/>
              <w:right w:val="single" w:color="auto" w:sz="4" w:space="0"/>
            </w:tcBorders>
            <w:vAlign w:val="center"/>
          </w:tcPr>
          <w:p w14:paraId="2DEB5B20">
            <w:pPr>
              <w:snapToGrid w:val="0"/>
              <w:jc w:val="left"/>
              <w:rPr>
                <w:rFonts w:hint="eastAsia" w:ascii="宋体" w:hAnsi="宋体" w:cs="宋体"/>
                <w:color w:val="auto"/>
                <w:kern w:val="0"/>
                <w:szCs w:val="24"/>
                <w:highlight w:val="none"/>
              </w:rPr>
            </w:pPr>
            <w:r>
              <w:rPr>
                <w:rFonts w:hint="eastAsia" w:ascii="宋体" w:hAnsi="宋体" w:cs="宋体"/>
                <w:color w:val="auto"/>
                <w:kern w:val="0"/>
                <w:szCs w:val="24"/>
                <w:highlight w:val="none"/>
              </w:rPr>
              <w:t>本产品根据投资者购买理财产品的金额、销售渠道、客户类型等因素设置不同的产品份额类别，各类产品份额可能分别设置不同的销售名称、</w:t>
            </w:r>
            <w:r>
              <w:rPr>
                <w:rFonts w:hint="eastAsia" w:ascii="宋体" w:hAnsi="宋体" w:cs="宋体"/>
                <w:color w:val="auto"/>
                <w:kern w:val="0"/>
                <w:szCs w:val="24"/>
                <w:highlight w:val="none"/>
                <w:lang w:eastAsia="zh-CN"/>
              </w:rPr>
              <w:t>份额</w:t>
            </w:r>
            <w:r>
              <w:rPr>
                <w:rFonts w:hint="eastAsia" w:ascii="宋体" w:hAnsi="宋体" w:cs="宋体"/>
                <w:color w:val="auto"/>
                <w:kern w:val="0"/>
                <w:szCs w:val="24"/>
                <w:highlight w:val="none"/>
              </w:rPr>
              <w:t>代码、销售渠道、销售</w:t>
            </w:r>
            <w:r>
              <w:rPr>
                <w:rFonts w:hint="eastAsia" w:ascii="宋体" w:hAnsi="宋体" w:cs="宋体"/>
                <w:color w:val="auto"/>
                <w:kern w:val="0"/>
                <w:szCs w:val="24"/>
                <w:highlight w:val="none"/>
                <w:lang w:eastAsia="zh-CN"/>
              </w:rPr>
              <w:t>对象</w:t>
            </w:r>
            <w:r>
              <w:rPr>
                <w:rFonts w:hint="eastAsia" w:ascii="宋体" w:hAnsi="宋体" w:cs="宋体"/>
                <w:color w:val="auto"/>
                <w:kern w:val="0"/>
                <w:szCs w:val="24"/>
                <w:highlight w:val="none"/>
              </w:rPr>
              <w:t>、销售服务费率、收费方式、业绩比较基准、</w:t>
            </w:r>
            <w:r>
              <w:rPr>
                <w:rFonts w:hint="eastAsia" w:ascii="宋体" w:hAnsi="宋体" w:cs="宋体"/>
                <w:color w:val="auto"/>
                <w:kern w:val="0"/>
                <w:szCs w:val="24"/>
                <w:highlight w:val="none"/>
                <w:lang w:eastAsia="zh-CN"/>
              </w:rPr>
              <w:t>起点销售</w:t>
            </w:r>
            <w:r>
              <w:rPr>
                <w:rFonts w:hint="eastAsia" w:ascii="宋体" w:hAnsi="宋体" w:cs="宋体"/>
                <w:color w:val="auto"/>
                <w:kern w:val="0"/>
                <w:szCs w:val="24"/>
                <w:highlight w:val="none"/>
              </w:rPr>
              <w:t>金额</w:t>
            </w:r>
            <w:r>
              <w:rPr>
                <w:rFonts w:hint="eastAsia" w:ascii="仿宋_GB2312" w:hAnsi="宋体" w:cs="宋体"/>
                <w:color w:val="auto"/>
                <w:kern w:val="0"/>
                <w:szCs w:val="24"/>
                <w:highlight w:val="none"/>
              </w:rPr>
              <w:t>及</w:t>
            </w:r>
            <w:r>
              <w:rPr>
                <w:rFonts w:hint="eastAsia" w:ascii="仿宋_GB2312" w:hAnsi="宋体" w:cs="宋体"/>
                <w:color w:val="auto"/>
                <w:kern w:val="0"/>
                <w:szCs w:val="24"/>
                <w:highlight w:val="none"/>
                <w:lang w:eastAsia="zh-CN"/>
              </w:rPr>
              <w:t>追加</w:t>
            </w:r>
            <w:r>
              <w:rPr>
                <w:rFonts w:hint="eastAsia" w:ascii="仿宋_GB2312" w:hAnsi="宋体" w:cs="宋体"/>
                <w:color w:val="auto"/>
                <w:kern w:val="0"/>
                <w:szCs w:val="24"/>
                <w:highlight w:val="none"/>
              </w:rPr>
              <w:t>递增金额</w:t>
            </w:r>
            <w:r>
              <w:rPr>
                <w:rFonts w:hint="eastAsia" w:ascii="宋体" w:hAnsi="宋体" w:cs="宋体"/>
                <w:color w:val="auto"/>
                <w:kern w:val="0"/>
                <w:szCs w:val="24"/>
                <w:highlight w:val="none"/>
              </w:rPr>
              <w:t>、认</w:t>
            </w:r>
            <w:r>
              <w:rPr>
                <w:rFonts w:ascii="宋体" w:hAnsi="宋体" w:cs="宋体"/>
                <w:color w:val="auto"/>
                <w:kern w:val="0"/>
                <w:szCs w:val="24"/>
                <w:highlight w:val="none"/>
              </w:rPr>
              <w:t>/</w:t>
            </w:r>
            <w:r>
              <w:rPr>
                <w:rFonts w:hint="eastAsia" w:ascii="宋体" w:hAnsi="宋体" w:cs="宋体"/>
                <w:color w:val="auto"/>
                <w:kern w:val="0"/>
                <w:szCs w:val="24"/>
                <w:highlight w:val="none"/>
              </w:rPr>
              <w:t>申购上限</w:t>
            </w:r>
            <w:r>
              <w:rPr>
                <w:rFonts w:ascii="宋体" w:hAnsi="宋体" w:cs="宋体"/>
                <w:color w:val="auto"/>
                <w:kern w:val="0"/>
                <w:szCs w:val="24"/>
                <w:highlight w:val="none"/>
              </w:rPr>
              <w:t>金额、</w:t>
            </w:r>
            <w:r>
              <w:rPr>
                <w:rFonts w:hint="eastAsia" w:ascii="宋体" w:hAnsi="宋体" w:cs="宋体"/>
                <w:color w:val="auto"/>
                <w:kern w:val="0"/>
                <w:szCs w:val="24"/>
                <w:highlight w:val="none"/>
              </w:rPr>
              <w:t>认</w:t>
            </w:r>
            <w:r>
              <w:rPr>
                <w:rFonts w:ascii="宋体" w:hAnsi="宋体" w:cs="宋体"/>
                <w:color w:val="auto"/>
                <w:kern w:val="0"/>
                <w:szCs w:val="24"/>
                <w:highlight w:val="none"/>
              </w:rPr>
              <w:t>/</w:t>
            </w:r>
            <w:r>
              <w:rPr>
                <w:rFonts w:hint="eastAsia" w:ascii="宋体" w:hAnsi="宋体" w:cs="宋体"/>
                <w:color w:val="auto"/>
                <w:kern w:val="0"/>
                <w:szCs w:val="24"/>
                <w:highlight w:val="none"/>
              </w:rPr>
              <w:t>申购和赎回数量限制、持有金额上/下限</w:t>
            </w:r>
            <w:r>
              <w:rPr>
                <w:rFonts w:hint="eastAsia"/>
                <w:color w:val="auto"/>
                <w:highlight w:val="none"/>
              </w:rPr>
              <w:t>、单一投资者持有份额占比上限、产品规模上限</w:t>
            </w:r>
            <w:r>
              <w:rPr>
                <w:rFonts w:hint="eastAsia" w:ascii="宋体" w:hAnsi="宋体" w:cs="宋体"/>
                <w:color w:val="auto"/>
                <w:kern w:val="0"/>
                <w:szCs w:val="24"/>
                <w:highlight w:val="none"/>
              </w:rPr>
              <w:t>等要素，并分别计算和公告各类产品份额单位净值，具体以对应的理财产品销售文件约定为准。</w:t>
            </w:r>
          </w:p>
          <w:p w14:paraId="0C01B5C7">
            <w:pPr>
              <w:snapToGrid w:val="0"/>
              <w:jc w:val="left"/>
              <w:rPr>
                <w:rFonts w:hint="eastAsia" w:ascii="宋体" w:hAnsi="宋体" w:cs="宋体"/>
                <w:color w:val="auto"/>
                <w:kern w:val="0"/>
                <w:szCs w:val="24"/>
                <w:highlight w:val="none"/>
              </w:rPr>
            </w:pPr>
            <w:r>
              <w:rPr>
                <w:rFonts w:hint="eastAsia" w:ascii="宋体" w:hAnsi="宋体" w:cs="宋体"/>
                <w:kern w:val="0"/>
                <w:szCs w:val="24"/>
                <w:highlight w:val="none"/>
              </w:rPr>
              <w:t>注：</w:t>
            </w:r>
            <w:r>
              <w:rPr>
                <w:rFonts w:hint="eastAsia" w:ascii="宋体" w:hAnsi="宋体" w:cs="宋体"/>
                <w:kern w:val="0"/>
                <w:szCs w:val="24"/>
                <w:highlight w:val="yellow"/>
                <w:lang w:eastAsia="zh-CN"/>
              </w:rPr>
              <w:t>【</w:t>
            </w:r>
            <w:r>
              <w:rPr>
                <w:rFonts w:hint="eastAsia" w:ascii="宋体" w:hAnsi="宋体" w:cs="宋体"/>
                <w:kern w:val="0"/>
                <w:szCs w:val="24"/>
                <w:highlight w:val="none"/>
              </w:rPr>
              <w:t>本理财产品合作所列示产品份额类别仅为本产品项下某一类产品份额类别，其他类别的产品份额相关约定以对应的理财产品销售文件及产品管理人的信息披露为准。</w:t>
            </w:r>
            <w:r>
              <w:rPr>
                <w:rFonts w:hint="eastAsia" w:ascii="宋体" w:hAnsi="宋体" w:cs="宋体"/>
                <w:kern w:val="0"/>
                <w:szCs w:val="24"/>
                <w:highlight w:val="yellow"/>
                <w:lang w:eastAsia="zh-CN"/>
              </w:rPr>
              <w:t>】</w:t>
            </w:r>
          </w:p>
          <w:p w14:paraId="4A211EF4">
            <w:pPr>
              <w:snapToGrid w:val="0"/>
              <w:jc w:val="left"/>
              <w:rPr>
                <w:rFonts w:ascii="宋体" w:hAnsi="宋体" w:cs="宋体"/>
                <w:color w:val="auto"/>
                <w:kern w:val="0"/>
                <w:szCs w:val="24"/>
                <w:highlight w:val="none"/>
              </w:rPr>
            </w:pPr>
            <w:r>
              <w:rPr>
                <w:rFonts w:hint="eastAsia" w:ascii="宋体" w:hAnsi="宋体" w:cs="宋体"/>
                <w:color w:val="auto"/>
                <w:kern w:val="0"/>
                <w:szCs w:val="24"/>
                <w:highlight w:val="none"/>
              </w:rPr>
              <w:t>投资者可根据实际情况自行选择认/申购的产品份额类别。</w:t>
            </w:r>
          </w:p>
          <w:p w14:paraId="1E98F363">
            <w:pPr>
              <w:widowControl/>
              <w:spacing w:line="400" w:lineRule="exact"/>
              <w:jc w:val="left"/>
              <w:textAlignment w:val="center"/>
              <w:rPr>
                <w:rFonts w:hint="eastAsia" w:ascii="宋体" w:hAnsi="宋体" w:eastAsia="仿宋_GB2312" w:cstheme="minorBidi"/>
                <w:bCs w:val="0"/>
                <w:color w:val="auto"/>
                <w:kern w:val="2"/>
                <w:sz w:val="24"/>
                <w:szCs w:val="24"/>
                <w:highlight w:val="none"/>
                <w:u w:val="none"/>
                <w:lang w:bidi="ar"/>
              </w:rPr>
            </w:pPr>
            <w:r>
              <w:rPr>
                <w:rFonts w:hint="eastAsia" w:ascii="宋体" w:hAnsi="宋体" w:cs="宋体"/>
                <w:b/>
                <w:bCs/>
                <w:color w:val="auto"/>
                <w:kern w:val="0"/>
                <w:szCs w:val="24"/>
                <w:highlight w:val="none"/>
              </w:rPr>
              <w:t>产品管理人有权在本理财产品项下增设</w:t>
            </w:r>
            <w:r>
              <w:rPr>
                <w:rFonts w:hint="eastAsia" w:ascii="宋体" w:hAnsi="宋体" w:cs="宋体"/>
                <w:b/>
                <w:bCs/>
                <w:color w:val="auto"/>
                <w:kern w:val="0"/>
                <w:szCs w:val="24"/>
                <w:highlight w:val="none"/>
                <w:lang w:val="en-US" w:eastAsia="zh-CN"/>
              </w:rPr>
              <w:t>/终止</w:t>
            </w:r>
            <w:r>
              <w:rPr>
                <w:rFonts w:hint="eastAsia" w:ascii="宋体" w:hAnsi="宋体" w:cs="宋体"/>
                <w:b/>
                <w:bCs/>
                <w:color w:val="auto"/>
                <w:kern w:val="0"/>
                <w:szCs w:val="24"/>
                <w:highlight w:val="none"/>
              </w:rPr>
              <w:t>产品份额类别，届时，产品管理人将依据本理财产品销售文件的约定进行信息披露。</w:t>
            </w:r>
          </w:p>
          <w:p w14:paraId="3808A197">
            <w:pPr>
              <w:widowControl/>
              <w:spacing w:line="400" w:lineRule="exact"/>
              <w:jc w:val="both"/>
              <w:textAlignment w:val="center"/>
              <w:rPr>
                <w:rFonts w:hint="default" w:ascii="宋体" w:hAnsi="宋体" w:cstheme="minorBidi"/>
                <w:bCs w:val="0"/>
                <w:color w:val="auto"/>
                <w:kern w:val="2"/>
                <w:sz w:val="24"/>
                <w:szCs w:val="24"/>
                <w:highlight w:val="none"/>
                <w:u w:val="none"/>
                <w:lang w:val="en-US" w:eastAsia="zh-CN" w:bidi="ar"/>
              </w:rPr>
            </w:pPr>
            <w:r>
              <w:rPr>
                <w:rFonts w:hint="eastAsia" w:ascii="宋体" w:hAnsi="宋体"/>
                <w:color w:val="auto"/>
                <w:szCs w:val="24"/>
                <w:highlight w:val="yellow"/>
                <w:u w:val="none"/>
              </w:rPr>
              <w:t>【</w:t>
            </w:r>
            <w:r>
              <w:rPr>
                <w:rFonts w:hint="eastAsia" w:ascii="宋体" w:hAnsi="宋体"/>
                <w:color w:val="auto"/>
                <w:szCs w:val="24"/>
                <w:highlight w:val="yellow"/>
                <w:u w:val="none"/>
                <w:lang w:val="en-US" w:eastAsia="zh-CN"/>
              </w:rPr>
              <w:t>A类</w:t>
            </w:r>
            <w:r>
              <w:rPr>
                <w:rFonts w:hint="eastAsia" w:ascii="宋体" w:hAnsi="宋体"/>
                <w:color w:val="auto"/>
                <w:szCs w:val="24"/>
                <w:highlight w:val="yellow"/>
                <w:u w:val="none"/>
              </w:rPr>
              <w:t>】</w:t>
            </w:r>
            <w:r>
              <w:rPr>
                <w:rFonts w:hint="eastAsia" w:ascii="宋体" w:hAnsi="宋体" w:eastAsia="仿宋_GB2312" w:cstheme="minorBidi"/>
                <w:bCs w:val="0"/>
                <w:color w:val="auto"/>
                <w:kern w:val="2"/>
                <w:sz w:val="24"/>
                <w:szCs w:val="24"/>
                <w:highlight w:val="none"/>
                <w:u w:val="none"/>
                <w:lang w:bidi="ar"/>
              </w:rPr>
              <w:t>份额：份额代码</w:t>
            </w:r>
            <w:r>
              <w:rPr>
                <w:rFonts w:hint="eastAsia" w:ascii="宋体" w:hAnsi="宋体"/>
                <w:color w:val="auto"/>
                <w:szCs w:val="24"/>
                <w:highlight w:val="yellow"/>
                <w:u w:val="none"/>
              </w:rPr>
              <w:t>【】</w:t>
            </w:r>
          </w:p>
        </w:tc>
      </w:tr>
      <w:tr w14:paraId="7A115C7B">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BC440CC">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发行机构名称</w:t>
            </w:r>
          </w:p>
        </w:tc>
        <w:tc>
          <w:tcPr>
            <w:tcW w:w="6972" w:type="dxa"/>
            <w:tcBorders>
              <w:top w:val="single" w:color="auto" w:sz="4" w:space="0"/>
              <w:left w:val="single" w:color="auto" w:sz="4" w:space="0"/>
              <w:bottom w:val="single" w:color="auto" w:sz="4" w:space="0"/>
              <w:right w:val="single" w:color="auto" w:sz="4" w:space="0"/>
            </w:tcBorders>
            <w:vAlign w:val="center"/>
          </w:tcPr>
          <w:p w14:paraId="4498F514">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宋体"/>
                <w:color w:val="auto"/>
                <w:kern w:val="0"/>
                <w:szCs w:val="24"/>
                <w:highlight w:val="none"/>
                <w:u w:val="none"/>
              </w:rPr>
              <w:t>浙银理财有限责任公司</w:t>
            </w:r>
          </w:p>
        </w:tc>
      </w:tr>
      <w:tr w14:paraId="6CE21000">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C5D0EF9">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销售机构名称</w:t>
            </w:r>
          </w:p>
        </w:tc>
        <w:tc>
          <w:tcPr>
            <w:tcW w:w="6972" w:type="dxa"/>
            <w:tcBorders>
              <w:top w:val="single" w:color="auto" w:sz="4" w:space="0"/>
              <w:left w:val="single" w:color="auto" w:sz="4" w:space="0"/>
              <w:bottom w:val="single" w:color="auto" w:sz="4" w:space="0"/>
              <w:right w:val="single" w:color="auto" w:sz="4" w:space="0"/>
            </w:tcBorders>
            <w:vAlign w:val="center"/>
          </w:tcPr>
          <w:p w14:paraId="4753190D">
            <w:pPr>
              <w:widowControl/>
              <w:spacing w:line="400" w:lineRule="exact"/>
              <w:jc w:val="left"/>
              <w:textAlignment w:val="center"/>
              <w:rPr>
                <w:rFonts w:hint="eastAsia" w:ascii="宋体" w:hAnsi="宋体" w:cs="宋体"/>
                <w:color w:val="auto"/>
                <w:kern w:val="0"/>
                <w:szCs w:val="24"/>
                <w:highlight w:val="none"/>
                <w:lang w:val="en-US" w:eastAsia="zh-CN"/>
              </w:rPr>
            </w:pPr>
            <w:r>
              <w:rPr>
                <w:rFonts w:hint="eastAsia" w:ascii="宋体" w:hAnsi="宋体"/>
                <w:color w:val="auto"/>
                <w:szCs w:val="24"/>
                <w:highlight w:val="yellow"/>
                <w:u w:val="none"/>
              </w:rPr>
              <w:t>【</w:t>
            </w:r>
            <w:r>
              <w:rPr>
                <w:rFonts w:hint="eastAsia" w:ascii="宋体" w:hAnsi="宋体"/>
                <w:color w:val="auto"/>
                <w:szCs w:val="24"/>
                <w:highlight w:val="yellow"/>
                <w:u w:val="none"/>
                <w:lang w:eastAsia="zh-CN"/>
              </w:rPr>
              <w:t>销售机构全称</w:t>
            </w:r>
            <w:r>
              <w:rPr>
                <w:rFonts w:hint="eastAsia" w:ascii="宋体" w:hAnsi="宋体"/>
                <w:color w:val="auto"/>
                <w:szCs w:val="24"/>
                <w:highlight w:val="yellow"/>
                <w:u w:val="none"/>
              </w:rPr>
              <w:t>】</w:t>
            </w:r>
            <w:r>
              <w:rPr>
                <w:rFonts w:hint="eastAsia" w:ascii="宋体" w:hAnsi="宋体" w:cs="宋体"/>
                <w:color w:val="auto"/>
                <w:kern w:val="0"/>
                <w:szCs w:val="24"/>
                <w:highlight w:val="none"/>
                <w:lang w:val="en-US" w:eastAsia="zh-CN"/>
              </w:rPr>
              <w:t>：</w:t>
            </w:r>
            <w:r>
              <w:rPr>
                <w:rFonts w:hint="eastAsia" w:ascii="宋体" w:hAnsi="宋体"/>
                <w:color w:val="auto"/>
                <w:szCs w:val="24"/>
                <w:highlight w:val="yellow"/>
                <w:u w:val="none"/>
              </w:rPr>
              <w:t>【</w:t>
            </w:r>
            <w:r>
              <w:rPr>
                <w:rFonts w:hint="eastAsia" w:ascii="宋体" w:hAnsi="宋体" w:cs="宋体"/>
                <w:color w:val="auto"/>
                <w:kern w:val="0"/>
                <w:szCs w:val="24"/>
                <w:highlight w:val="none"/>
                <w:lang w:val="en-US" w:eastAsia="zh-CN"/>
              </w:rPr>
              <w:t>份额代码</w:t>
            </w:r>
            <w:r>
              <w:rPr>
                <w:rFonts w:hint="eastAsia" w:ascii="宋体" w:hAnsi="宋体"/>
                <w:color w:val="auto"/>
                <w:szCs w:val="24"/>
                <w:highlight w:val="yellow"/>
                <w:u w:val="none"/>
              </w:rPr>
              <w:t>】</w:t>
            </w:r>
          </w:p>
          <w:p w14:paraId="07CFAD4D">
            <w:pPr>
              <w:widowControl/>
              <w:spacing w:line="400" w:lineRule="exact"/>
              <w:jc w:val="left"/>
              <w:textAlignment w:val="center"/>
              <w:rPr>
                <w:rFonts w:hint="eastAsia" w:ascii="宋体" w:hAnsi="宋体"/>
                <w:color w:val="auto"/>
                <w:szCs w:val="24"/>
                <w:highlight w:val="none"/>
                <w:u w:val="none"/>
                <w:lang w:val="en-US" w:eastAsia="zh-CN"/>
              </w:rPr>
            </w:pPr>
            <w:r>
              <w:rPr>
                <w:rFonts w:hint="eastAsia" w:ascii="宋体" w:hAnsi="宋体" w:eastAsia="仿宋_GB2312" w:cs="宋体"/>
                <w:color w:val="auto"/>
                <w:kern w:val="0"/>
                <w:sz w:val="24"/>
                <w:szCs w:val="24"/>
                <w:highlight w:val="none"/>
                <w:lang w:val="en-US" w:eastAsia="zh-CN" w:bidi="ar"/>
              </w:rPr>
              <w:t>后续销售机构如有新增、减少和变更，以</w:t>
            </w:r>
            <w:r>
              <w:rPr>
                <w:rFonts w:hint="eastAsia" w:ascii="宋体" w:hAnsi="宋体" w:cs="宋体"/>
                <w:color w:val="auto"/>
                <w:kern w:val="0"/>
                <w:sz w:val="24"/>
                <w:szCs w:val="24"/>
                <w:highlight w:val="none"/>
                <w:lang w:val="en-US" w:eastAsia="zh-CN" w:bidi="ar"/>
              </w:rPr>
              <w:t>产品</w:t>
            </w:r>
            <w:r>
              <w:rPr>
                <w:rFonts w:hint="eastAsia" w:ascii="宋体" w:hAnsi="宋体" w:eastAsia="仿宋_GB2312" w:cs="宋体"/>
                <w:color w:val="auto"/>
                <w:kern w:val="0"/>
                <w:sz w:val="24"/>
                <w:szCs w:val="24"/>
                <w:highlight w:val="none"/>
                <w:lang w:val="en-US" w:eastAsia="zh-CN" w:bidi="ar"/>
              </w:rPr>
              <w:t>管理人信息披露为准。</w:t>
            </w:r>
          </w:p>
        </w:tc>
      </w:tr>
      <w:tr w14:paraId="631F157F">
        <w:tblPrEx>
          <w:tblCellMar>
            <w:top w:w="0" w:type="dxa"/>
            <w:left w:w="108" w:type="dxa"/>
            <w:bottom w:w="0" w:type="dxa"/>
            <w:right w:w="108" w:type="dxa"/>
          </w:tblCellMar>
        </w:tblPrEx>
        <w:trPr>
          <w:trHeight w:val="600" w:hRule="atLeast"/>
        </w:trPr>
        <w:tc>
          <w:tcPr>
            <w:tcW w:w="2453" w:type="dxa"/>
            <w:tcBorders>
              <w:top w:val="single" w:color="auto" w:sz="4" w:space="0"/>
              <w:left w:val="single" w:color="auto" w:sz="4" w:space="0"/>
              <w:bottom w:val="single" w:color="auto" w:sz="4" w:space="0"/>
              <w:right w:val="single" w:color="auto" w:sz="4" w:space="0"/>
            </w:tcBorders>
            <w:vAlign w:val="center"/>
          </w:tcPr>
          <w:p w14:paraId="04EDAC56">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境内托管机构名称</w:t>
            </w:r>
          </w:p>
        </w:tc>
        <w:tc>
          <w:tcPr>
            <w:tcW w:w="6972" w:type="dxa"/>
            <w:tcBorders>
              <w:top w:val="single" w:color="auto" w:sz="4" w:space="0"/>
              <w:left w:val="single" w:color="auto" w:sz="4" w:space="0"/>
              <w:bottom w:val="single" w:color="auto" w:sz="4" w:space="0"/>
              <w:right w:val="single" w:color="auto" w:sz="4" w:space="0"/>
            </w:tcBorders>
            <w:vAlign w:val="center"/>
          </w:tcPr>
          <w:p w14:paraId="075BD474">
            <w:pPr>
              <w:widowControl/>
              <w:spacing w:line="400" w:lineRule="exact"/>
              <w:jc w:val="left"/>
              <w:textAlignment w:val="center"/>
              <w:rPr>
                <w:rFonts w:hint="eastAsia" w:ascii="仿宋_GB2312" w:hAnsi="等线" w:eastAsia="仿宋_GB2312" w:cs="仿宋_GB2312"/>
                <w:bCs/>
                <w:color w:val="000000" w:themeColor="text1"/>
                <w:sz w:val="24"/>
                <w:lang w:eastAsia="zh-CN"/>
                <w14:textFill>
                  <w14:solidFill>
                    <w14:schemeClr w14:val="tx1"/>
                  </w14:solidFill>
                </w14:textFill>
              </w:rPr>
            </w:pPr>
            <w:r>
              <w:rPr>
                <w:rFonts w:hint="eastAsia" w:ascii="宋体" w:hAnsi="宋体"/>
                <w:color w:val="auto"/>
                <w:szCs w:val="24"/>
                <w:highlight w:val="yellow"/>
                <w:u w:val="none"/>
              </w:rPr>
              <w:t>【】</w:t>
            </w:r>
          </w:p>
        </w:tc>
      </w:tr>
      <w:tr w14:paraId="0A38343B">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shd w:val="clear" w:color="auto" w:fill="auto"/>
            <w:vAlign w:val="center"/>
          </w:tcPr>
          <w:p w14:paraId="523B6408">
            <w:pPr>
              <w:widowControl/>
              <w:spacing w:line="400" w:lineRule="exact"/>
              <w:jc w:val="center"/>
              <w:textAlignment w:val="center"/>
              <w:rPr>
                <w:rFonts w:hint="eastAsia" w:ascii="仿宋_GB2312" w:hAnsi="等线" w:cs="仿宋_GB2312"/>
                <w:color w:val="000000" w:themeColor="text1"/>
                <w:kern w:val="0"/>
                <w:sz w:val="24"/>
                <w:lang w:eastAsia="zh-CN" w:bidi="ar"/>
                <w14:textFill>
                  <w14:solidFill>
                    <w14:schemeClr w14:val="tx1"/>
                  </w14:solidFill>
                </w14:textFill>
              </w:rPr>
            </w:pPr>
            <w:r>
              <w:rPr>
                <w:rFonts w:hint="eastAsia" w:ascii="仿宋_GB2312" w:hAnsi="等线" w:cs="仿宋_GB2312"/>
                <w:color w:val="000000" w:themeColor="text1"/>
                <w:kern w:val="0"/>
                <w:sz w:val="24"/>
                <w:highlight w:val="yellow"/>
                <w:lang w:eastAsia="zh-CN" w:bidi="ar"/>
                <w14:textFill>
                  <w14:solidFill>
                    <w14:schemeClr w14:val="tx1"/>
                  </w14:solidFill>
                </w14:textFill>
              </w:rPr>
              <w:t>【</w:t>
            </w:r>
            <w:r>
              <w:rPr>
                <w:rFonts w:hint="eastAsia" w:ascii="仿宋_GB2312" w:hAnsi="等线" w:eastAsia="仿宋_GB2312" w:cs="仿宋_GB2312"/>
                <w:color w:val="000000" w:themeColor="text1"/>
                <w:kern w:val="0"/>
                <w:sz w:val="24"/>
                <w:highlight w:val="yellow"/>
                <w:lang w:bidi="ar"/>
                <w14:textFill>
                  <w14:solidFill>
                    <w14:schemeClr w14:val="tx1"/>
                  </w14:solidFill>
                </w14:textFill>
              </w:rPr>
              <w:t>境外托管机构名称</w:t>
            </w:r>
            <w:r>
              <w:rPr>
                <w:rFonts w:hint="eastAsia" w:ascii="仿宋_GB2312" w:hAnsi="等线" w:cs="仿宋_GB2312"/>
                <w:color w:val="000000" w:themeColor="text1"/>
                <w:kern w:val="0"/>
                <w:sz w:val="24"/>
                <w:highlight w:val="yellow"/>
                <w:lang w:eastAsia="zh-CN" w:bidi="ar"/>
                <w14:textFill>
                  <w14:solidFill>
                    <w14:schemeClr w14:val="tx1"/>
                  </w14:solidFill>
                </w14:textFill>
              </w:rPr>
              <w:t>】</w:t>
            </w:r>
          </w:p>
        </w:tc>
        <w:tc>
          <w:tcPr>
            <w:tcW w:w="6972" w:type="dxa"/>
            <w:tcBorders>
              <w:top w:val="single" w:color="auto" w:sz="4" w:space="0"/>
              <w:left w:val="single" w:color="auto" w:sz="4" w:space="0"/>
              <w:bottom w:val="single" w:color="auto" w:sz="4" w:space="0"/>
              <w:right w:val="single" w:color="auto" w:sz="4" w:space="0"/>
            </w:tcBorders>
            <w:shd w:val="clear" w:color="auto" w:fill="auto"/>
            <w:vAlign w:val="center"/>
          </w:tcPr>
          <w:p w14:paraId="4BF80832">
            <w:pPr>
              <w:widowControl/>
              <w:jc w:val="left"/>
              <w:rPr>
                <w:rFonts w:hint="eastAsia" w:ascii="宋体" w:hAnsi="宋体"/>
                <w:color w:val="auto"/>
                <w:szCs w:val="24"/>
                <w:highlight w:val="none"/>
                <w:u w:val="none"/>
              </w:rPr>
            </w:pPr>
            <w:r>
              <w:rPr>
                <w:rFonts w:hint="eastAsia" w:ascii="宋体" w:hAnsi="宋体"/>
                <w:color w:val="auto"/>
                <w:szCs w:val="24"/>
                <w:highlight w:val="yellow"/>
                <w:u w:val="none"/>
              </w:rPr>
              <w:t>【】</w:t>
            </w:r>
          </w:p>
        </w:tc>
      </w:tr>
      <w:tr w14:paraId="452D733C">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shd w:val="clear" w:color="auto" w:fill="auto"/>
            <w:vAlign w:val="center"/>
          </w:tcPr>
          <w:p w14:paraId="0A04856B">
            <w:pPr>
              <w:widowControl/>
              <w:spacing w:line="400" w:lineRule="exact"/>
              <w:jc w:val="center"/>
              <w:textAlignment w:val="center"/>
              <w:rPr>
                <w:rFonts w:hint="eastAsia" w:ascii="仿宋_GB2312" w:hAnsi="等线" w:eastAsia="仿宋_GB2312" w:cs="仿宋_GB2312"/>
                <w:color w:val="000000" w:themeColor="text1"/>
                <w:kern w:val="2"/>
                <w:sz w:val="24"/>
                <w:szCs w:val="22"/>
                <w:lang w:val="en-US" w:eastAsia="zh-CN" w:bidi="ar-SA"/>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投资者范围</w:t>
            </w:r>
          </w:p>
        </w:tc>
        <w:tc>
          <w:tcPr>
            <w:tcW w:w="6972" w:type="dxa"/>
            <w:tcBorders>
              <w:top w:val="single" w:color="auto" w:sz="4" w:space="0"/>
              <w:left w:val="single" w:color="auto" w:sz="4" w:space="0"/>
              <w:bottom w:val="single" w:color="auto" w:sz="4" w:space="0"/>
              <w:right w:val="single" w:color="auto" w:sz="4" w:space="0"/>
            </w:tcBorders>
            <w:shd w:val="clear" w:color="auto" w:fill="auto"/>
            <w:vAlign w:val="center"/>
          </w:tcPr>
          <w:p w14:paraId="3C5E65A3">
            <w:pPr>
              <w:snapToGrid w:val="0"/>
              <w:rPr>
                <w:rFonts w:ascii="宋体" w:hAnsi="宋体"/>
                <w:color w:val="auto"/>
                <w:szCs w:val="24"/>
                <w:highlight w:val="none"/>
                <w:u w:val="none"/>
              </w:rPr>
            </w:pPr>
            <w:r>
              <w:rPr>
                <w:rFonts w:hint="eastAsia" w:ascii="宋体" w:hAnsi="宋体"/>
                <w:color w:val="auto"/>
                <w:szCs w:val="24"/>
                <w:highlight w:val="none"/>
                <w:u w:val="none"/>
              </w:rPr>
              <w:t>不特定社会公众（个人、机构投资者）；其中，普通投资者应符合相关法律法规、监管规定，经销售机构评估评定投资者风险承受能力与本产品风险等级相适应。</w:t>
            </w:r>
          </w:p>
          <w:p w14:paraId="6F3052CA">
            <w:pPr>
              <w:widowControl/>
              <w:spacing w:line="400" w:lineRule="exact"/>
              <w:jc w:val="left"/>
              <w:textAlignment w:val="center"/>
              <w:rPr>
                <w:rFonts w:hint="eastAsia" w:ascii="仿宋_GB2312" w:hAnsi="等线" w:eastAsia="仿宋_GB2312" w:cs="仿宋_GB2312"/>
                <w:bCs/>
                <w:color w:val="000000" w:themeColor="text1"/>
                <w:kern w:val="2"/>
                <w:sz w:val="24"/>
                <w:szCs w:val="22"/>
                <w:lang w:val="en-US" w:eastAsia="zh-CN" w:bidi="ar-SA"/>
                <w14:textFill>
                  <w14:solidFill>
                    <w14:schemeClr w14:val="tx1"/>
                  </w14:solidFill>
                </w14:textFill>
              </w:rPr>
            </w:pPr>
            <w:r>
              <w:rPr>
                <w:rFonts w:hint="eastAsia" w:ascii="宋体" w:hAnsi="宋体"/>
                <w:color w:val="auto"/>
                <w:szCs w:val="24"/>
                <w:highlight w:val="none"/>
                <w:u w:val="none"/>
              </w:rPr>
              <w:t>本产品通过销售机构销售的，产品风险等级应当以销售机构最终披露的评级结果为准。</w:t>
            </w:r>
          </w:p>
        </w:tc>
      </w:tr>
      <w:tr w14:paraId="31669A0C">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7D9D257">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销售对象</w:t>
            </w:r>
          </w:p>
        </w:tc>
        <w:tc>
          <w:tcPr>
            <w:tcW w:w="6972" w:type="dxa"/>
            <w:tcBorders>
              <w:top w:val="single" w:color="auto" w:sz="4" w:space="0"/>
              <w:left w:val="single" w:color="auto" w:sz="4" w:space="0"/>
              <w:bottom w:val="single" w:color="auto" w:sz="4" w:space="0"/>
              <w:right w:val="single" w:color="auto" w:sz="4" w:space="0"/>
            </w:tcBorders>
            <w:vAlign w:val="center"/>
          </w:tcPr>
          <w:p w14:paraId="28A810FA">
            <w:pPr>
              <w:widowControl/>
              <w:spacing w:line="400" w:lineRule="exact"/>
              <w:jc w:val="left"/>
              <w:textAlignment w:val="center"/>
              <w:rPr>
                <w:rFonts w:hint="eastAsia" w:ascii="仿宋_GB2312" w:hAnsi="宋体" w:cs="宋体"/>
                <w:bCs/>
                <w:kern w:val="0"/>
                <w:szCs w:val="24"/>
                <w:highlight w:val="yellow"/>
                <w:lang w:val="en-US" w:eastAsia="zh-CN"/>
              </w:rPr>
            </w:pPr>
            <w:r>
              <w:rPr>
                <w:rFonts w:hint="eastAsia" w:ascii="仿宋_GB2312" w:hAnsi="宋体" w:cs="宋体"/>
                <w:bCs/>
                <w:kern w:val="0"/>
                <w:szCs w:val="24"/>
                <w:highlight w:val="yellow"/>
                <w:lang w:val="en-US" w:eastAsia="zh-CN"/>
              </w:rPr>
              <w:t>【</w:t>
            </w:r>
          </w:p>
          <w:tbl>
            <w:tblPr>
              <w:tblStyle w:val="8"/>
              <w:tblW w:w="6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9"/>
              <w:gridCol w:w="2386"/>
              <w:gridCol w:w="2721"/>
            </w:tblGrid>
            <w:tr w14:paraId="0FF0C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9" w:type="dxa"/>
                </w:tcPr>
                <w:p w14:paraId="70D319EE">
                  <w:pPr>
                    <w:widowControl/>
                    <w:spacing w:line="400" w:lineRule="exact"/>
                    <w:jc w:val="center"/>
                    <w:textAlignment w:val="center"/>
                    <w:rPr>
                      <w:rFonts w:hint="eastAsia" w:eastAsia="仿宋_GB2312"/>
                      <w:highlight w:val="yellow"/>
                      <w:vertAlign w:val="baseline"/>
                      <w:lang w:eastAsia="zh-CN"/>
                    </w:rPr>
                  </w:pPr>
                  <w:r>
                    <w:rPr>
                      <w:rFonts w:hint="eastAsia"/>
                      <w:highlight w:val="yellow"/>
                      <w:vertAlign w:val="baseline"/>
                      <w:lang w:eastAsia="zh-CN"/>
                    </w:rPr>
                    <w:t>份额代码</w:t>
                  </w:r>
                </w:p>
              </w:tc>
              <w:tc>
                <w:tcPr>
                  <w:tcW w:w="2386" w:type="dxa"/>
                </w:tcPr>
                <w:p w14:paraId="00A076E9">
                  <w:pPr>
                    <w:widowControl/>
                    <w:spacing w:line="400" w:lineRule="exact"/>
                    <w:jc w:val="center"/>
                    <w:textAlignment w:val="center"/>
                    <w:rPr>
                      <w:rFonts w:hint="eastAsia" w:eastAsia="仿宋_GB2312"/>
                      <w:highlight w:val="yellow"/>
                      <w:vertAlign w:val="baseline"/>
                      <w:lang w:eastAsia="zh-CN"/>
                    </w:rPr>
                  </w:pPr>
                  <w:r>
                    <w:rPr>
                      <w:rFonts w:hint="eastAsia"/>
                      <w:highlight w:val="yellow"/>
                      <w:vertAlign w:val="baseline"/>
                      <w:lang w:eastAsia="zh-CN"/>
                    </w:rPr>
                    <w:t>销售对象</w:t>
                  </w:r>
                </w:p>
              </w:tc>
              <w:tc>
                <w:tcPr>
                  <w:tcW w:w="2721" w:type="dxa"/>
                </w:tcPr>
                <w:p w14:paraId="1ADCA4C1">
                  <w:pPr>
                    <w:widowControl/>
                    <w:spacing w:line="400" w:lineRule="exact"/>
                    <w:jc w:val="center"/>
                    <w:textAlignment w:val="center"/>
                    <w:rPr>
                      <w:rFonts w:hint="eastAsia" w:eastAsia="仿宋_GB2312"/>
                      <w:highlight w:val="yellow"/>
                      <w:vertAlign w:val="baseline"/>
                      <w:lang w:eastAsia="zh-CN"/>
                    </w:rPr>
                  </w:pPr>
                  <w:r>
                    <w:rPr>
                      <w:rFonts w:hint="eastAsia"/>
                      <w:highlight w:val="yellow"/>
                      <w:vertAlign w:val="baseline"/>
                      <w:lang w:eastAsia="zh-CN"/>
                    </w:rPr>
                    <w:t>销售机构</w:t>
                  </w:r>
                </w:p>
              </w:tc>
            </w:tr>
            <w:tr w14:paraId="2A8F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9" w:type="dxa"/>
                </w:tcPr>
                <w:p w14:paraId="0F11847F">
                  <w:pPr>
                    <w:widowControl/>
                    <w:spacing w:line="400" w:lineRule="exact"/>
                    <w:jc w:val="center"/>
                    <w:textAlignment w:val="center"/>
                    <w:rPr>
                      <w:highlight w:val="yellow"/>
                      <w:vertAlign w:val="baseline"/>
                    </w:rPr>
                  </w:pPr>
                </w:p>
              </w:tc>
              <w:tc>
                <w:tcPr>
                  <w:tcW w:w="2386" w:type="dxa"/>
                </w:tcPr>
                <w:p w14:paraId="17227017">
                  <w:pPr>
                    <w:widowControl/>
                    <w:spacing w:line="400" w:lineRule="exact"/>
                    <w:jc w:val="center"/>
                    <w:textAlignment w:val="center"/>
                    <w:rPr>
                      <w:rFonts w:hint="eastAsia" w:eastAsia="仿宋_GB2312"/>
                      <w:highlight w:val="yellow"/>
                      <w:vertAlign w:val="baseline"/>
                      <w:lang w:eastAsia="zh-CN"/>
                    </w:rPr>
                  </w:pPr>
                </w:p>
              </w:tc>
              <w:tc>
                <w:tcPr>
                  <w:tcW w:w="2721" w:type="dxa"/>
                </w:tcPr>
                <w:p w14:paraId="62FB172B">
                  <w:pPr>
                    <w:widowControl/>
                    <w:spacing w:line="400" w:lineRule="exact"/>
                    <w:jc w:val="center"/>
                    <w:textAlignment w:val="center"/>
                    <w:rPr>
                      <w:highlight w:val="yellow"/>
                      <w:vertAlign w:val="baseline"/>
                    </w:rPr>
                  </w:pPr>
                </w:p>
              </w:tc>
            </w:tr>
          </w:tbl>
          <w:p w14:paraId="2BE3899D">
            <w:pPr>
              <w:widowControl/>
              <w:spacing w:line="400" w:lineRule="exact"/>
              <w:jc w:val="left"/>
              <w:textAlignment w:val="center"/>
              <w:rPr>
                <w:rFonts w:hint="eastAsia" w:ascii="仿宋_GB2312" w:hAnsi="宋体" w:cs="宋体"/>
                <w:bCs/>
                <w:kern w:val="0"/>
                <w:szCs w:val="24"/>
                <w:highlight w:val="none"/>
                <w:lang w:val="en-US" w:eastAsia="zh-CN"/>
              </w:rPr>
            </w:pPr>
            <w:r>
              <w:rPr>
                <w:rFonts w:hint="eastAsia"/>
                <w:highlight w:val="yellow"/>
                <w:lang w:eastAsia="zh-CN"/>
              </w:rPr>
              <w:t>】</w:t>
            </w:r>
          </w:p>
        </w:tc>
      </w:tr>
      <w:tr w14:paraId="0DAC166F">
        <w:tblPrEx>
          <w:tblCellMar>
            <w:top w:w="0" w:type="dxa"/>
            <w:left w:w="108" w:type="dxa"/>
            <w:bottom w:w="0" w:type="dxa"/>
            <w:right w:w="108" w:type="dxa"/>
          </w:tblCellMar>
        </w:tblPrEx>
        <w:trPr>
          <w:trHeight w:val="38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4E0C4249">
            <w:pPr>
              <w:widowControl/>
              <w:spacing w:line="400" w:lineRule="exact"/>
              <w:jc w:val="center"/>
              <w:textAlignment w:val="center"/>
              <w:rPr>
                <w:rFonts w:hint="eastAsia" w:ascii="楷体_GB2312" w:hAnsi="等线" w:eastAsia="楷体_GB2312" w:cs="楷体_GB2312"/>
                <w:b/>
                <w:bCs/>
                <w:color w:val="000000" w:themeColor="text1"/>
                <w:sz w:val="24"/>
                <w14:textFill>
                  <w14:solidFill>
                    <w14:schemeClr w14:val="tx1"/>
                  </w14:solidFill>
                </w14:textFill>
              </w:rPr>
            </w:pPr>
            <w:r>
              <w:rPr>
                <w:rFonts w:hint="eastAsia" w:ascii="楷体_GB2312" w:hAnsi="等线" w:eastAsia="楷体_GB2312" w:cs="楷体_GB2312"/>
                <w:b/>
                <w:bCs/>
                <w:color w:val="000000" w:themeColor="text1"/>
                <w:kern w:val="0"/>
                <w:sz w:val="24"/>
                <w:lang w:bidi="ar"/>
                <w14:textFill>
                  <w14:solidFill>
                    <w14:schemeClr w14:val="tx1"/>
                  </w14:solidFill>
                </w14:textFill>
              </w:rPr>
              <w:t>（二）交易规则</w:t>
            </w:r>
          </w:p>
        </w:tc>
      </w:tr>
      <w:tr w14:paraId="7F7CDC44">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ED1AE77">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募集币种</w:t>
            </w:r>
          </w:p>
        </w:tc>
        <w:tc>
          <w:tcPr>
            <w:tcW w:w="6972" w:type="dxa"/>
            <w:tcBorders>
              <w:top w:val="single" w:color="auto" w:sz="4" w:space="0"/>
              <w:left w:val="single" w:color="auto" w:sz="4" w:space="0"/>
              <w:bottom w:val="single" w:color="auto" w:sz="4" w:space="0"/>
              <w:right w:val="single" w:color="auto" w:sz="4" w:space="0"/>
            </w:tcBorders>
            <w:vAlign w:val="center"/>
          </w:tcPr>
          <w:p w14:paraId="097872E7">
            <w:pPr>
              <w:widowControl/>
              <w:spacing w:line="400" w:lineRule="exact"/>
              <w:jc w:val="left"/>
              <w:textAlignment w:val="center"/>
              <w:rPr>
                <w:rFonts w:hint="eastAsia" w:ascii="仿宋_GB2312" w:hAnsi="等线" w:eastAsia="仿宋_GB2312" w:cs="仿宋_GB2312"/>
                <w:bCs/>
                <w:color w:val="000000" w:themeColor="text1"/>
                <w:sz w:val="24"/>
                <w:lang w:eastAsia="zh-CN"/>
                <w14:textFill>
                  <w14:solidFill>
                    <w14:schemeClr w14:val="tx1"/>
                  </w14:solidFill>
                </w14:textFill>
              </w:rPr>
            </w:pPr>
            <w:r>
              <w:rPr>
                <w:rFonts w:hint="eastAsia" w:ascii="宋体" w:hAnsi="宋体"/>
                <w:color w:val="auto"/>
                <w:szCs w:val="24"/>
                <w:highlight w:val="yellow"/>
                <w:u w:val="none"/>
              </w:rPr>
              <w:t>【</w:t>
            </w:r>
            <w:r>
              <w:rPr>
                <w:rFonts w:hint="eastAsia" w:ascii="宋体" w:hAnsi="宋体" w:eastAsia="仿宋_GB2312" w:cstheme="minorBidi"/>
                <w:bCs w:val="0"/>
                <w:color w:val="auto"/>
                <w:kern w:val="2"/>
                <w:sz w:val="24"/>
                <w:szCs w:val="24"/>
                <w:highlight w:val="none"/>
                <w:u w:val="none"/>
                <w:lang w:eastAsia="zh-CN" w:bidi="ar"/>
              </w:rPr>
              <w:t>人民币</w:t>
            </w:r>
            <w:r>
              <w:rPr>
                <w:rFonts w:hint="eastAsia" w:ascii="宋体" w:hAnsi="宋体"/>
                <w:color w:val="auto"/>
                <w:szCs w:val="24"/>
                <w:highlight w:val="yellow"/>
                <w:u w:val="none"/>
              </w:rPr>
              <w:t>】</w:t>
            </w:r>
          </w:p>
        </w:tc>
      </w:tr>
      <w:tr w14:paraId="0535B384">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F2C4238">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起点销售金额</w:t>
            </w:r>
          </w:p>
        </w:tc>
        <w:tc>
          <w:tcPr>
            <w:tcW w:w="6972" w:type="dxa"/>
            <w:tcBorders>
              <w:top w:val="single" w:color="auto" w:sz="4" w:space="0"/>
              <w:left w:val="single" w:color="auto" w:sz="4" w:space="0"/>
              <w:bottom w:val="single" w:color="auto" w:sz="4" w:space="0"/>
              <w:right w:val="single" w:color="auto" w:sz="4" w:space="0"/>
            </w:tcBorders>
            <w:vAlign w:val="center"/>
          </w:tcPr>
          <w:p w14:paraId="16FEACC4">
            <w:pPr>
              <w:widowControl/>
              <w:spacing w:line="400" w:lineRule="exact"/>
              <w:jc w:val="left"/>
              <w:textAlignment w:val="center"/>
              <w:rPr>
                <w:rFonts w:hint="default" w:ascii="宋体" w:hAnsi="宋体"/>
                <w:color w:val="auto"/>
                <w:szCs w:val="24"/>
                <w:highlight w:val="none"/>
                <w:u w:val="none"/>
                <w:lang w:val="en-US" w:eastAsia="zh-CN"/>
              </w:rPr>
            </w:pPr>
            <w:r>
              <w:rPr>
                <w:rFonts w:hint="eastAsia" w:ascii="宋体" w:hAnsi="宋体"/>
                <w:color w:val="auto"/>
                <w:szCs w:val="24"/>
                <w:highlight w:val="yellow"/>
                <w:u w:val="none"/>
              </w:rPr>
              <w:t>【</w:t>
            </w:r>
            <w:r>
              <w:rPr>
                <w:rFonts w:hint="eastAsia" w:ascii="宋体" w:hAnsi="宋体"/>
                <w:color w:val="auto"/>
                <w:szCs w:val="24"/>
                <w:highlight w:val="yellow"/>
                <w:u w:val="none"/>
                <w:lang w:eastAsia="zh-CN"/>
              </w:rPr>
              <w:t>份额代码</w:t>
            </w:r>
            <w:r>
              <w:rPr>
                <w:rFonts w:hint="eastAsia" w:ascii="宋体" w:hAnsi="宋体"/>
                <w:color w:val="auto"/>
                <w:szCs w:val="24"/>
                <w:highlight w:val="yellow"/>
                <w:u w:val="none"/>
              </w:rPr>
              <w:t>】</w:t>
            </w:r>
            <w:r>
              <w:rPr>
                <w:rFonts w:hint="eastAsia" w:ascii="宋体" w:hAnsi="宋体"/>
                <w:color w:val="auto"/>
                <w:szCs w:val="24"/>
                <w:highlight w:val="none"/>
                <w:u w:val="none"/>
                <w:lang w:val="en-US" w:eastAsia="zh-CN"/>
              </w:rPr>
              <w:t>：</w:t>
            </w:r>
            <w:r>
              <w:rPr>
                <w:rFonts w:hint="eastAsia" w:ascii="宋体" w:hAnsi="宋体"/>
                <w:color w:val="auto"/>
                <w:szCs w:val="24"/>
                <w:highlight w:val="yellow"/>
                <w:u w:val="none"/>
              </w:rPr>
              <w:t>【】</w:t>
            </w:r>
            <w:r>
              <w:rPr>
                <w:rFonts w:hint="eastAsia" w:ascii="宋体" w:hAnsi="宋体"/>
                <w:color w:val="auto"/>
                <w:szCs w:val="24"/>
                <w:highlight w:val="none"/>
                <w:u w:val="none"/>
                <w:lang w:val="en-US" w:eastAsia="zh-CN"/>
              </w:rPr>
              <w:t>元</w:t>
            </w:r>
          </w:p>
          <w:p w14:paraId="362CC24F">
            <w:pPr>
              <w:widowControl/>
              <w:spacing w:line="400" w:lineRule="exact"/>
              <w:jc w:val="left"/>
              <w:textAlignment w:val="center"/>
              <w:rPr>
                <w:rFonts w:hint="default" w:ascii="宋体" w:hAnsi="宋体"/>
                <w:color w:val="auto"/>
                <w:szCs w:val="24"/>
                <w:highlight w:val="none"/>
                <w:u w:val="none"/>
                <w:lang w:val="en-US" w:eastAsia="zh-CN"/>
              </w:rPr>
            </w:pPr>
            <w:r>
              <w:rPr>
                <w:rFonts w:hint="eastAsia" w:ascii="宋体" w:hAnsi="宋体"/>
                <w:b/>
                <w:color w:val="auto"/>
                <w:szCs w:val="24"/>
                <w:highlight w:val="none"/>
                <w:u w:val="none"/>
              </w:rPr>
              <w:t>管理人有权以公告形式调整投资者起点</w:t>
            </w:r>
            <w:r>
              <w:rPr>
                <w:rFonts w:hint="eastAsia" w:ascii="宋体" w:hAnsi="宋体"/>
                <w:b/>
                <w:color w:val="auto"/>
                <w:szCs w:val="24"/>
                <w:highlight w:val="none"/>
                <w:u w:val="none"/>
                <w:lang w:eastAsia="zh-CN"/>
              </w:rPr>
              <w:t>销售</w:t>
            </w:r>
            <w:r>
              <w:rPr>
                <w:rFonts w:hint="eastAsia" w:ascii="宋体" w:hAnsi="宋体"/>
                <w:b/>
                <w:color w:val="auto"/>
                <w:szCs w:val="24"/>
                <w:highlight w:val="none"/>
                <w:u w:val="none"/>
              </w:rPr>
              <w:t>金额。销售机构的认购、申购起点</w:t>
            </w:r>
            <w:r>
              <w:rPr>
                <w:rFonts w:hint="eastAsia" w:ascii="宋体" w:hAnsi="宋体"/>
                <w:b/>
                <w:color w:val="auto"/>
                <w:szCs w:val="24"/>
                <w:highlight w:val="none"/>
                <w:u w:val="none"/>
                <w:lang w:eastAsia="zh-CN"/>
              </w:rPr>
              <w:t>销售</w:t>
            </w:r>
            <w:r>
              <w:rPr>
                <w:rFonts w:hint="eastAsia" w:ascii="宋体" w:hAnsi="宋体"/>
                <w:b/>
                <w:color w:val="auto"/>
                <w:szCs w:val="24"/>
                <w:highlight w:val="none"/>
                <w:u w:val="none"/>
              </w:rPr>
              <w:t>金额可能</w:t>
            </w:r>
            <w:r>
              <w:rPr>
                <w:rFonts w:ascii="宋体" w:hAnsi="宋体"/>
                <w:b/>
                <w:color w:val="auto"/>
                <w:szCs w:val="24"/>
                <w:highlight w:val="none"/>
                <w:u w:val="none"/>
              </w:rPr>
              <w:t>与本</w:t>
            </w:r>
            <w:r>
              <w:rPr>
                <w:rFonts w:hint="eastAsia" w:ascii="宋体" w:hAnsi="宋体"/>
                <w:b/>
                <w:color w:val="auto"/>
                <w:szCs w:val="24"/>
                <w:highlight w:val="none"/>
                <w:u w:val="none"/>
              </w:rPr>
              <w:t>产品</w:t>
            </w:r>
            <w:r>
              <w:rPr>
                <w:rFonts w:ascii="宋体" w:hAnsi="宋体"/>
                <w:b/>
                <w:color w:val="auto"/>
                <w:szCs w:val="24"/>
                <w:highlight w:val="none"/>
                <w:u w:val="none"/>
              </w:rPr>
              <w:t>说明书</w:t>
            </w:r>
            <w:r>
              <w:rPr>
                <w:rFonts w:hint="eastAsia" w:ascii="宋体" w:hAnsi="宋体"/>
                <w:b/>
                <w:color w:val="auto"/>
                <w:szCs w:val="24"/>
                <w:highlight w:val="none"/>
                <w:u w:val="none"/>
              </w:rPr>
              <w:t>不一致</w:t>
            </w:r>
            <w:r>
              <w:rPr>
                <w:rFonts w:ascii="宋体" w:hAnsi="宋体"/>
                <w:b/>
                <w:color w:val="auto"/>
                <w:szCs w:val="24"/>
                <w:highlight w:val="none"/>
                <w:u w:val="none"/>
              </w:rPr>
              <w:t>，</w:t>
            </w:r>
            <w:r>
              <w:rPr>
                <w:rFonts w:hint="eastAsia" w:ascii="宋体" w:hAnsi="宋体"/>
                <w:b/>
                <w:color w:val="auto"/>
                <w:szCs w:val="24"/>
                <w:highlight w:val="none"/>
                <w:u w:val="none"/>
              </w:rPr>
              <w:t>通过销售机构认购、申购</w:t>
            </w:r>
            <w:r>
              <w:rPr>
                <w:rFonts w:ascii="宋体" w:hAnsi="宋体"/>
                <w:b/>
                <w:color w:val="auto"/>
                <w:szCs w:val="24"/>
                <w:highlight w:val="none"/>
                <w:u w:val="none"/>
              </w:rPr>
              <w:t>的</w:t>
            </w:r>
            <w:r>
              <w:rPr>
                <w:rFonts w:hint="eastAsia" w:ascii="宋体" w:hAnsi="宋体"/>
                <w:b/>
                <w:color w:val="auto"/>
                <w:szCs w:val="24"/>
                <w:highlight w:val="none"/>
                <w:u w:val="none"/>
              </w:rPr>
              <w:t>具体以销售机构展示为准。销售机构的实际起点销售金额，不得低于本产品说明书约定的起点销售金额。</w:t>
            </w:r>
          </w:p>
        </w:tc>
      </w:tr>
      <w:tr w14:paraId="600E127D">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9045617">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追加递增金额</w:t>
            </w:r>
          </w:p>
        </w:tc>
        <w:tc>
          <w:tcPr>
            <w:tcW w:w="6972" w:type="dxa"/>
            <w:tcBorders>
              <w:top w:val="single" w:color="auto" w:sz="4" w:space="0"/>
              <w:left w:val="single" w:color="auto" w:sz="4" w:space="0"/>
              <w:bottom w:val="single" w:color="auto" w:sz="4" w:space="0"/>
              <w:right w:val="single" w:color="auto" w:sz="4" w:space="0"/>
            </w:tcBorders>
            <w:vAlign w:val="center"/>
          </w:tcPr>
          <w:p w14:paraId="5D08ED06">
            <w:pPr>
              <w:widowControl/>
              <w:spacing w:line="400" w:lineRule="exact"/>
              <w:jc w:val="left"/>
              <w:textAlignment w:val="center"/>
              <w:rPr>
                <w:rFonts w:hint="eastAsia" w:ascii="仿宋_GB2312" w:hAnsi="等线" w:eastAsia="仿宋_GB2312" w:cs="仿宋_GB2312"/>
                <w:bCs/>
                <w:color w:val="000000" w:themeColor="text1"/>
                <w:sz w:val="24"/>
                <w:lang w:eastAsia="zh-CN"/>
                <w14:textFill>
                  <w14:solidFill>
                    <w14:schemeClr w14:val="tx1"/>
                  </w14:solidFill>
                </w14:textFill>
              </w:rPr>
            </w:pPr>
            <w:r>
              <w:rPr>
                <w:rFonts w:hint="eastAsia" w:ascii="宋体" w:hAnsi="宋体"/>
                <w:color w:val="auto"/>
                <w:szCs w:val="24"/>
                <w:highlight w:val="yellow"/>
                <w:u w:val="none"/>
              </w:rPr>
              <w:t>【</w:t>
            </w:r>
            <w:r>
              <w:rPr>
                <w:rFonts w:hint="eastAsia" w:ascii="宋体" w:hAnsi="宋体"/>
                <w:color w:val="auto"/>
                <w:szCs w:val="24"/>
                <w:highlight w:val="yellow"/>
                <w:u w:val="none"/>
                <w:lang w:eastAsia="zh-CN"/>
              </w:rPr>
              <w:t>份额代码</w:t>
            </w:r>
            <w:r>
              <w:rPr>
                <w:rFonts w:hint="eastAsia" w:ascii="宋体" w:hAnsi="宋体"/>
                <w:color w:val="auto"/>
                <w:szCs w:val="24"/>
                <w:highlight w:val="yellow"/>
                <w:u w:val="none"/>
              </w:rPr>
              <w:t>】</w:t>
            </w:r>
            <w:r>
              <w:rPr>
                <w:rFonts w:hint="eastAsia" w:ascii="宋体" w:hAnsi="宋体"/>
                <w:color w:val="auto"/>
                <w:szCs w:val="24"/>
                <w:highlight w:val="none"/>
                <w:u w:val="none"/>
                <w:lang w:val="en-US" w:eastAsia="zh-CN"/>
              </w:rPr>
              <w:t>：</w:t>
            </w:r>
            <w:r>
              <w:rPr>
                <w:rFonts w:hint="eastAsia" w:ascii="宋体" w:hAnsi="宋体"/>
                <w:color w:val="auto"/>
                <w:szCs w:val="24"/>
                <w:highlight w:val="yellow"/>
                <w:u w:val="none"/>
              </w:rPr>
              <w:t>【】</w:t>
            </w:r>
            <w:r>
              <w:rPr>
                <w:rFonts w:hint="eastAsia" w:ascii="宋体" w:hAnsi="宋体"/>
                <w:color w:val="auto"/>
                <w:szCs w:val="24"/>
                <w:highlight w:val="none"/>
                <w:u w:val="none"/>
                <w:lang w:val="en-US" w:eastAsia="zh-CN"/>
              </w:rPr>
              <w:t>元</w:t>
            </w:r>
          </w:p>
        </w:tc>
      </w:tr>
      <w:tr w14:paraId="5D68CEF1">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00CF461">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计划募集金额</w:t>
            </w:r>
          </w:p>
        </w:tc>
        <w:tc>
          <w:tcPr>
            <w:tcW w:w="6972" w:type="dxa"/>
            <w:tcBorders>
              <w:top w:val="single" w:color="auto" w:sz="4" w:space="0"/>
              <w:left w:val="single" w:color="auto" w:sz="4" w:space="0"/>
              <w:bottom w:val="single" w:color="auto" w:sz="4" w:space="0"/>
              <w:right w:val="single" w:color="auto" w:sz="4" w:space="0"/>
            </w:tcBorders>
            <w:vAlign w:val="center"/>
          </w:tcPr>
          <w:p w14:paraId="5E87BD23">
            <w:pPr>
              <w:widowControl/>
              <w:spacing w:line="400" w:lineRule="exact"/>
              <w:jc w:val="left"/>
              <w:textAlignment w:val="center"/>
              <w:rPr>
                <w:rFonts w:hint="eastAsia" w:ascii="宋体" w:hAnsi="宋体"/>
                <w:color w:val="auto"/>
                <w:szCs w:val="24"/>
                <w:highlight w:val="none"/>
                <w:u w:val="none"/>
                <w:lang w:val="en-US" w:eastAsia="zh-CN"/>
              </w:rPr>
            </w:pPr>
            <w:r>
              <w:rPr>
                <w:rFonts w:hint="eastAsia" w:ascii="宋体" w:hAnsi="宋体"/>
                <w:color w:val="auto"/>
                <w:szCs w:val="24"/>
                <w:highlight w:val="yellow"/>
                <w:u w:val="none"/>
              </w:rPr>
              <w:t>【</w:t>
            </w:r>
            <w:r>
              <w:rPr>
                <w:rFonts w:hint="eastAsia" w:ascii="宋体" w:hAnsi="宋体"/>
                <w:color w:val="auto"/>
                <w:szCs w:val="24"/>
                <w:highlight w:val="yellow"/>
                <w:u w:val="none"/>
                <w:lang w:val="en-US" w:eastAsia="zh-CN"/>
              </w:rPr>
              <w:t>500亿</w:t>
            </w:r>
            <w:r>
              <w:rPr>
                <w:rFonts w:hint="eastAsia" w:ascii="宋体" w:hAnsi="宋体"/>
                <w:color w:val="auto"/>
                <w:szCs w:val="24"/>
                <w:highlight w:val="yellow"/>
                <w:u w:val="none"/>
              </w:rPr>
              <w:t>】</w:t>
            </w:r>
            <w:r>
              <w:rPr>
                <w:rFonts w:hint="eastAsia" w:ascii="宋体" w:hAnsi="宋体"/>
                <w:color w:val="auto"/>
                <w:szCs w:val="24"/>
                <w:highlight w:val="none"/>
                <w:u w:val="none"/>
                <w:lang w:val="en-US" w:eastAsia="zh-CN"/>
              </w:rPr>
              <w:t>元。</w:t>
            </w:r>
          </w:p>
          <w:p w14:paraId="56444417">
            <w:pPr>
              <w:widowControl/>
              <w:spacing w:line="400" w:lineRule="exact"/>
              <w:jc w:val="left"/>
              <w:textAlignment w:val="center"/>
              <w:rPr>
                <w:rFonts w:hint="eastAsia" w:ascii="宋体" w:hAnsi="宋体"/>
                <w:color w:val="auto"/>
                <w:szCs w:val="24"/>
                <w:highlight w:val="none"/>
                <w:u w:val="none"/>
                <w:lang w:val="en-US" w:eastAsia="zh-CN"/>
              </w:rPr>
            </w:pPr>
            <w:r>
              <w:rPr>
                <w:rFonts w:hint="eastAsia"/>
                <w:b/>
                <w:bCs/>
                <w:color w:val="auto"/>
                <w:szCs w:val="24"/>
                <w:highlight w:val="none"/>
                <w:u w:val="none"/>
              </w:rPr>
              <w:t>管理人有权根据实际需要调整</w:t>
            </w:r>
            <w:r>
              <w:rPr>
                <w:rFonts w:hint="eastAsia"/>
                <w:b/>
                <w:bCs/>
                <w:color w:val="auto"/>
                <w:szCs w:val="24"/>
                <w:highlight w:val="none"/>
                <w:u w:val="none"/>
                <w:lang w:eastAsia="zh-CN"/>
              </w:rPr>
              <w:t>计划募集金额</w:t>
            </w:r>
            <w:r>
              <w:rPr>
                <w:rFonts w:hint="eastAsia"/>
                <w:b/>
                <w:bCs/>
                <w:color w:val="auto"/>
                <w:szCs w:val="24"/>
                <w:highlight w:val="none"/>
                <w:u w:val="none"/>
              </w:rPr>
              <w:t>上限。</w:t>
            </w:r>
          </w:p>
        </w:tc>
      </w:tr>
      <w:tr w14:paraId="60457274">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7E6FFD4">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color w:val="auto"/>
                <w:szCs w:val="24"/>
                <w:highlight w:val="none"/>
                <w:u w:val="none"/>
              </w:rPr>
              <w:t>产品最低成立规模</w:t>
            </w:r>
          </w:p>
        </w:tc>
        <w:tc>
          <w:tcPr>
            <w:tcW w:w="6972" w:type="dxa"/>
            <w:tcBorders>
              <w:top w:val="single" w:color="auto" w:sz="4" w:space="0"/>
              <w:left w:val="single" w:color="auto" w:sz="4" w:space="0"/>
              <w:bottom w:val="single" w:color="auto" w:sz="4" w:space="0"/>
              <w:right w:val="single" w:color="auto" w:sz="4" w:space="0"/>
            </w:tcBorders>
            <w:vAlign w:val="center"/>
          </w:tcPr>
          <w:p w14:paraId="0FEC64B8">
            <w:pPr>
              <w:widowControl/>
              <w:jc w:val="left"/>
              <w:rPr>
                <w:rFonts w:ascii="宋体" w:hAnsi="宋体"/>
                <w:bCs/>
                <w:color w:val="auto"/>
                <w:szCs w:val="24"/>
                <w:highlight w:val="none"/>
                <w:u w:val="none"/>
              </w:rPr>
            </w:pPr>
            <w:r>
              <w:rPr>
                <w:rFonts w:hint="eastAsia" w:ascii="宋体" w:hAnsi="宋体"/>
                <w:color w:val="auto"/>
                <w:szCs w:val="24"/>
                <w:highlight w:val="none"/>
                <w:u w:val="none"/>
              </w:rPr>
              <w:t>【</w:t>
            </w:r>
            <w:r>
              <w:rPr>
                <w:rFonts w:hint="eastAsia" w:ascii="宋体" w:hAnsi="宋体"/>
                <w:color w:val="auto"/>
                <w:szCs w:val="24"/>
                <w:highlight w:val="none"/>
                <w:u w:val="none"/>
                <w:lang w:val="en-US" w:eastAsia="zh-CN"/>
              </w:rPr>
              <w:t>0.5</w:t>
            </w:r>
            <w:r>
              <w:rPr>
                <w:rFonts w:hint="eastAsia" w:ascii="宋体" w:hAnsi="宋体"/>
                <w:color w:val="auto"/>
                <w:szCs w:val="24"/>
                <w:highlight w:val="none"/>
                <w:u w:val="none"/>
              </w:rPr>
              <w:t>】</w:t>
            </w:r>
            <w:r>
              <w:rPr>
                <w:rFonts w:hint="eastAsia" w:ascii="宋体" w:hAnsi="宋体"/>
                <w:bCs/>
                <w:color w:val="auto"/>
                <w:szCs w:val="24"/>
                <w:highlight w:val="none"/>
                <w:u w:val="none"/>
              </w:rPr>
              <w:t>亿元。</w:t>
            </w:r>
          </w:p>
          <w:p w14:paraId="174DBD31">
            <w:pPr>
              <w:widowControl/>
              <w:jc w:val="left"/>
              <w:rPr>
                <w:rFonts w:hint="eastAsia"/>
                <w:b/>
                <w:bCs/>
                <w:color w:val="auto"/>
                <w:szCs w:val="24"/>
                <w:highlight w:val="none"/>
                <w:u w:val="none"/>
              </w:rPr>
            </w:pPr>
            <w:r>
              <w:rPr>
                <w:rFonts w:hint="eastAsia"/>
                <w:color w:val="auto"/>
                <w:szCs w:val="24"/>
                <w:highlight w:val="none"/>
                <w:u w:val="none"/>
              </w:rPr>
              <w:t>若认购金额不足</w:t>
            </w:r>
            <w:r>
              <w:rPr>
                <w:rFonts w:hint="eastAsia" w:ascii="宋体" w:hAnsi="宋体"/>
                <w:color w:val="auto"/>
                <w:szCs w:val="24"/>
                <w:highlight w:val="none"/>
                <w:u w:val="none"/>
              </w:rPr>
              <w:t>【</w:t>
            </w:r>
            <w:r>
              <w:rPr>
                <w:rFonts w:hint="eastAsia" w:ascii="宋体" w:hAnsi="宋体"/>
                <w:color w:val="auto"/>
                <w:szCs w:val="24"/>
                <w:highlight w:val="none"/>
                <w:u w:val="none"/>
                <w:lang w:val="en-US" w:eastAsia="zh-CN"/>
              </w:rPr>
              <w:t>0.5</w:t>
            </w:r>
            <w:r>
              <w:rPr>
                <w:rFonts w:hint="eastAsia" w:ascii="宋体" w:hAnsi="宋体"/>
                <w:color w:val="auto"/>
                <w:szCs w:val="24"/>
                <w:highlight w:val="none"/>
                <w:u w:val="none"/>
              </w:rPr>
              <w:t>】</w:t>
            </w:r>
            <w:r>
              <w:rPr>
                <w:rFonts w:hint="eastAsia" w:ascii="宋体" w:hAnsi="宋体"/>
                <w:bCs/>
                <w:color w:val="auto"/>
                <w:szCs w:val="24"/>
                <w:highlight w:val="none"/>
                <w:u w:val="none"/>
              </w:rPr>
              <w:t>亿元</w:t>
            </w:r>
            <w:r>
              <w:rPr>
                <w:rFonts w:hint="eastAsia"/>
                <w:color w:val="auto"/>
                <w:szCs w:val="24"/>
                <w:highlight w:val="none"/>
                <w:u w:val="none"/>
              </w:rPr>
              <w:t>，</w:t>
            </w:r>
            <w:r>
              <w:rPr>
                <w:rFonts w:hint="eastAsia"/>
                <w:b/>
                <w:bCs/>
                <w:color w:val="auto"/>
                <w:szCs w:val="24"/>
                <w:highlight w:val="none"/>
                <w:u w:val="none"/>
              </w:rPr>
              <w:t>管理人有权宣布理财产品不成立，亦有权调整</w:t>
            </w:r>
            <w:r>
              <w:rPr>
                <w:rFonts w:hint="eastAsia" w:ascii="宋体" w:hAnsi="宋体"/>
                <w:b/>
                <w:bCs/>
                <w:color w:val="auto"/>
                <w:szCs w:val="24"/>
                <w:highlight w:val="none"/>
                <w:u w:val="none"/>
              </w:rPr>
              <w:t>产品最低成立规模，具体以管理人公告为准</w:t>
            </w:r>
            <w:r>
              <w:rPr>
                <w:rFonts w:hint="eastAsia"/>
                <w:color w:val="auto"/>
                <w:szCs w:val="24"/>
                <w:highlight w:val="none"/>
                <w:u w:val="none"/>
              </w:rPr>
              <w:t>。</w:t>
            </w:r>
          </w:p>
        </w:tc>
      </w:tr>
      <w:tr w14:paraId="1177C529">
        <w:tblPrEx>
          <w:tblCellMar>
            <w:top w:w="0" w:type="dxa"/>
            <w:left w:w="108" w:type="dxa"/>
            <w:bottom w:w="0" w:type="dxa"/>
            <w:right w:w="108" w:type="dxa"/>
          </w:tblCellMar>
        </w:tblPrEx>
        <w:trPr>
          <w:trHeight w:val="1280" w:hRule="atLeast"/>
        </w:trPr>
        <w:tc>
          <w:tcPr>
            <w:tcW w:w="2453" w:type="dxa"/>
            <w:tcBorders>
              <w:top w:val="single" w:color="auto" w:sz="4" w:space="0"/>
              <w:left w:val="single" w:color="auto" w:sz="4" w:space="0"/>
              <w:bottom w:val="single" w:color="auto" w:sz="4" w:space="0"/>
              <w:right w:val="single" w:color="auto" w:sz="4" w:space="0"/>
            </w:tcBorders>
            <w:vAlign w:val="center"/>
          </w:tcPr>
          <w:p w14:paraId="20F6A290">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认购、申购、赎回安排</w:t>
            </w:r>
          </w:p>
        </w:tc>
        <w:tc>
          <w:tcPr>
            <w:tcW w:w="6972" w:type="dxa"/>
            <w:tcBorders>
              <w:top w:val="single" w:color="auto" w:sz="4" w:space="0"/>
              <w:left w:val="single" w:color="auto" w:sz="4" w:space="0"/>
              <w:bottom w:val="single" w:color="auto" w:sz="4" w:space="0"/>
              <w:right w:val="single" w:color="auto" w:sz="4" w:space="0"/>
            </w:tcBorders>
            <w:vAlign w:val="center"/>
          </w:tcPr>
          <w:p w14:paraId="0E7782B6">
            <w:pPr>
              <w:snapToGrid w:val="0"/>
              <w:rPr>
                <w:rFonts w:ascii="宋体" w:hAnsi="宋体"/>
                <w:szCs w:val="24"/>
              </w:rPr>
            </w:pPr>
            <w:r>
              <w:rPr>
                <w:rFonts w:hint="eastAsia" w:ascii="仿宋_GB2312" w:hAnsi="宋体" w:cs="宋体"/>
                <w:bCs/>
                <w:color w:val="auto"/>
                <w:kern w:val="0"/>
                <w:szCs w:val="24"/>
                <w:highlight w:val="yellow"/>
                <w:lang w:val="en-US" w:eastAsia="zh-CN"/>
              </w:rPr>
              <w:t>【</w:t>
            </w:r>
            <w:r>
              <w:rPr>
                <w:rFonts w:hint="eastAsia" w:ascii="仿宋_GB2312" w:hAnsi="宋体" w:cs="宋体"/>
                <w:bCs/>
                <w:color w:val="auto"/>
                <w:kern w:val="0"/>
                <w:szCs w:val="24"/>
                <w:highlight w:val="none"/>
                <w:lang w:val="en-US" w:eastAsia="zh-CN"/>
              </w:rPr>
              <w:t>1.产品募集期为募集起始日期至募集结束日期，</w:t>
            </w:r>
            <w:r>
              <w:rPr>
                <w:rFonts w:hint="eastAsia" w:ascii="仿宋_GB2312" w:hAnsi="宋体" w:cs="宋体"/>
                <w:bCs/>
                <w:color w:val="auto"/>
                <w:kern w:val="0"/>
                <w:szCs w:val="24"/>
                <w:highlight w:val="none"/>
              </w:rPr>
              <w:t>产品募集期内，投资者可多次对本产品认购、追加、</w:t>
            </w:r>
            <w:r>
              <w:rPr>
                <w:rFonts w:hint="eastAsia"/>
                <w:color w:val="auto"/>
                <w:highlight w:val="none"/>
              </w:rPr>
              <w:t>撤单</w:t>
            </w:r>
            <w:r>
              <w:rPr>
                <w:rFonts w:hint="eastAsia" w:ascii="仿宋_GB2312" w:hAnsi="宋体" w:cs="宋体"/>
                <w:bCs/>
                <w:color w:val="auto"/>
                <w:kern w:val="0"/>
                <w:szCs w:val="24"/>
                <w:highlight w:val="none"/>
              </w:rPr>
              <w:t>。</w:t>
            </w:r>
          </w:p>
          <w:p w14:paraId="312F1883">
            <w:pPr>
              <w:snapToGrid w:val="0"/>
              <w:rPr>
                <w:rFonts w:ascii="宋体" w:hAnsi="宋体"/>
                <w:color w:val="auto"/>
                <w:szCs w:val="24"/>
                <w:highlight w:val="none"/>
                <w:u w:val="none"/>
              </w:rPr>
            </w:pPr>
            <w:r>
              <w:rPr>
                <w:rFonts w:hint="eastAsia" w:ascii="宋体" w:hAnsi="宋体"/>
                <w:color w:val="auto"/>
                <w:szCs w:val="24"/>
                <w:highlight w:val="none"/>
                <w:u w:val="none"/>
                <w:lang w:val="en-US" w:eastAsia="zh-CN"/>
              </w:rPr>
              <w:t>2</w:t>
            </w:r>
            <w:r>
              <w:rPr>
                <w:rFonts w:ascii="宋体" w:hAnsi="宋体"/>
                <w:color w:val="auto"/>
                <w:szCs w:val="24"/>
                <w:highlight w:val="none"/>
                <w:u w:val="none"/>
              </w:rPr>
              <w:t>.</w:t>
            </w:r>
            <w:r>
              <w:rPr>
                <w:rFonts w:hint="eastAsia" w:ascii="宋体" w:hAnsi="宋体"/>
                <w:color w:val="auto"/>
                <w:szCs w:val="24"/>
                <w:highlight w:val="none"/>
                <w:u w:val="none"/>
              </w:rPr>
              <w:t>本产品的封闭期</w:t>
            </w:r>
          </w:p>
          <w:p w14:paraId="7D40B224">
            <w:pPr>
              <w:snapToGrid w:val="0"/>
              <w:rPr>
                <w:rFonts w:ascii="宋体" w:hAnsi="宋体"/>
                <w:color w:val="auto"/>
                <w:szCs w:val="24"/>
                <w:highlight w:val="none"/>
                <w:u w:val="none"/>
              </w:rPr>
            </w:pPr>
            <w:r>
              <w:rPr>
                <w:rFonts w:hint="eastAsia" w:ascii="宋体" w:hAnsi="宋体"/>
                <w:color w:val="auto"/>
                <w:szCs w:val="24"/>
                <w:highlight w:val="none"/>
                <w:u w:val="none"/>
              </w:rPr>
              <w:t>本产品成立后，产品封闭期为</w:t>
            </w:r>
            <w:r>
              <w:rPr>
                <w:rFonts w:hint="eastAsia" w:ascii="宋体" w:hAnsi="宋体"/>
                <w:color w:val="auto"/>
                <w:szCs w:val="24"/>
                <w:highlight w:val="yellow"/>
              </w:rPr>
              <w:t>【】年【】月【】日至【】年【】月【】日</w:t>
            </w:r>
            <w:r>
              <w:rPr>
                <w:rFonts w:hint="eastAsia" w:ascii="宋体" w:hAnsi="宋体"/>
                <w:color w:val="auto"/>
                <w:szCs w:val="24"/>
                <w:highlight w:val="none"/>
                <w:u w:val="none"/>
              </w:rPr>
              <w:t>，封闭期内不接受申购或赎回申请。</w:t>
            </w:r>
          </w:p>
          <w:p w14:paraId="2BED308C">
            <w:pPr>
              <w:snapToGrid w:val="0"/>
              <w:rPr>
                <w:rFonts w:ascii="宋体" w:hAnsi="宋体"/>
                <w:color w:val="auto"/>
                <w:szCs w:val="24"/>
                <w:highlight w:val="none"/>
                <w:u w:val="none"/>
              </w:rPr>
            </w:pPr>
            <w:r>
              <w:rPr>
                <w:rFonts w:hint="eastAsia" w:ascii="宋体" w:hAnsi="宋体"/>
                <w:color w:val="auto"/>
                <w:szCs w:val="24"/>
                <w:highlight w:val="none"/>
                <w:u w:val="none"/>
                <w:lang w:val="en-US" w:eastAsia="zh-CN"/>
              </w:rPr>
              <w:t>3</w:t>
            </w:r>
            <w:r>
              <w:rPr>
                <w:rFonts w:ascii="宋体" w:hAnsi="宋体"/>
                <w:color w:val="auto"/>
                <w:szCs w:val="24"/>
                <w:highlight w:val="none"/>
                <w:u w:val="none"/>
              </w:rPr>
              <w:t>.</w:t>
            </w:r>
            <w:r>
              <w:rPr>
                <w:rFonts w:hint="eastAsia" w:ascii="宋体" w:hAnsi="宋体"/>
                <w:color w:val="auto"/>
                <w:szCs w:val="24"/>
                <w:highlight w:val="none"/>
                <w:u w:val="none"/>
              </w:rPr>
              <w:t>申购安排：</w:t>
            </w:r>
          </w:p>
          <w:p w14:paraId="0FD756DC">
            <w:pPr>
              <w:snapToGrid w:val="0"/>
              <w:rPr>
                <w:rFonts w:ascii="宋体" w:hAnsi="宋体"/>
                <w:color w:val="auto"/>
                <w:szCs w:val="24"/>
                <w:highlight w:val="none"/>
                <w:u w:val="none"/>
              </w:rPr>
            </w:pPr>
            <w:r>
              <w:rPr>
                <w:rFonts w:hint="eastAsia" w:ascii="宋体" w:hAnsi="宋体"/>
                <w:color w:val="auto"/>
                <w:szCs w:val="24"/>
                <w:highlight w:val="none"/>
                <w:u w:val="none"/>
              </w:rPr>
              <w:t>（</w:t>
            </w:r>
            <w:r>
              <w:rPr>
                <w:rFonts w:ascii="宋体" w:hAnsi="宋体"/>
                <w:color w:val="auto"/>
                <w:szCs w:val="24"/>
                <w:highlight w:val="none"/>
                <w:u w:val="none"/>
              </w:rPr>
              <w:t>1</w:t>
            </w:r>
            <w:r>
              <w:rPr>
                <w:rFonts w:hint="eastAsia" w:ascii="宋体" w:hAnsi="宋体"/>
                <w:color w:val="auto"/>
                <w:szCs w:val="24"/>
                <w:highlight w:val="none"/>
                <w:u w:val="none"/>
              </w:rPr>
              <w:t>）申购的时间</w:t>
            </w:r>
          </w:p>
          <w:p w14:paraId="3F7CBD35">
            <w:pPr>
              <w:snapToGrid w:val="0"/>
              <w:rPr>
                <w:rFonts w:ascii="宋体" w:hAnsi="宋体"/>
                <w:color w:val="auto"/>
                <w:szCs w:val="24"/>
                <w:highlight w:val="none"/>
                <w:u w:val="none"/>
              </w:rPr>
            </w:pPr>
            <w:r>
              <w:rPr>
                <w:rFonts w:hint="eastAsia" w:ascii="宋体" w:hAnsi="宋体"/>
                <w:color w:val="auto"/>
                <w:szCs w:val="24"/>
                <w:highlight w:val="none"/>
                <w:u w:val="none"/>
              </w:rPr>
              <w:t>投资者在</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hint="eastAsia" w:ascii="宋体" w:hAnsi="宋体"/>
                <w:color w:val="auto"/>
                <w:szCs w:val="24"/>
                <w:highlight w:val="yellow"/>
              </w:rPr>
              <w:t>【</w:t>
            </w:r>
            <w:r>
              <w:rPr>
                <w:rFonts w:hint="eastAsia" w:ascii="宋体" w:hAnsi="宋体"/>
                <w:color w:val="auto"/>
                <w:szCs w:val="24"/>
                <w:highlight w:val="yellow"/>
                <w:lang w:val="en-US" w:eastAsia="zh-CN"/>
              </w:rPr>
              <w:t>xx:xx</w:t>
            </w:r>
            <w:r>
              <w:rPr>
                <w:rFonts w:hint="eastAsia" w:ascii="宋体" w:hAnsi="宋体"/>
                <w:color w:val="auto"/>
                <w:szCs w:val="24"/>
                <w:highlight w:val="yellow"/>
              </w:rPr>
              <w:t>】</w:t>
            </w:r>
            <w:r>
              <w:rPr>
                <w:rFonts w:hint="eastAsia" w:ascii="宋体" w:hAnsi="宋体"/>
                <w:color w:val="auto"/>
                <w:szCs w:val="24"/>
                <w:highlight w:val="none"/>
                <w:u w:val="none"/>
              </w:rPr>
              <w:t>前提交申购申请的，提交当日为申购日。</w:t>
            </w:r>
          </w:p>
          <w:p w14:paraId="3670CDB5">
            <w:pPr>
              <w:snapToGrid w:val="0"/>
              <w:rPr>
                <w:rFonts w:ascii="宋体" w:hAnsi="宋体"/>
                <w:color w:val="auto"/>
                <w:szCs w:val="24"/>
                <w:highlight w:val="none"/>
                <w:u w:val="none"/>
              </w:rPr>
            </w:pPr>
            <w:r>
              <w:rPr>
                <w:rFonts w:hint="eastAsia" w:ascii="宋体" w:hAnsi="宋体"/>
                <w:color w:val="auto"/>
                <w:szCs w:val="24"/>
                <w:highlight w:val="none"/>
                <w:u w:val="none"/>
              </w:rPr>
              <w:t>投资者在</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hint="eastAsia" w:ascii="宋体" w:hAnsi="宋体"/>
                <w:color w:val="auto"/>
                <w:szCs w:val="24"/>
                <w:highlight w:val="yellow"/>
              </w:rPr>
              <w:t>【</w:t>
            </w:r>
            <w:r>
              <w:rPr>
                <w:rFonts w:hint="eastAsia" w:ascii="宋体" w:hAnsi="宋体"/>
                <w:color w:val="auto"/>
                <w:szCs w:val="24"/>
                <w:highlight w:val="yellow"/>
                <w:lang w:val="en-US" w:eastAsia="zh-CN"/>
              </w:rPr>
              <w:t>xx:xx</w:t>
            </w:r>
            <w:r>
              <w:rPr>
                <w:rFonts w:hint="eastAsia" w:ascii="宋体" w:hAnsi="宋体"/>
                <w:color w:val="auto"/>
                <w:szCs w:val="24"/>
                <w:highlight w:val="yellow"/>
              </w:rPr>
              <w:t>】</w:t>
            </w:r>
            <w:r>
              <w:rPr>
                <w:rFonts w:hint="eastAsia" w:ascii="宋体" w:hAnsi="宋体"/>
                <w:color w:val="auto"/>
                <w:szCs w:val="24"/>
                <w:highlight w:val="none"/>
                <w:u w:val="none"/>
              </w:rPr>
              <w:t>后提交申购申请的，下一个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hint="eastAsia" w:ascii="宋体" w:hAnsi="宋体"/>
                <w:color w:val="auto"/>
                <w:szCs w:val="24"/>
                <w:highlight w:val="none"/>
                <w:u w:val="none"/>
              </w:rPr>
              <w:t>为申购日。</w:t>
            </w:r>
          </w:p>
          <w:p w14:paraId="24E54846">
            <w:pPr>
              <w:snapToGrid w:val="0"/>
              <w:rPr>
                <w:rFonts w:ascii="宋体" w:hAnsi="宋体"/>
                <w:color w:val="auto"/>
                <w:szCs w:val="24"/>
                <w:highlight w:val="none"/>
                <w:u w:val="none"/>
              </w:rPr>
            </w:pPr>
            <w:r>
              <w:rPr>
                <w:rFonts w:hint="eastAsia" w:ascii="宋体" w:hAnsi="宋体"/>
                <w:color w:val="auto"/>
                <w:szCs w:val="24"/>
                <w:highlight w:val="none"/>
                <w:u w:val="none"/>
              </w:rPr>
              <w:t>投资者在非</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hint="eastAsia" w:ascii="宋体" w:hAnsi="宋体"/>
                <w:color w:val="auto"/>
                <w:szCs w:val="24"/>
                <w:highlight w:val="none"/>
                <w:u w:val="none"/>
              </w:rPr>
              <w:t>提交申购申请的，下一个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hint="eastAsia" w:ascii="宋体" w:hAnsi="宋体"/>
                <w:color w:val="auto"/>
                <w:szCs w:val="24"/>
                <w:highlight w:val="none"/>
                <w:u w:val="none"/>
              </w:rPr>
              <w:t>为申购日。</w:t>
            </w:r>
          </w:p>
          <w:p w14:paraId="0C0D0D8B">
            <w:pPr>
              <w:snapToGrid w:val="0"/>
              <w:rPr>
                <w:rFonts w:ascii="宋体" w:hAnsi="宋体"/>
                <w:color w:val="auto"/>
                <w:szCs w:val="24"/>
                <w:highlight w:val="none"/>
                <w:u w:val="none"/>
              </w:rPr>
            </w:pPr>
            <w:r>
              <w:rPr>
                <w:rFonts w:hint="eastAsia" w:ascii="宋体" w:hAnsi="宋体"/>
                <w:color w:val="auto"/>
                <w:szCs w:val="24"/>
                <w:highlight w:val="none"/>
                <w:u w:val="none"/>
              </w:rPr>
              <w:t>（</w:t>
            </w:r>
            <w:r>
              <w:rPr>
                <w:rFonts w:ascii="宋体" w:hAnsi="宋体"/>
                <w:color w:val="auto"/>
                <w:szCs w:val="24"/>
                <w:highlight w:val="none"/>
                <w:u w:val="none"/>
              </w:rPr>
              <w:t>2</w:t>
            </w:r>
            <w:r>
              <w:rPr>
                <w:rFonts w:hint="eastAsia" w:ascii="宋体" w:hAnsi="宋体"/>
                <w:color w:val="auto"/>
                <w:szCs w:val="24"/>
                <w:highlight w:val="none"/>
                <w:u w:val="none"/>
              </w:rPr>
              <w:t>）申购的确认</w:t>
            </w:r>
          </w:p>
          <w:p w14:paraId="772BC298">
            <w:pPr>
              <w:snapToGrid w:val="0"/>
              <w:rPr>
                <w:rFonts w:ascii="宋体" w:hAnsi="宋体"/>
                <w:color w:val="auto"/>
                <w:szCs w:val="24"/>
                <w:highlight w:val="none"/>
                <w:u w:val="none"/>
              </w:rPr>
            </w:pPr>
            <w:r>
              <w:rPr>
                <w:rFonts w:hint="eastAsia" w:ascii="宋体" w:hAnsi="宋体"/>
                <w:color w:val="auto"/>
                <w:szCs w:val="24"/>
                <w:highlight w:val="none"/>
                <w:u w:val="none"/>
              </w:rPr>
              <w:t>申购日后的</w:t>
            </w:r>
            <w:r>
              <w:rPr>
                <w:rFonts w:hint="eastAsia" w:ascii="宋体" w:hAnsi="宋体"/>
                <w:color w:val="auto"/>
                <w:szCs w:val="24"/>
                <w:highlight w:val="yellow"/>
                <w:u w:val="none"/>
              </w:rPr>
              <w:t>【</w:t>
            </w:r>
            <w:r>
              <w:rPr>
                <w:rFonts w:ascii="宋体" w:hAnsi="宋体"/>
                <w:color w:val="auto"/>
                <w:szCs w:val="24"/>
                <w:highlight w:val="yellow"/>
                <w:u w:val="none"/>
              </w:rPr>
              <w:t>1</w:t>
            </w:r>
            <w:r>
              <w:rPr>
                <w:rFonts w:hint="eastAsia" w:ascii="宋体" w:hAnsi="宋体"/>
                <w:color w:val="auto"/>
                <w:szCs w:val="24"/>
                <w:highlight w:val="yellow"/>
                <w:u w:val="none"/>
              </w:rPr>
              <w:t>】</w:t>
            </w:r>
            <w:r>
              <w:rPr>
                <w:rFonts w:hint="eastAsia" w:ascii="宋体" w:hAnsi="宋体"/>
                <w:color w:val="auto"/>
                <w:szCs w:val="24"/>
                <w:highlight w:val="none"/>
                <w:u w:val="none"/>
              </w:rPr>
              <w:t>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hint="eastAsia" w:ascii="宋体" w:hAnsi="宋体"/>
                <w:color w:val="auto"/>
                <w:szCs w:val="24"/>
                <w:highlight w:val="none"/>
                <w:u w:val="none"/>
              </w:rPr>
              <w:t>内为申购确认日。</w:t>
            </w:r>
          </w:p>
          <w:p w14:paraId="76312C56">
            <w:pPr>
              <w:snapToGrid w:val="0"/>
              <w:rPr>
                <w:rFonts w:ascii="宋体" w:hAnsi="宋体"/>
                <w:color w:val="auto"/>
                <w:szCs w:val="24"/>
                <w:highlight w:val="none"/>
                <w:u w:val="none"/>
              </w:rPr>
            </w:pPr>
            <w:r>
              <w:rPr>
                <w:rFonts w:hint="eastAsia" w:ascii="宋体" w:hAnsi="宋体"/>
                <w:color w:val="auto"/>
                <w:szCs w:val="24"/>
                <w:highlight w:val="none"/>
                <w:u w:val="none"/>
                <w:lang w:val="en-US" w:eastAsia="zh-CN"/>
              </w:rPr>
              <w:t>3</w:t>
            </w:r>
            <w:r>
              <w:rPr>
                <w:rFonts w:ascii="宋体" w:hAnsi="宋体"/>
                <w:color w:val="auto"/>
                <w:szCs w:val="24"/>
                <w:highlight w:val="none"/>
                <w:u w:val="none"/>
              </w:rPr>
              <w:t>.</w:t>
            </w:r>
            <w:r>
              <w:rPr>
                <w:rFonts w:hint="eastAsia" w:ascii="宋体" w:hAnsi="宋体"/>
                <w:color w:val="auto"/>
                <w:szCs w:val="24"/>
                <w:highlight w:val="none"/>
                <w:u w:val="none"/>
              </w:rPr>
              <w:t>赎回安排</w:t>
            </w:r>
          </w:p>
          <w:p w14:paraId="052B7F05">
            <w:pPr>
              <w:snapToGrid w:val="0"/>
              <w:rPr>
                <w:rFonts w:hint="eastAsia" w:ascii="宋体" w:hAnsi="宋体"/>
                <w:color w:val="auto"/>
                <w:szCs w:val="24"/>
                <w:highlight w:val="none"/>
              </w:rPr>
            </w:pPr>
            <w:r>
              <w:rPr>
                <w:rFonts w:hint="eastAsia" w:ascii="宋体" w:hAnsi="宋体"/>
                <w:color w:val="auto"/>
                <w:szCs w:val="24"/>
                <w:highlight w:val="none"/>
              </w:rPr>
              <w:t>（</w:t>
            </w:r>
            <w:r>
              <w:rPr>
                <w:rFonts w:ascii="宋体" w:hAnsi="宋体"/>
                <w:color w:val="auto"/>
                <w:szCs w:val="24"/>
                <w:highlight w:val="none"/>
              </w:rPr>
              <w:t>1</w:t>
            </w:r>
            <w:r>
              <w:rPr>
                <w:rFonts w:hint="eastAsia" w:ascii="宋体" w:hAnsi="宋体"/>
                <w:color w:val="auto"/>
                <w:szCs w:val="24"/>
                <w:highlight w:val="none"/>
              </w:rPr>
              <w:t>）自动赎回</w:t>
            </w:r>
          </w:p>
          <w:p w14:paraId="3313306D">
            <w:pPr>
              <w:snapToGrid w:val="0"/>
              <w:rPr>
                <w:rFonts w:hint="eastAsia" w:ascii="宋体" w:hAnsi="宋体"/>
                <w:color w:val="auto"/>
                <w:szCs w:val="24"/>
                <w:highlight w:val="none"/>
              </w:rPr>
            </w:pPr>
            <w:r>
              <w:rPr>
                <w:rFonts w:hint="eastAsia" w:ascii="宋体" w:hAnsi="宋体"/>
                <w:color w:val="auto"/>
                <w:szCs w:val="24"/>
                <w:highlight w:val="none"/>
              </w:rPr>
              <w:t>投资者持有的产品份额将于</w:t>
            </w:r>
            <w:r>
              <w:rPr>
                <w:rFonts w:hint="eastAsia" w:ascii="宋体" w:hAnsi="宋体"/>
                <w:b/>
                <w:bCs/>
                <w:color w:val="auto"/>
                <w:szCs w:val="24"/>
                <w:highlight w:val="none"/>
              </w:rPr>
              <w:t>投资周期结束日的下一</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hint="eastAsia" w:ascii="宋体" w:hAnsi="宋体"/>
                <w:b/>
                <w:bCs/>
                <w:color w:val="auto"/>
                <w:szCs w:val="24"/>
                <w:highlight w:val="none"/>
              </w:rPr>
              <w:t>（即自动赎回日）自动赎回。</w:t>
            </w:r>
          </w:p>
          <w:p w14:paraId="230D06B1">
            <w:pPr>
              <w:snapToGrid w:val="0"/>
              <w:rPr>
                <w:rFonts w:hint="eastAsia" w:ascii="宋体" w:hAnsi="宋体" w:eastAsia="仿宋_GB2312"/>
                <w:color w:val="auto"/>
                <w:szCs w:val="24"/>
                <w:highlight w:val="none"/>
                <w:lang w:eastAsia="zh-CN"/>
              </w:rPr>
            </w:pPr>
            <w:r>
              <w:rPr>
                <w:rFonts w:hint="eastAsia" w:ascii="宋体" w:hAnsi="宋体"/>
                <w:color w:val="auto"/>
                <w:szCs w:val="24"/>
                <w:highlight w:val="none"/>
              </w:rPr>
              <w:t>（2）赎回款项于</w:t>
            </w:r>
            <w:r>
              <w:rPr>
                <w:rFonts w:hint="eastAsia" w:ascii="宋体" w:hAnsi="宋体"/>
                <w:color w:val="auto"/>
                <w:sz w:val="24"/>
                <w:szCs w:val="24"/>
                <w:highlight w:val="none"/>
              </w:rPr>
              <w:t>自动赎回日</w:t>
            </w:r>
            <w:r>
              <w:rPr>
                <w:rFonts w:hint="eastAsia" w:ascii="宋体" w:hAnsi="宋体"/>
                <w:color w:val="auto"/>
                <w:szCs w:val="24"/>
                <w:highlight w:val="none"/>
              </w:rPr>
              <w:t>后</w:t>
            </w:r>
            <w:r>
              <w:rPr>
                <w:rFonts w:hint="eastAsia" w:ascii="宋体" w:hAnsi="宋体"/>
                <w:color w:val="auto"/>
                <w:szCs w:val="24"/>
                <w:highlight w:val="yellow"/>
              </w:rPr>
              <w:t>【5】</w:t>
            </w:r>
            <w:r>
              <w:rPr>
                <w:rFonts w:hint="eastAsia" w:ascii="宋体" w:hAnsi="宋体"/>
                <w:color w:val="auto"/>
                <w:szCs w:val="24"/>
                <w:highlight w:val="none"/>
              </w:rPr>
              <w:t>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hint="eastAsia" w:ascii="宋体" w:hAnsi="宋体"/>
                <w:color w:val="auto"/>
                <w:szCs w:val="24"/>
                <w:highlight w:val="none"/>
              </w:rPr>
              <w:t>内支付给投资者。</w:t>
            </w:r>
            <w:r>
              <w:rPr>
                <w:rFonts w:hint="eastAsia" w:ascii="宋体" w:hAnsi="宋体"/>
                <w:color w:val="auto"/>
                <w:szCs w:val="24"/>
                <w:highlight w:val="yellow"/>
                <w:lang w:eastAsia="zh-CN"/>
              </w:rPr>
              <w:t>】</w:t>
            </w:r>
          </w:p>
          <w:p w14:paraId="52619A7D">
            <w:pPr>
              <w:snapToGrid w:val="0"/>
              <w:rPr>
                <w:rFonts w:hint="eastAsia" w:ascii="宋体" w:hAnsi="宋体"/>
                <w:color w:val="auto"/>
                <w:szCs w:val="24"/>
                <w:highlight w:val="none"/>
              </w:rPr>
            </w:pPr>
            <w:r>
              <w:rPr>
                <w:rFonts w:hint="eastAsia" w:ascii="宋体" w:hAnsi="宋体"/>
                <w:color w:val="auto"/>
                <w:szCs w:val="24"/>
                <w:highlight w:val="none"/>
              </w:rPr>
              <w:t>★注：关于销售机构的实际工作服务时段的提示</w:t>
            </w:r>
          </w:p>
          <w:p w14:paraId="791BD77F">
            <w:pPr>
              <w:snapToGrid w:val="0"/>
              <w:rPr>
                <w:rFonts w:hint="eastAsia" w:ascii="宋体" w:hAnsi="宋体"/>
                <w:color w:val="auto"/>
                <w:szCs w:val="24"/>
                <w:highlight w:val="none"/>
              </w:rPr>
            </w:pPr>
            <w:r>
              <w:rPr>
                <w:rFonts w:hint="eastAsia" w:ascii="宋体" w:hAnsi="宋体"/>
                <w:color w:val="auto"/>
                <w:szCs w:val="24"/>
                <w:highlight w:val="none"/>
              </w:rPr>
              <w:t>①为本产品办理相关交易的实际工作服务时段，因销售机构的不同可能存在差异（可能晚于销售文件约定的起始时点开始或早于销售文件约定的终止时点结束），投资者应当以销售机构的展示为准。</w:t>
            </w:r>
          </w:p>
          <w:p w14:paraId="5BA2C800">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olor w:val="auto"/>
                <w:szCs w:val="24"/>
                <w:highlight w:val="none"/>
              </w:rPr>
              <w:t>②销售机构的实际工作服务时段，最早不得早于销售文件约定的起始时点、最晚不得晚于销售文件约定的终止时点。</w:t>
            </w:r>
          </w:p>
        </w:tc>
      </w:tr>
      <w:tr w14:paraId="36743991">
        <w:tblPrEx>
          <w:tblCellMar>
            <w:top w:w="0" w:type="dxa"/>
            <w:left w:w="108" w:type="dxa"/>
            <w:bottom w:w="0" w:type="dxa"/>
            <w:right w:w="108" w:type="dxa"/>
          </w:tblCellMar>
        </w:tblPrEx>
        <w:trPr>
          <w:trHeight w:val="1180" w:hRule="atLeast"/>
        </w:trPr>
        <w:tc>
          <w:tcPr>
            <w:tcW w:w="2453" w:type="dxa"/>
            <w:tcBorders>
              <w:top w:val="single" w:color="auto" w:sz="4" w:space="0"/>
              <w:left w:val="single" w:color="auto" w:sz="4" w:space="0"/>
              <w:bottom w:val="single" w:color="auto" w:sz="4" w:space="0"/>
              <w:right w:val="single" w:color="auto" w:sz="4" w:space="0"/>
            </w:tcBorders>
            <w:vAlign w:val="center"/>
          </w:tcPr>
          <w:p w14:paraId="38B31D5D">
            <w:pPr>
              <w:widowControl/>
              <w:spacing w:line="400" w:lineRule="exact"/>
              <w:jc w:val="center"/>
              <w:textAlignment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color w:val="auto"/>
                <w:szCs w:val="24"/>
                <w:highlight w:val="none"/>
              </w:rPr>
              <w:t>续投资期数</w:t>
            </w:r>
          </w:p>
        </w:tc>
        <w:tc>
          <w:tcPr>
            <w:tcW w:w="6972" w:type="dxa"/>
            <w:tcBorders>
              <w:top w:val="single" w:color="auto" w:sz="4" w:space="0"/>
              <w:left w:val="single" w:color="auto" w:sz="4" w:space="0"/>
              <w:bottom w:val="single" w:color="auto" w:sz="4" w:space="0"/>
              <w:right w:val="single" w:color="auto" w:sz="4" w:space="0"/>
            </w:tcBorders>
            <w:vAlign w:val="center"/>
          </w:tcPr>
          <w:p w14:paraId="312C7F20">
            <w:pPr>
              <w:widowControl/>
              <w:snapToGrid/>
              <w:spacing w:line="400" w:lineRule="exact"/>
              <w:jc w:val="left"/>
              <w:textAlignment w:val="center"/>
              <w:rPr>
                <w:rFonts w:hint="eastAsia" w:ascii="宋体" w:hAnsi="宋体"/>
                <w:b w:val="0"/>
                <w:bCs w:val="0"/>
                <w:color w:val="auto"/>
                <w:szCs w:val="24"/>
                <w:highlight w:val="none"/>
              </w:rPr>
            </w:pPr>
            <w:r>
              <w:rPr>
                <w:rFonts w:hint="eastAsia" w:ascii="宋体" w:hAnsi="宋体"/>
                <w:b w:val="0"/>
                <w:bCs w:val="0"/>
                <w:color w:val="auto"/>
                <w:szCs w:val="24"/>
                <w:highlight w:val="none"/>
              </w:rPr>
              <w:t>续投资期数即投资者选择后续持有本产品份额且不赎回的固定周期期数。</w:t>
            </w:r>
          </w:p>
          <w:p w14:paraId="66CB3E46">
            <w:pPr>
              <w:widowControl/>
              <w:snapToGrid/>
              <w:spacing w:line="400" w:lineRule="exact"/>
              <w:jc w:val="left"/>
              <w:textAlignment w:val="center"/>
              <w:rPr>
                <w:rFonts w:hint="eastAsia" w:ascii="宋体" w:hAnsi="宋体"/>
                <w:b w:val="0"/>
                <w:bCs w:val="0"/>
                <w:color w:val="auto"/>
                <w:szCs w:val="24"/>
                <w:highlight w:val="none"/>
              </w:rPr>
            </w:pPr>
            <w:r>
              <w:rPr>
                <w:rFonts w:hint="eastAsia" w:ascii="宋体" w:hAnsi="宋体"/>
                <w:b w:val="0"/>
                <w:bCs w:val="0"/>
                <w:color w:val="auto"/>
                <w:szCs w:val="24"/>
                <w:highlight w:val="none"/>
              </w:rPr>
              <w:t>投资者在认购、申购本产品时，可自主选择续投资期数；如投资者选择续投资期数为到期不续投，则固定周期到期后自动赎回，如投资者选择续投资期数大于等于1，则投资者在1个固定周期到期后继续持有本产品至相应固定周期期数满后自动赎回。</w:t>
            </w:r>
          </w:p>
          <w:p w14:paraId="3BD9F659">
            <w:pPr>
              <w:widowControl/>
              <w:spacing w:line="400" w:lineRule="exact"/>
              <w:jc w:val="left"/>
              <w:textAlignment w:val="center"/>
              <w:rPr>
                <w:rFonts w:hint="eastAsia" w:ascii="仿宋_GB2312" w:hAnsi="宋体" w:cs="宋体"/>
                <w:b/>
                <w:bCs/>
                <w:color w:val="auto"/>
                <w:kern w:val="0"/>
                <w:szCs w:val="24"/>
                <w:highlight w:val="none"/>
                <w:u w:val="none"/>
              </w:rPr>
            </w:pPr>
            <w:r>
              <w:rPr>
                <w:rFonts w:hint="eastAsia" w:ascii="宋体" w:hAnsi="宋体"/>
                <w:b/>
                <w:bCs/>
                <w:color w:val="auto"/>
                <w:szCs w:val="24"/>
                <w:highlight w:val="none"/>
              </w:rPr>
              <w:t>投资者持有本产品期间，可调整续投资期数。投资者可于每个固定周期结束日前第</w:t>
            </w:r>
            <w:r>
              <w:rPr>
                <w:rFonts w:hint="eastAsia" w:ascii="宋体" w:hAnsi="宋体"/>
                <w:b/>
                <w:bCs/>
                <w:color w:val="auto"/>
                <w:szCs w:val="24"/>
                <w:highlight w:val="yellow"/>
                <w:lang w:eastAsia="zh-CN"/>
              </w:rPr>
              <w:t>【</w:t>
            </w:r>
            <w:r>
              <w:rPr>
                <w:rFonts w:hint="eastAsia" w:ascii="宋体" w:hAnsi="宋体"/>
                <w:b/>
                <w:bCs/>
                <w:color w:val="auto"/>
                <w:szCs w:val="24"/>
                <w:highlight w:val="yellow"/>
                <w:lang w:val="en-US" w:eastAsia="zh-CN"/>
              </w:rPr>
              <w:t>5</w:t>
            </w:r>
            <w:r>
              <w:rPr>
                <w:rFonts w:hint="eastAsia" w:ascii="宋体" w:hAnsi="宋体"/>
                <w:b/>
                <w:bCs/>
                <w:color w:val="auto"/>
                <w:szCs w:val="24"/>
                <w:highlight w:val="yellow"/>
                <w:lang w:eastAsia="zh-CN"/>
              </w:rPr>
              <w:t>】</w:t>
            </w:r>
            <w:r>
              <w:rPr>
                <w:rFonts w:ascii="宋体" w:hAnsi="宋体"/>
                <w:b/>
                <w:bCs/>
                <w:color w:val="auto"/>
                <w:szCs w:val="24"/>
                <w:highlight w:val="none"/>
              </w:rPr>
              <w:t>个</w:t>
            </w:r>
            <w:r>
              <w:rPr>
                <w:rFonts w:hint="eastAsia" w:ascii="宋体" w:hAnsi="宋体"/>
                <w:b/>
                <w:bCs/>
                <w:color w:val="auto"/>
                <w:szCs w:val="24"/>
                <w:highlight w:val="yellow"/>
                <w:lang w:eastAsia="zh-CN"/>
              </w:rPr>
              <w:t>【工作日/交易日】</w:t>
            </w:r>
            <w:r>
              <w:rPr>
                <w:rFonts w:hint="eastAsia" w:ascii="宋体" w:hAnsi="宋体"/>
                <w:color w:val="auto"/>
                <w:szCs w:val="24"/>
                <w:highlight w:val="yellow"/>
              </w:rPr>
              <w:t>【</w:t>
            </w:r>
            <w:r>
              <w:rPr>
                <w:rFonts w:hint="eastAsia" w:ascii="宋体" w:hAnsi="宋体"/>
                <w:color w:val="auto"/>
                <w:szCs w:val="24"/>
                <w:highlight w:val="yellow"/>
                <w:lang w:val="en-US" w:eastAsia="zh-CN"/>
              </w:rPr>
              <w:t>xx:xx</w:t>
            </w:r>
            <w:r>
              <w:rPr>
                <w:rFonts w:hint="eastAsia" w:ascii="宋体" w:hAnsi="宋体"/>
                <w:color w:val="auto"/>
                <w:szCs w:val="24"/>
                <w:highlight w:val="yellow"/>
              </w:rPr>
              <w:t>】</w:t>
            </w:r>
            <w:r>
              <w:rPr>
                <w:rFonts w:ascii="宋体" w:hAnsi="宋体"/>
                <w:b/>
                <w:bCs/>
                <w:color w:val="auto"/>
                <w:szCs w:val="24"/>
                <w:highlight w:val="none"/>
              </w:rPr>
              <w:t>之前（不含）发起</w:t>
            </w:r>
            <w:r>
              <w:rPr>
                <w:rFonts w:hint="eastAsia" w:ascii="宋体" w:hAnsi="宋体"/>
                <w:b/>
                <w:bCs/>
                <w:color w:val="auto"/>
                <w:szCs w:val="24"/>
                <w:highlight w:val="none"/>
              </w:rPr>
              <w:t>续投资期数调整。</w:t>
            </w:r>
            <w:r>
              <w:rPr>
                <w:rFonts w:ascii="宋体" w:hAnsi="宋体"/>
                <w:b/>
                <w:bCs/>
                <w:color w:val="auto"/>
                <w:szCs w:val="24"/>
                <w:highlight w:val="none"/>
              </w:rPr>
              <w:t>投资者</w:t>
            </w:r>
            <w:r>
              <w:rPr>
                <w:rFonts w:hint="eastAsia" w:ascii="宋体" w:hAnsi="宋体"/>
                <w:b/>
                <w:bCs/>
                <w:color w:val="auto"/>
                <w:szCs w:val="24"/>
                <w:highlight w:val="none"/>
              </w:rPr>
              <w:t>每个</w:t>
            </w:r>
            <w:r>
              <w:rPr>
                <w:rFonts w:hint="eastAsia" w:ascii="宋体" w:hAnsi="宋体"/>
                <w:b/>
                <w:bCs/>
                <w:color w:val="auto"/>
                <w:szCs w:val="24"/>
                <w:highlight w:val="yellow"/>
                <w:lang w:eastAsia="zh-CN"/>
              </w:rPr>
              <w:t>【工作日/交易日】</w:t>
            </w:r>
            <w:r>
              <w:rPr>
                <w:rFonts w:hint="eastAsia" w:ascii="宋体" w:hAnsi="宋体"/>
                <w:color w:val="auto"/>
                <w:szCs w:val="24"/>
                <w:highlight w:val="yellow"/>
              </w:rPr>
              <w:t>【</w:t>
            </w:r>
            <w:r>
              <w:rPr>
                <w:rFonts w:hint="eastAsia" w:ascii="宋体" w:hAnsi="宋体"/>
                <w:color w:val="auto"/>
                <w:szCs w:val="24"/>
                <w:highlight w:val="yellow"/>
                <w:lang w:val="en-US" w:eastAsia="zh-CN"/>
              </w:rPr>
              <w:t>xx:xx</w:t>
            </w:r>
            <w:r>
              <w:rPr>
                <w:rFonts w:hint="eastAsia" w:ascii="宋体" w:hAnsi="宋体"/>
                <w:color w:val="auto"/>
                <w:szCs w:val="24"/>
                <w:highlight w:val="yellow"/>
              </w:rPr>
              <w:t>】</w:t>
            </w:r>
            <w:r>
              <w:rPr>
                <w:rFonts w:hint="eastAsia" w:ascii="宋体" w:hAnsi="宋体"/>
                <w:b/>
                <w:bCs/>
                <w:color w:val="auto"/>
                <w:szCs w:val="24"/>
                <w:highlight w:val="none"/>
              </w:rPr>
              <w:t>之前（不含）</w:t>
            </w:r>
            <w:r>
              <w:rPr>
                <w:rFonts w:ascii="宋体" w:hAnsi="宋体"/>
                <w:b/>
                <w:bCs/>
                <w:color w:val="auto"/>
                <w:szCs w:val="24"/>
                <w:highlight w:val="none"/>
              </w:rPr>
              <w:t>已提交的续投资期数调整申请</w:t>
            </w:r>
            <w:r>
              <w:rPr>
                <w:rFonts w:hint="eastAsia" w:ascii="宋体" w:hAnsi="宋体"/>
                <w:b/>
                <w:bCs/>
                <w:color w:val="auto"/>
                <w:szCs w:val="24"/>
                <w:highlight w:val="none"/>
              </w:rPr>
              <w:t>于当日</w:t>
            </w:r>
            <w:r>
              <w:rPr>
                <w:rFonts w:hint="eastAsia" w:ascii="宋体" w:hAnsi="宋体"/>
                <w:color w:val="auto"/>
                <w:szCs w:val="24"/>
                <w:highlight w:val="yellow"/>
              </w:rPr>
              <w:t>【</w:t>
            </w:r>
            <w:r>
              <w:rPr>
                <w:rFonts w:hint="eastAsia" w:ascii="宋体" w:hAnsi="宋体"/>
                <w:color w:val="auto"/>
                <w:szCs w:val="24"/>
                <w:highlight w:val="yellow"/>
                <w:lang w:val="en-US" w:eastAsia="zh-CN"/>
              </w:rPr>
              <w:t>xx:xx</w:t>
            </w:r>
            <w:r>
              <w:rPr>
                <w:rFonts w:hint="eastAsia" w:ascii="宋体" w:hAnsi="宋体"/>
                <w:color w:val="auto"/>
                <w:szCs w:val="24"/>
                <w:highlight w:val="yellow"/>
              </w:rPr>
              <w:t>】</w:t>
            </w:r>
            <w:r>
              <w:rPr>
                <w:rFonts w:hint="eastAsia" w:ascii="宋体" w:hAnsi="宋体"/>
                <w:b/>
                <w:bCs/>
                <w:color w:val="auto"/>
                <w:szCs w:val="24"/>
                <w:highlight w:val="none"/>
              </w:rPr>
              <w:t>生效</w:t>
            </w:r>
            <w:r>
              <w:rPr>
                <w:rFonts w:ascii="宋体" w:hAnsi="宋体"/>
                <w:b/>
                <w:bCs/>
                <w:color w:val="auto"/>
                <w:szCs w:val="24"/>
                <w:highlight w:val="none"/>
              </w:rPr>
              <w:t>，生效后不可撤销</w:t>
            </w:r>
            <w:r>
              <w:rPr>
                <w:rFonts w:hint="eastAsia" w:ascii="宋体" w:hAnsi="宋体"/>
                <w:b/>
                <w:bCs/>
                <w:color w:val="auto"/>
                <w:szCs w:val="24"/>
                <w:highlight w:val="none"/>
              </w:rPr>
              <w:t>，调整</w:t>
            </w:r>
            <w:r>
              <w:rPr>
                <w:rFonts w:ascii="宋体" w:hAnsi="宋体"/>
                <w:b/>
                <w:bCs/>
                <w:color w:val="auto"/>
                <w:szCs w:val="24"/>
                <w:highlight w:val="none"/>
              </w:rPr>
              <w:t>结果将于下一</w:t>
            </w:r>
            <w:r>
              <w:rPr>
                <w:rFonts w:hint="eastAsia" w:ascii="宋体" w:hAnsi="宋体"/>
                <w:b/>
                <w:bCs/>
                <w:color w:val="auto"/>
                <w:szCs w:val="24"/>
                <w:highlight w:val="yellow"/>
                <w:lang w:eastAsia="zh-CN"/>
              </w:rPr>
              <w:t>【工作日/交易日】</w:t>
            </w:r>
            <w:r>
              <w:rPr>
                <w:rFonts w:ascii="宋体" w:hAnsi="宋体"/>
                <w:b/>
                <w:bCs/>
                <w:color w:val="auto"/>
                <w:szCs w:val="24"/>
                <w:highlight w:val="none"/>
              </w:rPr>
              <w:t>确认；</w:t>
            </w:r>
            <w:r>
              <w:rPr>
                <w:rFonts w:hint="eastAsia" w:ascii="宋体" w:hAnsi="宋体"/>
                <w:b/>
                <w:bCs/>
                <w:color w:val="auto"/>
                <w:szCs w:val="24"/>
                <w:highlight w:val="none"/>
              </w:rPr>
              <w:t>每个</w:t>
            </w:r>
            <w:r>
              <w:rPr>
                <w:rFonts w:hint="eastAsia" w:ascii="宋体" w:hAnsi="宋体"/>
                <w:b/>
                <w:bCs/>
                <w:color w:val="auto"/>
                <w:szCs w:val="24"/>
                <w:highlight w:val="yellow"/>
                <w:lang w:eastAsia="zh-CN"/>
              </w:rPr>
              <w:t>【工作日/交易日】</w:t>
            </w:r>
            <w:r>
              <w:rPr>
                <w:rFonts w:hint="eastAsia" w:ascii="宋体" w:hAnsi="宋体"/>
                <w:color w:val="auto"/>
                <w:szCs w:val="24"/>
                <w:highlight w:val="yellow"/>
              </w:rPr>
              <w:t>【</w:t>
            </w:r>
            <w:r>
              <w:rPr>
                <w:rFonts w:hint="eastAsia" w:ascii="宋体" w:hAnsi="宋体"/>
                <w:color w:val="auto"/>
                <w:szCs w:val="24"/>
                <w:highlight w:val="yellow"/>
                <w:lang w:val="en-US" w:eastAsia="zh-CN"/>
              </w:rPr>
              <w:t>xx:xx</w:t>
            </w:r>
            <w:r>
              <w:rPr>
                <w:rFonts w:hint="eastAsia" w:ascii="宋体" w:hAnsi="宋体"/>
                <w:color w:val="auto"/>
                <w:szCs w:val="24"/>
                <w:highlight w:val="yellow"/>
              </w:rPr>
              <w:t>】</w:t>
            </w:r>
            <w:r>
              <w:rPr>
                <w:rFonts w:hint="eastAsia" w:ascii="宋体" w:hAnsi="宋体"/>
                <w:b/>
                <w:bCs/>
                <w:color w:val="auto"/>
                <w:szCs w:val="24"/>
                <w:highlight w:val="none"/>
              </w:rPr>
              <w:t>（含）之后发起的续投资期数调整，将于下一个</w:t>
            </w:r>
            <w:r>
              <w:rPr>
                <w:rFonts w:hint="eastAsia" w:ascii="宋体" w:hAnsi="宋体"/>
                <w:b/>
                <w:bCs/>
                <w:color w:val="auto"/>
                <w:szCs w:val="24"/>
                <w:highlight w:val="yellow"/>
                <w:lang w:eastAsia="zh-CN"/>
              </w:rPr>
              <w:t>【工作日/交易日】</w:t>
            </w:r>
            <w:r>
              <w:rPr>
                <w:rFonts w:hint="eastAsia" w:ascii="宋体" w:hAnsi="宋体"/>
                <w:color w:val="auto"/>
                <w:szCs w:val="24"/>
                <w:highlight w:val="yellow"/>
              </w:rPr>
              <w:t>【</w:t>
            </w:r>
            <w:r>
              <w:rPr>
                <w:rFonts w:hint="eastAsia" w:ascii="宋体" w:hAnsi="宋体"/>
                <w:color w:val="auto"/>
                <w:szCs w:val="24"/>
                <w:highlight w:val="yellow"/>
                <w:lang w:val="en-US" w:eastAsia="zh-CN"/>
              </w:rPr>
              <w:t>xx:xx</w:t>
            </w:r>
            <w:r>
              <w:rPr>
                <w:rFonts w:hint="eastAsia" w:ascii="宋体" w:hAnsi="宋体"/>
                <w:color w:val="auto"/>
                <w:szCs w:val="24"/>
                <w:highlight w:val="yellow"/>
              </w:rPr>
              <w:t>】</w:t>
            </w:r>
            <w:r>
              <w:rPr>
                <w:rFonts w:hint="eastAsia" w:ascii="宋体" w:hAnsi="宋体"/>
                <w:b/>
                <w:bCs/>
                <w:color w:val="auto"/>
                <w:szCs w:val="24"/>
                <w:highlight w:val="none"/>
              </w:rPr>
              <w:t>生效，调整</w:t>
            </w:r>
            <w:r>
              <w:rPr>
                <w:rFonts w:ascii="宋体" w:hAnsi="宋体"/>
                <w:b/>
                <w:bCs/>
                <w:color w:val="auto"/>
                <w:szCs w:val="24"/>
                <w:highlight w:val="none"/>
              </w:rPr>
              <w:t>结果将于下</w:t>
            </w:r>
            <w:r>
              <w:rPr>
                <w:rFonts w:hint="eastAsia" w:ascii="宋体" w:hAnsi="宋体"/>
                <w:b/>
                <w:bCs/>
                <w:color w:val="auto"/>
                <w:szCs w:val="24"/>
                <w:highlight w:val="yellow"/>
                <w:lang w:eastAsia="zh-CN"/>
              </w:rPr>
              <w:t>【</w:t>
            </w:r>
            <w:r>
              <w:rPr>
                <w:rFonts w:hint="eastAsia" w:ascii="宋体" w:hAnsi="宋体"/>
                <w:b/>
                <w:bCs/>
                <w:color w:val="auto"/>
                <w:szCs w:val="24"/>
                <w:highlight w:val="yellow"/>
                <w:lang w:val="en-US" w:eastAsia="zh-CN"/>
              </w:rPr>
              <w:t>2</w:t>
            </w:r>
            <w:r>
              <w:rPr>
                <w:rFonts w:hint="eastAsia" w:ascii="宋体" w:hAnsi="宋体"/>
                <w:b/>
                <w:bCs/>
                <w:color w:val="auto"/>
                <w:szCs w:val="24"/>
                <w:highlight w:val="yellow"/>
                <w:lang w:eastAsia="zh-CN"/>
              </w:rPr>
              <w:t>】</w:t>
            </w:r>
            <w:r>
              <w:rPr>
                <w:rFonts w:hint="eastAsia" w:ascii="宋体" w:hAnsi="宋体"/>
                <w:b/>
                <w:bCs/>
                <w:color w:val="auto"/>
                <w:szCs w:val="24"/>
                <w:highlight w:val="none"/>
              </w:rPr>
              <w:t>个</w:t>
            </w:r>
            <w:r>
              <w:rPr>
                <w:rFonts w:hint="eastAsia" w:ascii="宋体" w:hAnsi="宋体"/>
                <w:b/>
                <w:bCs/>
                <w:color w:val="auto"/>
                <w:szCs w:val="24"/>
                <w:highlight w:val="yellow"/>
                <w:lang w:eastAsia="zh-CN"/>
              </w:rPr>
              <w:t>【工作日/交易日】</w:t>
            </w:r>
            <w:r>
              <w:rPr>
                <w:rFonts w:ascii="宋体" w:hAnsi="宋体"/>
                <w:b/>
                <w:bCs/>
                <w:color w:val="auto"/>
                <w:szCs w:val="24"/>
                <w:highlight w:val="none"/>
              </w:rPr>
              <w:t>确认</w:t>
            </w:r>
            <w:r>
              <w:rPr>
                <w:rFonts w:hint="eastAsia" w:ascii="宋体" w:hAnsi="宋体"/>
                <w:b/>
                <w:bCs/>
                <w:color w:val="auto"/>
                <w:szCs w:val="24"/>
                <w:highlight w:val="none"/>
              </w:rPr>
              <w:t>。</w:t>
            </w:r>
            <w:r>
              <w:rPr>
                <w:rFonts w:ascii="宋体" w:hAnsi="宋体"/>
                <w:b/>
                <w:bCs/>
                <w:color w:val="auto"/>
                <w:szCs w:val="24"/>
                <w:highlight w:val="none"/>
              </w:rPr>
              <w:t>固定周期结束日前第5个</w:t>
            </w:r>
            <w:r>
              <w:rPr>
                <w:rFonts w:hint="eastAsia" w:ascii="宋体" w:hAnsi="宋体"/>
                <w:b/>
                <w:bCs/>
                <w:color w:val="auto"/>
                <w:szCs w:val="24"/>
                <w:highlight w:val="yellow"/>
                <w:lang w:eastAsia="zh-CN"/>
              </w:rPr>
              <w:t>【工作日/交易日】</w:t>
            </w:r>
            <w:r>
              <w:rPr>
                <w:rFonts w:hint="eastAsia" w:ascii="宋体" w:hAnsi="宋体"/>
                <w:color w:val="auto"/>
                <w:szCs w:val="24"/>
                <w:highlight w:val="yellow"/>
              </w:rPr>
              <w:t>【</w:t>
            </w:r>
            <w:r>
              <w:rPr>
                <w:rFonts w:hint="eastAsia" w:ascii="宋体" w:hAnsi="宋体"/>
                <w:color w:val="auto"/>
                <w:szCs w:val="24"/>
                <w:highlight w:val="yellow"/>
                <w:lang w:val="en-US" w:eastAsia="zh-CN"/>
              </w:rPr>
              <w:t>xx:xx</w:t>
            </w:r>
            <w:r>
              <w:rPr>
                <w:rFonts w:hint="eastAsia" w:ascii="宋体" w:hAnsi="宋体"/>
                <w:color w:val="auto"/>
                <w:szCs w:val="24"/>
                <w:highlight w:val="yellow"/>
              </w:rPr>
              <w:t>】</w:t>
            </w:r>
            <w:r>
              <w:rPr>
                <w:rFonts w:ascii="宋体" w:hAnsi="宋体"/>
                <w:b/>
                <w:bCs/>
                <w:color w:val="auto"/>
                <w:szCs w:val="24"/>
                <w:highlight w:val="none"/>
              </w:rPr>
              <w:t>（含）之后不可发起</w:t>
            </w:r>
            <w:r>
              <w:rPr>
                <w:rFonts w:hint="eastAsia" w:ascii="宋体" w:hAnsi="宋体"/>
                <w:b/>
                <w:bCs/>
                <w:color w:val="auto"/>
                <w:szCs w:val="24"/>
                <w:highlight w:val="none"/>
              </w:rPr>
              <w:t>续投资期数调整</w:t>
            </w:r>
            <w:r>
              <w:rPr>
                <w:rFonts w:ascii="宋体" w:hAnsi="宋体"/>
                <w:b/>
                <w:bCs/>
                <w:color w:val="auto"/>
                <w:szCs w:val="24"/>
                <w:highlight w:val="none"/>
              </w:rPr>
              <w:t>。</w:t>
            </w:r>
          </w:p>
        </w:tc>
      </w:tr>
      <w:tr w14:paraId="1F2988B1">
        <w:tblPrEx>
          <w:tblCellMar>
            <w:top w:w="0" w:type="dxa"/>
            <w:left w:w="108" w:type="dxa"/>
            <w:bottom w:w="0" w:type="dxa"/>
            <w:right w:w="108" w:type="dxa"/>
          </w:tblCellMar>
        </w:tblPrEx>
        <w:trPr>
          <w:trHeight w:val="1180" w:hRule="atLeast"/>
        </w:trPr>
        <w:tc>
          <w:tcPr>
            <w:tcW w:w="2453" w:type="dxa"/>
            <w:tcBorders>
              <w:top w:val="single" w:color="auto" w:sz="4" w:space="0"/>
              <w:left w:val="single" w:color="auto" w:sz="4" w:space="0"/>
              <w:bottom w:val="single" w:color="auto" w:sz="4" w:space="0"/>
              <w:right w:val="single" w:color="auto" w:sz="4" w:space="0"/>
            </w:tcBorders>
            <w:vAlign w:val="center"/>
          </w:tcPr>
          <w:p w14:paraId="2AD58140">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巨额赎回</w:t>
            </w:r>
          </w:p>
        </w:tc>
        <w:tc>
          <w:tcPr>
            <w:tcW w:w="6972" w:type="dxa"/>
            <w:tcBorders>
              <w:top w:val="single" w:color="auto" w:sz="4" w:space="0"/>
              <w:left w:val="single" w:color="auto" w:sz="4" w:space="0"/>
              <w:bottom w:val="single" w:color="auto" w:sz="4" w:space="0"/>
              <w:right w:val="single" w:color="auto" w:sz="4" w:space="0"/>
            </w:tcBorders>
            <w:vAlign w:val="center"/>
          </w:tcPr>
          <w:p w14:paraId="3281F70B">
            <w:pPr>
              <w:widowControl/>
              <w:snapToGrid/>
              <w:spacing w:line="400" w:lineRule="exact"/>
              <w:jc w:val="left"/>
              <w:textAlignment w:val="center"/>
              <w:rPr>
                <w:rFonts w:asciiTheme="minorEastAsia" w:hAnsiTheme="minorEastAsia"/>
                <w:b/>
                <w:color w:val="auto"/>
                <w:szCs w:val="24"/>
                <w:highlight w:val="none"/>
                <w:u w:val="none"/>
              </w:rPr>
            </w:pPr>
            <w:r>
              <w:rPr>
                <w:rFonts w:hint="eastAsia" w:ascii="仿宋_GB2312" w:hAnsi="宋体" w:cs="宋体"/>
                <w:b/>
                <w:bCs/>
                <w:color w:val="auto"/>
                <w:kern w:val="0"/>
                <w:szCs w:val="24"/>
                <w:highlight w:val="none"/>
                <w:u w:val="none"/>
              </w:rPr>
              <w:t>单个开放日内</w:t>
            </w:r>
            <w:r>
              <w:rPr>
                <w:rFonts w:ascii="仿宋_GB2312" w:hAnsi="宋体" w:cs="宋体"/>
                <w:b/>
                <w:bCs/>
                <w:color w:val="auto"/>
                <w:kern w:val="0"/>
                <w:szCs w:val="24"/>
                <w:highlight w:val="none"/>
                <w:u w:val="none"/>
              </w:rPr>
              <w:t>，</w:t>
            </w:r>
            <w:r>
              <w:rPr>
                <w:rFonts w:hint="eastAsia" w:ascii="仿宋_GB2312" w:hAnsi="宋体" w:cs="宋体"/>
                <w:b/>
                <w:bCs/>
                <w:color w:val="auto"/>
                <w:kern w:val="0"/>
                <w:szCs w:val="24"/>
                <w:highlight w:val="none"/>
                <w:u w:val="none"/>
              </w:rPr>
              <w:t>产品净赎回申请（</w:t>
            </w:r>
            <w:r>
              <w:rPr>
                <w:rFonts w:ascii="仿宋_GB2312" w:hAnsi="宋体" w:cs="宋体"/>
                <w:b/>
                <w:bCs/>
                <w:color w:val="auto"/>
                <w:kern w:val="0"/>
                <w:szCs w:val="24"/>
                <w:highlight w:val="none"/>
                <w:u w:val="none"/>
              </w:rPr>
              <w:t>赎回</w:t>
            </w:r>
            <w:r>
              <w:rPr>
                <w:rFonts w:hint="eastAsia" w:ascii="仿宋_GB2312" w:hAnsi="宋体" w:cs="宋体"/>
                <w:b/>
                <w:bCs/>
                <w:color w:val="auto"/>
                <w:kern w:val="0"/>
                <w:szCs w:val="24"/>
                <w:highlight w:val="none"/>
                <w:u w:val="none"/>
              </w:rPr>
              <w:t>申请总份额扣除申购总份额后的余额</w:t>
            </w:r>
            <w:r>
              <w:rPr>
                <w:rFonts w:ascii="仿宋_GB2312" w:hAnsi="宋体" w:cs="宋体"/>
                <w:b/>
                <w:bCs/>
                <w:color w:val="auto"/>
                <w:kern w:val="0"/>
                <w:szCs w:val="24"/>
                <w:highlight w:val="none"/>
                <w:u w:val="none"/>
              </w:rPr>
              <w:t>,下同）</w:t>
            </w:r>
            <w:r>
              <w:rPr>
                <w:rFonts w:hint="eastAsia" w:ascii="仿宋_GB2312" w:hAnsi="宋体" w:cs="宋体"/>
                <w:b/>
                <w:bCs/>
                <w:color w:val="auto"/>
                <w:kern w:val="0"/>
                <w:szCs w:val="24"/>
                <w:highlight w:val="none"/>
                <w:u w:val="none"/>
              </w:rPr>
              <w:t>超过前一日终理财产品总份额的【</w:t>
            </w:r>
            <w:r>
              <w:rPr>
                <w:rFonts w:ascii="仿宋_GB2312" w:hAnsi="宋体" w:cs="宋体"/>
                <w:b/>
                <w:bCs/>
                <w:color w:val="auto"/>
                <w:kern w:val="0"/>
                <w:szCs w:val="24"/>
                <w:highlight w:val="none"/>
                <w:u w:val="none"/>
              </w:rPr>
              <w:t>10</w:t>
            </w:r>
            <w:r>
              <w:rPr>
                <w:rFonts w:hint="eastAsia" w:ascii="仿宋_GB2312" w:hAnsi="宋体" w:cs="宋体"/>
                <w:b/>
                <w:bCs/>
                <w:color w:val="auto"/>
                <w:kern w:val="0"/>
                <w:szCs w:val="24"/>
                <w:highlight w:val="none"/>
                <w:u w:val="none"/>
              </w:rPr>
              <w:t>％】</w:t>
            </w:r>
            <w:r>
              <w:rPr>
                <w:rFonts w:hint="eastAsia" w:asciiTheme="minorEastAsia" w:hAnsiTheme="minorEastAsia"/>
                <w:b/>
                <w:color w:val="auto"/>
                <w:szCs w:val="24"/>
                <w:highlight w:val="none"/>
                <w:u w:val="none"/>
              </w:rPr>
              <w:t>，即为发生巨额赎回。</w:t>
            </w:r>
          </w:p>
          <w:p w14:paraId="3D089C0A">
            <w:pPr>
              <w:widowControl/>
              <w:snapToGrid/>
              <w:spacing w:line="400" w:lineRule="exact"/>
              <w:jc w:val="left"/>
              <w:textAlignment w:val="center"/>
              <w:rPr>
                <w:rFonts w:asciiTheme="minorEastAsia" w:hAnsiTheme="minorEastAsia"/>
                <w:b/>
                <w:color w:val="auto"/>
                <w:szCs w:val="24"/>
                <w:highlight w:val="none"/>
                <w:u w:val="none"/>
              </w:rPr>
            </w:pPr>
            <w:r>
              <w:rPr>
                <w:rFonts w:hint="eastAsia" w:asciiTheme="minorEastAsia" w:hAnsiTheme="minorEastAsia"/>
                <w:b/>
                <w:color w:val="auto"/>
                <w:szCs w:val="24"/>
                <w:highlight w:val="none"/>
                <w:u w:val="none"/>
              </w:rPr>
              <w:t>本理财产品在开放日发生巨额赎回时，管理人有权根据产品的实际运作情况采取如下措施中的一种：</w:t>
            </w:r>
          </w:p>
          <w:p w14:paraId="65685282">
            <w:pPr>
              <w:widowControl/>
              <w:snapToGrid/>
              <w:spacing w:line="400" w:lineRule="exact"/>
              <w:jc w:val="left"/>
              <w:textAlignment w:val="center"/>
              <w:rPr>
                <w:rFonts w:asciiTheme="minorEastAsia" w:hAnsiTheme="minorEastAsia"/>
                <w:b/>
                <w:color w:val="auto"/>
                <w:szCs w:val="24"/>
                <w:highlight w:val="none"/>
                <w:u w:val="none"/>
              </w:rPr>
            </w:pPr>
            <w:r>
              <w:rPr>
                <w:rFonts w:asciiTheme="minorEastAsia" w:hAnsiTheme="minorEastAsia"/>
                <w:b/>
                <w:color w:val="auto"/>
                <w:szCs w:val="24"/>
                <w:highlight w:val="none"/>
                <w:u w:val="none"/>
              </w:rPr>
              <w:t>1.</w:t>
            </w:r>
            <w:r>
              <w:rPr>
                <w:rFonts w:hint="eastAsia" w:asciiTheme="minorEastAsia" w:hAnsiTheme="minorEastAsia"/>
                <w:b/>
                <w:color w:val="auto"/>
                <w:szCs w:val="24"/>
                <w:highlight w:val="none"/>
                <w:u w:val="none"/>
              </w:rPr>
              <w:t>接受全额赎回：当管理人认为有能力兑付投资者的全部赎回申请时，将在赎回确认日按正常赎回程序执行；</w:t>
            </w:r>
          </w:p>
          <w:p w14:paraId="475CFC42">
            <w:pPr>
              <w:widowControl/>
              <w:snapToGrid/>
              <w:spacing w:line="400" w:lineRule="exact"/>
              <w:jc w:val="left"/>
              <w:textAlignment w:val="center"/>
              <w:rPr>
                <w:rFonts w:asciiTheme="minorEastAsia" w:hAnsiTheme="minorEastAsia"/>
                <w:b/>
                <w:color w:val="auto"/>
                <w:szCs w:val="24"/>
                <w:highlight w:val="none"/>
                <w:u w:val="none"/>
              </w:rPr>
            </w:pPr>
            <w:r>
              <w:rPr>
                <w:rFonts w:asciiTheme="minorEastAsia" w:hAnsiTheme="minorEastAsia"/>
                <w:b/>
                <w:color w:val="auto"/>
                <w:szCs w:val="24"/>
                <w:highlight w:val="none"/>
                <w:u w:val="none"/>
              </w:rPr>
              <w:t>2.</w:t>
            </w:r>
            <w:r>
              <w:rPr>
                <w:rFonts w:hint="eastAsia" w:asciiTheme="minorEastAsia" w:hAnsiTheme="minorEastAsia"/>
                <w:b/>
                <w:color w:val="auto"/>
                <w:szCs w:val="24"/>
                <w:highlight w:val="none"/>
                <w:u w:val="none"/>
              </w:rPr>
              <w:t>接受部分赎回：当管理人认为兑付投资者的赎回申请有困难，或认为兑付投资者的赎回申请可能会对本理财产品的资产净值造成较大波动时，在赎回确认日管理人办理的赎回份额将不低于前一日终理财产品总份额的</w:t>
            </w:r>
            <w:r>
              <w:rPr>
                <w:rFonts w:hint="eastAsia" w:ascii="仿宋_GB2312" w:hAnsi="宋体" w:cs="宋体"/>
                <w:b/>
                <w:bCs/>
                <w:color w:val="auto"/>
                <w:kern w:val="0"/>
                <w:szCs w:val="24"/>
                <w:highlight w:val="none"/>
                <w:u w:val="none"/>
              </w:rPr>
              <w:t>【</w:t>
            </w:r>
            <w:r>
              <w:rPr>
                <w:rFonts w:asciiTheme="minorEastAsia" w:hAnsiTheme="minorEastAsia"/>
                <w:b/>
                <w:color w:val="auto"/>
                <w:szCs w:val="24"/>
                <w:highlight w:val="none"/>
                <w:u w:val="none"/>
              </w:rPr>
              <w:t>10%</w:t>
            </w:r>
            <w:r>
              <w:rPr>
                <w:rFonts w:hint="eastAsia" w:ascii="仿宋_GB2312" w:hAnsi="宋体" w:cs="宋体"/>
                <w:b/>
                <w:bCs/>
                <w:color w:val="auto"/>
                <w:kern w:val="0"/>
                <w:szCs w:val="24"/>
                <w:highlight w:val="none"/>
                <w:u w:val="none"/>
              </w:rPr>
              <w:t>】</w:t>
            </w:r>
            <w:r>
              <w:rPr>
                <w:rFonts w:hint="eastAsia" w:asciiTheme="minorEastAsia" w:hAnsiTheme="minorEastAsia"/>
                <w:b/>
                <w:color w:val="auto"/>
                <w:szCs w:val="24"/>
                <w:highlight w:val="none"/>
                <w:u w:val="none"/>
              </w:rPr>
              <w:t>，对于其余赎回申请管理人可暂停接受或延期办理。</w:t>
            </w:r>
          </w:p>
          <w:p w14:paraId="765AC88E">
            <w:pPr>
              <w:widowControl/>
              <w:snapToGrid/>
              <w:spacing w:line="400" w:lineRule="exact"/>
              <w:jc w:val="left"/>
              <w:textAlignment w:val="center"/>
              <w:rPr>
                <w:rFonts w:asciiTheme="minorEastAsia" w:hAnsiTheme="minorEastAsia"/>
                <w:b/>
                <w:color w:val="auto"/>
                <w:szCs w:val="24"/>
                <w:highlight w:val="none"/>
                <w:u w:val="none"/>
              </w:rPr>
            </w:pPr>
            <w:r>
              <w:rPr>
                <w:rFonts w:hint="eastAsia" w:asciiTheme="minorEastAsia" w:hAnsiTheme="minorEastAsia"/>
                <w:b/>
                <w:color w:val="auto"/>
                <w:szCs w:val="24"/>
                <w:highlight w:val="none"/>
                <w:u w:val="none"/>
              </w:rPr>
              <w:t>（</w:t>
            </w:r>
            <w:r>
              <w:rPr>
                <w:rFonts w:asciiTheme="minorEastAsia" w:hAnsiTheme="minorEastAsia"/>
                <w:b/>
                <w:color w:val="auto"/>
                <w:szCs w:val="24"/>
                <w:highlight w:val="none"/>
                <w:u w:val="none"/>
              </w:rPr>
              <w:t>1</w:t>
            </w:r>
            <w:r>
              <w:rPr>
                <w:rFonts w:hint="eastAsia" w:asciiTheme="minorEastAsia" w:hAnsiTheme="minorEastAsia"/>
                <w:b/>
                <w:color w:val="auto"/>
                <w:szCs w:val="24"/>
                <w:highlight w:val="none"/>
                <w:u w:val="none"/>
              </w:rPr>
              <w:t>）对于接受赎回申请的部分，管理人将按单个投资者的赎回申请份额占当日所有投资者的净赎回申请总份额的比例，确认该投资者当日办理的赎回申请份额。</w:t>
            </w:r>
          </w:p>
          <w:p w14:paraId="566D91A2">
            <w:pPr>
              <w:widowControl/>
              <w:snapToGrid/>
              <w:spacing w:line="400" w:lineRule="exact"/>
              <w:jc w:val="left"/>
              <w:textAlignment w:val="center"/>
              <w:rPr>
                <w:rFonts w:asciiTheme="minorEastAsia" w:hAnsiTheme="minorEastAsia"/>
                <w:b/>
                <w:color w:val="auto"/>
                <w:szCs w:val="24"/>
                <w:highlight w:val="none"/>
                <w:u w:val="none"/>
              </w:rPr>
            </w:pPr>
            <w:r>
              <w:rPr>
                <w:rFonts w:hint="eastAsia" w:asciiTheme="minorEastAsia" w:hAnsiTheme="minorEastAsia"/>
                <w:b/>
                <w:color w:val="auto"/>
                <w:szCs w:val="24"/>
                <w:highlight w:val="none"/>
                <w:u w:val="none"/>
              </w:rPr>
              <w:t>（</w:t>
            </w:r>
            <w:r>
              <w:rPr>
                <w:rFonts w:asciiTheme="minorEastAsia" w:hAnsiTheme="minorEastAsia"/>
                <w:b/>
                <w:color w:val="auto"/>
                <w:szCs w:val="24"/>
                <w:highlight w:val="none"/>
                <w:u w:val="none"/>
              </w:rPr>
              <w:t>2</w:t>
            </w:r>
            <w:r>
              <w:rPr>
                <w:rFonts w:hint="eastAsia" w:asciiTheme="minorEastAsia" w:hAnsiTheme="minorEastAsia"/>
                <w:b/>
                <w:color w:val="auto"/>
                <w:szCs w:val="24"/>
                <w:highlight w:val="none"/>
                <w:u w:val="none"/>
              </w:rPr>
              <w:t>）对于暂停接受的部分，管理人将拒绝该部分赎回申请，投资者可在下一个产品开放日再次发起赎回申请。</w:t>
            </w:r>
          </w:p>
          <w:p w14:paraId="1320F62C">
            <w:pPr>
              <w:widowControl/>
              <w:spacing w:line="400" w:lineRule="exact"/>
              <w:jc w:val="left"/>
              <w:textAlignment w:val="center"/>
              <w:rPr>
                <w:rFonts w:hint="eastAsia" w:asciiTheme="minorEastAsia" w:hAnsiTheme="minorEastAsia"/>
                <w:b/>
                <w:color w:val="auto"/>
                <w:szCs w:val="24"/>
                <w:highlight w:val="none"/>
                <w:u w:val="none"/>
              </w:rPr>
            </w:pPr>
            <w:r>
              <w:rPr>
                <w:rFonts w:hint="eastAsia" w:asciiTheme="minorEastAsia" w:hAnsiTheme="minorEastAsia"/>
                <w:b/>
                <w:color w:val="auto"/>
                <w:szCs w:val="24"/>
                <w:highlight w:val="none"/>
                <w:u w:val="none"/>
              </w:rPr>
              <w:t>（</w:t>
            </w:r>
            <w:r>
              <w:rPr>
                <w:rFonts w:asciiTheme="minorEastAsia" w:hAnsiTheme="minorEastAsia"/>
                <w:b/>
                <w:color w:val="auto"/>
                <w:szCs w:val="24"/>
                <w:highlight w:val="none"/>
                <w:u w:val="none"/>
              </w:rPr>
              <w:t>3</w:t>
            </w:r>
            <w:r>
              <w:rPr>
                <w:rFonts w:hint="eastAsia" w:asciiTheme="minorEastAsia" w:hAnsiTheme="minorEastAsia"/>
                <w:b/>
                <w:color w:val="auto"/>
                <w:szCs w:val="24"/>
                <w:highlight w:val="none"/>
                <w:u w:val="none"/>
              </w:rPr>
              <w:t>）对于延期办理的部分，管理人将在下一个产品开放日自动为投资者发起该部分的赎回，延期赎回的申请与下一个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hint="eastAsia" w:asciiTheme="minorEastAsia" w:hAnsiTheme="minorEastAsia"/>
                <w:b/>
                <w:color w:val="auto"/>
                <w:szCs w:val="24"/>
                <w:highlight w:val="none"/>
                <w:u w:val="none"/>
              </w:rPr>
              <w:t>赎回申请一并处理，不享有优先确认权，且赎回净值为下一个产品开放日的净值，直至该部分全部被确认。在延期办理的部分全部被确认前，投资者不可撤销该部分的赎回申请。本理财产品发生巨额赎回、管理人接受部分赎回时，对于暂停接受和延期办理的部分，管理人可能需在下一个申购或赎回开放日才可确认，可能影响投资者的资金安排。根据不同销售机构提供的服务，投资者可以在申请赎回时选择在触发巨额赎回情形下将当日未获办理部分取消或者顺延。投资者选择取消的，未获办理部分管理人将参考“</w:t>
            </w:r>
            <w:r>
              <w:rPr>
                <w:rFonts w:asciiTheme="minorEastAsia" w:hAnsiTheme="minorEastAsia"/>
                <w:b/>
                <w:color w:val="auto"/>
                <w:szCs w:val="24"/>
                <w:highlight w:val="none"/>
                <w:u w:val="none"/>
              </w:rPr>
              <w:t>2.</w:t>
            </w:r>
            <w:r>
              <w:rPr>
                <w:rFonts w:hint="eastAsia" w:asciiTheme="minorEastAsia" w:hAnsiTheme="minorEastAsia"/>
                <w:b/>
                <w:color w:val="auto"/>
                <w:szCs w:val="24"/>
                <w:highlight w:val="none"/>
                <w:u w:val="none"/>
              </w:rPr>
              <w:t>接受部分赎回（</w:t>
            </w:r>
            <w:r>
              <w:rPr>
                <w:rFonts w:asciiTheme="minorEastAsia" w:hAnsiTheme="minorEastAsia"/>
                <w:b/>
                <w:color w:val="auto"/>
                <w:szCs w:val="24"/>
                <w:highlight w:val="none"/>
                <w:u w:val="none"/>
              </w:rPr>
              <w:t>2</w:t>
            </w:r>
            <w:r>
              <w:rPr>
                <w:rFonts w:hint="eastAsia" w:asciiTheme="minorEastAsia" w:hAnsiTheme="minorEastAsia"/>
                <w:b/>
                <w:color w:val="auto"/>
                <w:szCs w:val="24"/>
                <w:highlight w:val="none"/>
                <w:u w:val="none"/>
              </w:rPr>
              <w:t>）对于暂停接受的部分”采取措施；投资者选择顺延的，顺延部分管理人将参考“</w:t>
            </w:r>
            <w:r>
              <w:rPr>
                <w:rFonts w:asciiTheme="minorEastAsia" w:hAnsiTheme="minorEastAsia"/>
                <w:b/>
                <w:color w:val="auto"/>
                <w:szCs w:val="24"/>
                <w:highlight w:val="none"/>
                <w:u w:val="none"/>
              </w:rPr>
              <w:t>2.</w:t>
            </w:r>
            <w:r>
              <w:rPr>
                <w:rFonts w:hint="eastAsia" w:asciiTheme="minorEastAsia" w:hAnsiTheme="minorEastAsia"/>
                <w:b/>
                <w:color w:val="auto"/>
                <w:szCs w:val="24"/>
                <w:highlight w:val="none"/>
                <w:u w:val="none"/>
              </w:rPr>
              <w:t>接受部分赎回（</w:t>
            </w:r>
            <w:r>
              <w:rPr>
                <w:rFonts w:asciiTheme="minorEastAsia" w:hAnsiTheme="minorEastAsia"/>
                <w:b/>
                <w:color w:val="auto"/>
                <w:szCs w:val="24"/>
                <w:highlight w:val="none"/>
                <w:u w:val="none"/>
              </w:rPr>
              <w:t>3</w:t>
            </w:r>
            <w:r>
              <w:rPr>
                <w:rFonts w:hint="eastAsia" w:asciiTheme="minorEastAsia" w:hAnsiTheme="minorEastAsia"/>
                <w:b/>
                <w:color w:val="auto"/>
                <w:szCs w:val="24"/>
                <w:highlight w:val="none"/>
                <w:u w:val="none"/>
              </w:rPr>
              <w:t>）对于延期办理的部分”采取措施。具体服务投资者可详询销售机构，最终以销售机构提供的服务为准。</w:t>
            </w:r>
          </w:p>
          <w:p w14:paraId="2C7DE0A5">
            <w:pPr>
              <w:keepNext w:val="0"/>
              <w:keepLines w:val="0"/>
              <w:widowControl/>
              <w:numPr>
                <w:ilvl w:val="-1"/>
                <w:numId w:val="0"/>
              </w:numPr>
              <w:suppressLineNumbers w:val="0"/>
              <w:spacing w:line="400" w:lineRule="exact"/>
              <w:jc w:val="left"/>
              <w:textAlignment w:val="center"/>
              <w:rPr>
                <w:rFonts w:hint="eastAsia" w:ascii="宋体" w:hAnsi="宋体"/>
                <w:b/>
                <w:bCs w:val="0"/>
                <w:color w:val="auto"/>
                <w:szCs w:val="24"/>
                <w:highlight w:val="none"/>
                <w:u w:val="none"/>
              </w:rPr>
            </w:pPr>
            <w:r>
              <w:rPr>
                <w:rFonts w:hint="eastAsia" w:ascii="宋体" w:hAnsi="宋体" w:cstheme="minorBidi"/>
                <w:b/>
                <w:bCs w:val="0"/>
                <w:color w:val="auto"/>
                <w:kern w:val="2"/>
                <w:sz w:val="24"/>
                <w:szCs w:val="24"/>
                <w:highlight w:val="none"/>
                <w:u w:val="none"/>
                <w:lang w:val="en-US" w:eastAsia="zh-CN" w:bidi="ar"/>
              </w:rPr>
              <w:t>3.</w:t>
            </w:r>
            <w:r>
              <w:rPr>
                <w:rFonts w:hint="eastAsia" w:ascii="宋体" w:hAnsi="宋体" w:eastAsia="仿宋_GB2312" w:cstheme="minorBidi"/>
                <w:b/>
                <w:bCs w:val="0"/>
                <w:color w:val="auto"/>
                <w:kern w:val="2"/>
                <w:sz w:val="24"/>
                <w:szCs w:val="24"/>
                <w:highlight w:val="none"/>
                <w:u w:val="none"/>
                <w:lang w:val="en-US" w:eastAsia="zh-CN" w:bidi="ar"/>
              </w:rPr>
              <w:t>收取短期赎回费：产品发生巨额赎回或产品管理人认为可能会导致产品流动性风险的其他情形下，产品管理人可向连续持有少于7日的开放式理财产品投资者收取短期赎回费，并将上述短期赎回费全额计入理财产品财产。产品管理人将在收取短期赎回费后3个</w:t>
            </w:r>
            <w:r>
              <w:rPr>
                <w:rFonts w:hint="eastAsia" w:ascii="宋体" w:hAnsi="宋体" w:cstheme="minorBidi"/>
                <w:b/>
                <w:bCs w:val="0"/>
                <w:color w:val="auto"/>
                <w:kern w:val="2"/>
                <w:sz w:val="24"/>
                <w:szCs w:val="24"/>
                <w:highlight w:val="none"/>
                <w:u w:val="none"/>
                <w:lang w:val="en-US" w:eastAsia="zh-CN" w:bidi="ar"/>
              </w:rPr>
              <w:t>交易日</w:t>
            </w:r>
            <w:r>
              <w:rPr>
                <w:rFonts w:hint="eastAsia" w:ascii="宋体" w:hAnsi="宋体" w:eastAsia="仿宋_GB2312" w:cstheme="minorBidi"/>
                <w:b/>
                <w:bCs w:val="0"/>
                <w:color w:val="auto"/>
                <w:kern w:val="2"/>
                <w:sz w:val="24"/>
                <w:szCs w:val="24"/>
                <w:highlight w:val="none"/>
                <w:u w:val="none"/>
                <w:lang w:val="en-US" w:eastAsia="zh-CN" w:bidi="ar"/>
              </w:rPr>
              <w:t>内通过公告的形式向相关投资者披露短期赎回费率、费用计算方式、收费方式等信息。</w:t>
            </w:r>
          </w:p>
          <w:p w14:paraId="0D925457">
            <w:pPr>
              <w:widowControl/>
              <w:spacing w:line="400" w:lineRule="exact"/>
              <w:jc w:val="left"/>
              <w:textAlignment w:val="center"/>
              <w:rPr>
                <w:rFonts w:hint="eastAsia"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当本理财产品连续</w:t>
            </w:r>
            <w:r>
              <w:rPr>
                <w:rFonts w:ascii="仿宋_GB2312" w:hAnsi="宋体" w:cs="宋体"/>
                <w:b/>
                <w:bCs/>
                <w:color w:val="auto"/>
                <w:kern w:val="0"/>
                <w:szCs w:val="24"/>
                <w:highlight w:val="none"/>
                <w:u w:val="none"/>
              </w:rPr>
              <w:t>2</w:t>
            </w:r>
            <w:r>
              <w:rPr>
                <w:rFonts w:hint="eastAsia" w:ascii="仿宋_GB2312" w:hAnsi="宋体" w:cs="宋体"/>
                <w:b/>
                <w:bCs/>
                <w:color w:val="auto"/>
                <w:kern w:val="0"/>
                <w:szCs w:val="24"/>
                <w:highlight w:val="none"/>
                <w:u w:val="none"/>
              </w:rPr>
              <w:t>个以上开放日发生巨额赎回时，除采取上述措施外，对于已经接受的赎回申请，管理人有权延缓支付赎回款项，但延缓期限不得超过</w:t>
            </w:r>
            <w:r>
              <w:rPr>
                <w:rFonts w:ascii="仿宋_GB2312" w:hAnsi="宋体" w:cs="宋体"/>
                <w:b/>
                <w:bCs/>
                <w:color w:val="auto"/>
                <w:kern w:val="0"/>
                <w:szCs w:val="24"/>
                <w:highlight w:val="none"/>
                <w:u w:val="none"/>
              </w:rPr>
              <w:t>20</w:t>
            </w:r>
            <w:r>
              <w:rPr>
                <w:rFonts w:hint="eastAsia" w:ascii="仿宋_GB2312" w:hAnsi="宋体" w:cs="宋体"/>
                <w:b/>
                <w:bCs/>
                <w:color w:val="auto"/>
                <w:kern w:val="0"/>
                <w:szCs w:val="24"/>
                <w:highlight w:val="none"/>
                <w:u w:val="none"/>
              </w:rPr>
              <w:t>个工作日。</w:t>
            </w:r>
          </w:p>
        </w:tc>
      </w:tr>
      <w:tr w14:paraId="7FE42784">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9BB62E3">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Theme="minorEastAsia" w:hAnsiTheme="minorEastAsia"/>
                <w:color w:val="auto"/>
                <w:kern w:val="0"/>
                <w:szCs w:val="24"/>
                <w:highlight w:val="none"/>
                <w:u w:val="none"/>
              </w:rPr>
              <w:t>撤销规则</w:t>
            </w:r>
          </w:p>
        </w:tc>
        <w:tc>
          <w:tcPr>
            <w:tcW w:w="6972" w:type="dxa"/>
            <w:tcBorders>
              <w:top w:val="single" w:color="auto" w:sz="4" w:space="0"/>
              <w:left w:val="single" w:color="auto" w:sz="4" w:space="0"/>
              <w:bottom w:val="single" w:color="auto" w:sz="4" w:space="0"/>
              <w:right w:val="single" w:color="auto" w:sz="4" w:space="0"/>
            </w:tcBorders>
            <w:vAlign w:val="center"/>
          </w:tcPr>
          <w:p w14:paraId="427D5BF2">
            <w:pPr>
              <w:snapToGrid w:val="0"/>
              <w:jc w:val="left"/>
              <w:rPr>
                <w:rFonts w:asciiTheme="minorEastAsia" w:hAnsiTheme="minorEastAsia"/>
                <w:color w:val="auto"/>
                <w:szCs w:val="24"/>
                <w:highlight w:val="none"/>
                <w:u w:val="none"/>
              </w:rPr>
            </w:pPr>
            <w:r>
              <w:rPr>
                <w:rFonts w:hint="eastAsia" w:asciiTheme="minorEastAsia" w:hAnsiTheme="minorEastAsia"/>
                <w:color w:val="auto"/>
                <w:szCs w:val="24"/>
                <w:highlight w:val="none"/>
                <w:u w:val="none"/>
              </w:rPr>
              <w:t>1.投资者可在本理财产品募集期结束前撤销已成功提交的产品认购申请；</w:t>
            </w:r>
          </w:p>
          <w:p w14:paraId="11107BED">
            <w:pPr>
              <w:snapToGrid w:val="0"/>
              <w:jc w:val="left"/>
              <w:rPr>
                <w:rFonts w:asciiTheme="minorEastAsia" w:hAnsiTheme="minorEastAsia"/>
                <w:color w:val="auto"/>
                <w:szCs w:val="24"/>
                <w:highlight w:val="none"/>
                <w:u w:val="none"/>
              </w:rPr>
            </w:pPr>
            <w:r>
              <w:rPr>
                <w:rFonts w:hint="eastAsia" w:asciiTheme="minorEastAsia" w:hAnsiTheme="minorEastAsia"/>
                <w:color w:val="auto"/>
                <w:szCs w:val="24"/>
                <w:highlight w:val="none"/>
                <w:u w:val="none"/>
              </w:rPr>
              <w:t>2.投资者可</w:t>
            </w:r>
            <w:r>
              <w:rPr>
                <w:rFonts w:hint="eastAsia" w:asciiTheme="minorEastAsia" w:hAnsiTheme="minorEastAsia"/>
                <w:b/>
                <w:color w:val="auto"/>
                <w:szCs w:val="24"/>
                <w:highlight w:val="none"/>
                <w:u w:val="none"/>
              </w:rPr>
              <w:t>在</w:t>
            </w:r>
            <w:r>
              <w:rPr>
                <w:rFonts w:hint="eastAsia" w:asciiTheme="minorEastAsia" w:hAnsiTheme="minorEastAsia"/>
                <w:b/>
                <w:color w:val="auto"/>
                <w:szCs w:val="24"/>
                <w:highlight w:val="none"/>
              </w:rPr>
              <w:t>申购日</w:t>
            </w:r>
            <w:r>
              <w:rPr>
                <w:rFonts w:hint="eastAsia" w:ascii="宋体" w:hAnsi="宋体"/>
                <w:color w:val="auto"/>
                <w:szCs w:val="24"/>
                <w:highlight w:val="yellow"/>
              </w:rPr>
              <w:t>【</w:t>
            </w:r>
            <w:r>
              <w:rPr>
                <w:rFonts w:hint="eastAsia" w:ascii="宋体" w:hAnsi="宋体"/>
                <w:color w:val="auto"/>
                <w:szCs w:val="24"/>
                <w:highlight w:val="yellow"/>
                <w:lang w:val="en-US" w:eastAsia="zh-CN"/>
              </w:rPr>
              <w:t>xx:xx</w:t>
            </w:r>
            <w:r>
              <w:rPr>
                <w:rFonts w:hint="eastAsia" w:ascii="宋体" w:hAnsi="宋体"/>
                <w:color w:val="auto"/>
                <w:szCs w:val="24"/>
                <w:highlight w:val="yellow"/>
              </w:rPr>
              <w:t>】</w:t>
            </w:r>
            <w:r>
              <w:rPr>
                <w:rFonts w:hint="eastAsia" w:asciiTheme="minorEastAsia" w:hAnsiTheme="minorEastAsia"/>
                <w:b/>
                <w:color w:val="auto"/>
                <w:szCs w:val="24"/>
                <w:highlight w:val="none"/>
                <w:u w:val="none"/>
              </w:rPr>
              <w:t>前（含）撤销</w:t>
            </w:r>
            <w:r>
              <w:rPr>
                <w:rFonts w:hint="eastAsia" w:asciiTheme="minorEastAsia" w:hAnsiTheme="minorEastAsia"/>
                <w:b/>
                <w:color w:val="auto"/>
                <w:szCs w:val="24"/>
                <w:highlight w:val="none"/>
              </w:rPr>
              <w:t>申购日</w:t>
            </w:r>
            <w:r>
              <w:rPr>
                <w:rFonts w:hint="eastAsia" w:asciiTheme="minorEastAsia" w:hAnsiTheme="minorEastAsia"/>
                <w:b/>
                <w:color w:val="auto"/>
                <w:szCs w:val="24"/>
                <w:highlight w:val="none"/>
                <w:u w:val="none"/>
              </w:rPr>
              <w:t>已成功提交的理财产品申购申请，</w:t>
            </w:r>
            <w:r>
              <w:rPr>
                <w:rFonts w:hint="eastAsia" w:ascii="宋体" w:hAnsi="宋体"/>
                <w:color w:val="auto"/>
                <w:szCs w:val="24"/>
                <w:highlight w:val="yellow"/>
              </w:rPr>
              <w:t>【</w:t>
            </w:r>
            <w:r>
              <w:rPr>
                <w:rFonts w:hint="eastAsia" w:ascii="宋体" w:hAnsi="宋体"/>
                <w:color w:val="auto"/>
                <w:szCs w:val="24"/>
                <w:highlight w:val="yellow"/>
                <w:lang w:val="en-US" w:eastAsia="zh-CN"/>
              </w:rPr>
              <w:t>xx:xx</w:t>
            </w:r>
            <w:r>
              <w:rPr>
                <w:rFonts w:hint="eastAsia" w:ascii="宋体" w:hAnsi="宋体"/>
                <w:color w:val="auto"/>
                <w:szCs w:val="24"/>
                <w:highlight w:val="yellow"/>
              </w:rPr>
              <w:t>】</w:t>
            </w:r>
            <w:r>
              <w:rPr>
                <w:rFonts w:hint="eastAsia" w:asciiTheme="minorEastAsia" w:hAnsiTheme="minorEastAsia"/>
                <w:b/>
                <w:color w:val="auto"/>
                <w:szCs w:val="24"/>
                <w:highlight w:val="none"/>
                <w:u w:val="none"/>
              </w:rPr>
              <w:t>后不可撤销</w:t>
            </w:r>
            <w:r>
              <w:rPr>
                <w:rFonts w:hint="eastAsia" w:asciiTheme="minorEastAsia" w:hAnsiTheme="minorEastAsia"/>
                <w:color w:val="auto"/>
                <w:szCs w:val="24"/>
                <w:highlight w:val="none"/>
                <w:u w:val="none"/>
              </w:rPr>
              <w:t>；</w:t>
            </w:r>
          </w:p>
          <w:p w14:paraId="23197D14">
            <w:pPr>
              <w:snapToGrid w:val="0"/>
              <w:jc w:val="left"/>
              <w:rPr>
                <w:rFonts w:hint="eastAsia" w:ascii="仿宋" w:hAnsi="仿宋" w:eastAsia="仿宋" w:cs="宋体"/>
                <w:bCs/>
                <w:color w:val="000000" w:themeColor="text1"/>
                <w:kern w:val="0"/>
                <w:sz w:val="24"/>
                <w:lang w:bidi="ar"/>
                <w14:textFill>
                  <w14:solidFill>
                    <w14:schemeClr w14:val="tx1"/>
                  </w14:solidFill>
                </w14:textFill>
              </w:rPr>
            </w:pPr>
            <w:r>
              <w:rPr>
                <w:rFonts w:hint="eastAsia" w:asciiTheme="minorEastAsia" w:hAnsiTheme="minorEastAsia"/>
                <w:color w:val="auto"/>
                <w:szCs w:val="24"/>
                <w:highlight w:val="none"/>
                <w:u w:val="none"/>
              </w:rPr>
              <w:t>3.</w:t>
            </w:r>
            <w:r>
              <w:rPr>
                <w:rFonts w:hint="eastAsia"/>
                <w:b/>
                <w:color w:val="auto"/>
                <w:szCs w:val="24"/>
                <w:highlight w:val="none"/>
                <w:u w:val="none"/>
              </w:rPr>
              <w:t>销售机构实际受理撤销申请时间可能与说明书不一致，具体以销售机构展示为准。</w:t>
            </w:r>
          </w:p>
        </w:tc>
      </w:tr>
      <w:tr w14:paraId="4EDE8F34">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6BDA63FB">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bCs/>
                <w:color w:val="auto"/>
                <w:szCs w:val="24"/>
                <w:highlight w:val="none"/>
                <w:u w:val="none"/>
              </w:rPr>
              <w:t>认/申购数量</w:t>
            </w:r>
            <w:r>
              <w:rPr>
                <w:rFonts w:ascii="宋体" w:hAnsi="宋体"/>
                <w:bCs/>
                <w:color w:val="auto"/>
                <w:szCs w:val="24"/>
                <w:highlight w:val="none"/>
                <w:u w:val="none"/>
              </w:rPr>
              <w:t>限制</w:t>
            </w:r>
          </w:p>
        </w:tc>
        <w:tc>
          <w:tcPr>
            <w:tcW w:w="6972" w:type="dxa"/>
            <w:tcBorders>
              <w:top w:val="single" w:color="auto" w:sz="4" w:space="0"/>
              <w:left w:val="single" w:color="auto" w:sz="4" w:space="0"/>
              <w:bottom w:val="single" w:color="auto" w:sz="4" w:space="0"/>
              <w:right w:val="single" w:color="auto" w:sz="4" w:space="0"/>
            </w:tcBorders>
            <w:vAlign w:val="center"/>
          </w:tcPr>
          <w:p w14:paraId="3B4E4EF0">
            <w:pPr>
              <w:widowControl/>
              <w:numPr>
                <w:ilvl w:val="0"/>
                <w:numId w:val="6"/>
              </w:numPr>
              <w:jc w:val="left"/>
              <w:rPr>
                <w:rFonts w:asciiTheme="minorEastAsia" w:hAnsiTheme="minorEastAsia"/>
                <w:color w:val="auto"/>
                <w:szCs w:val="24"/>
                <w:highlight w:val="none"/>
                <w:u w:val="none"/>
              </w:rPr>
            </w:pPr>
            <w:r>
              <w:rPr>
                <w:rFonts w:hint="eastAsia" w:ascii="宋体" w:hAnsi="宋体"/>
                <w:bCs/>
                <w:color w:val="auto"/>
                <w:szCs w:val="24"/>
                <w:highlight w:val="yellow"/>
                <w:u w:val="none"/>
                <w:lang w:val="en-US" w:eastAsia="zh-CN"/>
              </w:rPr>
              <w:t>【A类份额】</w:t>
            </w:r>
            <w:r>
              <w:rPr>
                <w:rFonts w:hint="eastAsia" w:ascii="宋体" w:hAnsi="宋体"/>
                <w:bCs/>
                <w:color w:val="auto"/>
                <w:szCs w:val="24"/>
                <w:highlight w:val="none"/>
                <w:u w:val="none"/>
                <w:lang w:val="en-US" w:eastAsia="zh-CN"/>
              </w:rPr>
              <w:t>：</w:t>
            </w:r>
            <w:r>
              <w:rPr>
                <w:rFonts w:hint="eastAsia" w:ascii="宋体" w:hAnsi="宋体"/>
                <w:bCs/>
                <w:color w:val="auto"/>
                <w:szCs w:val="24"/>
                <w:highlight w:val="yellow"/>
                <w:u w:val="none"/>
                <w:lang w:val="en-US" w:eastAsia="zh-CN"/>
              </w:rPr>
              <w:t>【</w:t>
            </w:r>
            <w:r>
              <w:rPr>
                <w:rFonts w:hint="eastAsia" w:ascii="宋体" w:hAnsi="宋体"/>
                <w:bCs/>
                <w:color w:val="auto"/>
                <w:szCs w:val="24"/>
                <w:highlight w:val="yellow"/>
                <w:u w:val="none"/>
                <w:lang w:eastAsia="zh-CN"/>
              </w:rPr>
              <w:t>单一】</w:t>
            </w:r>
            <w:r>
              <w:rPr>
                <w:rFonts w:hint="eastAsia" w:ascii="宋体" w:hAnsi="宋体"/>
                <w:bCs/>
                <w:color w:val="auto"/>
                <w:szCs w:val="24"/>
                <w:highlight w:val="none"/>
                <w:u w:val="none"/>
              </w:rPr>
              <w:t>投资者认购上限为</w:t>
            </w:r>
            <w:r>
              <w:rPr>
                <w:rFonts w:hint="eastAsia" w:ascii="宋体" w:hAnsi="宋体"/>
                <w:bCs/>
                <w:color w:val="auto"/>
                <w:szCs w:val="24"/>
                <w:highlight w:val="yellow"/>
                <w:u w:val="none"/>
              </w:rPr>
              <w:t>【</w:t>
            </w:r>
            <w:r>
              <w:rPr>
                <w:rFonts w:hint="eastAsia" w:ascii="宋体" w:hAnsi="宋体"/>
                <w:bCs/>
                <w:color w:val="auto"/>
                <w:szCs w:val="24"/>
                <w:highlight w:val="yellow"/>
                <w:u w:val="none"/>
                <w:lang w:val="en-US" w:eastAsia="zh-CN"/>
              </w:rPr>
              <w:t>100</w:t>
            </w:r>
            <w:r>
              <w:rPr>
                <w:rFonts w:hint="eastAsia" w:ascii="宋体" w:hAnsi="宋体"/>
                <w:bCs/>
                <w:color w:val="auto"/>
                <w:szCs w:val="24"/>
                <w:highlight w:val="yellow"/>
                <w:u w:val="none"/>
              </w:rPr>
              <w:t>】</w:t>
            </w:r>
            <w:r>
              <w:rPr>
                <w:rFonts w:hint="eastAsia" w:ascii="宋体" w:hAnsi="宋体"/>
                <w:bCs/>
                <w:color w:val="auto"/>
                <w:szCs w:val="24"/>
                <w:highlight w:val="none"/>
                <w:u w:val="none"/>
              </w:rPr>
              <w:t>万元。</w:t>
            </w:r>
            <w:r>
              <w:rPr>
                <w:rFonts w:hint="eastAsia" w:ascii="宋体" w:hAnsi="宋体"/>
                <w:bCs/>
                <w:color w:val="auto"/>
                <w:szCs w:val="24"/>
                <w:highlight w:val="yellow"/>
                <w:u w:val="none"/>
                <w:lang w:val="en-US" w:eastAsia="zh-CN"/>
              </w:rPr>
              <w:t>【</w:t>
            </w:r>
            <w:r>
              <w:rPr>
                <w:rFonts w:hint="eastAsia" w:ascii="宋体" w:hAnsi="宋体"/>
                <w:bCs/>
                <w:color w:val="auto"/>
                <w:szCs w:val="24"/>
                <w:highlight w:val="yellow"/>
                <w:u w:val="none"/>
                <w:lang w:eastAsia="zh-CN"/>
              </w:rPr>
              <w:t>单一】</w:t>
            </w:r>
            <w:r>
              <w:rPr>
                <w:rFonts w:hint="eastAsia" w:ascii="宋体" w:hAnsi="宋体"/>
                <w:bCs/>
                <w:color w:val="auto"/>
                <w:szCs w:val="24"/>
                <w:highlight w:val="none"/>
                <w:u w:val="none"/>
              </w:rPr>
              <w:t>投资者申购上限为</w:t>
            </w:r>
            <w:r>
              <w:rPr>
                <w:rFonts w:hint="eastAsia" w:ascii="宋体" w:hAnsi="宋体"/>
                <w:bCs/>
                <w:color w:val="auto"/>
                <w:szCs w:val="24"/>
                <w:highlight w:val="yellow"/>
                <w:u w:val="none"/>
              </w:rPr>
              <w:t>【</w:t>
            </w:r>
            <w:r>
              <w:rPr>
                <w:rFonts w:hint="eastAsia" w:ascii="宋体" w:hAnsi="宋体"/>
                <w:bCs/>
                <w:color w:val="auto"/>
                <w:szCs w:val="24"/>
                <w:highlight w:val="yellow"/>
                <w:u w:val="none"/>
                <w:lang w:val="en-US" w:eastAsia="zh-CN"/>
              </w:rPr>
              <w:t>100</w:t>
            </w:r>
            <w:r>
              <w:rPr>
                <w:rFonts w:hint="eastAsia" w:ascii="宋体" w:hAnsi="宋体"/>
                <w:bCs/>
                <w:color w:val="auto"/>
                <w:szCs w:val="24"/>
                <w:highlight w:val="yellow"/>
                <w:u w:val="none"/>
              </w:rPr>
              <w:t>】</w:t>
            </w:r>
            <w:r>
              <w:rPr>
                <w:rFonts w:hint="eastAsia" w:ascii="宋体" w:hAnsi="宋体"/>
                <w:bCs/>
                <w:color w:val="auto"/>
                <w:szCs w:val="24"/>
                <w:highlight w:val="none"/>
                <w:u w:val="none"/>
              </w:rPr>
              <w:t>万元，在产品运作过程中因收益分配、净值波动等被动超上限的情形除外。</w:t>
            </w:r>
          </w:p>
          <w:p w14:paraId="7101C55E">
            <w:pPr>
              <w:widowControl/>
              <w:numPr>
                <w:ilvl w:val="0"/>
                <w:numId w:val="6"/>
              </w:numPr>
              <w:jc w:val="left"/>
              <w:rPr>
                <w:rFonts w:asciiTheme="minorEastAsia" w:hAnsiTheme="minorEastAsia"/>
                <w:color w:val="auto"/>
                <w:szCs w:val="24"/>
                <w:highlight w:val="none"/>
                <w:u w:val="none"/>
              </w:rPr>
            </w:pPr>
            <w:r>
              <w:rPr>
                <w:rFonts w:hint="eastAsia" w:ascii="宋体" w:hAnsi="宋体"/>
                <w:bCs/>
                <w:color w:val="auto"/>
                <w:szCs w:val="24"/>
                <w:highlight w:val="none"/>
                <w:u w:val="none"/>
              </w:rPr>
              <w:t>如果</w:t>
            </w:r>
            <w:r>
              <w:rPr>
                <w:rFonts w:ascii="宋体" w:hAnsi="宋体"/>
                <w:bCs/>
                <w:color w:val="auto"/>
                <w:szCs w:val="24"/>
                <w:highlight w:val="none"/>
                <w:u w:val="none"/>
              </w:rPr>
              <w:t>单一投资者</w:t>
            </w:r>
            <w:r>
              <w:rPr>
                <w:rFonts w:hint="eastAsia" w:ascii="宋体" w:hAnsi="宋体"/>
                <w:bCs/>
                <w:color w:val="auto"/>
                <w:szCs w:val="24"/>
                <w:highlight w:val="none"/>
                <w:u w:val="none"/>
              </w:rPr>
              <w:t>认购或申购申请确认后将导致其持有份额超过产品总份额</w:t>
            </w:r>
            <w:r>
              <w:rPr>
                <w:rFonts w:ascii="宋体" w:hAnsi="宋体"/>
                <w:bCs/>
                <w:color w:val="auto"/>
                <w:szCs w:val="24"/>
                <w:highlight w:val="none"/>
                <w:u w:val="none"/>
              </w:rPr>
              <w:t>50%</w:t>
            </w:r>
            <w:r>
              <w:rPr>
                <w:rFonts w:hint="eastAsia" w:ascii="宋体" w:hAnsi="宋体"/>
                <w:bCs/>
                <w:color w:val="auto"/>
                <w:szCs w:val="24"/>
                <w:highlight w:val="none"/>
                <w:u w:val="none"/>
              </w:rPr>
              <w:t>的</w:t>
            </w:r>
            <w:r>
              <w:rPr>
                <w:rFonts w:ascii="宋体" w:hAnsi="宋体"/>
                <w:bCs/>
                <w:color w:val="auto"/>
                <w:szCs w:val="24"/>
                <w:highlight w:val="none"/>
                <w:u w:val="none"/>
              </w:rPr>
              <w:t>，管理人有权拒绝或暂停</w:t>
            </w:r>
            <w:r>
              <w:rPr>
                <w:rFonts w:hint="eastAsia" w:ascii="宋体" w:hAnsi="宋体"/>
                <w:bCs/>
                <w:color w:val="auto"/>
                <w:szCs w:val="24"/>
                <w:highlight w:val="none"/>
                <w:u w:val="none"/>
              </w:rPr>
              <w:t>接受超出部分的</w:t>
            </w:r>
            <w:r>
              <w:rPr>
                <w:rFonts w:ascii="宋体" w:hAnsi="宋体"/>
                <w:bCs/>
                <w:color w:val="auto"/>
                <w:szCs w:val="24"/>
                <w:highlight w:val="none"/>
                <w:u w:val="none"/>
              </w:rPr>
              <w:t>认购、申购</w:t>
            </w:r>
            <w:r>
              <w:rPr>
                <w:rFonts w:hint="eastAsia" w:ascii="宋体" w:hAnsi="宋体"/>
                <w:bCs/>
                <w:color w:val="auto"/>
                <w:szCs w:val="24"/>
                <w:highlight w:val="none"/>
                <w:u w:val="none"/>
              </w:rPr>
              <w:t>申请</w:t>
            </w:r>
            <w:r>
              <w:rPr>
                <w:rFonts w:ascii="宋体" w:hAnsi="宋体"/>
                <w:bCs/>
                <w:color w:val="auto"/>
                <w:szCs w:val="24"/>
                <w:highlight w:val="none"/>
                <w:u w:val="none"/>
              </w:rPr>
              <w:t>。非因管理人主观因素导致突破该比例限制的，在单一投资者持有比例降至50%以下之前，管理人不再接受该投资者对本产品的认购</w:t>
            </w:r>
            <w:r>
              <w:rPr>
                <w:rFonts w:hint="eastAsia" w:ascii="宋体" w:hAnsi="宋体"/>
                <w:bCs/>
                <w:color w:val="auto"/>
                <w:szCs w:val="24"/>
                <w:highlight w:val="none"/>
                <w:u w:val="none"/>
              </w:rPr>
              <w:t>、申购申请。投资者持有份额的计算以管理人登记为准。</w:t>
            </w:r>
          </w:p>
          <w:p w14:paraId="491E084E">
            <w:pPr>
              <w:widowControl/>
              <w:numPr>
                <w:ilvl w:val="-1"/>
                <w:numId w:val="0"/>
              </w:numPr>
              <w:jc w:val="left"/>
              <w:rPr>
                <w:rFonts w:hint="eastAsia" w:ascii="仿宋" w:hAnsi="仿宋" w:eastAsia="仿宋" w:cs="宋体"/>
                <w:bCs/>
                <w:color w:val="000000" w:themeColor="text1"/>
                <w:kern w:val="0"/>
                <w:sz w:val="24"/>
                <w:lang w:bidi="ar"/>
                <w14:textFill>
                  <w14:solidFill>
                    <w14:schemeClr w14:val="tx1"/>
                  </w14:solidFill>
                </w14:textFill>
              </w:rPr>
            </w:pPr>
            <w:r>
              <w:rPr>
                <w:rFonts w:hint="eastAsia" w:ascii="宋体" w:hAnsi="宋体"/>
                <w:bCs/>
                <w:color w:val="auto"/>
                <w:szCs w:val="24"/>
                <w:highlight w:val="none"/>
                <w:u w:val="none"/>
                <w:lang w:val="en-US" w:eastAsia="zh-CN"/>
              </w:rPr>
              <w:t>3.</w:t>
            </w:r>
            <w:r>
              <w:rPr>
                <w:rFonts w:hint="eastAsia" w:ascii="宋体" w:hAnsi="宋体"/>
                <w:bCs/>
                <w:color w:val="auto"/>
                <w:szCs w:val="24"/>
                <w:highlight w:val="none"/>
                <w:u w:val="none"/>
              </w:rPr>
              <w:t>如投资者认/申购超过上述限额，管理人有权根据实际情况接受、拒绝或确认失败。</w:t>
            </w:r>
            <w:r>
              <w:rPr>
                <w:rFonts w:hint="eastAsia" w:ascii="宋体" w:hAnsi="宋体"/>
                <w:b/>
                <w:bCs w:val="0"/>
                <w:color w:val="auto"/>
                <w:szCs w:val="24"/>
                <w:highlight w:val="none"/>
                <w:u w:val="none"/>
              </w:rPr>
              <w:t>管理人有权以公告形式调整投资者累计认/申购上限。</w:t>
            </w:r>
          </w:p>
        </w:tc>
      </w:tr>
      <w:tr w14:paraId="6ADA95B1">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1F36128">
            <w:pPr>
              <w:snapToGrid w:val="0"/>
              <w:ind w:left="-140" w:leftChars="-74" w:hanging="15" w:firstLineChars="0"/>
              <w:jc w:val="center"/>
              <w:rPr>
                <w:rFonts w:hint="eastAsia" w:ascii="宋体" w:hAnsi="宋体"/>
                <w:bCs/>
                <w:color w:val="auto"/>
                <w:szCs w:val="24"/>
                <w:highlight w:val="none"/>
                <w:u w:val="none"/>
              </w:rPr>
            </w:pPr>
            <w:r>
              <w:rPr>
                <w:rFonts w:hint="eastAsia" w:ascii="宋体" w:hAnsi="宋体"/>
                <w:bCs/>
                <w:color w:val="auto"/>
                <w:szCs w:val="24"/>
                <w:highlight w:val="none"/>
                <w:u w:val="none"/>
              </w:rPr>
              <w:t>最高持有限额</w:t>
            </w:r>
          </w:p>
        </w:tc>
        <w:tc>
          <w:tcPr>
            <w:tcW w:w="6972" w:type="dxa"/>
            <w:tcBorders>
              <w:top w:val="single" w:color="auto" w:sz="4" w:space="0"/>
              <w:left w:val="single" w:color="auto" w:sz="4" w:space="0"/>
              <w:bottom w:val="single" w:color="auto" w:sz="4" w:space="0"/>
              <w:right w:val="single" w:color="auto" w:sz="4" w:space="0"/>
            </w:tcBorders>
            <w:vAlign w:val="center"/>
          </w:tcPr>
          <w:p w14:paraId="3CB4BB10">
            <w:pPr>
              <w:keepNext w:val="0"/>
              <w:keepLines w:val="0"/>
              <w:widowControl/>
              <w:numPr>
                <w:ilvl w:val="0"/>
                <w:numId w:val="0"/>
              </w:numPr>
              <w:suppressLineNumbers w:val="0"/>
              <w:jc w:val="left"/>
              <w:rPr>
                <w:rFonts w:hint="eastAsia" w:ascii="宋体" w:hAnsi="宋体"/>
                <w:b/>
                <w:color w:val="auto"/>
                <w:szCs w:val="24"/>
                <w:highlight w:val="none"/>
                <w:u w:val="none"/>
              </w:rPr>
            </w:pPr>
            <w:r>
              <w:rPr>
                <w:rFonts w:hint="eastAsia" w:ascii="宋体" w:hAnsi="宋体" w:eastAsia="仿宋_GB2312" w:cstheme="minorBidi"/>
                <w:b/>
                <w:bCs w:val="0"/>
                <w:color w:val="auto"/>
                <w:kern w:val="2"/>
                <w:sz w:val="24"/>
                <w:szCs w:val="24"/>
                <w:highlight w:val="none"/>
                <w:u w:val="none"/>
                <w:lang w:val="en-US" w:eastAsia="zh-CN" w:bidi="ar"/>
              </w:rPr>
              <w:t>单一投资者持有份额</w:t>
            </w:r>
            <w:r>
              <w:rPr>
                <w:rFonts w:hint="eastAsia" w:ascii="宋体" w:hAnsi="宋体" w:cstheme="minorBidi"/>
                <w:b/>
                <w:bCs w:val="0"/>
                <w:color w:val="auto"/>
                <w:kern w:val="2"/>
                <w:sz w:val="24"/>
                <w:szCs w:val="24"/>
                <w:highlight w:val="yellow"/>
                <w:u w:val="none"/>
                <w:lang w:val="en-US" w:eastAsia="zh-CN" w:bidi="ar"/>
              </w:rPr>
              <w:t>【不得/可以】</w:t>
            </w:r>
            <w:r>
              <w:rPr>
                <w:rFonts w:hint="eastAsia" w:ascii="宋体" w:hAnsi="宋体" w:eastAsia="仿宋_GB2312" w:cstheme="minorBidi"/>
                <w:b/>
                <w:bCs w:val="0"/>
                <w:color w:val="auto"/>
                <w:kern w:val="2"/>
                <w:sz w:val="24"/>
                <w:szCs w:val="24"/>
                <w:highlight w:val="none"/>
                <w:u w:val="none"/>
                <w:lang w:val="en-US" w:eastAsia="zh-CN" w:bidi="ar"/>
              </w:rPr>
              <w:t>超过本理财产品总份额的 50%。</w:t>
            </w:r>
          </w:p>
          <w:p w14:paraId="5C6D5FE7">
            <w:pPr>
              <w:widowControl/>
              <w:numPr>
                <w:ilvl w:val="-1"/>
                <w:numId w:val="0"/>
              </w:numPr>
              <w:jc w:val="left"/>
              <w:rPr>
                <w:rFonts w:hint="eastAsia" w:ascii="宋体" w:hAnsi="宋体"/>
                <w:b/>
                <w:bCs w:val="0"/>
                <w:color w:val="auto"/>
                <w:szCs w:val="24"/>
                <w:highlight w:val="none"/>
                <w:u w:val="none"/>
                <w:lang w:val="en-US" w:eastAsia="zh-CN"/>
              </w:rPr>
            </w:pPr>
            <w:r>
              <w:rPr>
                <w:rFonts w:hint="eastAsia" w:ascii="宋体" w:hAnsi="宋体"/>
                <w:b/>
                <w:bCs w:val="0"/>
                <w:color w:val="auto"/>
                <w:szCs w:val="24"/>
                <w:highlight w:val="none"/>
                <w:u w:val="none"/>
                <w:lang w:val="en-US" w:eastAsia="zh-CN"/>
              </w:rPr>
              <w:t>如销售机构规定与本规则不一致的，则以各销售机构规定为准，但不得高于最高持有限额。</w:t>
            </w:r>
          </w:p>
        </w:tc>
      </w:tr>
      <w:tr w14:paraId="10329964">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D7DC06B">
            <w:pPr>
              <w:snapToGrid w:val="0"/>
              <w:ind w:left="-140" w:leftChars="-74" w:hanging="15" w:firstLineChars="0"/>
              <w:jc w:val="center"/>
              <w:rPr>
                <w:rFonts w:hint="eastAsia" w:ascii="宋体" w:hAnsi="宋体"/>
                <w:color w:val="auto"/>
                <w:szCs w:val="24"/>
                <w:highlight w:val="none"/>
                <w:u w:val="none"/>
              </w:rPr>
            </w:pPr>
            <w:r>
              <w:rPr>
                <w:rFonts w:hint="eastAsia" w:ascii="宋体" w:hAnsi="宋体"/>
                <w:color w:val="auto"/>
                <w:szCs w:val="24"/>
                <w:highlight w:val="none"/>
                <w:u w:val="none"/>
              </w:rPr>
              <w:t>产品份额净值</w:t>
            </w:r>
          </w:p>
        </w:tc>
        <w:tc>
          <w:tcPr>
            <w:tcW w:w="6972" w:type="dxa"/>
            <w:tcBorders>
              <w:top w:val="single" w:color="auto" w:sz="4" w:space="0"/>
              <w:left w:val="single" w:color="auto" w:sz="4" w:space="0"/>
              <w:bottom w:val="single" w:color="auto" w:sz="4" w:space="0"/>
              <w:right w:val="single" w:color="auto" w:sz="4" w:space="0"/>
            </w:tcBorders>
            <w:vAlign w:val="center"/>
          </w:tcPr>
          <w:p w14:paraId="3A7C5534">
            <w:pPr>
              <w:snapToGrid w:val="0"/>
              <w:rPr>
                <w:rFonts w:ascii="宋体" w:hAnsi="宋体"/>
                <w:color w:val="auto"/>
                <w:szCs w:val="24"/>
                <w:highlight w:val="none"/>
                <w:u w:val="none"/>
              </w:rPr>
            </w:pPr>
            <w:r>
              <w:rPr>
                <w:rFonts w:hint="eastAsia" w:ascii="宋体" w:hAnsi="宋体"/>
                <w:color w:val="auto"/>
                <w:szCs w:val="24"/>
                <w:highlight w:val="none"/>
                <w:u w:val="none"/>
              </w:rPr>
              <w:t>理财产品份额净值是提取相关税费后单位理财产品份额的净值；份额净值随理财产品投资运行情况变化而变化。</w:t>
            </w:r>
          </w:p>
          <w:p w14:paraId="462DEA76">
            <w:pPr>
              <w:snapToGrid w:val="0"/>
              <w:rPr>
                <w:rFonts w:ascii="宋体" w:hAnsi="宋体"/>
                <w:color w:val="auto"/>
                <w:szCs w:val="24"/>
                <w:highlight w:val="none"/>
                <w:u w:val="none"/>
              </w:rPr>
            </w:pPr>
            <w:r>
              <w:rPr>
                <w:rFonts w:hint="eastAsia" w:ascii="宋体" w:hAnsi="宋体"/>
                <w:color w:val="auto"/>
                <w:szCs w:val="24"/>
                <w:highlight w:val="none"/>
                <w:u w:val="none"/>
              </w:rPr>
              <w:t>本产品募集期内，投资者按份额净值进行认购。</w:t>
            </w:r>
          </w:p>
          <w:p w14:paraId="708B863F">
            <w:pPr>
              <w:snapToGrid w:val="0"/>
              <w:rPr>
                <w:rFonts w:hint="eastAsia" w:ascii="宋体" w:hAnsi="宋体"/>
                <w:b/>
                <w:bCs/>
                <w:color w:val="auto"/>
                <w:szCs w:val="24"/>
                <w:highlight w:val="none"/>
                <w:u w:val="none"/>
              </w:rPr>
            </w:pPr>
            <w:r>
              <w:rPr>
                <w:rFonts w:hint="eastAsia" w:ascii="宋体" w:hAnsi="宋体"/>
                <w:b/>
                <w:bCs/>
                <w:color w:val="auto"/>
                <w:szCs w:val="24"/>
                <w:highlight w:val="none"/>
                <w:u w:val="none"/>
              </w:rPr>
              <w:t>本产品初始份额净值为1.0000</w:t>
            </w:r>
            <w:r>
              <w:rPr>
                <w:rFonts w:hint="eastAsia" w:ascii="宋体" w:hAnsi="宋体"/>
                <w:b/>
                <w:bCs/>
                <w:color w:val="auto"/>
                <w:szCs w:val="24"/>
                <w:highlight w:val="none"/>
                <w:u w:val="none"/>
                <w:lang w:val="en-US" w:eastAsia="zh-CN"/>
              </w:rPr>
              <w:t>00</w:t>
            </w:r>
            <w:r>
              <w:rPr>
                <w:rFonts w:hint="eastAsia" w:ascii="宋体" w:hAnsi="宋体"/>
                <w:b/>
                <w:bCs/>
                <w:color w:val="auto"/>
                <w:szCs w:val="24"/>
                <w:highlight w:val="none"/>
                <w:u w:val="none"/>
              </w:rPr>
              <w:t>元/份。</w:t>
            </w:r>
          </w:p>
        </w:tc>
      </w:tr>
      <w:tr w14:paraId="76581B59">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A5DEDF0">
            <w:pPr>
              <w:widowControl/>
              <w:spacing w:line="400" w:lineRule="exact"/>
              <w:jc w:val="center"/>
              <w:textAlignment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收益分配方式</w:t>
            </w:r>
          </w:p>
        </w:tc>
        <w:tc>
          <w:tcPr>
            <w:tcW w:w="6972" w:type="dxa"/>
            <w:tcBorders>
              <w:top w:val="single" w:color="auto" w:sz="4" w:space="0"/>
              <w:left w:val="single" w:color="auto" w:sz="4" w:space="0"/>
              <w:bottom w:val="single" w:color="auto" w:sz="4" w:space="0"/>
              <w:right w:val="single" w:color="auto" w:sz="4" w:space="0"/>
            </w:tcBorders>
            <w:vAlign w:val="center"/>
          </w:tcPr>
          <w:p w14:paraId="68748CED">
            <w:pPr>
              <w:widowControl/>
              <w:spacing w:line="400" w:lineRule="exact"/>
              <w:jc w:val="left"/>
              <w:textAlignment w:val="center"/>
              <w:rPr>
                <w:rFonts w:hint="eastAsia" w:ascii="仿宋_GB2312" w:hAnsi="等线" w:cs="仿宋_GB2312"/>
                <w:bCs/>
                <w:color w:val="000000" w:themeColor="text1"/>
                <w:sz w:val="24"/>
                <w:highlight w:val="yellow"/>
                <w:lang w:eastAsia="zh-CN"/>
                <w14:textFill>
                  <w14:solidFill>
                    <w14:schemeClr w14:val="tx1"/>
                  </w14:solidFill>
                </w14:textFill>
              </w:rPr>
            </w:pPr>
            <w:r>
              <w:rPr>
                <w:rFonts w:hint="eastAsia" w:ascii="仿宋_GB2312" w:hAnsi="等线" w:cs="仿宋_GB2312"/>
                <w:bCs/>
                <w:color w:val="000000" w:themeColor="text1"/>
                <w:sz w:val="24"/>
                <w:highlight w:val="yellow"/>
                <w:lang w:eastAsia="zh-CN"/>
                <w14:textFill>
                  <w14:solidFill>
                    <w14:schemeClr w14:val="tx1"/>
                  </w14:solidFill>
                </w14:textFill>
              </w:rPr>
              <w:t>【现金分配】</w:t>
            </w:r>
          </w:p>
          <w:p w14:paraId="00A4FA3B">
            <w:pPr>
              <w:snapToGrid w:val="0"/>
              <w:rPr>
                <w:rFonts w:hint="eastAsia" w:ascii="宋体" w:hAnsi="宋体"/>
                <w:sz w:val="24"/>
                <w:szCs w:val="24"/>
                <w:highlight w:val="yellow"/>
              </w:rPr>
            </w:pPr>
            <w:r>
              <w:rPr>
                <w:rFonts w:hint="eastAsia" w:ascii="宋体" w:hAnsi="宋体"/>
                <w:sz w:val="24"/>
                <w:szCs w:val="24"/>
                <w:highlight w:val="yellow"/>
                <w:lang w:eastAsia="zh-CN"/>
              </w:rPr>
              <w:t>【</w:t>
            </w:r>
            <w:r>
              <w:rPr>
                <w:rFonts w:hint="eastAsia" w:ascii="宋体" w:hAnsi="宋体"/>
                <w:sz w:val="24"/>
                <w:szCs w:val="24"/>
                <w:highlight w:val="yellow"/>
              </w:rPr>
              <w:t>产品存续期内，管理人有权</w:t>
            </w:r>
            <w:r>
              <w:rPr>
                <w:rFonts w:hint="eastAsia" w:ascii="宋体" w:hAnsi="宋体"/>
                <w:sz w:val="24"/>
                <w:szCs w:val="24"/>
                <w:highlight w:val="yellow"/>
                <w:lang w:eastAsia="zh-CN"/>
              </w:rPr>
              <w:t>【</w:t>
            </w:r>
            <w:r>
              <w:rPr>
                <w:rFonts w:hint="eastAsia" w:ascii="宋体" w:hAnsi="宋体"/>
                <w:sz w:val="24"/>
                <w:szCs w:val="24"/>
                <w:highlight w:val="yellow"/>
              </w:rPr>
              <w:t>每半年</w:t>
            </w:r>
            <w:r>
              <w:rPr>
                <w:rFonts w:hint="eastAsia" w:ascii="宋体" w:hAnsi="宋体"/>
                <w:sz w:val="24"/>
                <w:szCs w:val="24"/>
                <w:highlight w:val="yellow"/>
                <w:lang w:eastAsia="zh-CN"/>
              </w:rPr>
              <w:t>】</w:t>
            </w:r>
            <w:r>
              <w:rPr>
                <w:rFonts w:hint="eastAsia" w:ascii="宋体" w:hAnsi="宋体"/>
                <w:sz w:val="24"/>
                <w:szCs w:val="24"/>
                <w:highlight w:val="yellow"/>
              </w:rPr>
              <w:t>根据投资运作情况对本理财产品进行</w:t>
            </w:r>
            <w:r>
              <w:rPr>
                <w:rFonts w:hint="eastAsia" w:ascii="宋体" w:hAnsi="宋体"/>
                <w:sz w:val="24"/>
                <w:szCs w:val="24"/>
                <w:highlight w:val="yellow"/>
                <w:lang w:eastAsia="zh-CN"/>
              </w:rPr>
              <w:t>收益分配</w:t>
            </w:r>
            <w:r>
              <w:rPr>
                <w:rFonts w:hint="eastAsia" w:ascii="宋体" w:hAnsi="宋体"/>
                <w:sz w:val="24"/>
                <w:szCs w:val="24"/>
                <w:highlight w:val="yellow"/>
              </w:rPr>
              <w:t>，分配方式为</w:t>
            </w:r>
            <w:r>
              <w:rPr>
                <w:rFonts w:hint="eastAsia" w:ascii="宋体" w:hAnsi="宋体"/>
                <w:sz w:val="24"/>
                <w:szCs w:val="24"/>
                <w:highlight w:val="yellow"/>
                <w:lang w:eastAsia="zh-CN"/>
              </w:rPr>
              <w:t>【</w:t>
            </w:r>
            <w:r>
              <w:rPr>
                <w:rFonts w:hint="eastAsia" w:ascii="宋体" w:hAnsi="宋体"/>
                <w:sz w:val="24"/>
                <w:szCs w:val="24"/>
                <w:highlight w:val="yellow"/>
              </w:rPr>
              <w:t>现金</w:t>
            </w:r>
            <w:r>
              <w:rPr>
                <w:rFonts w:hint="eastAsia" w:ascii="宋体" w:hAnsi="宋体"/>
                <w:sz w:val="24"/>
                <w:szCs w:val="24"/>
                <w:highlight w:val="yellow"/>
                <w:lang w:eastAsia="zh-CN"/>
              </w:rPr>
              <w:t>分配】</w:t>
            </w:r>
            <w:r>
              <w:rPr>
                <w:rFonts w:hint="eastAsia" w:ascii="宋体" w:hAnsi="宋体"/>
                <w:sz w:val="24"/>
                <w:szCs w:val="24"/>
                <w:highlight w:val="yellow"/>
              </w:rPr>
              <w:t>（</w:t>
            </w:r>
            <w:r>
              <w:rPr>
                <w:rFonts w:hint="eastAsia" w:ascii="宋体" w:hAnsi="宋体"/>
                <w:sz w:val="24"/>
                <w:szCs w:val="24"/>
                <w:highlight w:val="yellow"/>
                <w:lang w:eastAsia="zh-CN"/>
              </w:rPr>
              <w:t>分配</w:t>
            </w:r>
            <w:r>
              <w:rPr>
                <w:rFonts w:hint="eastAsia" w:ascii="宋体" w:hAnsi="宋体"/>
                <w:sz w:val="24"/>
                <w:szCs w:val="24"/>
                <w:highlight w:val="yellow"/>
              </w:rPr>
              <w:t>前提条件为</w:t>
            </w:r>
            <w:r>
              <w:rPr>
                <w:rFonts w:hint="eastAsia" w:ascii="宋体" w:hAnsi="宋体"/>
                <w:sz w:val="24"/>
                <w:szCs w:val="24"/>
                <w:highlight w:val="yellow"/>
                <w:lang w:eastAsia="zh-CN"/>
              </w:rPr>
              <w:t>【</w:t>
            </w:r>
            <w:r>
              <w:rPr>
                <w:rFonts w:hint="eastAsia" w:ascii="宋体" w:hAnsi="宋体"/>
                <w:sz w:val="24"/>
                <w:szCs w:val="24"/>
                <w:highlight w:val="yellow"/>
              </w:rPr>
              <w:t>本理财产品在对应收益分配基准日的份额净值大于1.000</w:t>
            </w:r>
            <w:r>
              <w:rPr>
                <w:rFonts w:hint="eastAsia" w:ascii="宋体" w:hAnsi="宋体"/>
                <w:sz w:val="24"/>
                <w:szCs w:val="24"/>
                <w:highlight w:val="yellow"/>
                <w:lang w:val="en-US" w:eastAsia="zh-CN"/>
              </w:rPr>
              <w:t>00</w:t>
            </w:r>
            <w:r>
              <w:rPr>
                <w:rFonts w:hint="eastAsia" w:ascii="宋体" w:hAnsi="宋体"/>
                <w:sz w:val="24"/>
                <w:szCs w:val="24"/>
                <w:highlight w:val="yellow"/>
              </w:rPr>
              <w:t>0元/份</w:t>
            </w:r>
            <w:r>
              <w:rPr>
                <w:rFonts w:hint="eastAsia" w:ascii="宋体" w:hAnsi="宋体"/>
                <w:sz w:val="24"/>
                <w:szCs w:val="24"/>
                <w:highlight w:val="yellow"/>
                <w:lang w:eastAsia="zh-CN"/>
              </w:rPr>
              <w:t>】</w:t>
            </w:r>
            <w:r>
              <w:rPr>
                <w:rFonts w:hint="eastAsia" w:ascii="宋体" w:hAnsi="宋体"/>
                <w:sz w:val="24"/>
                <w:szCs w:val="24"/>
                <w:highlight w:val="yellow"/>
              </w:rPr>
              <w:t>）。权益登记日为收益分配基准日后的第</w:t>
            </w:r>
            <w:r>
              <w:rPr>
                <w:rFonts w:hint="eastAsia" w:ascii="宋体" w:hAnsi="宋体"/>
                <w:sz w:val="24"/>
                <w:szCs w:val="24"/>
                <w:highlight w:val="yellow"/>
                <w:lang w:eastAsia="zh-CN"/>
              </w:rPr>
              <w:t>【</w:t>
            </w:r>
            <w:r>
              <w:rPr>
                <w:rFonts w:hint="eastAsia" w:ascii="宋体" w:hAnsi="宋体"/>
                <w:sz w:val="24"/>
                <w:szCs w:val="24"/>
                <w:highlight w:val="yellow"/>
              </w:rPr>
              <w:t>5</w:t>
            </w:r>
            <w:r>
              <w:rPr>
                <w:rFonts w:hint="eastAsia" w:ascii="宋体" w:hAnsi="宋体"/>
                <w:sz w:val="24"/>
                <w:szCs w:val="24"/>
                <w:highlight w:val="yellow"/>
                <w:lang w:eastAsia="zh-CN"/>
              </w:rPr>
              <w:t>】</w:t>
            </w:r>
            <w:r>
              <w:rPr>
                <w:rFonts w:hint="eastAsia" w:ascii="宋体" w:hAnsi="宋体"/>
                <w:sz w:val="24"/>
                <w:szCs w:val="24"/>
                <w:highlight w:val="yellow"/>
              </w:rPr>
              <w:t>个</w:t>
            </w:r>
            <w:r>
              <w:rPr>
                <w:rFonts w:hint="eastAsia" w:ascii="宋体" w:hAnsi="宋体"/>
                <w:sz w:val="24"/>
                <w:szCs w:val="24"/>
                <w:highlight w:val="yellow"/>
                <w:lang w:eastAsia="zh-CN"/>
              </w:rPr>
              <w:t>【交易</w:t>
            </w:r>
            <w:r>
              <w:rPr>
                <w:rFonts w:hint="eastAsia" w:ascii="宋体" w:hAnsi="宋体"/>
                <w:sz w:val="24"/>
                <w:szCs w:val="24"/>
                <w:highlight w:val="yellow"/>
              </w:rPr>
              <w:t>日</w:t>
            </w:r>
            <w:r>
              <w:rPr>
                <w:rFonts w:hint="eastAsia" w:ascii="宋体" w:hAnsi="宋体"/>
                <w:sz w:val="24"/>
                <w:szCs w:val="24"/>
                <w:highlight w:val="yellow"/>
                <w:lang w:eastAsia="zh-CN"/>
              </w:rPr>
              <w:t>】</w:t>
            </w:r>
            <w:r>
              <w:rPr>
                <w:rFonts w:hint="eastAsia" w:ascii="宋体" w:hAnsi="宋体"/>
                <w:sz w:val="24"/>
                <w:szCs w:val="24"/>
                <w:highlight w:val="yellow"/>
              </w:rPr>
              <w:t>。管理人将根据理财产品投资收益情况决定当次的分配比例和金额等</w:t>
            </w:r>
            <w:r>
              <w:rPr>
                <w:rFonts w:hint="eastAsia" w:ascii="宋体" w:hAnsi="宋体"/>
                <w:sz w:val="24"/>
                <w:szCs w:val="24"/>
                <w:highlight w:val="yellow"/>
                <w:lang w:eastAsia="zh-CN"/>
              </w:rPr>
              <w:t>分配</w:t>
            </w:r>
            <w:r>
              <w:rPr>
                <w:rFonts w:hint="eastAsia" w:ascii="宋体" w:hAnsi="宋体"/>
                <w:sz w:val="24"/>
                <w:szCs w:val="24"/>
                <w:highlight w:val="yellow"/>
              </w:rPr>
              <w:t>要素，并于权益登记日前</w:t>
            </w:r>
            <w:r>
              <w:rPr>
                <w:rFonts w:hint="eastAsia" w:ascii="宋体" w:hAnsi="宋体"/>
                <w:sz w:val="24"/>
                <w:szCs w:val="24"/>
                <w:highlight w:val="yellow"/>
                <w:lang w:val="en-US" w:eastAsia="zh-CN"/>
              </w:rPr>
              <w:t>1</w:t>
            </w:r>
            <w:r>
              <w:rPr>
                <w:rFonts w:hint="eastAsia" w:ascii="宋体" w:hAnsi="宋体"/>
                <w:sz w:val="24"/>
                <w:szCs w:val="24"/>
                <w:highlight w:val="yellow"/>
              </w:rPr>
              <w:t>个工作日通过本产品说明书约定的方式向投资者披露</w:t>
            </w:r>
            <w:r>
              <w:rPr>
                <w:rFonts w:hint="eastAsia" w:ascii="宋体" w:hAnsi="宋体"/>
                <w:sz w:val="24"/>
                <w:szCs w:val="24"/>
                <w:highlight w:val="yellow"/>
                <w:lang w:eastAsia="zh-CN"/>
              </w:rPr>
              <w:t>分配</w:t>
            </w:r>
            <w:r>
              <w:rPr>
                <w:rFonts w:hint="eastAsia" w:ascii="宋体" w:hAnsi="宋体"/>
                <w:sz w:val="24"/>
                <w:szCs w:val="24"/>
                <w:highlight w:val="yellow"/>
              </w:rPr>
              <w:t>方案。管理人在权益登记日后5个工作日内向投资者分配收益。</w:t>
            </w:r>
          </w:p>
          <w:p w14:paraId="11ADF253">
            <w:pPr>
              <w:snapToGrid w:val="0"/>
              <w:rPr>
                <w:rFonts w:hint="eastAsia" w:ascii="宋体" w:hAnsi="宋体" w:eastAsia="仿宋_GB2312"/>
                <w:sz w:val="24"/>
                <w:szCs w:val="24"/>
                <w:highlight w:val="yellow"/>
                <w:lang w:eastAsia="zh-CN"/>
              </w:rPr>
            </w:pPr>
            <w:r>
              <w:rPr>
                <w:rFonts w:hint="eastAsia" w:ascii="宋体" w:hAnsi="宋体"/>
                <w:sz w:val="24"/>
                <w:szCs w:val="24"/>
                <w:highlight w:val="yellow"/>
              </w:rPr>
              <w:t>理财产品存续期间，产品管理人有权视理财产品收益情况进行主动分配，相应分配基准日、分配方案由管理人及时披露。</w:t>
            </w:r>
            <w:r>
              <w:rPr>
                <w:rFonts w:hint="eastAsia"/>
                <w:highlight w:val="yellow"/>
                <w:lang w:eastAsia="zh-CN"/>
              </w:rPr>
              <w:t>】</w:t>
            </w:r>
          </w:p>
          <w:tbl>
            <w:tblPr>
              <w:tblStyle w:val="7"/>
              <w:tblW w:w="6751" w:type="dxa"/>
              <w:tblInd w:w="0" w:type="dxa"/>
              <w:tblLayout w:type="fixed"/>
              <w:tblCellMar>
                <w:top w:w="0" w:type="dxa"/>
                <w:left w:w="108" w:type="dxa"/>
                <w:bottom w:w="0" w:type="dxa"/>
                <w:right w:w="108" w:type="dxa"/>
              </w:tblCellMar>
            </w:tblPr>
            <w:tblGrid>
              <w:gridCol w:w="2290"/>
              <w:gridCol w:w="2238"/>
              <w:gridCol w:w="2223"/>
            </w:tblGrid>
            <w:tr w14:paraId="2EAA0C2B">
              <w:tblPrEx>
                <w:tblCellMar>
                  <w:top w:w="0" w:type="dxa"/>
                  <w:left w:w="108" w:type="dxa"/>
                  <w:bottom w:w="0" w:type="dxa"/>
                  <w:right w:w="108" w:type="dxa"/>
                </w:tblCellMar>
              </w:tblPrEx>
              <w:trPr>
                <w:trHeight w:val="285" w:hRule="atLeast"/>
              </w:trPr>
              <w:tc>
                <w:tcPr>
                  <w:tcW w:w="2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D36C38">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收益分配基准日</w:t>
                  </w:r>
                </w:p>
              </w:tc>
              <w:tc>
                <w:tcPr>
                  <w:tcW w:w="2238" w:type="dxa"/>
                  <w:tcBorders>
                    <w:top w:val="single" w:color="auto" w:sz="4" w:space="0"/>
                    <w:left w:val="nil"/>
                    <w:bottom w:val="single" w:color="auto" w:sz="4" w:space="0"/>
                    <w:right w:val="single" w:color="auto" w:sz="4" w:space="0"/>
                  </w:tcBorders>
                  <w:shd w:val="clear" w:color="auto" w:fill="auto"/>
                  <w:noWrap/>
                  <w:vAlign w:val="center"/>
                </w:tcPr>
                <w:p w14:paraId="2829E427">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权益登记日</w:t>
                  </w:r>
                </w:p>
              </w:tc>
              <w:tc>
                <w:tcPr>
                  <w:tcW w:w="2223" w:type="dxa"/>
                  <w:tcBorders>
                    <w:top w:val="single" w:color="auto" w:sz="4" w:space="0"/>
                    <w:left w:val="nil"/>
                    <w:bottom w:val="single" w:color="auto" w:sz="4" w:space="0"/>
                    <w:right w:val="single" w:color="auto" w:sz="4" w:space="0"/>
                  </w:tcBorders>
                  <w:shd w:val="clear" w:color="auto" w:fill="auto"/>
                  <w:noWrap/>
                  <w:vAlign w:val="center"/>
                </w:tcPr>
                <w:p w14:paraId="64543148">
                  <w:pPr>
                    <w:widowControl/>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除权日</w:t>
                  </w:r>
                </w:p>
              </w:tc>
            </w:tr>
            <w:tr w14:paraId="004C4D4E">
              <w:tblPrEx>
                <w:tblCellMar>
                  <w:top w:w="0" w:type="dxa"/>
                  <w:left w:w="108" w:type="dxa"/>
                  <w:bottom w:w="0" w:type="dxa"/>
                  <w:right w:w="108" w:type="dxa"/>
                </w:tblCellMar>
              </w:tblPrEx>
              <w:trPr>
                <w:trHeight w:val="285" w:hRule="atLeast"/>
              </w:trPr>
              <w:tc>
                <w:tcPr>
                  <w:tcW w:w="2290" w:type="dxa"/>
                  <w:tcBorders>
                    <w:top w:val="nil"/>
                    <w:left w:val="single" w:color="auto" w:sz="4" w:space="0"/>
                    <w:bottom w:val="single" w:color="auto" w:sz="4" w:space="0"/>
                    <w:right w:val="single" w:color="auto" w:sz="4" w:space="0"/>
                  </w:tcBorders>
                  <w:shd w:val="clear" w:color="auto" w:fill="auto"/>
                  <w:noWrap/>
                  <w:vAlign w:val="center"/>
                </w:tcPr>
                <w:p w14:paraId="3250E050">
                  <w:pPr>
                    <w:widowControl/>
                    <w:jc w:val="center"/>
                    <w:rPr>
                      <w:rFonts w:ascii="宋体" w:hAnsi="宋体" w:eastAsia="宋体" w:cs="宋体"/>
                      <w:color w:val="000000"/>
                      <w:kern w:val="0"/>
                      <w:sz w:val="24"/>
                      <w:szCs w:val="24"/>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p>
              </w:tc>
              <w:tc>
                <w:tcPr>
                  <w:tcW w:w="2238" w:type="dxa"/>
                  <w:tcBorders>
                    <w:top w:val="nil"/>
                    <w:left w:val="nil"/>
                    <w:bottom w:val="single" w:color="auto" w:sz="4" w:space="0"/>
                    <w:right w:val="single" w:color="auto" w:sz="4" w:space="0"/>
                  </w:tcBorders>
                  <w:shd w:val="clear" w:color="auto" w:fill="auto"/>
                  <w:noWrap/>
                  <w:vAlign w:val="center"/>
                </w:tcPr>
                <w:p w14:paraId="2FBFAE30">
                  <w:pPr>
                    <w:widowControl/>
                    <w:jc w:val="center"/>
                    <w:rPr>
                      <w:rFonts w:ascii="宋体" w:hAnsi="宋体" w:eastAsia="宋体" w:cs="宋体"/>
                      <w:color w:val="000000"/>
                      <w:kern w:val="0"/>
                      <w:sz w:val="24"/>
                      <w:szCs w:val="24"/>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p>
              </w:tc>
              <w:tc>
                <w:tcPr>
                  <w:tcW w:w="2223" w:type="dxa"/>
                  <w:tcBorders>
                    <w:top w:val="nil"/>
                    <w:left w:val="nil"/>
                    <w:bottom w:val="single" w:color="auto" w:sz="4" w:space="0"/>
                    <w:right w:val="single" w:color="auto" w:sz="4" w:space="0"/>
                  </w:tcBorders>
                  <w:shd w:val="clear" w:color="auto" w:fill="auto"/>
                  <w:noWrap/>
                  <w:vAlign w:val="center"/>
                </w:tcPr>
                <w:p w14:paraId="61E5B597">
                  <w:pPr>
                    <w:widowControl/>
                    <w:jc w:val="center"/>
                    <w:rPr>
                      <w:rFonts w:ascii="宋体" w:hAnsi="宋体" w:eastAsia="宋体" w:cs="宋体"/>
                      <w:color w:val="000000"/>
                      <w:kern w:val="0"/>
                      <w:sz w:val="24"/>
                      <w:szCs w:val="24"/>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p>
              </w:tc>
            </w:tr>
          </w:tbl>
          <w:p w14:paraId="2FBB7533">
            <w:pPr>
              <w:widowControl/>
              <w:spacing w:line="400" w:lineRule="exact"/>
              <w:jc w:val="left"/>
              <w:textAlignment w:val="center"/>
              <w:rPr>
                <w:rFonts w:hint="eastAsia" w:ascii="宋体" w:hAnsi="宋体" w:eastAsia="仿宋_GB2312"/>
                <w:b/>
                <w:bCs/>
                <w:color w:val="auto"/>
                <w:szCs w:val="24"/>
                <w:highlight w:val="none"/>
                <w:u w:val="none"/>
                <w:lang w:eastAsia="zh-CN"/>
              </w:rPr>
            </w:pPr>
          </w:p>
        </w:tc>
      </w:tr>
      <w:tr w14:paraId="67A0A2F4">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7F8923F8">
            <w:pPr>
              <w:widowControl/>
              <w:spacing w:line="400" w:lineRule="exact"/>
              <w:jc w:val="center"/>
              <w:textAlignment w:val="center"/>
              <w:rPr>
                <w:rFonts w:hint="eastAsia" w:ascii="楷体_GB2312" w:hAnsi="等线" w:eastAsia="楷体_GB2312" w:cs="楷体_GB2312"/>
                <w:b/>
                <w:bCs/>
                <w:color w:val="000000" w:themeColor="text1"/>
                <w:sz w:val="24"/>
                <w14:textFill>
                  <w14:solidFill>
                    <w14:schemeClr w14:val="tx1"/>
                  </w14:solidFill>
                </w14:textFill>
              </w:rPr>
            </w:pPr>
            <w:r>
              <w:rPr>
                <w:rFonts w:hint="eastAsia" w:ascii="楷体_GB2312" w:hAnsi="等线" w:eastAsia="楷体_GB2312" w:cs="楷体_GB2312"/>
                <w:b/>
                <w:bCs/>
                <w:color w:val="000000" w:themeColor="text1"/>
                <w:kern w:val="0"/>
                <w:sz w:val="24"/>
                <w:lang w:bidi="ar"/>
                <w14:textFill>
                  <w14:solidFill>
                    <w14:schemeClr w14:val="tx1"/>
                  </w14:solidFill>
                </w14:textFill>
              </w:rPr>
              <w:t>（三）产品性质与类型</w:t>
            </w:r>
          </w:p>
        </w:tc>
      </w:tr>
      <w:tr w14:paraId="38CF6228">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8900583">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募集方式</w:t>
            </w:r>
          </w:p>
        </w:tc>
        <w:tc>
          <w:tcPr>
            <w:tcW w:w="6972" w:type="dxa"/>
            <w:tcBorders>
              <w:top w:val="single" w:color="auto" w:sz="4" w:space="0"/>
              <w:left w:val="single" w:color="auto" w:sz="4" w:space="0"/>
              <w:bottom w:val="single" w:color="auto" w:sz="4" w:space="0"/>
              <w:right w:val="single" w:color="auto" w:sz="4" w:space="0"/>
            </w:tcBorders>
            <w:vAlign w:val="center"/>
          </w:tcPr>
          <w:p w14:paraId="2567C543">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eastAsia="zh-CN"/>
              </w:rPr>
            </w:pPr>
            <w:r>
              <w:rPr>
                <w:rFonts w:hint="eastAsia" w:ascii="宋体" w:hAnsi="宋体"/>
                <w:b/>
                <w:szCs w:val="24"/>
                <w:highlight w:val="yellow"/>
                <w:lang w:eastAsia="zh-CN"/>
              </w:rPr>
              <w:t>【公募</w:t>
            </w:r>
            <w:r>
              <w:rPr>
                <w:rFonts w:hint="eastAsia" w:ascii="宋体" w:hAnsi="宋体"/>
                <w:b/>
                <w:szCs w:val="24"/>
                <w:highlight w:val="yellow"/>
                <w:lang w:val="en-US" w:eastAsia="zh-CN"/>
              </w:rPr>
              <w:t>/私募</w:t>
            </w:r>
            <w:r>
              <w:rPr>
                <w:rFonts w:hint="eastAsia" w:ascii="宋体" w:hAnsi="宋体"/>
                <w:b/>
                <w:szCs w:val="24"/>
                <w:highlight w:val="yellow"/>
                <w:lang w:eastAsia="zh-CN"/>
              </w:rPr>
              <w:t>】</w:t>
            </w:r>
          </w:p>
        </w:tc>
      </w:tr>
      <w:tr w14:paraId="13C9BE89">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2F8A0F7">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投资性质</w:t>
            </w:r>
          </w:p>
        </w:tc>
        <w:tc>
          <w:tcPr>
            <w:tcW w:w="6972" w:type="dxa"/>
            <w:tcBorders>
              <w:top w:val="single" w:color="auto" w:sz="4" w:space="0"/>
              <w:left w:val="single" w:color="auto" w:sz="4" w:space="0"/>
              <w:bottom w:val="single" w:color="auto" w:sz="4" w:space="0"/>
              <w:right w:val="single" w:color="auto" w:sz="4" w:space="0"/>
            </w:tcBorders>
            <w:vAlign w:val="center"/>
          </w:tcPr>
          <w:p w14:paraId="7A630362">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bidi="ar"/>
              </w:rPr>
            </w:pPr>
            <w:r>
              <w:rPr>
                <w:rFonts w:hint="eastAsia" w:ascii="宋体" w:hAnsi="宋体"/>
                <w:b/>
                <w:szCs w:val="24"/>
                <w:highlight w:val="yellow"/>
                <w:lang w:eastAsia="zh-CN"/>
              </w:rPr>
              <w:t>【固定收益类、权益类、商品及金融衍生品类、混合类】</w:t>
            </w:r>
          </w:p>
        </w:tc>
      </w:tr>
      <w:tr w14:paraId="022F72A2">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0B3B19D">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运作模式</w:t>
            </w:r>
          </w:p>
        </w:tc>
        <w:tc>
          <w:tcPr>
            <w:tcW w:w="6972" w:type="dxa"/>
            <w:tcBorders>
              <w:top w:val="single" w:color="auto" w:sz="4" w:space="0"/>
              <w:left w:val="single" w:color="auto" w:sz="4" w:space="0"/>
              <w:bottom w:val="single" w:color="auto" w:sz="4" w:space="0"/>
              <w:right w:val="single" w:color="auto" w:sz="4" w:space="0"/>
            </w:tcBorders>
            <w:vAlign w:val="center"/>
          </w:tcPr>
          <w:p w14:paraId="58499C11">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bidi="ar"/>
              </w:rPr>
            </w:pPr>
            <w:r>
              <w:rPr>
                <w:rFonts w:hint="eastAsia" w:ascii="宋体" w:hAnsi="宋体"/>
                <w:b/>
                <w:szCs w:val="24"/>
                <w:highlight w:val="yellow"/>
                <w:lang w:eastAsia="zh-CN"/>
              </w:rPr>
              <w:t>【开放式】</w:t>
            </w:r>
          </w:p>
        </w:tc>
      </w:tr>
      <w:tr w14:paraId="5CADF2A3">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D576489">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运作模式（二级）</w:t>
            </w:r>
          </w:p>
        </w:tc>
        <w:tc>
          <w:tcPr>
            <w:tcW w:w="6972" w:type="dxa"/>
            <w:tcBorders>
              <w:top w:val="single" w:color="auto" w:sz="4" w:space="0"/>
              <w:left w:val="single" w:color="auto" w:sz="4" w:space="0"/>
              <w:bottom w:val="single" w:color="auto" w:sz="4" w:space="0"/>
              <w:right w:val="single" w:color="auto" w:sz="4" w:space="0"/>
            </w:tcBorders>
            <w:vAlign w:val="center"/>
          </w:tcPr>
          <w:p w14:paraId="017FB24A">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bidi="ar"/>
              </w:rPr>
            </w:pPr>
            <w:r>
              <w:rPr>
                <w:rFonts w:hint="eastAsia" w:ascii="宋体" w:hAnsi="宋体"/>
                <w:b/>
                <w:szCs w:val="24"/>
                <w:highlight w:val="yellow"/>
                <w:lang w:eastAsia="zh-CN"/>
              </w:rPr>
              <w:t>【</w:t>
            </w:r>
            <w:r>
              <w:rPr>
                <w:rFonts w:hint="eastAsia" w:ascii="仿宋_GB2312" w:hAnsi="宋体" w:eastAsia="仿宋_GB2312" w:cs="宋体"/>
                <w:b/>
                <w:bCs/>
                <w:color w:val="auto"/>
                <w:kern w:val="0"/>
                <w:sz w:val="24"/>
                <w:szCs w:val="24"/>
                <w:highlight w:val="yellow"/>
                <w:u w:val="none"/>
                <w:lang w:bidi="ar"/>
              </w:rPr>
              <w:t>客户周期型产品</w:t>
            </w:r>
            <w:r>
              <w:rPr>
                <w:rFonts w:hint="eastAsia" w:ascii="宋体" w:hAnsi="宋体"/>
                <w:b/>
                <w:szCs w:val="24"/>
                <w:highlight w:val="yellow"/>
                <w:lang w:eastAsia="zh-CN"/>
              </w:rPr>
              <w:t>】</w:t>
            </w:r>
          </w:p>
        </w:tc>
      </w:tr>
      <w:tr w14:paraId="7A0076F0">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07B75F2E">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风险等级</w:t>
            </w:r>
          </w:p>
        </w:tc>
        <w:tc>
          <w:tcPr>
            <w:tcW w:w="6972" w:type="dxa"/>
            <w:tcBorders>
              <w:top w:val="single" w:color="auto" w:sz="4" w:space="0"/>
              <w:left w:val="single" w:color="auto" w:sz="4" w:space="0"/>
              <w:bottom w:val="single" w:color="auto" w:sz="4" w:space="0"/>
              <w:right w:val="single" w:color="auto" w:sz="4" w:space="0"/>
            </w:tcBorders>
            <w:vAlign w:val="center"/>
          </w:tcPr>
          <w:p w14:paraId="040C667E">
            <w:pPr>
              <w:widowControl/>
              <w:tabs>
                <w:tab w:val="left" w:pos="709"/>
              </w:tabs>
              <w:snapToGrid w:val="0"/>
              <w:rPr>
                <w:rFonts w:ascii="宋体" w:hAnsi="宋体"/>
                <w:color w:val="auto"/>
                <w:szCs w:val="24"/>
                <w:highlight w:val="none"/>
                <w:u w:val="none"/>
              </w:rPr>
            </w:pPr>
            <w:r>
              <w:rPr>
                <w:rFonts w:hint="eastAsia" w:ascii="宋体" w:hAnsi="宋体"/>
                <w:b/>
                <w:bCs/>
                <w:color w:val="auto"/>
                <w:szCs w:val="24"/>
                <w:highlight w:val="yellow"/>
                <w:u w:val="none"/>
              </w:rPr>
              <w:t>【</w:t>
            </w:r>
            <w:r>
              <w:rPr>
                <w:rFonts w:hint="eastAsia" w:ascii="宋体" w:hAnsi="宋体"/>
                <w:b/>
                <w:bCs/>
                <w:color w:val="auto"/>
                <w:szCs w:val="24"/>
                <w:highlight w:val="yellow"/>
                <w:u w:val="none"/>
                <w:lang w:val="en-US" w:eastAsia="zh-CN"/>
              </w:rPr>
              <w:t>R1/2/3/4/5</w:t>
            </w:r>
            <w:r>
              <w:rPr>
                <w:rFonts w:hint="eastAsia" w:ascii="宋体" w:hAnsi="宋体"/>
                <w:b/>
                <w:bCs/>
                <w:color w:val="auto"/>
                <w:szCs w:val="24"/>
                <w:highlight w:val="yellow"/>
                <w:u w:val="none"/>
              </w:rPr>
              <w:t>】</w:t>
            </w:r>
            <w:r>
              <w:rPr>
                <w:rFonts w:hint="eastAsia" w:ascii="宋体" w:hAnsi="宋体"/>
                <w:b/>
                <w:bCs/>
                <w:color w:val="auto"/>
                <w:szCs w:val="24"/>
                <w:highlight w:val="none"/>
                <w:u w:val="none"/>
              </w:rPr>
              <w:t>对应风险等级为</w:t>
            </w:r>
            <w:r>
              <w:rPr>
                <w:rFonts w:hint="eastAsia" w:ascii="宋体" w:hAnsi="宋体"/>
                <w:b/>
                <w:bCs/>
                <w:color w:val="auto"/>
                <w:szCs w:val="24"/>
                <w:highlight w:val="yellow"/>
                <w:u w:val="none"/>
              </w:rPr>
              <w:t>【】</w:t>
            </w:r>
            <w:r>
              <w:rPr>
                <w:rFonts w:hint="eastAsia" w:ascii="仿宋_GB2312" w:hAnsi="等线" w:eastAsia="仿宋_GB2312" w:cs="仿宋_GB2312"/>
                <w:b/>
                <w:bCs w:val="0"/>
                <w:color w:val="000000" w:themeColor="text1"/>
                <w:kern w:val="0"/>
                <w:sz w:val="24"/>
                <w:lang w:bidi="ar"/>
                <w14:textFill>
                  <w14:solidFill>
                    <w14:schemeClr w14:val="tx1"/>
                  </w14:solidFill>
                </w14:textFill>
              </w:rPr>
              <w:br w:type="textWrapping"/>
            </w:r>
            <w:r>
              <w:rPr>
                <w:rFonts w:hint="eastAsia" w:ascii="宋体" w:hAnsi="宋体"/>
                <w:color w:val="auto"/>
                <w:szCs w:val="24"/>
                <w:highlight w:val="none"/>
                <w:u w:val="none"/>
              </w:rPr>
              <w:t>本评级为管理人内部测评结果，仅供投资者参考。</w:t>
            </w:r>
            <w:r>
              <w:rPr>
                <w:rFonts w:hint="eastAsia" w:ascii="宋体" w:hAnsi="宋体"/>
                <w:b/>
                <w:color w:val="auto"/>
                <w:szCs w:val="24"/>
                <w:highlight w:val="none"/>
                <w:u w:val="none"/>
              </w:rPr>
              <w:t>本产品通过代理销售机构渠道销售的，理财产品评级应当以代理销售机构最终披露的评级结果为准。</w:t>
            </w:r>
            <w:r>
              <w:rPr>
                <w:rFonts w:ascii="宋体" w:hAnsi="宋体"/>
                <w:color w:val="auto"/>
                <w:szCs w:val="24"/>
                <w:highlight w:val="none"/>
                <w:u w:val="none"/>
              </w:rPr>
              <w:t>(</w:t>
            </w:r>
            <w:r>
              <w:rPr>
                <w:rFonts w:hint="eastAsia" w:ascii="宋体" w:hAnsi="宋体"/>
                <w:color w:val="auto"/>
                <w:szCs w:val="24"/>
                <w:highlight w:val="none"/>
                <w:u w:val="none"/>
              </w:rPr>
              <w:t>管理</w:t>
            </w:r>
            <w:r>
              <w:rPr>
                <w:rFonts w:ascii="宋体" w:hAnsi="宋体"/>
                <w:color w:val="auto"/>
                <w:szCs w:val="24"/>
                <w:highlight w:val="none"/>
                <w:u w:val="none"/>
              </w:rPr>
              <w:t>人与</w:t>
            </w:r>
            <w:r>
              <w:rPr>
                <w:rFonts w:hint="eastAsia" w:ascii="宋体" w:hAnsi="宋体"/>
                <w:color w:val="auto"/>
                <w:szCs w:val="24"/>
                <w:highlight w:val="none"/>
                <w:u w:val="none"/>
              </w:rPr>
              <w:t>代理</w:t>
            </w:r>
            <w:r>
              <w:rPr>
                <w:rFonts w:ascii="宋体" w:hAnsi="宋体"/>
                <w:color w:val="auto"/>
                <w:szCs w:val="24"/>
                <w:highlight w:val="none"/>
                <w:u w:val="none"/>
              </w:rPr>
              <w:t>销售机构</w:t>
            </w:r>
            <w:r>
              <w:rPr>
                <w:rFonts w:hint="eastAsia" w:ascii="宋体" w:hAnsi="宋体"/>
                <w:color w:val="auto"/>
                <w:szCs w:val="24"/>
                <w:highlight w:val="none"/>
                <w:u w:val="none"/>
              </w:rPr>
              <w:t>的</w:t>
            </w:r>
            <w:r>
              <w:rPr>
                <w:rFonts w:ascii="宋体" w:hAnsi="宋体"/>
                <w:color w:val="auto"/>
                <w:szCs w:val="24"/>
                <w:highlight w:val="none"/>
                <w:u w:val="none"/>
              </w:rPr>
              <w:t>风险</w:t>
            </w:r>
            <w:r>
              <w:rPr>
                <w:rFonts w:hint="eastAsia" w:ascii="宋体" w:hAnsi="宋体"/>
                <w:color w:val="auto"/>
                <w:szCs w:val="24"/>
                <w:highlight w:val="none"/>
                <w:u w:val="none"/>
              </w:rPr>
              <w:t>等级评估结果</w:t>
            </w:r>
            <w:r>
              <w:rPr>
                <w:rFonts w:ascii="宋体" w:hAnsi="宋体"/>
                <w:color w:val="auto"/>
                <w:szCs w:val="24"/>
                <w:highlight w:val="none"/>
                <w:u w:val="none"/>
              </w:rPr>
              <w:t>不一致的应采用</w:t>
            </w:r>
            <w:r>
              <w:rPr>
                <w:rFonts w:hint="eastAsia" w:ascii="宋体" w:hAnsi="宋体"/>
                <w:color w:val="auto"/>
                <w:szCs w:val="24"/>
                <w:highlight w:val="none"/>
                <w:u w:val="none"/>
              </w:rPr>
              <w:t>对应</w:t>
            </w:r>
            <w:r>
              <w:rPr>
                <w:rFonts w:ascii="宋体" w:hAnsi="宋体"/>
                <w:color w:val="auto"/>
                <w:szCs w:val="24"/>
                <w:highlight w:val="none"/>
                <w:u w:val="none"/>
              </w:rPr>
              <w:t>较高风险</w:t>
            </w:r>
            <w:r>
              <w:rPr>
                <w:rFonts w:hint="eastAsia" w:ascii="宋体" w:hAnsi="宋体"/>
                <w:color w:val="auto"/>
                <w:szCs w:val="24"/>
                <w:highlight w:val="none"/>
                <w:u w:val="none"/>
              </w:rPr>
              <w:t>的</w:t>
            </w:r>
            <w:r>
              <w:rPr>
                <w:rFonts w:ascii="宋体" w:hAnsi="宋体"/>
                <w:color w:val="auto"/>
                <w:szCs w:val="24"/>
                <w:highlight w:val="none"/>
                <w:u w:val="none"/>
              </w:rPr>
              <w:t>评级</w:t>
            </w:r>
            <w:r>
              <w:rPr>
                <w:rFonts w:hint="eastAsia" w:ascii="宋体" w:hAnsi="宋体"/>
                <w:color w:val="auto"/>
                <w:szCs w:val="24"/>
                <w:highlight w:val="none"/>
                <w:u w:val="none"/>
              </w:rPr>
              <w:t>结果。</w:t>
            </w:r>
            <w:r>
              <w:rPr>
                <w:rFonts w:ascii="宋体" w:hAnsi="宋体"/>
                <w:color w:val="auto"/>
                <w:szCs w:val="24"/>
                <w:highlight w:val="none"/>
                <w:u w:val="none"/>
              </w:rPr>
              <w:t>)</w:t>
            </w:r>
          </w:p>
          <w:p w14:paraId="24AD996E">
            <w:pPr>
              <w:widowControl/>
              <w:tabs>
                <w:tab w:val="left" w:pos="709"/>
              </w:tabs>
              <w:snapToGrid w:val="0"/>
              <w:spacing w:line="240" w:lineRule="auto"/>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b/>
                <w:bCs/>
                <w:color w:val="auto"/>
                <w:szCs w:val="24"/>
                <w:highlight w:val="none"/>
                <w:u w:val="none"/>
              </w:rPr>
              <w:t>产品管理人在符合监管政策的前提下可对产品风险评级进行动态管理，如产品风险等级发生调整，将提前通过本《产品说明书》“信息披露”约定的方式通知投资者。</w:t>
            </w:r>
          </w:p>
        </w:tc>
      </w:tr>
      <w:tr w14:paraId="4725BE03">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1C801B00">
            <w:pPr>
              <w:widowControl/>
              <w:spacing w:line="400" w:lineRule="exact"/>
              <w:jc w:val="center"/>
              <w:textAlignment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是否为现金管理类产品</w:t>
            </w:r>
          </w:p>
        </w:tc>
        <w:tc>
          <w:tcPr>
            <w:tcW w:w="6972" w:type="dxa"/>
            <w:tcBorders>
              <w:top w:val="single" w:color="auto" w:sz="4" w:space="0"/>
              <w:left w:val="single" w:color="auto" w:sz="4" w:space="0"/>
              <w:bottom w:val="single" w:color="auto" w:sz="4" w:space="0"/>
              <w:right w:val="single" w:color="auto" w:sz="4" w:space="0"/>
            </w:tcBorders>
            <w:vAlign w:val="center"/>
          </w:tcPr>
          <w:p w14:paraId="7C46B01F">
            <w:pPr>
              <w:widowControl/>
              <w:spacing w:line="400" w:lineRule="exact"/>
              <w:jc w:val="left"/>
              <w:textAlignment w:val="center"/>
              <w:rPr>
                <w:rFonts w:hint="eastAsia" w:ascii="仿宋_GB2312" w:hAnsi="等线" w:eastAsia="仿宋_GB2312" w:cs="仿宋_GB2312"/>
                <w:bCs/>
                <w:color w:val="000000" w:themeColor="text1"/>
                <w:kern w:val="0"/>
                <w:sz w:val="24"/>
                <w:lang w:eastAsia="zh-CN" w:bidi="ar"/>
                <w14:textFill>
                  <w14:solidFill>
                    <w14:schemeClr w14:val="tx1"/>
                  </w14:solidFill>
                </w14:textFill>
              </w:rPr>
            </w:pPr>
            <w:r>
              <w:rPr>
                <w:rFonts w:hint="eastAsia" w:ascii="仿宋_GB2312" w:hAnsi="等线" w:cs="仿宋_GB2312"/>
                <w:bCs/>
                <w:color w:val="000000" w:themeColor="text1"/>
                <w:kern w:val="0"/>
                <w:sz w:val="24"/>
                <w:highlight w:val="yellow"/>
                <w:lang w:eastAsia="zh-CN" w:bidi="ar"/>
                <w14:textFill>
                  <w14:solidFill>
                    <w14:schemeClr w14:val="tx1"/>
                  </w14:solidFill>
                </w14:textFill>
              </w:rPr>
              <w:t>【否】</w:t>
            </w:r>
          </w:p>
        </w:tc>
      </w:tr>
      <w:tr w14:paraId="6956CB3A">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316617EC">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color w:val="auto"/>
                <w:szCs w:val="24"/>
                <w:highlight w:val="none"/>
                <w:u w:val="none"/>
              </w:rPr>
              <w:t>本金及收益类型</w:t>
            </w:r>
          </w:p>
        </w:tc>
        <w:tc>
          <w:tcPr>
            <w:tcW w:w="6972" w:type="dxa"/>
            <w:tcBorders>
              <w:top w:val="single" w:color="auto" w:sz="4" w:space="0"/>
              <w:left w:val="single" w:color="auto" w:sz="4" w:space="0"/>
              <w:bottom w:val="single" w:color="auto" w:sz="4" w:space="0"/>
              <w:right w:val="single" w:color="auto" w:sz="4" w:space="0"/>
            </w:tcBorders>
            <w:vAlign w:val="center"/>
          </w:tcPr>
          <w:p w14:paraId="13C0D15F">
            <w:pPr>
              <w:snapToGrid w:val="0"/>
              <w:rPr>
                <w:rFonts w:ascii="宋体" w:hAnsi="宋体"/>
                <w:color w:val="auto"/>
                <w:szCs w:val="24"/>
                <w:highlight w:val="none"/>
                <w:u w:val="none"/>
              </w:rPr>
            </w:pPr>
            <w:r>
              <w:rPr>
                <w:rFonts w:hint="eastAsia" w:ascii="宋体" w:hAnsi="宋体"/>
                <w:color w:val="auto"/>
                <w:szCs w:val="24"/>
                <w:highlight w:val="none"/>
                <w:u w:val="none"/>
              </w:rPr>
              <w:t>非保本浮动收益。本产品不保证理财本金且不保证收益。本产品的收益随投资收益浮动，投资者可能会因市场变动而蒙受损失。</w:t>
            </w:r>
          </w:p>
          <w:p w14:paraId="32E201A3">
            <w:pPr>
              <w:snapToGrid w:val="0"/>
              <w:rPr>
                <w:rFonts w:hint="eastAsia" w:ascii="仿宋_GB2312" w:hAnsi="等线" w:cs="仿宋_GB2312"/>
                <w:bCs/>
                <w:color w:val="000000" w:themeColor="text1"/>
                <w:kern w:val="0"/>
                <w:sz w:val="24"/>
                <w:lang w:eastAsia="zh-CN" w:bidi="ar"/>
                <w14:textFill>
                  <w14:solidFill>
                    <w14:schemeClr w14:val="tx1"/>
                  </w14:solidFill>
                </w14:textFill>
              </w:rPr>
            </w:pPr>
            <w:r>
              <w:rPr>
                <w:rFonts w:hint="eastAsia" w:ascii="宋体" w:hAnsi="宋体"/>
                <w:color w:val="auto"/>
                <w:szCs w:val="24"/>
                <w:highlight w:val="none"/>
                <w:u w:val="none"/>
              </w:rPr>
              <w:t>理财产品管理人对本产品的本金并不提供保证，也不承诺任何固定收益。</w:t>
            </w:r>
          </w:p>
        </w:tc>
      </w:tr>
      <w:tr w14:paraId="5C068535">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4D3A09C3">
            <w:pPr>
              <w:widowControl/>
              <w:spacing w:line="400" w:lineRule="exact"/>
              <w:jc w:val="center"/>
              <w:textAlignment w:val="center"/>
              <w:rPr>
                <w:rFonts w:hint="eastAsia" w:ascii="楷体_GB2312" w:hAnsi="等线" w:eastAsia="楷体_GB2312" w:cs="楷体_GB2312"/>
                <w:bCs/>
                <w:color w:val="000000" w:themeColor="text1"/>
                <w:sz w:val="24"/>
                <w14:textFill>
                  <w14:solidFill>
                    <w14:schemeClr w14:val="tx1"/>
                  </w14:solidFill>
                </w14:textFill>
              </w:rPr>
            </w:pPr>
            <w:r>
              <w:rPr>
                <w:rFonts w:hint="eastAsia" w:ascii="楷体_GB2312" w:hAnsi="等线" w:eastAsia="楷体_GB2312" w:cs="楷体_GB2312"/>
                <w:b/>
                <w:color w:val="000000" w:themeColor="text1"/>
                <w:kern w:val="0"/>
                <w:sz w:val="24"/>
                <w:lang w:bidi="ar"/>
                <w14:textFill>
                  <w14:solidFill>
                    <w14:schemeClr w14:val="tx1"/>
                  </w14:solidFill>
                </w14:textFill>
              </w:rPr>
              <w:t>（四）产品期限</w:t>
            </w:r>
          </w:p>
        </w:tc>
      </w:tr>
      <w:tr w14:paraId="364B64C5">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A8E620F">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募集起始日期</w:t>
            </w:r>
          </w:p>
        </w:tc>
        <w:tc>
          <w:tcPr>
            <w:tcW w:w="6972" w:type="dxa"/>
            <w:tcBorders>
              <w:top w:val="single" w:color="auto" w:sz="4" w:space="0"/>
              <w:left w:val="single" w:color="auto" w:sz="4" w:space="0"/>
              <w:bottom w:val="single" w:color="auto" w:sz="4" w:space="0"/>
              <w:right w:val="single" w:color="auto" w:sz="4" w:space="0"/>
            </w:tcBorders>
            <w:vAlign w:val="center"/>
          </w:tcPr>
          <w:p w14:paraId="7EA93CC4">
            <w:pPr>
              <w:widowControl/>
              <w:autoSpaceDE w:val="0"/>
              <w:autoSpaceDN w:val="0"/>
              <w:adjustRightInd w:val="0"/>
              <w:snapToGrid w:val="0"/>
              <w:spacing w:line="240" w:lineRule="auto"/>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r>
              <w:rPr>
                <w:rFonts w:hint="eastAsia" w:ascii="宋体" w:hAnsi="宋体"/>
                <w:b/>
                <w:szCs w:val="24"/>
                <w:highlight w:val="yellow"/>
                <w:lang w:eastAsia="zh-CN"/>
              </w:rPr>
              <w:t>【</w:t>
            </w:r>
            <w:r>
              <w:rPr>
                <w:rFonts w:hint="eastAsia" w:ascii="宋体" w:hAnsi="宋体"/>
                <w:b/>
                <w:szCs w:val="24"/>
                <w:highlight w:val="none"/>
                <w:lang w:val="en-US" w:eastAsia="zh-CN"/>
              </w:rPr>
              <w:t>XX:XX</w:t>
            </w:r>
            <w:r>
              <w:rPr>
                <w:rFonts w:hint="eastAsia" w:ascii="宋体" w:hAnsi="宋体"/>
                <w:b/>
                <w:szCs w:val="24"/>
                <w:highlight w:val="yellow"/>
                <w:lang w:eastAsia="zh-CN"/>
              </w:rPr>
              <w:t>】</w:t>
            </w:r>
          </w:p>
        </w:tc>
      </w:tr>
      <w:tr w14:paraId="5D2F5640">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60BB645A">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募集结束日期</w:t>
            </w:r>
          </w:p>
        </w:tc>
        <w:tc>
          <w:tcPr>
            <w:tcW w:w="6972" w:type="dxa"/>
            <w:tcBorders>
              <w:top w:val="single" w:color="auto" w:sz="4" w:space="0"/>
              <w:left w:val="single" w:color="auto" w:sz="4" w:space="0"/>
              <w:bottom w:val="single" w:color="auto" w:sz="4" w:space="0"/>
              <w:right w:val="single" w:color="auto" w:sz="4" w:space="0"/>
            </w:tcBorders>
            <w:vAlign w:val="center"/>
          </w:tcPr>
          <w:p w14:paraId="7BBFCBC0">
            <w:pPr>
              <w:widowControl/>
              <w:autoSpaceDE w:val="0"/>
              <w:autoSpaceDN w:val="0"/>
              <w:adjustRightInd w:val="0"/>
              <w:snapToGrid w:val="0"/>
              <w:spacing w:line="240" w:lineRule="auto"/>
              <w:jc w:val="left"/>
              <w:textAlignment w:val="auto"/>
              <w:rPr>
                <w:rFonts w:hint="eastAsia" w:ascii="宋体" w:hAnsi="宋体"/>
                <w:b/>
                <w:szCs w:val="24"/>
                <w:highlight w:val="yellow"/>
                <w:lang w:eastAsia="zh-CN"/>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r>
              <w:rPr>
                <w:rFonts w:hint="eastAsia" w:ascii="宋体" w:hAnsi="宋体"/>
                <w:b/>
                <w:szCs w:val="24"/>
                <w:highlight w:val="yellow"/>
                <w:lang w:eastAsia="zh-CN"/>
              </w:rPr>
              <w:t>【</w:t>
            </w:r>
            <w:r>
              <w:rPr>
                <w:rFonts w:hint="eastAsia" w:ascii="宋体" w:hAnsi="宋体"/>
                <w:b/>
                <w:szCs w:val="24"/>
                <w:highlight w:val="none"/>
                <w:lang w:val="en-US" w:eastAsia="zh-CN"/>
              </w:rPr>
              <w:t>XX:XX</w:t>
            </w:r>
            <w:r>
              <w:rPr>
                <w:rFonts w:hint="eastAsia" w:ascii="宋体" w:hAnsi="宋体"/>
                <w:b/>
                <w:szCs w:val="24"/>
                <w:highlight w:val="yellow"/>
                <w:lang w:eastAsia="zh-CN"/>
              </w:rPr>
              <w:t>】</w:t>
            </w:r>
          </w:p>
          <w:p w14:paraId="55B2A8D2">
            <w:pPr>
              <w:widowControl/>
              <w:autoSpaceDE w:val="0"/>
              <w:autoSpaceDN w:val="0"/>
              <w:adjustRightInd w:val="0"/>
              <w:snapToGrid w:val="0"/>
              <w:spacing w:line="240" w:lineRule="auto"/>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color w:val="auto"/>
                <w:szCs w:val="24"/>
                <w:highlight w:val="none"/>
                <w:u w:val="none"/>
              </w:rPr>
              <w:t>销售机构实际受理时间可能与说明书不一致，具体以销售机构通知为准。</w:t>
            </w:r>
            <w:r>
              <w:rPr>
                <w:rFonts w:hint="eastAsia" w:ascii="宋体" w:hAnsi="宋体"/>
                <w:b/>
                <w:color w:val="auto"/>
                <w:szCs w:val="24"/>
                <w:highlight w:val="none"/>
                <w:u w:val="none"/>
              </w:rPr>
              <w:t>管理人有权提前结束募集并提前成立理财产品或延长募集期，具体以管理人或销售机构公告为准。</w:t>
            </w:r>
          </w:p>
        </w:tc>
      </w:tr>
      <w:tr w14:paraId="36C4A029">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63B0732">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产品成立日期</w:t>
            </w:r>
          </w:p>
        </w:tc>
        <w:tc>
          <w:tcPr>
            <w:tcW w:w="6972" w:type="dxa"/>
            <w:tcBorders>
              <w:top w:val="single" w:color="auto" w:sz="4" w:space="0"/>
              <w:left w:val="single" w:color="auto" w:sz="4" w:space="0"/>
              <w:bottom w:val="single" w:color="auto" w:sz="4" w:space="0"/>
              <w:right w:val="single" w:color="auto" w:sz="4" w:space="0"/>
            </w:tcBorders>
            <w:vAlign w:val="center"/>
          </w:tcPr>
          <w:p w14:paraId="09B8160A">
            <w:pPr>
              <w:snapToGrid w:val="0"/>
              <w:rPr>
                <w:rFonts w:hint="eastAsia" w:ascii="宋体" w:hAnsi="宋体"/>
                <w:b/>
                <w:szCs w:val="24"/>
                <w:highlight w:val="yellow"/>
                <w:lang w:eastAsia="zh-CN"/>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p>
          <w:p w14:paraId="2B668446">
            <w:pPr>
              <w:snapToGrid w:val="0"/>
              <w:rPr>
                <w:rFonts w:ascii="宋体" w:hAnsi="宋体"/>
                <w:b/>
                <w:color w:val="auto"/>
                <w:szCs w:val="24"/>
                <w:highlight w:val="none"/>
                <w:u w:val="none"/>
              </w:rPr>
            </w:pPr>
            <w:r>
              <w:rPr>
                <w:rFonts w:hint="eastAsia" w:ascii="宋体" w:hAnsi="宋体"/>
                <w:b/>
                <w:color w:val="auto"/>
                <w:szCs w:val="24"/>
                <w:highlight w:val="none"/>
                <w:u w:val="none"/>
              </w:rPr>
              <w:t>如遇非</w:t>
            </w:r>
            <w:r>
              <w:rPr>
                <w:rFonts w:hint="eastAsia" w:ascii="宋体" w:hAnsi="宋体"/>
                <w:b/>
                <w:color w:val="auto"/>
                <w:szCs w:val="24"/>
                <w:highlight w:val="yellow"/>
                <w:u w:val="none"/>
                <w:lang w:eastAsia="zh-CN"/>
              </w:rPr>
              <w:t>【工作日</w:t>
            </w:r>
            <w:r>
              <w:rPr>
                <w:rFonts w:hint="eastAsia" w:ascii="宋体" w:hAnsi="宋体"/>
                <w:b/>
                <w:color w:val="auto"/>
                <w:szCs w:val="24"/>
                <w:highlight w:val="yellow"/>
                <w:u w:val="none"/>
                <w:lang w:val="en-US" w:eastAsia="zh-CN"/>
              </w:rPr>
              <w:t>/</w:t>
            </w:r>
            <w:r>
              <w:rPr>
                <w:rFonts w:hint="eastAsia" w:ascii="宋体" w:hAnsi="宋体"/>
                <w:b/>
                <w:color w:val="auto"/>
                <w:szCs w:val="24"/>
                <w:highlight w:val="yellow"/>
                <w:u w:val="none"/>
              </w:rPr>
              <w:t>交易日</w:t>
            </w:r>
            <w:r>
              <w:rPr>
                <w:rFonts w:hint="eastAsia" w:ascii="宋体" w:hAnsi="宋体"/>
                <w:b/>
                <w:color w:val="auto"/>
                <w:szCs w:val="24"/>
                <w:highlight w:val="yellow"/>
                <w:u w:val="none"/>
                <w:lang w:eastAsia="zh-CN"/>
              </w:rPr>
              <w:t>】</w:t>
            </w:r>
            <w:r>
              <w:rPr>
                <w:rFonts w:hint="eastAsia" w:ascii="宋体" w:hAnsi="宋体"/>
                <w:b/>
                <w:color w:val="auto"/>
                <w:szCs w:val="24"/>
                <w:highlight w:val="none"/>
                <w:u w:val="none"/>
              </w:rPr>
              <w:t>则顺延至下一</w:t>
            </w:r>
            <w:r>
              <w:rPr>
                <w:rFonts w:hint="eastAsia" w:ascii="宋体" w:hAnsi="宋体"/>
                <w:b/>
                <w:color w:val="auto"/>
                <w:szCs w:val="24"/>
                <w:highlight w:val="yellow"/>
                <w:u w:val="none"/>
                <w:lang w:eastAsia="zh-CN"/>
              </w:rPr>
              <w:t>【工作日</w:t>
            </w:r>
            <w:r>
              <w:rPr>
                <w:rFonts w:hint="eastAsia" w:ascii="宋体" w:hAnsi="宋体"/>
                <w:b/>
                <w:color w:val="auto"/>
                <w:szCs w:val="24"/>
                <w:highlight w:val="yellow"/>
                <w:u w:val="none"/>
                <w:lang w:val="en-US" w:eastAsia="zh-CN"/>
              </w:rPr>
              <w:t>/</w:t>
            </w:r>
            <w:r>
              <w:rPr>
                <w:rFonts w:hint="eastAsia" w:ascii="宋体" w:hAnsi="宋体"/>
                <w:b/>
                <w:color w:val="auto"/>
                <w:szCs w:val="24"/>
                <w:highlight w:val="yellow"/>
                <w:u w:val="none"/>
              </w:rPr>
              <w:t>交易日</w:t>
            </w:r>
            <w:r>
              <w:rPr>
                <w:rFonts w:hint="eastAsia" w:ascii="宋体" w:hAnsi="宋体"/>
                <w:b/>
                <w:color w:val="auto"/>
                <w:szCs w:val="24"/>
                <w:highlight w:val="yellow"/>
                <w:u w:val="none"/>
                <w:lang w:eastAsia="zh-CN"/>
              </w:rPr>
              <w:t>】</w:t>
            </w:r>
            <w:r>
              <w:rPr>
                <w:rFonts w:hint="eastAsia" w:ascii="宋体" w:hAnsi="宋体"/>
                <w:b/>
                <w:color w:val="auto"/>
                <w:szCs w:val="24"/>
                <w:highlight w:val="none"/>
                <w:u w:val="none"/>
              </w:rPr>
              <w:t>。</w:t>
            </w:r>
          </w:p>
          <w:p w14:paraId="2E8AB8E1">
            <w:pPr>
              <w:widowControl/>
              <w:spacing w:line="400" w:lineRule="exact"/>
              <w:jc w:val="left"/>
              <w:textAlignment w:val="center"/>
              <w:rPr>
                <w:rFonts w:hint="eastAsia" w:ascii="宋体" w:hAnsi="宋体"/>
                <w:color w:val="auto"/>
                <w:szCs w:val="24"/>
                <w:highlight w:val="none"/>
                <w:u w:val="none"/>
              </w:rPr>
            </w:pPr>
            <w:r>
              <w:rPr>
                <w:rFonts w:hint="eastAsia" w:ascii="宋体" w:hAnsi="宋体"/>
                <w:b/>
                <w:color w:val="auto"/>
                <w:szCs w:val="24"/>
                <w:highlight w:val="none"/>
                <w:u w:val="none"/>
              </w:rPr>
              <w:t>如本理财产品募集期提前终止或延长，实际成立日以管理人或销售机构公告为准。</w:t>
            </w:r>
          </w:p>
        </w:tc>
      </w:tr>
      <w:tr w14:paraId="1DA3E88C">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EE771DD">
            <w:pPr>
              <w:widowControl/>
              <w:spacing w:line="400" w:lineRule="exact"/>
              <w:jc w:val="center"/>
              <w:textAlignment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产品到期日期</w:t>
            </w:r>
          </w:p>
        </w:tc>
        <w:tc>
          <w:tcPr>
            <w:tcW w:w="6972" w:type="dxa"/>
            <w:tcBorders>
              <w:top w:val="single" w:color="auto" w:sz="4" w:space="0"/>
              <w:left w:val="single" w:color="auto" w:sz="4" w:space="0"/>
              <w:bottom w:val="single" w:color="auto" w:sz="4" w:space="0"/>
              <w:right w:val="single" w:color="auto" w:sz="4" w:space="0"/>
            </w:tcBorders>
            <w:vAlign w:val="center"/>
          </w:tcPr>
          <w:p w14:paraId="4FBF893A">
            <w:pPr>
              <w:widowControl/>
              <w:spacing w:line="400" w:lineRule="exact"/>
              <w:jc w:val="left"/>
              <w:textAlignment w:val="center"/>
              <w:rPr>
                <w:rFonts w:hint="eastAsia" w:ascii="仿宋_GB2312" w:hAnsi="等线" w:cs="仿宋_GB2312"/>
                <w:bCs/>
                <w:color w:val="000000" w:themeColor="text1"/>
                <w:sz w:val="24"/>
                <w:lang w:eastAsia="zh-CN"/>
                <w14:textFill>
                  <w14:solidFill>
                    <w14:schemeClr w14:val="tx1"/>
                  </w14:solidFill>
                </w14:textFill>
              </w:rPr>
            </w:pPr>
            <w:r>
              <w:rPr>
                <w:rFonts w:hint="eastAsia" w:ascii="宋体" w:hAnsi="宋体"/>
                <w:szCs w:val="24"/>
                <w:highlight w:val="yellow"/>
                <w:lang w:eastAsia="zh-CN"/>
              </w:rPr>
              <w:t>【无固定期限</w:t>
            </w:r>
            <w:r>
              <w:rPr>
                <w:rFonts w:hint="eastAsia" w:ascii="宋体" w:hAnsi="宋体"/>
                <w:szCs w:val="24"/>
                <w:highlight w:val="yellow"/>
                <w:lang w:val="en-US" w:eastAsia="zh-CN"/>
              </w:rPr>
              <w:t>/xxxx年xx月xx日</w:t>
            </w:r>
            <w:r>
              <w:rPr>
                <w:rFonts w:hint="eastAsia" w:ascii="宋体" w:hAnsi="宋体"/>
                <w:b/>
                <w:szCs w:val="24"/>
                <w:highlight w:val="yellow"/>
                <w:lang w:eastAsia="zh-CN"/>
              </w:rPr>
              <w:t>】</w:t>
            </w:r>
          </w:p>
          <w:p w14:paraId="5BDB1B3B">
            <w:pPr>
              <w:widowControl/>
              <w:spacing w:line="400" w:lineRule="exact"/>
              <w:jc w:val="left"/>
              <w:textAlignment w:val="center"/>
              <w:rPr>
                <w:rFonts w:hint="eastAsia" w:ascii="仿宋_GB2312" w:hAnsi="等线" w:cs="仿宋_GB2312"/>
                <w:bCs/>
                <w:color w:val="000000" w:themeColor="text1"/>
                <w:sz w:val="24"/>
                <w:lang w:eastAsia="zh-CN"/>
                <w14:textFill>
                  <w14:solidFill>
                    <w14:schemeClr w14:val="tx1"/>
                  </w14:solidFill>
                </w14:textFill>
              </w:rPr>
            </w:pPr>
            <w:r>
              <w:rPr>
                <w:rFonts w:hint="eastAsia" w:ascii="宋体" w:hAnsi="宋体"/>
                <w:color w:val="auto"/>
                <w:szCs w:val="24"/>
                <w:highlight w:val="none"/>
                <w:u w:val="none"/>
              </w:rPr>
              <w:t>产品管理人有权根据实际情况提前终止，并提前</w:t>
            </w:r>
            <w:r>
              <w:rPr>
                <w:rFonts w:hint="eastAsia" w:ascii="宋体" w:hAnsi="宋体"/>
                <w:b/>
                <w:szCs w:val="24"/>
                <w:highlight w:val="yellow"/>
                <w:lang w:eastAsia="zh-CN"/>
              </w:rPr>
              <w:t>【</w:t>
            </w:r>
            <w:r>
              <w:rPr>
                <w:rFonts w:hint="eastAsia" w:ascii="宋体" w:hAnsi="宋体"/>
                <w:b/>
                <w:szCs w:val="24"/>
                <w:highlight w:val="yellow"/>
                <w:lang w:val="en-US" w:eastAsia="zh-CN"/>
              </w:rPr>
              <w:t>1</w:t>
            </w:r>
            <w:r>
              <w:rPr>
                <w:rFonts w:hint="eastAsia" w:ascii="宋体" w:hAnsi="宋体"/>
                <w:b/>
                <w:szCs w:val="24"/>
                <w:highlight w:val="yellow"/>
                <w:lang w:eastAsia="zh-CN"/>
              </w:rPr>
              <w:t>】</w:t>
            </w:r>
            <w:r>
              <w:rPr>
                <w:rFonts w:hint="eastAsia" w:ascii="宋体" w:hAnsi="宋体"/>
                <w:color w:val="auto"/>
                <w:szCs w:val="24"/>
                <w:highlight w:val="none"/>
                <w:u w:val="none"/>
              </w:rPr>
              <w:t>个</w:t>
            </w:r>
            <w:r>
              <w:rPr>
                <w:rFonts w:ascii="宋体" w:hAnsi="宋体"/>
                <w:color w:val="auto"/>
                <w:szCs w:val="24"/>
                <w:highlight w:val="none"/>
                <w:u w:val="none"/>
              </w:rPr>
              <w:t>工作</w:t>
            </w:r>
            <w:r>
              <w:rPr>
                <w:rFonts w:hint="eastAsia" w:ascii="宋体" w:hAnsi="宋体"/>
                <w:color w:val="auto"/>
                <w:szCs w:val="24"/>
                <w:highlight w:val="none"/>
                <w:u w:val="none"/>
              </w:rPr>
              <w:t>日按照本《产品说明书》“信息披露”约定的方式通知投资者。</w:t>
            </w:r>
          </w:p>
        </w:tc>
      </w:tr>
      <w:tr w14:paraId="5BD41C2B">
        <w:tblPrEx>
          <w:tblCellMar>
            <w:top w:w="0" w:type="dxa"/>
            <w:left w:w="108" w:type="dxa"/>
            <w:bottom w:w="0" w:type="dxa"/>
            <w:right w:w="108" w:type="dxa"/>
          </w:tblCellMar>
        </w:tblPrEx>
        <w:trPr>
          <w:trHeight w:val="447" w:hRule="atLeast"/>
        </w:trPr>
        <w:tc>
          <w:tcPr>
            <w:tcW w:w="2453" w:type="dxa"/>
            <w:tcBorders>
              <w:top w:val="single" w:color="auto" w:sz="4" w:space="0"/>
              <w:left w:val="single" w:color="auto" w:sz="4" w:space="0"/>
              <w:bottom w:val="single" w:color="auto" w:sz="4" w:space="0"/>
              <w:right w:val="single" w:color="auto" w:sz="4" w:space="0"/>
            </w:tcBorders>
            <w:vAlign w:val="center"/>
          </w:tcPr>
          <w:p w14:paraId="479725C6">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资金到账日</w:t>
            </w:r>
          </w:p>
        </w:tc>
        <w:tc>
          <w:tcPr>
            <w:tcW w:w="6972" w:type="dxa"/>
            <w:tcBorders>
              <w:top w:val="single" w:color="auto" w:sz="4" w:space="0"/>
              <w:left w:val="single" w:color="auto" w:sz="4" w:space="0"/>
              <w:bottom w:val="single" w:color="auto" w:sz="4" w:space="0"/>
              <w:right w:val="single" w:color="auto" w:sz="4" w:space="0"/>
            </w:tcBorders>
            <w:vAlign w:val="center"/>
          </w:tcPr>
          <w:p w14:paraId="54A2E903">
            <w:pPr>
              <w:widowControl/>
              <w:spacing w:line="400" w:lineRule="exact"/>
              <w:jc w:val="left"/>
              <w:textAlignment w:val="center"/>
              <w:rPr>
                <w:rFonts w:hint="eastAsia" w:ascii="宋体" w:hAnsi="宋体" w:eastAsia="仿宋_GB2312" w:cstheme="minorBidi"/>
                <w:bCs w:val="0"/>
                <w:color w:val="auto"/>
                <w:sz w:val="24"/>
                <w:szCs w:val="24"/>
                <w:highlight w:val="none"/>
                <w:u w:val="none"/>
              </w:rPr>
            </w:pPr>
            <w:r>
              <w:rPr>
                <w:rFonts w:hint="eastAsia" w:ascii="宋体" w:hAnsi="宋体"/>
                <w:b/>
                <w:szCs w:val="24"/>
                <w:highlight w:val="yellow"/>
                <w:lang w:eastAsia="zh-CN"/>
              </w:rPr>
              <w:t>【T+0、T+1、T+2、T+3、T+4、T+5及以上】</w:t>
            </w:r>
          </w:p>
        </w:tc>
      </w:tr>
      <w:tr w14:paraId="53347493">
        <w:tblPrEx>
          <w:tblCellMar>
            <w:top w:w="0" w:type="dxa"/>
            <w:left w:w="108" w:type="dxa"/>
            <w:bottom w:w="0" w:type="dxa"/>
            <w:right w:w="108" w:type="dxa"/>
          </w:tblCellMar>
        </w:tblPrEx>
        <w:trPr>
          <w:trHeight w:val="328" w:hRule="atLeast"/>
        </w:trPr>
        <w:tc>
          <w:tcPr>
            <w:tcW w:w="2453" w:type="dxa"/>
            <w:tcBorders>
              <w:top w:val="single" w:color="auto" w:sz="4" w:space="0"/>
              <w:left w:val="single" w:color="auto" w:sz="4" w:space="0"/>
              <w:bottom w:val="single" w:color="auto" w:sz="4" w:space="0"/>
              <w:right w:val="single" w:color="auto" w:sz="4" w:space="0"/>
            </w:tcBorders>
            <w:vAlign w:val="center"/>
          </w:tcPr>
          <w:p w14:paraId="70BB7492">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投资周期</w:t>
            </w:r>
          </w:p>
        </w:tc>
        <w:tc>
          <w:tcPr>
            <w:tcW w:w="6972" w:type="dxa"/>
            <w:tcBorders>
              <w:top w:val="single" w:color="auto" w:sz="4" w:space="0"/>
              <w:left w:val="single" w:color="auto" w:sz="4" w:space="0"/>
              <w:bottom w:val="single" w:color="auto" w:sz="4" w:space="0"/>
              <w:right w:val="single" w:color="auto" w:sz="4" w:space="0"/>
            </w:tcBorders>
            <w:vAlign w:val="center"/>
          </w:tcPr>
          <w:p w14:paraId="562D87BE">
            <w:pPr>
              <w:widowControl/>
              <w:spacing w:line="400" w:lineRule="exact"/>
              <w:jc w:val="left"/>
              <w:textAlignment w:val="center"/>
              <w:rPr>
                <w:rFonts w:hint="eastAsia" w:ascii="宋体" w:hAnsi="宋体" w:cstheme="minorBidi"/>
                <w:bCs w:val="0"/>
                <w:color w:val="auto"/>
                <w:kern w:val="2"/>
                <w:sz w:val="24"/>
                <w:szCs w:val="24"/>
                <w:highlight w:val="yellow"/>
                <w:u w:val="none"/>
                <w:lang w:eastAsia="zh-CN" w:bidi="ar"/>
              </w:rPr>
            </w:pPr>
            <w:r>
              <w:rPr>
                <w:rFonts w:hint="eastAsia" w:ascii="宋体" w:hAnsi="宋体" w:cstheme="minorBidi"/>
                <w:bCs w:val="0"/>
                <w:color w:val="auto"/>
                <w:kern w:val="2"/>
                <w:sz w:val="24"/>
                <w:szCs w:val="24"/>
                <w:highlight w:val="yellow"/>
                <w:u w:val="none"/>
                <w:lang w:eastAsia="zh-CN" w:bidi="ar"/>
              </w:rPr>
              <w:t>【每</w:t>
            </w:r>
            <w:r>
              <w:rPr>
                <w:rFonts w:hint="eastAsia" w:ascii="宋体" w:hAnsi="宋体" w:cstheme="minorBidi"/>
                <w:bCs w:val="0"/>
                <w:color w:val="auto"/>
                <w:kern w:val="2"/>
                <w:sz w:val="24"/>
                <w:szCs w:val="24"/>
                <w:highlight w:val="yellow"/>
                <w:u w:val="none"/>
                <w:lang w:val="en-US" w:eastAsia="zh-CN" w:bidi="ar"/>
              </w:rPr>
              <w:t>x天/周/月/年</w:t>
            </w:r>
            <w:r>
              <w:rPr>
                <w:rFonts w:hint="eastAsia" w:ascii="宋体" w:hAnsi="宋体" w:cstheme="minorBidi"/>
                <w:bCs w:val="0"/>
                <w:color w:val="auto"/>
                <w:kern w:val="2"/>
                <w:sz w:val="24"/>
                <w:szCs w:val="24"/>
                <w:highlight w:val="yellow"/>
                <w:u w:val="none"/>
                <w:lang w:eastAsia="zh-CN" w:bidi="ar"/>
              </w:rPr>
              <w:t>】</w:t>
            </w:r>
          </w:p>
          <w:p w14:paraId="5CC4B4EA">
            <w:pPr>
              <w:widowControl/>
              <w:spacing w:line="400" w:lineRule="exact"/>
              <w:jc w:val="left"/>
              <w:textAlignment w:val="center"/>
              <w:rPr>
                <w:rFonts w:hint="eastAsia" w:ascii="宋体" w:hAnsi="宋体"/>
                <w:color w:val="auto"/>
                <w:szCs w:val="24"/>
                <w:highlight w:val="none"/>
              </w:rPr>
            </w:pPr>
            <w:r>
              <w:rPr>
                <w:rFonts w:hint="eastAsia" w:ascii="宋体" w:hAnsi="宋体"/>
                <w:color w:val="auto"/>
                <w:szCs w:val="24"/>
                <w:highlight w:val="none"/>
              </w:rPr>
              <w:t>产品成立日/申购确认日即投资周期起始日。如投资者选择续投资期数为到期不续投，则固定周期结束日即投资周期结束日；如投资者选择续投资期数大于等于1，则最后一个固定周期结束日即为投资周期结束日。</w:t>
            </w:r>
          </w:p>
        </w:tc>
      </w:tr>
      <w:tr w14:paraId="19033795">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19E6DC44">
            <w:pPr>
              <w:widowControl/>
              <w:spacing w:line="400" w:lineRule="exact"/>
              <w:jc w:val="center"/>
              <w:textAlignment w:val="center"/>
              <w:rPr>
                <w:rFonts w:hint="eastAsia" w:ascii="楷体_GB2312" w:hAnsi="等线" w:eastAsia="楷体_GB2312" w:cs="楷体_GB2312"/>
                <w:b/>
                <w:bCs/>
                <w:color w:val="000000" w:themeColor="text1"/>
                <w:sz w:val="24"/>
                <w14:textFill>
                  <w14:solidFill>
                    <w14:schemeClr w14:val="tx1"/>
                  </w14:solidFill>
                </w14:textFill>
              </w:rPr>
            </w:pPr>
            <w:r>
              <w:rPr>
                <w:rFonts w:hint="eastAsia" w:ascii="楷体_GB2312" w:hAnsi="等线" w:eastAsia="楷体_GB2312" w:cs="楷体_GB2312"/>
                <w:b/>
                <w:bCs/>
                <w:color w:val="000000" w:themeColor="text1"/>
                <w:kern w:val="0"/>
                <w:sz w:val="24"/>
                <w:lang w:bidi="ar"/>
                <w14:textFill>
                  <w14:solidFill>
                    <w14:schemeClr w14:val="tx1"/>
                  </w14:solidFill>
                </w14:textFill>
              </w:rPr>
              <w:t>（五）产品费用</w:t>
            </w:r>
          </w:p>
        </w:tc>
      </w:tr>
      <w:tr w14:paraId="2CD2F8A3">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F698E51">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销售</w:t>
            </w:r>
            <w:r>
              <w:rPr>
                <w:rFonts w:hint="eastAsia" w:ascii="仿宋_GB2312" w:hAnsi="等线" w:cs="仿宋_GB2312"/>
                <w:color w:val="000000" w:themeColor="text1"/>
                <w:kern w:val="0"/>
                <w:sz w:val="24"/>
                <w:lang w:eastAsia="zh-CN" w:bidi="ar"/>
                <w14:textFill>
                  <w14:solidFill>
                    <w14:schemeClr w14:val="tx1"/>
                  </w14:solidFill>
                </w14:textFill>
              </w:rPr>
              <w:t>服务</w:t>
            </w:r>
            <w:r>
              <w:rPr>
                <w:rFonts w:hint="eastAsia" w:ascii="仿宋_GB2312" w:hAnsi="等线" w:eastAsia="仿宋_GB2312" w:cs="仿宋_GB2312"/>
                <w:color w:val="000000" w:themeColor="text1"/>
                <w:kern w:val="0"/>
                <w:sz w:val="24"/>
                <w:lang w:bidi="ar"/>
                <w14:textFill>
                  <w14:solidFill>
                    <w14:schemeClr w14:val="tx1"/>
                  </w14:solidFill>
                </w14:textFill>
              </w:rPr>
              <w:t>费率（年化）</w:t>
            </w:r>
          </w:p>
        </w:tc>
        <w:tc>
          <w:tcPr>
            <w:tcW w:w="6972" w:type="dxa"/>
            <w:tcBorders>
              <w:top w:val="single" w:color="auto" w:sz="4" w:space="0"/>
              <w:left w:val="single" w:color="auto" w:sz="4" w:space="0"/>
              <w:bottom w:val="single" w:color="auto" w:sz="4" w:space="0"/>
              <w:right w:val="single" w:color="auto" w:sz="4" w:space="0"/>
            </w:tcBorders>
            <w:vAlign w:val="center"/>
          </w:tcPr>
          <w:p w14:paraId="669C8190">
            <w:pPr>
              <w:widowControl/>
              <w:spacing w:line="400" w:lineRule="exact"/>
              <w:jc w:val="left"/>
              <w:textAlignment w:val="center"/>
              <w:rPr>
                <w:rFonts w:hint="default" w:ascii="宋体" w:hAnsi="宋体"/>
                <w:color w:val="auto"/>
                <w:szCs w:val="24"/>
                <w:highlight w:val="none"/>
                <w:u w:val="none"/>
                <w:lang w:val="en-US" w:eastAsia="zh-CN"/>
              </w:rPr>
            </w:pPr>
            <w:r>
              <w:rPr>
                <w:rFonts w:hint="eastAsia" w:ascii="宋体" w:hAnsi="宋体" w:cstheme="minorBidi"/>
                <w:bCs w:val="0"/>
                <w:color w:val="auto"/>
                <w:kern w:val="2"/>
                <w:sz w:val="24"/>
                <w:szCs w:val="24"/>
                <w:highlight w:val="yellow"/>
                <w:u w:val="none"/>
                <w:lang w:eastAsia="zh-CN" w:bidi="ar"/>
              </w:rPr>
              <w:t>【份额代码】</w:t>
            </w:r>
            <w:r>
              <w:rPr>
                <w:rFonts w:hint="eastAsia" w:ascii="宋体" w:hAnsi="宋体"/>
                <w:color w:val="auto"/>
                <w:szCs w:val="24"/>
                <w:highlight w:val="none"/>
                <w:u w:val="none"/>
                <w:lang w:val="en-US" w:eastAsia="zh-CN"/>
              </w:rPr>
              <w:t>：</w:t>
            </w:r>
            <w:r>
              <w:rPr>
                <w:rFonts w:hint="eastAsia" w:ascii="宋体" w:hAnsi="宋体" w:cstheme="minorBidi"/>
                <w:bCs w:val="0"/>
                <w:color w:val="auto"/>
                <w:kern w:val="2"/>
                <w:sz w:val="24"/>
                <w:szCs w:val="24"/>
                <w:highlight w:val="yellow"/>
                <w:u w:val="none"/>
                <w:lang w:eastAsia="zh-CN" w:bidi="ar"/>
              </w:rPr>
              <w:t>【费率】</w:t>
            </w:r>
          </w:p>
          <w:p w14:paraId="077A249F">
            <w:pPr>
              <w:widowControl/>
              <w:spacing w:line="400" w:lineRule="exact"/>
              <w:jc w:val="left"/>
              <w:textAlignment w:val="center"/>
              <w:rPr>
                <w:rFonts w:hint="default" w:ascii="仿宋_GB2312" w:hAnsi="等线" w:eastAsia="仿宋_GB2312" w:cs="仿宋_GB2312"/>
                <w:bCs/>
                <w:color w:val="000000" w:themeColor="text1"/>
                <w:sz w:val="24"/>
                <w:lang w:val="en-US"/>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r>
              <w:rPr>
                <w:rFonts w:hint="eastAsia" w:ascii="宋体" w:hAnsi="宋体"/>
                <w:color w:val="auto"/>
                <w:szCs w:val="24"/>
                <w:highlight w:val="none"/>
                <w:u w:val="none"/>
                <w:lang w:val="en-US" w:eastAsia="zh-CN"/>
              </w:rPr>
              <w:t>：</w:t>
            </w:r>
            <w:r>
              <w:rPr>
                <w:rFonts w:hint="eastAsia" w:ascii="宋体" w:hAnsi="宋体" w:cstheme="minorBidi"/>
                <w:bCs w:val="0"/>
                <w:color w:val="auto"/>
                <w:kern w:val="2"/>
                <w:sz w:val="24"/>
                <w:szCs w:val="24"/>
                <w:highlight w:val="yellow"/>
                <w:u w:val="none"/>
                <w:lang w:eastAsia="zh-CN" w:bidi="ar"/>
              </w:rPr>
              <w:t>【】</w:t>
            </w:r>
          </w:p>
        </w:tc>
      </w:tr>
      <w:tr w14:paraId="12F38339">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7BB632D">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托管费率（年化）</w:t>
            </w:r>
          </w:p>
        </w:tc>
        <w:tc>
          <w:tcPr>
            <w:tcW w:w="6972" w:type="dxa"/>
            <w:tcBorders>
              <w:top w:val="single" w:color="auto" w:sz="4" w:space="0"/>
              <w:left w:val="single" w:color="auto" w:sz="4" w:space="0"/>
              <w:bottom w:val="single" w:color="auto" w:sz="4" w:space="0"/>
              <w:right w:val="single" w:color="auto" w:sz="4" w:space="0"/>
            </w:tcBorders>
            <w:vAlign w:val="center"/>
          </w:tcPr>
          <w:p w14:paraId="5EB9B500">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【费率】</w:t>
            </w:r>
          </w:p>
        </w:tc>
      </w:tr>
      <w:tr w14:paraId="336A45BB">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ACDDC3D">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固定</w:t>
            </w:r>
            <w:r>
              <w:rPr>
                <w:rFonts w:hint="eastAsia" w:ascii="仿宋_GB2312" w:hAnsi="等线" w:eastAsia="仿宋_GB2312" w:cs="仿宋_GB2312"/>
                <w:color w:val="000000" w:themeColor="text1"/>
                <w:kern w:val="0"/>
                <w:sz w:val="24"/>
                <w:lang w:bidi="ar"/>
                <w14:textFill>
                  <w14:solidFill>
                    <w14:schemeClr w14:val="tx1"/>
                  </w14:solidFill>
                </w14:textFill>
              </w:rPr>
              <w:t>管理费率（年化）</w:t>
            </w:r>
          </w:p>
        </w:tc>
        <w:tc>
          <w:tcPr>
            <w:tcW w:w="6972" w:type="dxa"/>
            <w:tcBorders>
              <w:top w:val="single" w:color="auto" w:sz="4" w:space="0"/>
              <w:left w:val="single" w:color="auto" w:sz="4" w:space="0"/>
              <w:bottom w:val="single" w:color="auto" w:sz="4" w:space="0"/>
              <w:right w:val="single" w:color="auto" w:sz="4" w:space="0"/>
            </w:tcBorders>
            <w:vAlign w:val="center"/>
          </w:tcPr>
          <w:p w14:paraId="16CAE672">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【费率】</w:t>
            </w:r>
          </w:p>
        </w:tc>
      </w:tr>
      <w:tr w14:paraId="4ED191C7">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140510DE">
            <w:pPr>
              <w:widowControl/>
              <w:spacing w:line="400" w:lineRule="exact"/>
              <w:jc w:val="center"/>
              <w:textAlignment w:val="center"/>
              <w:rPr>
                <w:rFonts w:hint="eastAsia" w:ascii="仿宋_GB2312" w:hAnsi="等线" w:eastAsia="仿宋_GB2312" w:cs="仿宋_GB2312"/>
                <w:color w:val="000000" w:themeColor="text1"/>
                <w:sz w:val="24"/>
                <w:lang w:eastAsia="zh-CN"/>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浮动管理费</w:t>
            </w:r>
          </w:p>
        </w:tc>
        <w:tc>
          <w:tcPr>
            <w:tcW w:w="6972" w:type="dxa"/>
            <w:tcBorders>
              <w:top w:val="single" w:color="auto" w:sz="4" w:space="0"/>
              <w:left w:val="single" w:color="auto" w:sz="4" w:space="0"/>
              <w:bottom w:val="single" w:color="auto" w:sz="4" w:space="0"/>
              <w:right w:val="single" w:color="auto" w:sz="4" w:space="0"/>
            </w:tcBorders>
            <w:vAlign w:val="center"/>
          </w:tcPr>
          <w:p w14:paraId="6224434B">
            <w:pPr>
              <w:widowControl/>
              <w:tabs>
                <w:tab w:val="left" w:pos="312"/>
              </w:tabs>
              <w:jc w:val="left"/>
              <w:rPr>
                <w:rFonts w:hint="eastAsia" w:ascii="宋体" w:hAnsi="宋体"/>
                <w:b/>
                <w:color w:val="auto"/>
                <w:szCs w:val="24"/>
                <w:highlight w:val="yellow"/>
                <w:lang w:eastAsia="zh-CN"/>
              </w:rPr>
            </w:pPr>
            <w:r>
              <w:rPr>
                <w:rFonts w:hint="eastAsia" w:ascii="宋体" w:hAnsi="宋体"/>
                <w:b/>
                <w:color w:val="auto"/>
                <w:szCs w:val="24"/>
                <w:highlight w:val="yellow"/>
                <w:lang w:eastAsia="zh-CN"/>
              </w:rPr>
              <w:t>【□</w:t>
            </w:r>
            <w:r>
              <w:rPr>
                <w:rFonts w:hint="eastAsia" w:ascii="宋体" w:hAnsi="宋体"/>
                <w:b/>
                <w:color w:val="auto"/>
                <w:szCs w:val="24"/>
                <w:highlight w:val="yellow"/>
              </w:rPr>
              <w:t xml:space="preserve"> 产品管理人</w:t>
            </w:r>
            <w:r>
              <w:rPr>
                <w:rFonts w:hint="eastAsia" w:ascii="宋体" w:hAnsi="宋体"/>
                <w:b/>
                <w:color w:val="auto"/>
                <w:szCs w:val="24"/>
                <w:highlight w:val="yellow"/>
                <w:lang w:eastAsia="zh-CN"/>
              </w:rPr>
              <w:t>设置浮动管理费</w:t>
            </w:r>
          </w:p>
          <w:p w14:paraId="061B8F12">
            <w:pPr>
              <w:widowControl/>
              <w:tabs>
                <w:tab w:val="left" w:pos="312"/>
              </w:tabs>
              <w:jc w:val="left"/>
              <w:rPr>
                <w:rFonts w:hint="eastAsia" w:ascii="宋体" w:hAnsi="宋体"/>
                <w:b/>
                <w:color w:val="auto"/>
                <w:szCs w:val="24"/>
                <w:highlight w:val="yellow"/>
                <w:lang w:eastAsia="zh-CN"/>
              </w:rPr>
            </w:pPr>
          </w:p>
          <w:p w14:paraId="1F6BA3FD">
            <w:pPr>
              <w:widowControl/>
              <w:tabs>
                <w:tab w:val="left" w:pos="312"/>
              </w:tabs>
              <w:jc w:val="left"/>
              <w:rPr>
                <w:rFonts w:hint="eastAsia" w:ascii="宋体" w:hAnsi="宋体"/>
                <w:b/>
                <w:color w:val="auto"/>
                <w:szCs w:val="24"/>
                <w:highlight w:val="yellow"/>
                <w:lang w:eastAsia="zh-CN"/>
              </w:rPr>
            </w:pPr>
            <w:r>
              <w:rPr>
                <w:rFonts w:hint="eastAsia" w:ascii="宋体" w:hAnsi="宋体"/>
                <w:b/>
                <w:color w:val="auto"/>
                <w:szCs w:val="24"/>
                <w:highlight w:val="yellow"/>
                <w:lang w:eastAsia="zh-CN"/>
              </w:rPr>
              <w:t>□</w:t>
            </w:r>
            <w:r>
              <w:rPr>
                <w:rFonts w:hint="eastAsia" w:ascii="宋体" w:hAnsi="宋体"/>
                <w:b/>
                <w:color w:val="auto"/>
                <w:szCs w:val="24"/>
                <w:highlight w:val="yellow"/>
              </w:rPr>
              <w:t xml:space="preserve"> 产品管理人不设</w:t>
            </w:r>
            <w:r>
              <w:rPr>
                <w:rFonts w:hint="eastAsia" w:ascii="宋体" w:hAnsi="宋体"/>
                <w:b/>
                <w:color w:val="auto"/>
                <w:szCs w:val="24"/>
                <w:highlight w:val="yellow"/>
                <w:lang w:eastAsia="zh-CN"/>
              </w:rPr>
              <w:t>浮动管理费】</w:t>
            </w:r>
          </w:p>
          <w:p w14:paraId="2B79F474">
            <w:pPr>
              <w:tabs>
                <w:tab w:val="left" w:pos="312"/>
              </w:tabs>
              <w:snapToGrid w:val="0"/>
              <w:rPr>
                <w:rFonts w:hint="eastAsia" w:ascii="宋体" w:hAnsi="宋体" w:eastAsia="仿宋_GB2312"/>
                <w:b/>
                <w:color w:val="auto"/>
                <w:szCs w:val="24"/>
                <w:highlight w:val="yellow"/>
                <w:lang w:eastAsia="zh-CN"/>
              </w:rPr>
            </w:pPr>
            <w:r>
              <w:rPr>
                <w:rFonts w:hint="eastAsia" w:ascii="宋体" w:hAnsi="宋体"/>
                <w:b/>
                <w:color w:val="auto"/>
                <w:szCs w:val="24"/>
                <w:highlight w:val="none"/>
                <w:lang w:eastAsia="zh-CN"/>
              </w:rPr>
              <w:t>浮动管理费计提基准：</w:t>
            </w:r>
            <w:r>
              <w:rPr>
                <w:rFonts w:hint="eastAsia" w:ascii="宋体" w:hAnsi="宋体"/>
                <w:b/>
                <w:color w:val="auto"/>
                <w:szCs w:val="24"/>
                <w:highlight w:val="none"/>
              </w:rPr>
              <w:t>年化</w:t>
            </w:r>
            <w:r>
              <w:rPr>
                <w:rFonts w:hint="eastAsia" w:ascii="宋体" w:hAnsi="宋体"/>
                <w:b/>
                <w:color w:val="auto"/>
                <w:szCs w:val="24"/>
                <w:highlight w:val="yellow"/>
              </w:rPr>
              <w:t>【</w:t>
            </w:r>
            <w:r>
              <w:rPr>
                <w:rFonts w:hint="eastAsia" w:ascii="宋体" w:hAnsi="宋体"/>
                <w:b/>
                <w:color w:val="auto"/>
                <w:szCs w:val="24"/>
                <w:highlight w:val="yellow"/>
                <w:lang w:val="en-US" w:eastAsia="zh-CN"/>
              </w:rPr>
              <w:t>5%</w:t>
            </w:r>
            <w:r>
              <w:rPr>
                <w:rFonts w:hint="eastAsia" w:ascii="宋体" w:hAnsi="宋体"/>
                <w:b/>
                <w:color w:val="auto"/>
                <w:szCs w:val="24"/>
                <w:highlight w:val="yellow"/>
                <w:lang w:eastAsia="zh-CN"/>
              </w:rPr>
              <w:t>，</w:t>
            </w:r>
            <w:r>
              <w:rPr>
                <w:rFonts w:hint="eastAsia" w:ascii="宋体" w:hAnsi="宋体"/>
                <w:b/>
                <w:color w:val="auto"/>
                <w:szCs w:val="24"/>
                <w:highlight w:val="yellow"/>
              </w:rPr>
              <w:t>浙银理财将对本产品各投资周期结束并自动赎回的产品份额，根据投资者实际持有期限，计算投资年化收益率；对年化收益率高于</w:t>
            </w:r>
            <w:r>
              <w:rPr>
                <w:rFonts w:ascii="宋体" w:hAnsi="宋体"/>
                <w:b/>
                <w:color w:val="auto"/>
                <w:szCs w:val="24"/>
                <w:highlight w:val="yellow"/>
              </w:rPr>
              <w:t>5%的部分，</w:t>
            </w:r>
            <w:r>
              <w:rPr>
                <w:rFonts w:hint="eastAsia" w:ascii="宋体" w:hAnsi="宋体"/>
                <w:b/>
                <w:color w:val="auto"/>
                <w:szCs w:val="24"/>
                <w:highlight w:val="yellow"/>
              </w:rPr>
              <w:t>浙银理财将按照</w:t>
            </w:r>
            <w:r>
              <w:rPr>
                <w:rFonts w:ascii="宋体" w:hAnsi="宋体"/>
                <w:b/>
                <w:color w:val="auto"/>
                <w:szCs w:val="24"/>
                <w:highlight w:val="yellow"/>
              </w:rPr>
              <w:t>50%的比例一次性提取</w:t>
            </w:r>
            <w:r>
              <w:rPr>
                <w:rFonts w:hint="eastAsia" w:ascii="宋体" w:hAnsi="宋体"/>
                <w:b/>
                <w:color w:val="auto"/>
                <w:szCs w:val="24"/>
                <w:highlight w:val="yellow"/>
                <w:lang w:eastAsia="zh-CN"/>
              </w:rPr>
              <w:t>浮动管理费</w:t>
            </w:r>
            <w:r>
              <w:rPr>
                <w:rFonts w:ascii="宋体" w:hAnsi="宋体"/>
                <w:b/>
                <w:color w:val="auto"/>
                <w:szCs w:val="24"/>
                <w:highlight w:val="yellow"/>
              </w:rPr>
              <w:t>。</w:t>
            </w:r>
            <w:r>
              <w:rPr>
                <w:rFonts w:hint="eastAsia" w:ascii="宋体" w:hAnsi="宋体"/>
                <w:b/>
                <w:color w:val="auto"/>
                <w:szCs w:val="24"/>
                <w:highlight w:val="yellow"/>
                <w:lang w:eastAsia="zh-CN"/>
              </w:rPr>
              <w:t>】</w:t>
            </w:r>
          </w:p>
          <w:p w14:paraId="4C87901E">
            <w:pPr>
              <w:snapToGrid w:val="0"/>
              <w:jc w:val="left"/>
              <w:rPr>
                <w:rFonts w:ascii="宋体" w:hAnsi="宋体"/>
                <w:b/>
                <w:color w:val="auto"/>
                <w:szCs w:val="24"/>
                <w:highlight w:val="none"/>
              </w:rPr>
            </w:pP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计提基准的提示：</w:t>
            </w:r>
          </w:p>
          <w:p w14:paraId="58F0D5AA">
            <w:pPr>
              <w:snapToGrid w:val="0"/>
              <w:jc w:val="left"/>
              <w:rPr>
                <w:rFonts w:ascii="宋体" w:hAnsi="宋体"/>
                <w:b/>
                <w:color w:val="auto"/>
                <w:szCs w:val="24"/>
                <w:highlight w:val="none"/>
              </w:rPr>
            </w:pPr>
            <w:r>
              <w:rPr>
                <w:rFonts w:hint="eastAsia" w:ascii="宋体" w:hAnsi="宋体"/>
                <w:b/>
                <w:color w:val="auto"/>
                <w:szCs w:val="24"/>
                <w:highlight w:val="none"/>
              </w:rPr>
              <w:t>（1）</w:t>
            </w:r>
            <w:r>
              <w:rPr>
                <w:rFonts w:hint="eastAsia" w:ascii="宋体" w:hAnsi="宋体"/>
                <w:b/>
                <w:color w:val="auto"/>
                <w:szCs w:val="24"/>
                <w:highlight w:val="none"/>
                <w:lang w:eastAsia="zh-CN"/>
              </w:rPr>
              <w:t>浮动管理费计</w:t>
            </w:r>
            <w:r>
              <w:rPr>
                <w:rFonts w:hint="eastAsia" w:ascii="宋体" w:hAnsi="宋体"/>
                <w:b/>
                <w:color w:val="auto"/>
                <w:szCs w:val="24"/>
                <w:highlight w:val="none"/>
              </w:rPr>
              <w:t>提基准仅作为管理人计算</w:t>
            </w:r>
            <w:r>
              <w:rPr>
                <w:rFonts w:hint="eastAsia" w:ascii="宋体" w:hAnsi="宋体"/>
                <w:b/>
                <w:color w:val="auto"/>
                <w:szCs w:val="24"/>
                <w:highlight w:val="none"/>
                <w:lang w:eastAsia="zh-CN"/>
              </w:rPr>
              <w:t>浮动管理费</w:t>
            </w:r>
            <w:r>
              <w:rPr>
                <w:rFonts w:hint="eastAsia" w:ascii="宋体" w:hAnsi="宋体"/>
                <w:b/>
                <w:color w:val="auto"/>
                <w:szCs w:val="24"/>
                <w:highlight w:val="none"/>
              </w:rPr>
              <w:t>的参照标准。</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计提基准不是预期收益率，不代表产品的未来表现和实际收益，不构成对产品收益的承诺。</w:t>
            </w:r>
          </w:p>
          <w:p w14:paraId="7D076417">
            <w:pPr>
              <w:widowControl/>
              <w:spacing w:line="400" w:lineRule="exact"/>
              <w:jc w:val="left"/>
              <w:textAlignment w:val="center"/>
              <w:rPr>
                <w:rFonts w:hint="eastAsia" w:ascii="仿宋" w:hAnsi="仿宋" w:eastAsia="仿宋" w:cs="宋体"/>
                <w:bCs/>
                <w:color w:val="000000" w:themeColor="text1"/>
                <w:kern w:val="0"/>
                <w:sz w:val="24"/>
                <w:lang w:bidi="ar"/>
                <w14:textFill>
                  <w14:solidFill>
                    <w14:schemeClr w14:val="tx1"/>
                  </w14:solidFill>
                </w14:textFill>
              </w:rPr>
            </w:pPr>
            <w:r>
              <w:rPr>
                <w:rFonts w:hint="eastAsia" w:ascii="宋体" w:hAnsi="宋体"/>
                <w:b/>
                <w:color w:val="auto"/>
                <w:szCs w:val="24"/>
                <w:highlight w:val="none"/>
              </w:rPr>
              <w:t>（2）如果法律法规、</w:t>
            </w:r>
            <w:r>
              <w:rPr>
                <w:rFonts w:ascii="宋体" w:hAnsi="宋体"/>
                <w:b/>
                <w:color w:val="auto"/>
                <w:szCs w:val="24"/>
                <w:highlight w:val="none"/>
              </w:rPr>
              <w:t>国家政策</w:t>
            </w:r>
            <w:r>
              <w:rPr>
                <w:rFonts w:hint="eastAsia" w:ascii="宋体" w:hAnsi="宋体"/>
                <w:b/>
                <w:color w:val="auto"/>
                <w:szCs w:val="24"/>
                <w:highlight w:val="none"/>
              </w:rPr>
              <w:t>发生变化，或者有其他代表性更强、更科学客观的</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计提基准适用于本产品时，经产品管理人和产品托管人协商一致后，本产品可以调整</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计提基准并及时公告。</w:t>
            </w:r>
          </w:p>
        </w:tc>
      </w:tr>
      <w:tr w14:paraId="48FF7AF6">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93C15B5">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认购费率</w:t>
            </w:r>
          </w:p>
        </w:tc>
        <w:tc>
          <w:tcPr>
            <w:tcW w:w="6972" w:type="dxa"/>
            <w:tcBorders>
              <w:top w:val="single" w:color="auto" w:sz="4" w:space="0"/>
              <w:left w:val="single" w:color="auto" w:sz="4" w:space="0"/>
              <w:bottom w:val="single" w:color="auto" w:sz="4" w:space="0"/>
              <w:right w:val="single" w:color="auto" w:sz="4" w:space="0"/>
            </w:tcBorders>
            <w:vAlign w:val="center"/>
          </w:tcPr>
          <w:p w14:paraId="3C54C0CC">
            <w:pPr>
              <w:widowControl/>
              <w:spacing w:line="400" w:lineRule="exact"/>
              <w:jc w:val="left"/>
              <w:textAlignment w:val="center"/>
              <w:rPr>
                <w:rFonts w:hint="eastAsia" w:ascii="仿宋_GB2312" w:hAnsi="等线" w:eastAsia="仿宋_GB2312" w:cs="仿宋_GB2312"/>
                <w:bCs/>
                <w:color w:val="000000" w:themeColor="text1"/>
                <w:sz w:val="24"/>
                <w:lang w:val="en-US" w:eastAsia="zh-CN"/>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13CCF4C8">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EB4188B">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申购费率</w:t>
            </w:r>
          </w:p>
        </w:tc>
        <w:tc>
          <w:tcPr>
            <w:tcW w:w="6972" w:type="dxa"/>
            <w:tcBorders>
              <w:top w:val="single" w:color="auto" w:sz="4" w:space="0"/>
              <w:left w:val="single" w:color="auto" w:sz="4" w:space="0"/>
              <w:bottom w:val="single" w:color="auto" w:sz="4" w:space="0"/>
              <w:right w:val="single" w:color="auto" w:sz="4" w:space="0"/>
            </w:tcBorders>
            <w:vAlign w:val="center"/>
          </w:tcPr>
          <w:p w14:paraId="27403BDC">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37193BA4">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F2E5782">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赎回费率</w:t>
            </w:r>
          </w:p>
        </w:tc>
        <w:tc>
          <w:tcPr>
            <w:tcW w:w="6972" w:type="dxa"/>
            <w:tcBorders>
              <w:top w:val="single" w:color="auto" w:sz="4" w:space="0"/>
              <w:left w:val="single" w:color="auto" w:sz="4" w:space="0"/>
              <w:bottom w:val="single" w:color="auto" w:sz="4" w:space="0"/>
              <w:right w:val="single" w:color="auto" w:sz="4" w:space="0"/>
            </w:tcBorders>
            <w:vAlign w:val="center"/>
          </w:tcPr>
          <w:p w14:paraId="28091093">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052EC7D5">
        <w:tblPrEx>
          <w:tblCellMar>
            <w:top w:w="0" w:type="dxa"/>
            <w:left w:w="108" w:type="dxa"/>
            <w:bottom w:w="0" w:type="dxa"/>
            <w:right w:w="108" w:type="dxa"/>
          </w:tblCellMar>
        </w:tblPrEx>
        <w:trPr>
          <w:trHeight w:val="830" w:hRule="atLeast"/>
        </w:trPr>
        <w:tc>
          <w:tcPr>
            <w:tcW w:w="2453" w:type="dxa"/>
            <w:tcBorders>
              <w:top w:val="single" w:color="auto" w:sz="4" w:space="0"/>
              <w:left w:val="single" w:color="auto" w:sz="4" w:space="0"/>
              <w:bottom w:val="single" w:color="auto" w:sz="4" w:space="0"/>
              <w:right w:val="single" w:color="auto" w:sz="4" w:space="0"/>
            </w:tcBorders>
            <w:vAlign w:val="center"/>
          </w:tcPr>
          <w:p w14:paraId="13017C48">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其他费用说明</w:t>
            </w:r>
          </w:p>
        </w:tc>
        <w:tc>
          <w:tcPr>
            <w:tcW w:w="6972" w:type="dxa"/>
            <w:tcBorders>
              <w:top w:val="single" w:color="auto" w:sz="4" w:space="0"/>
              <w:left w:val="single" w:color="auto" w:sz="4" w:space="0"/>
              <w:bottom w:val="single" w:color="auto" w:sz="4" w:space="0"/>
              <w:right w:val="single" w:color="auto" w:sz="4" w:space="0"/>
            </w:tcBorders>
            <w:vAlign w:val="center"/>
          </w:tcPr>
          <w:p w14:paraId="69FE9650">
            <w:pPr>
              <w:widowControl/>
              <w:spacing w:line="400" w:lineRule="exact"/>
              <w:jc w:val="left"/>
              <w:textAlignment w:val="center"/>
              <w:rPr>
                <w:rFonts w:hint="eastAsia" w:ascii="宋体" w:hAnsi="宋体"/>
                <w:color w:val="auto"/>
                <w:szCs w:val="24"/>
                <w:highlight w:val="none"/>
                <w:u w:val="none"/>
              </w:rPr>
            </w:pPr>
            <w:r>
              <w:rPr>
                <w:rFonts w:hint="eastAsia" w:ascii="宋体" w:hAnsi="宋体"/>
                <w:color w:val="auto"/>
                <w:szCs w:val="24"/>
                <w:highlight w:val="none"/>
                <w:u w:val="none"/>
              </w:rPr>
              <w:t>产品管理人保留调整上述理财产品收取费率标准的权利。以上费用精确到小数点后2位，小数点2位以后四舍五入。</w:t>
            </w:r>
          </w:p>
          <w:p w14:paraId="17603610">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b/>
                <w:bCs/>
                <w:color w:val="auto"/>
                <w:szCs w:val="24"/>
                <w:highlight w:val="none"/>
                <w:u w:val="none"/>
                <w:lang w:eastAsia="zh-CN"/>
              </w:rPr>
              <w:t>其他费用说明</w:t>
            </w:r>
            <w:r>
              <w:rPr>
                <w:rFonts w:hint="eastAsia" w:ascii="宋体" w:hAnsi="宋体"/>
                <w:b/>
                <w:bCs/>
                <w:color w:val="auto"/>
                <w:szCs w:val="24"/>
                <w:highlight w:val="none"/>
                <w:u w:val="none"/>
              </w:rPr>
              <w:t>详见</w:t>
            </w:r>
            <w:r>
              <w:rPr>
                <w:rFonts w:ascii="宋体" w:hAnsi="宋体"/>
                <w:b/>
                <w:bCs/>
                <w:color w:val="auto"/>
                <w:szCs w:val="24"/>
                <w:highlight w:val="none"/>
                <w:u w:val="none"/>
              </w:rPr>
              <w:t>第</w:t>
            </w:r>
            <w:r>
              <w:rPr>
                <w:rFonts w:hint="eastAsia" w:ascii="宋体" w:hAnsi="宋体"/>
                <w:b/>
                <w:bCs/>
                <w:color w:val="auto"/>
                <w:szCs w:val="24"/>
                <w:highlight w:val="none"/>
                <w:u w:val="none"/>
                <w:lang w:eastAsia="zh-CN"/>
              </w:rPr>
              <w:t>十一</w:t>
            </w:r>
            <w:r>
              <w:rPr>
                <w:rFonts w:ascii="宋体" w:hAnsi="宋体"/>
                <w:b/>
                <w:bCs/>
                <w:color w:val="auto"/>
                <w:szCs w:val="24"/>
                <w:highlight w:val="none"/>
                <w:u w:val="none"/>
              </w:rPr>
              <w:t>节</w:t>
            </w:r>
            <w:r>
              <w:rPr>
                <w:rFonts w:hint="eastAsia" w:ascii="宋体" w:hAnsi="宋体"/>
                <w:b/>
                <w:bCs/>
                <w:color w:val="auto"/>
                <w:szCs w:val="24"/>
                <w:highlight w:val="none"/>
                <w:u w:val="none"/>
              </w:rPr>
              <w:t xml:space="preserve"> “理财</w:t>
            </w:r>
            <w:r>
              <w:rPr>
                <w:rFonts w:ascii="宋体" w:hAnsi="宋体"/>
                <w:b/>
                <w:bCs/>
                <w:color w:val="auto"/>
                <w:szCs w:val="24"/>
                <w:highlight w:val="none"/>
                <w:u w:val="none"/>
              </w:rPr>
              <w:t>产品</w:t>
            </w:r>
            <w:r>
              <w:rPr>
                <w:rFonts w:hint="eastAsia" w:ascii="宋体" w:hAnsi="宋体"/>
                <w:b/>
                <w:bCs/>
                <w:color w:val="auto"/>
                <w:szCs w:val="24"/>
                <w:highlight w:val="none"/>
                <w:u w:val="none"/>
                <w:lang w:eastAsia="zh-CN"/>
              </w:rPr>
              <w:t>的</w:t>
            </w:r>
            <w:r>
              <w:rPr>
                <w:rFonts w:ascii="宋体" w:hAnsi="宋体"/>
                <w:b/>
                <w:bCs/>
                <w:color w:val="auto"/>
                <w:szCs w:val="24"/>
                <w:highlight w:val="none"/>
                <w:u w:val="none"/>
              </w:rPr>
              <w:t>费用与税收”</w:t>
            </w:r>
            <w:r>
              <w:rPr>
                <w:rFonts w:hint="eastAsia" w:ascii="宋体" w:hAnsi="宋体"/>
                <w:b/>
                <w:bCs/>
                <w:color w:val="auto"/>
                <w:szCs w:val="24"/>
                <w:highlight w:val="none"/>
                <w:u w:val="none"/>
              </w:rPr>
              <w:t>。</w:t>
            </w:r>
          </w:p>
        </w:tc>
      </w:tr>
      <w:tr w14:paraId="01316E1A">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2E50F0F9">
            <w:pPr>
              <w:widowControl/>
              <w:spacing w:line="400" w:lineRule="exact"/>
              <w:jc w:val="center"/>
              <w:textAlignment w:val="center"/>
              <w:rPr>
                <w:rFonts w:hint="eastAsia" w:ascii="楷体_GB2312" w:hAnsi="等线" w:eastAsia="楷体_GB2312" w:cs="楷体_GB2312"/>
                <w:b/>
                <w:bCs/>
                <w:color w:val="000000" w:themeColor="text1"/>
                <w:sz w:val="24"/>
                <w14:textFill>
                  <w14:solidFill>
                    <w14:schemeClr w14:val="tx1"/>
                  </w14:solidFill>
                </w14:textFill>
              </w:rPr>
            </w:pPr>
            <w:r>
              <w:rPr>
                <w:rFonts w:hint="eastAsia" w:ascii="楷体_GB2312" w:hAnsi="等线" w:eastAsia="楷体_GB2312" w:cs="楷体_GB2312"/>
                <w:b/>
                <w:bCs/>
                <w:color w:val="000000" w:themeColor="text1"/>
                <w:kern w:val="0"/>
                <w:sz w:val="24"/>
                <w:lang w:bidi="ar"/>
                <w14:textFill>
                  <w14:solidFill>
                    <w14:schemeClr w14:val="tx1"/>
                  </w14:solidFill>
                </w14:textFill>
              </w:rPr>
              <w:t>（六）业绩比较基准</w:t>
            </w:r>
          </w:p>
        </w:tc>
      </w:tr>
      <w:tr w14:paraId="13D09712">
        <w:tblPrEx>
          <w:tblCellMar>
            <w:top w:w="0" w:type="dxa"/>
            <w:left w:w="108" w:type="dxa"/>
            <w:bottom w:w="0" w:type="dxa"/>
            <w:right w:w="108" w:type="dxa"/>
          </w:tblCellMar>
        </w:tblPrEx>
        <w:trPr>
          <w:trHeight w:val="1180" w:hRule="atLeast"/>
        </w:trPr>
        <w:tc>
          <w:tcPr>
            <w:tcW w:w="2453" w:type="dxa"/>
            <w:tcBorders>
              <w:top w:val="single" w:color="auto" w:sz="4" w:space="0"/>
              <w:left w:val="single" w:color="auto" w:sz="4" w:space="0"/>
              <w:bottom w:val="single" w:color="auto" w:sz="4" w:space="0"/>
              <w:right w:val="single" w:color="auto" w:sz="4" w:space="0"/>
            </w:tcBorders>
            <w:vAlign w:val="center"/>
          </w:tcPr>
          <w:p w14:paraId="7C5B375A">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业绩比较基准</w:t>
            </w:r>
          </w:p>
        </w:tc>
        <w:tc>
          <w:tcPr>
            <w:tcW w:w="6972" w:type="dxa"/>
            <w:tcBorders>
              <w:top w:val="single" w:color="auto" w:sz="4" w:space="0"/>
              <w:left w:val="single" w:color="auto" w:sz="4" w:space="0"/>
              <w:bottom w:val="single" w:color="auto" w:sz="4" w:space="0"/>
              <w:right w:val="single" w:color="auto" w:sz="4" w:space="0"/>
            </w:tcBorders>
            <w:vAlign w:val="center"/>
          </w:tcPr>
          <w:p w14:paraId="04BF9AD7">
            <w:pPr>
              <w:widowControl/>
              <w:spacing w:line="400" w:lineRule="exact"/>
              <w:jc w:val="left"/>
              <w:textAlignment w:val="center"/>
              <w:rPr>
                <w:rFonts w:hint="eastAsia" w:ascii="宋体" w:hAnsi="宋体"/>
                <w:b/>
                <w:color w:val="auto"/>
                <w:szCs w:val="24"/>
                <w:highlight w:val="none"/>
                <w:u w:val="none"/>
              </w:rPr>
            </w:pPr>
            <w:r>
              <w:rPr>
                <w:rFonts w:hint="eastAsia" w:ascii="宋体" w:hAnsi="宋体"/>
                <w:b/>
                <w:color w:val="auto"/>
                <w:szCs w:val="24"/>
                <w:highlight w:val="none"/>
                <w:u w:val="none"/>
              </w:rPr>
              <w:t>业绩比较基准设置</w:t>
            </w:r>
          </w:p>
          <w:p w14:paraId="27B92ED3">
            <w:pPr>
              <w:widowControl/>
              <w:spacing w:line="400" w:lineRule="exact"/>
              <w:jc w:val="left"/>
              <w:textAlignment w:val="center"/>
              <w:rPr>
                <w:rFonts w:ascii="宋体" w:hAnsi="宋体"/>
                <w:b/>
                <w:color w:val="auto"/>
                <w:szCs w:val="24"/>
                <w:highlight w:val="none"/>
                <w:u w:val="none"/>
              </w:rPr>
            </w:pPr>
            <w:r>
              <w:rPr>
                <w:rFonts w:hint="eastAsia" w:ascii="宋体" w:hAnsi="宋体" w:cstheme="minorBidi"/>
                <w:bCs w:val="0"/>
                <w:color w:val="auto"/>
                <w:kern w:val="2"/>
                <w:sz w:val="24"/>
                <w:szCs w:val="24"/>
                <w:highlight w:val="yellow"/>
                <w:u w:val="none"/>
                <w:lang w:eastAsia="zh-CN" w:bidi="ar"/>
              </w:rPr>
              <w:t>【</w:t>
            </w:r>
            <w:r>
              <w:rPr>
                <w:rFonts w:hint="eastAsia" w:ascii="宋体" w:hAnsi="宋体"/>
                <w:b/>
                <w:color w:val="auto"/>
                <w:szCs w:val="24"/>
                <w:highlight w:val="yellow"/>
                <w:u w:val="none"/>
              </w:rPr>
              <w:t>■ 设置业绩比较基准。</w:t>
            </w:r>
          </w:p>
          <w:p w14:paraId="71079550">
            <w:pPr>
              <w:widowControl/>
              <w:spacing w:line="400" w:lineRule="exact"/>
              <w:jc w:val="left"/>
              <w:textAlignment w:val="center"/>
              <w:rPr>
                <w:rFonts w:hint="eastAsia" w:ascii="宋体" w:hAnsi="宋体"/>
                <w:b/>
                <w:color w:val="auto"/>
                <w:szCs w:val="24"/>
                <w:highlight w:val="none"/>
                <w:u w:val="none"/>
                <w:lang w:eastAsia="zh-CN"/>
              </w:rPr>
            </w:pPr>
          </w:p>
          <w:p w14:paraId="45B982E6">
            <w:pPr>
              <w:widowControl/>
              <w:spacing w:line="400" w:lineRule="exact"/>
              <w:jc w:val="left"/>
              <w:textAlignment w:val="center"/>
              <w:rPr>
                <w:rFonts w:hint="eastAsia" w:ascii="宋体" w:hAnsi="宋体"/>
                <w:b/>
                <w:color w:val="auto"/>
                <w:szCs w:val="24"/>
                <w:highlight w:val="none"/>
                <w:u w:val="none"/>
                <w:lang w:eastAsia="zh-CN"/>
              </w:rPr>
            </w:pPr>
            <w:r>
              <w:rPr>
                <w:rFonts w:hint="eastAsia" w:ascii="宋体" w:hAnsi="宋体"/>
                <w:b/>
                <w:color w:val="auto"/>
                <w:szCs w:val="24"/>
                <w:highlight w:val="none"/>
                <w:u w:val="none"/>
              </w:rPr>
              <w:t>□</w:t>
            </w:r>
            <w:r>
              <w:rPr>
                <w:rFonts w:hint="eastAsia" w:ascii="宋体" w:hAnsi="宋体"/>
                <w:b/>
                <w:color w:val="auto"/>
                <w:szCs w:val="24"/>
                <w:highlight w:val="yellow"/>
                <w:u w:val="none"/>
              </w:rPr>
              <w:t xml:space="preserve"> </w:t>
            </w:r>
            <w:r>
              <w:rPr>
                <w:rFonts w:hint="eastAsia" w:ascii="宋体" w:hAnsi="宋体"/>
                <w:b/>
                <w:color w:val="auto"/>
                <w:szCs w:val="24"/>
                <w:highlight w:val="yellow"/>
                <w:u w:val="none"/>
                <w:lang w:eastAsia="zh-CN"/>
              </w:rPr>
              <w:t>无</w:t>
            </w:r>
            <w:r>
              <w:rPr>
                <w:rFonts w:hint="eastAsia" w:ascii="宋体" w:hAnsi="宋体"/>
                <w:b/>
                <w:color w:val="auto"/>
                <w:szCs w:val="24"/>
                <w:highlight w:val="yellow"/>
                <w:u w:val="none"/>
              </w:rPr>
              <w:t>业绩比较基准。</w:t>
            </w:r>
            <w:r>
              <w:rPr>
                <w:rFonts w:hint="eastAsia" w:ascii="宋体" w:hAnsi="宋体" w:cstheme="minorBidi"/>
                <w:bCs w:val="0"/>
                <w:color w:val="auto"/>
                <w:kern w:val="2"/>
                <w:sz w:val="24"/>
                <w:szCs w:val="24"/>
                <w:highlight w:val="yellow"/>
                <w:u w:val="none"/>
                <w:lang w:eastAsia="zh-CN" w:bidi="ar"/>
              </w:rPr>
              <w:t>】</w:t>
            </w:r>
          </w:p>
          <w:p w14:paraId="4F102A18">
            <w:pPr>
              <w:widowControl/>
              <w:spacing w:line="400" w:lineRule="exact"/>
              <w:jc w:val="left"/>
              <w:textAlignment w:val="center"/>
              <w:rPr>
                <w:rFonts w:hint="eastAsia" w:ascii="宋体" w:hAnsi="宋体"/>
                <w:b/>
                <w:color w:val="auto"/>
                <w:szCs w:val="24"/>
                <w:highlight w:val="none"/>
                <w:u w:val="none"/>
                <w:lang w:eastAsia="zh-CN"/>
              </w:rPr>
            </w:pPr>
            <w:r>
              <w:rPr>
                <w:rFonts w:hint="eastAsia" w:ascii="宋体" w:hAnsi="宋体"/>
                <w:b/>
                <w:color w:val="auto"/>
                <w:szCs w:val="24"/>
                <w:highlight w:val="none"/>
                <w:u w:val="none"/>
              </w:rPr>
              <w:t>2</w:t>
            </w:r>
            <w:r>
              <w:rPr>
                <w:rFonts w:ascii="宋体" w:hAnsi="宋体"/>
                <w:b/>
                <w:color w:val="auto"/>
                <w:szCs w:val="24"/>
                <w:highlight w:val="none"/>
                <w:u w:val="none"/>
              </w:rPr>
              <w:t>.</w:t>
            </w:r>
            <w:r>
              <w:rPr>
                <w:rFonts w:hint="eastAsia" w:ascii="宋体" w:hAnsi="宋体"/>
                <w:b/>
                <w:color w:val="auto"/>
                <w:szCs w:val="24"/>
                <w:highlight w:val="none"/>
                <w:u w:val="none"/>
              </w:rPr>
              <w:t>业绩</w:t>
            </w:r>
            <w:r>
              <w:rPr>
                <w:rFonts w:ascii="宋体" w:hAnsi="宋体"/>
                <w:b/>
                <w:color w:val="auto"/>
                <w:szCs w:val="24"/>
                <w:highlight w:val="none"/>
                <w:u w:val="none"/>
              </w:rPr>
              <w:t>比较基准</w:t>
            </w:r>
            <w:r>
              <w:rPr>
                <w:rFonts w:hint="eastAsia" w:ascii="宋体" w:hAnsi="宋体"/>
                <w:b/>
                <w:color w:val="auto"/>
                <w:szCs w:val="24"/>
                <w:highlight w:val="none"/>
                <w:u w:val="none"/>
              </w:rPr>
              <w:t>提示</w:t>
            </w:r>
          </w:p>
          <w:p w14:paraId="7A99336F">
            <w:pPr>
              <w:widowControl/>
              <w:spacing w:line="400" w:lineRule="exact"/>
              <w:jc w:val="left"/>
              <w:textAlignment w:val="center"/>
              <w:rPr>
                <w:rFonts w:ascii="宋体" w:hAnsi="宋体"/>
                <w:b/>
                <w:color w:val="auto"/>
                <w:szCs w:val="24"/>
                <w:highlight w:val="none"/>
                <w:u w:val="none"/>
              </w:rPr>
            </w:pPr>
            <w:r>
              <w:rPr>
                <w:rFonts w:hint="eastAsia" w:ascii="宋体" w:hAnsi="宋体"/>
                <w:b/>
                <w:color w:val="auto"/>
                <w:szCs w:val="24"/>
                <w:highlight w:val="none"/>
                <w:u w:val="none"/>
              </w:rPr>
              <w:t>本理财产品为净值型产品，业绩表现将随市场波动，具有不确定性。业绩比较基准是管理人基于投资范围内各类资产的收益率水平、投资比例、市场情况等因素进行静态测算和情景分析所得出和设定的投资目标。</w:t>
            </w:r>
          </w:p>
          <w:p w14:paraId="09C58456">
            <w:pPr>
              <w:widowControl/>
              <w:snapToGrid/>
              <w:spacing w:line="400" w:lineRule="exact"/>
              <w:jc w:val="left"/>
              <w:textAlignment w:val="center"/>
              <w:rPr>
                <w:rFonts w:ascii="宋体" w:hAnsi="宋体"/>
                <w:b/>
                <w:bCs/>
                <w:color w:val="auto"/>
                <w:szCs w:val="24"/>
                <w:highlight w:val="none"/>
                <w:u w:val="none"/>
              </w:rPr>
            </w:pPr>
            <w:r>
              <w:rPr>
                <w:rFonts w:hint="eastAsia" w:asciiTheme="minorEastAsia" w:hAnsiTheme="minorEastAsia"/>
                <w:color w:val="auto"/>
                <w:kern w:val="0"/>
                <w:szCs w:val="24"/>
                <w:highlight w:val="none"/>
                <w:u w:val="none"/>
              </w:rPr>
              <w:t>本理财产品</w:t>
            </w:r>
            <w:r>
              <w:rPr>
                <w:rFonts w:hint="eastAsia" w:asciiTheme="minorEastAsia" w:hAnsiTheme="minorEastAsia"/>
                <w:color w:val="auto"/>
                <w:kern w:val="0"/>
                <w:szCs w:val="24"/>
                <w:highlight w:val="yellow"/>
                <w:u w:val="none"/>
                <w:lang w:eastAsia="zh-CN"/>
              </w:rPr>
              <w:t>【</w:t>
            </w:r>
            <w:r>
              <w:rPr>
                <w:rFonts w:hint="eastAsia" w:ascii="宋体" w:hAnsi="宋体"/>
                <w:b/>
                <w:color w:val="auto"/>
                <w:szCs w:val="24"/>
                <w:highlight w:val="yellow"/>
                <w:u w:val="none"/>
              </w:rPr>
              <w:t>投向债权类资产投资比例不低于80%，投向权益类资产、商品及金融衍生品类资产不高于20%。</w:t>
            </w:r>
            <w:r>
              <w:rPr>
                <w:rFonts w:hint="eastAsia" w:ascii="仿宋_GB2312" w:hAnsi="宋体" w:cs="宋体"/>
                <w:bCs/>
                <w:color w:val="auto"/>
                <w:kern w:val="0"/>
                <w:szCs w:val="24"/>
                <w:highlight w:val="yellow"/>
                <w:u w:val="none"/>
              </w:rPr>
              <w:t>本理财</w:t>
            </w:r>
            <w:r>
              <w:rPr>
                <w:rFonts w:ascii="仿宋_GB2312" w:hAnsi="宋体" w:cs="宋体"/>
                <w:bCs/>
                <w:color w:val="auto"/>
                <w:kern w:val="0"/>
                <w:szCs w:val="24"/>
                <w:highlight w:val="yellow"/>
                <w:u w:val="none"/>
              </w:rPr>
              <w:t>产品在投资</w:t>
            </w:r>
            <w:r>
              <w:rPr>
                <w:rFonts w:hint="eastAsia" w:ascii="仿宋_GB2312" w:hAnsi="宋体" w:cs="宋体"/>
                <w:bCs/>
                <w:color w:val="auto"/>
                <w:kern w:val="0"/>
                <w:szCs w:val="24"/>
                <w:highlight w:val="yellow"/>
                <w:u w:val="none"/>
              </w:rPr>
              <w:t>于</w:t>
            </w:r>
            <w:r>
              <w:rPr>
                <w:rFonts w:ascii="仿宋_GB2312" w:hAnsi="宋体" w:cs="宋体"/>
                <w:bCs/>
                <w:color w:val="auto"/>
                <w:kern w:val="0"/>
                <w:szCs w:val="24"/>
                <w:highlight w:val="yellow"/>
                <w:u w:val="none"/>
              </w:rPr>
              <w:t>商品及金融衍生品类资产之前，管理人应获得相应的业务经营范围或投资交易资格</w:t>
            </w:r>
            <w:r>
              <w:rPr>
                <w:rFonts w:hint="eastAsia" w:ascii="仿宋_GB2312" w:hAnsi="宋体" w:cs="宋体"/>
                <w:bCs/>
                <w:color w:val="auto"/>
                <w:kern w:val="0"/>
                <w:szCs w:val="24"/>
                <w:highlight w:val="yellow"/>
                <w:u w:val="none"/>
                <w:lang w:eastAsia="zh-CN"/>
              </w:rPr>
              <w:t>】</w:t>
            </w:r>
            <w:r>
              <w:rPr>
                <w:rFonts w:hint="eastAsia" w:ascii="宋体" w:hAnsi="宋体"/>
                <w:b/>
                <w:bCs/>
                <w:color w:val="auto"/>
                <w:szCs w:val="24"/>
                <w:highlight w:val="none"/>
                <w:u w:val="none"/>
              </w:rPr>
              <w:t>，管理人根据拟投资资产种类、配置比例、运作策略等因素，结合宏观经济情况和市场趋势的预判分析，综合测算、确定本理财产品的业绩比较基准。</w:t>
            </w:r>
          </w:p>
          <w:p w14:paraId="54E90555">
            <w:pPr>
              <w:widowControl/>
              <w:snapToGrid/>
              <w:spacing w:line="400" w:lineRule="exact"/>
              <w:jc w:val="left"/>
              <w:textAlignment w:val="center"/>
              <w:rPr>
                <w:rFonts w:asciiTheme="minorEastAsia" w:hAnsiTheme="minorEastAsia" w:cstheme="minorEastAsia"/>
                <w:b/>
                <w:color w:val="auto"/>
                <w:highlight w:val="none"/>
                <w:u w:val="none"/>
              </w:rPr>
            </w:pPr>
            <w:r>
              <w:rPr>
                <w:rFonts w:hint="eastAsia" w:asciiTheme="minorEastAsia" w:hAnsiTheme="minorEastAsia" w:cstheme="minorEastAsia"/>
                <w:b/>
                <w:color w:val="auto"/>
                <w:highlight w:val="none"/>
                <w:u w:val="none"/>
              </w:rPr>
              <w:t>业绩比较基准不是预期收益率，不代表产品的未来表现和实际收益，仅作为业绩参考和</w:t>
            </w:r>
            <w:r>
              <w:rPr>
                <w:rFonts w:asciiTheme="minorEastAsia" w:hAnsiTheme="minorEastAsia" w:cstheme="minorEastAsia"/>
                <w:b/>
                <w:color w:val="auto"/>
                <w:highlight w:val="none"/>
                <w:u w:val="none"/>
              </w:rPr>
              <w:t>计算</w:t>
            </w:r>
            <w:r>
              <w:rPr>
                <w:rFonts w:hint="eastAsia" w:asciiTheme="minorEastAsia" w:hAnsiTheme="minorEastAsia" w:cstheme="minorEastAsia"/>
                <w:b/>
                <w:color w:val="auto"/>
                <w:highlight w:val="none"/>
                <w:u w:val="none"/>
                <w:lang w:eastAsia="zh-CN"/>
              </w:rPr>
              <w:t>浮动管理费</w:t>
            </w:r>
            <w:r>
              <w:rPr>
                <w:rFonts w:hint="eastAsia" w:asciiTheme="minorEastAsia" w:hAnsiTheme="minorEastAsia" w:cstheme="minorEastAsia"/>
                <w:b/>
                <w:color w:val="auto"/>
                <w:highlight w:val="none"/>
                <w:u w:val="none"/>
              </w:rPr>
              <w:t>（如有）的依据，不构成对该理财产品的任何收益承诺，投资者能获得的最终收益以实际支付为准。</w:t>
            </w:r>
          </w:p>
          <w:p w14:paraId="00CC7891">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Theme="minorEastAsia" w:hAnsiTheme="minorEastAsia" w:cstheme="minorEastAsia"/>
                <w:b/>
                <w:color w:val="auto"/>
                <w:highlight w:val="none"/>
                <w:u w:val="none"/>
              </w:rPr>
              <w:t>理财产品存续期内，管理人有权根据市场情况对业绩比较基准进行调整，该调整将通过本《产品说明书》之“信息披露”约定的方式进行信息披露，如未披露调整，以最新披露的业绩比较基准为准。</w:t>
            </w:r>
          </w:p>
        </w:tc>
      </w:tr>
      <w:tr w14:paraId="6580E6B4">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11297163">
            <w:pPr>
              <w:widowControl/>
              <w:spacing w:line="400" w:lineRule="exact"/>
              <w:jc w:val="center"/>
              <w:textAlignment w:val="center"/>
              <w:rPr>
                <w:rFonts w:hint="eastAsia" w:ascii="楷体_GB2312" w:hAnsi="等线" w:eastAsia="楷体_GB2312" w:cs="楷体_GB2312"/>
                <w:bCs/>
                <w:color w:val="000000" w:themeColor="text1"/>
                <w:sz w:val="24"/>
                <w14:textFill>
                  <w14:solidFill>
                    <w14:schemeClr w14:val="tx1"/>
                  </w14:solidFill>
                </w14:textFill>
              </w:rPr>
            </w:pPr>
            <w:r>
              <w:rPr>
                <w:rFonts w:hint="eastAsia" w:ascii="楷体_GB2312" w:hAnsi="等线" w:eastAsia="楷体_GB2312" w:cs="楷体_GB2312"/>
                <w:b/>
                <w:color w:val="000000" w:themeColor="text1"/>
                <w:kern w:val="0"/>
                <w:sz w:val="24"/>
                <w:lang w:bidi="ar"/>
                <w14:textFill>
                  <w14:solidFill>
                    <w14:schemeClr w14:val="tx1"/>
                  </w14:solidFill>
                </w14:textFill>
              </w:rPr>
              <w:t>（七）投资范围与策略</w:t>
            </w:r>
          </w:p>
        </w:tc>
      </w:tr>
      <w:tr w14:paraId="7D331489">
        <w:tblPrEx>
          <w:tblCellMar>
            <w:top w:w="0" w:type="dxa"/>
            <w:left w:w="108" w:type="dxa"/>
            <w:bottom w:w="0" w:type="dxa"/>
            <w:right w:w="108" w:type="dxa"/>
          </w:tblCellMar>
        </w:tblPrEx>
        <w:trPr>
          <w:trHeight w:val="1110" w:hRule="atLeast"/>
        </w:trPr>
        <w:tc>
          <w:tcPr>
            <w:tcW w:w="2453" w:type="dxa"/>
            <w:tcBorders>
              <w:top w:val="single" w:color="auto" w:sz="4" w:space="0"/>
              <w:left w:val="single" w:color="auto" w:sz="4" w:space="0"/>
              <w:bottom w:val="single" w:color="auto" w:sz="4" w:space="0"/>
              <w:right w:val="single" w:color="auto" w:sz="4" w:space="0"/>
            </w:tcBorders>
            <w:vAlign w:val="center"/>
          </w:tcPr>
          <w:p w14:paraId="21F329FD">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投资范围</w:t>
            </w:r>
          </w:p>
        </w:tc>
        <w:tc>
          <w:tcPr>
            <w:tcW w:w="6972" w:type="dxa"/>
            <w:tcBorders>
              <w:top w:val="single" w:color="auto" w:sz="4" w:space="0"/>
              <w:left w:val="single" w:color="auto" w:sz="4" w:space="0"/>
              <w:bottom w:val="single" w:color="auto" w:sz="4" w:space="0"/>
              <w:right w:val="single" w:color="auto" w:sz="4" w:space="0"/>
            </w:tcBorders>
            <w:vAlign w:val="center"/>
          </w:tcPr>
          <w:p w14:paraId="4396F0F0">
            <w:pPr>
              <w:widowControl/>
              <w:tabs>
                <w:tab w:val="left" w:pos="3119"/>
              </w:tabs>
              <w:autoSpaceDE w:val="0"/>
              <w:autoSpaceDN w:val="0"/>
              <w:spacing w:line="360" w:lineRule="auto"/>
              <w:ind w:right="31" w:rightChars="15"/>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77B12F5F">
        <w:tblPrEx>
          <w:tblCellMar>
            <w:top w:w="0" w:type="dxa"/>
            <w:left w:w="108" w:type="dxa"/>
            <w:bottom w:w="0" w:type="dxa"/>
            <w:right w:w="108" w:type="dxa"/>
          </w:tblCellMar>
        </w:tblPrEx>
        <w:trPr>
          <w:trHeight w:val="780" w:hRule="atLeast"/>
        </w:trPr>
        <w:tc>
          <w:tcPr>
            <w:tcW w:w="2453" w:type="dxa"/>
            <w:tcBorders>
              <w:top w:val="single" w:color="auto" w:sz="4" w:space="0"/>
              <w:left w:val="single" w:color="auto" w:sz="4" w:space="0"/>
              <w:bottom w:val="single" w:color="auto" w:sz="4" w:space="0"/>
              <w:right w:val="single" w:color="auto" w:sz="4" w:space="0"/>
            </w:tcBorders>
            <w:vAlign w:val="center"/>
          </w:tcPr>
          <w:p w14:paraId="32D02CEA">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投资策略</w:t>
            </w:r>
          </w:p>
        </w:tc>
        <w:tc>
          <w:tcPr>
            <w:tcW w:w="6972" w:type="dxa"/>
            <w:tcBorders>
              <w:top w:val="single" w:color="auto" w:sz="4" w:space="0"/>
              <w:left w:val="single" w:color="auto" w:sz="4" w:space="0"/>
              <w:bottom w:val="single" w:color="auto" w:sz="4" w:space="0"/>
              <w:right w:val="single" w:color="auto" w:sz="4" w:space="0"/>
            </w:tcBorders>
            <w:vAlign w:val="center"/>
          </w:tcPr>
          <w:p w14:paraId="3CE68DB4">
            <w:pPr>
              <w:widowControl/>
              <w:tabs>
                <w:tab w:val="left" w:pos="3119"/>
              </w:tabs>
              <w:autoSpaceDE w:val="0"/>
              <w:autoSpaceDN w:val="0"/>
              <w:adjustRightInd w:val="0"/>
              <w:snapToGrid w:val="0"/>
              <w:spacing w:line="360" w:lineRule="auto"/>
              <w:ind w:firstLine="0" w:firstLineChars="0"/>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3EB40ABC">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0072D222">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债权</w:t>
            </w:r>
            <w:r>
              <w:rPr>
                <w:rFonts w:hint="eastAsia" w:ascii="仿宋_GB2312" w:hAnsi="等线" w:eastAsia="仿宋_GB2312" w:cs="仿宋_GB2312"/>
                <w:color w:val="000000" w:themeColor="text1"/>
                <w:kern w:val="0"/>
                <w:sz w:val="24"/>
                <w:lang w:bidi="ar"/>
                <w14:textFill>
                  <w14:solidFill>
                    <w14:schemeClr w14:val="tx1"/>
                  </w14:solidFill>
                </w14:textFill>
              </w:rPr>
              <w:t>类资产投资上限</w:t>
            </w:r>
          </w:p>
        </w:tc>
        <w:tc>
          <w:tcPr>
            <w:tcW w:w="6972" w:type="dxa"/>
            <w:tcBorders>
              <w:top w:val="single" w:color="auto" w:sz="4" w:space="0"/>
              <w:left w:val="single" w:color="auto" w:sz="4" w:space="0"/>
              <w:bottom w:val="single" w:color="auto" w:sz="4" w:space="0"/>
              <w:right w:val="single" w:color="auto" w:sz="4" w:space="0"/>
            </w:tcBorders>
            <w:vAlign w:val="center"/>
          </w:tcPr>
          <w:p w14:paraId="7533BCBD">
            <w:pPr>
              <w:widowControl/>
              <w:spacing w:line="56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655AC22A">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74BE1C31">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债权</w:t>
            </w:r>
            <w:r>
              <w:rPr>
                <w:rFonts w:hint="eastAsia" w:ascii="仿宋_GB2312" w:hAnsi="等线" w:eastAsia="仿宋_GB2312" w:cs="仿宋_GB2312"/>
                <w:color w:val="000000" w:themeColor="text1"/>
                <w:kern w:val="0"/>
                <w:sz w:val="24"/>
                <w:lang w:bidi="ar"/>
                <w14:textFill>
                  <w14:solidFill>
                    <w14:schemeClr w14:val="tx1"/>
                  </w14:solidFill>
                </w14:textFill>
              </w:rPr>
              <w:t>类资产投资下限</w:t>
            </w:r>
          </w:p>
        </w:tc>
        <w:tc>
          <w:tcPr>
            <w:tcW w:w="6972" w:type="dxa"/>
            <w:tcBorders>
              <w:top w:val="single" w:color="auto" w:sz="4" w:space="0"/>
              <w:left w:val="single" w:color="auto" w:sz="4" w:space="0"/>
              <w:bottom w:val="single" w:color="auto" w:sz="4" w:space="0"/>
              <w:right w:val="single" w:color="auto" w:sz="4" w:space="0"/>
            </w:tcBorders>
            <w:vAlign w:val="center"/>
          </w:tcPr>
          <w:p w14:paraId="1B1DA933">
            <w:pPr>
              <w:widowControl/>
              <w:spacing w:line="56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0276FA7C">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1116F204">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权益类资产投资上限</w:t>
            </w:r>
          </w:p>
        </w:tc>
        <w:tc>
          <w:tcPr>
            <w:tcW w:w="6972" w:type="dxa"/>
            <w:tcBorders>
              <w:top w:val="single" w:color="auto" w:sz="4" w:space="0"/>
              <w:left w:val="single" w:color="auto" w:sz="4" w:space="0"/>
              <w:bottom w:val="single" w:color="auto" w:sz="4" w:space="0"/>
              <w:right w:val="single" w:color="auto" w:sz="4" w:space="0"/>
            </w:tcBorders>
            <w:vAlign w:val="center"/>
          </w:tcPr>
          <w:p w14:paraId="18DABCF3">
            <w:pPr>
              <w:widowControl/>
              <w:spacing w:line="56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181814B5">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21F76BA2">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权益类资产投资下限</w:t>
            </w:r>
          </w:p>
        </w:tc>
        <w:tc>
          <w:tcPr>
            <w:tcW w:w="6972" w:type="dxa"/>
            <w:tcBorders>
              <w:top w:val="single" w:color="auto" w:sz="4" w:space="0"/>
              <w:left w:val="single" w:color="auto" w:sz="4" w:space="0"/>
              <w:bottom w:val="single" w:color="auto" w:sz="4" w:space="0"/>
              <w:right w:val="single" w:color="auto" w:sz="4" w:space="0"/>
            </w:tcBorders>
            <w:vAlign w:val="center"/>
          </w:tcPr>
          <w:p w14:paraId="1566BF71">
            <w:pPr>
              <w:widowControl/>
              <w:spacing w:line="56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3FFAF7A7">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2DAC4F57">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商品及金融衍生品类资产投资上限</w:t>
            </w:r>
          </w:p>
        </w:tc>
        <w:tc>
          <w:tcPr>
            <w:tcW w:w="6972" w:type="dxa"/>
            <w:tcBorders>
              <w:top w:val="single" w:color="auto" w:sz="4" w:space="0"/>
              <w:left w:val="single" w:color="auto" w:sz="4" w:space="0"/>
              <w:bottom w:val="single" w:color="auto" w:sz="4" w:space="0"/>
              <w:right w:val="single" w:color="auto" w:sz="4" w:space="0"/>
            </w:tcBorders>
            <w:vAlign w:val="center"/>
          </w:tcPr>
          <w:p w14:paraId="3FE7C2EE">
            <w:pPr>
              <w:widowControl/>
              <w:spacing w:line="56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3EA7AF10">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53DDDA26">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商品及金融衍生品类资产投资下限</w:t>
            </w:r>
          </w:p>
        </w:tc>
        <w:tc>
          <w:tcPr>
            <w:tcW w:w="6972" w:type="dxa"/>
            <w:tcBorders>
              <w:top w:val="single" w:color="auto" w:sz="4" w:space="0"/>
              <w:left w:val="single" w:color="auto" w:sz="4" w:space="0"/>
              <w:bottom w:val="single" w:color="auto" w:sz="4" w:space="0"/>
              <w:right w:val="single" w:color="auto" w:sz="4" w:space="0"/>
            </w:tcBorders>
            <w:vAlign w:val="center"/>
          </w:tcPr>
          <w:p w14:paraId="698C40DB">
            <w:pPr>
              <w:widowControl/>
              <w:spacing w:line="560" w:lineRule="exact"/>
              <w:jc w:val="left"/>
              <w:textAlignment w:val="center"/>
              <w:rPr>
                <w:rFonts w:hint="default" w:ascii="仿宋_GB2312" w:hAnsi="等线" w:eastAsia="仿宋_GB2312" w:cs="仿宋_GB2312"/>
                <w:bCs/>
                <w:color w:val="000000" w:themeColor="text1"/>
                <w:sz w:val="24"/>
                <w:lang w:val="en-US" w:eastAsia="zh-CN"/>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3D635D87">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6021B489">
            <w:pPr>
              <w:widowControl/>
              <w:spacing w:line="560" w:lineRule="exact"/>
              <w:jc w:val="center"/>
              <w:textAlignment w:val="center"/>
              <w:rPr>
                <w:rFonts w:hint="eastAsia" w:ascii="楷体_GB2312" w:hAnsi="等线" w:eastAsia="楷体_GB2312" w:cs="楷体_GB2312"/>
                <w:bCs/>
                <w:color w:val="000000" w:themeColor="text1"/>
                <w:sz w:val="24"/>
                <w14:textFill>
                  <w14:solidFill>
                    <w14:schemeClr w14:val="tx1"/>
                  </w14:solidFill>
                </w14:textFill>
              </w:rPr>
            </w:pPr>
            <w:r>
              <w:rPr>
                <w:rFonts w:hint="eastAsia" w:ascii="楷体_GB2312" w:hAnsi="等线" w:eastAsia="楷体_GB2312" w:cs="楷体_GB2312"/>
                <w:b/>
                <w:color w:val="000000" w:themeColor="text1"/>
                <w:kern w:val="0"/>
                <w:sz w:val="24"/>
                <w:lang w:bidi="ar"/>
                <w14:textFill>
                  <w14:solidFill>
                    <w14:schemeClr w14:val="tx1"/>
                  </w14:solidFill>
                </w14:textFill>
              </w:rPr>
              <w:t>（八）其他约定</w:t>
            </w:r>
          </w:p>
        </w:tc>
      </w:tr>
      <w:tr w14:paraId="69E02462">
        <w:tblPrEx>
          <w:tblCellMar>
            <w:top w:w="0" w:type="dxa"/>
            <w:left w:w="108" w:type="dxa"/>
            <w:bottom w:w="0" w:type="dxa"/>
            <w:right w:w="108" w:type="dxa"/>
          </w:tblCellMar>
        </w:tblPrEx>
        <w:trPr>
          <w:trHeight w:val="1010" w:hRule="atLeast"/>
        </w:trPr>
        <w:tc>
          <w:tcPr>
            <w:tcW w:w="2453" w:type="dxa"/>
            <w:tcBorders>
              <w:top w:val="single" w:color="auto" w:sz="4" w:space="0"/>
              <w:left w:val="single" w:color="auto" w:sz="4" w:space="0"/>
              <w:bottom w:val="single" w:color="auto" w:sz="4" w:space="0"/>
              <w:right w:val="single" w:color="auto" w:sz="4" w:space="0"/>
            </w:tcBorders>
            <w:vAlign w:val="center"/>
          </w:tcPr>
          <w:p w14:paraId="01BFECD3">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color w:val="auto"/>
                <w:kern w:val="0"/>
                <w:szCs w:val="24"/>
                <w:highlight w:val="none"/>
                <w:u w:val="none"/>
              </w:rPr>
              <w:t>信息披露</w:t>
            </w:r>
          </w:p>
        </w:tc>
        <w:tc>
          <w:tcPr>
            <w:tcW w:w="6972" w:type="dxa"/>
            <w:tcBorders>
              <w:top w:val="single" w:color="auto" w:sz="4" w:space="0"/>
              <w:left w:val="single" w:color="auto" w:sz="4" w:space="0"/>
              <w:bottom w:val="single" w:color="auto" w:sz="4" w:space="0"/>
              <w:right w:val="single" w:color="auto" w:sz="4" w:space="0"/>
            </w:tcBorders>
            <w:vAlign w:val="center"/>
          </w:tcPr>
          <w:p w14:paraId="33146C82">
            <w:pPr>
              <w:snapToGrid w:val="0"/>
              <w:rPr>
                <w:rFonts w:hint="eastAsia" w:ascii="宋体" w:hAnsi="宋体" w:eastAsia="仿宋_GB2312"/>
                <w:b/>
                <w:color w:val="auto"/>
                <w:szCs w:val="24"/>
                <w:highlight w:val="yellow"/>
                <w:u w:val="none"/>
                <w:lang w:eastAsia="zh-CN"/>
              </w:rPr>
            </w:pPr>
            <w:r>
              <w:rPr>
                <w:rFonts w:hint="eastAsia" w:ascii="宋体" w:hAnsi="宋体"/>
                <w:b/>
                <w:color w:val="auto"/>
                <w:szCs w:val="24"/>
                <w:highlight w:val="yellow"/>
                <w:u w:val="none"/>
                <w:lang w:eastAsia="zh-CN"/>
              </w:rPr>
              <w:t>【</w:t>
            </w:r>
            <w:r>
              <w:rPr>
                <w:rFonts w:hint="eastAsia" w:ascii="宋体" w:hAnsi="宋体"/>
                <w:b/>
                <w:color w:val="auto"/>
                <w:szCs w:val="24"/>
                <w:highlight w:val="yellow"/>
                <w:u w:val="none"/>
              </w:rPr>
              <w:t>本产品成立后，浙银理财将于每个工作日披露理财产品份额净值。</w:t>
            </w:r>
            <w:r>
              <w:rPr>
                <w:rFonts w:hint="eastAsia" w:ascii="宋体" w:hAnsi="宋体"/>
                <w:b/>
                <w:color w:val="auto"/>
                <w:szCs w:val="24"/>
                <w:highlight w:val="yellow"/>
                <w:u w:val="none"/>
                <w:lang w:eastAsia="zh-CN"/>
              </w:rPr>
              <w:t>】</w:t>
            </w:r>
          </w:p>
          <w:p w14:paraId="091933BE">
            <w:pPr>
              <w:snapToGrid w:val="0"/>
              <w:rPr>
                <w:rFonts w:hint="eastAsia" w:ascii="宋体" w:hAnsi="宋体"/>
                <w:b/>
                <w:bCs/>
                <w:iCs/>
                <w:color w:val="auto"/>
                <w:szCs w:val="24"/>
                <w:highlight w:val="none"/>
                <w:u w:val="none"/>
              </w:rPr>
            </w:pPr>
            <w:r>
              <w:rPr>
                <w:rFonts w:hint="eastAsia" w:asciiTheme="minorEastAsia" w:hAnsiTheme="minorEastAsia"/>
                <w:color w:val="auto"/>
                <w:szCs w:val="24"/>
                <w:highlight w:val="none"/>
                <w:u w:val="none"/>
              </w:rPr>
              <w:t>本产品成立、运行、到期、净值等信息将通过</w:t>
            </w:r>
            <w:r>
              <w:rPr>
                <w:rFonts w:hint="eastAsia" w:asciiTheme="minorEastAsia" w:hAnsiTheme="minorEastAsia"/>
                <w:color w:val="auto"/>
                <w:szCs w:val="24"/>
                <w:highlight w:val="none"/>
                <w:u w:val="none"/>
                <w:lang w:eastAsia="zh-CN"/>
              </w:rPr>
              <w:t>产品</w:t>
            </w:r>
            <w:r>
              <w:rPr>
                <w:rFonts w:hint="eastAsia" w:asciiTheme="minorEastAsia" w:hAnsiTheme="minorEastAsia"/>
                <w:color w:val="auto"/>
                <w:szCs w:val="24"/>
                <w:highlight w:val="none"/>
                <w:u w:val="none"/>
              </w:rPr>
              <w:t>管理人</w:t>
            </w:r>
            <w:r>
              <w:rPr>
                <w:rFonts w:asciiTheme="minorEastAsia" w:hAnsiTheme="minorEastAsia"/>
                <w:color w:val="auto"/>
                <w:szCs w:val="24"/>
                <w:highlight w:val="none"/>
                <w:u w:val="none"/>
              </w:rPr>
              <w:t>官方网站</w:t>
            </w: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www.czbank-wm.com</w:t>
            </w:r>
            <w:r>
              <w:rPr>
                <w:rFonts w:hint="eastAsia" w:ascii="仿宋_GB2312" w:hAnsi="宋体" w:cs="宋体"/>
                <w:color w:val="auto"/>
                <w:kern w:val="0"/>
                <w:szCs w:val="24"/>
                <w:highlight w:val="none"/>
                <w:u w:val="none"/>
              </w:rPr>
              <w:t>】、销售机构官方网站、个人手机银行或其他约定的方式等</w:t>
            </w:r>
            <w:r>
              <w:rPr>
                <w:rFonts w:hint="eastAsia" w:cs="宋体" w:asciiTheme="minorEastAsia" w:hAnsiTheme="minorEastAsia"/>
                <w:color w:val="auto"/>
                <w:kern w:val="0"/>
                <w:szCs w:val="24"/>
                <w:highlight w:val="none"/>
                <w:u w:val="none"/>
              </w:rPr>
              <w:t>一种或多种渠道进行信息披露，</w:t>
            </w:r>
            <w:r>
              <w:rPr>
                <w:rFonts w:hint="eastAsia" w:asciiTheme="minorEastAsia" w:hAnsiTheme="minorEastAsia"/>
                <w:color w:val="auto"/>
                <w:szCs w:val="24"/>
                <w:highlight w:val="none"/>
                <w:u w:val="none"/>
              </w:rPr>
              <w:t>请投资者持续关注并及时查看。</w:t>
            </w:r>
          </w:p>
        </w:tc>
      </w:tr>
      <w:tr w14:paraId="15107D0D">
        <w:tblPrEx>
          <w:tblCellMar>
            <w:top w:w="0" w:type="dxa"/>
            <w:left w:w="108" w:type="dxa"/>
            <w:bottom w:w="0" w:type="dxa"/>
            <w:right w:w="108" w:type="dxa"/>
          </w:tblCellMar>
        </w:tblPrEx>
        <w:trPr>
          <w:trHeight w:val="1010" w:hRule="atLeast"/>
        </w:trPr>
        <w:tc>
          <w:tcPr>
            <w:tcW w:w="2453" w:type="dxa"/>
            <w:tcBorders>
              <w:top w:val="single" w:color="auto" w:sz="4" w:space="0"/>
              <w:left w:val="single" w:color="auto" w:sz="4" w:space="0"/>
              <w:bottom w:val="single" w:color="auto" w:sz="4" w:space="0"/>
              <w:right w:val="single" w:color="auto" w:sz="4" w:space="0"/>
            </w:tcBorders>
            <w:vAlign w:val="center"/>
          </w:tcPr>
          <w:p w14:paraId="7F6E331A">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其他约定</w:t>
            </w:r>
          </w:p>
        </w:tc>
        <w:tc>
          <w:tcPr>
            <w:tcW w:w="6972" w:type="dxa"/>
            <w:tcBorders>
              <w:top w:val="single" w:color="auto" w:sz="4" w:space="0"/>
              <w:left w:val="single" w:color="auto" w:sz="4" w:space="0"/>
              <w:bottom w:val="single" w:color="auto" w:sz="4" w:space="0"/>
              <w:right w:val="single" w:color="auto" w:sz="4" w:space="0"/>
            </w:tcBorders>
            <w:vAlign w:val="center"/>
          </w:tcPr>
          <w:p w14:paraId="72F120DE">
            <w:pPr>
              <w:snapToGrid w:val="0"/>
              <w:jc w:val="left"/>
              <w:rPr>
                <w:rFonts w:ascii="宋体" w:hAnsi="宋体"/>
                <w:b/>
                <w:bCs/>
                <w:iCs/>
                <w:color w:val="auto"/>
                <w:szCs w:val="24"/>
                <w:highlight w:val="none"/>
                <w:u w:val="none"/>
              </w:rPr>
            </w:pPr>
            <w:r>
              <w:rPr>
                <w:rFonts w:ascii="宋体" w:hAnsi="宋体"/>
                <w:b/>
                <w:bCs/>
                <w:iCs/>
                <w:color w:val="auto"/>
                <w:szCs w:val="24"/>
                <w:highlight w:val="none"/>
                <w:u w:val="none"/>
              </w:rPr>
              <w:t>1.</w:t>
            </w:r>
            <w:r>
              <w:rPr>
                <w:rFonts w:hint="eastAsia" w:ascii="宋体" w:hAnsi="宋体"/>
                <w:b/>
                <w:bCs/>
                <w:iCs/>
                <w:color w:val="auto"/>
                <w:szCs w:val="24"/>
                <w:highlight w:val="none"/>
                <w:u w:val="none"/>
              </w:rPr>
              <w:t>募集期内认购资金是否计息以销售机构为准，但利息不计入认购本金份额。</w:t>
            </w:r>
          </w:p>
          <w:p w14:paraId="19FB2D2A">
            <w:pPr>
              <w:widowControl/>
              <w:snapToGrid w:val="0"/>
              <w:spacing w:line="240" w:lineRule="auto"/>
              <w:jc w:val="left"/>
              <w:textAlignment w:val="auto"/>
              <w:rPr>
                <w:rFonts w:hint="eastAsia" w:ascii="宋体" w:hAnsi="宋体"/>
                <w:b/>
                <w:bCs/>
                <w:iCs/>
                <w:color w:val="auto"/>
                <w:szCs w:val="24"/>
                <w:highlight w:val="none"/>
                <w:u w:val="none"/>
              </w:rPr>
            </w:pPr>
            <w:r>
              <w:rPr>
                <w:rFonts w:hint="eastAsia" w:ascii="宋体" w:hAnsi="宋体"/>
                <w:b/>
                <w:bCs/>
                <w:iCs/>
                <w:color w:val="auto"/>
                <w:szCs w:val="24"/>
                <w:highlight w:val="none"/>
                <w:u w:val="none"/>
              </w:rPr>
              <w:t>2.本产品到期日（或提前/延期终止日）至资金到账日期间，投资者理财资金如因清算安排实际产生利息的，相关利息归投资者所有。</w:t>
            </w:r>
          </w:p>
          <w:p w14:paraId="23AE075A">
            <w:pPr>
              <w:widowControl/>
              <w:snapToGrid w:val="0"/>
              <w:spacing w:line="240" w:lineRule="auto"/>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b/>
                <w:bCs/>
                <w:iCs/>
                <w:color w:val="auto"/>
                <w:szCs w:val="24"/>
                <w:highlight w:val="none"/>
                <w:u w:val="none"/>
              </w:rPr>
              <w:t>3.理财产品份额转让</w:t>
            </w:r>
            <w:r>
              <w:rPr>
                <w:rFonts w:ascii="宋体" w:hAnsi="宋体"/>
                <w:b/>
                <w:bCs/>
                <w:iCs/>
                <w:color w:val="auto"/>
                <w:szCs w:val="24"/>
                <w:highlight w:val="none"/>
                <w:u w:val="none"/>
              </w:rPr>
              <w:t>、</w:t>
            </w:r>
            <w:r>
              <w:rPr>
                <w:rFonts w:hint="eastAsia" w:ascii="宋体" w:hAnsi="宋体"/>
                <w:b/>
                <w:bCs/>
                <w:iCs/>
                <w:color w:val="auto"/>
                <w:szCs w:val="24"/>
                <w:highlight w:val="none"/>
                <w:u w:val="none"/>
              </w:rPr>
              <w:t>质押将依照销售机构</w:t>
            </w:r>
            <w:r>
              <w:rPr>
                <w:rFonts w:hint="eastAsia" w:ascii="宋体" w:hAnsi="宋体"/>
                <w:b/>
                <w:bCs/>
                <w:iCs/>
                <w:color w:val="auto"/>
                <w:szCs w:val="24"/>
                <w:highlight w:val="none"/>
                <w:u w:val="none"/>
                <w:lang w:eastAsia="zh-CN"/>
              </w:rPr>
              <w:t>与管理人</w:t>
            </w:r>
            <w:r>
              <w:rPr>
                <w:rFonts w:hint="eastAsia" w:ascii="宋体" w:hAnsi="宋体"/>
                <w:b/>
                <w:bCs/>
                <w:iCs/>
                <w:color w:val="auto"/>
                <w:szCs w:val="24"/>
                <w:highlight w:val="none"/>
                <w:u w:val="none"/>
              </w:rPr>
              <w:t>的业务政策执行。</w:t>
            </w:r>
          </w:p>
        </w:tc>
      </w:tr>
    </w:tbl>
    <w:p w14:paraId="4AFE9E18">
      <w:pPr>
        <w:rPr>
          <w:rFonts w:hint="eastAsia" w:ascii="黑体" w:hAnsi="宋体" w:eastAsia="黑体" w:cs="宋体"/>
          <w:bCs/>
          <w:color w:val="auto"/>
          <w:kern w:val="0"/>
          <w:sz w:val="28"/>
          <w:szCs w:val="28"/>
          <w:highlight w:val="none"/>
        </w:rPr>
      </w:pPr>
      <w:r>
        <w:rPr>
          <w:rFonts w:hint="eastAsia" w:ascii="黑体" w:hAnsi="宋体" w:eastAsia="黑体" w:cs="宋体"/>
          <w:bCs/>
          <w:color w:val="auto"/>
          <w:kern w:val="0"/>
          <w:sz w:val="28"/>
          <w:szCs w:val="28"/>
          <w:highlight w:val="none"/>
        </w:rPr>
        <w:br w:type="page"/>
      </w:r>
    </w:p>
    <w:p w14:paraId="6ED7777C">
      <w:pPr>
        <w:pStyle w:val="2"/>
        <w:numPr>
          <w:ilvl w:val="0"/>
          <w:numId w:val="10"/>
        </w:numPr>
        <w:rPr>
          <w:color w:val="auto"/>
          <w:highlight w:val="none"/>
        </w:rPr>
      </w:pPr>
      <w:r>
        <w:rPr>
          <w:rFonts w:hint="eastAsia" w:ascii="黑体" w:hAnsi="宋体" w:eastAsia="黑体" w:cs="宋体"/>
          <w:bCs/>
          <w:color w:val="auto"/>
          <w:kern w:val="0"/>
          <w:sz w:val="28"/>
          <w:szCs w:val="28"/>
          <w:highlight w:val="none"/>
        </w:rPr>
        <w:t>重要提示</w:t>
      </w:r>
    </w:p>
    <w:p w14:paraId="56577665">
      <w:pPr>
        <w:widowControl/>
        <w:tabs>
          <w:tab w:val="left" w:pos="709"/>
        </w:tabs>
        <w:snapToGrid w:val="0"/>
        <w:spacing w:line="360" w:lineRule="auto"/>
        <w:rPr>
          <w:rFonts w:hint="eastAsia" w:ascii="仿宋_GB2312" w:hAnsi="宋体" w:cs="宋体"/>
          <w:b/>
          <w:bCs/>
          <w:color w:val="auto"/>
          <w:kern w:val="0"/>
          <w:szCs w:val="24"/>
          <w:highlight w:val="none"/>
        </w:rPr>
      </w:pPr>
      <w:r>
        <w:rPr>
          <w:rFonts w:hint="eastAsia" w:ascii="仿宋_GB2312" w:cs="宋体" w:hAnsiTheme="minorEastAsia"/>
          <w:b/>
          <w:bCs/>
          <w:color w:val="auto"/>
          <w:kern w:val="0"/>
          <w:szCs w:val="32"/>
          <w:highlight w:val="none"/>
        </w:rPr>
        <w:t>●</w:t>
      </w:r>
      <w:r>
        <w:rPr>
          <w:rFonts w:hint="eastAsia" w:ascii="仿宋_GB2312" w:hAnsi="宋体" w:cs="宋体"/>
          <w:b/>
          <w:bCs/>
          <w:color w:val="auto"/>
          <w:kern w:val="0"/>
          <w:szCs w:val="24"/>
          <w:highlight w:val="none"/>
        </w:rPr>
        <w:t>理财非存款、产品有风险、投资须谨慎。</w:t>
      </w:r>
    </w:p>
    <w:p w14:paraId="7AF94B93">
      <w:pPr>
        <w:widowControl/>
        <w:tabs>
          <w:tab w:val="left" w:pos="709"/>
        </w:tabs>
        <w:snapToGrid w:val="0"/>
        <w:spacing w:line="360" w:lineRule="auto"/>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●浙银理财有限责任公司（以下称“浙银</w:t>
      </w:r>
      <w:r>
        <w:rPr>
          <w:rFonts w:ascii="仿宋_GB2312" w:hAnsi="宋体" w:cs="宋体"/>
          <w:b/>
          <w:bCs/>
          <w:color w:val="auto"/>
          <w:kern w:val="0"/>
          <w:szCs w:val="24"/>
          <w:highlight w:val="none"/>
        </w:rPr>
        <w:t>理财</w:t>
      </w:r>
      <w:r>
        <w:rPr>
          <w:rFonts w:hint="eastAsia" w:ascii="仿宋_GB2312" w:hAnsi="宋体" w:cs="宋体"/>
          <w:b/>
          <w:bCs/>
          <w:color w:val="auto"/>
          <w:kern w:val="0"/>
          <w:szCs w:val="24"/>
          <w:highlight w:val="none"/>
        </w:rPr>
        <w:t>”）郑重提示：在购买理财产品前，请投资者应确保自己完全明白该项投资的性质和所涉及的风险，详细了解和审慎评估该理财产品的资金投资方向及风险类型等基本情况，在慎重考虑后自行决定购买与自身风险承受能力和资产管理需求匹配的理财产品，并承受由此产生的收益与风险。如影响投资者风险承受能力的因素发生变化，请及时完成风险承受能力评估</w:t>
      </w:r>
      <w:r>
        <w:rPr>
          <w:rFonts w:hint="eastAsia"/>
          <w:b/>
          <w:color w:val="auto"/>
          <w:highlight w:val="none"/>
        </w:rPr>
        <w:t>。</w:t>
      </w:r>
    </w:p>
    <w:p w14:paraId="55171814">
      <w:pPr>
        <w:pStyle w:val="13"/>
        <w:spacing w:line="360" w:lineRule="auto"/>
        <w:ind w:firstLine="0" w:firstLineChars="0"/>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w:t>
      </w:r>
      <w:r>
        <w:rPr>
          <w:rFonts w:hint="eastAsia" w:ascii="仿宋_GB2312" w:hAnsi="宋体" w:cs="宋体"/>
          <w:bCs/>
          <w:color w:val="auto"/>
          <w:kern w:val="0"/>
          <w:szCs w:val="24"/>
          <w:highlight w:val="none"/>
        </w:rPr>
        <w:t>本理财产品说明书与《风险揭示书》《投资协议书》《投资者权益须知》《（代理）销售协议书》等共同构成本理财产品完整</w:t>
      </w:r>
      <w:r>
        <w:rPr>
          <w:rFonts w:ascii="仿宋_GB2312" w:hAnsi="宋体" w:cs="宋体"/>
          <w:bCs/>
          <w:color w:val="auto"/>
          <w:kern w:val="0"/>
          <w:szCs w:val="24"/>
          <w:highlight w:val="none"/>
        </w:rPr>
        <w:t>的</w:t>
      </w:r>
      <w:r>
        <w:rPr>
          <w:rFonts w:hint="eastAsia" w:ascii="仿宋_GB2312" w:hAnsi="宋体" w:cs="宋体"/>
          <w:bCs/>
          <w:color w:val="auto"/>
          <w:kern w:val="0"/>
          <w:szCs w:val="24"/>
          <w:highlight w:val="none"/>
        </w:rPr>
        <w:t>、</w:t>
      </w:r>
      <w:r>
        <w:rPr>
          <w:rFonts w:ascii="仿宋_GB2312" w:hAnsi="宋体" w:cs="宋体"/>
          <w:bCs/>
          <w:color w:val="auto"/>
          <w:kern w:val="0"/>
          <w:szCs w:val="24"/>
          <w:highlight w:val="none"/>
        </w:rPr>
        <w:t>不可</w:t>
      </w:r>
      <w:r>
        <w:rPr>
          <w:rFonts w:hint="eastAsia" w:ascii="仿宋_GB2312" w:hAnsi="宋体" w:cs="宋体"/>
          <w:bCs/>
          <w:color w:val="auto"/>
          <w:kern w:val="0"/>
          <w:szCs w:val="24"/>
          <w:highlight w:val="none"/>
        </w:rPr>
        <w:t>分割</w:t>
      </w:r>
      <w:r>
        <w:rPr>
          <w:rFonts w:ascii="仿宋_GB2312" w:hAnsi="宋体" w:cs="宋体"/>
          <w:bCs/>
          <w:color w:val="auto"/>
          <w:kern w:val="0"/>
          <w:szCs w:val="24"/>
          <w:highlight w:val="none"/>
        </w:rPr>
        <w:t>的</w:t>
      </w:r>
      <w:r>
        <w:rPr>
          <w:rFonts w:hint="eastAsia" w:ascii="仿宋_GB2312" w:hAnsi="宋体" w:cs="宋体"/>
          <w:bCs/>
          <w:color w:val="auto"/>
          <w:kern w:val="0"/>
          <w:szCs w:val="24"/>
          <w:highlight w:val="none"/>
        </w:rPr>
        <w:t>销售文件。</w:t>
      </w:r>
      <w:r>
        <w:rPr>
          <w:rFonts w:hint="eastAsia" w:ascii="仿宋_GB2312" w:hAnsi="宋体" w:cs="宋体"/>
          <w:b/>
          <w:bCs/>
          <w:color w:val="auto"/>
          <w:kern w:val="0"/>
          <w:szCs w:val="24"/>
          <w:highlight w:val="none"/>
        </w:rPr>
        <w:t>为了维护投资者的合法权益，请在投资前仔细阅读本说明书及其他销售文件，了解理财产品具体情况。</w:t>
      </w:r>
    </w:p>
    <w:p w14:paraId="7D0D3A58">
      <w:pPr>
        <w:pStyle w:val="13"/>
        <w:spacing w:line="360" w:lineRule="auto"/>
        <w:ind w:firstLine="0" w:firstLineChars="0"/>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w:t>
      </w:r>
      <w:r>
        <w:rPr>
          <w:rFonts w:hint="eastAsia" w:ascii="仿宋_GB2312" w:hAnsi="宋体" w:cs="宋体"/>
          <w:bCs/>
          <w:color w:val="auto"/>
          <w:kern w:val="0"/>
          <w:szCs w:val="24"/>
          <w:highlight w:val="none"/>
        </w:rPr>
        <w:t>本理财产品为</w:t>
      </w:r>
      <w:r>
        <w:rPr>
          <w:rFonts w:hint="eastAsia" w:ascii="仿宋_GB2312" w:hAnsi="宋体" w:cs="宋体"/>
          <w:b/>
          <w:bCs/>
          <w:color w:val="auto"/>
          <w:kern w:val="0"/>
          <w:szCs w:val="24"/>
          <w:highlight w:val="none"/>
        </w:rPr>
        <w:t>非保本浮动收益型理财产品，与银行存款存在显著区别，不受</w:t>
      </w:r>
      <w:r>
        <w:rPr>
          <w:rFonts w:hint="eastAsia" w:ascii="仿宋_GB2312" w:cs="宋体" w:hAnsiTheme="minorEastAsia"/>
          <w:b/>
          <w:bCs/>
          <w:color w:val="auto"/>
          <w:kern w:val="0"/>
          <w:szCs w:val="32"/>
          <w:highlight w:val="none"/>
        </w:rPr>
        <w:t>存款保险及其他保障机制的保障。</w:t>
      </w:r>
      <w:r>
        <w:rPr>
          <w:rFonts w:hint="eastAsia" w:ascii="仿宋_GB2312" w:hAnsi="宋体" w:cs="宋体"/>
          <w:b/>
          <w:bCs/>
          <w:color w:val="auto"/>
          <w:kern w:val="0"/>
          <w:szCs w:val="24"/>
          <w:highlight w:val="none"/>
        </w:rPr>
        <w:t>本理财产品不保证投资者理财本金安全及最低收益，投资者投资/持有本理财产品可能因市场变化、突发事件等因素遭受收益乃至本金损失</w:t>
      </w:r>
      <w:r>
        <w:rPr>
          <w:rFonts w:hint="eastAsia" w:ascii="仿宋_GB2312" w:cs="宋体" w:hAnsiTheme="minorEastAsia"/>
          <w:b/>
          <w:bCs/>
          <w:color w:val="auto"/>
          <w:kern w:val="0"/>
          <w:szCs w:val="32"/>
          <w:highlight w:val="none"/>
        </w:rPr>
        <w:t>，</w:t>
      </w:r>
      <w:r>
        <w:rPr>
          <w:rFonts w:hint="eastAsia" w:cs="宋体" w:asciiTheme="minorEastAsia" w:hAnsiTheme="minorEastAsia"/>
          <w:b/>
          <w:bCs/>
          <w:color w:val="auto"/>
          <w:kern w:val="0"/>
          <w:szCs w:val="24"/>
          <w:highlight w:val="none"/>
        </w:rPr>
        <w:t>请</w:t>
      </w:r>
      <w:r>
        <w:rPr>
          <w:rFonts w:hint="eastAsia" w:ascii="仿宋_GB2312" w:hAnsi="宋体" w:cs="宋体"/>
          <w:b/>
          <w:bCs/>
          <w:color w:val="auto"/>
          <w:kern w:val="0"/>
          <w:szCs w:val="24"/>
          <w:highlight w:val="none"/>
        </w:rPr>
        <w:t>投资者充分知晓、理解投资风险，谨慎投资。</w:t>
      </w:r>
    </w:p>
    <w:p w14:paraId="2EE9511A">
      <w:pPr>
        <w:pStyle w:val="13"/>
        <w:spacing w:line="360" w:lineRule="auto"/>
        <w:ind w:firstLine="0" w:firstLineChars="0"/>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w:t>
      </w:r>
      <w:r>
        <w:rPr>
          <w:rFonts w:hint="eastAsia" w:ascii="仿宋_GB2312" w:hAnsi="宋体" w:cs="宋体"/>
          <w:bCs/>
          <w:color w:val="auto"/>
          <w:kern w:val="0"/>
          <w:szCs w:val="24"/>
          <w:highlight w:val="none"/>
        </w:rPr>
        <w:t>本理财产品涉及的主要风险包括政策风险、信用风险、市场风险、流动性风险、经营管理风险、交易对手风险、操作风险、代销风险、募集期延长/缩短风险、产品不成立风险、提前终止风险、延期分配风险、信息传递风险、关联关系及关联交易风险、再投资风险、估值风险、托管及清算风险、税务风险、不同理财产品份额类别存在差异的风险、其他风险等，</w:t>
      </w:r>
      <w:r>
        <w:rPr>
          <w:rFonts w:hint="eastAsia" w:ascii="仿宋_GB2312" w:hAnsi="宋体" w:cs="宋体"/>
          <w:b/>
          <w:bCs/>
          <w:color w:val="auto"/>
          <w:kern w:val="0"/>
          <w:szCs w:val="24"/>
          <w:highlight w:val="none"/>
        </w:rPr>
        <w:t>请投资者仔细阅读《风险揭示书》。●本理财产品销售文件中的任何“业绩比较基准”“业绩比较基准区间”以及其他类似表述均不代表投资者可能获得的实际收益，亦不构成管理人对本理财产品的任何收益承诺，不具有法律效力。</w:t>
      </w:r>
    </w:p>
    <w:p w14:paraId="0B4B6119">
      <w:pPr>
        <w:pStyle w:val="13"/>
        <w:spacing w:line="360" w:lineRule="auto"/>
        <w:ind w:firstLine="0" w:firstLineChars="0"/>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●本理财</w:t>
      </w:r>
      <w:r>
        <w:rPr>
          <w:rFonts w:ascii="仿宋_GB2312" w:hAnsi="宋体" w:cs="宋体"/>
          <w:b/>
          <w:bCs/>
          <w:color w:val="auto"/>
          <w:kern w:val="0"/>
          <w:szCs w:val="24"/>
          <w:highlight w:val="none"/>
        </w:rPr>
        <w:t>产品的投资运作情况体现为产品净值变化，</w:t>
      </w:r>
      <w:r>
        <w:rPr>
          <w:rFonts w:hint="eastAsia" w:ascii="仿宋_GB2312" w:hAnsi="宋体" w:cs="宋体"/>
          <w:b/>
          <w:bCs/>
          <w:color w:val="auto"/>
          <w:kern w:val="0"/>
          <w:szCs w:val="24"/>
          <w:highlight w:val="none"/>
        </w:rPr>
        <w:t>投资者最终理财收益以实际到账为准。本理财产品过往业绩不代表其未来表现，不等于投资者未来可获得的实际收益。</w:t>
      </w:r>
    </w:p>
    <w:p w14:paraId="2CB94EB8">
      <w:pPr>
        <w:pStyle w:val="13"/>
        <w:numPr>
          <w:ilvl w:val="255"/>
          <w:numId w:val="0"/>
        </w:numPr>
        <w:spacing w:line="360" w:lineRule="auto"/>
        <w:jc w:val="left"/>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●投资者认购/申购本理财产品份额后，在投资周期内不可赎回，可能导致投资者持有份额无法及时变现。</w:t>
      </w:r>
    </w:p>
    <w:p w14:paraId="6F324C2F">
      <w:pPr>
        <w:tabs>
          <w:tab w:val="left" w:pos="709"/>
        </w:tabs>
        <w:snapToGrid w:val="0"/>
        <w:spacing w:line="360" w:lineRule="auto"/>
        <w:rPr>
          <w:rFonts w:hint="eastAsia" w:ascii="仿宋_GB2312" w:hAnsi="宋体" w:cs="宋体"/>
          <w:bCs/>
          <w:color w:val="auto"/>
          <w:kern w:val="0"/>
          <w:szCs w:val="24"/>
          <w:highlight w:val="none"/>
        </w:rPr>
      </w:pPr>
      <w:r>
        <w:rPr>
          <w:rFonts w:hint="eastAsia" w:ascii="仿宋_GB2312" w:hAnsi="宋体" w:cs="宋体"/>
          <w:b/>
          <w:bCs/>
          <w:color w:val="auto"/>
          <w:kern w:val="0"/>
          <w:szCs w:val="24"/>
          <w:highlight w:val="none"/>
        </w:rPr>
        <w:t>●本理财产品仅向依据中华人民共和国法律法规及监管规定可以购买本类理财产品的投资者发售。</w:t>
      </w:r>
      <w:r>
        <w:rPr>
          <w:rFonts w:ascii="仿宋_GB2312" w:hAnsi="宋体" w:cs="宋体"/>
          <w:b/>
          <w:color w:val="auto"/>
          <w:kern w:val="0"/>
          <w:szCs w:val="24"/>
          <w:highlight w:val="none"/>
        </w:rPr>
        <w:t>投资者通过销售机构与浙银理财签订理财产品销售文件后，销售机构或浙银理财在划款时，不再通过任何方式与投资者进行最后确认，直接划款。</w:t>
      </w:r>
      <w:r>
        <w:rPr>
          <w:rFonts w:hint="eastAsia"/>
          <w:b/>
          <w:color w:val="auto"/>
          <w:highlight w:val="none"/>
        </w:rPr>
        <w:t>投</w:t>
      </w:r>
      <w:r>
        <w:rPr>
          <w:rFonts w:ascii="仿宋_GB2312" w:hAnsi="宋体" w:cs="宋体"/>
          <w:b/>
          <w:color w:val="auto"/>
          <w:kern w:val="0"/>
          <w:szCs w:val="24"/>
          <w:highlight w:val="none"/>
        </w:rPr>
        <w:t>资者通过销售机构电子渠道购买本理财产品，成功提交认购/申购申请后视同为投资者已完全知悉并接受本理财产品销售文件载明的风险揭示、重要提示以及其他约定，与浙银理财已完成理财产品销售</w:t>
      </w:r>
      <w:r>
        <w:rPr>
          <w:rFonts w:hint="eastAsia" w:ascii="仿宋_GB2312" w:hAnsi="宋体" w:cs="宋体"/>
          <w:b/>
          <w:color w:val="auto"/>
          <w:kern w:val="0"/>
          <w:szCs w:val="24"/>
          <w:highlight w:val="none"/>
        </w:rPr>
        <w:t>文件</w:t>
      </w:r>
      <w:r>
        <w:rPr>
          <w:rFonts w:ascii="仿宋_GB2312" w:hAnsi="宋体" w:cs="宋体"/>
          <w:b/>
          <w:color w:val="auto"/>
          <w:kern w:val="0"/>
          <w:szCs w:val="24"/>
          <w:highlight w:val="none"/>
        </w:rPr>
        <w:t>的签订。</w:t>
      </w:r>
    </w:p>
    <w:p w14:paraId="3D709D64">
      <w:pPr>
        <w:tabs>
          <w:tab w:val="left" w:pos="709"/>
        </w:tabs>
        <w:snapToGrid w:val="0"/>
        <w:spacing w:line="360" w:lineRule="auto"/>
        <w:rPr>
          <w:rFonts w:hint="eastAsia" w:ascii="仿宋_GB2312" w:hAnsi="宋体" w:cs="宋体"/>
          <w:bCs/>
          <w:color w:val="auto"/>
          <w:kern w:val="0"/>
          <w:szCs w:val="24"/>
          <w:highlight w:val="none"/>
        </w:rPr>
      </w:pPr>
      <w:r>
        <w:rPr>
          <w:rFonts w:hint="eastAsia" w:ascii="仿宋_GB2312" w:hAnsi="宋体" w:cs="宋体"/>
          <w:b/>
          <w:bCs/>
          <w:color w:val="auto"/>
          <w:kern w:val="0"/>
          <w:szCs w:val="24"/>
          <w:highlight w:val="none"/>
        </w:rPr>
        <w:t>●</w:t>
      </w:r>
      <w:r>
        <w:rPr>
          <w:rFonts w:hint="eastAsia" w:ascii="仿宋_GB2312" w:hAnsi="宋体" w:cs="宋体"/>
          <w:bCs/>
          <w:color w:val="auto"/>
          <w:kern w:val="0"/>
          <w:szCs w:val="24"/>
          <w:highlight w:val="none"/>
        </w:rPr>
        <w:t>投资本理财产品后，投资者应随时关注本理财产品的信息披露情况，及时获取相关信息，相关信息以销售文件约定的信息披露方式进行披露。</w:t>
      </w:r>
    </w:p>
    <w:p w14:paraId="5F71775A">
      <w:pPr>
        <w:tabs>
          <w:tab w:val="left" w:pos="709"/>
        </w:tabs>
        <w:snapToGrid w:val="0"/>
        <w:spacing w:line="360" w:lineRule="auto"/>
        <w:rPr>
          <w:rFonts w:hint="eastAsia" w:ascii="仿宋_GB2312" w:hAnsi="宋体" w:cs="宋体"/>
          <w:bCs/>
          <w:color w:val="auto"/>
          <w:kern w:val="0"/>
          <w:szCs w:val="24"/>
          <w:highlight w:val="none"/>
        </w:rPr>
      </w:pPr>
      <w:r>
        <w:rPr>
          <w:rFonts w:hint="eastAsia" w:ascii="仿宋_GB2312" w:hAnsi="宋体" w:cs="宋体"/>
          <w:b/>
          <w:bCs/>
          <w:color w:val="auto"/>
          <w:kern w:val="0"/>
          <w:szCs w:val="24"/>
          <w:highlight w:val="none"/>
        </w:rPr>
        <w:t>●</w:t>
      </w:r>
      <w:r>
        <w:rPr>
          <w:rFonts w:hint="eastAsia" w:ascii="仿宋_GB2312" w:hAnsi="宋体" w:cs="宋体"/>
          <w:bCs/>
          <w:color w:val="auto"/>
          <w:kern w:val="0"/>
          <w:szCs w:val="24"/>
          <w:highlight w:val="none"/>
        </w:rPr>
        <w:t>投资者承诺其用于购买本理财产品的资金来源合法合规，并且其系为合法之目的投资本理财产品，而非为洗钱等违法犯罪目的；投资者应确保用于投资本理财产品的资金不来源于贷款、发行债券等筹集的非自有资金。（受托管理的资产管理产品除外）</w:t>
      </w:r>
    </w:p>
    <w:p w14:paraId="338EF2A2">
      <w:pPr>
        <w:tabs>
          <w:tab w:val="left" w:pos="709"/>
        </w:tabs>
        <w:snapToGrid w:val="0"/>
        <w:spacing w:line="360" w:lineRule="auto"/>
        <w:rPr>
          <w:rFonts w:hint="eastAsia" w:ascii="仿宋_GB2312" w:hAnsi="宋体" w:cs="宋体"/>
          <w:bCs/>
          <w:color w:val="auto"/>
          <w:kern w:val="0"/>
          <w:szCs w:val="24"/>
          <w:highlight w:val="none"/>
        </w:rPr>
      </w:pPr>
      <w:r>
        <w:rPr>
          <w:rFonts w:hint="eastAsia" w:ascii="仿宋_GB2312" w:hAnsi="宋体" w:cs="宋体"/>
          <w:b/>
          <w:bCs/>
          <w:color w:val="auto"/>
          <w:kern w:val="0"/>
          <w:szCs w:val="24"/>
          <w:highlight w:val="none"/>
        </w:rPr>
        <w:t>●</w:t>
      </w:r>
      <w:r>
        <w:rPr>
          <w:rFonts w:ascii="仿宋_GB2312" w:hAnsi="宋体" w:cs="宋体"/>
          <w:b/>
          <w:color w:val="auto"/>
          <w:kern w:val="0"/>
          <w:szCs w:val="24"/>
          <w:highlight w:val="none"/>
        </w:rPr>
        <w:t>在本理财产品存续期内，</w:t>
      </w:r>
      <w:r>
        <w:rPr>
          <w:rFonts w:ascii="仿宋_GB2312" w:cs="宋体" w:hAnsiTheme="minorEastAsia"/>
          <w:b/>
          <w:color w:val="auto"/>
          <w:kern w:val="0"/>
          <w:szCs w:val="32"/>
          <w:highlight w:val="none"/>
        </w:rPr>
        <w:t>如因维持本理财产品正常运营的需要且在不损害投资者利益的前提下，或因监管政策、法律法规发生变化</w:t>
      </w:r>
      <w:r>
        <w:rPr>
          <w:rFonts w:ascii="仿宋_GB2312" w:hAnsi="宋体" w:cs="宋体"/>
          <w:b/>
          <w:color w:val="auto"/>
          <w:kern w:val="0"/>
          <w:szCs w:val="24"/>
          <w:highlight w:val="none"/>
        </w:rPr>
        <w:t>，浙银理财有权单方对本理财产品销售文件条款进行修订，并按本理财产品说明书约定的披露方式向投资者进行信息披露。浙银理财按照前述规则发布该信息披露即视为该修订通知已送达投资者并对投资者具有法律约束力。</w:t>
      </w:r>
    </w:p>
    <w:p w14:paraId="562D02BA">
      <w:pPr>
        <w:tabs>
          <w:tab w:val="left" w:pos="709"/>
        </w:tabs>
        <w:snapToGrid w:val="0"/>
        <w:spacing w:line="360" w:lineRule="auto"/>
        <w:rPr>
          <w:color w:val="auto"/>
          <w:highlight w:val="none"/>
        </w:rPr>
      </w:pPr>
      <w:r>
        <w:rPr>
          <w:rFonts w:hint="eastAsia" w:ascii="仿宋_GB2312" w:cs="宋体" w:hAnsiTheme="minorEastAsia"/>
          <w:bCs/>
          <w:color w:val="auto"/>
          <w:kern w:val="0"/>
          <w:szCs w:val="32"/>
          <w:highlight w:val="none"/>
        </w:rPr>
        <w:t>●如对本理财产品、服务有任何疑问、意见或建议，敬请联系您的销售服务机构，具体联系方式以《产品说明书》等销售文件的披露为准；或反馈至浙银理财，浙银理财服务电话：0571-57192881。</w:t>
      </w:r>
    </w:p>
    <w:p w14:paraId="49ED075D">
      <w:pPr>
        <w:rPr>
          <w:color w:val="auto"/>
          <w:highlight w:val="none"/>
        </w:rPr>
      </w:pPr>
      <w:r>
        <w:rPr>
          <w:color w:val="auto"/>
          <w:highlight w:val="none"/>
        </w:rPr>
        <w:br w:type="page"/>
      </w:r>
    </w:p>
    <w:p w14:paraId="299C5ED5">
      <w:pPr>
        <w:pStyle w:val="2"/>
        <w:numPr>
          <w:ilvl w:val="0"/>
          <w:numId w:val="10"/>
        </w:numPr>
        <w:rPr>
          <w:color w:val="auto"/>
          <w:highlight w:val="none"/>
        </w:rPr>
      </w:pPr>
      <w:r>
        <w:rPr>
          <w:rFonts w:hint="eastAsia"/>
          <w:color w:val="auto"/>
          <w:highlight w:val="none"/>
        </w:rPr>
        <w:t>释义</w:t>
      </w:r>
    </w:p>
    <w:p w14:paraId="015963A5">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本说明书中，除非另有明确说明，否则下列词语或简称具有如下含义：</w:t>
      </w:r>
    </w:p>
    <w:p w14:paraId="37A3E905">
      <w:pPr>
        <w:pStyle w:val="3"/>
        <w:numPr>
          <w:ilvl w:val="1"/>
          <w:numId w:val="10"/>
        </w:numPr>
        <w:ind w:firstLine="482"/>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产品参与主体用语</w:t>
      </w:r>
    </w:p>
    <w:p w14:paraId="704AE4D9">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w:t>
      </w:r>
      <w:r>
        <w:rPr>
          <w:rFonts w:ascii="仿宋_GB2312" w:hAnsi="宋体" w:cs="宋体"/>
          <w:bCs/>
          <w:color w:val="auto"/>
          <w:kern w:val="0"/>
          <w:szCs w:val="24"/>
          <w:highlight w:val="none"/>
        </w:rPr>
        <w:t>管理人/产品管理人/理财产品管理人</w:t>
      </w:r>
      <w:r>
        <w:rPr>
          <w:rFonts w:hint="eastAsia" w:ascii="仿宋_GB2312" w:hAnsi="宋体" w:cs="宋体"/>
          <w:bCs/>
          <w:color w:val="auto"/>
          <w:kern w:val="0"/>
          <w:szCs w:val="24"/>
          <w:highlight w:val="none"/>
          <w:u w:val="none"/>
          <w:lang w:val="en-US" w:eastAsia="zh-CN"/>
        </w:rPr>
        <w:t>/发行机构</w:t>
      </w:r>
      <w:r>
        <w:rPr>
          <w:rFonts w:ascii="仿宋_GB2312" w:hAnsi="宋体" w:cs="宋体"/>
          <w:bCs/>
          <w:color w:val="auto"/>
          <w:kern w:val="0"/>
          <w:szCs w:val="24"/>
          <w:highlight w:val="none"/>
        </w:rPr>
        <w:t>：指浙银理财有限责任公司（简称“浙银理财”）。</w:t>
      </w:r>
    </w:p>
    <w:p w14:paraId="283974FD">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2.</w:t>
      </w:r>
      <w:r>
        <w:rPr>
          <w:rFonts w:hint="eastAsia" w:ascii="仿宋_GB2312" w:hAnsi="宋体" w:cs="宋体"/>
          <w:bCs/>
          <w:color w:val="auto"/>
          <w:kern w:val="0"/>
          <w:szCs w:val="24"/>
          <w:highlight w:val="none"/>
        </w:rPr>
        <w:t>销售机构/理财产品销售机构：指符合</w:t>
      </w:r>
      <w:r>
        <w:rPr>
          <w:rFonts w:ascii="仿宋_GB2312" w:hAnsi="宋体" w:cs="宋体"/>
          <w:bCs/>
          <w:color w:val="auto"/>
          <w:kern w:val="0"/>
          <w:szCs w:val="24"/>
          <w:highlight w:val="none"/>
        </w:rPr>
        <w:t>监管</w:t>
      </w:r>
      <w:r>
        <w:rPr>
          <w:rFonts w:hint="eastAsia" w:ascii="仿宋_GB2312" w:hAnsi="宋体" w:cs="宋体"/>
          <w:bCs/>
          <w:color w:val="auto"/>
          <w:kern w:val="0"/>
          <w:szCs w:val="24"/>
          <w:highlight w:val="none"/>
        </w:rPr>
        <w:t>规定</w:t>
      </w:r>
      <w:r>
        <w:rPr>
          <w:rFonts w:ascii="仿宋_GB2312" w:hAnsi="宋体" w:cs="宋体"/>
          <w:bCs/>
          <w:color w:val="auto"/>
          <w:kern w:val="0"/>
          <w:szCs w:val="24"/>
          <w:highlight w:val="none"/>
        </w:rPr>
        <w:t>具备理财产品销售资格</w:t>
      </w:r>
      <w:r>
        <w:rPr>
          <w:rFonts w:hint="eastAsia" w:ascii="仿宋_GB2312" w:hAnsi="宋体" w:cs="宋体"/>
          <w:bCs/>
          <w:color w:val="auto"/>
          <w:kern w:val="0"/>
          <w:szCs w:val="24"/>
          <w:highlight w:val="none"/>
        </w:rPr>
        <w:t>的</w:t>
      </w:r>
      <w:r>
        <w:rPr>
          <w:rFonts w:ascii="仿宋_GB2312" w:hAnsi="宋体" w:cs="宋体"/>
          <w:bCs/>
          <w:color w:val="auto"/>
          <w:kern w:val="0"/>
          <w:szCs w:val="24"/>
          <w:highlight w:val="none"/>
        </w:rPr>
        <w:t>机构</w:t>
      </w:r>
      <w:r>
        <w:rPr>
          <w:rFonts w:hint="eastAsia" w:ascii="仿宋_GB2312" w:hAnsi="宋体" w:cs="宋体"/>
          <w:bCs/>
          <w:color w:val="auto"/>
          <w:kern w:val="0"/>
          <w:szCs w:val="24"/>
          <w:highlight w:val="none"/>
        </w:rPr>
        <w:t>，</w:t>
      </w:r>
      <w:r>
        <w:rPr>
          <w:rFonts w:ascii="仿宋_GB2312" w:hAnsi="宋体" w:cs="宋体"/>
          <w:bCs/>
          <w:color w:val="auto"/>
          <w:kern w:val="0"/>
          <w:szCs w:val="24"/>
          <w:highlight w:val="none"/>
        </w:rPr>
        <w:t>销售机构在其渠道开展向投资者</w:t>
      </w:r>
      <w:r>
        <w:rPr>
          <w:rFonts w:hint="eastAsia" w:ascii="仿宋_GB2312" w:hAnsi="宋体" w:cs="宋体"/>
          <w:bCs/>
          <w:color w:val="auto"/>
          <w:kern w:val="0"/>
          <w:szCs w:val="24"/>
          <w:highlight w:val="none"/>
        </w:rPr>
        <w:t>进行</w:t>
      </w:r>
      <w:r>
        <w:rPr>
          <w:rFonts w:ascii="仿宋_GB2312" w:hAnsi="宋体" w:cs="宋体"/>
          <w:bCs/>
          <w:color w:val="auto"/>
          <w:kern w:val="0"/>
          <w:szCs w:val="24"/>
          <w:highlight w:val="none"/>
        </w:rPr>
        <w:t>宣传推介</w:t>
      </w:r>
      <w:r>
        <w:rPr>
          <w:rFonts w:hint="eastAsia" w:ascii="仿宋_GB2312" w:hAnsi="宋体" w:cs="宋体"/>
          <w:bCs/>
          <w:color w:val="auto"/>
          <w:kern w:val="0"/>
          <w:szCs w:val="24"/>
          <w:highlight w:val="none"/>
        </w:rPr>
        <w:t>，为</w:t>
      </w:r>
      <w:r>
        <w:rPr>
          <w:rFonts w:ascii="仿宋_GB2312" w:hAnsi="宋体" w:cs="宋体"/>
          <w:bCs/>
          <w:color w:val="auto"/>
          <w:kern w:val="0"/>
          <w:szCs w:val="24"/>
          <w:highlight w:val="none"/>
        </w:rPr>
        <w:t>投资者</w:t>
      </w:r>
      <w:r>
        <w:rPr>
          <w:rFonts w:hint="eastAsia" w:ascii="仿宋_GB2312" w:hAnsi="宋体" w:cs="宋体"/>
          <w:bCs/>
          <w:color w:val="auto"/>
          <w:kern w:val="0"/>
          <w:szCs w:val="24"/>
          <w:highlight w:val="none"/>
        </w:rPr>
        <w:t>办理理财产品认购、申购和赎回，以及监管许可的其他销售活动。理财</w:t>
      </w:r>
      <w:r>
        <w:rPr>
          <w:rFonts w:ascii="仿宋_GB2312" w:hAnsi="宋体" w:cs="宋体"/>
          <w:bCs/>
          <w:color w:val="auto"/>
          <w:kern w:val="0"/>
          <w:szCs w:val="24"/>
          <w:highlight w:val="none"/>
        </w:rPr>
        <w:t>产品</w:t>
      </w:r>
      <w:r>
        <w:rPr>
          <w:rFonts w:hint="eastAsia" w:ascii="仿宋_GB2312" w:hAnsi="宋体" w:cs="宋体"/>
          <w:bCs/>
          <w:color w:val="auto"/>
          <w:kern w:val="0"/>
          <w:szCs w:val="24"/>
          <w:highlight w:val="none"/>
        </w:rPr>
        <w:t>销售可分为直销和代理</w:t>
      </w:r>
      <w:r>
        <w:rPr>
          <w:rFonts w:ascii="仿宋_GB2312" w:hAnsi="宋体" w:cs="宋体"/>
          <w:bCs/>
          <w:color w:val="auto"/>
          <w:kern w:val="0"/>
          <w:szCs w:val="24"/>
          <w:highlight w:val="none"/>
        </w:rPr>
        <w:t>销售</w:t>
      </w:r>
      <w:r>
        <w:rPr>
          <w:rFonts w:hint="eastAsia" w:ascii="仿宋_GB2312" w:hAnsi="宋体" w:cs="宋体"/>
          <w:bCs/>
          <w:color w:val="auto"/>
          <w:kern w:val="0"/>
          <w:szCs w:val="24"/>
          <w:highlight w:val="none"/>
        </w:rPr>
        <w:t>，直销机构指销售本公司发行理财产品的理财公司，代销机构指接受理财公司委托销售发行理财产品的代理销售机构。销售机构在其渠道开展向投资者宣传推介、销售产品管理人依法发行的资产管理产品的活动。</w:t>
      </w:r>
    </w:p>
    <w:p w14:paraId="75D6555D">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3.</w:t>
      </w:r>
      <w:r>
        <w:rPr>
          <w:rFonts w:hint="eastAsia" w:ascii="仿宋_GB2312" w:hAnsi="宋体" w:cs="宋体"/>
          <w:bCs/>
          <w:color w:val="auto"/>
          <w:kern w:val="0"/>
          <w:szCs w:val="24"/>
          <w:highlight w:val="none"/>
        </w:rPr>
        <w:t>托管人</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产品托管人</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理财产品托管人</w:t>
      </w:r>
      <w:r>
        <w:rPr>
          <w:rFonts w:hint="eastAsia" w:ascii="仿宋_GB2312" w:hAnsi="宋体" w:cs="宋体"/>
          <w:bCs/>
          <w:color w:val="auto"/>
          <w:kern w:val="0"/>
          <w:szCs w:val="24"/>
          <w:highlight w:val="none"/>
          <w:u w:val="none"/>
          <w:lang w:val="en-US" w:eastAsia="zh-CN"/>
        </w:rPr>
        <w:t>/发行机构</w:t>
      </w:r>
      <w:r>
        <w:rPr>
          <w:rFonts w:hint="eastAsia" w:ascii="仿宋_GB2312" w:hAnsi="宋体" w:cs="宋体"/>
          <w:bCs/>
          <w:color w:val="auto"/>
          <w:kern w:val="0"/>
          <w:szCs w:val="24"/>
          <w:highlight w:val="none"/>
        </w:rPr>
        <w:t>：</w:t>
      </w:r>
      <w:r>
        <w:rPr>
          <w:rFonts w:ascii="仿宋_GB2312" w:hAnsi="宋体" w:cs="宋体"/>
          <w:bCs/>
          <w:color w:val="auto"/>
          <w:kern w:val="0"/>
          <w:szCs w:val="24"/>
          <w:highlight w:val="none"/>
        </w:rPr>
        <w:t>指</w:t>
      </w:r>
      <w:r>
        <w:rPr>
          <w:rFonts w:hint="eastAsia" w:ascii="仿宋_GB2312" w:hAnsi="宋体" w:cs="宋体"/>
          <w:bCs/>
          <w:color w:val="auto"/>
          <w:kern w:val="0"/>
          <w:szCs w:val="24"/>
          <w:highlight w:val="none"/>
        </w:rPr>
        <w:t>根据管理人委托对理财产品财产进行托管的机构。本理财</w:t>
      </w:r>
      <w:r>
        <w:rPr>
          <w:rFonts w:ascii="仿宋_GB2312" w:hAnsi="宋体" w:cs="宋体"/>
          <w:bCs/>
          <w:color w:val="auto"/>
          <w:kern w:val="0"/>
          <w:szCs w:val="24"/>
          <w:highlight w:val="none"/>
        </w:rPr>
        <w:t>产品托管人</w:t>
      </w:r>
      <w:r>
        <w:rPr>
          <w:rFonts w:hint="eastAsia" w:ascii="仿宋_GB2312" w:hAnsi="宋体" w:cs="宋体"/>
          <w:bCs/>
          <w:color w:val="auto"/>
          <w:kern w:val="0"/>
          <w:szCs w:val="24"/>
          <w:highlight w:val="none"/>
        </w:rPr>
        <w:t>指</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rPr>
        <w:t>（简称</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rPr>
        <w:t>）。</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rPr>
        <w:t>具备理财产品托管资格。</w:t>
      </w:r>
    </w:p>
    <w:p w14:paraId="595AC00A">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4.投资者：指符合相关法律法规、监管规定要求的，可以购买理财产品份额的自然人、法人及</w:t>
      </w:r>
      <w:r>
        <w:rPr>
          <w:rFonts w:ascii="仿宋_GB2312" w:hAnsi="宋体" w:cs="宋体"/>
          <w:bCs/>
          <w:color w:val="auto"/>
          <w:kern w:val="0"/>
          <w:szCs w:val="24"/>
          <w:highlight w:val="none"/>
        </w:rPr>
        <w:t>依法成立的</w:t>
      </w:r>
      <w:r>
        <w:rPr>
          <w:rFonts w:hint="eastAsia" w:ascii="仿宋_GB2312" w:hAnsi="宋体" w:cs="宋体"/>
          <w:bCs/>
          <w:color w:val="auto"/>
          <w:kern w:val="0"/>
          <w:szCs w:val="24"/>
          <w:highlight w:val="none"/>
        </w:rPr>
        <w:t>其他</w:t>
      </w:r>
      <w:r>
        <w:rPr>
          <w:rFonts w:ascii="仿宋_GB2312" w:hAnsi="宋体" w:cs="宋体"/>
          <w:bCs/>
          <w:color w:val="auto"/>
          <w:kern w:val="0"/>
          <w:szCs w:val="24"/>
          <w:highlight w:val="none"/>
        </w:rPr>
        <w:t>组织</w:t>
      </w:r>
      <w:r>
        <w:rPr>
          <w:rFonts w:hint="eastAsia" w:ascii="仿宋_GB2312" w:hAnsi="宋体" w:cs="宋体"/>
          <w:bCs/>
          <w:color w:val="auto"/>
          <w:kern w:val="0"/>
          <w:szCs w:val="24"/>
          <w:highlight w:val="none"/>
        </w:rPr>
        <w:t xml:space="preserve">。 </w:t>
      </w:r>
    </w:p>
    <w:p w14:paraId="21A71252">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5.合格投资者：合格投资者是指具备相应风险识别能力和风险承受能力，投资于单只理财产品不低于一定金额且符合下列条件的自然人、法人或者依法成立的其他组织：</w:t>
      </w:r>
    </w:p>
    <w:p w14:paraId="24D91D6B">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1）具有2年以上投资经历，且满足家庭金融净资产不低于300万元人民币，或者家庭金融资产不低于500万元人民币，或者近3年本人年均收入不低于40万元人民币；</w:t>
      </w:r>
    </w:p>
    <w:p w14:paraId="0174FFAB">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2）最近1年末净资产不低于1000万元人民币的法人或者依法成立的其他组织；</w:t>
      </w:r>
    </w:p>
    <w:p w14:paraId="57B28360">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3）国务院银行业监督管理机构规定的其他情形。</w:t>
      </w:r>
    </w:p>
    <w:p w14:paraId="47ECA757">
      <w:pPr>
        <w:tabs>
          <w:tab w:val="left" w:pos="709"/>
        </w:tabs>
        <w:snapToGrid w:val="0"/>
        <w:spacing w:line="360" w:lineRule="auto"/>
        <w:ind w:firstLine="420" w:firstLineChars="200"/>
        <w:rPr>
          <w:rFonts w:hint="eastAsia" w:ascii="仿宋_GB2312" w:hAnsi="宋体" w:cs="宋体"/>
          <w:bCs/>
          <w:color w:val="auto"/>
          <w:kern w:val="0"/>
          <w:szCs w:val="24"/>
          <w:highlight w:val="none"/>
          <w:lang w:val="en-US" w:eastAsia="zh-CN"/>
        </w:rPr>
      </w:pPr>
      <w:r>
        <w:rPr>
          <w:rFonts w:hint="eastAsia" w:ascii="仿宋_GB2312" w:hAnsi="宋体" w:cs="宋体"/>
          <w:bCs/>
          <w:color w:val="auto"/>
          <w:kern w:val="0"/>
          <w:szCs w:val="24"/>
          <w:highlight w:val="none"/>
          <w:lang w:val="en-US" w:eastAsia="zh-CN"/>
        </w:rPr>
        <w:t>6.专业投资者：符合下列条件之一的是专业投资者：</w:t>
      </w:r>
    </w:p>
    <w:p w14:paraId="5E492910">
      <w:pPr>
        <w:tabs>
          <w:tab w:val="left" w:pos="709"/>
        </w:tabs>
        <w:snapToGrid w:val="0"/>
        <w:spacing w:line="360" w:lineRule="auto"/>
        <w:ind w:firstLine="420" w:firstLineChars="200"/>
        <w:rPr>
          <w:rFonts w:hint="eastAsia" w:ascii="仿宋_GB2312" w:hAnsi="宋体" w:cs="宋体"/>
          <w:bCs/>
          <w:color w:val="auto"/>
          <w:kern w:val="0"/>
          <w:szCs w:val="24"/>
          <w:highlight w:val="none"/>
          <w:lang w:val="en-US" w:eastAsia="zh-CN"/>
        </w:rPr>
      </w:pPr>
      <w:r>
        <w:rPr>
          <w:rFonts w:hint="eastAsia" w:ascii="仿宋_GB2312" w:hAnsi="宋体" w:cs="宋体"/>
          <w:bCs/>
          <w:color w:val="auto"/>
          <w:kern w:val="0"/>
          <w:szCs w:val="24"/>
          <w:highlight w:val="none"/>
          <w:lang w:val="en-US" w:eastAsia="zh-CN"/>
        </w:rPr>
        <w:t>1）银行业金融机构、保险业金融机构、金融控股公司、证券基金期货经营机构、私募基金管理人；</w:t>
      </w:r>
    </w:p>
    <w:p w14:paraId="724FB6A9">
      <w:pPr>
        <w:tabs>
          <w:tab w:val="left" w:pos="709"/>
        </w:tabs>
        <w:snapToGrid w:val="0"/>
        <w:spacing w:line="360" w:lineRule="auto"/>
        <w:ind w:firstLine="420" w:firstLineChars="200"/>
        <w:rPr>
          <w:rFonts w:hint="eastAsia" w:ascii="仿宋_GB2312" w:hAnsi="宋体" w:cs="宋体"/>
          <w:bCs/>
          <w:color w:val="auto"/>
          <w:kern w:val="0"/>
          <w:szCs w:val="24"/>
          <w:highlight w:val="none"/>
          <w:lang w:val="en-US" w:eastAsia="zh-CN"/>
        </w:rPr>
      </w:pPr>
      <w:r>
        <w:rPr>
          <w:rFonts w:hint="eastAsia" w:ascii="仿宋_GB2312" w:hAnsi="宋体" w:cs="宋体"/>
          <w:bCs/>
          <w:color w:val="auto"/>
          <w:kern w:val="0"/>
          <w:szCs w:val="24"/>
          <w:highlight w:val="none"/>
          <w:lang w:val="en-US" w:eastAsia="zh-CN"/>
        </w:rPr>
        <w:t>2）上述机构面向投资者发行的金融产品，信托公司管理的资产服务信托、公益慈善信托；</w:t>
      </w:r>
    </w:p>
    <w:p w14:paraId="1D8D24D6">
      <w:pPr>
        <w:tabs>
          <w:tab w:val="left" w:pos="709"/>
        </w:tabs>
        <w:snapToGrid w:val="0"/>
        <w:spacing w:line="360" w:lineRule="auto"/>
        <w:ind w:firstLine="420" w:firstLineChars="200"/>
        <w:rPr>
          <w:rFonts w:hint="eastAsia" w:ascii="仿宋_GB2312" w:hAnsi="宋体" w:cs="宋体"/>
          <w:bCs/>
          <w:color w:val="auto"/>
          <w:kern w:val="0"/>
          <w:szCs w:val="24"/>
          <w:highlight w:val="none"/>
          <w:lang w:val="en-US" w:eastAsia="zh-CN"/>
        </w:rPr>
      </w:pPr>
      <w:r>
        <w:rPr>
          <w:rFonts w:hint="eastAsia" w:ascii="仿宋_GB2312" w:hAnsi="宋体" w:cs="宋体"/>
          <w:bCs/>
          <w:color w:val="auto"/>
          <w:kern w:val="0"/>
          <w:szCs w:val="24"/>
          <w:highlight w:val="none"/>
          <w:lang w:val="en-US" w:eastAsia="zh-CN"/>
        </w:rPr>
        <w:t>3）社会保障基金、企业年金、职业年金等养老基金，慈善基金等社会公益基金，合格境外机构投资者（QFII）、人民币合格境外机构投资者（RQFII）。</w:t>
      </w:r>
    </w:p>
    <w:p w14:paraId="17ABDD66">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lang w:val="en-US" w:eastAsia="zh-CN"/>
        </w:rPr>
        <w:t>7.普通投资者：专业投资者之外的投资者为普通投资者。</w:t>
      </w:r>
    </w:p>
    <w:p w14:paraId="03AAA75A">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lang w:val="en-US" w:eastAsia="zh-CN"/>
        </w:rPr>
        <w:t>8</w:t>
      </w:r>
      <w:r>
        <w:rPr>
          <w:rFonts w:hint="eastAsia" w:ascii="仿宋_GB2312" w:hAnsi="宋体" w:cs="宋体"/>
          <w:bCs/>
          <w:color w:val="auto"/>
          <w:kern w:val="0"/>
          <w:szCs w:val="24"/>
          <w:highlight w:val="none"/>
        </w:rPr>
        <w:t>.全国银行业理财信息登记系统：指供商业银行及商业银行理财公司进行理财产品电子化报告和信息登记的电子信息系统。</w:t>
      </w:r>
    </w:p>
    <w:p w14:paraId="0327C8E0">
      <w:pPr>
        <w:pStyle w:val="3"/>
        <w:numPr>
          <w:ilvl w:val="1"/>
          <w:numId w:val="10"/>
        </w:numPr>
        <w:ind w:firstLine="482"/>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 xml:space="preserve">法律文件用语 </w:t>
      </w:r>
    </w:p>
    <w:p w14:paraId="69E20033">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1.理财产品销售文件/销售文件：指产品管理人向投资者提供的，用于描述产品特征，约定权利义务的文件。具体指浙银理财</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rPr>
        <w:t>理财产品全套销售文件，包括《投资协议书》、《产品说明书》、《（代理）销售协议书》、《风险揭示书》、《投资者权益须知》以及对该文件的有效修改或补充。上述文件共同构成一份完整且不可分割的理财产品销售文件。经产品管理人委托，代理销售机构可以编制《（代理）销售协议书》、《风险揭示书》、《投资者权益须知》。</w:t>
      </w:r>
    </w:p>
    <w:p w14:paraId="46473522">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2.《投资协议书》：指管理人统一编制的《浙银理财理财产品投资协议书》，以及对该文件的有效修改或补充。</w:t>
      </w:r>
    </w:p>
    <w:p w14:paraId="136A372B">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3.《产品说明书》：指管理人统一编制的《浙银理财</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rPr>
        <w:t>理财产品说明书》，以及对该文件的有效修改或补充。</w:t>
      </w:r>
    </w:p>
    <w:p w14:paraId="30DAADF0">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4.《（代理）销售协议书》：指管理人统一编制的《浙银理财理财产品（代理）销售协议书》或代理销售机构接受产品管理人委托自行编制的《理财产品（代理）销售协议书》（文件名称以代理销售机构实际编制为准），以及对该文件的有效修改或补充。</w:t>
      </w:r>
    </w:p>
    <w:p w14:paraId="24433EC9">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5.《风险揭示书》：指管理人统一编制的《浙银理财</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rPr>
        <w:t>理财产品风险揭示书》或代理销售机构接受产品管理人委托自行编制的《浙银理财</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rPr>
        <w:t>理财产品风险揭示书》（文件名称以代理销售机构实际编制为准），以及对该文件的有效修改或补充。</w:t>
      </w:r>
    </w:p>
    <w:p w14:paraId="70270E44">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6.《投资者权益须知》：指管理人统一编制的《理财产品投资者权益须知》或代理销售机构接受产品管理人委托自行编制的《理财产品投资者权益须知》（文件名称以代理销售机构实际编制为准），以及对该文件的有效修改或补充。</w:t>
      </w:r>
    </w:p>
    <w:p w14:paraId="0264BE6B">
      <w:pPr>
        <w:pStyle w:val="3"/>
        <w:numPr>
          <w:ilvl w:val="1"/>
          <w:numId w:val="10"/>
        </w:numPr>
        <w:ind w:firstLine="482"/>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 xml:space="preserve">理财产品用语 </w:t>
      </w:r>
    </w:p>
    <w:p w14:paraId="713963C1">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理财产品登记编码：指本款理财产品在全国银行业理财信息登记系统对理财产品进行信息登记后，由全国银行业理财信息登记系统发放的唯一性的理财产品编码。投资者可依据登记编码在中国理财网（www.chinawealth.com.cn）查询产品信息。</w:t>
      </w:r>
    </w:p>
    <w:p w14:paraId="70E57A83">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2.理财产品代码/产品代码：指产品管理人在全国银行业理财信息登记系统中为理财产品设置的内部识别码。</w:t>
      </w:r>
    </w:p>
    <w:p w14:paraId="487BD384">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3.理财产品销售代码/销售代码：指本款理财产品若设置不同产品份额类别，为在理财产品销售管理过程中区分不同产品份额类别，管理人在同一理财产品代码项下，为每类份额类别设置的唯一性内部识别码。</w:t>
      </w:r>
    </w:p>
    <w:p w14:paraId="7413135F">
      <w:pPr>
        <w:tabs>
          <w:tab w:val="left" w:pos="709"/>
        </w:tabs>
        <w:snapToGrid w:val="0"/>
        <w:spacing w:line="360" w:lineRule="auto"/>
        <w:ind w:firstLine="420" w:firstLineChars="200"/>
        <w:rPr>
          <w:rFonts w:hint="default" w:ascii="仿宋_GB2312" w:hAnsi="宋体" w:eastAsia="仿宋_GB2312" w:cs="宋体"/>
          <w:bCs/>
          <w:color w:val="auto"/>
          <w:kern w:val="0"/>
          <w:szCs w:val="24"/>
          <w:highlight w:val="none"/>
          <w:lang w:val="en-US" w:eastAsia="zh-CN"/>
        </w:rPr>
      </w:pPr>
      <w:r>
        <w:rPr>
          <w:rFonts w:hint="eastAsia" w:ascii="仿宋_GB2312" w:hAnsi="宋体" w:cs="宋体"/>
          <w:bCs/>
          <w:color w:val="auto"/>
          <w:kern w:val="0"/>
          <w:szCs w:val="24"/>
          <w:highlight w:val="none"/>
        </w:rPr>
        <w:t>4.理财产品风险等级：理财产品风险等级为产品管理人和销售机构经过审慎评估后确定的产品风险等级。若本产品通过代理销售机构销售的，理财产品风险等级以代理销售机构最终披露的风险等级结果为准。产品管理人和代理销售机构对理财产品的风险等级评估结果不一致时，代理销售机构应采用对应较高风险的评级结果。</w:t>
      </w:r>
      <w:r>
        <w:rPr>
          <w:rFonts w:hint="eastAsia" w:ascii="仿宋_GB2312" w:hAnsi="宋体" w:cs="宋体"/>
          <w:bCs/>
          <w:color w:val="auto"/>
          <w:kern w:val="0"/>
          <w:szCs w:val="24"/>
          <w:highlight w:val="none"/>
          <w:lang w:val="en-US" w:eastAsia="zh-CN"/>
        </w:rPr>
        <w:t>产品管理人在符合监管政策的前提下可对产品风险评级进行动态管理，如产品风险等级发生调整，将提前通过本《产品说明书》“信息披露”约定的方式通知投资者。</w:t>
      </w:r>
    </w:p>
    <w:p w14:paraId="356CA577">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5.投资者风险承受能力评估：指销售机构对理财投资者的风险承受能力进行评价的过程。</w:t>
      </w:r>
    </w:p>
    <w:p w14:paraId="52E9B2A5">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6.理财产品份额：指投资者持有本理财产品的单位数额。投资者基于其所持有的理财产品单位数额享有理财产品利益、承担理财产品风险。理财产品份额四舍五入保留2位小数。</w:t>
      </w:r>
    </w:p>
    <w:p w14:paraId="1C80475E">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7.理财产品资产净值/理财资产净值/产品资产净值：理财产品资产净值=理财产品资产总值-理财产品负债总值。</w:t>
      </w:r>
    </w:p>
    <w:p w14:paraId="626108AC">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理财产品资产总值是指理财产品拥有的各类有价证券、银行存款、应收款项及其他资产的价值总和。</w:t>
      </w:r>
    </w:p>
    <w:p w14:paraId="6297570B">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理财产品负债总值是指理财产品运作及融资时形成的负债价值总和，包括融资资金本息、</w:t>
      </w:r>
      <w:r>
        <w:rPr>
          <w:rFonts w:hint="eastAsia" w:ascii="仿宋_GB2312" w:hAnsi="宋体" w:cs="宋体"/>
          <w:bCs/>
          <w:color w:val="auto"/>
          <w:kern w:val="0"/>
          <w:sz w:val="22"/>
          <w:highlight w:val="none"/>
        </w:rPr>
        <w:t>应付各项费用</w:t>
      </w:r>
      <w:r>
        <w:rPr>
          <w:rFonts w:hint="eastAsia" w:ascii="仿宋_GB2312" w:hAnsi="宋体" w:cs="宋体"/>
          <w:bCs/>
          <w:color w:val="auto"/>
          <w:kern w:val="0"/>
          <w:szCs w:val="24"/>
          <w:highlight w:val="none"/>
        </w:rPr>
        <w:t>（包括</w:t>
      </w:r>
      <w:r>
        <w:rPr>
          <w:rFonts w:hint="eastAsia" w:ascii="仿宋_GB2312" w:hAnsi="宋体" w:cs="宋体"/>
          <w:bCs/>
          <w:color w:val="auto"/>
          <w:kern w:val="0"/>
          <w:szCs w:val="24"/>
          <w:highlight w:val="none"/>
          <w:lang w:eastAsia="zh-CN"/>
        </w:rPr>
        <w:t>托管费</w:t>
      </w:r>
      <w:r>
        <w:rPr>
          <w:rFonts w:hint="eastAsia" w:ascii="仿宋_GB2312" w:hAnsi="宋体" w:cs="宋体"/>
          <w:bCs/>
          <w:color w:val="auto"/>
          <w:kern w:val="0"/>
          <w:szCs w:val="24"/>
          <w:highlight w:val="none"/>
        </w:rPr>
        <w:t>、认购费、</w:t>
      </w:r>
      <w:r>
        <w:rPr>
          <w:rFonts w:hint="eastAsia" w:ascii="仿宋_GB2312" w:hAnsi="宋体" w:cs="宋体"/>
          <w:bCs/>
          <w:color w:val="auto"/>
          <w:kern w:val="0"/>
          <w:szCs w:val="24"/>
          <w:highlight w:val="none"/>
          <w:lang w:eastAsia="zh-CN"/>
        </w:rPr>
        <w:t>固定管理费</w:t>
      </w:r>
      <w:r>
        <w:rPr>
          <w:rFonts w:hint="eastAsia" w:ascii="仿宋_GB2312" w:hAnsi="宋体" w:cs="宋体"/>
          <w:bCs/>
          <w:color w:val="auto"/>
          <w:kern w:val="0"/>
          <w:szCs w:val="24"/>
          <w:highlight w:val="none"/>
        </w:rPr>
        <w:t>、</w:t>
      </w:r>
      <w:r>
        <w:rPr>
          <w:rFonts w:hint="eastAsia" w:ascii="仿宋_GB2312" w:hAnsi="宋体" w:cs="宋体"/>
          <w:bCs/>
          <w:color w:val="auto"/>
          <w:kern w:val="0"/>
          <w:szCs w:val="24"/>
          <w:highlight w:val="none"/>
          <w:lang w:eastAsia="zh-CN"/>
        </w:rPr>
        <w:t>浮动管理费</w:t>
      </w:r>
      <w:r>
        <w:rPr>
          <w:rFonts w:hint="eastAsia" w:ascii="仿宋_GB2312" w:hAnsi="宋体" w:cs="宋体"/>
          <w:bCs/>
          <w:color w:val="auto"/>
          <w:kern w:val="0"/>
          <w:szCs w:val="24"/>
          <w:highlight w:val="none"/>
        </w:rPr>
        <w:t>、其他费用等）、应付税金及其他应付款项等。</w:t>
      </w:r>
    </w:p>
    <w:p w14:paraId="66D00AE5">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8.理财产品份额净值/理财份额净值/产品份额净值：指理财产品份额的单位净值，即每1份理财产品份额以人民币计价的价格。理财产品份额净值=理财资产净值/产品总份额。投资者按该份额净值进行理财产品申购、赎回时分配。</w:t>
      </w:r>
      <w:r>
        <w:rPr>
          <w:rFonts w:hint="eastAsia" w:ascii="仿宋_GB2312" w:hAnsi="宋体" w:cs="宋体"/>
          <w:b/>
          <w:bCs w:val="0"/>
          <w:color w:val="auto"/>
          <w:kern w:val="0"/>
          <w:szCs w:val="24"/>
          <w:highlight w:val="none"/>
        </w:rPr>
        <w:t>理财产品份额净值四舍五入保留</w:t>
      </w:r>
      <w:r>
        <w:rPr>
          <w:rFonts w:hint="eastAsia" w:ascii="仿宋_GB2312" w:hAnsi="宋体" w:cs="宋体"/>
          <w:b/>
          <w:bCs w:val="0"/>
          <w:color w:val="auto"/>
          <w:kern w:val="0"/>
          <w:szCs w:val="24"/>
          <w:highlight w:val="yellow"/>
          <w:lang w:eastAsia="zh-CN"/>
        </w:rPr>
        <w:t>【</w:t>
      </w:r>
      <w:r>
        <w:rPr>
          <w:rFonts w:hint="eastAsia" w:ascii="仿宋_GB2312" w:hAnsi="宋体" w:cs="宋体"/>
          <w:b/>
          <w:bCs w:val="0"/>
          <w:color w:val="auto"/>
          <w:kern w:val="0"/>
          <w:szCs w:val="24"/>
          <w:highlight w:val="yellow"/>
          <w:lang w:val="en-US" w:eastAsia="zh-CN"/>
        </w:rPr>
        <w:t>8</w:t>
      </w:r>
      <w:r>
        <w:rPr>
          <w:rFonts w:hint="eastAsia" w:ascii="仿宋_GB2312" w:hAnsi="宋体" w:cs="宋体"/>
          <w:b/>
          <w:bCs w:val="0"/>
          <w:color w:val="auto"/>
          <w:kern w:val="0"/>
          <w:szCs w:val="24"/>
          <w:highlight w:val="yellow"/>
        </w:rPr>
        <w:t>位</w:t>
      </w:r>
      <w:r>
        <w:rPr>
          <w:rFonts w:hint="eastAsia" w:ascii="仿宋_GB2312" w:hAnsi="宋体" w:cs="宋体"/>
          <w:b/>
          <w:bCs w:val="0"/>
          <w:color w:val="auto"/>
          <w:kern w:val="0"/>
          <w:szCs w:val="24"/>
          <w:highlight w:val="yellow"/>
          <w:lang w:eastAsia="zh-CN"/>
        </w:rPr>
        <w:t>】</w:t>
      </w:r>
      <w:r>
        <w:rPr>
          <w:rFonts w:hint="eastAsia" w:ascii="仿宋_GB2312" w:hAnsi="宋体" w:cs="宋体"/>
          <w:b/>
          <w:bCs w:val="0"/>
          <w:color w:val="auto"/>
          <w:kern w:val="0"/>
          <w:szCs w:val="24"/>
          <w:highlight w:val="none"/>
        </w:rPr>
        <w:t>小数</w:t>
      </w:r>
      <w:r>
        <w:rPr>
          <w:rFonts w:hint="eastAsia" w:ascii="仿宋_GB2312" w:hAnsi="宋体" w:cs="宋体"/>
          <w:bCs/>
          <w:color w:val="auto"/>
          <w:kern w:val="0"/>
          <w:szCs w:val="24"/>
          <w:highlight w:val="none"/>
        </w:rPr>
        <w:t>。</w:t>
      </w:r>
    </w:p>
    <w:p w14:paraId="395305FC">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理财产品份额净值可以展示为</w:t>
      </w:r>
      <w:r>
        <w:rPr>
          <w:rFonts w:ascii="仿宋_GB2312" w:hAnsi="宋体" w:cs="宋体"/>
          <w:b/>
          <w:color w:val="auto"/>
          <w:kern w:val="0"/>
          <w:szCs w:val="24"/>
          <w:highlight w:val="none"/>
        </w:rPr>
        <w:t>当前理财产品份额净值</w:t>
      </w:r>
      <w:r>
        <w:rPr>
          <w:rFonts w:hint="eastAsia" w:ascii="仿宋_GB2312" w:hAnsi="宋体" w:cs="宋体"/>
          <w:bCs/>
          <w:color w:val="auto"/>
          <w:kern w:val="0"/>
          <w:szCs w:val="24"/>
          <w:highlight w:val="none"/>
        </w:rPr>
        <w:t>和</w:t>
      </w:r>
      <w:r>
        <w:rPr>
          <w:rFonts w:ascii="仿宋_GB2312" w:hAnsi="宋体" w:cs="宋体"/>
          <w:b/>
          <w:color w:val="auto"/>
          <w:kern w:val="0"/>
          <w:szCs w:val="24"/>
          <w:highlight w:val="none"/>
        </w:rPr>
        <w:t>累计理财产品份额净值</w:t>
      </w:r>
      <w:r>
        <w:rPr>
          <w:rFonts w:hint="eastAsia" w:ascii="仿宋_GB2312" w:hAnsi="宋体" w:cs="宋体"/>
          <w:bCs/>
          <w:color w:val="auto"/>
          <w:kern w:val="0"/>
          <w:szCs w:val="24"/>
          <w:highlight w:val="none"/>
        </w:rPr>
        <w:t>。</w:t>
      </w:r>
    </w:p>
    <w:p w14:paraId="34861CE7">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当前理财产品份额净值，指产品当前的份额净值。</w:t>
      </w:r>
    </w:p>
    <w:p w14:paraId="515A56CD">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累计理财产品份额净值，指产品当前份额净值及产品成立到现在单位理财产品份额分红之和。</w:t>
      </w:r>
    </w:p>
    <w:p w14:paraId="1513F62A">
      <w:pPr>
        <w:tabs>
          <w:tab w:val="left" w:pos="709"/>
        </w:tabs>
        <w:snapToGrid w:val="0"/>
        <w:spacing w:line="360" w:lineRule="auto"/>
        <w:ind w:firstLine="422" w:firstLineChars="200"/>
        <w:rPr>
          <w:rFonts w:hint="eastAsia" w:ascii="仿宋_GB2312" w:hAnsi="宋体" w:cs="宋体"/>
          <w:b/>
          <w:color w:val="auto"/>
          <w:kern w:val="0"/>
          <w:szCs w:val="24"/>
          <w:highlight w:val="none"/>
        </w:rPr>
      </w:pPr>
      <w:r>
        <w:rPr>
          <w:rFonts w:ascii="仿宋_GB2312" w:hAnsi="宋体" w:cs="宋体"/>
          <w:b/>
          <w:color w:val="auto"/>
          <w:kern w:val="0"/>
          <w:szCs w:val="24"/>
          <w:highlight w:val="none"/>
        </w:rPr>
        <w:t>（注：若无特别说明，理财产品份额净值通常指当前理财产品份额净值）</w:t>
      </w:r>
    </w:p>
    <w:p w14:paraId="27F5E0C6">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9.理财产品估值：指计算评估理财产品资产和理财产品负债的价值，以确定理财产品份额净值的过程。</w:t>
      </w:r>
    </w:p>
    <w:p w14:paraId="439181E5">
      <w:pPr>
        <w:tabs>
          <w:tab w:val="left" w:pos="709"/>
        </w:tabs>
        <w:snapToGrid w:val="0"/>
        <w:spacing w:line="360" w:lineRule="auto"/>
        <w:ind w:firstLine="420" w:firstLineChars="200"/>
        <w:rPr>
          <w:rFonts w:hint="eastAsia" w:ascii="仿宋_GB2312" w:hAnsi="宋体" w:cs="宋体"/>
          <w:b/>
          <w:color w:val="auto"/>
          <w:kern w:val="0"/>
          <w:szCs w:val="24"/>
          <w:highlight w:val="none"/>
        </w:rPr>
      </w:pPr>
      <w:r>
        <w:rPr>
          <w:rFonts w:hint="eastAsia" w:ascii="仿宋_GB2312" w:hAnsi="宋体" w:cs="宋体"/>
          <w:bCs/>
          <w:color w:val="auto"/>
          <w:kern w:val="0"/>
          <w:szCs w:val="24"/>
          <w:highlight w:val="none"/>
        </w:rPr>
        <w:t>10.业绩比较基准：指管理人基于过往投资经验及对产品存续期投资市场波动的预判而对本产品所设定的投资目标。</w:t>
      </w:r>
      <w:r>
        <w:rPr>
          <w:rFonts w:ascii="仿宋_GB2312" w:hAnsi="宋体" w:cs="宋体"/>
          <w:b/>
          <w:color w:val="auto"/>
          <w:kern w:val="0"/>
          <w:szCs w:val="24"/>
          <w:highlight w:val="none"/>
        </w:rPr>
        <w:t>业绩比较基准不代表理财产品未来表现，不等于理财产品实际收益，不作为产品收益的业绩保证，投资须谨慎。</w:t>
      </w:r>
    </w:p>
    <w:p w14:paraId="7B0488E5">
      <w:pPr>
        <w:tabs>
          <w:tab w:val="left" w:pos="709"/>
        </w:tabs>
        <w:snapToGrid w:val="0"/>
        <w:spacing w:line="360" w:lineRule="auto"/>
        <w:ind w:firstLine="420" w:firstLineChars="200"/>
        <w:rPr>
          <w:rFonts w:hint="eastAsia" w:ascii="仿宋_GB2312" w:hAnsi="宋体" w:cs="宋体"/>
          <w:b/>
          <w:color w:val="auto"/>
          <w:kern w:val="0"/>
          <w:szCs w:val="24"/>
          <w:highlight w:val="none"/>
        </w:rPr>
      </w:pPr>
      <w:r>
        <w:rPr>
          <w:rFonts w:ascii="仿宋_GB2312" w:hAnsi="宋体" w:cs="宋体"/>
          <w:bCs/>
          <w:color w:val="auto"/>
          <w:kern w:val="0"/>
          <w:szCs w:val="24"/>
          <w:highlight w:val="none"/>
        </w:rPr>
        <w:t>11.</w:t>
      </w:r>
      <w:r>
        <w:rPr>
          <w:rFonts w:hint="eastAsia" w:ascii="仿宋_GB2312" w:hAnsi="宋体" w:cs="宋体"/>
          <w:bCs/>
          <w:color w:val="auto"/>
          <w:kern w:val="0"/>
          <w:szCs w:val="24"/>
          <w:highlight w:val="none"/>
          <w:u w:val="none"/>
          <w:lang w:eastAsia="zh-CN"/>
        </w:rPr>
        <w:t>浮动管理费</w:t>
      </w:r>
      <w:r>
        <w:rPr>
          <w:rFonts w:ascii="仿宋_GB2312" w:hAnsi="宋体" w:cs="宋体"/>
          <w:bCs/>
          <w:color w:val="auto"/>
          <w:kern w:val="0"/>
          <w:szCs w:val="24"/>
          <w:highlight w:val="none"/>
        </w:rPr>
        <w:t>计提基准：指管理人收取</w:t>
      </w:r>
      <w:r>
        <w:rPr>
          <w:rFonts w:hint="eastAsia" w:ascii="仿宋_GB2312" w:hAnsi="宋体" w:cs="宋体"/>
          <w:bCs/>
          <w:color w:val="auto"/>
          <w:kern w:val="0"/>
          <w:szCs w:val="24"/>
          <w:highlight w:val="none"/>
          <w:lang w:eastAsia="zh-CN"/>
        </w:rPr>
        <w:t>浮动管理费</w:t>
      </w:r>
      <w:r>
        <w:rPr>
          <w:rFonts w:ascii="仿宋_GB2312" w:hAnsi="宋体" w:cs="宋体"/>
          <w:bCs/>
          <w:color w:val="auto"/>
          <w:kern w:val="0"/>
          <w:szCs w:val="24"/>
          <w:highlight w:val="none"/>
        </w:rPr>
        <w:t>的参照相关数值标准。</w:t>
      </w:r>
      <w:r>
        <w:rPr>
          <w:rFonts w:hint="eastAsia" w:ascii="仿宋_GB2312" w:hAnsi="宋体" w:cs="宋体"/>
          <w:b/>
          <w:color w:val="auto"/>
          <w:kern w:val="0"/>
          <w:szCs w:val="24"/>
          <w:highlight w:val="none"/>
          <w:u w:val="none"/>
          <w:lang w:eastAsia="zh-CN"/>
        </w:rPr>
        <w:t>浮动管理费</w:t>
      </w:r>
      <w:r>
        <w:rPr>
          <w:rFonts w:ascii="仿宋_GB2312" w:hAnsi="宋体" w:cs="宋体"/>
          <w:b/>
          <w:color w:val="auto"/>
          <w:kern w:val="0"/>
          <w:szCs w:val="24"/>
          <w:highlight w:val="none"/>
        </w:rPr>
        <w:t>计提基准不代表理财产品未来表现，不等于理财产品实际收益，不作为产品收益的业绩保证，投资须谨慎。</w:t>
      </w:r>
    </w:p>
    <w:p w14:paraId="04D66631">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12.理财产品利益/理财利益</w:t>
      </w:r>
      <w:r>
        <w:rPr>
          <w:rFonts w:hint="eastAsia" w:ascii="仿宋_GB2312" w:hAnsi="宋体" w:cs="宋体"/>
          <w:bCs/>
          <w:color w:val="auto"/>
          <w:kern w:val="0"/>
          <w:szCs w:val="24"/>
          <w:highlight w:val="none"/>
          <w:lang w:val="en-US" w:eastAsia="zh-CN"/>
        </w:rPr>
        <w:t>/</w:t>
      </w:r>
      <w:r>
        <w:rPr>
          <w:rFonts w:hint="eastAsia" w:ascii="仿宋_GB2312" w:hAnsi="宋体" w:cs="宋体"/>
          <w:bCs/>
          <w:color w:val="auto"/>
          <w:kern w:val="0"/>
          <w:szCs w:val="24"/>
          <w:highlight w:val="none"/>
          <w:u w:val="none"/>
          <w:lang w:val="en-US" w:eastAsia="zh-CN"/>
        </w:rPr>
        <w:t>理财产品收益/理财收益</w:t>
      </w:r>
      <w:r>
        <w:rPr>
          <w:rFonts w:hint="eastAsia" w:ascii="仿宋_GB2312" w:hAnsi="宋体" w:cs="宋体"/>
          <w:bCs/>
          <w:color w:val="auto"/>
          <w:kern w:val="0"/>
          <w:szCs w:val="24"/>
          <w:highlight w:val="none"/>
        </w:rPr>
        <w:t>：指投资者因持有理财产品份额，按照销售文件约定取得或有权取得的理财产品管理人分配的理财产品资产。</w:t>
      </w:r>
    </w:p>
    <w:p w14:paraId="4F75929E">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13.</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rPr>
        <w:t>分配：指产品管理人向投资者进行理财产品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rPr>
        <w:t xml:space="preserve">分配。 </w:t>
      </w:r>
    </w:p>
    <w:p w14:paraId="76655BB5">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14.期间分配：指在理财产品终止日（不含当日）前的理财产品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rPr>
        <w:t xml:space="preserve">分配。 </w:t>
      </w:r>
    </w:p>
    <w:p w14:paraId="17A75ECF">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15.终止分配：指在理财产品终止日当日及之后的理财产品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rPr>
        <w:t>分配。</w:t>
      </w:r>
    </w:p>
    <w:p w14:paraId="48548F1A">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 xml:space="preserve">16.认购：指投资者根据本协议约定在认购期/募集期内申请购买本产品理财产品份额的行为。 </w:t>
      </w:r>
    </w:p>
    <w:p w14:paraId="4A4EAC55">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17.申购：指理财产品成立后，在理财产品申购期内，投资者申请购买理财产品份额的行为。</w:t>
      </w:r>
    </w:p>
    <w:p w14:paraId="760FE7EE">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首次申购，指未进行认购的投资者，在理财产品成立后申请购买理财产品份额的行为。投资者全额赎回不再持有理财产品份额后再次申购的，视同首次申购处理。</w:t>
      </w:r>
    </w:p>
    <w:p w14:paraId="112A86EA">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追加申购，指已经完成认购或首次申购的投资者，在理财产品成立后申请购买理财产品份额的行为。</w:t>
      </w:r>
    </w:p>
    <w:p w14:paraId="46AE74C7">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18.赎回：指理财产品成立后，在投资者持有的产品份额于投资周期结束日的下一工作日自动赎回的行为，即投资者持有的理财产品份额兑换为现金。</w:t>
      </w:r>
    </w:p>
    <w:p w14:paraId="0999E7FD">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19.巨额赎回：</w:t>
      </w:r>
      <w:r>
        <w:rPr>
          <w:rFonts w:hint="eastAsia" w:ascii="仿宋_GB2312" w:hAnsi="宋体" w:cs="宋体"/>
          <w:bCs/>
          <w:color w:val="auto"/>
          <w:kern w:val="0"/>
          <w:szCs w:val="24"/>
          <w:highlight w:val="none"/>
        </w:rPr>
        <w:t>指</w:t>
      </w:r>
      <w:r>
        <w:rPr>
          <w:rFonts w:ascii="仿宋_GB2312" w:hAnsi="宋体" w:cs="宋体"/>
          <w:bCs/>
          <w:color w:val="auto"/>
          <w:kern w:val="0"/>
          <w:szCs w:val="24"/>
          <w:highlight w:val="none"/>
        </w:rPr>
        <w:t>在理财产品存续期内，</w:t>
      </w:r>
      <w:r>
        <w:rPr>
          <w:rFonts w:hint="eastAsia" w:ascii="仿宋_GB2312" w:hAnsi="宋体" w:cs="宋体"/>
          <w:bCs/>
          <w:color w:val="auto"/>
          <w:kern w:val="0"/>
          <w:szCs w:val="24"/>
          <w:highlight w:val="none"/>
        </w:rPr>
        <w:t>单个开放日产品净赎回份额（自动赎回份额扣除申购总份额后的余额</w:t>
      </w:r>
      <w:r>
        <w:rPr>
          <w:rFonts w:ascii="仿宋_GB2312" w:hAnsi="宋体" w:cs="宋体"/>
          <w:bCs/>
          <w:color w:val="auto"/>
          <w:kern w:val="0"/>
          <w:szCs w:val="24"/>
          <w:highlight w:val="none"/>
        </w:rPr>
        <w:t>,下同）</w:t>
      </w:r>
      <w:r>
        <w:rPr>
          <w:rFonts w:hint="eastAsia" w:ascii="仿宋_GB2312" w:hAnsi="宋体" w:cs="宋体"/>
          <w:bCs/>
          <w:color w:val="auto"/>
          <w:kern w:val="0"/>
          <w:szCs w:val="24"/>
          <w:highlight w:val="none"/>
        </w:rPr>
        <w:t>超过前一日终理财产品总份额的</w:t>
      </w:r>
      <w:r>
        <w:rPr>
          <w:rFonts w:ascii="仿宋_GB2312" w:hAnsi="宋体" w:cs="宋体"/>
          <w:bCs/>
          <w:color w:val="auto"/>
          <w:kern w:val="0"/>
          <w:szCs w:val="24"/>
          <w:highlight w:val="none"/>
        </w:rPr>
        <w:t>10</w:t>
      </w:r>
      <w:r>
        <w:rPr>
          <w:rFonts w:hint="eastAsia" w:ascii="仿宋_GB2312" w:hAnsi="宋体" w:cs="宋体"/>
          <w:bCs/>
          <w:color w:val="auto"/>
          <w:kern w:val="0"/>
          <w:szCs w:val="24"/>
          <w:highlight w:val="none"/>
        </w:rPr>
        <w:t>％的赎回行为，国家金融监督管理总局另有规定的除外。</w:t>
      </w:r>
    </w:p>
    <w:p w14:paraId="72FE1B61">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20.流动性受限资产：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14:paraId="11DA63DB">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21.7个工作日可变现资产：包括可在交易所、银行间市场正常交易的股票、债券、非金融企业债务融资工具、期货及期权合约以及同业存单，7个工作日内到期或可支取的买入返售、银行存款，7个工作日内能够确认收到的各类应收款项等。</w:t>
      </w:r>
    </w:p>
    <w:p w14:paraId="40D014DA">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22.摆动定价机制：指当开放式公募理财产品遭遇大额认/申购或赎回时，通过调整理财产品份额净值的方式，将理财产品调整投资组合的市场冲击成本分配给实际认/申购、赎回的投资者，从而减少对存量理财产品份额持有人利益的不利影响，确保投资者的合法权益不受损害并得到公平对待。</w:t>
      </w:r>
    </w:p>
    <w:p w14:paraId="653CD84C">
      <w:pPr>
        <w:keepNext w:val="0"/>
        <w:keepLines w:val="0"/>
        <w:widowControl/>
        <w:numPr>
          <w:ilvl w:val="0"/>
          <w:numId w:val="0"/>
        </w:numPr>
        <w:suppressLineNumbers w:val="0"/>
        <w:tabs>
          <w:tab w:val="left" w:pos="709"/>
        </w:tabs>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23.</w:t>
      </w:r>
      <w:r>
        <w:rPr>
          <w:rFonts w:hint="eastAsia" w:ascii="仿宋_GB2312" w:hAnsi="宋体" w:eastAsia="仿宋_GB2312" w:cs="宋体"/>
          <w:b w:val="0"/>
          <w:bCs/>
          <w:color w:val="auto"/>
          <w:kern w:val="0"/>
          <w:sz w:val="24"/>
          <w:szCs w:val="24"/>
          <w:highlight w:val="none"/>
          <w:u w:val="none"/>
          <w:lang w:val="en-US" w:eastAsia="zh-CN" w:bidi="ar"/>
        </w:rPr>
        <w:t>短期赎回费机制：</w:t>
      </w:r>
      <w:r>
        <w:rPr>
          <w:rFonts w:hint="eastAsia" w:ascii="仿宋_GB2312" w:hAnsi="宋体" w:eastAsia="仿宋_GB2312" w:cs="宋体"/>
          <w:bCs/>
          <w:color w:val="auto"/>
          <w:kern w:val="0"/>
          <w:sz w:val="24"/>
          <w:szCs w:val="24"/>
          <w:highlight w:val="none"/>
          <w:u w:val="none"/>
          <w:lang w:val="en-US" w:eastAsia="zh-CN" w:bidi="ar"/>
        </w:rPr>
        <w:t>指当理财计划发生巨额赎回或管理人认为可能导致理财计划流动性风险的其他情形下，理财计划管理人可临时性收取短期赎回费以应对流动性风险事件，并将上述产生费用全额计入理财计划</w:t>
      </w:r>
      <w:r>
        <w:rPr>
          <w:rFonts w:hint="eastAsia" w:ascii="仿宋_GB2312" w:hAnsi="宋体" w:cs="宋体"/>
          <w:bCs/>
          <w:color w:val="auto"/>
          <w:kern w:val="0"/>
          <w:sz w:val="24"/>
          <w:szCs w:val="24"/>
          <w:highlight w:val="none"/>
          <w:u w:val="none"/>
          <w:lang w:val="en-US" w:eastAsia="zh-CN" w:bidi="ar"/>
        </w:rPr>
        <w:t>财产。</w:t>
      </w:r>
      <w:r>
        <w:rPr>
          <w:rFonts w:hint="eastAsia" w:ascii="仿宋_GB2312" w:hAnsi="宋体" w:eastAsia="仿宋_GB2312" w:cs="宋体"/>
          <w:bCs/>
          <w:color w:val="auto"/>
          <w:kern w:val="0"/>
          <w:sz w:val="24"/>
          <w:szCs w:val="24"/>
          <w:highlight w:val="none"/>
          <w:u w:val="none"/>
          <w:lang w:val="en-US" w:eastAsia="zh-CN" w:bidi="ar"/>
        </w:rPr>
        <w:t>在此情形下，投资者在提交赎回申请时，实际赎回金额可能少于按照赎回申请当日理财产品份额净值计算出的赎回金额。</w:t>
      </w:r>
    </w:p>
    <w:p w14:paraId="6AE96969">
      <w:pPr>
        <w:pStyle w:val="3"/>
        <w:numPr>
          <w:ilvl w:val="1"/>
          <w:numId w:val="10"/>
        </w:numPr>
        <w:ind w:firstLine="482"/>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 xml:space="preserve">期间与日期 </w:t>
      </w:r>
    </w:p>
    <w:p w14:paraId="665E56E6">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1.日：指自然日。</w:t>
      </w:r>
    </w:p>
    <w:p w14:paraId="1B8852EC">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 xml:space="preserve">2.交易日：指证券交易所的正常开盘交易日。 </w:t>
      </w:r>
    </w:p>
    <w:p w14:paraId="13435ECF">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 xml:space="preserve">3.工作日：指国家法定工作日。 </w:t>
      </w:r>
    </w:p>
    <w:p w14:paraId="51F1A79E">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4.成立日：指达到《产品说明书》约定的成立条件后本产品开始运作的日期。</w:t>
      </w:r>
    </w:p>
    <w:p w14:paraId="3CC0B925">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5.到期日/终止日：指本产品终止的日期，包括理财产品正常到期之日、提前终止之日及延期终止之日。根据《产品说明书》的约定，本产品期限为</w:t>
      </w: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yellow"/>
        </w:rPr>
        <w:t>50年</w:t>
      </w: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none"/>
        </w:rPr>
        <w:t>，但管理人有权在发生终止事件时终止该理财产品。如管理人终止理财产品，将通过约定方式向投资者进行信息披露。</w:t>
      </w:r>
    </w:p>
    <w:p w14:paraId="76B76657">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6.</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分配基准日</w:t>
      </w:r>
      <w:r>
        <w:rPr>
          <w:rFonts w:hint="eastAsia" w:ascii="仿宋_GB2312" w:hAnsi="宋体" w:cs="宋体"/>
          <w:bCs/>
          <w:color w:val="auto"/>
          <w:kern w:val="0"/>
          <w:szCs w:val="24"/>
          <w:highlight w:val="none"/>
          <w:u w:val="none"/>
          <w:lang w:val="en-US" w:eastAsia="zh-CN"/>
        </w:rPr>
        <w:t>/</w:t>
      </w:r>
      <w:r>
        <w:rPr>
          <w:rFonts w:hint="eastAsia" w:ascii="仿宋_GB2312" w:hAnsi="宋体" w:cs="宋体"/>
          <w:bCs/>
          <w:color w:val="auto"/>
          <w:kern w:val="0"/>
          <w:szCs w:val="24"/>
          <w:highlight w:val="none"/>
        </w:rPr>
        <w:t>分配基准日：指本产品管理人以该日日终产品份额净值计算并确定可供分配的投资期间理财</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rPr>
        <w:t>的日期。</w:t>
      </w:r>
    </w:p>
    <w:p w14:paraId="3ADB2C72">
      <w:pPr>
        <w:tabs>
          <w:tab w:val="left" w:pos="709"/>
        </w:tabs>
        <w:snapToGrid w:val="0"/>
        <w:spacing w:line="360" w:lineRule="auto"/>
        <w:ind w:firstLine="420" w:firstLineChars="200"/>
        <w:rPr>
          <w:rFonts w:hint="eastAsia" w:ascii="仿宋_GB2312" w:hAnsi="宋体" w:eastAsia="仿宋_GB2312" w:cs="宋体"/>
          <w:bCs/>
          <w:color w:val="auto"/>
          <w:kern w:val="0"/>
          <w:szCs w:val="24"/>
          <w:highlight w:val="none"/>
          <w:u w:val="none"/>
          <w:lang w:eastAsia="zh-CN"/>
        </w:rPr>
      </w:pPr>
      <w:r>
        <w:rPr>
          <w:rFonts w:hint="eastAsia" w:ascii="仿宋_GB2312" w:hAnsi="宋体" w:cs="宋体"/>
          <w:bCs/>
          <w:color w:val="auto"/>
          <w:kern w:val="0"/>
          <w:szCs w:val="24"/>
          <w:highlight w:val="none"/>
          <w:u w:val="none"/>
          <w:lang w:val="en-US" w:eastAsia="zh-CN"/>
        </w:rPr>
        <w:t>7.</w:t>
      </w:r>
      <w:r>
        <w:rPr>
          <w:rFonts w:hint="eastAsia" w:ascii="仿宋_GB2312" w:hAnsi="宋体" w:cs="宋体"/>
          <w:bCs/>
          <w:color w:val="auto"/>
          <w:kern w:val="0"/>
          <w:szCs w:val="24"/>
          <w:highlight w:val="none"/>
          <w:u w:val="none"/>
        </w:rPr>
        <w:t>除权日</w:t>
      </w:r>
      <w:r>
        <w:rPr>
          <w:rFonts w:hint="eastAsia" w:ascii="仿宋_GB2312" w:hAnsi="宋体" w:cs="宋体"/>
          <w:bCs/>
          <w:color w:val="auto"/>
          <w:kern w:val="0"/>
          <w:szCs w:val="24"/>
          <w:highlight w:val="none"/>
          <w:u w:val="none"/>
          <w:lang w:eastAsia="zh-CN"/>
        </w:rPr>
        <w:t>：指本产品的份额净值扣除收益分配金额的日期。</w:t>
      </w:r>
    </w:p>
    <w:p w14:paraId="640AE223">
      <w:pPr>
        <w:tabs>
          <w:tab w:val="left" w:pos="709"/>
        </w:tabs>
        <w:snapToGrid w:val="0"/>
        <w:spacing w:line="360" w:lineRule="auto"/>
        <w:ind w:firstLine="420" w:firstLineChars="200"/>
        <w:rPr>
          <w:rFonts w:hint="eastAsia" w:ascii="仿宋_GB2312" w:hAnsi="宋体" w:eastAsia="仿宋_GB2312" w:cs="宋体"/>
          <w:bCs/>
          <w:color w:val="auto"/>
          <w:kern w:val="0"/>
          <w:szCs w:val="24"/>
          <w:highlight w:val="none"/>
          <w:u w:val="none"/>
          <w:lang w:eastAsia="zh-CN"/>
        </w:rPr>
      </w:pPr>
      <w:r>
        <w:rPr>
          <w:rFonts w:hint="eastAsia" w:ascii="仿宋_GB2312" w:hAnsi="宋体" w:cs="宋体"/>
          <w:bCs/>
          <w:color w:val="auto"/>
          <w:kern w:val="0"/>
          <w:szCs w:val="24"/>
          <w:highlight w:val="none"/>
          <w:u w:val="none"/>
          <w:lang w:val="en-US" w:eastAsia="zh-CN"/>
        </w:rPr>
        <w:t>8.</w:t>
      </w:r>
      <w:r>
        <w:rPr>
          <w:rFonts w:hint="eastAsia" w:ascii="仿宋_GB2312" w:hAnsi="宋体" w:cs="宋体"/>
          <w:bCs/>
          <w:color w:val="auto"/>
          <w:kern w:val="0"/>
          <w:szCs w:val="24"/>
          <w:highlight w:val="none"/>
          <w:u w:val="none"/>
          <w:lang w:eastAsia="zh-CN"/>
        </w:rPr>
        <w:t>权益登记日：指本产品理财产品收益分配时，权益登记日登记在册的理财产品份额持有人为分配对象。</w:t>
      </w:r>
    </w:p>
    <w:p w14:paraId="6AAA12EE">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lang w:val="en-US" w:eastAsia="zh-CN"/>
        </w:rPr>
        <w:t>9</w:t>
      </w:r>
      <w:r>
        <w:rPr>
          <w:rFonts w:hint="eastAsia" w:ascii="仿宋_GB2312" w:hAnsi="宋体" w:cs="宋体"/>
          <w:bCs/>
          <w:color w:val="auto"/>
          <w:kern w:val="0"/>
          <w:szCs w:val="24"/>
          <w:highlight w:val="none"/>
        </w:rPr>
        <w:t>.分配日：指产品管理人向投资者进行理财产品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rPr>
        <w:t>分配的日期。</w:t>
      </w:r>
    </w:p>
    <w:p w14:paraId="3CA1DBB1">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lang w:val="en-US" w:eastAsia="zh-CN"/>
        </w:rPr>
        <w:t>10</w:t>
      </w:r>
      <w:r>
        <w:rPr>
          <w:rFonts w:hint="eastAsia" w:ascii="仿宋_GB2312" w:hAnsi="宋体" w:cs="宋体"/>
          <w:bCs/>
          <w:color w:val="auto"/>
          <w:kern w:val="0"/>
          <w:szCs w:val="24"/>
          <w:highlight w:val="none"/>
        </w:rPr>
        <w:t>.募集期/认购期：指理财产品成立前，理财产品管理人接受理财产品认购的时间。但在该期间内如认购人提交认购申请的认购份额提前达到《产品说明书》所载的发行规模上限的，管理人有权选择认购期提前结束并停止接受认购申请。该情形下，产品成立日维持《产品说明书》的约定，保持不变。</w:t>
      </w:r>
    </w:p>
    <w:p w14:paraId="4FBABD27">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lang w:val="en-US" w:eastAsia="zh-CN"/>
        </w:rPr>
        <w:t>11</w:t>
      </w:r>
      <w:r>
        <w:rPr>
          <w:rFonts w:hint="eastAsia" w:ascii="仿宋_GB2312" w:hAnsi="宋体" w:cs="宋体"/>
          <w:bCs/>
          <w:color w:val="auto"/>
          <w:kern w:val="0"/>
          <w:szCs w:val="24"/>
          <w:highlight w:val="none"/>
        </w:rPr>
        <w:t>.持有期：指自产品成立日/申购确认日起，投资者持有该产品份额的期间。</w:t>
      </w:r>
    </w:p>
    <w:p w14:paraId="4DFE24F3">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w:t>
      </w:r>
      <w:r>
        <w:rPr>
          <w:rFonts w:hint="eastAsia" w:ascii="仿宋_GB2312" w:hAnsi="宋体" w:cs="宋体"/>
          <w:bCs/>
          <w:color w:val="auto"/>
          <w:kern w:val="0"/>
          <w:szCs w:val="24"/>
          <w:highlight w:val="none"/>
          <w:lang w:val="en-US" w:eastAsia="zh-CN"/>
        </w:rPr>
        <w:t>2</w:t>
      </w:r>
      <w:r>
        <w:rPr>
          <w:rFonts w:hint="eastAsia" w:ascii="仿宋_GB2312" w:hAnsi="宋体" w:cs="宋体"/>
          <w:bCs/>
          <w:color w:val="auto"/>
          <w:kern w:val="0"/>
          <w:szCs w:val="24"/>
          <w:highlight w:val="none"/>
        </w:rPr>
        <w:t>.最短</w:t>
      </w:r>
      <w:r>
        <w:rPr>
          <w:rFonts w:ascii="仿宋_GB2312" w:hAnsi="宋体" w:cs="宋体"/>
          <w:bCs/>
          <w:color w:val="auto"/>
          <w:kern w:val="0"/>
          <w:szCs w:val="24"/>
          <w:highlight w:val="none"/>
        </w:rPr>
        <w:t>持有期：</w:t>
      </w:r>
      <w:r>
        <w:rPr>
          <w:rFonts w:hint="eastAsia" w:ascii="仿宋_GB2312" w:hAnsi="宋体" w:cs="宋体"/>
          <w:bCs/>
          <w:color w:val="auto"/>
          <w:kern w:val="0"/>
          <w:szCs w:val="24"/>
          <w:highlight w:val="none"/>
        </w:rPr>
        <w:t>指自产品成立日/申购确认日起，投资者持有的产品份额被锁定持有的最短期间。</w:t>
      </w:r>
    </w:p>
    <w:p w14:paraId="59CA9FCD">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w:t>
      </w:r>
      <w:r>
        <w:rPr>
          <w:rFonts w:hint="eastAsia" w:ascii="仿宋_GB2312" w:hAnsi="宋体" w:cs="宋体"/>
          <w:bCs/>
          <w:color w:val="auto"/>
          <w:kern w:val="0"/>
          <w:szCs w:val="24"/>
          <w:highlight w:val="none"/>
          <w:lang w:val="en-US" w:eastAsia="zh-CN"/>
        </w:rPr>
        <w:t>3</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投资周期：投资周期指投资者持有理财产品份额所对应的理财资金由产品管理人进行投资运作的一段</w:t>
      </w:r>
      <w:r>
        <w:rPr>
          <w:rFonts w:hint="eastAsia" w:ascii="仿宋_GB2312" w:hAnsi="宋体" w:cs="宋体"/>
          <w:bCs/>
          <w:color w:val="auto"/>
          <w:kern w:val="0"/>
          <w:szCs w:val="24"/>
          <w:highlight w:val="none"/>
          <w:lang w:eastAsia="zh-CN"/>
        </w:rPr>
        <w:t>最短</w:t>
      </w:r>
      <w:r>
        <w:rPr>
          <w:rFonts w:hint="eastAsia" w:ascii="仿宋_GB2312" w:hAnsi="宋体" w:cs="宋体"/>
          <w:bCs/>
          <w:color w:val="auto"/>
          <w:kern w:val="0"/>
          <w:szCs w:val="24"/>
          <w:highlight w:val="none"/>
        </w:rPr>
        <w:t>完整期间，每一个投资周期为该投资周期起始日至该投资周期终止日的理财期间。</w:t>
      </w:r>
    </w:p>
    <w:p w14:paraId="2410B9DE">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投资周期起始日：指每一个投资周期开始的日期。</w:t>
      </w:r>
    </w:p>
    <w:p w14:paraId="6DD321E5">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投资周期终止日：指每一个投资周期结束的日期。</w:t>
      </w:r>
    </w:p>
    <w:p w14:paraId="65E59610">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w:t>
      </w:r>
      <w:r>
        <w:rPr>
          <w:rFonts w:hint="eastAsia" w:ascii="仿宋_GB2312" w:hAnsi="宋体" w:cs="宋体"/>
          <w:bCs/>
          <w:color w:val="auto"/>
          <w:kern w:val="0"/>
          <w:szCs w:val="24"/>
          <w:highlight w:val="none"/>
          <w:lang w:val="en-US" w:eastAsia="zh-CN"/>
        </w:rPr>
        <w:t>4</w:t>
      </w:r>
      <w:r>
        <w:rPr>
          <w:rFonts w:hint="eastAsia" w:ascii="仿宋_GB2312" w:hAnsi="宋体" w:cs="宋体"/>
          <w:bCs/>
          <w:color w:val="auto"/>
          <w:kern w:val="0"/>
          <w:szCs w:val="24"/>
          <w:highlight w:val="none"/>
        </w:rPr>
        <w:t>.产品存续期：指自理财产品成立日起，至理财产品终止日的期间。</w:t>
      </w:r>
    </w:p>
    <w:p w14:paraId="226F89BB">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w:t>
      </w:r>
      <w:r>
        <w:rPr>
          <w:rFonts w:hint="eastAsia" w:ascii="仿宋_GB2312" w:hAnsi="宋体" w:cs="宋体"/>
          <w:bCs/>
          <w:color w:val="auto"/>
          <w:kern w:val="0"/>
          <w:szCs w:val="24"/>
          <w:highlight w:val="none"/>
          <w:lang w:val="en-US" w:eastAsia="zh-CN"/>
        </w:rPr>
        <w:t>5</w:t>
      </w:r>
      <w:r>
        <w:rPr>
          <w:rFonts w:hint="eastAsia" w:ascii="仿宋_GB2312" w:hAnsi="宋体" w:cs="宋体"/>
          <w:bCs/>
          <w:color w:val="auto"/>
          <w:kern w:val="0"/>
          <w:szCs w:val="24"/>
          <w:highlight w:val="none"/>
        </w:rPr>
        <w:t>.清算期：指自本理财产品终止日至投资者理财</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rPr>
        <w:t>到账日之间的期间。</w:t>
      </w:r>
    </w:p>
    <w:p w14:paraId="0D7B0738">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w:t>
      </w:r>
      <w:r>
        <w:rPr>
          <w:rFonts w:hint="eastAsia" w:ascii="仿宋_GB2312" w:hAnsi="宋体" w:cs="宋体"/>
          <w:bCs/>
          <w:color w:val="auto"/>
          <w:kern w:val="0"/>
          <w:szCs w:val="24"/>
          <w:highlight w:val="none"/>
          <w:lang w:val="en-US" w:eastAsia="zh-CN"/>
        </w:rPr>
        <w:t>6</w:t>
      </w:r>
      <w:r>
        <w:rPr>
          <w:rFonts w:hint="eastAsia" w:ascii="仿宋_GB2312" w:hAnsi="宋体" w:cs="宋体"/>
          <w:bCs/>
          <w:color w:val="auto"/>
          <w:kern w:val="0"/>
          <w:szCs w:val="24"/>
          <w:highlight w:val="none"/>
        </w:rPr>
        <w:t>.开放日：指</w:t>
      </w:r>
      <w:r>
        <w:rPr>
          <w:rFonts w:hint="eastAsia" w:ascii="仿宋_GB2312" w:hAnsi="宋体" w:cs="宋体"/>
          <w:bCs/>
          <w:color w:val="auto"/>
          <w:kern w:val="0"/>
          <w:szCs w:val="24"/>
          <w:highlight w:val="none"/>
          <w:lang w:val="en-US" w:eastAsia="zh-CN"/>
        </w:rPr>
        <w:t>管理人</w:t>
      </w:r>
      <w:r>
        <w:rPr>
          <w:rFonts w:hint="eastAsia" w:ascii="仿宋_GB2312" w:hAnsi="宋体" w:cs="宋体"/>
          <w:bCs/>
          <w:color w:val="auto"/>
          <w:kern w:val="0"/>
          <w:szCs w:val="24"/>
          <w:highlight w:val="none"/>
        </w:rPr>
        <w:t>可</w:t>
      </w:r>
      <w:r>
        <w:rPr>
          <w:rFonts w:hint="eastAsia" w:ascii="仿宋_GB2312" w:hAnsi="宋体" w:cs="宋体"/>
          <w:bCs/>
          <w:color w:val="auto"/>
          <w:kern w:val="0"/>
          <w:szCs w:val="24"/>
          <w:highlight w:val="none"/>
          <w:lang w:val="en-US" w:eastAsia="zh-CN"/>
        </w:rPr>
        <w:t>接受</w:t>
      </w:r>
      <w:r>
        <w:rPr>
          <w:rFonts w:hint="eastAsia" w:ascii="仿宋_GB2312" w:hAnsi="宋体" w:cs="宋体"/>
          <w:bCs/>
          <w:color w:val="auto"/>
          <w:kern w:val="0"/>
          <w:szCs w:val="24"/>
          <w:highlight w:val="none"/>
        </w:rPr>
        <w:t>申购申请、自动赎回份额的日期。</w:t>
      </w:r>
    </w:p>
    <w:p w14:paraId="65C2F52B">
      <w:pPr>
        <w:tabs>
          <w:tab w:val="left" w:pos="709"/>
        </w:tabs>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w:t>
      </w:r>
      <w:r>
        <w:rPr>
          <w:rFonts w:hint="eastAsia" w:ascii="仿宋_GB2312" w:hAnsi="宋体" w:cs="宋体"/>
          <w:bCs/>
          <w:color w:val="auto"/>
          <w:kern w:val="0"/>
          <w:szCs w:val="24"/>
          <w:highlight w:val="none"/>
          <w:lang w:val="en-US" w:eastAsia="zh-CN"/>
        </w:rPr>
        <w:t>7</w:t>
      </w:r>
      <w:r>
        <w:rPr>
          <w:rFonts w:hint="eastAsia" w:ascii="仿宋_GB2312" w:hAnsi="宋体" w:cs="宋体"/>
          <w:bCs/>
          <w:color w:val="auto"/>
          <w:kern w:val="0"/>
          <w:szCs w:val="24"/>
          <w:highlight w:val="none"/>
        </w:rPr>
        <w:t>.申购日：指投资者提交申购申请的日期。</w:t>
      </w:r>
    </w:p>
    <w:p w14:paraId="7EB78988">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w:t>
      </w:r>
      <w:r>
        <w:rPr>
          <w:rFonts w:hint="eastAsia" w:ascii="仿宋_GB2312" w:hAnsi="宋体" w:cs="宋体"/>
          <w:bCs/>
          <w:color w:val="auto"/>
          <w:kern w:val="0"/>
          <w:szCs w:val="24"/>
          <w:highlight w:val="none"/>
          <w:lang w:val="en-US" w:eastAsia="zh-CN"/>
        </w:rPr>
        <w:t>8</w:t>
      </w:r>
      <w:r>
        <w:rPr>
          <w:rFonts w:hint="eastAsia" w:ascii="仿宋_GB2312" w:hAnsi="宋体" w:cs="宋体"/>
          <w:bCs/>
          <w:color w:val="auto"/>
          <w:kern w:val="0"/>
          <w:szCs w:val="24"/>
          <w:highlight w:val="none"/>
        </w:rPr>
        <w:t>.赎回日：指投资者持有的份额自动赎回的日期。</w:t>
      </w:r>
    </w:p>
    <w:p w14:paraId="4C0EBDA1">
      <w:pPr>
        <w:tabs>
          <w:tab w:val="left" w:pos="709"/>
        </w:tabs>
        <w:snapToGrid w:val="0"/>
        <w:spacing w:line="360" w:lineRule="auto"/>
        <w:ind w:firstLine="420" w:firstLineChars="200"/>
        <w:rPr>
          <w:rStyle w:val="12"/>
          <w:rFonts w:hint="eastAsia" w:ascii="仿宋_GB2312" w:hAnsi="宋体" w:cs="宋体"/>
          <w:bCs/>
          <w:color w:val="auto"/>
          <w:kern w:val="0"/>
          <w:sz w:val="24"/>
          <w:szCs w:val="24"/>
          <w:highlight w:val="none"/>
        </w:rPr>
      </w:pPr>
      <w:r>
        <w:rPr>
          <w:rFonts w:hint="eastAsia" w:ascii="仿宋_GB2312" w:hAnsi="宋体" w:cs="宋体"/>
          <w:bCs/>
          <w:color w:val="auto"/>
          <w:kern w:val="0"/>
          <w:szCs w:val="24"/>
          <w:highlight w:val="none"/>
        </w:rPr>
        <w:t>1</w:t>
      </w:r>
      <w:r>
        <w:rPr>
          <w:rFonts w:hint="eastAsia" w:ascii="仿宋_GB2312" w:hAnsi="宋体" w:cs="宋体"/>
          <w:bCs/>
          <w:color w:val="auto"/>
          <w:kern w:val="0"/>
          <w:szCs w:val="24"/>
          <w:highlight w:val="none"/>
          <w:lang w:val="en-US" w:eastAsia="zh-CN"/>
        </w:rPr>
        <w:t>9</w:t>
      </w:r>
      <w:r>
        <w:rPr>
          <w:rFonts w:hint="eastAsia" w:ascii="仿宋_GB2312" w:hAnsi="宋体" w:cs="宋体"/>
          <w:bCs/>
          <w:color w:val="auto"/>
          <w:kern w:val="0"/>
          <w:szCs w:val="24"/>
          <w:highlight w:val="none"/>
        </w:rPr>
        <w:t>.申购确认日：指投资者提交申购申请后，管理人对申购申请进行确认的日期。</w:t>
      </w:r>
    </w:p>
    <w:p w14:paraId="410EB481">
      <w:pPr>
        <w:tabs>
          <w:tab w:val="left" w:pos="709"/>
        </w:tabs>
        <w:snapToGrid w:val="0"/>
        <w:spacing w:line="360" w:lineRule="auto"/>
        <w:ind w:firstLine="420" w:firstLineChars="200"/>
        <w:rPr>
          <w:rStyle w:val="12"/>
          <w:rFonts w:hint="eastAsia" w:ascii="仿宋_GB2312" w:hAnsi="宋体" w:eastAsia="仿宋_GB2312" w:cs="宋体"/>
          <w:bCs/>
          <w:color w:val="auto"/>
          <w:kern w:val="0"/>
          <w:sz w:val="24"/>
          <w:szCs w:val="24"/>
          <w:highlight w:val="none"/>
          <w:lang w:eastAsia="zh-CN"/>
        </w:rPr>
      </w:pPr>
      <w:r>
        <w:rPr>
          <w:rFonts w:hint="eastAsia" w:ascii="仿宋_GB2312" w:hAnsi="宋体" w:cs="宋体"/>
          <w:bCs/>
          <w:color w:val="auto"/>
          <w:kern w:val="0"/>
          <w:szCs w:val="24"/>
          <w:highlight w:val="none"/>
          <w:lang w:val="en-US" w:eastAsia="zh-CN"/>
        </w:rPr>
        <w:t>20.</w:t>
      </w:r>
      <w:r>
        <w:rPr>
          <w:rFonts w:hint="eastAsia" w:ascii="仿宋_GB2312" w:hAnsi="宋体" w:cs="宋体"/>
          <w:bCs/>
          <w:color w:val="auto"/>
          <w:kern w:val="0"/>
          <w:szCs w:val="24"/>
          <w:highlight w:val="none"/>
        </w:rPr>
        <w:t>自动赎回日</w:t>
      </w:r>
      <w:r>
        <w:rPr>
          <w:rFonts w:hint="eastAsia" w:ascii="仿宋_GB2312" w:hAnsi="宋体" w:cs="宋体"/>
          <w:bCs/>
          <w:color w:val="auto"/>
          <w:kern w:val="0"/>
          <w:szCs w:val="24"/>
          <w:highlight w:val="none"/>
          <w:lang w:eastAsia="zh-CN"/>
        </w:rPr>
        <w:t>：</w:t>
      </w:r>
      <w:r>
        <w:rPr>
          <w:rFonts w:hint="eastAsia" w:ascii="仿宋_GB2312" w:hAnsi="宋体" w:cs="宋体"/>
          <w:bCs/>
          <w:color w:val="auto"/>
          <w:kern w:val="0"/>
          <w:szCs w:val="24"/>
          <w:highlight w:val="none"/>
        </w:rPr>
        <w:t>管理人对</w:t>
      </w:r>
      <w:r>
        <w:rPr>
          <w:rFonts w:hint="eastAsia" w:ascii="仿宋_GB2312" w:hAnsi="宋体" w:cs="宋体"/>
          <w:bCs/>
          <w:color w:val="auto"/>
          <w:kern w:val="0"/>
          <w:szCs w:val="24"/>
          <w:highlight w:val="none"/>
          <w:lang w:val="en-US" w:eastAsia="zh-CN"/>
        </w:rPr>
        <w:t>赎回</w:t>
      </w:r>
      <w:r>
        <w:rPr>
          <w:rFonts w:hint="eastAsia" w:ascii="仿宋_GB2312" w:hAnsi="宋体" w:cs="宋体"/>
          <w:bCs/>
          <w:color w:val="auto"/>
          <w:kern w:val="0"/>
          <w:szCs w:val="24"/>
          <w:highlight w:val="none"/>
        </w:rPr>
        <w:t>申请进行确认的日期。</w:t>
      </w:r>
    </w:p>
    <w:p w14:paraId="276C79D8">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lang w:val="en-US" w:eastAsia="zh-CN"/>
        </w:rPr>
        <w:t>21</w:t>
      </w:r>
      <w:r>
        <w:rPr>
          <w:rFonts w:hint="eastAsia" w:ascii="仿宋_GB2312" w:hAnsi="宋体" w:cs="宋体"/>
          <w:bCs/>
          <w:color w:val="auto"/>
          <w:kern w:val="0"/>
          <w:szCs w:val="24"/>
          <w:highlight w:val="none"/>
        </w:rPr>
        <w:t>.T日：指某一事件或行为发生的当日。</w:t>
      </w:r>
    </w:p>
    <w:p w14:paraId="20AB6734">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lang w:val="en-US" w:eastAsia="zh-CN"/>
        </w:rPr>
        <w:t>22</w:t>
      </w:r>
      <w:r>
        <w:rPr>
          <w:rFonts w:hint="eastAsia" w:ascii="仿宋_GB2312" w:hAnsi="宋体" w:cs="宋体"/>
          <w:bCs/>
          <w:color w:val="auto"/>
          <w:kern w:val="0"/>
          <w:szCs w:val="24"/>
          <w:highlight w:val="none"/>
        </w:rPr>
        <w:t>.T+n日：指T日后（不包括T日）的第n个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lang w:eastAsia="zh-CN"/>
        </w:rPr>
        <w:sym w:font="Wingdings 2" w:char="00A3"/>
      </w:r>
      <w:r>
        <w:rPr>
          <w:rFonts w:hint="eastAsia" w:ascii="仿宋_GB2312" w:hAnsi="宋体" w:cs="宋体"/>
          <w:bCs/>
          <w:kern w:val="0"/>
          <w:szCs w:val="24"/>
          <w:highlight w:val="yellow"/>
          <w:lang w:eastAsia="zh-CN"/>
        </w:rPr>
        <w:t>工作日</w:t>
      </w:r>
      <w:r>
        <w:rPr>
          <w:rFonts w:hint="eastAsia" w:ascii="仿宋_GB2312" w:hAnsi="宋体" w:cs="宋体"/>
          <w:bCs/>
          <w:kern w:val="0"/>
          <w:szCs w:val="24"/>
          <w:highlight w:val="yellow"/>
          <w:lang w:val="en-US" w:eastAsia="zh-CN"/>
        </w:rPr>
        <w:t>/</w:t>
      </w:r>
      <w:r>
        <w:rPr>
          <w:rFonts w:hint="eastAsia" w:ascii="仿宋_GB2312" w:hAnsi="宋体" w:cs="宋体"/>
          <w:bCs/>
          <w:kern w:val="0"/>
          <w:szCs w:val="24"/>
          <w:highlight w:val="yellow"/>
          <w:lang w:val="en-US" w:eastAsia="zh-CN"/>
        </w:rPr>
        <w:sym w:font="Wingdings 2" w:char="00A3"/>
      </w:r>
      <w:r>
        <w:rPr>
          <w:rFonts w:hint="eastAsia" w:ascii="仿宋_GB2312" w:hAnsi="宋体" w:cs="宋体"/>
          <w:bCs/>
          <w:kern w:val="0"/>
          <w:szCs w:val="24"/>
          <w:highlight w:val="yellow"/>
          <w:lang w:val="en-US" w:eastAsia="zh-CN"/>
        </w:rPr>
        <w:t>交易日</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rPr>
        <w:t>。</w:t>
      </w:r>
    </w:p>
    <w:p w14:paraId="5AF9BFF4">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w:t>
      </w:r>
      <w:r>
        <w:rPr>
          <w:rFonts w:hint="eastAsia" w:ascii="仿宋_GB2312" w:hAnsi="宋体" w:cs="宋体"/>
          <w:bCs/>
          <w:color w:val="auto"/>
          <w:kern w:val="0"/>
          <w:szCs w:val="24"/>
          <w:highlight w:val="none"/>
          <w:lang w:val="en-US" w:eastAsia="zh-CN"/>
        </w:rPr>
        <w:t>3</w:t>
      </w:r>
      <w:r>
        <w:rPr>
          <w:rFonts w:hint="eastAsia" w:ascii="仿宋_GB2312" w:hAnsi="宋体" w:cs="宋体"/>
          <w:bCs/>
          <w:color w:val="auto"/>
          <w:kern w:val="0"/>
          <w:szCs w:val="24"/>
          <w:highlight w:val="none"/>
        </w:rPr>
        <w:t>.T-n日：指T前（不包括T日）的第n个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lang w:eastAsia="zh-CN"/>
        </w:rPr>
        <w:sym w:font="Wingdings 2" w:char="00A3"/>
      </w:r>
      <w:r>
        <w:rPr>
          <w:rFonts w:hint="eastAsia" w:ascii="仿宋_GB2312" w:hAnsi="宋体" w:cs="宋体"/>
          <w:bCs/>
          <w:kern w:val="0"/>
          <w:szCs w:val="24"/>
          <w:highlight w:val="yellow"/>
          <w:lang w:eastAsia="zh-CN"/>
        </w:rPr>
        <w:t>工作日</w:t>
      </w:r>
      <w:r>
        <w:rPr>
          <w:rFonts w:hint="eastAsia" w:ascii="仿宋_GB2312" w:hAnsi="宋体" w:cs="宋体"/>
          <w:bCs/>
          <w:kern w:val="0"/>
          <w:szCs w:val="24"/>
          <w:highlight w:val="yellow"/>
          <w:lang w:val="en-US" w:eastAsia="zh-CN"/>
        </w:rPr>
        <w:t>/</w:t>
      </w:r>
      <w:r>
        <w:rPr>
          <w:rFonts w:hint="eastAsia" w:ascii="仿宋_GB2312" w:hAnsi="宋体" w:cs="宋体"/>
          <w:bCs/>
          <w:kern w:val="0"/>
          <w:szCs w:val="24"/>
          <w:highlight w:val="yellow"/>
          <w:lang w:val="en-US" w:eastAsia="zh-CN"/>
        </w:rPr>
        <w:sym w:font="Wingdings 2" w:char="00A3"/>
      </w:r>
      <w:r>
        <w:rPr>
          <w:rFonts w:hint="eastAsia" w:ascii="仿宋_GB2312" w:hAnsi="宋体" w:cs="宋体"/>
          <w:bCs/>
          <w:kern w:val="0"/>
          <w:szCs w:val="24"/>
          <w:highlight w:val="yellow"/>
          <w:lang w:val="en-US" w:eastAsia="zh-CN"/>
        </w:rPr>
        <w:t>交易日</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rPr>
        <w:t>。</w:t>
      </w:r>
    </w:p>
    <w:p w14:paraId="19017A1B">
      <w:pPr>
        <w:pStyle w:val="3"/>
        <w:numPr>
          <w:ilvl w:val="1"/>
          <w:numId w:val="10"/>
        </w:numPr>
        <w:ind w:firstLine="482"/>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费用</w:t>
      </w:r>
    </w:p>
    <w:p w14:paraId="575B9AD1">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1.认购费：指投资者认购产品时需缴纳的费用。</w:t>
      </w:r>
    </w:p>
    <w:p w14:paraId="19C6E13A">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2.申购费：指投资者申购产品时需缴纳的费用。</w:t>
      </w:r>
    </w:p>
    <w:p w14:paraId="2264E942">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3.赎回费：指投资者赎回产品时需缴纳的费用。</w:t>
      </w:r>
    </w:p>
    <w:p w14:paraId="2F7AD9A1">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4.销售服务费：指因理财产品销售行为产生，销售机构所收取的费用。</w:t>
      </w:r>
    </w:p>
    <w:p w14:paraId="13335471">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5.</w:t>
      </w:r>
      <w:r>
        <w:rPr>
          <w:rFonts w:hint="eastAsia" w:ascii="仿宋_GB2312" w:hAnsi="宋体" w:cs="宋体"/>
          <w:bCs/>
          <w:color w:val="auto"/>
          <w:kern w:val="0"/>
          <w:szCs w:val="24"/>
          <w:highlight w:val="none"/>
          <w:lang w:eastAsia="zh-CN"/>
        </w:rPr>
        <w:t>固定管理费</w:t>
      </w:r>
      <w:r>
        <w:rPr>
          <w:rFonts w:hint="eastAsia" w:ascii="仿宋_GB2312" w:hAnsi="宋体" w:cs="宋体"/>
          <w:bCs/>
          <w:color w:val="auto"/>
          <w:kern w:val="0"/>
          <w:szCs w:val="24"/>
          <w:highlight w:val="none"/>
        </w:rPr>
        <w:t>：指因理财产品投资管理产生，管理人所收取的费用。</w:t>
      </w:r>
    </w:p>
    <w:p w14:paraId="59A91FB9">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6.</w:t>
      </w:r>
      <w:r>
        <w:rPr>
          <w:rFonts w:hint="eastAsia" w:ascii="仿宋_GB2312" w:hAnsi="宋体" w:cs="宋体"/>
          <w:bCs/>
          <w:color w:val="auto"/>
          <w:kern w:val="0"/>
          <w:szCs w:val="24"/>
          <w:highlight w:val="none"/>
          <w:lang w:eastAsia="zh-CN"/>
        </w:rPr>
        <w:t>托管费</w:t>
      </w:r>
      <w:r>
        <w:rPr>
          <w:rFonts w:hint="eastAsia" w:ascii="仿宋_GB2312" w:hAnsi="宋体" w:cs="宋体"/>
          <w:bCs/>
          <w:color w:val="auto"/>
          <w:kern w:val="0"/>
          <w:szCs w:val="24"/>
          <w:highlight w:val="none"/>
        </w:rPr>
        <w:t>：指因理财产品进行托管产生，托管人收取的费用。</w:t>
      </w:r>
    </w:p>
    <w:p w14:paraId="1C20B747">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7.</w:t>
      </w:r>
      <w:r>
        <w:rPr>
          <w:rFonts w:hint="eastAsia" w:ascii="仿宋_GB2312" w:hAnsi="宋体" w:cs="宋体"/>
          <w:bCs/>
          <w:color w:val="auto"/>
          <w:kern w:val="0"/>
          <w:szCs w:val="24"/>
          <w:highlight w:val="none"/>
          <w:lang w:eastAsia="zh-CN"/>
        </w:rPr>
        <w:t>浮动管理费</w:t>
      </w:r>
      <w:r>
        <w:rPr>
          <w:rFonts w:hint="eastAsia" w:ascii="仿宋_GB2312" w:hAnsi="宋体" w:cs="宋体"/>
          <w:bCs/>
          <w:color w:val="auto"/>
          <w:kern w:val="0"/>
          <w:szCs w:val="24"/>
          <w:highlight w:val="none"/>
        </w:rPr>
        <w:t>：指产品管理人依照理财产品销售文件约定规则收取的浮动性质的管理费用。</w:t>
      </w:r>
    </w:p>
    <w:p w14:paraId="35EB31FC">
      <w:pPr>
        <w:tabs>
          <w:tab w:val="left" w:pos="709"/>
        </w:tabs>
        <w:snapToGrid w:val="0"/>
        <w:spacing w:line="360" w:lineRule="auto"/>
        <w:ind w:firstLine="420" w:firstLineChars="200"/>
        <w:rPr>
          <w:color w:val="auto"/>
          <w:highlight w:val="none"/>
        </w:rPr>
      </w:pPr>
      <w:r>
        <w:rPr>
          <w:rFonts w:hint="eastAsia" w:ascii="仿宋_GB2312" w:hAnsi="宋体" w:cs="宋体"/>
          <w:bCs/>
          <w:color w:val="auto"/>
          <w:kern w:val="0"/>
          <w:szCs w:val="24"/>
          <w:highlight w:val="none"/>
        </w:rPr>
        <w:t>8.其他费用（如有）：</w:t>
      </w:r>
      <w:r>
        <w:rPr>
          <w:rFonts w:hint="eastAsia"/>
          <w:color w:val="auto"/>
          <w:highlight w:val="none"/>
        </w:rPr>
        <w:t>与理财</w:t>
      </w:r>
      <w:r>
        <w:rPr>
          <w:color w:val="auto"/>
          <w:highlight w:val="none"/>
        </w:rPr>
        <w:t>产品相关的</w:t>
      </w:r>
      <w:r>
        <w:rPr>
          <w:rFonts w:hint="eastAsia"/>
          <w:color w:val="auto"/>
          <w:highlight w:val="none"/>
        </w:rPr>
        <w:t>账户服务费用、资产服务费用、交易费用（包括但不限于交易佣金、撮合费用等）、注册登记费、验资费、审计费、信息披露费、</w:t>
      </w:r>
      <w:r>
        <w:rPr>
          <w:rFonts w:hint="eastAsia"/>
          <w:color w:val="auto"/>
          <w:highlight w:val="yellow"/>
          <w:lang w:eastAsia="zh-CN"/>
        </w:rPr>
        <w:t>【</w:t>
      </w:r>
      <w:r>
        <w:rPr>
          <w:rFonts w:hint="eastAsia"/>
          <w:color w:val="auto"/>
          <w:highlight w:val="yellow"/>
          <w:u w:val="none"/>
          <w:lang w:eastAsia="zh-CN"/>
        </w:rPr>
        <w:t>信息服务费用】、</w:t>
      </w:r>
      <w:r>
        <w:rPr>
          <w:rFonts w:hint="eastAsia"/>
          <w:color w:val="auto"/>
          <w:highlight w:val="none"/>
        </w:rPr>
        <w:t>清算费用、执行费用（包括但不限于律师费、诉讼费、仲裁费、公证费、保全费、执行费等）以及按照法律法规、监管规定和理财产品销售文件约定可以列入的其他费用，具体以实际发生为准。</w:t>
      </w:r>
    </w:p>
    <w:p w14:paraId="19526A35">
      <w:pPr>
        <w:tabs>
          <w:tab w:val="left" w:pos="709"/>
        </w:tabs>
        <w:snapToGrid w:val="0"/>
        <w:spacing w:line="360" w:lineRule="auto"/>
        <w:ind w:firstLine="422" w:firstLineChars="200"/>
        <w:rPr>
          <w:rFonts w:hint="eastAsia" w:ascii="仿宋_GB2312" w:hAnsi="宋体" w:cs="宋体"/>
          <w:bCs/>
          <w:color w:val="auto"/>
          <w:kern w:val="0"/>
          <w:szCs w:val="24"/>
          <w:highlight w:val="none"/>
        </w:rPr>
      </w:pPr>
      <w:r>
        <w:rPr>
          <w:rFonts w:hint="eastAsia" w:ascii="仿宋_GB2312" w:hAnsi="宋体" w:cs="宋体"/>
          <w:b/>
          <w:bCs/>
          <w:color w:val="auto"/>
          <w:kern w:val="0"/>
          <w:szCs w:val="24"/>
          <w:highlight w:val="none"/>
        </w:rPr>
        <w:t>（六）其他</w:t>
      </w:r>
      <w:r>
        <w:rPr>
          <w:rFonts w:hint="eastAsia" w:ascii="仿宋_GB2312" w:hAnsi="宋体" w:cs="宋体"/>
          <w:bCs/>
          <w:color w:val="auto"/>
          <w:kern w:val="0"/>
          <w:szCs w:val="24"/>
          <w:highlight w:val="none"/>
        </w:rPr>
        <w:t xml:space="preserve"> </w:t>
      </w:r>
    </w:p>
    <w:p w14:paraId="680C6C31">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1.不可抗力：指理财产品各方不能预见、不能避免且不能克服的客观情况，该事件妨碍、影响或延误任何一方依相关理财产品销售文件履行其全部或部分义务。该事件包括但不限于：</w:t>
      </w:r>
    </w:p>
    <w:p w14:paraId="449763DF">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A、地震、台风、海啸、洪水、火灾、停电、瘟疫；</w:t>
      </w:r>
    </w:p>
    <w:p w14:paraId="747E915F">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B、战争、政变、恐怖主义行动、骚乱、罢工；</w:t>
      </w:r>
    </w:p>
    <w:p w14:paraId="4F8A2DAA">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C、新的适用法律或国家政策的颁布或实施、对原适用法律或国家政策的修改；</w:t>
      </w:r>
    </w:p>
    <w:p w14:paraId="358DE777">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D、金融管理部门强制要求终止理财产品（该等强制要求不可归咎于任何一方）；</w:t>
      </w:r>
    </w:p>
    <w:p w14:paraId="1EE45AC5">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E、因理财产品各方和/或其关联方运营网络系统遭受黑客攻击、电信部门技术调整或故障等原因而造成的理财产品各方和/或其关联方之服务、营业的中断或者延迟。</w:t>
      </w:r>
    </w:p>
    <w:p w14:paraId="661BA58D">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 xml:space="preserve">2.元：指人民币元。 </w:t>
      </w:r>
    </w:p>
    <w:p w14:paraId="77318A78">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适用法律：指在理财产品销售文件签署日和履行过程中，适用中华人民共和国法律（为本协议之目的，在此不包括香港、澳门特别行政区和台湾地区的法律），包括中国任何立法机构、政府部门、银行业理财登记托管中心、银行间交易商协会、证券交易所、证券登记结算机构、相关行业协会依法颁布的，适用于本理财产品相关事宜的法律、行政法规、地方法规、部委规章、地方政府规章、规范性文件、规则、通知、须知、业务指南、指引或操作规程，及其有效的修改、更新或补充。</w:t>
      </w:r>
    </w:p>
    <w:p w14:paraId="630E81B2">
      <w:pPr>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br w:type="page"/>
      </w:r>
    </w:p>
    <w:p w14:paraId="35EB2D2A">
      <w:pPr>
        <w:pStyle w:val="2"/>
        <w:numPr>
          <w:ilvl w:val="0"/>
          <w:numId w:val="10"/>
        </w:numPr>
        <w:rPr>
          <w:color w:val="auto"/>
          <w:highlight w:val="none"/>
        </w:rPr>
      </w:pPr>
      <w:r>
        <w:rPr>
          <w:rFonts w:hint="eastAsia"/>
          <w:color w:val="auto"/>
          <w:highlight w:val="none"/>
        </w:rPr>
        <w:t>理财产品的认购与成立</w:t>
      </w:r>
    </w:p>
    <w:p w14:paraId="2556AC70">
      <w:pPr>
        <w:pStyle w:val="3"/>
        <w:widowControl/>
        <w:numPr>
          <w:ilvl w:val="1"/>
          <w:numId w:val="10"/>
        </w:numPr>
        <w:tabs>
          <w:tab w:val="left" w:pos="709"/>
        </w:tabs>
        <w:adjustRightInd w:val="0"/>
        <w:snapToGrid w:val="0"/>
        <w:ind w:firstLine="482"/>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参与主体及主要职责</w:t>
      </w:r>
    </w:p>
    <w:p w14:paraId="65857E19">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1.</w:t>
      </w:r>
      <w:r>
        <w:rPr>
          <w:rFonts w:hint="eastAsia" w:ascii="仿宋_GB2312" w:hAnsi="宋体" w:cs="宋体"/>
          <w:bCs/>
          <w:color w:val="auto"/>
          <w:kern w:val="0"/>
          <w:szCs w:val="24"/>
          <w:highlight w:val="none"/>
        </w:rPr>
        <w:t>产品管理人</w:t>
      </w:r>
    </w:p>
    <w:p w14:paraId="0EB90185">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名称：浙银理财有限责任公司</w:t>
      </w:r>
    </w:p>
    <w:p w14:paraId="0FB22082">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注册地：浙江省杭州市萧山区宁围街道民和路939号浙江商会大厦2幢20-22楼</w:t>
      </w:r>
    </w:p>
    <w:p w14:paraId="08819CF4">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浙银理财负责本产品的投资运作和产品管理，</w:t>
      </w:r>
      <w:r>
        <w:rPr>
          <w:rFonts w:hint="eastAsia" w:ascii="仿宋_GB2312" w:hAnsi="宋体" w:cs="宋体"/>
          <w:b/>
          <w:color w:val="auto"/>
          <w:kern w:val="0"/>
          <w:szCs w:val="24"/>
          <w:highlight w:val="none"/>
        </w:rPr>
        <w:t>投资者在此授权并同意浙银理财享有以下权利</w:t>
      </w:r>
      <w:r>
        <w:rPr>
          <w:rFonts w:hint="eastAsia" w:ascii="仿宋_GB2312" w:hAnsi="宋体" w:cs="宋体"/>
          <w:bCs/>
          <w:color w:val="auto"/>
          <w:kern w:val="0"/>
          <w:szCs w:val="24"/>
          <w:highlight w:val="none"/>
        </w:rPr>
        <w:t>：</w:t>
      </w:r>
    </w:p>
    <w:p w14:paraId="4A557B84">
      <w:pPr>
        <w:widowControl/>
        <w:numPr>
          <w:ilvl w:val="0"/>
          <w:numId w:val="8"/>
        </w:numPr>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按照本产品销售文件的约定，管理、运用和处分理财产品资金；</w:t>
      </w:r>
    </w:p>
    <w:p w14:paraId="285D95AA">
      <w:pPr>
        <w:widowControl/>
        <w:numPr>
          <w:ilvl w:val="0"/>
          <w:numId w:val="8"/>
        </w:numPr>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按照本产品销售文件的约定，及时、足额获得管理费和本产品说明书约定的其他费用（如有）；</w:t>
      </w:r>
    </w:p>
    <w:p w14:paraId="1DF6C970">
      <w:pPr>
        <w:widowControl/>
        <w:numPr>
          <w:ilvl w:val="0"/>
          <w:numId w:val="8"/>
        </w:numPr>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管理人以其固有财产先行垫付因处理本产品相关事务所支出的理财产品费用及税费的，对理财产品资金享有优先受偿权；</w:t>
      </w:r>
    </w:p>
    <w:p w14:paraId="6E6A8CBB">
      <w:pPr>
        <w:widowControl/>
        <w:numPr>
          <w:ilvl w:val="0"/>
          <w:numId w:val="8"/>
        </w:numPr>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管理人有权根据本产品销售文件的约定提前终止或延长本理财产品的期限；</w:t>
      </w:r>
    </w:p>
    <w:p w14:paraId="3FA2C6E1">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（5）管理人有权单方调整本产品的发行规模上限、认/申购起点金额、投资者累计认/申购上限、赎回上限等要素；</w:t>
      </w:r>
    </w:p>
    <w:p w14:paraId="0E3538DB">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（6）管理人有权按照法律法规和监管机构的要求将投资者的信息向有权部门或相关机构披露；</w:t>
      </w:r>
    </w:p>
    <w:p w14:paraId="75050AEB">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（7）以理财产品管理人的名义，依照法律法规相关规定以及为理财产品的利益，对被投资的各类资产行使出资人/投资者权利（包括但不限于表决投票的权利）；</w:t>
      </w:r>
    </w:p>
    <w:p w14:paraId="724B348A">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8）以理财产品管理人的名义，依照法律法规相关规定以及代表理财产品份额持有人的利益代为行使追索的权利（包括但不限于提起诉讼/仲裁、申请保全/执行的权利）或者实施其他风险处置、行使、放弃、变更相关权利义务的法律行为；</w:t>
      </w:r>
    </w:p>
    <w:p w14:paraId="058027BE">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（9）法律法规、监管政策及本产品销售文件约定的其他权利。</w:t>
      </w:r>
    </w:p>
    <w:p w14:paraId="54CE0CB5">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2.产品托管机构</w:t>
      </w:r>
    </w:p>
    <w:p w14:paraId="7E095E61">
      <w:pPr>
        <w:widowControl/>
        <w:tabs>
          <w:tab w:val="left" w:pos="709"/>
        </w:tabs>
        <w:adjustRightInd w:val="0"/>
        <w:snapToGrid w:val="0"/>
        <w:spacing w:line="360" w:lineRule="auto"/>
        <w:ind w:firstLine="420" w:firstLineChars="200"/>
        <w:rPr>
          <w:rFonts w:hint="eastAsia" w:ascii="仿宋_GB2312" w:hAnsi="宋体" w:eastAsia="仿宋_GB2312" w:cs="宋体"/>
          <w:bCs/>
          <w:kern w:val="0"/>
          <w:szCs w:val="24"/>
          <w:highlight w:val="none"/>
          <w:lang w:eastAsia="zh-CN"/>
        </w:rPr>
      </w:pPr>
      <w:r>
        <w:rPr>
          <w:rFonts w:hint="eastAsia" w:ascii="仿宋_GB2312" w:hAnsi="宋体" w:cs="宋体"/>
          <w:bCs/>
          <w:kern w:val="0"/>
          <w:szCs w:val="24"/>
          <w:highlight w:val="none"/>
        </w:rPr>
        <w:t>名称：</w:t>
      </w:r>
      <w:r>
        <w:rPr>
          <w:rFonts w:hint="eastAsia"/>
          <w:szCs w:val="24"/>
          <w:highlight w:val="yellow"/>
          <w:lang w:eastAsia="zh-CN"/>
        </w:rPr>
        <w:t>【】</w:t>
      </w:r>
    </w:p>
    <w:p w14:paraId="300C9B9B">
      <w:pPr>
        <w:widowControl/>
        <w:tabs>
          <w:tab w:val="left" w:pos="709"/>
        </w:tabs>
        <w:adjustRightInd w:val="0"/>
        <w:snapToGrid w:val="0"/>
        <w:spacing w:line="360" w:lineRule="auto"/>
        <w:ind w:firstLine="420" w:firstLineChars="200"/>
        <w:rPr>
          <w:rFonts w:hint="eastAsia" w:ascii="仿宋_GB2312" w:hAnsi="宋体" w:eastAsia="仿宋_GB2312" w:cs="宋体"/>
          <w:bCs/>
          <w:kern w:val="0"/>
          <w:szCs w:val="24"/>
          <w:highlight w:val="none"/>
          <w:lang w:eastAsia="zh-CN"/>
        </w:rPr>
      </w:pPr>
      <w:r>
        <w:rPr>
          <w:rFonts w:hint="eastAsia" w:ascii="仿宋_GB2312" w:hAnsi="宋体" w:cs="宋体"/>
          <w:bCs/>
          <w:kern w:val="0"/>
          <w:szCs w:val="24"/>
          <w:highlight w:val="none"/>
        </w:rPr>
        <w:t>注册地：</w:t>
      </w:r>
      <w:r>
        <w:rPr>
          <w:rFonts w:hint="eastAsia" w:ascii="仿宋_GB2312" w:hAnsi="宋体" w:cs="宋体"/>
          <w:bCs/>
          <w:kern w:val="0"/>
          <w:szCs w:val="24"/>
          <w:highlight w:val="yellow"/>
          <w:lang w:eastAsia="zh-CN"/>
        </w:rPr>
        <w:t>【】</w:t>
      </w:r>
    </w:p>
    <w:p w14:paraId="179B6203">
      <w:pPr>
        <w:widowControl/>
        <w:tabs>
          <w:tab w:val="left" w:pos="709"/>
        </w:tabs>
        <w:adjustRightInd w:val="0"/>
        <w:snapToGrid w:val="0"/>
        <w:spacing w:line="360" w:lineRule="auto"/>
        <w:ind w:firstLine="420" w:firstLineChars="200"/>
        <w:rPr>
          <w:rFonts w:hint="default" w:ascii="仿宋_GB2312" w:hAnsi="宋体" w:eastAsia="仿宋_GB2312" w:cs="宋体"/>
          <w:bCs/>
          <w:kern w:val="0"/>
          <w:szCs w:val="24"/>
          <w:highlight w:val="none"/>
          <w:lang w:val="en-US" w:eastAsia="zh-CN"/>
        </w:rPr>
      </w:pPr>
      <w:r>
        <w:rPr>
          <w:rFonts w:hint="eastAsia" w:ascii="仿宋_GB2312" w:hAnsi="宋体" w:cs="宋体"/>
          <w:bCs/>
          <w:kern w:val="0"/>
          <w:szCs w:val="24"/>
          <w:highlight w:val="none"/>
        </w:rPr>
        <w:t>客户服务热线：</w:t>
      </w:r>
      <w:r>
        <w:rPr>
          <w:rFonts w:hint="eastAsia" w:ascii="仿宋_GB2312" w:hAnsi="宋体" w:cs="宋体"/>
          <w:bCs/>
          <w:kern w:val="0"/>
          <w:szCs w:val="24"/>
          <w:highlight w:val="yellow"/>
          <w:lang w:val="en-US" w:eastAsia="zh-CN"/>
        </w:rPr>
        <w:t>【】</w:t>
      </w:r>
    </w:p>
    <w:p w14:paraId="52DAA356">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托管机构主要职责：提供包括账户开立、资金保管、资金清算、估值核算、投资监督等理财产品托管服务。</w:t>
      </w:r>
    </w:p>
    <w:p w14:paraId="15999BAD">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产品管理人为理财产品资金管理之目的，以本产品的名义在托管人处单独开立资金账户，理财产品资金的一切收支活动，包括但不限于划付对外投资资金、缴纳理财产品税费、接收理财产品回收资金、支付理财产品费用，均必须通过该账户进行。</w:t>
      </w:r>
    </w:p>
    <w:p w14:paraId="64CF23BA">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3.</w:t>
      </w:r>
      <w:r>
        <w:rPr>
          <w:rFonts w:hint="eastAsia" w:ascii="仿宋_GB2312" w:hAnsi="宋体" w:cs="宋体"/>
          <w:bCs/>
          <w:color w:val="auto"/>
          <w:kern w:val="0"/>
          <w:szCs w:val="24"/>
          <w:highlight w:val="none"/>
        </w:rPr>
        <w:t>产品销售机构</w:t>
      </w:r>
    </w:p>
    <w:p w14:paraId="38D6D271">
      <w:pPr>
        <w:widowControl/>
        <w:tabs>
          <w:tab w:val="left" w:pos="709"/>
        </w:tabs>
        <w:adjustRightInd w:val="0"/>
        <w:snapToGrid w:val="0"/>
        <w:spacing w:line="360" w:lineRule="auto"/>
        <w:ind w:firstLine="420" w:firstLineChars="200"/>
        <w:rPr>
          <w:rFonts w:hint="eastAsia" w:ascii="仿宋_GB2312" w:hAnsi="宋体" w:eastAsia="仿宋_GB2312" w:cs="宋体"/>
          <w:bCs/>
          <w:kern w:val="0"/>
          <w:szCs w:val="24"/>
          <w:highlight w:val="none"/>
          <w:lang w:eastAsia="zh-CN"/>
        </w:rPr>
      </w:pPr>
      <w:r>
        <w:rPr>
          <w:rFonts w:hint="eastAsia" w:ascii="仿宋_GB2312" w:hAnsi="宋体" w:cs="宋体"/>
          <w:bCs/>
          <w:kern w:val="0"/>
          <w:szCs w:val="24"/>
          <w:highlight w:val="none"/>
        </w:rPr>
        <w:t>名称：</w:t>
      </w:r>
      <w:r>
        <w:rPr>
          <w:rFonts w:hint="eastAsia"/>
          <w:szCs w:val="24"/>
          <w:highlight w:val="yellow"/>
          <w:lang w:eastAsia="zh-CN"/>
        </w:rPr>
        <w:t>【】</w:t>
      </w:r>
    </w:p>
    <w:p w14:paraId="6CF972AF">
      <w:pPr>
        <w:widowControl/>
        <w:tabs>
          <w:tab w:val="left" w:pos="709"/>
        </w:tabs>
        <w:adjustRightInd w:val="0"/>
        <w:snapToGrid w:val="0"/>
        <w:spacing w:line="360" w:lineRule="auto"/>
        <w:ind w:firstLine="420" w:firstLineChars="200"/>
        <w:rPr>
          <w:rFonts w:hint="eastAsia" w:ascii="仿宋_GB2312" w:hAnsi="宋体" w:eastAsia="仿宋_GB2312" w:cs="宋体"/>
          <w:bCs/>
          <w:kern w:val="0"/>
          <w:szCs w:val="24"/>
          <w:highlight w:val="none"/>
          <w:lang w:eastAsia="zh-CN"/>
        </w:rPr>
      </w:pPr>
      <w:r>
        <w:rPr>
          <w:rFonts w:hint="eastAsia" w:ascii="仿宋_GB2312" w:hAnsi="宋体" w:cs="宋体"/>
          <w:bCs/>
          <w:kern w:val="0"/>
          <w:szCs w:val="24"/>
          <w:highlight w:val="none"/>
        </w:rPr>
        <w:t>注册地：</w:t>
      </w:r>
      <w:r>
        <w:rPr>
          <w:rFonts w:hint="eastAsia" w:ascii="仿宋_GB2312" w:hAnsi="宋体" w:cs="宋体"/>
          <w:bCs/>
          <w:kern w:val="0"/>
          <w:szCs w:val="24"/>
          <w:highlight w:val="yellow"/>
          <w:lang w:eastAsia="zh-CN"/>
        </w:rPr>
        <w:t>【】</w:t>
      </w:r>
    </w:p>
    <w:p w14:paraId="0E5B59ED">
      <w:pPr>
        <w:widowControl/>
        <w:tabs>
          <w:tab w:val="left" w:pos="709"/>
        </w:tabs>
        <w:adjustRightInd w:val="0"/>
        <w:snapToGrid w:val="0"/>
        <w:spacing w:line="360" w:lineRule="auto"/>
        <w:ind w:firstLine="420" w:firstLineChars="200"/>
        <w:rPr>
          <w:rFonts w:hint="default" w:ascii="仿宋_GB2312" w:hAnsi="宋体" w:eastAsia="仿宋_GB2312" w:cs="宋体"/>
          <w:bCs/>
          <w:kern w:val="0"/>
          <w:szCs w:val="24"/>
          <w:highlight w:val="none"/>
          <w:lang w:val="en-US" w:eastAsia="zh-CN"/>
        </w:rPr>
      </w:pPr>
      <w:r>
        <w:rPr>
          <w:rFonts w:hint="eastAsia" w:ascii="仿宋_GB2312" w:hAnsi="宋体" w:cs="宋体"/>
          <w:bCs/>
          <w:kern w:val="0"/>
          <w:szCs w:val="24"/>
          <w:highlight w:val="none"/>
        </w:rPr>
        <w:t>客户服务热线：</w:t>
      </w:r>
      <w:r>
        <w:rPr>
          <w:rFonts w:hint="eastAsia" w:ascii="仿宋_GB2312" w:hAnsi="宋体" w:cs="宋体"/>
          <w:bCs/>
          <w:kern w:val="0"/>
          <w:szCs w:val="24"/>
          <w:highlight w:val="yellow"/>
          <w:lang w:val="en-US" w:eastAsia="zh-CN"/>
        </w:rPr>
        <w:t>【】</w:t>
      </w:r>
    </w:p>
    <w:p w14:paraId="0B0969F3">
      <w:pPr>
        <w:widowControl/>
        <w:tabs>
          <w:tab w:val="left" w:pos="709"/>
        </w:tabs>
        <w:adjustRightInd w:val="0"/>
        <w:snapToGrid w:val="0"/>
        <w:spacing w:line="360" w:lineRule="auto"/>
        <w:ind w:firstLine="420" w:firstLineChars="200"/>
        <w:rPr>
          <w:rFonts w:ascii="仿宋_GB2312" w:hAnsi="宋体" w:cs="宋体"/>
          <w:b/>
          <w:bCs/>
          <w:color w:val="auto"/>
          <w:kern w:val="0"/>
          <w:szCs w:val="24"/>
          <w:highlight w:val="none"/>
          <w:u w:val="none"/>
        </w:rPr>
      </w:pPr>
      <w:r>
        <w:rPr>
          <w:rFonts w:hint="eastAsia" w:ascii="仿宋_GB2312" w:hAnsi="宋体" w:cs="宋体"/>
          <w:bCs/>
          <w:color w:val="auto"/>
          <w:kern w:val="0"/>
          <w:szCs w:val="24"/>
          <w:highlight w:val="none"/>
          <w:u w:val="none"/>
        </w:rPr>
        <w:t>本产品的认购将通过销售机构的</w:t>
      </w:r>
      <w:r>
        <w:rPr>
          <w:rFonts w:ascii="仿宋_GB2312" w:hAnsi="宋体" w:cs="宋体"/>
          <w:bCs/>
          <w:color w:val="auto"/>
          <w:kern w:val="0"/>
          <w:szCs w:val="24"/>
          <w:highlight w:val="none"/>
          <w:u w:val="none"/>
        </w:rPr>
        <w:t>销售渠道</w:t>
      </w:r>
      <w:r>
        <w:rPr>
          <w:rFonts w:hint="eastAsia" w:ascii="仿宋_GB2312" w:hAnsi="宋体" w:cs="宋体"/>
          <w:bCs/>
          <w:color w:val="auto"/>
          <w:kern w:val="0"/>
          <w:szCs w:val="24"/>
          <w:highlight w:val="none"/>
          <w:u w:val="none"/>
        </w:rPr>
        <w:t>进行（</w:t>
      </w:r>
      <w:r>
        <w:rPr>
          <w:rFonts w:ascii="仿宋_GB2312" w:hAnsi="宋体" w:cs="宋体"/>
          <w:bCs/>
          <w:color w:val="auto"/>
          <w:kern w:val="0"/>
          <w:szCs w:val="24"/>
          <w:highlight w:val="none"/>
          <w:u w:val="none"/>
        </w:rPr>
        <w:t>具体以销售机构提供的方式为准)。本产品销售机构包括但不限于</w:t>
      </w:r>
      <w:r>
        <w:rPr>
          <w:rFonts w:hint="eastAsia" w:ascii="仿宋_GB2312" w:hAnsi="宋体" w:cs="宋体"/>
          <w:bCs/>
          <w:color w:val="000000" w:themeColor="text1"/>
          <w:kern w:val="0"/>
          <w:szCs w:val="24"/>
          <w:highlight w:val="yellow"/>
          <w:lang w:eastAsia="zh-CN"/>
          <w14:textFill>
            <w14:solidFill>
              <w14:schemeClr w14:val="tx1"/>
            </w14:solidFill>
          </w14:textFill>
        </w:rPr>
        <w:t>【】</w:t>
      </w:r>
      <w:r>
        <w:rPr>
          <w:rFonts w:hint="eastAsia" w:ascii="仿宋_GB2312" w:hAnsi="宋体" w:cs="宋体"/>
          <w:bCs/>
          <w:color w:val="auto"/>
          <w:kern w:val="0"/>
          <w:szCs w:val="24"/>
          <w:highlight w:val="none"/>
          <w:u w:val="none"/>
        </w:rPr>
        <w:t>等机构，如有</w:t>
      </w:r>
      <w:r>
        <w:rPr>
          <w:rFonts w:ascii="仿宋_GB2312" w:hAnsi="宋体" w:cs="宋体"/>
          <w:bCs/>
          <w:color w:val="auto"/>
          <w:kern w:val="0"/>
          <w:szCs w:val="24"/>
          <w:highlight w:val="none"/>
          <w:u w:val="none"/>
        </w:rPr>
        <w:t>变更以管理人</w:t>
      </w:r>
      <w:r>
        <w:rPr>
          <w:rFonts w:hint="eastAsia" w:ascii="仿宋_GB2312" w:hAnsi="宋体" w:cs="宋体"/>
          <w:bCs/>
          <w:color w:val="auto"/>
          <w:kern w:val="0"/>
          <w:szCs w:val="24"/>
          <w:highlight w:val="none"/>
          <w:u w:val="none"/>
        </w:rPr>
        <w:t>信息披露为准。</w:t>
      </w:r>
    </w:p>
    <w:p w14:paraId="47A6A2F6">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销售</w:t>
      </w:r>
      <w:r>
        <w:rPr>
          <w:rFonts w:ascii="仿宋_GB2312" w:hAnsi="宋体" w:cs="宋体"/>
          <w:bCs/>
          <w:color w:val="auto"/>
          <w:kern w:val="0"/>
          <w:szCs w:val="24"/>
          <w:highlight w:val="none"/>
        </w:rPr>
        <w:t>机构</w:t>
      </w:r>
      <w:r>
        <w:rPr>
          <w:rFonts w:hint="eastAsia" w:ascii="仿宋_GB2312" w:hAnsi="宋体" w:cs="宋体"/>
          <w:bCs/>
          <w:color w:val="auto"/>
          <w:kern w:val="0"/>
          <w:szCs w:val="24"/>
          <w:highlight w:val="none"/>
        </w:rPr>
        <w:t>主要职责：理财产品宣传推介；为</w:t>
      </w:r>
      <w:r>
        <w:rPr>
          <w:rFonts w:ascii="仿宋_GB2312" w:hAnsi="宋体" w:cs="宋体"/>
          <w:bCs/>
          <w:color w:val="auto"/>
          <w:kern w:val="0"/>
          <w:szCs w:val="24"/>
          <w:highlight w:val="none"/>
        </w:rPr>
        <w:t>投资者办理</w:t>
      </w:r>
      <w:r>
        <w:rPr>
          <w:rFonts w:hint="eastAsia" w:ascii="仿宋_GB2312" w:hAnsi="宋体" w:cs="宋体"/>
          <w:bCs/>
          <w:color w:val="auto"/>
          <w:kern w:val="0"/>
          <w:szCs w:val="24"/>
          <w:highlight w:val="none"/>
        </w:rPr>
        <w:t>理财产品份额认购</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申购</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赎回服务；投资者风险承受能力评估和投资者适当性管理；</w:t>
      </w:r>
      <w:r>
        <w:rPr>
          <w:rFonts w:hint="eastAsia" w:ascii="仿宋_GB2312"/>
          <w:color w:val="auto"/>
          <w:highlight w:val="none"/>
        </w:rPr>
        <w:t>反洗钱、反恐怖融资、反扩散融资及非居民金融账户涉税信息尽职调查等</w:t>
      </w:r>
      <w:r>
        <w:rPr>
          <w:rFonts w:ascii="仿宋_GB2312"/>
          <w:color w:val="auto"/>
          <w:highlight w:val="none"/>
        </w:rPr>
        <w:t>；</w:t>
      </w:r>
      <w:r>
        <w:rPr>
          <w:rFonts w:hint="eastAsia" w:ascii="仿宋_GB2312"/>
          <w:color w:val="auto"/>
          <w:highlight w:val="none"/>
        </w:rPr>
        <w:t>协助投资者与管理人沟通</w:t>
      </w:r>
      <w:r>
        <w:rPr>
          <w:rFonts w:hint="eastAsia" w:ascii="仿宋_GB2312" w:hAnsi="宋体" w:cs="宋体"/>
          <w:bCs/>
          <w:color w:val="auto"/>
          <w:kern w:val="0"/>
          <w:szCs w:val="24"/>
          <w:highlight w:val="none"/>
        </w:rPr>
        <w:t>和客户维护等销售服务；国务院银行业监督管理机构规定的其他职责。</w:t>
      </w:r>
    </w:p>
    <w:p w14:paraId="69BCAE94">
      <w:pPr>
        <w:widowControl/>
        <w:tabs>
          <w:tab w:val="left" w:pos="709"/>
        </w:tabs>
        <w:adjustRightInd w:val="0"/>
        <w:snapToGrid w:val="0"/>
        <w:spacing w:line="360" w:lineRule="auto"/>
        <w:ind w:firstLine="422" w:firstLineChars="200"/>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★重要</w:t>
      </w:r>
      <w:r>
        <w:rPr>
          <w:rFonts w:ascii="仿宋_GB2312" w:hAnsi="宋体" w:cs="宋体"/>
          <w:b/>
          <w:bCs/>
          <w:color w:val="auto"/>
          <w:kern w:val="0"/>
          <w:szCs w:val="24"/>
          <w:highlight w:val="none"/>
        </w:rPr>
        <w:t>提示：</w:t>
      </w:r>
      <w:r>
        <w:rPr>
          <w:rFonts w:hint="eastAsia" w:ascii="仿宋_GB2312" w:hAnsi="宋体" w:cs="宋体"/>
          <w:b/>
          <w:bCs/>
          <w:color w:val="auto"/>
          <w:kern w:val="0"/>
          <w:szCs w:val="24"/>
          <w:highlight w:val="none"/>
        </w:rPr>
        <w:t>浙银理财委托托管机构托管理财产品或委托销售机构销售理财产品的，可能涉及委托浙商银行股份有限公司（以下简称“浙商银行”）担任理财产品的托管机构或销售机构。浙银理财是浙商银行控股的子公司，双方存在关联关系。如浙银理财委托浙商银行托管或销售本理财产品，将严格</w:t>
      </w:r>
      <w:r>
        <w:rPr>
          <w:rFonts w:ascii="仿宋_GB2312" w:hAnsi="宋体" w:cs="宋体"/>
          <w:b/>
          <w:bCs/>
          <w:color w:val="auto"/>
          <w:kern w:val="0"/>
          <w:szCs w:val="24"/>
          <w:highlight w:val="none"/>
        </w:rPr>
        <w:t>履行</w:t>
      </w:r>
      <w:r>
        <w:rPr>
          <w:rFonts w:hint="eastAsia" w:ascii="仿宋_GB2312" w:hAnsi="宋体" w:cs="宋体"/>
          <w:b/>
          <w:bCs/>
          <w:color w:val="auto"/>
          <w:kern w:val="0"/>
          <w:szCs w:val="24"/>
          <w:highlight w:val="none"/>
        </w:rPr>
        <w:t>现行法律</w:t>
      </w:r>
      <w:r>
        <w:rPr>
          <w:rFonts w:ascii="仿宋_GB2312" w:hAnsi="宋体" w:cs="宋体"/>
          <w:b/>
          <w:bCs/>
          <w:color w:val="auto"/>
          <w:kern w:val="0"/>
          <w:szCs w:val="24"/>
          <w:highlight w:val="none"/>
        </w:rPr>
        <w:t>法规和</w:t>
      </w:r>
      <w:r>
        <w:rPr>
          <w:rFonts w:hint="eastAsia" w:ascii="仿宋_GB2312" w:hAnsi="宋体" w:cs="宋体"/>
          <w:b/>
          <w:bCs/>
          <w:color w:val="auto"/>
          <w:kern w:val="0"/>
          <w:szCs w:val="24"/>
          <w:highlight w:val="none"/>
        </w:rPr>
        <w:t>监管</w:t>
      </w:r>
      <w:r>
        <w:rPr>
          <w:rFonts w:ascii="仿宋_GB2312" w:hAnsi="宋体" w:cs="宋体"/>
          <w:b/>
          <w:bCs/>
          <w:color w:val="auto"/>
          <w:kern w:val="0"/>
          <w:szCs w:val="24"/>
          <w:highlight w:val="none"/>
        </w:rPr>
        <w:t>规定</w:t>
      </w:r>
      <w:r>
        <w:rPr>
          <w:rFonts w:hint="eastAsia" w:ascii="仿宋_GB2312" w:hAnsi="宋体" w:cs="宋体"/>
          <w:b/>
          <w:bCs/>
          <w:color w:val="auto"/>
          <w:kern w:val="0"/>
          <w:szCs w:val="24"/>
          <w:highlight w:val="none"/>
        </w:rPr>
        <w:t>所</w:t>
      </w:r>
      <w:r>
        <w:rPr>
          <w:rFonts w:ascii="仿宋_GB2312" w:hAnsi="宋体" w:cs="宋体"/>
          <w:b/>
          <w:bCs/>
          <w:color w:val="auto"/>
          <w:kern w:val="0"/>
          <w:szCs w:val="24"/>
          <w:highlight w:val="none"/>
        </w:rPr>
        <w:t>规定</w:t>
      </w:r>
      <w:r>
        <w:rPr>
          <w:rFonts w:hint="eastAsia" w:ascii="仿宋_GB2312" w:hAnsi="宋体" w:cs="宋体"/>
          <w:b/>
          <w:bCs/>
          <w:color w:val="auto"/>
          <w:kern w:val="0"/>
          <w:szCs w:val="24"/>
          <w:highlight w:val="none"/>
        </w:rPr>
        <w:t>必须</w:t>
      </w:r>
      <w:r>
        <w:rPr>
          <w:rFonts w:ascii="仿宋_GB2312" w:hAnsi="宋体" w:cs="宋体"/>
          <w:b/>
          <w:bCs/>
          <w:color w:val="auto"/>
          <w:kern w:val="0"/>
          <w:szCs w:val="24"/>
          <w:highlight w:val="none"/>
        </w:rPr>
        <w:t>履行的</w:t>
      </w:r>
      <w:r>
        <w:rPr>
          <w:rFonts w:hint="eastAsia" w:ascii="仿宋_GB2312" w:hAnsi="宋体" w:cs="宋体"/>
          <w:b/>
          <w:bCs/>
          <w:color w:val="auto"/>
          <w:kern w:val="0"/>
          <w:szCs w:val="24"/>
          <w:highlight w:val="none"/>
        </w:rPr>
        <w:t>程序。前述关联</w:t>
      </w:r>
      <w:r>
        <w:rPr>
          <w:rFonts w:ascii="仿宋_GB2312" w:hAnsi="宋体" w:cs="宋体"/>
          <w:b/>
          <w:bCs/>
          <w:color w:val="auto"/>
          <w:kern w:val="0"/>
          <w:szCs w:val="24"/>
          <w:highlight w:val="none"/>
        </w:rPr>
        <w:t>关系</w:t>
      </w:r>
      <w:r>
        <w:rPr>
          <w:rFonts w:hint="eastAsia" w:ascii="仿宋_GB2312" w:hAnsi="宋体" w:cs="宋体"/>
          <w:b/>
          <w:bCs/>
          <w:color w:val="auto"/>
          <w:kern w:val="0"/>
          <w:szCs w:val="24"/>
          <w:highlight w:val="none"/>
        </w:rPr>
        <w:t>可能</w:t>
      </w:r>
      <w:r>
        <w:rPr>
          <w:rFonts w:ascii="仿宋_GB2312" w:hAnsi="宋体" w:cs="宋体"/>
          <w:b/>
          <w:bCs/>
          <w:color w:val="auto"/>
          <w:kern w:val="0"/>
          <w:szCs w:val="24"/>
          <w:highlight w:val="none"/>
        </w:rPr>
        <w:t>导致</w:t>
      </w:r>
      <w:r>
        <w:rPr>
          <w:rFonts w:hint="eastAsia" w:ascii="仿宋_GB2312" w:hAnsi="宋体" w:cs="宋体"/>
          <w:b/>
          <w:bCs/>
          <w:color w:val="auto"/>
          <w:kern w:val="0"/>
          <w:szCs w:val="24"/>
          <w:highlight w:val="none"/>
        </w:rPr>
        <w:t>影响</w:t>
      </w:r>
      <w:r>
        <w:rPr>
          <w:rFonts w:ascii="仿宋_GB2312" w:hAnsi="宋体" w:cs="宋体"/>
          <w:b/>
          <w:bCs/>
          <w:color w:val="auto"/>
          <w:kern w:val="0"/>
          <w:szCs w:val="24"/>
          <w:highlight w:val="none"/>
        </w:rPr>
        <w:t>管理人</w:t>
      </w:r>
      <w:r>
        <w:rPr>
          <w:rFonts w:hint="eastAsia" w:ascii="仿宋_GB2312" w:hAnsi="宋体" w:cs="宋体"/>
          <w:b/>
          <w:bCs/>
          <w:color w:val="auto"/>
          <w:kern w:val="0"/>
          <w:szCs w:val="24"/>
          <w:highlight w:val="none"/>
        </w:rPr>
        <w:t>独立</w:t>
      </w:r>
      <w:r>
        <w:rPr>
          <w:rFonts w:ascii="仿宋_GB2312" w:hAnsi="宋体" w:cs="宋体"/>
          <w:b/>
          <w:bCs/>
          <w:color w:val="auto"/>
          <w:kern w:val="0"/>
          <w:szCs w:val="24"/>
          <w:highlight w:val="none"/>
        </w:rPr>
        <w:t>决策的</w:t>
      </w:r>
      <w:r>
        <w:rPr>
          <w:rFonts w:hint="eastAsia" w:ascii="仿宋_GB2312" w:hAnsi="宋体" w:cs="宋体"/>
          <w:b/>
          <w:bCs/>
          <w:color w:val="auto"/>
          <w:kern w:val="0"/>
          <w:szCs w:val="24"/>
          <w:highlight w:val="none"/>
        </w:rPr>
        <w:t>潜在</w:t>
      </w:r>
      <w:r>
        <w:rPr>
          <w:rFonts w:ascii="仿宋_GB2312" w:hAnsi="宋体" w:cs="宋体"/>
          <w:b/>
          <w:bCs/>
          <w:color w:val="auto"/>
          <w:kern w:val="0"/>
          <w:szCs w:val="24"/>
          <w:highlight w:val="none"/>
        </w:rPr>
        <w:t>风险</w:t>
      </w:r>
      <w:r>
        <w:rPr>
          <w:rFonts w:hint="eastAsia" w:ascii="仿宋_GB2312" w:hAnsi="宋体" w:cs="宋体"/>
          <w:b/>
          <w:bCs/>
          <w:color w:val="auto"/>
          <w:kern w:val="0"/>
          <w:szCs w:val="24"/>
          <w:highlight w:val="none"/>
        </w:rPr>
        <w:t>。</w:t>
      </w:r>
      <w:r>
        <w:rPr>
          <w:rFonts w:ascii="仿宋_GB2312" w:hAnsi="宋体" w:cs="宋体"/>
          <w:b/>
          <w:bCs/>
          <w:color w:val="auto"/>
          <w:kern w:val="0"/>
          <w:szCs w:val="24"/>
          <w:highlight w:val="none"/>
        </w:rPr>
        <w:t>投资者</w:t>
      </w:r>
      <w:r>
        <w:rPr>
          <w:rFonts w:hint="eastAsia" w:ascii="仿宋_GB2312" w:hAnsi="宋体" w:cs="宋体"/>
          <w:b/>
          <w:bCs/>
          <w:color w:val="auto"/>
          <w:kern w:val="0"/>
          <w:szCs w:val="24"/>
          <w:highlight w:val="none"/>
        </w:rPr>
        <w:t>确认已充分</w:t>
      </w:r>
      <w:r>
        <w:rPr>
          <w:rFonts w:ascii="仿宋_GB2312" w:hAnsi="宋体" w:cs="宋体"/>
          <w:b/>
          <w:bCs/>
          <w:color w:val="auto"/>
          <w:kern w:val="0"/>
          <w:szCs w:val="24"/>
          <w:highlight w:val="none"/>
        </w:rPr>
        <w:t>知悉前述</w:t>
      </w:r>
      <w:r>
        <w:rPr>
          <w:rFonts w:hint="eastAsia" w:ascii="仿宋_GB2312" w:hAnsi="宋体" w:cs="宋体"/>
          <w:b/>
          <w:bCs/>
          <w:color w:val="auto"/>
          <w:kern w:val="0"/>
          <w:szCs w:val="24"/>
          <w:highlight w:val="none"/>
        </w:rPr>
        <w:t>关联关系</w:t>
      </w:r>
      <w:r>
        <w:rPr>
          <w:rFonts w:ascii="仿宋_GB2312" w:hAnsi="宋体" w:cs="宋体"/>
          <w:b/>
          <w:bCs/>
          <w:color w:val="auto"/>
          <w:kern w:val="0"/>
          <w:szCs w:val="24"/>
          <w:highlight w:val="none"/>
        </w:rPr>
        <w:t>，</w:t>
      </w:r>
      <w:r>
        <w:rPr>
          <w:rFonts w:hint="eastAsia" w:ascii="仿宋_GB2312" w:hAnsi="宋体" w:cs="宋体"/>
          <w:b/>
          <w:bCs/>
          <w:color w:val="auto"/>
          <w:kern w:val="0"/>
          <w:szCs w:val="24"/>
          <w:highlight w:val="none"/>
        </w:rPr>
        <w:t>并</w:t>
      </w:r>
      <w:r>
        <w:rPr>
          <w:rFonts w:ascii="仿宋_GB2312" w:hAnsi="宋体" w:cs="宋体"/>
          <w:b/>
          <w:bCs/>
          <w:color w:val="auto"/>
          <w:kern w:val="0"/>
          <w:szCs w:val="24"/>
          <w:highlight w:val="none"/>
        </w:rPr>
        <w:t>接受</w:t>
      </w:r>
      <w:r>
        <w:rPr>
          <w:rFonts w:hint="eastAsia" w:ascii="仿宋_GB2312" w:hAnsi="宋体" w:cs="宋体"/>
          <w:b/>
          <w:bCs/>
          <w:color w:val="auto"/>
          <w:kern w:val="0"/>
          <w:szCs w:val="24"/>
          <w:highlight w:val="none"/>
        </w:rPr>
        <w:t>理财</w:t>
      </w:r>
      <w:r>
        <w:rPr>
          <w:rFonts w:ascii="仿宋_GB2312" w:hAnsi="宋体" w:cs="宋体"/>
          <w:b/>
          <w:bCs/>
          <w:color w:val="auto"/>
          <w:kern w:val="0"/>
          <w:szCs w:val="24"/>
          <w:highlight w:val="none"/>
        </w:rPr>
        <w:t>产品由</w:t>
      </w:r>
      <w:r>
        <w:rPr>
          <w:rFonts w:hint="eastAsia" w:ascii="仿宋_GB2312" w:hAnsi="宋体" w:cs="宋体"/>
          <w:b/>
          <w:bCs/>
          <w:color w:val="auto"/>
          <w:kern w:val="0"/>
          <w:szCs w:val="24"/>
          <w:highlight w:val="none"/>
        </w:rPr>
        <w:t>销售</w:t>
      </w:r>
      <w:r>
        <w:rPr>
          <w:rFonts w:ascii="仿宋_GB2312" w:hAnsi="宋体" w:cs="宋体"/>
          <w:b/>
          <w:bCs/>
          <w:color w:val="auto"/>
          <w:kern w:val="0"/>
          <w:szCs w:val="24"/>
          <w:highlight w:val="none"/>
        </w:rPr>
        <w:t>机构</w:t>
      </w:r>
      <w:r>
        <w:rPr>
          <w:rFonts w:hint="eastAsia" w:ascii="仿宋_GB2312" w:hAnsi="宋体" w:cs="宋体"/>
          <w:b/>
          <w:bCs/>
          <w:color w:val="auto"/>
          <w:kern w:val="0"/>
          <w:szCs w:val="24"/>
          <w:highlight w:val="none"/>
        </w:rPr>
        <w:t>代理</w:t>
      </w:r>
      <w:r>
        <w:rPr>
          <w:rFonts w:ascii="仿宋_GB2312" w:hAnsi="宋体" w:cs="宋体"/>
          <w:b/>
          <w:bCs/>
          <w:color w:val="auto"/>
          <w:kern w:val="0"/>
          <w:szCs w:val="24"/>
          <w:highlight w:val="none"/>
        </w:rPr>
        <w:t>销售</w:t>
      </w:r>
      <w:r>
        <w:rPr>
          <w:rFonts w:hint="eastAsia" w:ascii="仿宋_GB2312" w:hAnsi="宋体" w:cs="宋体"/>
          <w:b/>
          <w:bCs/>
          <w:color w:val="auto"/>
          <w:kern w:val="0"/>
          <w:szCs w:val="24"/>
          <w:highlight w:val="none"/>
        </w:rPr>
        <w:t>、托管机构</w:t>
      </w:r>
      <w:r>
        <w:rPr>
          <w:rFonts w:ascii="仿宋_GB2312" w:hAnsi="宋体" w:cs="宋体"/>
          <w:b/>
          <w:bCs/>
          <w:color w:val="auto"/>
          <w:kern w:val="0"/>
          <w:szCs w:val="24"/>
          <w:highlight w:val="none"/>
        </w:rPr>
        <w:t>托管。</w:t>
      </w:r>
    </w:p>
    <w:p w14:paraId="1384192C">
      <w:pPr>
        <w:pStyle w:val="3"/>
        <w:widowControl/>
        <w:numPr>
          <w:ilvl w:val="1"/>
          <w:numId w:val="10"/>
        </w:numPr>
        <w:tabs>
          <w:tab w:val="left" w:pos="709"/>
        </w:tabs>
        <w:adjustRightInd w:val="0"/>
        <w:snapToGrid w:val="0"/>
        <w:ind w:firstLine="482"/>
        <w:rPr>
          <w:color w:val="auto"/>
          <w:highlight w:val="none"/>
        </w:rPr>
      </w:pPr>
      <w:r>
        <w:rPr>
          <w:color w:val="auto"/>
          <w:highlight w:val="none"/>
        </w:rPr>
        <w:t>募集期</w:t>
      </w:r>
    </w:p>
    <w:p w14:paraId="7DDB5E1F">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产品募集期内，投资者可多次对本产品认购或</w:t>
      </w:r>
      <w:r>
        <w:rPr>
          <w:rFonts w:hint="eastAsia"/>
          <w:color w:val="auto"/>
          <w:highlight w:val="none"/>
        </w:rPr>
        <w:t>撤单</w:t>
      </w:r>
      <w:r>
        <w:rPr>
          <w:rFonts w:hint="eastAsia" w:ascii="仿宋_GB2312" w:hAnsi="宋体" w:cs="宋体"/>
          <w:bCs/>
          <w:color w:val="auto"/>
          <w:kern w:val="0"/>
          <w:szCs w:val="24"/>
          <w:highlight w:val="none"/>
        </w:rPr>
        <w:t>。如投资者认购成功，销售机构有权冻结投资者认购资金，</w:t>
      </w:r>
      <w:r>
        <w:rPr>
          <w:rFonts w:hint="eastAsia" w:ascii="仿宋_GB2312" w:hAnsi="宋体" w:cs="宋体"/>
          <w:b/>
          <w:color w:val="auto"/>
          <w:kern w:val="0"/>
          <w:szCs w:val="24"/>
          <w:highlight w:val="none"/>
        </w:rPr>
        <w:t>但募集期内认购资金是否计息以销售机构规则为准，利息不计入认购本金份额。</w:t>
      </w:r>
      <w:r>
        <w:rPr>
          <w:rFonts w:hint="eastAsia" w:ascii="仿宋_GB2312" w:hAnsi="宋体" w:cs="宋体"/>
          <w:bCs/>
          <w:color w:val="auto"/>
          <w:kern w:val="0"/>
          <w:szCs w:val="24"/>
          <w:highlight w:val="none"/>
        </w:rPr>
        <w:t>销售机构实际受理投资者成功提交的认购申请时间可能与说明书不一致，具体以销售机构信息为准。</w:t>
      </w:r>
    </w:p>
    <w:p w14:paraId="316BEC78">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本理财产品累计认购份额达到发行规模上限时，销售机构有权停止接受认购申请。管理人有权根据募集情况提前终止或延长产品募集期，</w:t>
      </w:r>
      <w:r>
        <w:rPr>
          <w:rFonts w:ascii="仿宋_GB2312" w:hAnsi="宋体" w:cs="宋体"/>
          <w:bCs/>
          <w:color w:val="auto"/>
          <w:kern w:val="0"/>
          <w:szCs w:val="24"/>
          <w:highlight w:val="none"/>
        </w:rPr>
        <w:t>如有变动</w:t>
      </w:r>
      <w:r>
        <w:rPr>
          <w:rFonts w:hint="eastAsia" w:ascii="仿宋_GB2312" w:hAnsi="宋体" w:cs="宋体"/>
          <w:bCs/>
          <w:color w:val="auto"/>
          <w:kern w:val="0"/>
          <w:szCs w:val="24"/>
          <w:highlight w:val="none"/>
        </w:rPr>
        <w:t>以管理人或销售机构公告为准。</w:t>
      </w:r>
    </w:p>
    <w:p w14:paraId="75858B56">
      <w:pPr>
        <w:pStyle w:val="3"/>
        <w:widowControl/>
        <w:numPr>
          <w:ilvl w:val="1"/>
          <w:numId w:val="10"/>
        </w:numPr>
        <w:tabs>
          <w:tab w:val="left" w:pos="709"/>
        </w:tabs>
        <w:snapToGrid w:val="0"/>
        <w:ind w:firstLine="482"/>
        <w:rPr>
          <w:rStyle w:val="15"/>
          <w:rFonts w:hint="eastAsia" w:ascii="仿宋_GB2312" w:hAnsi="宋体"/>
          <w:b w:val="0"/>
          <w:color w:val="auto"/>
          <w:highlight w:val="none"/>
        </w:rPr>
      </w:pPr>
      <w:r>
        <w:rPr>
          <w:rFonts w:hint="eastAsia" w:ascii="仿宋_GB2312" w:hAnsi="宋体" w:cs="宋体"/>
          <w:bCs/>
          <w:color w:val="auto"/>
          <w:kern w:val="0"/>
          <w:szCs w:val="24"/>
          <w:highlight w:val="none"/>
        </w:rPr>
        <w:t>投资者</w:t>
      </w:r>
      <w:r>
        <w:rPr>
          <w:rFonts w:ascii="仿宋_GB2312" w:hAnsi="宋体" w:cs="宋体"/>
          <w:bCs/>
          <w:color w:val="auto"/>
          <w:kern w:val="0"/>
          <w:szCs w:val="24"/>
          <w:highlight w:val="none"/>
        </w:rPr>
        <w:t>范围</w:t>
      </w:r>
    </w:p>
    <w:p w14:paraId="42D3DB4B">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rPr>
        <w:t>”。</w:t>
      </w:r>
    </w:p>
    <w:p w14:paraId="41C4B5B8">
      <w:pPr>
        <w:pStyle w:val="3"/>
        <w:numPr>
          <w:ilvl w:val="1"/>
          <w:numId w:val="10"/>
        </w:numPr>
        <w:ind w:firstLine="482"/>
        <w:rPr>
          <w:color w:val="auto"/>
          <w:highlight w:val="none"/>
        </w:rPr>
      </w:pPr>
      <w:r>
        <w:rPr>
          <w:rFonts w:hint="eastAsia"/>
          <w:color w:val="auto"/>
          <w:highlight w:val="none"/>
        </w:rPr>
        <w:t>认购的</w:t>
      </w:r>
      <w:r>
        <w:rPr>
          <w:color w:val="auto"/>
          <w:highlight w:val="none"/>
        </w:rPr>
        <w:t>价格</w:t>
      </w:r>
    </w:p>
    <w:p w14:paraId="7D665093">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本产品的认购价格为每份理财份额人民币1.00</w:t>
      </w:r>
      <w:r>
        <w:rPr>
          <w:rFonts w:ascii="仿宋_GB2312" w:hAnsi="宋体" w:cs="宋体"/>
          <w:bCs/>
          <w:color w:val="auto"/>
          <w:kern w:val="0"/>
          <w:szCs w:val="24"/>
          <w:highlight w:val="none"/>
        </w:rPr>
        <w:t>0</w:t>
      </w:r>
      <w:r>
        <w:rPr>
          <w:rFonts w:hint="eastAsia" w:ascii="仿宋_GB2312" w:hAnsi="宋体" w:cs="宋体"/>
          <w:bCs/>
          <w:color w:val="auto"/>
          <w:kern w:val="0"/>
          <w:szCs w:val="24"/>
          <w:highlight w:val="none"/>
          <w:lang w:val="en-US" w:eastAsia="zh-CN"/>
        </w:rPr>
        <w:t>00</w:t>
      </w:r>
      <w:r>
        <w:rPr>
          <w:rFonts w:ascii="仿宋_GB2312" w:hAnsi="宋体" w:cs="宋体"/>
          <w:bCs/>
          <w:color w:val="auto"/>
          <w:kern w:val="0"/>
          <w:szCs w:val="24"/>
          <w:highlight w:val="none"/>
        </w:rPr>
        <w:t>0</w:t>
      </w:r>
      <w:r>
        <w:rPr>
          <w:rFonts w:hint="eastAsia" w:ascii="仿宋_GB2312" w:hAnsi="宋体" w:cs="宋体"/>
          <w:bCs/>
          <w:color w:val="auto"/>
          <w:kern w:val="0"/>
          <w:szCs w:val="24"/>
          <w:highlight w:val="none"/>
        </w:rPr>
        <w:t>元。</w:t>
      </w:r>
    </w:p>
    <w:p w14:paraId="4667D0AF">
      <w:pPr>
        <w:pStyle w:val="3"/>
        <w:widowControl/>
        <w:numPr>
          <w:ilvl w:val="1"/>
          <w:numId w:val="10"/>
        </w:numPr>
        <w:tabs>
          <w:tab w:val="left" w:pos="709"/>
        </w:tabs>
        <w:snapToGrid w:val="0"/>
        <w:ind w:firstLine="482"/>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认购</w:t>
      </w:r>
      <w:r>
        <w:rPr>
          <w:rFonts w:ascii="仿宋_GB2312" w:hAnsi="宋体" w:cs="宋体"/>
          <w:bCs/>
          <w:color w:val="auto"/>
          <w:kern w:val="0"/>
          <w:szCs w:val="24"/>
          <w:highlight w:val="none"/>
        </w:rPr>
        <w:t>份额</w:t>
      </w:r>
      <w:r>
        <w:rPr>
          <w:rFonts w:hint="eastAsia" w:ascii="仿宋_GB2312" w:hAnsi="宋体" w:cs="宋体"/>
          <w:bCs/>
          <w:color w:val="auto"/>
          <w:kern w:val="0"/>
          <w:szCs w:val="24"/>
          <w:highlight w:val="none"/>
        </w:rPr>
        <w:t>的</w:t>
      </w:r>
      <w:r>
        <w:rPr>
          <w:rFonts w:ascii="仿宋_GB2312" w:hAnsi="宋体" w:cs="宋体"/>
          <w:bCs/>
          <w:color w:val="auto"/>
          <w:kern w:val="0"/>
          <w:szCs w:val="24"/>
          <w:highlight w:val="none"/>
        </w:rPr>
        <w:t>计算</w:t>
      </w:r>
    </w:p>
    <w:p w14:paraId="0C803E06">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 xml:space="preserve">本产品采用金额认购方法，认购金额包括认购费用和净认购金额，认购时计算方法如下： </w:t>
      </w:r>
    </w:p>
    <w:p w14:paraId="26238E30">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rPr>
      </w:pP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yellow"/>
        </w:rPr>
        <w:t>净认购金额=认购金额/（1+认购费率）（认购费率详见产品说明书关于费用的说明）</w:t>
      </w:r>
    </w:p>
    <w:p w14:paraId="620768C9">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rPr>
      </w:pPr>
      <w:r>
        <w:rPr>
          <w:rFonts w:hint="eastAsia" w:ascii="仿宋_GB2312" w:hAnsi="宋体" w:cs="宋体"/>
          <w:bCs/>
          <w:color w:val="auto"/>
          <w:kern w:val="0"/>
          <w:szCs w:val="24"/>
          <w:highlight w:val="yellow"/>
        </w:rPr>
        <w:t>认购费用=认购金额-净认购金额</w:t>
      </w:r>
    </w:p>
    <w:p w14:paraId="284D1CBB">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lang w:eastAsia="zh-CN"/>
        </w:rPr>
      </w:pPr>
      <w:r>
        <w:rPr>
          <w:rFonts w:hint="eastAsia" w:ascii="仿宋_GB2312" w:hAnsi="宋体" w:cs="宋体"/>
          <w:bCs/>
          <w:color w:val="auto"/>
          <w:kern w:val="0"/>
          <w:szCs w:val="24"/>
          <w:highlight w:val="yellow"/>
        </w:rPr>
        <w:t>认购份额=净认购金额/理财产品单位份额净值</w:t>
      </w:r>
      <w:r>
        <w:rPr>
          <w:rFonts w:hint="eastAsia" w:ascii="仿宋_GB2312" w:hAnsi="宋体" w:cs="宋体"/>
          <w:bCs/>
          <w:color w:val="auto"/>
          <w:kern w:val="0"/>
          <w:szCs w:val="24"/>
          <w:highlight w:val="yellow"/>
          <w:lang w:eastAsia="zh-CN"/>
        </w:rPr>
        <w:t>】</w:t>
      </w:r>
    </w:p>
    <w:p w14:paraId="6FD39918">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认购份额以四舍五入的方法保留到小数点后两位。</w:t>
      </w:r>
    </w:p>
    <w:p w14:paraId="22D18783">
      <w:pPr>
        <w:pStyle w:val="3"/>
        <w:numPr>
          <w:ilvl w:val="1"/>
          <w:numId w:val="10"/>
        </w:numPr>
        <w:ind w:firstLine="482"/>
        <w:rPr>
          <w:color w:val="auto"/>
          <w:highlight w:val="none"/>
        </w:rPr>
      </w:pPr>
      <w:r>
        <w:rPr>
          <w:rFonts w:hint="eastAsia"/>
          <w:color w:val="auto"/>
          <w:highlight w:val="none"/>
        </w:rPr>
        <w:t>认购</w:t>
      </w:r>
      <w:r>
        <w:rPr>
          <w:rFonts w:hint="eastAsia"/>
          <w:color w:val="auto"/>
          <w:highlight w:val="none"/>
          <w:u w:val="none"/>
          <w:lang w:eastAsia="zh-CN"/>
        </w:rPr>
        <w:t>的</w:t>
      </w:r>
      <w:r>
        <w:rPr>
          <w:rFonts w:hint="eastAsia"/>
          <w:color w:val="auto"/>
          <w:highlight w:val="none"/>
        </w:rPr>
        <w:t>起点</w:t>
      </w:r>
      <w:r>
        <w:rPr>
          <w:rFonts w:hint="eastAsia"/>
          <w:color w:val="auto"/>
          <w:highlight w:val="none"/>
          <w:u w:val="none"/>
          <w:lang w:eastAsia="zh-CN"/>
        </w:rPr>
        <w:t>销售金额</w:t>
      </w:r>
      <w:r>
        <w:rPr>
          <w:rFonts w:hint="eastAsia"/>
          <w:color w:val="auto"/>
          <w:highlight w:val="none"/>
        </w:rPr>
        <w:t>和</w:t>
      </w:r>
      <w:r>
        <w:rPr>
          <w:rFonts w:hint="eastAsia"/>
          <w:color w:val="auto"/>
          <w:highlight w:val="none"/>
          <w:u w:val="none"/>
          <w:lang w:eastAsia="zh-CN"/>
        </w:rPr>
        <w:t>追加</w:t>
      </w:r>
      <w:r>
        <w:rPr>
          <w:rFonts w:hint="eastAsia"/>
          <w:color w:val="auto"/>
          <w:highlight w:val="none"/>
        </w:rPr>
        <w:t>递增</w:t>
      </w:r>
      <w:r>
        <w:rPr>
          <w:color w:val="auto"/>
          <w:highlight w:val="none"/>
        </w:rPr>
        <w:t>金额</w:t>
      </w:r>
    </w:p>
    <w:p w14:paraId="1DBF1814">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rPr>
        <w:t>”。</w:t>
      </w:r>
    </w:p>
    <w:p w14:paraId="6F3F24BC">
      <w:pPr>
        <w:pStyle w:val="3"/>
        <w:widowControl/>
        <w:numPr>
          <w:ilvl w:val="1"/>
          <w:numId w:val="10"/>
        </w:numPr>
        <w:tabs>
          <w:tab w:val="left" w:pos="709"/>
        </w:tabs>
        <w:snapToGrid w:val="0"/>
        <w:ind w:firstLine="482"/>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认购确认</w:t>
      </w:r>
    </w:p>
    <w:p w14:paraId="3591F579">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投资者提交认购申请后，如管理人在认购</w:t>
      </w:r>
      <w:r>
        <w:rPr>
          <w:rFonts w:ascii="仿宋_GB2312" w:hAnsi="宋体" w:cs="宋体"/>
          <w:bCs/>
          <w:color w:val="auto"/>
          <w:kern w:val="0"/>
          <w:szCs w:val="24"/>
          <w:highlight w:val="none"/>
        </w:rPr>
        <w:t>确认日</w:t>
      </w:r>
      <w:r>
        <w:rPr>
          <w:rFonts w:hint="eastAsia" w:ascii="仿宋_GB2312" w:hAnsi="宋体" w:cs="宋体"/>
          <w:bCs/>
          <w:color w:val="auto"/>
          <w:kern w:val="0"/>
          <w:szCs w:val="24"/>
          <w:highlight w:val="none"/>
        </w:rPr>
        <w:t>成功登记投资者认购份额，则视为投资者的认购申请生效。销售机构成功登记投资者认购份额、投资者认购申请生效并不代表销售机构对该认购申请结果的成功确认或承诺，而仅代表其收到认购申请，认购申请结果是否成功以管理人确认为准。本产品认购确认日为本产品成立日。</w:t>
      </w:r>
    </w:p>
    <w:p w14:paraId="17D3AA4D">
      <w:pPr>
        <w:pStyle w:val="3"/>
        <w:widowControl/>
        <w:numPr>
          <w:ilvl w:val="1"/>
          <w:numId w:val="10"/>
        </w:numPr>
        <w:tabs>
          <w:tab w:val="left" w:pos="709"/>
        </w:tabs>
        <w:snapToGrid w:val="0"/>
        <w:ind w:firstLine="482"/>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认购撤销</w:t>
      </w:r>
    </w:p>
    <w:p w14:paraId="1E371C8F">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募集期内投资者可以撤销已提交的认购申请，具体请以销售机构规定为准。</w:t>
      </w:r>
    </w:p>
    <w:p w14:paraId="0774FC11">
      <w:pPr>
        <w:pStyle w:val="3"/>
        <w:widowControl/>
        <w:numPr>
          <w:ilvl w:val="1"/>
          <w:numId w:val="10"/>
        </w:numPr>
        <w:tabs>
          <w:tab w:val="left" w:pos="709"/>
        </w:tabs>
        <w:snapToGrid w:val="0"/>
        <w:ind w:firstLine="482"/>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认购数量</w:t>
      </w:r>
      <w:r>
        <w:rPr>
          <w:rFonts w:ascii="仿宋_GB2312" w:hAnsi="宋体" w:cs="宋体"/>
          <w:bCs/>
          <w:color w:val="auto"/>
          <w:kern w:val="0"/>
          <w:szCs w:val="24"/>
          <w:highlight w:val="none"/>
        </w:rPr>
        <w:t>限制</w:t>
      </w:r>
    </w:p>
    <w:p w14:paraId="392864BA">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rPr>
        <w:t>”。</w:t>
      </w:r>
    </w:p>
    <w:p w14:paraId="2EE39CF7">
      <w:pPr>
        <w:pStyle w:val="3"/>
        <w:numPr>
          <w:ilvl w:val="1"/>
          <w:numId w:val="10"/>
        </w:numPr>
        <w:ind w:firstLine="482"/>
        <w:rPr>
          <w:color w:val="auto"/>
          <w:highlight w:val="none"/>
        </w:rPr>
      </w:pPr>
      <w:r>
        <w:rPr>
          <w:rFonts w:hint="eastAsia"/>
          <w:color w:val="auto"/>
          <w:highlight w:val="none"/>
        </w:rPr>
        <w:t>产品成立</w:t>
      </w:r>
    </w:p>
    <w:p w14:paraId="370A22D0">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1.募集期届满，募集总资金累计金额不低于产品最低成立规模时，产品成立。</w:t>
      </w:r>
    </w:p>
    <w:p w14:paraId="4009BC24">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w:t>
      </w:r>
      <w:r>
        <w:rPr>
          <w:rFonts w:hint="eastAsia" w:ascii="仿宋_GB2312" w:hAnsi="宋体" w:cs="宋体"/>
          <w:b/>
          <w:bCs/>
          <w:color w:val="auto"/>
          <w:kern w:val="0"/>
          <w:szCs w:val="24"/>
          <w:highlight w:val="none"/>
        </w:rPr>
        <w:t>本产品募集期限内，如募集总金额未达到产品最低成立规模，或国家宏观政策以及市场相关法规政策发生变化，或市场发生剧烈波动，或发生其他经管理人合理判断难以履行本理财产品说明书约定或可能导致投资者权益受损的情形，管理人有权利但无义务宣布本理财产品不成立</w:t>
      </w:r>
      <w:r>
        <w:rPr>
          <w:rFonts w:hint="eastAsia" w:ascii="仿宋_GB2312" w:hAnsi="宋体"/>
          <w:b/>
          <w:color w:val="auto"/>
          <w:kern w:val="0"/>
          <w:szCs w:val="24"/>
          <w:highlight w:val="none"/>
        </w:rPr>
        <w:t>，亦有权延长募集期或调整募集规模</w:t>
      </w:r>
      <w:r>
        <w:rPr>
          <w:rFonts w:hint="eastAsia" w:ascii="仿宋_GB2312" w:hAnsi="宋体" w:cs="宋体"/>
          <w:b/>
          <w:bCs/>
          <w:color w:val="auto"/>
          <w:kern w:val="0"/>
          <w:szCs w:val="24"/>
          <w:highlight w:val="none"/>
        </w:rPr>
        <w:t>。</w:t>
      </w:r>
    </w:p>
    <w:p w14:paraId="324D9639">
      <w:pPr>
        <w:widowControl/>
        <w:tabs>
          <w:tab w:val="left" w:pos="709"/>
        </w:tabs>
        <w:snapToGrid w:val="0"/>
        <w:spacing w:line="360" w:lineRule="auto"/>
        <w:ind w:firstLine="420" w:firstLineChars="200"/>
        <w:rPr>
          <w:rFonts w:hint="eastAsia" w:ascii="仿宋_GB2312" w:hAnsi="宋体" w:cs="宋体"/>
          <w:b/>
          <w:bCs/>
          <w:color w:val="auto"/>
          <w:kern w:val="0"/>
          <w:szCs w:val="24"/>
          <w:highlight w:val="none"/>
        </w:rPr>
      </w:pPr>
      <w:r>
        <w:rPr>
          <w:rFonts w:hint="eastAsia" w:ascii="仿宋_GB2312" w:hAnsi="宋体" w:cs="宋体"/>
          <w:bCs/>
          <w:color w:val="auto"/>
          <w:kern w:val="0"/>
          <w:szCs w:val="24"/>
          <w:highlight w:val="none"/>
        </w:rPr>
        <w:t>（1）产品不成立：管理人决定理财产品不成立，将及时通过本产品说明书约定的</w:t>
      </w:r>
      <w:r>
        <w:rPr>
          <w:rFonts w:ascii="仿宋_GB2312" w:hAnsi="宋体" w:cs="宋体"/>
          <w:bCs/>
          <w:color w:val="auto"/>
          <w:kern w:val="0"/>
          <w:szCs w:val="24"/>
          <w:highlight w:val="none"/>
        </w:rPr>
        <w:t>方式</w:t>
      </w:r>
      <w:r>
        <w:rPr>
          <w:rFonts w:hint="eastAsia" w:ascii="仿宋_GB2312" w:hAnsi="宋体" w:cs="宋体"/>
          <w:bCs/>
          <w:color w:val="auto"/>
          <w:kern w:val="0"/>
          <w:szCs w:val="24"/>
          <w:highlight w:val="none"/>
        </w:rPr>
        <w:t>披露产品不成立相关信息，并在不晚于产品原计划成立日后的</w:t>
      </w:r>
      <w:r>
        <w:rPr>
          <w:rFonts w:hint="eastAsia" w:ascii="仿宋_GB2312" w:hAnsi="宋体" w:cs="宋体"/>
          <w:bCs/>
          <w:color w:val="auto"/>
          <w:kern w:val="0"/>
          <w:szCs w:val="24"/>
          <w:highlight w:val="yellow"/>
          <w:u w:val="none"/>
        </w:rPr>
        <w:t>3个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lang w:eastAsia="zh-CN"/>
        </w:rPr>
        <w:sym w:font="Wingdings 2" w:char="00A3"/>
      </w:r>
      <w:r>
        <w:rPr>
          <w:rFonts w:hint="eastAsia" w:ascii="仿宋_GB2312" w:hAnsi="宋体" w:cs="宋体"/>
          <w:bCs/>
          <w:kern w:val="0"/>
          <w:szCs w:val="24"/>
          <w:highlight w:val="yellow"/>
          <w:lang w:eastAsia="zh-CN"/>
        </w:rPr>
        <w:t>工作日</w:t>
      </w:r>
      <w:r>
        <w:rPr>
          <w:rFonts w:hint="eastAsia" w:ascii="仿宋_GB2312" w:hAnsi="宋体" w:cs="宋体"/>
          <w:bCs/>
          <w:kern w:val="0"/>
          <w:szCs w:val="24"/>
          <w:highlight w:val="yellow"/>
          <w:lang w:val="en-US" w:eastAsia="zh-CN"/>
        </w:rPr>
        <w:t>/</w:t>
      </w:r>
      <w:r>
        <w:rPr>
          <w:rFonts w:hint="eastAsia" w:ascii="仿宋_GB2312" w:hAnsi="宋体" w:cs="宋体"/>
          <w:bCs/>
          <w:kern w:val="0"/>
          <w:szCs w:val="24"/>
          <w:highlight w:val="yellow"/>
          <w:lang w:val="en-US" w:eastAsia="zh-CN"/>
        </w:rPr>
        <w:sym w:font="Wingdings 2" w:char="00A3"/>
      </w:r>
      <w:r>
        <w:rPr>
          <w:rFonts w:hint="eastAsia" w:ascii="仿宋_GB2312" w:hAnsi="宋体" w:cs="宋体"/>
          <w:bCs/>
          <w:kern w:val="0"/>
          <w:szCs w:val="24"/>
          <w:highlight w:val="yellow"/>
          <w:lang w:val="en-US" w:eastAsia="zh-CN"/>
        </w:rPr>
        <w:t>交易日</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rPr>
        <w:t>通过销售机构将理财投资本金退回投资者指定账户。</w:t>
      </w:r>
    </w:p>
    <w:p w14:paraId="5B7D0D08">
      <w:pPr>
        <w:widowControl/>
        <w:tabs>
          <w:tab w:val="left" w:pos="709"/>
        </w:tabs>
        <w:snapToGrid w:val="0"/>
        <w:spacing w:line="360" w:lineRule="auto"/>
        <w:ind w:firstLine="420" w:firstLineChars="200"/>
        <w:rPr>
          <w:rFonts w:hint="eastAsia" w:ascii="仿宋_GB2312" w:hAnsi="宋体"/>
          <w:color w:val="auto"/>
          <w:kern w:val="0"/>
          <w:szCs w:val="24"/>
          <w:highlight w:val="none"/>
        </w:rPr>
      </w:pPr>
      <w:r>
        <w:rPr>
          <w:rFonts w:hint="eastAsia" w:ascii="仿宋_GB2312" w:hAnsi="宋体" w:cs="宋体"/>
          <w:bCs/>
          <w:color w:val="auto"/>
          <w:kern w:val="0"/>
          <w:szCs w:val="24"/>
          <w:highlight w:val="none"/>
        </w:rPr>
        <w:t>（2）</w:t>
      </w:r>
      <w:r>
        <w:rPr>
          <w:rFonts w:hint="eastAsia" w:ascii="仿宋_GB2312" w:hAnsi="宋体"/>
          <w:color w:val="auto"/>
          <w:kern w:val="0"/>
          <w:szCs w:val="24"/>
          <w:highlight w:val="none"/>
        </w:rPr>
        <w:t>延长产品募集期:</w:t>
      </w:r>
      <w:r>
        <w:rPr>
          <w:rFonts w:hint="eastAsia" w:ascii="仿宋_GB2312" w:hAnsi="宋体" w:cs="宋体"/>
          <w:bCs/>
          <w:color w:val="auto"/>
          <w:kern w:val="0"/>
          <w:szCs w:val="24"/>
          <w:highlight w:val="none"/>
        </w:rPr>
        <w:t>管理人决定延长产品募集期，</w:t>
      </w:r>
      <w:r>
        <w:rPr>
          <w:rFonts w:hint="eastAsia" w:ascii="仿宋_GB2312" w:hAnsi="宋体"/>
          <w:color w:val="auto"/>
          <w:kern w:val="0"/>
          <w:szCs w:val="24"/>
          <w:highlight w:val="none"/>
        </w:rPr>
        <w:t>将在理财</w:t>
      </w:r>
      <w:r>
        <w:rPr>
          <w:rFonts w:ascii="仿宋_GB2312" w:hAnsi="宋体"/>
          <w:color w:val="auto"/>
          <w:kern w:val="0"/>
          <w:szCs w:val="24"/>
          <w:highlight w:val="none"/>
        </w:rPr>
        <w:t>产品</w:t>
      </w:r>
      <w:r>
        <w:rPr>
          <w:rFonts w:hint="eastAsia" w:ascii="仿宋_GB2312" w:hAnsi="宋体"/>
          <w:color w:val="auto"/>
          <w:kern w:val="0"/>
          <w:szCs w:val="24"/>
          <w:highlight w:val="none"/>
        </w:rPr>
        <w:t>原定成立日前</w:t>
      </w:r>
      <w:r>
        <w:rPr>
          <w:rFonts w:hint="eastAsia" w:ascii="仿宋_GB2312" w:hAnsi="宋体" w:cs="宋体"/>
          <w:bCs/>
          <w:color w:val="auto"/>
          <w:kern w:val="0"/>
          <w:szCs w:val="24"/>
          <w:highlight w:val="none"/>
        </w:rPr>
        <w:t>通过本产品说明书约定</w:t>
      </w:r>
      <w:r>
        <w:rPr>
          <w:rFonts w:ascii="仿宋_GB2312" w:hAnsi="宋体" w:cs="宋体"/>
          <w:bCs/>
          <w:color w:val="auto"/>
          <w:kern w:val="0"/>
          <w:szCs w:val="24"/>
          <w:highlight w:val="none"/>
        </w:rPr>
        <w:t>方式</w:t>
      </w:r>
      <w:r>
        <w:rPr>
          <w:rFonts w:hint="eastAsia" w:ascii="仿宋_GB2312" w:hAnsi="宋体"/>
          <w:color w:val="auto"/>
          <w:kern w:val="0"/>
          <w:szCs w:val="24"/>
          <w:highlight w:val="none"/>
        </w:rPr>
        <w:t>发布募集期延长公告。</w:t>
      </w:r>
    </w:p>
    <w:p w14:paraId="16CC9EC5">
      <w:pPr>
        <w:widowControl/>
        <w:tabs>
          <w:tab w:val="left" w:pos="709"/>
        </w:tabs>
        <w:snapToGrid w:val="0"/>
        <w:spacing w:line="360" w:lineRule="auto"/>
        <w:ind w:firstLine="420" w:firstLineChars="200"/>
        <w:rPr>
          <w:rFonts w:hint="eastAsia" w:ascii="仿宋_GB2312" w:hAnsi="宋体"/>
          <w:color w:val="auto"/>
          <w:kern w:val="0"/>
          <w:szCs w:val="24"/>
          <w:highlight w:val="none"/>
        </w:rPr>
      </w:pPr>
      <w:r>
        <w:rPr>
          <w:rFonts w:hint="eastAsia" w:ascii="仿宋_GB2312" w:hAnsi="宋体" w:cs="宋体"/>
          <w:bCs/>
          <w:color w:val="auto"/>
          <w:kern w:val="0"/>
          <w:szCs w:val="24"/>
          <w:highlight w:val="none"/>
        </w:rPr>
        <w:t>（3）</w:t>
      </w:r>
      <w:r>
        <w:rPr>
          <w:rFonts w:hint="eastAsia" w:ascii="仿宋_GB2312" w:hAnsi="宋体"/>
          <w:color w:val="auto"/>
          <w:kern w:val="0"/>
          <w:szCs w:val="24"/>
          <w:highlight w:val="none"/>
        </w:rPr>
        <w:t>调整产品募集规模：</w:t>
      </w:r>
      <w:r>
        <w:rPr>
          <w:rFonts w:hint="eastAsia" w:ascii="仿宋_GB2312" w:hAnsi="宋体" w:cs="宋体"/>
          <w:bCs/>
          <w:color w:val="auto"/>
          <w:kern w:val="0"/>
          <w:szCs w:val="24"/>
          <w:highlight w:val="none"/>
        </w:rPr>
        <w:t>管理人决定调整产品募集规模，</w:t>
      </w:r>
      <w:r>
        <w:rPr>
          <w:rFonts w:hint="eastAsia" w:ascii="仿宋_GB2312" w:hAnsi="宋体"/>
          <w:color w:val="auto"/>
          <w:kern w:val="0"/>
          <w:szCs w:val="24"/>
          <w:highlight w:val="none"/>
        </w:rPr>
        <w:t>将及时通过</w:t>
      </w:r>
      <w:r>
        <w:rPr>
          <w:rFonts w:hint="eastAsia" w:ascii="仿宋_GB2312" w:hAnsi="宋体" w:cs="宋体"/>
          <w:bCs/>
          <w:color w:val="auto"/>
          <w:kern w:val="0"/>
          <w:szCs w:val="24"/>
          <w:highlight w:val="none"/>
        </w:rPr>
        <w:t>本产品说明书约定</w:t>
      </w:r>
      <w:r>
        <w:rPr>
          <w:rFonts w:ascii="仿宋_GB2312" w:hAnsi="宋体" w:cs="宋体"/>
          <w:bCs/>
          <w:color w:val="auto"/>
          <w:kern w:val="0"/>
          <w:szCs w:val="24"/>
          <w:highlight w:val="none"/>
        </w:rPr>
        <w:t>方式</w:t>
      </w:r>
      <w:r>
        <w:rPr>
          <w:rFonts w:hint="eastAsia" w:ascii="仿宋_GB2312" w:hAnsi="宋体"/>
          <w:color w:val="auto"/>
          <w:kern w:val="0"/>
          <w:szCs w:val="24"/>
          <w:highlight w:val="none"/>
        </w:rPr>
        <w:t>发布产品募集规模调整公告。</w:t>
      </w:r>
    </w:p>
    <w:p w14:paraId="3C83E894">
      <w:pPr>
        <w:widowControl/>
        <w:rPr>
          <w:rFonts w:hint="eastAsia" w:ascii="仿宋_GB2312" w:hAnsi="宋体"/>
          <w:color w:val="auto"/>
          <w:kern w:val="0"/>
          <w:szCs w:val="24"/>
          <w:highlight w:val="none"/>
        </w:rPr>
      </w:pPr>
      <w:r>
        <w:rPr>
          <w:rFonts w:hint="eastAsia" w:ascii="仿宋_GB2312" w:hAnsi="宋体"/>
          <w:color w:val="auto"/>
          <w:kern w:val="0"/>
          <w:szCs w:val="24"/>
          <w:highlight w:val="none"/>
        </w:rPr>
        <w:br w:type="page"/>
      </w:r>
    </w:p>
    <w:p w14:paraId="24E70852">
      <w:pPr>
        <w:pStyle w:val="2"/>
        <w:widowControl/>
        <w:numPr>
          <w:ilvl w:val="0"/>
          <w:numId w:val="10"/>
        </w:numPr>
        <w:tabs>
          <w:tab w:val="left" w:pos="709"/>
        </w:tabs>
        <w:snapToGrid w:val="0"/>
        <w:ind w:firstLine="560"/>
        <w:rPr>
          <w:rFonts w:hint="eastAsia" w:ascii="仿宋_GB2312" w:hAnsi="宋体"/>
          <w:color w:val="auto"/>
          <w:kern w:val="0"/>
          <w:szCs w:val="24"/>
          <w:highlight w:val="none"/>
        </w:rPr>
      </w:pPr>
      <w:r>
        <w:rPr>
          <w:rFonts w:hint="eastAsia"/>
          <w:color w:val="auto"/>
          <w:highlight w:val="none"/>
        </w:rPr>
        <w:t>理财产品的申购与赎回</w:t>
      </w:r>
    </w:p>
    <w:p w14:paraId="3E99F69A">
      <w:pPr>
        <w:pStyle w:val="3"/>
        <w:numPr>
          <w:ilvl w:val="1"/>
          <w:numId w:val="10"/>
        </w:numPr>
        <w:adjustRightInd w:val="0"/>
        <w:snapToGrid w:val="0"/>
        <w:ind w:firstLine="482"/>
        <w:rPr>
          <w:color w:val="auto"/>
          <w:highlight w:val="none"/>
        </w:rPr>
      </w:pPr>
      <w:r>
        <w:rPr>
          <w:rFonts w:hint="eastAsia"/>
          <w:color w:val="auto"/>
          <w:highlight w:val="none"/>
        </w:rPr>
        <w:t>申购、赎回原则</w:t>
      </w:r>
    </w:p>
    <w:p w14:paraId="0EE69B3B">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1.“金额申购、份额赎回”原则，即申购以金额申请，按照份额自动赎回。</w:t>
      </w:r>
    </w:p>
    <w:p w14:paraId="78609C32">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2.申购和赎回采用“未知价”原则，即本产品申购申请提交时和自动赎回份额时，适用的产品份额净值都是未知的。</w:t>
      </w:r>
    </w:p>
    <w:p w14:paraId="0E2C8651">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3.申购申请可以在对应申购日交易时间截止前撤销，最终申请确认情况以</w:t>
      </w:r>
      <w:r>
        <w:rPr>
          <w:rFonts w:hint="eastAsia" w:ascii="仿宋_GB2312" w:hAnsi="宋体" w:cs="宋体"/>
          <w:bCs/>
          <w:color w:val="auto"/>
          <w:kern w:val="0"/>
          <w:szCs w:val="24"/>
          <w:highlight w:val="none"/>
          <w:lang w:val="en-US" w:eastAsia="zh-CN"/>
        </w:rPr>
        <w:t>浙银理财</w:t>
      </w:r>
      <w:r>
        <w:rPr>
          <w:rFonts w:hint="eastAsia" w:ascii="仿宋_GB2312" w:hAnsi="宋体" w:cs="宋体"/>
          <w:bCs/>
          <w:color w:val="auto"/>
          <w:kern w:val="0"/>
          <w:szCs w:val="24"/>
          <w:highlight w:val="none"/>
        </w:rPr>
        <w:t>确认的结果为准。</w:t>
      </w:r>
    </w:p>
    <w:p w14:paraId="5C80B957">
      <w:pPr>
        <w:tabs>
          <w:tab w:val="left" w:pos="3119"/>
        </w:tabs>
        <w:autoSpaceDE w:val="0"/>
        <w:autoSpaceDN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4.赎回原则遵循“先进先出”原则或“指定赎回”原则，投资者赎回理财计划份额时适用的赎回原则以对应的销售服务机构提供的赎回服务为准。</w:t>
      </w:r>
    </w:p>
    <w:p w14:paraId="20D9069F">
      <w:pPr>
        <w:tabs>
          <w:tab w:val="left" w:pos="3119"/>
        </w:tabs>
        <w:autoSpaceDE w:val="0"/>
        <w:autoSpaceDN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lang w:val="en-US" w:eastAsia="zh-CN"/>
        </w:rPr>
        <w:t>5</w:t>
      </w:r>
      <w:r>
        <w:rPr>
          <w:rFonts w:hint="eastAsia" w:ascii="仿宋_GB2312" w:hAnsi="宋体" w:cs="宋体"/>
          <w:bCs/>
          <w:color w:val="auto"/>
          <w:kern w:val="0"/>
          <w:szCs w:val="24"/>
          <w:highlight w:val="none"/>
        </w:rPr>
        <w:t>.当开放式公募理财产品（现金管理类理财产品除外）遭遇大额申购或自动赎回时，产品管理人有权采用摆动定价机制，以确保估值的公平性。具体处理原则与操作方法遵循法律法规以及监管部门、自律规则的相关规定，产品管理人将提前发布相关公告。</w:t>
      </w:r>
    </w:p>
    <w:p w14:paraId="5FFDE1EC">
      <w:pPr>
        <w:pStyle w:val="3"/>
        <w:numPr>
          <w:ilvl w:val="1"/>
          <w:numId w:val="10"/>
        </w:numPr>
        <w:adjustRightInd w:val="0"/>
        <w:snapToGrid w:val="0"/>
        <w:ind w:firstLine="482"/>
        <w:rPr>
          <w:color w:val="auto"/>
          <w:highlight w:val="none"/>
        </w:rPr>
      </w:pPr>
      <w:r>
        <w:rPr>
          <w:rFonts w:hint="eastAsia"/>
          <w:color w:val="auto"/>
          <w:highlight w:val="none"/>
        </w:rPr>
        <w:t>理财</w:t>
      </w:r>
      <w:r>
        <w:rPr>
          <w:color w:val="auto"/>
          <w:highlight w:val="none"/>
        </w:rPr>
        <w:t>产品</w:t>
      </w:r>
      <w:r>
        <w:rPr>
          <w:rFonts w:hint="eastAsia"/>
          <w:color w:val="auto"/>
          <w:highlight w:val="none"/>
        </w:rPr>
        <w:t>的</w:t>
      </w:r>
      <w:r>
        <w:rPr>
          <w:color w:val="auto"/>
          <w:highlight w:val="none"/>
        </w:rPr>
        <w:t>申购</w:t>
      </w:r>
    </w:p>
    <w:p w14:paraId="5E895607">
      <w:pPr>
        <w:widowControl/>
        <w:tabs>
          <w:tab w:val="left" w:pos="709"/>
        </w:tabs>
        <w:snapToGrid w:val="0"/>
        <w:spacing w:line="360" w:lineRule="auto"/>
        <w:ind w:firstLine="420" w:firstLineChars="200"/>
        <w:rPr>
          <w:rFonts w:hint="eastAsia" w:ascii="仿宋_GB2312" w:hAnsi="宋体"/>
          <w:color w:val="auto"/>
          <w:kern w:val="0"/>
          <w:szCs w:val="24"/>
          <w:highlight w:val="none"/>
        </w:rPr>
      </w:pPr>
      <w:r>
        <w:rPr>
          <w:rFonts w:hint="eastAsia" w:ascii="仿宋_GB2312" w:hAnsi="宋体" w:cs="宋体"/>
          <w:bCs/>
          <w:color w:val="auto"/>
          <w:kern w:val="0"/>
          <w:szCs w:val="24"/>
          <w:highlight w:val="none"/>
        </w:rPr>
        <w:t>1.</w:t>
      </w:r>
      <w:r>
        <w:rPr>
          <w:rFonts w:hint="eastAsia" w:ascii="仿宋_GB2312" w:hAnsi="宋体"/>
          <w:color w:val="auto"/>
          <w:kern w:val="0"/>
          <w:szCs w:val="24"/>
          <w:highlight w:val="none"/>
        </w:rPr>
        <w:t>本理财产品开放期内，投资者可申购本产品。</w:t>
      </w:r>
      <w:r>
        <w:rPr>
          <w:rFonts w:hint="eastAsia" w:ascii="仿宋_GB2312" w:hAnsi="宋体"/>
          <w:b/>
          <w:bCs/>
          <w:color w:val="auto"/>
          <w:kern w:val="0"/>
          <w:szCs w:val="24"/>
          <w:highlight w:val="none"/>
        </w:rPr>
        <w:t>本产品须经</w:t>
      </w:r>
      <w:r>
        <w:rPr>
          <w:rFonts w:hint="eastAsia" w:ascii="仿宋_GB2312" w:hAnsi="宋体" w:cs="宋体"/>
          <w:b/>
          <w:bCs/>
          <w:color w:val="auto"/>
          <w:kern w:val="0"/>
          <w:szCs w:val="24"/>
          <w:highlight w:val="none"/>
        </w:rPr>
        <w:t>浙银理财</w:t>
      </w:r>
      <w:r>
        <w:rPr>
          <w:rFonts w:hint="eastAsia" w:ascii="仿宋_GB2312" w:hAnsi="宋体"/>
          <w:b/>
          <w:bCs/>
          <w:color w:val="auto"/>
          <w:kern w:val="0"/>
          <w:szCs w:val="24"/>
          <w:highlight w:val="none"/>
        </w:rPr>
        <w:t>确认申购份额、</w:t>
      </w:r>
      <w:r>
        <w:rPr>
          <w:rFonts w:hint="eastAsia" w:ascii="仿宋_GB2312" w:hAnsi="宋体"/>
          <w:b/>
          <w:bCs/>
          <w:color w:val="auto"/>
          <w:kern w:val="0"/>
          <w:szCs w:val="24"/>
          <w:highlight w:val="none"/>
          <w:lang w:val="en-US" w:eastAsia="zh-CN"/>
        </w:rPr>
        <w:t>销售机构</w:t>
      </w:r>
      <w:r>
        <w:rPr>
          <w:rFonts w:hint="eastAsia" w:ascii="仿宋_GB2312" w:hAnsi="宋体"/>
          <w:b/>
          <w:bCs/>
          <w:color w:val="auto"/>
          <w:kern w:val="0"/>
          <w:szCs w:val="24"/>
          <w:highlight w:val="none"/>
        </w:rPr>
        <w:t>扣划申购金额后方可视为申购成功。</w:t>
      </w:r>
      <w:r>
        <w:rPr>
          <w:rFonts w:hint="eastAsia" w:ascii="仿宋_GB2312" w:hAnsi="宋体"/>
          <w:color w:val="auto"/>
          <w:kern w:val="0"/>
          <w:szCs w:val="24"/>
          <w:highlight w:val="none"/>
        </w:rPr>
        <w:t>确认申购份额的日期即申购确认日，申购确认日为</w:t>
      </w:r>
      <w:r>
        <w:rPr>
          <w:rFonts w:hint="eastAsia" w:ascii="仿宋_GB2312" w:hAnsi="宋体"/>
          <w:color w:val="auto"/>
          <w:kern w:val="0"/>
          <w:szCs w:val="24"/>
          <w:highlight w:val="yellow"/>
          <w:lang w:eastAsia="zh-CN"/>
        </w:rPr>
        <w:t>【工作日/交易日】</w:t>
      </w:r>
      <w:r>
        <w:rPr>
          <w:rFonts w:hint="eastAsia" w:ascii="仿宋_GB2312" w:hAnsi="宋体"/>
          <w:color w:val="auto"/>
          <w:kern w:val="0"/>
          <w:szCs w:val="24"/>
          <w:highlight w:val="none"/>
        </w:rPr>
        <w:t>，</w:t>
      </w:r>
      <w:r>
        <w:rPr>
          <w:rFonts w:hint="eastAsia" w:ascii="仿宋_GB2312" w:hAnsi="宋体" w:cs="宋体"/>
          <w:bCs/>
          <w:color w:val="auto"/>
          <w:kern w:val="0"/>
          <w:szCs w:val="24"/>
          <w:highlight w:val="none"/>
        </w:rPr>
        <w:t>浙银理财</w:t>
      </w:r>
      <w:r>
        <w:rPr>
          <w:rFonts w:hint="eastAsia" w:ascii="仿宋_GB2312" w:hAnsi="宋体"/>
          <w:color w:val="auto"/>
          <w:kern w:val="0"/>
          <w:szCs w:val="24"/>
          <w:highlight w:val="none"/>
        </w:rPr>
        <w:t>另有规定的除外。</w:t>
      </w:r>
    </w:p>
    <w:p w14:paraId="0C81C8E9">
      <w:pPr>
        <w:widowControl/>
        <w:tabs>
          <w:tab w:val="left" w:pos="709"/>
        </w:tabs>
        <w:snapToGrid w:val="0"/>
        <w:spacing w:line="360" w:lineRule="auto"/>
        <w:ind w:firstLine="420" w:firstLineChars="200"/>
        <w:rPr>
          <w:rFonts w:hint="eastAsia" w:ascii="仿宋_GB2312" w:hAnsi="宋体"/>
          <w:color w:val="auto"/>
          <w:kern w:val="0"/>
          <w:szCs w:val="24"/>
          <w:highlight w:val="none"/>
        </w:rPr>
      </w:pPr>
      <w:r>
        <w:rPr>
          <w:rFonts w:hint="eastAsia" w:ascii="仿宋_GB2312" w:hAnsi="宋体"/>
          <w:color w:val="auto"/>
          <w:kern w:val="0"/>
          <w:szCs w:val="24"/>
          <w:highlight w:val="none"/>
        </w:rPr>
        <w:t>2.申购时间：本产品具体申购时间以《产品说明书》“第</w:t>
      </w:r>
      <w:r>
        <w:rPr>
          <w:rFonts w:hint="eastAsia" w:ascii="仿宋_GB2312" w:hAnsi="宋体"/>
          <w:color w:val="auto"/>
          <w:kern w:val="0"/>
          <w:szCs w:val="24"/>
          <w:highlight w:val="none"/>
          <w:lang w:eastAsia="zh-CN"/>
        </w:rPr>
        <w:t>一</w:t>
      </w:r>
      <w:r>
        <w:rPr>
          <w:rFonts w:hint="eastAsia" w:ascii="仿宋_GB2312" w:hAnsi="宋体"/>
          <w:color w:val="auto"/>
          <w:kern w:val="0"/>
          <w:szCs w:val="24"/>
          <w:highlight w:val="none"/>
        </w:rPr>
        <w:t>节 理财产品</w:t>
      </w:r>
      <w:r>
        <w:rPr>
          <w:rFonts w:hint="eastAsia" w:ascii="仿宋_GB2312" w:hAnsi="宋体"/>
          <w:color w:val="auto"/>
          <w:kern w:val="0"/>
          <w:szCs w:val="24"/>
          <w:highlight w:val="none"/>
          <w:lang w:eastAsia="zh-CN"/>
        </w:rPr>
        <w:t>说明书关键要素</w:t>
      </w:r>
      <w:r>
        <w:rPr>
          <w:rFonts w:hint="eastAsia" w:ascii="仿宋_GB2312" w:hAnsi="宋体"/>
          <w:color w:val="auto"/>
          <w:kern w:val="0"/>
          <w:szCs w:val="24"/>
          <w:highlight w:val="none"/>
        </w:rPr>
        <w:t>”为准。</w:t>
      </w:r>
    </w:p>
    <w:p w14:paraId="2FCC9F54">
      <w:pPr>
        <w:widowControl/>
        <w:tabs>
          <w:tab w:val="left" w:pos="709"/>
        </w:tabs>
        <w:snapToGrid w:val="0"/>
        <w:spacing w:line="360" w:lineRule="auto"/>
        <w:ind w:firstLine="420" w:firstLineChars="200"/>
        <w:rPr>
          <w:rFonts w:hint="eastAsia" w:ascii="仿宋_GB2312" w:hAnsi="宋体"/>
          <w:color w:val="auto"/>
          <w:kern w:val="0"/>
          <w:szCs w:val="24"/>
          <w:highlight w:val="none"/>
        </w:rPr>
      </w:pPr>
      <w:r>
        <w:rPr>
          <w:rFonts w:hint="eastAsia" w:ascii="仿宋_GB2312" w:hAnsi="宋体"/>
          <w:color w:val="auto"/>
          <w:kern w:val="0"/>
          <w:szCs w:val="24"/>
          <w:highlight w:val="none"/>
        </w:rPr>
        <w:t>3.申购生效：投资者在产品成立后每个</w:t>
      </w:r>
      <w:r>
        <w:rPr>
          <w:rFonts w:hint="eastAsia" w:ascii="仿宋_GB2312" w:hAnsi="宋体"/>
          <w:color w:val="auto"/>
          <w:kern w:val="0"/>
          <w:szCs w:val="24"/>
          <w:highlight w:val="yellow"/>
          <w:lang w:eastAsia="zh-CN"/>
        </w:rPr>
        <w:t>【工作日/交易日】</w:t>
      </w:r>
      <w:r>
        <w:rPr>
          <w:rFonts w:hint="eastAsia" w:ascii="仿宋_GB2312" w:hAnsi="宋体"/>
          <w:color w:val="auto"/>
          <w:kern w:val="0"/>
          <w:szCs w:val="24"/>
          <w:highlight w:val="yellow"/>
        </w:rPr>
        <w:t>【15:30】</w:t>
      </w:r>
      <w:r>
        <w:rPr>
          <w:rFonts w:hint="eastAsia" w:ascii="仿宋_GB2312" w:hAnsi="宋体"/>
          <w:color w:val="auto"/>
          <w:kern w:val="0"/>
          <w:szCs w:val="24"/>
          <w:highlight w:val="none"/>
        </w:rPr>
        <w:t>前提交申购申请的，提交当日为申购日</w:t>
      </w:r>
      <w:r>
        <w:rPr>
          <w:rFonts w:ascii="仿宋_GB2312" w:hAnsi="宋体"/>
          <w:color w:val="auto"/>
          <w:kern w:val="0"/>
          <w:szCs w:val="24"/>
          <w:highlight w:val="none"/>
        </w:rPr>
        <w:t>。</w:t>
      </w:r>
      <w:r>
        <w:rPr>
          <w:rFonts w:hint="eastAsia" w:ascii="仿宋_GB2312" w:hAnsi="宋体"/>
          <w:color w:val="auto"/>
          <w:kern w:val="0"/>
          <w:szCs w:val="24"/>
          <w:highlight w:val="none"/>
        </w:rPr>
        <w:t>投资者在</w:t>
      </w:r>
      <w:r>
        <w:rPr>
          <w:rFonts w:hint="eastAsia" w:ascii="仿宋_GB2312" w:hAnsi="宋体"/>
          <w:color w:val="auto"/>
          <w:kern w:val="0"/>
          <w:szCs w:val="24"/>
          <w:highlight w:val="yellow"/>
          <w:lang w:eastAsia="zh-CN"/>
        </w:rPr>
        <w:t>【工作日/交易日】</w:t>
      </w:r>
      <w:r>
        <w:rPr>
          <w:rFonts w:hint="eastAsia" w:ascii="仿宋_GB2312" w:hAnsi="宋体"/>
          <w:color w:val="auto"/>
          <w:kern w:val="0"/>
          <w:szCs w:val="24"/>
          <w:highlight w:val="yellow"/>
        </w:rPr>
        <w:t>【15:30】</w:t>
      </w:r>
      <w:r>
        <w:rPr>
          <w:rFonts w:hint="eastAsia" w:ascii="仿宋_GB2312" w:hAnsi="宋体"/>
          <w:color w:val="auto"/>
          <w:kern w:val="0"/>
          <w:szCs w:val="24"/>
          <w:highlight w:val="none"/>
        </w:rPr>
        <w:t>后提交申购申请的，下一个</w:t>
      </w:r>
      <w:r>
        <w:rPr>
          <w:rFonts w:hint="eastAsia" w:ascii="仿宋_GB2312" w:hAnsi="宋体"/>
          <w:color w:val="auto"/>
          <w:kern w:val="0"/>
          <w:szCs w:val="24"/>
          <w:highlight w:val="yellow"/>
          <w:lang w:eastAsia="zh-CN"/>
        </w:rPr>
        <w:t>【工作日/交易日】</w:t>
      </w:r>
      <w:r>
        <w:rPr>
          <w:rFonts w:hint="eastAsia" w:ascii="仿宋_GB2312" w:hAnsi="宋体"/>
          <w:color w:val="auto"/>
          <w:kern w:val="0"/>
          <w:szCs w:val="24"/>
          <w:highlight w:val="none"/>
        </w:rPr>
        <w:t>为申购日。投资者在非</w:t>
      </w:r>
      <w:r>
        <w:rPr>
          <w:rFonts w:hint="eastAsia" w:ascii="仿宋_GB2312" w:hAnsi="宋体"/>
          <w:color w:val="auto"/>
          <w:kern w:val="0"/>
          <w:szCs w:val="24"/>
          <w:highlight w:val="yellow"/>
          <w:lang w:eastAsia="zh-CN"/>
        </w:rPr>
        <w:t>【工作日/交易日】</w:t>
      </w:r>
      <w:r>
        <w:rPr>
          <w:rFonts w:hint="eastAsia" w:ascii="仿宋_GB2312" w:hAnsi="宋体"/>
          <w:color w:val="auto"/>
          <w:kern w:val="0"/>
          <w:szCs w:val="24"/>
          <w:highlight w:val="none"/>
        </w:rPr>
        <w:t>提交申购申请的，下一个</w:t>
      </w:r>
      <w:r>
        <w:rPr>
          <w:rFonts w:hint="eastAsia" w:ascii="仿宋_GB2312" w:hAnsi="宋体"/>
          <w:color w:val="auto"/>
          <w:kern w:val="0"/>
          <w:szCs w:val="24"/>
          <w:highlight w:val="yellow"/>
          <w:lang w:eastAsia="zh-CN"/>
        </w:rPr>
        <w:t>【工作日/交易日】</w:t>
      </w:r>
      <w:r>
        <w:rPr>
          <w:rFonts w:hint="eastAsia" w:ascii="仿宋_GB2312" w:hAnsi="宋体"/>
          <w:color w:val="auto"/>
          <w:kern w:val="0"/>
          <w:szCs w:val="24"/>
          <w:highlight w:val="none"/>
        </w:rPr>
        <w:t>为申购日。投资者可在申购日</w:t>
      </w:r>
      <w:r>
        <w:rPr>
          <w:rFonts w:hint="eastAsia" w:ascii="仿宋_GB2312" w:hAnsi="宋体"/>
          <w:color w:val="auto"/>
          <w:kern w:val="0"/>
          <w:szCs w:val="24"/>
          <w:highlight w:val="yellow"/>
        </w:rPr>
        <w:t>【15:30】</w:t>
      </w:r>
      <w:r>
        <w:rPr>
          <w:rFonts w:hint="eastAsia" w:ascii="仿宋_GB2312" w:hAnsi="宋体"/>
          <w:color w:val="auto"/>
          <w:kern w:val="0"/>
          <w:szCs w:val="24"/>
          <w:highlight w:val="none"/>
        </w:rPr>
        <w:t>前（含）撤销该申购日已成功提交的申购申请，</w:t>
      </w:r>
      <w:r>
        <w:rPr>
          <w:rFonts w:hint="eastAsia" w:ascii="仿宋_GB2312" w:hAnsi="宋体"/>
          <w:color w:val="auto"/>
          <w:kern w:val="0"/>
          <w:szCs w:val="24"/>
          <w:highlight w:val="yellow"/>
        </w:rPr>
        <w:t>【15:30】</w:t>
      </w:r>
      <w:r>
        <w:rPr>
          <w:rFonts w:hint="eastAsia" w:ascii="仿宋_GB2312" w:hAnsi="宋体"/>
          <w:color w:val="auto"/>
          <w:kern w:val="0"/>
          <w:szCs w:val="24"/>
          <w:highlight w:val="none"/>
        </w:rPr>
        <w:t>后不可撤销。</w:t>
      </w:r>
    </w:p>
    <w:p w14:paraId="6FD73915">
      <w:pPr>
        <w:widowControl/>
        <w:tabs>
          <w:tab w:val="left" w:pos="709"/>
        </w:tabs>
        <w:snapToGrid w:val="0"/>
        <w:spacing w:line="360" w:lineRule="auto"/>
        <w:ind w:firstLine="420" w:firstLineChars="200"/>
        <w:rPr>
          <w:rFonts w:hint="eastAsia" w:ascii="仿宋_GB2312" w:hAnsi="宋体"/>
          <w:color w:val="auto"/>
          <w:kern w:val="0"/>
          <w:szCs w:val="24"/>
          <w:highlight w:val="none"/>
        </w:rPr>
      </w:pPr>
      <w:r>
        <w:rPr>
          <w:rFonts w:hint="eastAsia" w:ascii="仿宋_GB2312" w:hAnsi="宋体"/>
          <w:color w:val="auto"/>
          <w:kern w:val="0"/>
          <w:szCs w:val="24"/>
          <w:highlight w:val="none"/>
        </w:rPr>
        <w:t>4.申购确认：申购日后的</w:t>
      </w:r>
      <w:r>
        <w:rPr>
          <w:rFonts w:hint="eastAsia" w:ascii="仿宋_GB2312" w:hAnsi="宋体"/>
          <w:color w:val="auto"/>
          <w:kern w:val="0"/>
          <w:szCs w:val="24"/>
          <w:highlight w:val="yellow"/>
        </w:rPr>
        <w:t>【1】</w:t>
      </w:r>
      <w:r>
        <w:rPr>
          <w:rFonts w:hint="eastAsia" w:ascii="仿宋_GB2312" w:hAnsi="宋体"/>
          <w:color w:val="auto"/>
          <w:kern w:val="0"/>
          <w:szCs w:val="24"/>
          <w:highlight w:val="none"/>
        </w:rPr>
        <w:t>个</w:t>
      </w:r>
      <w:r>
        <w:rPr>
          <w:rFonts w:hint="eastAsia" w:ascii="仿宋_GB2312" w:hAnsi="宋体"/>
          <w:color w:val="auto"/>
          <w:kern w:val="0"/>
          <w:szCs w:val="24"/>
          <w:highlight w:val="yellow"/>
          <w:lang w:eastAsia="zh-CN"/>
        </w:rPr>
        <w:t>【工作日/交易日】</w:t>
      </w:r>
      <w:r>
        <w:rPr>
          <w:rFonts w:hint="eastAsia" w:ascii="仿宋_GB2312" w:hAnsi="宋体"/>
          <w:color w:val="auto"/>
          <w:kern w:val="0"/>
          <w:szCs w:val="24"/>
          <w:highlight w:val="none"/>
        </w:rPr>
        <w:t>内为申购确认日。</w:t>
      </w:r>
    </w:p>
    <w:p w14:paraId="157E701A">
      <w:pPr>
        <w:widowControl/>
        <w:tabs>
          <w:tab w:val="left" w:pos="709"/>
        </w:tabs>
        <w:snapToGrid w:val="0"/>
        <w:spacing w:line="360" w:lineRule="auto"/>
        <w:ind w:firstLine="420" w:firstLineChars="200"/>
        <w:rPr>
          <w:rFonts w:hint="eastAsia" w:ascii="仿宋_GB2312" w:hAnsi="宋体"/>
          <w:color w:val="auto"/>
          <w:kern w:val="0"/>
          <w:szCs w:val="24"/>
          <w:highlight w:val="none"/>
        </w:rPr>
      </w:pPr>
      <w:r>
        <w:rPr>
          <w:rFonts w:hint="eastAsia" w:ascii="仿宋_GB2312" w:hAnsi="宋体"/>
          <w:color w:val="auto"/>
          <w:kern w:val="0"/>
          <w:szCs w:val="24"/>
          <w:highlight w:val="none"/>
        </w:rPr>
        <w:t>5.申购份额计算：</w:t>
      </w:r>
      <w:r>
        <w:rPr>
          <w:rFonts w:hint="eastAsia" w:ascii="仿宋_GB2312" w:hAnsi="宋体"/>
          <w:b/>
          <w:bCs/>
          <w:color w:val="auto"/>
          <w:kern w:val="0"/>
          <w:szCs w:val="24"/>
          <w:highlight w:val="none"/>
        </w:rPr>
        <w:t>本产品按金额申购，</w:t>
      </w:r>
      <w:r>
        <w:rPr>
          <w:rFonts w:hint="eastAsia" w:ascii="仿宋_GB2312" w:hAnsi="宋体" w:cs="宋体"/>
          <w:b/>
          <w:bCs/>
          <w:color w:val="auto"/>
          <w:kern w:val="0"/>
          <w:szCs w:val="24"/>
          <w:highlight w:val="none"/>
        </w:rPr>
        <w:t>并根据申购确认日前一</w:t>
      </w:r>
      <w:r>
        <w:rPr>
          <w:rFonts w:hint="eastAsia" w:ascii="仿宋_GB2312" w:hAnsi="宋体"/>
          <w:color w:val="auto"/>
          <w:kern w:val="0"/>
          <w:szCs w:val="24"/>
          <w:highlight w:val="yellow"/>
          <w:lang w:eastAsia="zh-CN"/>
        </w:rPr>
        <w:t>【工作日/交易日</w:t>
      </w:r>
      <w:r>
        <w:rPr>
          <w:rFonts w:hint="eastAsia" w:ascii="仿宋_GB2312" w:hAnsi="宋体"/>
          <w:color w:val="auto"/>
          <w:kern w:val="0"/>
          <w:szCs w:val="24"/>
          <w:highlight w:val="yellow"/>
          <w:lang w:val="en-US" w:eastAsia="zh-CN"/>
        </w:rPr>
        <w:t>/自然日</w:t>
      </w:r>
      <w:r>
        <w:rPr>
          <w:rFonts w:hint="eastAsia" w:ascii="仿宋_GB2312" w:hAnsi="宋体"/>
          <w:color w:val="auto"/>
          <w:kern w:val="0"/>
          <w:szCs w:val="24"/>
          <w:highlight w:val="yellow"/>
          <w:lang w:eastAsia="zh-CN"/>
        </w:rPr>
        <w:t>】</w:t>
      </w:r>
      <w:r>
        <w:rPr>
          <w:rFonts w:hint="eastAsia" w:ascii="仿宋_GB2312" w:hAnsi="宋体" w:cs="宋体"/>
          <w:b/>
          <w:bCs/>
          <w:color w:val="auto"/>
          <w:kern w:val="0"/>
          <w:szCs w:val="24"/>
          <w:highlight w:val="none"/>
        </w:rPr>
        <w:t>的产品份额净值计算、确认本次申购份额，份额数值四舍五入后保留2位小数。</w:t>
      </w:r>
    </w:p>
    <w:p w14:paraId="0E7D8275">
      <w:pPr>
        <w:widowControl/>
        <w:tabs>
          <w:tab w:val="left" w:pos="709"/>
        </w:tabs>
        <w:snapToGrid w:val="0"/>
        <w:spacing w:line="360" w:lineRule="auto"/>
        <w:ind w:firstLine="420" w:firstLineChars="200"/>
        <w:rPr>
          <w:rFonts w:hint="eastAsia" w:ascii="仿宋_GB2312" w:hAnsi="宋体"/>
          <w:color w:val="auto"/>
          <w:kern w:val="0"/>
          <w:szCs w:val="24"/>
          <w:highlight w:val="none"/>
        </w:rPr>
      </w:pPr>
      <w:r>
        <w:rPr>
          <w:rFonts w:hint="eastAsia" w:ascii="仿宋_GB2312" w:hAnsi="宋体"/>
          <w:color w:val="auto"/>
          <w:kern w:val="0"/>
          <w:szCs w:val="24"/>
          <w:highlight w:val="none"/>
        </w:rPr>
        <w:t>申购份额=投资者申购金额/申购确认日前一</w:t>
      </w:r>
      <w:r>
        <w:rPr>
          <w:rFonts w:hint="default" w:ascii="仿宋_GB2312" w:hAnsi="宋体"/>
          <w:color w:val="auto"/>
          <w:kern w:val="0"/>
          <w:szCs w:val="24"/>
          <w:highlight w:val="none"/>
          <w:lang w:val="en-US"/>
        </w:rPr>
        <w:t>自然日</w:t>
      </w:r>
      <w:r>
        <w:rPr>
          <w:rFonts w:hint="eastAsia" w:ascii="仿宋_GB2312" w:hAnsi="宋体"/>
          <w:color w:val="auto"/>
          <w:kern w:val="0"/>
          <w:szCs w:val="24"/>
          <w:highlight w:val="none"/>
        </w:rPr>
        <w:t>产品份额净值</w:t>
      </w:r>
    </w:p>
    <w:p w14:paraId="50CF2A94">
      <w:pPr>
        <w:widowControl/>
        <w:tabs>
          <w:tab w:val="left" w:pos="709"/>
        </w:tabs>
        <w:snapToGrid w:val="0"/>
        <w:spacing w:line="360" w:lineRule="auto"/>
        <w:ind w:firstLine="420" w:firstLineChars="200"/>
        <w:rPr>
          <w:rFonts w:hint="eastAsia" w:ascii="仿宋_GB2312" w:hAnsi="宋体"/>
          <w:color w:val="auto"/>
          <w:kern w:val="0"/>
          <w:szCs w:val="24"/>
          <w:highlight w:val="none"/>
        </w:rPr>
      </w:pPr>
      <w:r>
        <w:rPr>
          <w:rFonts w:hint="eastAsia" w:ascii="仿宋_GB2312" w:hAnsi="宋体" w:cs="宋体"/>
          <w:bCs/>
          <w:color w:val="auto"/>
          <w:kern w:val="0"/>
          <w:szCs w:val="24"/>
          <w:highlight w:val="none"/>
        </w:rPr>
        <w:t>6.首次申购起点</w:t>
      </w:r>
      <w:r>
        <w:rPr>
          <w:rFonts w:hint="eastAsia" w:ascii="仿宋_GB2312" w:hAnsi="宋体" w:cs="宋体"/>
          <w:bCs/>
          <w:color w:val="auto"/>
          <w:kern w:val="0"/>
          <w:szCs w:val="24"/>
          <w:highlight w:val="none"/>
          <w:lang w:eastAsia="zh-CN"/>
        </w:rPr>
        <w:t>销售</w:t>
      </w:r>
      <w:r>
        <w:rPr>
          <w:rFonts w:hint="eastAsia" w:ascii="仿宋_GB2312" w:hAnsi="宋体" w:cs="宋体"/>
          <w:bCs/>
          <w:color w:val="auto"/>
          <w:kern w:val="0"/>
          <w:szCs w:val="24"/>
          <w:highlight w:val="none"/>
        </w:rPr>
        <w:t>金额</w:t>
      </w:r>
      <w:r>
        <w:rPr>
          <w:rFonts w:hint="eastAsia" w:ascii="仿宋_GB2312" w:hAnsi="宋体"/>
          <w:color w:val="auto"/>
          <w:kern w:val="0"/>
          <w:szCs w:val="24"/>
          <w:highlight w:val="none"/>
        </w:rPr>
        <w:t>：</w:t>
      </w:r>
      <w:r>
        <w:rPr>
          <w:rFonts w:hint="eastAsia" w:ascii="宋体" w:hAnsi="宋体"/>
          <w:color w:val="auto"/>
          <w:szCs w:val="24"/>
          <w:highlight w:val="yellow"/>
          <w:u w:val="none"/>
          <w:lang w:eastAsia="zh-CN"/>
        </w:rPr>
        <w:t>【】</w:t>
      </w:r>
      <w:r>
        <w:rPr>
          <w:rFonts w:hint="eastAsia" w:ascii="宋体" w:hAnsi="宋体"/>
          <w:color w:val="auto"/>
          <w:szCs w:val="24"/>
          <w:highlight w:val="none"/>
          <w:u w:val="none"/>
          <w:lang w:eastAsia="zh-CN"/>
        </w:rPr>
        <w:t>：</w:t>
      </w:r>
      <w:r>
        <w:rPr>
          <w:rFonts w:hint="eastAsia" w:ascii="仿宋_GB2312" w:hAnsi="宋体"/>
          <w:color w:val="auto"/>
          <w:kern w:val="0"/>
          <w:szCs w:val="24"/>
          <w:highlight w:val="yellow"/>
          <w:lang w:eastAsia="zh-CN"/>
        </w:rPr>
        <w:t>【</w:t>
      </w:r>
      <w:r>
        <w:rPr>
          <w:rFonts w:hint="eastAsia" w:ascii="仿宋_GB2312" w:hAnsi="宋体"/>
          <w:color w:val="auto"/>
          <w:kern w:val="0"/>
          <w:szCs w:val="24"/>
          <w:highlight w:val="yellow"/>
        </w:rPr>
        <w:t>1</w:t>
      </w:r>
      <w:r>
        <w:rPr>
          <w:rFonts w:hint="eastAsia" w:ascii="仿宋_GB2312" w:hAnsi="宋体"/>
          <w:color w:val="auto"/>
          <w:kern w:val="0"/>
          <w:szCs w:val="24"/>
          <w:highlight w:val="yellow"/>
          <w:lang w:eastAsia="zh-CN"/>
        </w:rPr>
        <w:t>】</w:t>
      </w:r>
      <w:r>
        <w:rPr>
          <w:rFonts w:hint="eastAsia" w:ascii="仿宋_GB2312" w:hAnsi="宋体"/>
          <w:color w:val="auto"/>
          <w:kern w:val="0"/>
          <w:szCs w:val="24"/>
          <w:highlight w:val="none"/>
        </w:rPr>
        <w:t>元，</w:t>
      </w:r>
      <w:r>
        <w:rPr>
          <w:rFonts w:hint="eastAsia" w:ascii="仿宋_GB2312" w:hAnsi="宋体" w:cs="宋体"/>
          <w:bCs/>
          <w:color w:val="auto"/>
          <w:kern w:val="0"/>
          <w:szCs w:val="24"/>
          <w:highlight w:val="none"/>
        </w:rPr>
        <w:t>超过起点金额部分，以</w:t>
      </w: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yellow"/>
        </w:rPr>
        <w:t>1</w:t>
      </w: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none"/>
        </w:rPr>
        <w:t>元的整数倍增加。</w:t>
      </w:r>
    </w:p>
    <w:p w14:paraId="6D6E37E0">
      <w:pPr>
        <w:widowControl/>
        <w:tabs>
          <w:tab w:val="left" w:pos="709"/>
        </w:tabs>
        <w:snapToGrid w:val="0"/>
        <w:spacing w:line="360" w:lineRule="auto"/>
        <w:ind w:firstLine="420" w:firstLineChars="200"/>
        <w:rPr>
          <w:rFonts w:hint="eastAsia" w:ascii="仿宋_GB2312" w:hAnsi="宋体" w:cs="宋体"/>
          <w:b/>
          <w:bCs/>
          <w:color w:val="auto"/>
          <w:kern w:val="0"/>
          <w:szCs w:val="24"/>
          <w:highlight w:val="none"/>
        </w:rPr>
      </w:pPr>
      <w:r>
        <w:rPr>
          <w:rFonts w:hint="eastAsia" w:ascii="仿宋_GB2312" w:hAnsi="宋体"/>
          <w:color w:val="auto"/>
          <w:kern w:val="0"/>
          <w:szCs w:val="24"/>
          <w:highlight w:val="none"/>
        </w:rPr>
        <w:t>7.投资者持有份额上限：</w:t>
      </w:r>
      <w:r>
        <w:rPr>
          <w:rFonts w:hint="eastAsia" w:ascii="仿宋_GB2312" w:hAnsi="宋体"/>
          <w:color w:val="auto"/>
          <w:kern w:val="0"/>
          <w:szCs w:val="24"/>
          <w:highlight w:val="yellow"/>
          <w:lang w:eastAsia="zh-CN"/>
        </w:rPr>
        <w:t>【</w:t>
      </w:r>
      <w:r>
        <w:rPr>
          <w:rFonts w:hint="eastAsia" w:ascii="仿宋_GB2312" w:hAnsi="宋体"/>
          <w:color w:val="auto"/>
          <w:kern w:val="0"/>
          <w:szCs w:val="24"/>
          <w:highlight w:val="yellow"/>
        </w:rPr>
        <w:t>单一</w:t>
      </w:r>
      <w:r>
        <w:rPr>
          <w:rFonts w:hint="eastAsia" w:ascii="仿宋_GB2312" w:hAnsi="宋体"/>
          <w:color w:val="auto"/>
          <w:kern w:val="0"/>
          <w:szCs w:val="24"/>
          <w:highlight w:val="yellow"/>
          <w:lang w:eastAsia="zh-CN"/>
        </w:rPr>
        <w:t>】</w:t>
      </w:r>
      <w:r>
        <w:rPr>
          <w:rFonts w:hint="eastAsia" w:ascii="仿宋_GB2312" w:hAnsi="宋体"/>
          <w:color w:val="auto"/>
          <w:kern w:val="0"/>
          <w:szCs w:val="24"/>
          <w:highlight w:val="none"/>
        </w:rPr>
        <w:t>投资者认购上限为</w:t>
      </w:r>
      <w:r>
        <w:rPr>
          <w:rFonts w:hint="eastAsia" w:ascii="仿宋_GB2312" w:hAnsi="宋体"/>
          <w:color w:val="auto"/>
          <w:kern w:val="0"/>
          <w:szCs w:val="24"/>
          <w:highlight w:val="yellow"/>
        </w:rPr>
        <w:t>【</w:t>
      </w:r>
      <w:r>
        <w:rPr>
          <w:rFonts w:hint="eastAsia" w:ascii="仿宋_GB2312" w:hAnsi="宋体"/>
          <w:color w:val="auto"/>
          <w:kern w:val="0"/>
          <w:szCs w:val="24"/>
          <w:highlight w:val="yellow"/>
          <w:lang w:val="en-US" w:eastAsia="zh-CN"/>
        </w:rPr>
        <w:t>20000</w:t>
      </w:r>
      <w:r>
        <w:rPr>
          <w:rFonts w:hint="eastAsia" w:ascii="仿宋_GB2312" w:hAnsi="宋体"/>
          <w:color w:val="auto"/>
          <w:kern w:val="0"/>
          <w:szCs w:val="24"/>
          <w:highlight w:val="yellow"/>
        </w:rPr>
        <w:t>】</w:t>
      </w:r>
      <w:r>
        <w:rPr>
          <w:rFonts w:hint="eastAsia" w:ascii="仿宋_GB2312" w:hAnsi="宋体"/>
          <w:color w:val="auto"/>
          <w:kern w:val="0"/>
          <w:szCs w:val="24"/>
          <w:highlight w:val="none"/>
        </w:rPr>
        <w:t>万元。</w:t>
      </w:r>
      <w:r>
        <w:rPr>
          <w:rFonts w:hint="eastAsia" w:ascii="仿宋_GB2312" w:hAnsi="宋体"/>
          <w:color w:val="auto"/>
          <w:kern w:val="0"/>
          <w:szCs w:val="24"/>
          <w:highlight w:val="yellow"/>
          <w:lang w:eastAsia="zh-CN"/>
        </w:rPr>
        <w:t>【</w:t>
      </w:r>
      <w:r>
        <w:rPr>
          <w:rFonts w:hint="eastAsia" w:ascii="仿宋_GB2312" w:hAnsi="宋体"/>
          <w:color w:val="auto"/>
          <w:kern w:val="0"/>
          <w:szCs w:val="24"/>
          <w:highlight w:val="yellow"/>
        </w:rPr>
        <w:t>单一</w:t>
      </w:r>
      <w:r>
        <w:rPr>
          <w:rFonts w:hint="eastAsia" w:ascii="仿宋_GB2312" w:hAnsi="宋体"/>
          <w:color w:val="auto"/>
          <w:kern w:val="0"/>
          <w:szCs w:val="24"/>
          <w:highlight w:val="yellow"/>
          <w:lang w:eastAsia="zh-CN"/>
        </w:rPr>
        <w:t>】</w:t>
      </w:r>
      <w:r>
        <w:rPr>
          <w:rFonts w:hint="eastAsia" w:ascii="仿宋_GB2312" w:hAnsi="宋体"/>
          <w:color w:val="auto"/>
          <w:kern w:val="0"/>
          <w:szCs w:val="24"/>
          <w:highlight w:val="none"/>
        </w:rPr>
        <w:t>投资者申购上限为</w:t>
      </w:r>
      <w:r>
        <w:rPr>
          <w:rFonts w:hint="eastAsia" w:ascii="仿宋_GB2312" w:hAnsi="宋体"/>
          <w:color w:val="auto"/>
          <w:kern w:val="0"/>
          <w:szCs w:val="24"/>
          <w:highlight w:val="yellow"/>
        </w:rPr>
        <w:t>【</w:t>
      </w:r>
      <w:r>
        <w:rPr>
          <w:rFonts w:hint="eastAsia" w:ascii="仿宋_GB2312" w:hAnsi="宋体"/>
          <w:color w:val="auto"/>
          <w:kern w:val="0"/>
          <w:szCs w:val="24"/>
          <w:highlight w:val="yellow"/>
          <w:lang w:val="en-US" w:eastAsia="zh-CN"/>
        </w:rPr>
        <w:t>20000</w:t>
      </w:r>
      <w:r>
        <w:rPr>
          <w:rFonts w:hint="eastAsia" w:ascii="仿宋_GB2312" w:hAnsi="宋体"/>
          <w:color w:val="auto"/>
          <w:kern w:val="0"/>
          <w:szCs w:val="24"/>
          <w:highlight w:val="yellow"/>
        </w:rPr>
        <w:t>】</w:t>
      </w:r>
      <w:r>
        <w:rPr>
          <w:rFonts w:hint="eastAsia" w:ascii="仿宋_GB2312" w:hAnsi="宋体"/>
          <w:color w:val="auto"/>
          <w:kern w:val="0"/>
          <w:szCs w:val="24"/>
          <w:highlight w:val="none"/>
        </w:rPr>
        <w:t>万元，在产品运作过程中因收益分配、净值波动等被动超上限的情形除外。</w:t>
      </w:r>
      <w:r>
        <w:rPr>
          <w:rFonts w:hint="eastAsia" w:ascii="仿宋_GB2312" w:hAnsi="宋体" w:cs="宋体"/>
          <w:b/>
          <w:bCs/>
          <w:color w:val="auto"/>
          <w:kern w:val="0"/>
          <w:szCs w:val="24"/>
          <w:highlight w:val="none"/>
        </w:rPr>
        <w:t>如果单一投资者认购或申购申请确认后将导致其持有份额超过产品总份额50%的，管理人有权拒绝或暂停接受超出部分的认购、申购申请。非因管理人主观因素导致突破该比例限制的，在单一投资者持有比例降至50%以下之前，管理人不再接受该投资者对本产品的认购、申购申请。如投资者认/申购超过上述限额，管理人有权根据实际情况接受、拒绝或确认失败。管理人有权以公告形式调整投资者累计认/申购上限。</w:t>
      </w:r>
    </w:p>
    <w:p w14:paraId="32A9BCE1">
      <w:pPr>
        <w:widowControl/>
        <w:tabs>
          <w:tab w:val="left" w:pos="709"/>
        </w:tabs>
        <w:snapToGrid w:val="0"/>
        <w:spacing w:line="360" w:lineRule="auto"/>
        <w:ind w:firstLine="420" w:firstLineChars="200"/>
        <w:rPr>
          <w:rFonts w:hint="eastAsia" w:ascii="仿宋_GB2312" w:hAnsi="宋体"/>
          <w:color w:val="auto"/>
          <w:kern w:val="0"/>
          <w:szCs w:val="24"/>
          <w:highlight w:val="none"/>
        </w:rPr>
      </w:pPr>
      <w:r>
        <w:rPr>
          <w:rFonts w:hint="eastAsia" w:ascii="仿宋_GB2312" w:hAnsi="宋体" w:cs="宋体"/>
          <w:bCs/>
          <w:color w:val="auto"/>
          <w:kern w:val="0"/>
          <w:szCs w:val="24"/>
          <w:highlight w:val="none"/>
        </w:rPr>
        <w:t>8</w:t>
      </w:r>
      <w:r>
        <w:rPr>
          <w:rFonts w:hint="eastAsia" w:ascii="仿宋_GB2312" w:hAnsi="宋体"/>
          <w:color w:val="auto"/>
          <w:kern w:val="0"/>
          <w:szCs w:val="24"/>
          <w:highlight w:val="none"/>
        </w:rPr>
        <w:t>.申购规则示例（周六、周日为法定假日，其余为工作日，不考虑节假日调休情况）</w:t>
      </w:r>
    </w:p>
    <w:tbl>
      <w:tblPr>
        <w:tblStyle w:val="7"/>
        <w:tblW w:w="0" w:type="auto"/>
        <w:tblInd w:w="4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17"/>
        <w:gridCol w:w="1157"/>
        <w:gridCol w:w="1551"/>
        <w:gridCol w:w="1917"/>
      </w:tblGrid>
      <w:tr w14:paraId="7EC8F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4407" w:type="dxa"/>
            <w:vAlign w:val="center"/>
          </w:tcPr>
          <w:p w14:paraId="1410AAB8">
            <w:pPr>
              <w:widowControl/>
              <w:tabs>
                <w:tab w:val="left" w:pos="709"/>
              </w:tabs>
              <w:snapToGrid w:val="0"/>
              <w:jc w:val="center"/>
              <w:rPr>
                <w:rFonts w:hint="eastAsia" w:ascii="仿宋_GB2312" w:hAnsi="宋体"/>
                <w:color w:val="auto"/>
                <w:kern w:val="0"/>
                <w:szCs w:val="24"/>
                <w:highlight w:val="yellow"/>
              </w:rPr>
            </w:pPr>
            <w:r>
              <w:rPr>
                <w:rFonts w:hint="eastAsia" w:ascii="仿宋_GB2312" w:hAnsi="宋体"/>
                <w:color w:val="auto"/>
                <w:kern w:val="0"/>
                <w:szCs w:val="24"/>
                <w:highlight w:val="yellow"/>
                <w:lang w:eastAsia="zh-CN"/>
              </w:rPr>
              <w:t>【</w:t>
            </w:r>
            <w:r>
              <w:rPr>
                <w:rFonts w:hint="eastAsia" w:ascii="仿宋_GB2312" w:hAnsi="宋体"/>
                <w:color w:val="auto"/>
                <w:kern w:val="0"/>
                <w:szCs w:val="24"/>
                <w:highlight w:val="yellow"/>
              </w:rPr>
              <w:t>交易发起时间</w:t>
            </w:r>
          </w:p>
        </w:tc>
        <w:tc>
          <w:tcPr>
            <w:tcW w:w="1317" w:type="dxa"/>
            <w:vAlign w:val="center"/>
          </w:tcPr>
          <w:p w14:paraId="6BD26EAF">
            <w:pPr>
              <w:widowControl/>
              <w:tabs>
                <w:tab w:val="left" w:pos="709"/>
              </w:tabs>
              <w:snapToGrid w:val="0"/>
              <w:jc w:val="center"/>
              <w:rPr>
                <w:rFonts w:hint="eastAsia" w:ascii="仿宋_GB2312" w:hAnsi="宋体"/>
                <w:color w:val="auto"/>
                <w:kern w:val="0"/>
                <w:szCs w:val="24"/>
                <w:highlight w:val="yellow"/>
              </w:rPr>
            </w:pPr>
            <w:r>
              <w:rPr>
                <w:rFonts w:hint="eastAsia" w:ascii="仿宋_GB2312" w:hAnsi="宋体"/>
                <w:color w:val="auto"/>
                <w:kern w:val="0"/>
                <w:szCs w:val="24"/>
                <w:highlight w:val="yellow"/>
              </w:rPr>
              <w:t>申购生效</w:t>
            </w:r>
          </w:p>
        </w:tc>
        <w:tc>
          <w:tcPr>
            <w:tcW w:w="1984" w:type="dxa"/>
            <w:vAlign w:val="center"/>
          </w:tcPr>
          <w:p w14:paraId="608E1BE2">
            <w:pPr>
              <w:widowControl/>
              <w:tabs>
                <w:tab w:val="left" w:pos="709"/>
              </w:tabs>
              <w:snapToGrid w:val="0"/>
              <w:jc w:val="center"/>
              <w:rPr>
                <w:rFonts w:hint="eastAsia" w:ascii="仿宋_GB2312" w:hAnsi="宋体"/>
                <w:color w:val="auto"/>
                <w:kern w:val="0"/>
                <w:szCs w:val="24"/>
                <w:highlight w:val="yellow"/>
              </w:rPr>
            </w:pPr>
            <w:r>
              <w:rPr>
                <w:rFonts w:hint="eastAsia" w:ascii="仿宋_GB2312" w:hAnsi="宋体"/>
                <w:color w:val="auto"/>
                <w:kern w:val="0"/>
                <w:szCs w:val="24"/>
                <w:highlight w:val="yellow"/>
              </w:rPr>
              <w:t>申购确认</w:t>
            </w:r>
          </w:p>
        </w:tc>
        <w:tc>
          <w:tcPr>
            <w:tcW w:w="2410" w:type="dxa"/>
            <w:vAlign w:val="center"/>
          </w:tcPr>
          <w:p w14:paraId="12CBA1E3">
            <w:pPr>
              <w:widowControl/>
              <w:tabs>
                <w:tab w:val="left" w:pos="709"/>
              </w:tabs>
              <w:snapToGrid w:val="0"/>
              <w:jc w:val="center"/>
              <w:rPr>
                <w:rFonts w:hint="eastAsia" w:ascii="仿宋_GB2312" w:hAnsi="宋体"/>
                <w:color w:val="auto"/>
                <w:kern w:val="0"/>
                <w:szCs w:val="24"/>
                <w:highlight w:val="yellow"/>
              </w:rPr>
            </w:pPr>
            <w:r>
              <w:rPr>
                <w:rFonts w:hint="eastAsia" w:ascii="仿宋_GB2312" w:hAnsi="宋体"/>
                <w:color w:val="auto"/>
                <w:kern w:val="0"/>
                <w:szCs w:val="24"/>
                <w:highlight w:val="yellow"/>
              </w:rPr>
              <w:t>确认净值</w:t>
            </w:r>
          </w:p>
        </w:tc>
      </w:tr>
      <w:tr w14:paraId="6CCB6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7" w:type="dxa"/>
            <w:vAlign w:val="center"/>
          </w:tcPr>
          <w:p w14:paraId="2027CFCF">
            <w:pPr>
              <w:widowControl/>
              <w:tabs>
                <w:tab w:val="left" w:pos="709"/>
              </w:tabs>
              <w:snapToGrid w:val="0"/>
              <w:jc w:val="center"/>
              <w:rPr>
                <w:rFonts w:hint="eastAsia" w:ascii="仿宋_GB2312" w:hAnsi="宋体"/>
                <w:color w:val="auto"/>
                <w:kern w:val="0"/>
                <w:szCs w:val="24"/>
                <w:highlight w:val="yellow"/>
              </w:rPr>
            </w:pPr>
            <w:r>
              <w:rPr>
                <w:rFonts w:hint="eastAsia" w:ascii="仿宋_GB2312" w:hAnsi="宋体"/>
                <w:color w:val="auto"/>
                <w:kern w:val="0"/>
                <w:szCs w:val="24"/>
                <w:highlight w:val="yellow"/>
              </w:rPr>
              <w:t>周五</w:t>
            </w:r>
            <w:r>
              <w:rPr>
                <w:rFonts w:ascii="仿宋_GB2312" w:hAnsi="宋体"/>
                <w:color w:val="auto"/>
                <w:kern w:val="0"/>
                <w:szCs w:val="24"/>
                <w:highlight w:val="yellow"/>
              </w:rPr>
              <w:t>15:30（含）</w:t>
            </w:r>
            <w:r>
              <w:rPr>
                <w:rFonts w:hint="eastAsia" w:ascii="仿宋_GB2312" w:hAnsi="宋体"/>
                <w:color w:val="auto"/>
                <w:kern w:val="0"/>
                <w:szCs w:val="24"/>
                <w:highlight w:val="yellow"/>
              </w:rPr>
              <w:t>至周一</w:t>
            </w:r>
            <w:r>
              <w:rPr>
                <w:rFonts w:ascii="仿宋_GB2312" w:hAnsi="宋体"/>
                <w:color w:val="auto"/>
                <w:kern w:val="0"/>
                <w:szCs w:val="24"/>
                <w:highlight w:val="yellow"/>
              </w:rPr>
              <w:t>15:30（不含）</w:t>
            </w:r>
          </w:p>
        </w:tc>
        <w:tc>
          <w:tcPr>
            <w:tcW w:w="1317" w:type="dxa"/>
            <w:vAlign w:val="center"/>
          </w:tcPr>
          <w:p w14:paraId="1D54A37A">
            <w:pPr>
              <w:widowControl/>
              <w:tabs>
                <w:tab w:val="left" w:pos="709"/>
              </w:tabs>
              <w:snapToGrid w:val="0"/>
              <w:jc w:val="center"/>
              <w:rPr>
                <w:rFonts w:hint="eastAsia" w:ascii="仿宋_GB2312" w:hAnsi="宋体"/>
                <w:color w:val="auto"/>
                <w:kern w:val="0"/>
                <w:szCs w:val="24"/>
                <w:highlight w:val="yellow"/>
              </w:rPr>
            </w:pPr>
            <w:r>
              <w:rPr>
                <w:rFonts w:hint="eastAsia" w:ascii="仿宋_GB2312" w:hAnsi="宋体"/>
                <w:color w:val="auto"/>
                <w:kern w:val="0"/>
                <w:szCs w:val="24"/>
                <w:highlight w:val="yellow"/>
              </w:rPr>
              <w:t>周一</w:t>
            </w:r>
            <w:r>
              <w:rPr>
                <w:rFonts w:ascii="仿宋_GB2312" w:hAnsi="宋体"/>
                <w:color w:val="auto"/>
                <w:kern w:val="0"/>
                <w:szCs w:val="24"/>
                <w:highlight w:val="yellow"/>
              </w:rPr>
              <w:t xml:space="preserve">15:30 </w:t>
            </w:r>
          </w:p>
        </w:tc>
        <w:tc>
          <w:tcPr>
            <w:tcW w:w="1984" w:type="dxa"/>
            <w:vAlign w:val="center"/>
          </w:tcPr>
          <w:p w14:paraId="777435FF">
            <w:pPr>
              <w:widowControl/>
              <w:tabs>
                <w:tab w:val="left" w:pos="709"/>
              </w:tabs>
              <w:snapToGrid w:val="0"/>
              <w:jc w:val="center"/>
              <w:rPr>
                <w:rFonts w:hint="eastAsia" w:ascii="仿宋_GB2312" w:hAnsi="宋体"/>
                <w:color w:val="auto"/>
                <w:kern w:val="0"/>
                <w:szCs w:val="24"/>
                <w:highlight w:val="yellow"/>
              </w:rPr>
            </w:pPr>
            <w:r>
              <w:rPr>
                <w:rFonts w:hint="eastAsia" w:ascii="仿宋_GB2312" w:hAnsi="宋体"/>
                <w:color w:val="auto"/>
                <w:kern w:val="0"/>
                <w:szCs w:val="24"/>
                <w:highlight w:val="yellow"/>
              </w:rPr>
              <w:t>周二</w:t>
            </w:r>
          </w:p>
        </w:tc>
        <w:tc>
          <w:tcPr>
            <w:tcW w:w="2410" w:type="dxa"/>
            <w:vAlign w:val="center"/>
          </w:tcPr>
          <w:p w14:paraId="5135B5B4">
            <w:pPr>
              <w:widowControl/>
              <w:tabs>
                <w:tab w:val="left" w:pos="709"/>
              </w:tabs>
              <w:snapToGrid w:val="0"/>
              <w:jc w:val="center"/>
              <w:rPr>
                <w:rFonts w:hint="eastAsia" w:ascii="仿宋_GB2312" w:hAnsi="宋体"/>
                <w:color w:val="auto"/>
                <w:kern w:val="0"/>
                <w:szCs w:val="24"/>
                <w:highlight w:val="yellow"/>
              </w:rPr>
            </w:pPr>
            <w:r>
              <w:rPr>
                <w:rFonts w:hint="eastAsia" w:ascii="仿宋_GB2312" w:hAnsi="宋体"/>
                <w:color w:val="auto"/>
                <w:kern w:val="0"/>
                <w:szCs w:val="24"/>
                <w:highlight w:val="yellow"/>
              </w:rPr>
              <w:t>周一产品份额净值</w:t>
            </w:r>
          </w:p>
        </w:tc>
      </w:tr>
      <w:tr w14:paraId="29EF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7" w:type="dxa"/>
            <w:vAlign w:val="center"/>
          </w:tcPr>
          <w:p w14:paraId="4246EC1B">
            <w:pPr>
              <w:widowControl/>
              <w:tabs>
                <w:tab w:val="left" w:pos="709"/>
              </w:tabs>
              <w:snapToGrid w:val="0"/>
              <w:jc w:val="center"/>
              <w:rPr>
                <w:rFonts w:hint="eastAsia" w:ascii="仿宋_GB2312" w:hAnsi="宋体"/>
                <w:color w:val="auto"/>
                <w:kern w:val="0"/>
                <w:szCs w:val="24"/>
                <w:highlight w:val="yellow"/>
              </w:rPr>
            </w:pPr>
            <w:r>
              <w:rPr>
                <w:rFonts w:hint="eastAsia" w:ascii="仿宋_GB2312" w:hAnsi="宋体"/>
                <w:color w:val="auto"/>
                <w:kern w:val="0"/>
                <w:szCs w:val="24"/>
                <w:highlight w:val="yellow"/>
              </w:rPr>
              <w:t>周一</w:t>
            </w:r>
            <w:r>
              <w:rPr>
                <w:rFonts w:ascii="仿宋_GB2312" w:hAnsi="宋体"/>
                <w:color w:val="auto"/>
                <w:kern w:val="0"/>
                <w:szCs w:val="24"/>
                <w:highlight w:val="yellow"/>
              </w:rPr>
              <w:t>15:30</w:t>
            </w:r>
            <w:r>
              <w:rPr>
                <w:rFonts w:hint="eastAsia" w:ascii="仿宋_GB2312" w:hAnsi="宋体"/>
                <w:color w:val="auto"/>
                <w:kern w:val="0"/>
                <w:szCs w:val="24"/>
                <w:highlight w:val="yellow"/>
              </w:rPr>
              <w:t>（含）至周二</w:t>
            </w:r>
            <w:r>
              <w:rPr>
                <w:rFonts w:ascii="仿宋_GB2312" w:hAnsi="宋体"/>
                <w:color w:val="auto"/>
                <w:kern w:val="0"/>
                <w:szCs w:val="24"/>
                <w:highlight w:val="yellow"/>
              </w:rPr>
              <w:t>15:30（不含）</w:t>
            </w:r>
          </w:p>
        </w:tc>
        <w:tc>
          <w:tcPr>
            <w:tcW w:w="1317" w:type="dxa"/>
            <w:vAlign w:val="center"/>
          </w:tcPr>
          <w:p w14:paraId="11CDBA64">
            <w:pPr>
              <w:widowControl/>
              <w:tabs>
                <w:tab w:val="left" w:pos="709"/>
              </w:tabs>
              <w:snapToGrid w:val="0"/>
              <w:jc w:val="center"/>
              <w:rPr>
                <w:rFonts w:hint="eastAsia" w:ascii="仿宋_GB2312" w:hAnsi="宋体"/>
                <w:color w:val="auto"/>
                <w:kern w:val="0"/>
                <w:szCs w:val="24"/>
                <w:highlight w:val="yellow"/>
              </w:rPr>
            </w:pPr>
            <w:r>
              <w:rPr>
                <w:rFonts w:hint="eastAsia" w:ascii="仿宋_GB2312" w:hAnsi="宋体"/>
                <w:color w:val="auto"/>
                <w:kern w:val="0"/>
                <w:szCs w:val="24"/>
                <w:highlight w:val="yellow"/>
              </w:rPr>
              <w:t>周二</w:t>
            </w:r>
            <w:r>
              <w:rPr>
                <w:rFonts w:ascii="仿宋_GB2312" w:hAnsi="宋体"/>
                <w:color w:val="auto"/>
                <w:kern w:val="0"/>
                <w:szCs w:val="24"/>
                <w:highlight w:val="yellow"/>
              </w:rPr>
              <w:t>15:30</w:t>
            </w:r>
          </w:p>
        </w:tc>
        <w:tc>
          <w:tcPr>
            <w:tcW w:w="1984" w:type="dxa"/>
            <w:vAlign w:val="center"/>
          </w:tcPr>
          <w:p w14:paraId="69497837">
            <w:pPr>
              <w:widowControl/>
              <w:tabs>
                <w:tab w:val="left" w:pos="709"/>
              </w:tabs>
              <w:snapToGrid w:val="0"/>
              <w:jc w:val="center"/>
              <w:rPr>
                <w:rFonts w:hint="eastAsia" w:ascii="仿宋_GB2312" w:hAnsi="宋体"/>
                <w:color w:val="auto"/>
                <w:kern w:val="0"/>
                <w:szCs w:val="24"/>
                <w:highlight w:val="yellow"/>
              </w:rPr>
            </w:pPr>
            <w:r>
              <w:rPr>
                <w:rFonts w:hint="eastAsia" w:ascii="仿宋_GB2312" w:hAnsi="宋体"/>
                <w:color w:val="auto"/>
                <w:kern w:val="0"/>
                <w:szCs w:val="24"/>
                <w:highlight w:val="yellow"/>
              </w:rPr>
              <w:t>周三</w:t>
            </w:r>
          </w:p>
        </w:tc>
        <w:tc>
          <w:tcPr>
            <w:tcW w:w="2410" w:type="dxa"/>
            <w:vAlign w:val="center"/>
          </w:tcPr>
          <w:p w14:paraId="5BE6B2AD">
            <w:pPr>
              <w:widowControl/>
              <w:tabs>
                <w:tab w:val="left" w:pos="709"/>
              </w:tabs>
              <w:snapToGrid w:val="0"/>
              <w:jc w:val="center"/>
              <w:rPr>
                <w:rFonts w:hint="eastAsia" w:ascii="仿宋_GB2312" w:hAnsi="宋体"/>
                <w:color w:val="auto"/>
                <w:kern w:val="0"/>
                <w:szCs w:val="24"/>
                <w:highlight w:val="yellow"/>
              </w:rPr>
            </w:pPr>
            <w:r>
              <w:rPr>
                <w:rFonts w:hint="eastAsia" w:ascii="仿宋_GB2312" w:hAnsi="宋体"/>
                <w:color w:val="auto"/>
                <w:kern w:val="0"/>
                <w:szCs w:val="24"/>
                <w:highlight w:val="yellow"/>
              </w:rPr>
              <w:t>周二产品份额净值</w:t>
            </w:r>
          </w:p>
        </w:tc>
      </w:tr>
      <w:tr w14:paraId="4628D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7" w:type="dxa"/>
            <w:vAlign w:val="center"/>
          </w:tcPr>
          <w:p w14:paraId="76B07D21">
            <w:pPr>
              <w:widowControl/>
              <w:tabs>
                <w:tab w:val="left" w:pos="709"/>
              </w:tabs>
              <w:snapToGrid w:val="0"/>
              <w:jc w:val="center"/>
              <w:rPr>
                <w:rFonts w:hint="eastAsia" w:ascii="仿宋_GB2312" w:hAnsi="宋体"/>
                <w:color w:val="auto"/>
                <w:kern w:val="0"/>
                <w:szCs w:val="24"/>
                <w:highlight w:val="yellow"/>
              </w:rPr>
            </w:pPr>
            <w:r>
              <w:rPr>
                <w:rFonts w:hint="eastAsia" w:ascii="仿宋_GB2312" w:hAnsi="宋体"/>
                <w:color w:val="auto"/>
                <w:kern w:val="0"/>
                <w:szCs w:val="24"/>
                <w:highlight w:val="yellow"/>
              </w:rPr>
              <w:t>周二</w:t>
            </w:r>
            <w:r>
              <w:rPr>
                <w:rFonts w:ascii="仿宋_GB2312" w:hAnsi="宋体"/>
                <w:color w:val="auto"/>
                <w:kern w:val="0"/>
                <w:szCs w:val="24"/>
                <w:highlight w:val="yellow"/>
              </w:rPr>
              <w:t>15:30（含）至周三15:30（不含）</w:t>
            </w:r>
          </w:p>
        </w:tc>
        <w:tc>
          <w:tcPr>
            <w:tcW w:w="1317" w:type="dxa"/>
            <w:vAlign w:val="center"/>
          </w:tcPr>
          <w:p w14:paraId="38E2E336">
            <w:pPr>
              <w:widowControl/>
              <w:tabs>
                <w:tab w:val="left" w:pos="709"/>
              </w:tabs>
              <w:snapToGrid w:val="0"/>
              <w:jc w:val="center"/>
              <w:rPr>
                <w:rFonts w:hint="eastAsia" w:ascii="仿宋_GB2312" w:hAnsi="宋体"/>
                <w:color w:val="auto"/>
                <w:kern w:val="0"/>
                <w:szCs w:val="24"/>
                <w:highlight w:val="yellow"/>
              </w:rPr>
            </w:pPr>
            <w:r>
              <w:rPr>
                <w:rFonts w:hint="eastAsia" w:ascii="仿宋_GB2312" w:hAnsi="宋体"/>
                <w:color w:val="auto"/>
                <w:kern w:val="0"/>
                <w:szCs w:val="24"/>
                <w:highlight w:val="yellow"/>
              </w:rPr>
              <w:t>周三</w:t>
            </w:r>
            <w:r>
              <w:rPr>
                <w:rFonts w:ascii="仿宋_GB2312" w:hAnsi="宋体"/>
                <w:color w:val="auto"/>
                <w:kern w:val="0"/>
                <w:szCs w:val="24"/>
                <w:highlight w:val="yellow"/>
              </w:rPr>
              <w:t>15:30</w:t>
            </w:r>
          </w:p>
        </w:tc>
        <w:tc>
          <w:tcPr>
            <w:tcW w:w="1984" w:type="dxa"/>
            <w:vAlign w:val="center"/>
          </w:tcPr>
          <w:p w14:paraId="71DC9BA9">
            <w:pPr>
              <w:widowControl/>
              <w:tabs>
                <w:tab w:val="left" w:pos="709"/>
              </w:tabs>
              <w:snapToGrid w:val="0"/>
              <w:jc w:val="center"/>
              <w:rPr>
                <w:rFonts w:hint="eastAsia" w:ascii="仿宋_GB2312" w:hAnsi="宋体"/>
                <w:color w:val="auto"/>
                <w:kern w:val="0"/>
                <w:szCs w:val="24"/>
                <w:highlight w:val="yellow"/>
              </w:rPr>
            </w:pPr>
            <w:r>
              <w:rPr>
                <w:rFonts w:hint="eastAsia" w:ascii="仿宋_GB2312" w:hAnsi="宋体"/>
                <w:color w:val="auto"/>
                <w:kern w:val="0"/>
                <w:szCs w:val="24"/>
                <w:highlight w:val="yellow"/>
              </w:rPr>
              <w:t>周四</w:t>
            </w:r>
          </w:p>
        </w:tc>
        <w:tc>
          <w:tcPr>
            <w:tcW w:w="2410" w:type="dxa"/>
            <w:vAlign w:val="center"/>
          </w:tcPr>
          <w:p w14:paraId="029DB4CC">
            <w:pPr>
              <w:widowControl/>
              <w:tabs>
                <w:tab w:val="left" w:pos="709"/>
              </w:tabs>
              <w:snapToGrid w:val="0"/>
              <w:jc w:val="center"/>
              <w:rPr>
                <w:rFonts w:hint="eastAsia" w:ascii="仿宋_GB2312" w:hAnsi="宋体"/>
                <w:color w:val="auto"/>
                <w:kern w:val="0"/>
                <w:szCs w:val="24"/>
                <w:highlight w:val="yellow"/>
              </w:rPr>
            </w:pPr>
            <w:r>
              <w:rPr>
                <w:rFonts w:hint="eastAsia" w:ascii="仿宋_GB2312" w:hAnsi="宋体"/>
                <w:color w:val="auto"/>
                <w:kern w:val="0"/>
                <w:szCs w:val="24"/>
                <w:highlight w:val="yellow"/>
              </w:rPr>
              <w:t>周三产品份额净值</w:t>
            </w:r>
          </w:p>
        </w:tc>
      </w:tr>
      <w:tr w14:paraId="43D9F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7" w:type="dxa"/>
            <w:vAlign w:val="center"/>
          </w:tcPr>
          <w:p w14:paraId="3A6561E9">
            <w:pPr>
              <w:widowControl/>
              <w:tabs>
                <w:tab w:val="left" w:pos="709"/>
              </w:tabs>
              <w:snapToGrid w:val="0"/>
              <w:jc w:val="center"/>
              <w:rPr>
                <w:rFonts w:hint="eastAsia" w:ascii="仿宋_GB2312" w:hAnsi="宋体"/>
                <w:color w:val="auto"/>
                <w:kern w:val="0"/>
                <w:szCs w:val="24"/>
                <w:highlight w:val="yellow"/>
              </w:rPr>
            </w:pPr>
            <w:r>
              <w:rPr>
                <w:rFonts w:hint="eastAsia" w:ascii="仿宋_GB2312" w:hAnsi="宋体"/>
                <w:color w:val="auto"/>
                <w:kern w:val="0"/>
                <w:szCs w:val="24"/>
                <w:highlight w:val="yellow"/>
              </w:rPr>
              <w:t>周三15:30（含）至周四15:30（不含）</w:t>
            </w:r>
          </w:p>
        </w:tc>
        <w:tc>
          <w:tcPr>
            <w:tcW w:w="1317" w:type="dxa"/>
            <w:vAlign w:val="center"/>
          </w:tcPr>
          <w:p w14:paraId="6FBB42C4">
            <w:pPr>
              <w:widowControl/>
              <w:tabs>
                <w:tab w:val="left" w:pos="709"/>
              </w:tabs>
              <w:snapToGrid w:val="0"/>
              <w:jc w:val="center"/>
              <w:rPr>
                <w:rFonts w:hint="eastAsia" w:ascii="仿宋_GB2312" w:hAnsi="宋体"/>
                <w:color w:val="auto"/>
                <w:kern w:val="0"/>
                <w:szCs w:val="24"/>
                <w:highlight w:val="yellow"/>
              </w:rPr>
            </w:pPr>
            <w:r>
              <w:rPr>
                <w:rFonts w:hint="eastAsia" w:ascii="仿宋_GB2312" w:hAnsi="宋体"/>
                <w:color w:val="auto"/>
                <w:kern w:val="0"/>
                <w:szCs w:val="24"/>
                <w:highlight w:val="yellow"/>
              </w:rPr>
              <w:t>周四15:30</w:t>
            </w:r>
          </w:p>
        </w:tc>
        <w:tc>
          <w:tcPr>
            <w:tcW w:w="1984" w:type="dxa"/>
            <w:vAlign w:val="center"/>
          </w:tcPr>
          <w:p w14:paraId="5F3197F5">
            <w:pPr>
              <w:widowControl/>
              <w:tabs>
                <w:tab w:val="left" w:pos="709"/>
              </w:tabs>
              <w:snapToGrid w:val="0"/>
              <w:jc w:val="center"/>
              <w:rPr>
                <w:rFonts w:hint="eastAsia" w:ascii="仿宋_GB2312" w:hAnsi="宋体"/>
                <w:color w:val="auto"/>
                <w:kern w:val="0"/>
                <w:szCs w:val="24"/>
                <w:highlight w:val="yellow"/>
              </w:rPr>
            </w:pPr>
            <w:r>
              <w:rPr>
                <w:rFonts w:hint="eastAsia" w:ascii="仿宋_GB2312" w:hAnsi="宋体"/>
                <w:color w:val="auto"/>
                <w:kern w:val="0"/>
                <w:szCs w:val="24"/>
                <w:highlight w:val="yellow"/>
              </w:rPr>
              <w:t>周五</w:t>
            </w:r>
          </w:p>
        </w:tc>
        <w:tc>
          <w:tcPr>
            <w:tcW w:w="2410" w:type="dxa"/>
            <w:vAlign w:val="center"/>
          </w:tcPr>
          <w:p w14:paraId="16592522">
            <w:pPr>
              <w:widowControl/>
              <w:tabs>
                <w:tab w:val="left" w:pos="709"/>
              </w:tabs>
              <w:snapToGrid w:val="0"/>
              <w:jc w:val="center"/>
              <w:rPr>
                <w:rFonts w:hint="eastAsia" w:ascii="仿宋_GB2312" w:hAnsi="宋体"/>
                <w:color w:val="auto"/>
                <w:kern w:val="0"/>
                <w:szCs w:val="24"/>
                <w:highlight w:val="yellow"/>
              </w:rPr>
            </w:pPr>
            <w:r>
              <w:rPr>
                <w:rFonts w:hint="eastAsia" w:ascii="仿宋_GB2312" w:hAnsi="宋体"/>
                <w:color w:val="auto"/>
                <w:kern w:val="0"/>
                <w:szCs w:val="24"/>
                <w:highlight w:val="yellow"/>
              </w:rPr>
              <w:t>周四产品份额净值</w:t>
            </w:r>
          </w:p>
        </w:tc>
      </w:tr>
      <w:tr w14:paraId="55CFB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7" w:type="dxa"/>
            <w:vAlign w:val="center"/>
          </w:tcPr>
          <w:p w14:paraId="1341DB85">
            <w:pPr>
              <w:widowControl/>
              <w:tabs>
                <w:tab w:val="left" w:pos="709"/>
              </w:tabs>
              <w:snapToGrid w:val="0"/>
              <w:jc w:val="center"/>
              <w:rPr>
                <w:rFonts w:hint="eastAsia" w:ascii="仿宋_GB2312" w:hAnsi="宋体"/>
                <w:color w:val="auto"/>
                <w:kern w:val="0"/>
                <w:szCs w:val="24"/>
                <w:highlight w:val="yellow"/>
              </w:rPr>
            </w:pPr>
            <w:r>
              <w:rPr>
                <w:rFonts w:hint="eastAsia" w:ascii="仿宋_GB2312" w:hAnsi="宋体"/>
                <w:color w:val="auto"/>
                <w:kern w:val="0"/>
                <w:szCs w:val="24"/>
                <w:highlight w:val="yellow"/>
              </w:rPr>
              <w:t>周四</w:t>
            </w:r>
            <w:r>
              <w:rPr>
                <w:rFonts w:ascii="仿宋_GB2312" w:hAnsi="宋体"/>
                <w:color w:val="auto"/>
                <w:kern w:val="0"/>
                <w:szCs w:val="24"/>
                <w:highlight w:val="yellow"/>
              </w:rPr>
              <w:t>15:30（含）至周五15:30（不含）</w:t>
            </w:r>
          </w:p>
        </w:tc>
        <w:tc>
          <w:tcPr>
            <w:tcW w:w="1317" w:type="dxa"/>
            <w:vAlign w:val="center"/>
          </w:tcPr>
          <w:p w14:paraId="16F0F85A">
            <w:pPr>
              <w:widowControl/>
              <w:tabs>
                <w:tab w:val="left" w:pos="709"/>
              </w:tabs>
              <w:snapToGrid w:val="0"/>
              <w:jc w:val="center"/>
              <w:rPr>
                <w:rFonts w:hint="eastAsia" w:ascii="仿宋_GB2312" w:hAnsi="宋体"/>
                <w:color w:val="auto"/>
                <w:kern w:val="0"/>
                <w:szCs w:val="24"/>
                <w:highlight w:val="yellow"/>
              </w:rPr>
            </w:pPr>
            <w:r>
              <w:rPr>
                <w:rFonts w:hint="eastAsia" w:ascii="仿宋_GB2312" w:hAnsi="宋体"/>
                <w:color w:val="auto"/>
                <w:kern w:val="0"/>
                <w:szCs w:val="24"/>
                <w:highlight w:val="yellow"/>
              </w:rPr>
              <w:t>周五</w:t>
            </w:r>
            <w:r>
              <w:rPr>
                <w:rFonts w:ascii="仿宋_GB2312" w:hAnsi="宋体"/>
                <w:color w:val="auto"/>
                <w:kern w:val="0"/>
                <w:szCs w:val="24"/>
                <w:highlight w:val="yellow"/>
              </w:rPr>
              <w:t>15:30</w:t>
            </w:r>
          </w:p>
        </w:tc>
        <w:tc>
          <w:tcPr>
            <w:tcW w:w="1984" w:type="dxa"/>
            <w:vAlign w:val="center"/>
          </w:tcPr>
          <w:p w14:paraId="4C763514">
            <w:pPr>
              <w:widowControl/>
              <w:tabs>
                <w:tab w:val="left" w:pos="709"/>
              </w:tabs>
              <w:snapToGrid w:val="0"/>
              <w:jc w:val="center"/>
              <w:rPr>
                <w:rFonts w:hint="eastAsia" w:ascii="仿宋_GB2312" w:hAnsi="宋体"/>
                <w:color w:val="auto"/>
                <w:kern w:val="0"/>
                <w:szCs w:val="24"/>
                <w:highlight w:val="yellow"/>
              </w:rPr>
            </w:pPr>
            <w:r>
              <w:rPr>
                <w:rFonts w:hint="eastAsia" w:ascii="仿宋_GB2312" w:hAnsi="宋体"/>
                <w:color w:val="auto"/>
                <w:kern w:val="0"/>
                <w:szCs w:val="24"/>
                <w:highlight w:val="yellow"/>
              </w:rPr>
              <w:t>下周一</w:t>
            </w:r>
          </w:p>
        </w:tc>
        <w:tc>
          <w:tcPr>
            <w:tcW w:w="2410" w:type="dxa"/>
            <w:vAlign w:val="center"/>
          </w:tcPr>
          <w:p w14:paraId="27BAED57">
            <w:pPr>
              <w:widowControl/>
              <w:tabs>
                <w:tab w:val="left" w:pos="709"/>
              </w:tabs>
              <w:snapToGrid w:val="0"/>
              <w:jc w:val="center"/>
              <w:rPr>
                <w:rFonts w:hint="eastAsia" w:ascii="仿宋_GB2312" w:hAnsi="宋体" w:eastAsia="仿宋_GB2312"/>
                <w:color w:val="auto"/>
                <w:kern w:val="0"/>
                <w:szCs w:val="24"/>
                <w:highlight w:val="yellow"/>
                <w:lang w:eastAsia="zh-CN"/>
              </w:rPr>
            </w:pPr>
            <w:r>
              <w:rPr>
                <w:rFonts w:hint="eastAsia" w:ascii="仿宋_GB2312" w:hAnsi="宋体"/>
                <w:color w:val="auto"/>
                <w:kern w:val="0"/>
                <w:szCs w:val="24"/>
                <w:highlight w:val="yellow"/>
              </w:rPr>
              <w:t>周</w:t>
            </w:r>
            <w:r>
              <w:rPr>
                <w:rFonts w:hint="eastAsia" w:ascii="仿宋_GB2312" w:hAnsi="宋体"/>
                <w:color w:val="auto"/>
                <w:kern w:val="0"/>
                <w:szCs w:val="24"/>
                <w:highlight w:val="yellow"/>
                <w:lang w:eastAsia="zh-CN"/>
              </w:rPr>
              <w:t>五</w:t>
            </w:r>
            <w:r>
              <w:rPr>
                <w:rFonts w:hint="eastAsia" w:ascii="仿宋_GB2312" w:hAnsi="宋体"/>
                <w:color w:val="auto"/>
                <w:kern w:val="0"/>
                <w:szCs w:val="24"/>
                <w:highlight w:val="yellow"/>
              </w:rPr>
              <w:t>产品份额净值</w:t>
            </w:r>
            <w:r>
              <w:rPr>
                <w:rFonts w:hint="eastAsia" w:ascii="仿宋_GB2312" w:hAnsi="宋体"/>
                <w:color w:val="auto"/>
                <w:kern w:val="0"/>
                <w:szCs w:val="24"/>
                <w:highlight w:val="yellow"/>
                <w:lang w:eastAsia="zh-CN"/>
              </w:rPr>
              <w:t>】</w:t>
            </w:r>
          </w:p>
        </w:tc>
      </w:tr>
    </w:tbl>
    <w:p w14:paraId="1C815CCB">
      <w:pPr>
        <w:adjustRightInd w:val="0"/>
        <w:snapToGrid w:val="0"/>
        <w:spacing w:line="360" w:lineRule="auto"/>
        <w:ind w:firstLine="420" w:firstLineChars="200"/>
        <w:rPr>
          <w:rFonts w:ascii="仿宋_GB2312" w:hAnsi="宋体"/>
          <w:color w:val="auto"/>
          <w:kern w:val="0"/>
          <w:szCs w:val="24"/>
          <w:highlight w:val="none"/>
        </w:rPr>
      </w:pPr>
      <w:r>
        <w:rPr>
          <w:rFonts w:hint="eastAsia" w:ascii="仿宋_GB2312" w:hAnsi="宋体"/>
          <w:color w:val="auto"/>
          <w:kern w:val="0"/>
          <w:szCs w:val="24"/>
          <w:highlight w:val="none"/>
        </w:rPr>
        <w:t>9.拒绝或暂停申购</w:t>
      </w:r>
    </w:p>
    <w:p w14:paraId="2BA00798">
      <w:pPr>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除本理财产品说明书另有规定外，当出现以下情形之一时，管理人有权拒绝投资者提交的理财产品申购申请并确认投资者申购失败，或通知销售机构暂停投资者申购并关闭系统申购交易功能，并在3个工作日内公告。在拒绝、暂停申购的情况消除后，管理人应及时通知销售机构恢复理财产品申购业务的办理。</w:t>
      </w:r>
    </w:p>
    <w:p w14:paraId="19361C08">
      <w:pPr>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（1）因不可抗力导致管理人无法接受投资者的申购申请；</w:t>
      </w:r>
    </w:p>
    <w:p w14:paraId="48882467">
      <w:pPr>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（2）证券交易场所依法决定临时停市，导致管理人无法计算当日产品资产净值；</w:t>
      </w:r>
    </w:p>
    <w:p w14:paraId="16A74C07">
      <w:pPr>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（3）当管理人认为某笔申购申请会有损于其他产品份额持有人利益时，可拒绝该笔申购申请；</w:t>
      </w:r>
    </w:p>
    <w:p w14:paraId="31D10E60">
      <w:pPr>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（4）法律、法规规定认定的其他情形。</w:t>
      </w:r>
    </w:p>
    <w:p w14:paraId="717E76F2">
      <w:pPr>
        <w:pStyle w:val="3"/>
        <w:widowControl/>
        <w:numPr>
          <w:ilvl w:val="1"/>
          <w:numId w:val="10"/>
        </w:numPr>
        <w:adjustRightInd w:val="0"/>
        <w:snapToGrid w:val="0"/>
        <w:ind w:firstLine="482"/>
        <w:rPr>
          <w:color w:val="auto"/>
          <w:highlight w:val="none"/>
        </w:rPr>
      </w:pPr>
      <w:r>
        <w:rPr>
          <w:rFonts w:hint="eastAsia"/>
          <w:color w:val="auto"/>
          <w:highlight w:val="none"/>
        </w:rPr>
        <w:t>理财产品投资周期</w:t>
      </w:r>
    </w:p>
    <w:p w14:paraId="6F7825D0">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1.固定周期：</w:t>
      </w:r>
      <w:r>
        <w:rPr>
          <w:rFonts w:hint="eastAsia" w:ascii="仿宋_GB2312" w:hAnsi="宋体" w:cs="宋体"/>
          <w:b/>
          <w:color w:val="auto"/>
          <w:kern w:val="0"/>
          <w:szCs w:val="24"/>
          <w:highlight w:val="none"/>
        </w:rPr>
        <w:t>本理财产品以</w:t>
      </w:r>
      <w:r>
        <w:rPr>
          <w:rFonts w:hint="eastAsia" w:ascii="仿宋_GB2312" w:hAnsi="宋体" w:cs="宋体"/>
          <w:b/>
          <w:color w:val="auto"/>
          <w:kern w:val="0"/>
          <w:szCs w:val="24"/>
          <w:highlight w:val="yellow"/>
          <w:lang w:eastAsia="zh-CN"/>
        </w:rPr>
        <w:t>【</w:t>
      </w:r>
      <w:r>
        <w:rPr>
          <w:rFonts w:ascii="仿宋_GB2312" w:hAnsi="宋体" w:cs="宋体"/>
          <w:b/>
          <w:color w:val="auto"/>
          <w:kern w:val="0"/>
          <w:szCs w:val="24"/>
          <w:highlight w:val="yellow"/>
        </w:rPr>
        <w:t>90</w:t>
      </w:r>
      <w:r>
        <w:rPr>
          <w:rFonts w:hint="eastAsia" w:ascii="仿宋_GB2312" w:hAnsi="宋体" w:cs="宋体"/>
          <w:b/>
          <w:color w:val="auto"/>
          <w:kern w:val="0"/>
          <w:szCs w:val="24"/>
          <w:highlight w:val="yellow"/>
          <w:lang w:eastAsia="zh-CN"/>
        </w:rPr>
        <w:t>】</w:t>
      </w:r>
      <w:r>
        <w:rPr>
          <w:rFonts w:hint="eastAsia" w:ascii="仿宋_GB2312" w:hAnsi="宋体" w:cs="宋体"/>
          <w:b/>
          <w:color w:val="auto"/>
          <w:kern w:val="0"/>
          <w:szCs w:val="24"/>
          <w:highlight w:val="none"/>
        </w:rPr>
        <w:t>个自然日</w:t>
      </w:r>
      <w:r>
        <w:rPr>
          <w:rFonts w:ascii="仿宋_GB2312" w:hAnsi="宋体" w:cs="宋体"/>
          <w:b/>
          <w:color w:val="auto"/>
          <w:kern w:val="0"/>
          <w:szCs w:val="24"/>
          <w:highlight w:val="none"/>
        </w:rPr>
        <w:t>为1个固定周期</w:t>
      </w:r>
      <w:r>
        <w:rPr>
          <w:rFonts w:hint="eastAsia" w:ascii="仿宋_GB2312" w:hAnsi="宋体" w:cs="宋体"/>
          <w:bCs/>
          <w:color w:val="auto"/>
          <w:kern w:val="0"/>
          <w:szCs w:val="24"/>
          <w:highlight w:val="none"/>
        </w:rPr>
        <w:t>。</w:t>
      </w:r>
    </w:p>
    <w:p w14:paraId="4965C59B">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2.续投资期数：续投资期数即投资者选择后续持有本产品份额且不赎回的固定周期期数。</w:t>
      </w:r>
    </w:p>
    <w:p w14:paraId="26CD1971">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投资者在认购、申购本产品时，可自主选择续投资期数。如投资者选择续投资期数为到期不续投，则固定周期到期后自动赎回；如投资者选择续投资期数大于等于1，则投资者在1个固定周期到期后继续持有本产品至相应固定周期期数满后自动赎回。</w:t>
      </w:r>
    </w:p>
    <w:p w14:paraId="308A1BA9">
      <w:pPr>
        <w:widowControl/>
        <w:tabs>
          <w:tab w:val="left" w:pos="709"/>
        </w:tabs>
        <w:snapToGrid w:val="0"/>
        <w:spacing w:line="360" w:lineRule="auto"/>
        <w:ind w:firstLine="422" w:firstLineChars="200"/>
        <w:rPr>
          <w:rFonts w:hint="eastAsia" w:ascii="仿宋_GB2312" w:hAnsi="宋体" w:cs="宋体"/>
          <w:b/>
          <w:color w:val="auto"/>
          <w:kern w:val="0"/>
          <w:szCs w:val="24"/>
          <w:highlight w:val="none"/>
        </w:rPr>
      </w:pPr>
      <w:r>
        <w:rPr>
          <w:rFonts w:hint="eastAsia" w:ascii="仿宋_GB2312" w:hAnsi="宋体" w:cs="宋体"/>
          <w:b/>
          <w:color w:val="auto"/>
          <w:kern w:val="0"/>
          <w:szCs w:val="24"/>
          <w:highlight w:val="none"/>
        </w:rPr>
        <w:t>投资者持有本产品期间，可调整续投资期数。投资者可于每个固定周期结束日前第</w:t>
      </w:r>
      <w:r>
        <w:rPr>
          <w:rFonts w:hint="eastAsia" w:ascii="仿宋_GB2312" w:hAnsi="宋体" w:cs="宋体"/>
          <w:b/>
          <w:color w:val="auto"/>
          <w:kern w:val="0"/>
          <w:szCs w:val="24"/>
          <w:highlight w:val="yellow"/>
          <w:lang w:eastAsia="zh-CN"/>
        </w:rPr>
        <w:t>【</w:t>
      </w:r>
      <w:r>
        <w:rPr>
          <w:rFonts w:hint="eastAsia" w:ascii="仿宋_GB2312" w:hAnsi="宋体" w:cs="宋体"/>
          <w:b/>
          <w:color w:val="auto"/>
          <w:kern w:val="0"/>
          <w:szCs w:val="24"/>
          <w:highlight w:val="yellow"/>
          <w:lang w:val="en-US" w:eastAsia="zh-CN"/>
        </w:rPr>
        <w:t>5</w:t>
      </w:r>
      <w:r>
        <w:rPr>
          <w:rFonts w:hint="eastAsia" w:ascii="仿宋_GB2312" w:hAnsi="宋体" w:cs="宋体"/>
          <w:b/>
          <w:color w:val="auto"/>
          <w:kern w:val="0"/>
          <w:szCs w:val="24"/>
          <w:highlight w:val="yellow"/>
          <w:lang w:eastAsia="zh-CN"/>
        </w:rPr>
        <w:t>】</w:t>
      </w:r>
      <w:r>
        <w:rPr>
          <w:rFonts w:hint="eastAsia" w:ascii="仿宋_GB2312" w:hAnsi="宋体" w:cs="宋体"/>
          <w:b/>
          <w:color w:val="auto"/>
          <w:kern w:val="0"/>
          <w:szCs w:val="24"/>
          <w:highlight w:val="none"/>
        </w:rPr>
        <w:t>个</w:t>
      </w:r>
      <w:r>
        <w:rPr>
          <w:rFonts w:hint="eastAsia" w:ascii="仿宋_GB2312" w:hAnsi="宋体" w:cs="宋体"/>
          <w:b/>
          <w:color w:val="auto"/>
          <w:kern w:val="0"/>
          <w:szCs w:val="24"/>
          <w:highlight w:val="yellow"/>
          <w:lang w:eastAsia="zh-CN"/>
        </w:rPr>
        <w:t>【工作日/交易日】【15:30】</w:t>
      </w:r>
      <w:r>
        <w:rPr>
          <w:rFonts w:hint="eastAsia" w:ascii="仿宋_GB2312" w:hAnsi="宋体" w:cs="宋体"/>
          <w:b/>
          <w:color w:val="auto"/>
          <w:kern w:val="0"/>
          <w:szCs w:val="24"/>
          <w:highlight w:val="none"/>
        </w:rPr>
        <w:t>之前（不含）发起续投资期数调整。投资者每个</w:t>
      </w:r>
      <w:r>
        <w:rPr>
          <w:rFonts w:hint="eastAsia" w:ascii="仿宋_GB2312" w:hAnsi="宋体" w:cs="宋体"/>
          <w:b/>
          <w:color w:val="auto"/>
          <w:kern w:val="0"/>
          <w:szCs w:val="24"/>
          <w:highlight w:val="yellow"/>
          <w:lang w:eastAsia="zh-CN"/>
        </w:rPr>
        <w:t>【工作日/交易日】【15:30】</w:t>
      </w:r>
      <w:r>
        <w:rPr>
          <w:rFonts w:hint="eastAsia" w:ascii="仿宋_GB2312" w:hAnsi="宋体" w:cs="宋体"/>
          <w:b/>
          <w:color w:val="auto"/>
          <w:kern w:val="0"/>
          <w:szCs w:val="24"/>
          <w:highlight w:val="none"/>
        </w:rPr>
        <w:t>之前（不含）已提交的续投资期数调整申请于当日15:30生效，生效后不可撤销，调整结果将于下一工作日确认；每个</w:t>
      </w:r>
      <w:r>
        <w:rPr>
          <w:rFonts w:hint="eastAsia" w:ascii="仿宋_GB2312" w:hAnsi="宋体" w:cs="宋体"/>
          <w:b/>
          <w:color w:val="auto"/>
          <w:kern w:val="0"/>
          <w:szCs w:val="24"/>
          <w:highlight w:val="yellow"/>
          <w:lang w:eastAsia="zh-CN"/>
        </w:rPr>
        <w:t>【工作日/交易日】【15:30】</w:t>
      </w:r>
      <w:r>
        <w:rPr>
          <w:rFonts w:hint="eastAsia" w:ascii="仿宋_GB2312" w:hAnsi="宋体" w:cs="宋体"/>
          <w:b/>
          <w:color w:val="auto"/>
          <w:kern w:val="0"/>
          <w:szCs w:val="24"/>
          <w:highlight w:val="none"/>
        </w:rPr>
        <w:t>（含）之后发起的续投资期数调整，将于下一个</w:t>
      </w:r>
      <w:r>
        <w:rPr>
          <w:rFonts w:hint="eastAsia" w:ascii="仿宋_GB2312" w:hAnsi="宋体" w:cs="宋体"/>
          <w:b/>
          <w:color w:val="auto"/>
          <w:kern w:val="0"/>
          <w:szCs w:val="24"/>
          <w:highlight w:val="yellow"/>
          <w:lang w:eastAsia="zh-CN"/>
        </w:rPr>
        <w:t>【工作日/交易日】【15:30】</w:t>
      </w:r>
      <w:r>
        <w:rPr>
          <w:rFonts w:hint="eastAsia" w:ascii="仿宋_GB2312" w:hAnsi="宋体" w:cs="宋体"/>
          <w:b/>
          <w:color w:val="auto"/>
          <w:kern w:val="0"/>
          <w:szCs w:val="24"/>
          <w:highlight w:val="none"/>
        </w:rPr>
        <w:t>生效，调整结果将于下</w:t>
      </w:r>
      <w:r>
        <w:rPr>
          <w:rFonts w:hint="eastAsia" w:ascii="仿宋_GB2312" w:hAnsi="宋体" w:cs="宋体"/>
          <w:b/>
          <w:color w:val="auto"/>
          <w:kern w:val="0"/>
          <w:szCs w:val="24"/>
          <w:highlight w:val="yellow"/>
          <w:lang w:eastAsia="zh-CN"/>
        </w:rPr>
        <w:t>【</w:t>
      </w:r>
      <w:r>
        <w:rPr>
          <w:rFonts w:hint="eastAsia" w:ascii="仿宋_GB2312" w:hAnsi="宋体" w:cs="宋体"/>
          <w:b/>
          <w:color w:val="auto"/>
          <w:kern w:val="0"/>
          <w:szCs w:val="24"/>
          <w:highlight w:val="yellow"/>
          <w:lang w:val="en-US" w:eastAsia="zh-CN"/>
        </w:rPr>
        <w:t>2</w:t>
      </w:r>
      <w:r>
        <w:rPr>
          <w:rFonts w:hint="eastAsia" w:ascii="仿宋_GB2312" w:hAnsi="宋体" w:cs="宋体"/>
          <w:b/>
          <w:color w:val="auto"/>
          <w:kern w:val="0"/>
          <w:szCs w:val="24"/>
          <w:highlight w:val="yellow"/>
          <w:lang w:eastAsia="zh-CN"/>
        </w:rPr>
        <w:t>】</w:t>
      </w:r>
      <w:r>
        <w:rPr>
          <w:rFonts w:hint="eastAsia" w:ascii="仿宋_GB2312" w:hAnsi="宋体" w:cs="宋体"/>
          <w:b/>
          <w:color w:val="auto"/>
          <w:kern w:val="0"/>
          <w:szCs w:val="24"/>
          <w:highlight w:val="none"/>
        </w:rPr>
        <w:t>个</w:t>
      </w:r>
      <w:r>
        <w:rPr>
          <w:rFonts w:hint="eastAsia" w:ascii="仿宋_GB2312" w:hAnsi="宋体" w:cs="宋体"/>
          <w:b/>
          <w:color w:val="auto"/>
          <w:kern w:val="0"/>
          <w:szCs w:val="24"/>
          <w:highlight w:val="yellow"/>
          <w:lang w:eastAsia="zh-CN"/>
        </w:rPr>
        <w:t>【工作日/交易日】</w:t>
      </w:r>
      <w:r>
        <w:rPr>
          <w:rFonts w:hint="eastAsia" w:ascii="仿宋_GB2312" w:hAnsi="宋体" w:cs="宋体"/>
          <w:b/>
          <w:color w:val="auto"/>
          <w:kern w:val="0"/>
          <w:szCs w:val="24"/>
          <w:highlight w:val="none"/>
        </w:rPr>
        <w:t>确认。固定周期结束日前第5个</w:t>
      </w:r>
      <w:r>
        <w:rPr>
          <w:rFonts w:hint="eastAsia" w:ascii="仿宋_GB2312" w:hAnsi="宋体" w:cs="宋体"/>
          <w:b/>
          <w:color w:val="auto"/>
          <w:kern w:val="0"/>
          <w:szCs w:val="24"/>
          <w:highlight w:val="yellow"/>
          <w:lang w:eastAsia="zh-CN"/>
        </w:rPr>
        <w:t>【工作日/交易日】【15:30】</w:t>
      </w:r>
      <w:r>
        <w:rPr>
          <w:rFonts w:hint="eastAsia" w:ascii="仿宋_GB2312" w:hAnsi="宋体" w:cs="宋体"/>
          <w:b/>
          <w:color w:val="auto"/>
          <w:kern w:val="0"/>
          <w:szCs w:val="24"/>
          <w:highlight w:val="none"/>
        </w:rPr>
        <w:t>（含）之后不可发起续投资期数调整。</w:t>
      </w:r>
      <w:r>
        <w:rPr>
          <w:rFonts w:ascii="仿宋_GB2312" w:hAnsi="宋体" w:cs="宋体"/>
          <w:b/>
          <w:color w:val="auto"/>
          <w:kern w:val="0"/>
          <w:szCs w:val="24"/>
          <w:highlight w:val="none"/>
        </w:rPr>
        <w:t>如投资者持有本产品涉及多个投资周期的，须分别调整续投资期数。</w:t>
      </w:r>
    </w:p>
    <w:p w14:paraId="48973C95">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3.投资周期：投资者的单笔认购或申购确认份额后，至最后一个固定周期结束日为该笔投资的投资周期。</w:t>
      </w:r>
    </w:p>
    <w:p w14:paraId="44890885">
      <w:pPr>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4.投资周期起始日/结束日</w:t>
      </w:r>
      <w:r>
        <w:rPr>
          <w:rFonts w:hint="eastAsia" w:ascii="仿宋_GB2312" w:hAnsi="宋体"/>
          <w:color w:val="auto"/>
          <w:kern w:val="0"/>
          <w:szCs w:val="24"/>
          <w:highlight w:val="none"/>
        </w:rPr>
        <w:t>：</w:t>
      </w:r>
      <w:r>
        <w:rPr>
          <w:rFonts w:hint="eastAsia" w:ascii="仿宋_GB2312" w:hAnsi="宋体"/>
          <w:b/>
          <w:bCs/>
          <w:color w:val="auto"/>
          <w:kern w:val="0"/>
          <w:szCs w:val="24"/>
          <w:highlight w:val="none"/>
        </w:rPr>
        <w:t>产品成立日</w:t>
      </w:r>
      <w:r>
        <w:rPr>
          <w:rFonts w:ascii="仿宋_GB2312" w:hAnsi="宋体"/>
          <w:b/>
          <w:bCs/>
          <w:color w:val="auto"/>
          <w:kern w:val="0"/>
          <w:szCs w:val="24"/>
          <w:highlight w:val="none"/>
        </w:rPr>
        <w:t>/申购确认日即投资周期起始日</w:t>
      </w:r>
      <w:r>
        <w:rPr>
          <w:rFonts w:hint="eastAsia" w:ascii="仿宋_GB2312" w:hAnsi="宋体"/>
          <w:color w:val="auto"/>
          <w:kern w:val="0"/>
          <w:szCs w:val="24"/>
          <w:highlight w:val="none"/>
        </w:rPr>
        <w:t>。如投资者选择续投资期数为到期不续投，则固定周期结束日即投资周期结束日；如投资者选择续投资期数大于等于1，则最后一个固定周期结束日即为投资周期结束日。</w:t>
      </w:r>
    </w:p>
    <w:p w14:paraId="39CE3F5C">
      <w:pPr>
        <w:pStyle w:val="3"/>
        <w:numPr>
          <w:ilvl w:val="1"/>
          <w:numId w:val="10"/>
        </w:numPr>
        <w:adjustRightInd w:val="0"/>
        <w:snapToGrid w:val="0"/>
        <w:ind w:firstLine="480"/>
        <w:rPr>
          <w:rFonts w:hint="eastAsia" w:ascii="仿宋_GB2312" w:hAnsi="宋体" w:cs="宋体"/>
          <w:bCs/>
          <w:color w:val="auto"/>
          <w:kern w:val="0"/>
          <w:szCs w:val="24"/>
          <w:highlight w:val="none"/>
        </w:rPr>
      </w:pPr>
      <w:r>
        <w:rPr>
          <w:rFonts w:hint="eastAsia" w:ascii="楷体_GB2312" w:hAnsi="宋体" w:eastAsia="楷体_GB2312" w:cs="宋体"/>
          <w:bCs/>
          <w:color w:val="auto"/>
          <w:kern w:val="0"/>
          <w:szCs w:val="24"/>
          <w:highlight w:val="none"/>
        </w:rPr>
        <w:t>理财产品赎回</w:t>
      </w:r>
      <w:r>
        <w:rPr>
          <w:rFonts w:ascii="仿宋_GB2312" w:hAnsi="宋体" w:cs="宋体"/>
          <w:bCs/>
          <w:color w:val="auto"/>
          <w:kern w:val="0"/>
          <w:szCs w:val="24"/>
          <w:highlight w:val="none"/>
        </w:rPr>
        <w:t xml:space="preserve"> </w:t>
      </w:r>
    </w:p>
    <w:p w14:paraId="2DDDF6D6">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1.自动赎回</w:t>
      </w:r>
    </w:p>
    <w:p w14:paraId="70208105">
      <w:pPr>
        <w:widowControl/>
        <w:tabs>
          <w:tab w:val="left" w:pos="709"/>
        </w:tabs>
        <w:snapToGrid w:val="0"/>
        <w:spacing w:line="360" w:lineRule="auto"/>
        <w:ind w:firstLine="422" w:firstLineChars="200"/>
        <w:rPr>
          <w:rFonts w:hint="eastAsia" w:ascii="仿宋_GB2312" w:hAnsi="宋体" w:cs="宋体"/>
          <w:b/>
          <w:color w:val="auto"/>
          <w:kern w:val="0"/>
          <w:szCs w:val="24"/>
          <w:highlight w:val="none"/>
        </w:rPr>
      </w:pPr>
      <w:r>
        <w:rPr>
          <w:rFonts w:hint="eastAsia" w:ascii="仿宋_GB2312" w:hAnsi="宋体" w:cs="宋体"/>
          <w:b/>
          <w:color w:val="auto"/>
          <w:kern w:val="0"/>
          <w:szCs w:val="24"/>
          <w:highlight w:val="none"/>
        </w:rPr>
        <w:t>投资者持有的产品份额将于投资周期结束日的下一</w:t>
      </w:r>
      <w:r>
        <w:rPr>
          <w:rFonts w:hint="eastAsia" w:ascii="仿宋_GB2312" w:hAnsi="宋体" w:cs="宋体"/>
          <w:b/>
          <w:color w:val="auto"/>
          <w:kern w:val="0"/>
          <w:szCs w:val="24"/>
          <w:highlight w:val="yellow"/>
          <w:lang w:eastAsia="zh-CN"/>
        </w:rPr>
        <w:t>【工作日/交易日】</w:t>
      </w:r>
      <w:r>
        <w:rPr>
          <w:rFonts w:hint="eastAsia" w:ascii="仿宋_GB2312" w:hAnsi="宋体" w:cs="宋体"/>
          <w:b/>
          <w:color w:val="auto"/>
          <w:kern w:val="0"/>
          <w:szCs w:val="24"/>
          <w:highlight w:val="none"/>
        </w:rPr>
        <w:t>（即自动赎回日）自动赎回。</w:t>
      </w:r>
    </w:p>
    <w:p w14:paraId="10972CE1">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2.自动赎回净值</w:t>
      </w:r>
    </w:p>
    <w:p w14:paraId="50179FC7">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lang w:eastAsia="zh-CN"/>
        </w:rPr>
      </w:pPr>
      <w:r>
        <w:rPr>
          <w:rFonts w:hint="eastAsia" w:ascii="仿宋_GB2312" w:hAnsi="宋体"/>
          <w:color w:val="auto"/>
          <w:kern w:val="0"/>
          <w:szCs w:val="24"/>
          <w:highlight w:val="yellow"/>
          <w:lang w:eastAsia="zh-CN"/>
        </w:rPr>
        <w:t>【</w:t>
      </w:r>
      <w:r>
        <w:rPr>
          <w:rFonts w:hint="eastAsia" w:ascii="仿宋_GB2312" w:hAnsi="宋体"/>
          <w:color w:val="auto"/>
          <w:kern w:val="0"/>
          <w:szCs w:val="24"/>
          <w:highlight w:val="yellow"/>
        </w:rPr>
        <w:t>自动赎回净值为产品份额自动赎回前一工作日/交易日</w:t>
      </w:r>
      <w:r>
        <w:rPr>
          <w:rFonts w:hint="eastAsia" w:ascii="仿宋_GB2312" w:hAnsi="宋体"/>
          <w:color w:val="auto"/>
          <w:kern w:val="0"/>
          <w:szCs w:val="24"/>
          <w:highlight w:val="yellow"/>
          <w:lang w:val="en-US" w:eastAsia="zh-CN"/>
        </w:rPr>
        <w:t>/</w:t>
      </w:r>
      <w:r>
        <w:rPr>
          <w:rFonts w:hint="eastAsia" w:ascii="仿宋_GB2312" w:hAnsi="宋体"/>
          <w:color w:val="auto"/>
          <w:kern w:val="0"/>
          <w:szCs w:val="24"/>
          <w:highlight w:val="yellow"/>
        </w:rPr>
        <w:t>自然日份额净值经调整</w:t>
      </w:r>
      <w:r>
        <w:rPr>
          <w:rFonts w:hint="eastAsia" w:ascii="仿宋_GB2312" w:hAnsi="宋体"/>
          <w:color w:val="auto"/>
          <w:kern w:val="0"/>
          <w:szCs w:val="24"/>
          <w:highlight w:val="yellow"/>
          <w:lang w:eastAsia="zh-CN"/>
        </w:rPr>
        <w:t>浮动管理费</w:t>
      </w:r>
      <w:r>
        <w:rPr>
          <w:rFonts w:hint="eastAsia" w:ascii="仿宋_GB2312" w:hAnsi="宋体"/>
          <w:color w:val="auto"/>
          <w:kern w:val="0"/>
          <w:szCs w:val="24"/>
          <w:highlight w:val="yellow"/>
        </w:rPr>
        <w:t>后的份额净值。</w:t>
      </w:r>
      <w:r>
        <w:rPr>
          <w:rFonts w:hint="eastAsia" w:ascii="仿宋_GB2312" w:hAnsi="宋体"/>
          <w:color w:val="auto"/>
          <w:kern w:val="0"/>
          <w:szCs w:val="24"/>
          <w:highlight w:val="yellow"/>
          <w:lang w:eastAsia="zh-CN"/>
        </w:rPr>
        <w:t>】</w:t>
      </w:r>
    </w:p>
    <w:p w14:paraId="4A12331E">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3.自动赎回规则示例</w:t>
      </w:r>
      <w:r>
        <w:rPr>
          <w:rFonts w:hint="eastAsia" w:ascii="仿宋_GB2312" w:hAnsi="宋体"/>
          <w:color w:val="auto"/>
          <w:kern w:val="0"/>
          <w:szCs w:val="24"/>
          <w:highlight w:val="none"/>
        </w:rPr>
        <w:t>（周六、周日为法定假日，其余为工作日，不考虑节假日调休情况）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0"/>
        <w:gridCol w:w="2268"/>
      </w:tblGrid>
      <w:tr w14:paraId="50EC3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2180" w:type="dxa"/>
            <w:vAlign w:val="center"/>
          </w:tcPr>
          <w:p w14:paraId="68F902BF">
            <w:pPr>
              <w:widowControl/>
              <w:tabs>
                <w:tab w:val="left" w:pos="709"/>
              </w:tabs>
              <w:snapToGrid w:val="0"/>
              <w:jc w:val="center"/>
              <w:rPr>
                <w:rFonts w:hint="eastAsia" w:ascii="仿宋_GB2312" w:hAnsi="宋体"/>
                <w:color w:val="auto"/>
                <w:kern w:val="0"/>
                <w:szCs w:val="24"/>
                <w:highlight w:val="none"/>
              </w:rPr>
            </w:pPr>
            <w:r>
              <w:rPr>
                <w:rFonts w:hint="eastAsia" w:ascii="仿宋_GB2312" w:hAnsi="宋体"/>
                <w:color w:val="auto"/>
                <w:kern w:val="0"/>
                <w:szCs w:val="24"/>
                <w:highlight w:val="none"/>
              </w:rPr>
              <w:t>投资周期结束日</w:t>
            </w:r>
          </w:p>
        </w:tc>
        <w:tc>
          <w:tcPr>
            <w:tcW w:w="2268" w:type="dxa"/>
            <w:vAlign w:val="center"/>
          </w:tcPr>
          <w:p w14:paraId="53FFE824">
            <w:pPr>
              <w:widowControl/>
              <w:tabs>
                <w:tab w:val="left" w:pos="709"/>
              </w:tabs>
              <w:snapToGrid w:val="0"/>
              <w:jc w:val="center"/>
              <w:rPr>
                <w:rFonts w:hint="eastAsia" w:ascii="仿宋_GB2312" w:hAnsi="宋体"/>
                <w:color w:val="auto"/>
                <w:kern w:val="0"/>
                <w:szCs w:val="24"/>
                <w:highlight w:val="none"/>
              </w:rPr>
            </w:pPr>
            <w:r>
              <w:rPr>
                <w:rFonts w:hint="eastAsia" w:ascii="仿宋_GB2312" w:hAnsi="宋体"/>
                <w:color w:val="auto"/>
                <w:kern w:val="0"/>
                <w:szCs w:val="24"/>
                <w:highlight w:val="none"/>
              </w:rPr>
              <w:t>自动赎回日</w:t>
            </w:r>
          </w:p>
        </w:tc>
      </w:tr>
      <w:tr w14:paraId="00C68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0" w:type="dxa"/>
            <w:vAlign w:val="center"/>
          </w:tcPr>
          <w:p w14:paraId="2CC7063E">
            <w:pPr>
              <w:widowControl/>
              <w:tabs>
                <w:tab w:val="left" w:pos="709"/>
              </w:tabs>
              <w:snapToGrid w:val="0"/>
              <w:jc w:val="center"/>
              <w:rPr>
                <w:rFonts w:hint="eastAsia" w:ascii="仿宋_GB2312" w:hAnsi="宋体"/>
                <w:color w:val="auto"/>
                <w:kern w:val="0"/>
                <w:szCs w:val="24"/>
                <w:highlight w:val="none"/>
              </w:rPr>
            </w:pPr>
            <w:r>
              <w:rPr>
                <w:rFonts w:hint="eastAsia" w:ascii="仿宋_GB2312" w:hAnsi="宋体"/>
                <w:color w:val="auto"/>
                <w:kern w:val="0"/>
                <w:szCs w:val="24"/>
                <w:highlight w:val="none"/>
              </w:rPr>
              <w:t>周一</w:t>
            </w:r>
          </w:p>
        </w:tc>
        <w:tc>
          <w:tcPr>
            <w:tcW w:w="2268" w:type="dxa"/>
            <w:vAlign w:val="center"/>
          </w:tcPr>
          <w:p w14:paraId="3E9B039B">
            <w:pPr>
              <w:widowControl/>
              <w:tabs>
                <w:tab w:val="left" w:pos="709"/>
              </w:tabs>
              <w:snapToGrid w:val="0"/>
              <w:jc w:val="center"/>
              <w:rPr>
                <w:rFonts w:hint="eastAsia" w:ascii="仿宋_GB2312" w:hAnsi="宋体"/>
                <w:color w:val="auto"/>
                <w:kern w:val="0"/>
                <w:szCs w:val="24"/>
                <w:highlight w:val="none"/>
              </w:rPr>
            </w:pPr>
            <w:r>
              <w:rPr>
                <w:rFonts w:hint="eastAsia" w:ascii="仿宋_GB2312" w:hAnsi="宋体"/>
                <w:color w:val="auto"/>
                <w:kern w:val="0"/>
                <w:szCs w:val="24"/>
                <w:highlight w:val="none"/>
              </w:rPr>
              <w:t>周二</w:t>
            </w:r>
            <w:r>
              <w:rPr>
                <w:rFonts w:ascii="仿宋_GB2312" w:hAnsi="宋体"/>
                <w:color w:val="auto"/>
                <w:kern w:val="0"/>
                <w:szCs w:val="24"/>
                <w:highlight w:val="none"/>
              </w:rPr>
              <w:t xml:space="preserve"> </w:t>
            </w:r>
          </w:p>
        </w:tc>
      </w:tr>
      <w:tr w14:paraId="47015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0" w:type="dxa"/>
            <w:vAlign w:val="center"/>
          </w:tcPr>
          <w:p w14:paraId="0CFA40BC">
            <w:pPr>
              <w:widowControl/>
              <w:tabs>
                <w:tab w:val="left" w:pos="709"/>
              </w:tabs>
              <w:snapToGrid w:val="0"/>
              <w:jc w:val="center"/>
              <w:rPr>
                <w:rFonts w:hint="eastAsia" w:ascii="仿宋_GB2312" w:hAnsi="宋体"/>
                <w:color w:val="auto"/>
                <w:kern w:val="0"/>
                <w:szCs w:val="24"/>
                <w:highlight w:val="none"/>
              </w:rPr>
            </w:pPr>
            <w:r>
              <w:rPr>
                <w:rFonts w:hint="eastAsia" w:ascii="仿宋_GB2312" w:hAnsi="宋体"/>
                <w:color w:val="auto"/>
                <w:kern w:val="0"/>
                <w:szCs w:val="24"/>
                <w:highlight w:val="none"/>
              </w:rPr>
              <w:t>周二</w:t>
            </w:r>
          </w:p>
        </w:tc>
        <w:tc>
          <w:tcPr>
            <w:tcW w:w="2268" w:type="dxa"/>
            <w:vAlign w:val="center"/>
          </w:tcPr>
          <w:p w14:paraId="5FBF4046">
            <w:pPr>
              <w:widowControl/>
              <w:tabs>
                <w:tab w:val="left" w:pos="709"/>
              </w:tabs>
              <w:snapToGrid w:val="0"/>
              <w:jc w:val="center"/>
              <w:rPr>
                <w:rFonts w:hint="eastAsia" w:ascii="仿宋_GB2312" w:hAnsi="宋体"/>
                <w:color w:val="auto"/>
                <w:kern w:val="0"/>
                <w:szCs w:val="24"/>
                <w:highlight w:val="none"/>
              </w:rPr>
            </w:pPr>
            <w:r>
              <w:rPr>
                <w:rFonts w:hint="eastAsia" w:ascii="仿宋_GB2312" w:hAnsi="宋体"/>
                <w:color w:val="auto"/>
                <w:kern w:val="0"/>
                <w:szCs w:val="24"/>
                <w:highlight w:val="none"/>
              </w:rPr>
              <w:t>周三</w:t>
            </w:r>
          </w:p>
        </w:tc>
      </w:tr>
      <w:tr w14:paraId="17206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0" w:type="dxa"/>
            <w:vAlign w:val="center"/>
          </w:tcPr>
          <w:p w14:paraId="34166612">
            <w:pPr>
              <w:widowControl/>
              <w:tabs>
                <w:tab w:val="left" w:pos="709"/>
              </w:tabs>
              <w:snapToGrid w:val="0"/>
              <w:jc w:val="center"/>
              <w:rPr>
                <w:rFonts w:hint="eastAsia" w:ascii="仿宋_GB2312" w:hAnsi="宋体"/>
                <w:color w:val="auto"/>
                <w:kern w:val="0"/>
                <w:szCs w:val="24"/>
                <w:highlight w:val="none"/>
              </w:rPr>
            </w:pPr>
            <w:r>
              <w:rPr>
                <w:rFonts w:ascii="仿宋_GB2312" w:hAnsi="宋体"/>
                <w:color w:val="auto"/>
                <w:kern w:val="0"/>
                <w:szCs w:val="24"/>
                <w:highlight w:val="none"/>
              </w:rPr>
              <w:t>周三</w:t>
            </w:r>
          </w:p>
        </w:tc>
        <w:tc>
          <w:tcPr>
            <w:tcW w:w="2268" w:type="dxa"/>
            <w:vAlign w:val="center"/>
          </w:tcPr>
          <w:p w14:paraId="79ECA274">
            <w:pPr>
              <w:widowControl/>
              <w:tabs>
                <w:tab w:val="left" w:pos="709"/>
              </w:tabs>
              <w:snapToGrid w:val="0"/>
              <w:jc w:val="center"/>
              <w:rPr>
                <w:rFonts w:hint="eastAsia" w:ascii="仿宋_GB2312" w:hAnsi="宋体"/>
                <w:color w:val="auto"/>
                <w:kern w:val="0"/>
                <w:szCs w:val="24"/>
                <w:highlight w:val="none"/>
              </w:rPr>
            </w:pPr>
            <w:r>
              <w:rPr>
                <w:rFonts w:hint="eastAsia" w:ascii="仿宋_GB2312" w:hAnsi="宋体"/>
                <w:color w:val="auto"/>
                <w:kern w:val="0"/>
                <w:szCs w:val="24"/>
                <w:highlight w:val="none"/>
              </w:rPr>
              <w:t>周四</w:t>
            </w:r>
          </w:p>
        </w:tc>
      </w:tr>
      <w:tr w14:paraId="4541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0" w:type="dxa"/>
            <w:vAlign w:val="center"/>
          </w:tcPr>
          <w:p w14:paraId="27CB9B0E">
            <w:pPr>
              <w:widowControl/>
              <w:tabs>
                <w:tab w:val="left" w:pos="709"/>
              </w:tabs>
              <w:snapToGrid w:val="0"/>
              <w:jc w:val="center"/>
              <w:rPr>
                <w:rFonts w:hint="eastAsia" w:ascii="仿宋_GB2312" w:hAnsi="宋体"/>
                <w:color w:val="auto"/>
                <w:kern w:val="0"/>
                <w:szCs w:val="24"/>
                <w:highlight w:val="none"/>
              </w:rPr>
            </w:pPr>
            <w:r>
              <w:rPr>
                <w:rFonts w:hint="eastAsia" w:ascii="仿宋_GB2312" w:hAnsi="宋体"/>
                <w:color w:val="auto"/>
                <w:kern w:val="0"/>
                <w:szCs w:val="24"/>
                <w:highlight w:val="none"/>
              </w:rPr>
              <w:t>周四</w:t>
            </w:r>
          </w:p>
        </w:tc>
        <w:tc>
          <w:tcPr>
            <w:tcW w:w="2268" w:type="dxa"/>
            <w:vAlign w:val="center"/>
          </w:tcPr>
          <w:p w14:paraId="67265488">
            <w:pPr>
              <w:widowControl/>
              <w:tabs>
                <w:tab w:val="left" w:pos="709"/>
              </w:tabs>
              <w:snapToGrid w:val="0"/>
              <w:jc w:val="center"/>
              <w:rPr>
                <w:rFonts w:hint="eastAsia" w:ascii="仿宋_GB2312" w:hAnsi="宋体"/>
                <w:color w:val="auto"/>
                <w:kern w:val="0"/>
                <w:szCs w:val="24"/>
                <w:highlight w:val="none"/>
              </w:rPr>
            </w:pPr>
            <w:r>
              <w:rPr>
                <w:rFonts w:hint="eastAsia" w:ascii="仿宋_GB2312" w:hAnsi="宋体"/>
                <w:color w:val="auto"/>
                <w:kern w:val="0"/>
                <w:szCs w:val="24"/>
                <w:highlight w:val="none"/>
              </w:rPr>
              <w:t>周五</w:t>
            </w:r>
          </w:p>
        </w:tc>
      </w:tr>
      <w:tr w14:paraId="0C025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0" w:type="dxa"/>
            <w:vAlign w:val="center"/>
          </w:tcPr>
          <w:p w14:paraId="30A77A89">
            <w:pPr>
              <w:widowControl/>
              <w:tabs>
                <w:tab w:val="left" w:pos="709"/>
              </w:tabs>
              <w:snapToGrid w:val="0"/>
              <w:jc w:val="center"/>
              <w:rPr>
                <w:rFonts w:hint="eastAsia" w:ascii="仿宋_GB2312" w:hAnsi="宋体"/>
                <w:color w:val="auto"/>
                <w:kern w:val="0"/>
                <w:szCs w:val="24"/>
                <w:highlight w:val="none"/>
              </w:rPr>
            </w:pPr>
            <w:r>
              <w:rPr>
                <w:rFonts w:ascii="仿宋_GB2312" w:hAnsi="宋体"/>
                <w:color w:val="auto"/>
                <w:kern w:val="0"/>
                <w:szCs w:val="24"/>
                <w:highlight w:val="none"/>
              </w:rPr>
              <w:t>周五</w:t>
            </w:r>
          </w:p>
        </w:tc>
        <w:tc>
          <w:tcPr>
            <w:tcW w:w="2268" w:type="dxa"/>
            <w:vAlign w:val="center"/>
          </w:tcPr>
          <w:p w14:paraId="3E0D9FDF">
            <w:pPr>
              <w:widowControl/>
              <w:tabs>
                <w:tab w:val="left" w:pos="709"/>
              </w:tabs>
              <w:snapToGrid w:val="0"/>
              <w:jc w:val="center"/>
              <w:rPr>
                <w:rFonts w:hint="eastAsia" w:ascii="仿宋_GB2312" w:hAnsi="宋体"/>
                <w:color w:val="auto"/>
                <w:kern w:val="0"/>
                <w:szCs w:val="24"/>
                <w:highlight w:val="none"/>
              </w:rPr>
            </w:pPr>
            <w:r>
              <w:rPr>
                <w:rFonts w:hint="eastAsia" w:ascii="仿宋_GB2312" w:hAnsi="宋体"/>
                <w:color w:val="auto"/>
                <w:kern w:val="0"/>
                <w:szCs w:val="24"/>
                <w:highlight w:val="none"/>
              </w:rPr>
              <w:t>下周一</w:t>
            </w:r>
          </w:p>
        </w:tc>
      </w:tr>
      <w:tr w14:paraId="60A26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0" w:type="dxa"/>
            <w:vAlign w:val="center"/>
          </w:tcPr>
          <w:p w14:paraId="5A598DDE">
            <w:pPr>
              <w:widowControl/>
              <w:tabs>
                <w:tab w:val="left" w:pos="709"/>
              </w:tabs>
              <w:snapToGrid w:val="0"/>
              <w:jc w:val="center"/>
              <w:rPr>
                <w:rFonts w:hint="eastAsia" w:ascii="仿宋_GB2312" w:hAnsi="宋体"/>
                <w:color w:val="auto"/>
                <w:kern w:val="0"/>
                <w:szCs w:val="24"/>
                <w:highlight w:val="none"/>
              </w:rPr>
            </w:pPr>
            <w:r>
              <w:rPr>
                <w:rFonts w:hint="eastAsia" w:ascii="仿宋_GB2312" w:hAnsi="宋体"/>
                <w:color w:val="auto"/>
                <w:kern w:val="0"/>
                <w:szCs w:val="24"/>
                <w:highlight w:val="none"/>
              </w:rPr>
              <w:t>周六</w:t>
            </w:r>
          </w:p>
        </w:tc>
        <w:tc>
          <w:tcPr>
            <w:tcW w:w="2268" w:type="dxa"/>
            <w:vAlign w:val="center"/>
          </w:tcPr>
          <w:p w14:paraId="5BEC15A8">
            <w:pPr>
              <w:widowControl/>
              <w:tabs>
                <w:tab w:val="left" w:pos="709"/>
              </w:tabs>
              <w:snapToGrid w:val="0"/>
              <w:jc w:val="center"/>
              <w:rPr>
                <w:rFonts w:hint="eastAsia" w:ascii="仿宋_GB2312" w:hAnsi="宋体"/>
                <w:color w:val="auto"/>
                <w:kern w:val="0"/>
                <w:szCs w:val="24"/>
                <w:highlight w:val="none"/>
              </w:rPr>
            </w:pPr>
            <w:r>
              <w:rPr>
                <w:rFonts w:hint="eastAsia" w:ascii="仿宋_GB2312" w:hAnsi="宋体"/>
                <w:color w:val="auto"/>
                <w:kern w:val="0"/>
                <w:szCs w:val="24"/>
                <w:highlight w:val="none"/>
              </w:rPr>
              <w:t>下周一</w:t>
            </w:r>
          </w:p>
        </w:tc>
      </w:tr>
      <w:tr w14:paraId="242D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80" w:type="dxa"/>
            <w:vAlign w:val="center"/>
          </w:tcPr>
          <w:p w14:paraId="43091C37">
            <w:pPr>
              <w:widowControl/>
              <w:tabs>
                <w:tab w:val="left" w:pos="709"/>
              </w:tabs>
              <w:snapToGrid w:val="0"/>
              <w:jc w:val="center"/>
              <w:rPr>
                <w:rFonts w:hint="eastAsia" w:ascii="仿宋_GB2312" w:hAnsi="宋体"/>
                <w:color w:val="auto"/>
                <w:kern w:val="0"/>
                <w:szCs w:val="24"/>
                <w:highlight w:val="none"/>
              </w:rPr>
            </w:pPr>
            <w:r>
              <w:rPr>
                <w:rFonts w:hint="eastAsia" w:ascii="仿宋_GB2312" w:hAnsi="宋体"/>
                <w:color w:val="auto"/>
                <w:kern w:val="0"/>
                <w:szCs w:val="24"/>
                <w:highlight w:val="none"/>
              </w:rPr>
              <w:t>周日</w:t>
            </w:r>
          </w:p>
        </w:tc>
        <w:tc>
          <w:tcPr>
            <w:tcW w:w="2268" w:type="dxa"/>
            <w:vAlign w:val="center"/>
          </w:tcPr>
          <w:p w14:paraId="4113A32B">
            <w:pPr>
              <w:widowControl/>
              <w:tabs>
                <w:tab w:val="left" w:pos="709"/>
              </w:tabs>
              <w:snapToGrid w:val="0"/>
              <w:jc w:val="center"/>
              <w:rPr>
                <w:rFonts w:hint="eastAsia" w:ascii="仿宋_GB2312" w:hAnsi="宋体"/>
                <w:color w:val="auto"/>
                <w:kern w:val="0"/>
                <w:szCs w:val="24"/>
                <w:highlight w:val="none"/>
              </w:rPr>
            </w:pPr>
            <w:r>
              <w:rPr>
                <w:rFonts w:hint="eastAsia" w:ascii="仿宋_GB2312" w:hAnsi="宋体"/>
                <w:color w:val="auto"/>
                <w:kern w:val="0"/>
                <w:szCs w:val="24"/>
                <w:highlight w:val="none"/>
              </w:rPr>
              <w:t>下周一</w:t>
            </w:r>
          </w:p>
        </w:tc>
      </w:tr>
    </w:tbl>
    <w:p w14:paraId="7E578118">
      <w:pPr>
        <w:widowControl/>
        <w:tabs>
          <w:tab w:val="left" w:pos="709"/>
        </w:tabs>
        <w:snapToGrid w:val="0"/>
        <w:spacing w:line="360" w:lineRule="auto"/>
        <w:ind w:firstLine="315" w:firstLineChars="150"/>
        <w:rPr>
          <w:rFonts w:hint="eastAsia" w:ascii="楷体_GB2312" w:hAnsi="宋体" w:eastAsia="楷体_GB2312" w:cs="宋体"/>
          <w:bCs/>
          <w:color w:val="auto"/>
          <w:kern w:val="0"/>
          <w:szCs w:val="24"/>
          <w:highlight w:val="none"/>
        </w:rPr>
      </w:pPr>
      <w:r>
        <w:rPr>
          <w:rFonts w:hint="eastAsia" w:ascii="楷体_GB2312" w:hAnsi="宋体" w:eastAsia="楷体_GB2312" w:cs="宋体"/>
          <w:bCs/>
          <w:color w:val="auto"/>
          <w:kern w:val="0"/>
          <w:szCs w:val="24"/>
          <w:highlight w:val="none"/>
        </w:rPr>
        <w:t>（五）理财资金兑付</w:t>
      </w:r>
    </w:p>
    <w:p w14:paraId="63E8F9A8">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1.自动赎回兑付</w:t>
      </w:r>
    </w:p>
    <w:p w14:paraId="53A40C25">
      <w:pPr>
        <w:widowControl/>
        <w:tabs>
          <w:tab w:val="left" w:pos="709"/>
        </w:tabs>
        <w:snapToGrid w:val="0"/>
        <w:spacing w:line="360" w:lineRule="auto"/>
        <w:ind w:firstLine="422" w:firstLineChars="200"/>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浙银理财将于本产品自动赎回日后的</w:t>
      </w:r>
      <w:r>
        <w:rPr>
          <w:rFonts w:ascii="仿宋_GB2312" w:hAnsi="宋体" w:cs="宋体"/>
          <w:b/>
          <w:bCs/>
          <w:color w:val="auto"/>
          <w:kern w:val="0"/>
          <w:szCs w:val="24"/>
          <w:highlight w:val="none"/>
        </w:rPr>
        <w:t>5个工作日（含）内</w:t>
      </w:r>
      <w:r>
        <w:rPr>
          <w:rFonts w:hint="eastAsia" w:ascii="仿宋_GB2312" w:hAnsi="宋体" w:cs="宋体"/>
          <w:b/>
          <w:bCs/>
          <w:color w:val="auto"/>
          <w:kern w:val="0"/>
          <w:szCs w:val="24"/>
          <w:highlight w:val="none"/>
        </w:rPr>
        <w:t>通过销售机构</w:t>
      </w:r>
      <w:r>
        <w:rPr>
          <w:rFonts w:ascii="仿宋_GB2312" w:hAnsi="宋体" w:cs="宋体"/>
          <w:b/>
          <w:bCs/>
          <w:color w:val="auto"/>
          <w:kern w:val="0"/>
          <w:szCs w:val="24"/>
          <w:highlight w:val="none"/>
        </w:rPr>
        <w:t>将</w:t>
      </w:r>
      <w:r>
        <w:rPr>
          <w:rFonts w:hint="eastAsia" w:ascii="仿宋_GB2312" w:hAnsi="宋体" w:cs="宋体"/>
          <w:b/>
          <w:bCs/>
          <w:color w:val="auto"/>
          <w:kern w:val="0"/>
          <w:szCs w:val="24"/>
          <w:highlight w:val="none"/>
        </w:rPr>
        <w:t>自动赎回的理财资金划至投资者指定账户，资金到账日即投资兑付日。</w:t>
      </w:r>
      <w:r>
        <w:rPr>
          <w:rFonts w:hint="eastAsia" w:ascii="仿宋_GB2312" w:hAnsi="宋体" w:cs="宋体"/>
          <w:bCs/>
          <w:color w:val="auto"/>
          <w:kern w:val="0"/>
          <w:szCs w:val="24"/>
          <w:highlight w:val="none"/>
        </w:rPr>
        <w:t>如因清算需要，无法在5</w:t>
      </w:r>
      <w:r>
        <w:rPr>
          <w:rFonts w:ascii="仿宋_GB2312" w:hAnsi="宋体" w:cs="宋体"/>
          <w:bCs/>
          <w:color w:val="auto"/>
          <w:kern w:val="0"/>
          <w:szCs w:val="24"/>
          <w:highlight w:val="none"/>
        </w:rPr>
        <w:t>个工作日（含）内</w:t>
      </w:r>
      <w:r>
        <w:rPr>
          <w:rFonts w:hint="eastAsia" w:ascii="仿宋_GB2312" w:hAnsi="宋体" w:cs="宋体"/>
          <w:b/>
          <w:bCs/>
          <w:color w:val="auto"/>
          <w:kern w:val="0"/>
          <w:szCs w:val="24"/>
          <w:highlight w:val="none"/>
        </w:rPr>
        <w:t>通过销售机构</w:t>
      </w:r>
      <w:r>
        <w:rPr>
          <w:rFonts w:ascii="仿宋_GB2312" w:hAnsi="宋体" w:cs="宋体"/>
          <w:bCs/>
          <w:color w:val="auto"/>
          <w:kern w:val="0"/>
          <w:szCs w:val="24"/>
          <w:highlight w:val="none"/>
        </w:rPr>
        <w:t>向投资者完成兑付的，</w:t>
      </w:r>
      <w:r>
        <w:rPr>
          <w:rFonts w:hint="eastAsia" w:ascii="仿宋_GB2312" w:hAnsi="宋体" w:cs="宋体"/>
          <w:bCs/>
          <w:color w:val="auto"/>
          <w:kern w:val="0"/>
          <w:szCs w:val="24"/>
          <w:highlight w:val="none"/>
        </w:rPr>
        <w:t>浙银理财有权延后投资兑付日并于自动赎回日前公告投资者实际兑付日期。</w:t>
      </w:r>
      <w:r>
        <w:rPr>
          <w:rFonts w:hint="eastAsia" w:ascii="仿宋_GB2312" w:hAnsi="宋体" w:cs="宋体"/>
          <w:b/>
          <w:bCs/>
          <w:color w:val="auto"/>
          <w:kern w:val="0"/>
          <w:szCs w:val="24"/>
          <w:highlight w:val="none"/>
          <w:lang w:eastAsia="zh-CN"/>
        </w:rPr>
        <w:t>自动赎回日至投资兑付日理财兑付资金不计利息。</w:t>
      </w:r>
    </w:p>
    <w:p w14:paraId="0824DC25">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兑付金额计算：</w:t>
      </w:r>
    </w:p>
    <w:p w14:paraId="6ED07811">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rPr>
      </w:pP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yellow"/>
        </w:rPr>
        <w:t>兑付金额</w:t>
      </w:r>
      <w:r>
        <w:rPr>
          <w:rFonts w:ascii="仿宋_GB2312" w:hAnsi="宋体" w:cs="宋体"/>
          <w:bCs/>
          <w:color w:val="auto"/>
          <w:kern w:val="0"/>
          <w:szCs w:val="24"/>
          <w:highlight w:val="yellow"/>
        </w:rPr>
        <w:t>=</w:t>
      </w:r>
      <w:r>
        <w:rPr>
          <w:rFonts w:hint="eastAsia" w:ascii="仿宋_GB2312" w:hAnsi="宋体" w:cs="宋体"/>
          <w:bCs/>
          <w:color w:val="auto"/>
          <w:kern w:val="0"/>
          <w:szCs w:val="24"/>
          <w:highlight w:val="yellow"/>
        </w:rPr>
        <w:t>自动赎回产品份额×自动赎回日前一工作日/交易日</w:t>
      </w:r>
      <w:r>
        <w:rPr>
          <w:rFonts w:hint="eastAsia" w:ascii="仿宋_GB2312" w:hAnsi="宋体" w:cs="宋体"/>
          <w:bCs/>
          <w:color w:val="auto"/>
          <w:kern w:val="0"/>
          <w:szCs w:val="24"/>
          <w:highlight w:val="yellow"/>
          <w:lang w:val="en-US" w:eastAsia="zh-CN"/>
        </w:rPr>
        <w:t>/</w:t>
      </w:r>
      <w:r>
        <w:rPr>
          <w:rFonts w:hint="eastAsia" w:ascii="仿宋_GB2312" w:hAnsi="宋体" w:cs="宋体"/>
          <w:bCs/>
          <w:color w:val="auto"/>
          <w:kern w:val="0"/>
          <w:szCs w:val="24"/>
          <w:highlight w:val="yellow"/>
        </w:rPr>
        <w:t>自然日份额净值-</w:t>
      </w:r>
      <w:r>
        <w:rPr>
          <w:rFonts w:hint="eastAsia" w:ascii="仿宋_GB2312" w:hAnsi="宋体" w:cs="宋体"/>
          <w:bCs/>
          <w:color w:val="auto"/>
          <w:kern w:val="0"/>
          <w:szCs w:val="24"/>
          <w:highlight w:val="yellow"/>
          <w:lang w:eastAsia="zh-CN"/>
        </w:rPr>
        <w:t>浮动管理费</w:t>
      </w:r>
      <w:r>
        <w:rPr>
          <w:rFonts w:hint="eastAsia" w:ascii="仿宋_GB2312" w:hAnsi="宋体" w:cs="宋体"/>
          <w:bCs/>
          <w:color w:val="auto"/>
          <w:kern w:val="0"/>
          <w:szCs w:val="24"/>
          <w:highlight w:val="yellow"/>
        </w:rPr>
        <w:t>（如有）</w:t>
      </w:r>
    </w:p>
    <w:p w14:paraId="064274A2">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lang w:eastAsia="zh-CN"/>
        </w:rPr>
      </w:pPr>
      <w:r>
        <w:rPr>
          <w:rFonts w:hint="eastAsia" w:ascii="仿宋_GB2312" w:hAnsi="宋体" w:cs="宋体"/>
          <w:bCs/>
          <w:color w:val="auto"/>
          <w:kern w:val="0"/>
          <w:szCs w:val="24"/>
          <w:highlight w:val="yellow"/>
          <w:lang w:eastAsia="zh-CN"/>
        </w:rPr>
        <w:t>若本理财产品设置不同的产品份额类别，当某一份额类别因投资者赎回致使该份额类别剩余份额归零，产品管理人将以</w:t>
      </w:r>
      <w:r>
        <w:rPr>
          <w:rFonts w:hint="eastAsia" w:ascii="仿宋_GB2312" w:hAnsi="宋体" w:cs="宋体"/>
          <w:bCs/>
          <w:color w:val="auto"/>
          <w:kern w:val="0"/>
          <w:szCs w:val="24"/>
          <w:highlight w:val="yellow"/>
        </w:rPr>
        <w:t>自动赎回日前一工作日/交易日</w:t>
      </w:r>
      <w:r>
        <w:rPr>
          <w:rFonts w:hint="eastAsia" w:ascii="仿宋_GB2312" w:hAnsi="宋体" w:cs="宋体"/>
          <w:bCs/>
          <w:color w:val="auto"/>
          <w:kern w:val="0"/>
          <w:szCs w:val="24"/>
          <w:highlight w:val="yellow"/>
          <w:lang w:val="en-US" w:eastAsia="zh-CN"/>
        </w:rPr>
        <w:t>/</w:t>
      </w:r>
      <w:r>
        <w:rPr>
          <w:rFonts w:hint="eastAsia" w:ascii="仿宋_GB2312" w:hAnsi="宋体" w:cs="宋体"/>
          <w:bCs/>
          <w:color w:val="auto"/>
          <w:kern w:val="0"/>
          <w:szCs w:val="24"/>
          <w:highlight w:val="yellow"/>
        </w:rPr>
        <w:t>自然日</w:t>
      </w:r>
      <w:r>
        <w:rPr>
          <w:rFonts w:hint="eastAsia" w:ascii="仿宋_GB2312" w:hAnsi="宋体" w:cs="宋体"/>
          <w:bCs/>
          <w:color w:val="auto"/>
          <w:kern w:val="0"/>
          <w:szCs w:val="24"/>
          <w:highlight w:val="yellow"/>
          <w:lang w:eastAsia="zh-CN"/>
        </w:rPr>
        <w:t>该份额类别对应的总资产净值，向持有该份额类别的投资者进行兑付。</w:t>
      </w:r>
    </w:p>
    <w:p w14:paraId="59206276">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lang w:eastAsia="zh-CN"/>
        </w:rPr>
      </w:pPr>
      <w:r>
        <w:rPr>
          <w:rFonts w:hint="eastAsia" w:ascii="仿宋_GB2312" w:hAnsi="宋体" w:cs="宋体"/>
          <w:bCs/>
          <w:color w:val="auto"/>
          <w:kern w:val="0"/>
          <w:szCs w:val="24"/>
          <w:highlight w:val="yellow"/>
          <w:lang w:eastAsia="zh-CN"/>
        </w:rPr>
        <w:t>该情形下投资者赎回金额计算公式如下：</w:t>
      </w:r>
    </w:p>
    <w:p w14:paraId="2EB8B5D4">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lang w:eastAsia="zh-CN"/>
        </w:rPr>
      </w:pPr>
      <w:r>
        <w:rPr>
          <w:rFonts w:hint="eastAsia" w:ascii="仿宋_GB2312" w:hAnsi="宋体" w:cs="宋体"/>
          <w:bCs/>
          <w:color w:val="auto"/>
          <w:kern w:val="0"/>
          <w:szCs w:val="24"/>
          <w:highlight w:val="yellow"/>
          <w:lang w:eastAsia="zh-CN"/>
        </w:rPr>
        <w:t>赎回总金额=投资者在</w:t>
      </w:r>
      <w:r>
        <w:rPr>
          <w:rFonts w:hint="eastAsia" w:ascii="仿宋_GB2312" w:hAnsi="宋体" w:cs="宋体"/>
          <w:bCs/>
          <w:color w:val="auto"/>
          <w:kern w:val="0"/>
          <w:szCs w:val="24"/>
          <w:highlight w:val="yellow"/>
        </w:rPr>
        <w:t>自动赎回日前一工作日/交易日</w:t>
      </w:r>
      <w:r>
        <w:rPr>
          <w:rFonts w:hint="eastAsia" w:ascii="仿宋_GB2312" w:hAnsi="宋体" w:cs="宋体"/>
          <w:bCs/>
          <w:color w:val="auto"/>
          <w:kern w:val="0"/>
          <w:szCs w:val="24"/>
          <w:highlight w:val="yellow"/>
          <w:lang w:val="en-US" w:eastAsia="zh-CN"/>
        </w:rPr>
        <w:t>/</w:t>
      </w:r>
      <w:r>
        <w:rPr>
          <w:rFonts w:hint="eastAsia" w:ascii="仿宋_GB2312" w:hAnsi="宋体" w:cs="宋体"/>
          <w:bCs/>
          <w:color w:val="auto"/>
          <w:kern w:val="0"/>
          <w:szCs w:val="24"/>
          <w:highlight w:val="yellow"/>
        </w:rPr>
        <w:t>自然日</w:t>
      </w:r>
      <w:r>
        <w:rPr>
          <w:rFonts w:hint="eastAsia" w:ascii="仿宋_GB2312" w:hAnsi="宋体" w:cs="宋体"/>
          <w:bCs/>
          <w:color w:val="auto"/>
          <w:kern w:val="0"/>
          <w:szCs w:val="24"/>
          <w:highlight w:val="yellow"/>
          <w:lang w:eastAsia="zh-CN"/>
        </w:rPr>
        <w:t>持有的该份额类别份额/该份额类别总份额*该份额</w:t>
      </w:r>
      <w:r>
        <w:rPr>
          <w:rFonts w:hint="eastAsia" w:ascii="仿宋_GB2312" w:hAnsi="宋体" w:cs="宋体"/>
          <w:bCs/>
          <w:color w:val="auto"/>
          <w:kern w:val="0"/>
          <w:szCs w:val="24"/>
          <w:highlight w:val="yellow"/>
        </w:rPr>
        <w:t>自动赎回日前一工作日/交易日</w:t>
      </w:r>
      <w:r>
        <w:rPr>
          <w:rFonts w:hint="eastAsia" w:ascii="仿宋_GB2312" w:hAnsi="宋体" w:cs="宋体"/>
          <w:bCs/>
          <w:color w:val="auto"/>
          <w:kern w:val="0"/>
          <w:szCs w:val="24"/>
          <w:highlight w:val="yellow"/>
          <w:lang w:val="en-US" w:eastAsia="zh-CN"/>
        </w:rPr>
        <w:t>/</w:t>
      </w:r>
      <w:r>
        <w:rPr>
          <w:rFonts w:hint="eastAsia" w:ascii="仿宋_GB2312" w:hAnsi="宋体" w:cs="宋体"/>
          <w:bCs/>
          <w:color w:val="auto"/>
          <w:kern w:val="0"/>
          <w:szCs w:val="24"/>
          <w:highlight w:val="yellow"/>
        </w:rPr>
        <w:t>自然日</w:t>
      </w:r>
      <w:r>
        <w:rPr>
          <w:rFonts w:hint="eastAsia" w:ascii="仿宋_GB2312" w:hAnsi="宋体" w:cs="宋体"/>
          <w:bCs/>
          <w:color w:val="auto"/>
          <w:kern w:val="0"/>
          <w:szCs w:val="24"/>
          <w:highlight w:val="yellow"/>
          <w:lang w:eastAsia="zh-CN"/>
        </w:rPr>
        <w:t>总资产净值</w:t>
      </w:r>
    </w:p>
    <w:p w14:paraId="0DE12A61">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lang w:eastAsia="zh-CN"/>
        </w:rPr>
      </w:pPr>
      <w:r>
        <w:rPr>
          <w:rFonts w:hint="eastAsia" w:ascii="仿宋_GB2312" w:hAnsi="宋体" w:cs="宋体"/>
          <w:bCs/>
          <w:color w:val="auto"/>
          <w:kern w:val="0"/>
          <w:szCs w:val="24"/>
          <w:highlight w:val="yellow"/>
          <w:lang w:eastAsia="zh-CN"/>
        </w:rPr>
        <w:t>赎回费用=赎回总金额×该产品份额赎回费率</w:t>
      </w:r>
    </w:p>
    <w:p w14:paraId="0FDA6D3C">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lang w:eastAsia="zh-CN"/>
        </w:rPr>
      </w:pPr>
      <w:r>
        <w:rPr>
          <w:rFonts w:hint="eastAsia" w:ascii="仿宋_GB2312" w:hAnsi="宋体" w:cs="宋体"/>
          <w:bCs/>
          <w:color w:val="auto"/>
          <w:kern w:val="0"/>
          <w:szCs w:val="24"/>
          <w:highlight w:val="yellow"/>
          <w:lang w:eastAsia="zh-CN"/>
        </w:rPr>
        <w:t>净赎回金额=赎回总金额-赎回费用】</w:t>
      </w:r>
    </w:p>
    <w:p w14:paraId="77748667">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2.</w:t>
      </w:r>
      <w:r>
        <w:rPr>
          <w:rFonts w:hint="eastAsia" w:ascii="仿宋_GB2312" w:hAnsi="宋体" w:cs="宋体"/>
          <w:bCs/>
          <w:color w:val="auto"/>
          <w:kern w:val="0"/>
          <w:szCs w:val="24"/>
          <w:highlight w:val="none"/>
        </w:rPr>
        <w:t>产品到期、提前终止兑付</w:t>
      </w:r>
    </w:p>
    <w:p w14:paraId="1A059802">
      <w:pPr>
        <w:widowControl/>
        <w:tabs>
          <w:tab w:val="left" w:pos="709"/>
        </w:tabs>
        <w:snapToGrid w:val="0"/>
        <w:spacing w:line="360" w:lineRule="auto"/>
        <w:ind w:firstLine="422" w:firstLineChars="200"/>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本理财产品到期或提前终止后，浙银理财将于到期日或提前终止日后</w:t>
      </w:r>
      <w:r>
        <w:rPr>
          <w:rFonts w:ascii="仿宋_GB2312" w:hAnsi="宋体" w:cs="宋体"/>
          <w:b/>
          <w:bCs/>
          <w:color w:val="auto"/>
          <w:kern w:val="0"/>
          <w:szCs w:val="24"/>
          <w:highlight w:val="none"/>
        </w:rPr>
        <w:t>5个工作日（含）</w:t>
      </w:r>
      <w:r>
        <w:rPr>
          <w:rFonts w:hint="eastAsia" w:ascii="仿宋_GB2312" w:hAnsi="宋体" w:cs="宋体"/>
          <w:b/>
          <w:bCs/>
          <w:color w:val="auto"/>
          <w:kern w:val="0"/>
          <w:szCs w:val="24"/>
          <w:highlight w:val="none"/>
        </w:rPr>
        <w:t>内通过销售机构将理财资金划至投资者指定账户。</w:t>
      </w:r>
    </w:p>
    <w:p w14:paraId="13663757">
      <w:pPr>
        <w:pStyle w:val="3"/>
        <w:numPr>
          <w:ilvl w:val="255"/>
          <w:numId w:val="0"/>
        </w:numPr>
        <w:adjustRightInd w:val="0"/>
        <w:snapToGrid w:val="0"/>
        <w:ind w:left="420" w:left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（六）巨额赎回的情形及处理方式</w:t>
      </w:r>
      <w:r>
        <w:rPr>
          <w:rFonts w:ascii="仿宋_GB2312" w:hAnsi="宋体" w:cs="宋体"/>
          <w:bCs/>
          <w:color w:val="auto"/>
          <w:kern w:val="0"/>
          <w:szCs w:val="24"/>
          <w:highlight w:val="none"/>
        </w:rPr>
        <w:t xml:space="preserve"> </w:t>
      </w:r>
    </w:p>
    <w:p w14:paraId="310A65BE">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1.巨额赎回的认定</w:t>
      </w:r>
    </w:p>
    <w:p w14:paraId="3BBE7035">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rPr>
        <w:t>”。</w:t>
      </w:r>
    </w:p>
    <w:p w14:paraId="2E423741">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2.巨额赎回的处理方式</w:t>
      </w:r>
    </w:p>
    <w:p w14:paraId="7A20D25A">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rPr>
        <w:t>”。</w:t>
      </w:r>
    </w:p>
    <w:p w14:paraId="0926C918">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3.巨额赎回的公告</w:t>
      </w:r>
    </w:p>
    <w:p w14:paraId="054CFD4F">
      <w:pPr>
        <w:autoSpaceDE w:val="0"/>
        <w:autoSpaceDN w:val="0"/>
        <w:adjustRightInd w:val="0"/>
        <w:snapToGrid w:val="0"/>
        <w:spacing w:line="360" w:lineRule="auto"/>
        <w:ind w:firstLine="420" w:firstLineChars="200"/>
        <w:rPr>
          <w:rFonts w:hint="eastAsia" w:ascii="仿宋_GB2312" w:hAnsi="宋体"/>
          <w:b/>
          <w:color w:val="auto"/>
          <w:kern w:val="0"/>
          <w:szCs w:val="24"/>
          <w:highlight w:val="none"/>
        </w:rPr>
      </w:pPr>
      <w:r>
        <w:rPr>
          <w:rFonts w:hint="eastAsia" w:ascii="仿宋_GB2312" w:hAnsi="宋体" w:cs="宋体"/>
          <w:bCs/>
          <w:color w:val="auto"/>
          <w:kern w:val="0"/>
          <w:szCs w:val="24"/>
          <w:highlight w:val="none"/>
        </w:rPr>
        <w:t>在发生巨额赎回产品管理人</w:t>
      </w:r>
      <w:r>
        <w:rPr>
          <w:rFonts w:hint="eastAsia" w:asciiTheme="minorEastAsia" w:hAnsiTheme="minorEastAsia"/>
          <w:color w:val="auto"/>
          <w:szCs w:val="24"/>
          <w:highlight w:val="none"/>
        </w:rPr>
        <w:t>暂停接受或延期办理</w:t>
      </w:r>
      <w:r>
        <w:rPr>
          <w:rFonts w:hint="eastAsia" w:ascii="仿宋_GB2312" w:hAnsi="宋体" w:cs="宋体"/>
          <w:bCs/>
          <w:color w:val="auto"/>
          <w:kern w:val="0"/>
          <w:szCs w:val="24"/>
          <w:highlight w:val="none"/>
        </w:rPr>
        <w:t>投资者份额自动赎回时，产品管理人将依约定发布相关公告信息。</w:t>
      </w:r>
    </w:p>
    <w:p w14:paraId="4F5796CC">
      <w:pPr>
        <w:widowControl/>
        <w:jc w:val="left"/>
        <w:rPr>
          <w:rFonts w:eastAsia="黑体"/>
          <w:color w:val="auto"/>
          <w:kern w:val="44"/>
          <w:sz w:val="28"/>
          <w:highlight w:val="none"/>
        </w:rPr>
      </w:pPr>
      <w:r>
        <w:rPr>
          <w:color w:val="auto"/>
          <w:highlight w:val="none"/>
        </w:rPr>
        <w:br w:type="page"/>
      </w:r>
    </w:p>
    <w:p w14:paraId="6CB93852">
      <w:pPr>
        <w:pStyle w:val="2"/>
        <w:numPr>
          <w:ilvl w:val="0"/>
          <w:numId w:val="10"/>
        </w:numPr>
        <w:rPr>
          <w:color w:val="auto"/>
          <w:highlight w:val="none"/>
        </w:rPr>
      </w:pPr>
      <w:r>
        <w:rPr>
          <w:rFonts w:hint="eastAsia"/>
          <w:color w:val="auto"/>
          <w:highlight w:val="none"/>
        </w:rPr>
        <w:t>理财产品的投资</w:t>
      </w:r>
    </w:p>
    <w:p w14:paraId="7DFF0654">
      <w:pPr>
        <w:pStyle w:val="3"/>
        <w:numPr>
          <w:ilvl w:val="1"/>
          <w:numId w:val="10"/>
        </w:numPr>
        <w:ind w:firstLine="482"/>
        <w:rPr>
          <w:color w:val="auto"/>
          <w:highlight w:val="none"/>
        </w:rPr>
      </w:pPr>
      <w:r>
        <w:rPr>
          <w:rFonts w:hint="eastAsia"/>
          <w:color w:val="auto"/>
          <w:highlight w:val="none"/>
        </w:rPr>
        <w:t>投资范围</w:t>
      </w:r>
    </w:p>
    <w:p w14:paraId="595D9C9F">
      <w:pPr>
        <w:tabs>
          <w:tab w:val="left" w:pos="3119"/>
        </w:tabs>
        <w:autoSpaceDE w:val="0"/>
        <w:autoSpaceDN w:val="0"/>
        <w:spacing w:line="360" w:lineRule="auto"/>
        <w:ind w:right="31" w:rightChars="15" w:firstLine="420" w:firstLineChars="200"/>
        <w:rPr>
          <w:rFonts w:hint="default" w:ascii="仿宋_GB2312" w:hAnsi="宋体" w:cs="宋体"/>
          <w:bCs/>
          <w:color w:val="000000" w:themeColor="text1"/>
          <w:kern w:val="0"/>
          <w:szCs w:val="24"/>
          <w:highlight w:val="none"/>
          <w:lang w:val="en-US" w:eastAsia="zh-CN"/>
          <w14:textFill>
            <w14:solidFill>
              <w14:schemeClr w14:val="tx1"/>
            </w14:solidFill>
          </w14:textFill>
        </w:rPr>
      </w:pPr>
      <w:r>
        <w:rPr>
          <w:rFonts w:hint="eastAsia" w:ascii="仿宋_GB2312" w:hAnsi="宋体" w:cs="宋体"/>
          <w:bCs/>
          <w:color w:val="000000" w:themeColor="text1"/>
          <w:kern w:val="0"/>
          <w:szCs w:val="24"/>
          <w:highlight w:val="yellow"/>
          <w:lang w:eastAsia="zh-CN"/>
          <w14:textFill>
            <w14:solidFill>
              <w14:schemeClr w14:val="tx1"/>
            </w14:solidFill>
          </w14:textFill>
        </w:rPr>
        <w:t>【</w:t>
      </w:r>
      <w:r>
        <w:rPr>
          <w:rFonts w:hint="eastAsia" w:ascii="仿宋_GB2312" w:hAnsi="宋体" w:cs="宋体"/>
          <w:bCs/>
          <w:color w:val="000000" w:themeColor="text1"/>
          <w:kern w:val="0"/>
          <w:szCs w:val="24"/>
          <w:highlight w:val="none"/>
          <w:lang w:eastAsia="zh-CN"/>
          <w14:textFill>
            <w14:solidFill>
              <w14:schemeClr w14:val="tx1"/>
            </w14:solidFill>
          </w14:textFill>
        </w:rPr>
        <w:t>……</w:t>
      </w:r>
    </w:p>
    <w:p w14:paraId="72D1B86C">
      <w:pPr>
        <w:tabs>
          <w:tab w:val="left" w:pos="3119"/>
        </w:tabs>
        <w:autoSpaceDE w:val="0"/>
        <w:autoSpaceDN w:val="0"/>
        <w:spacing w:line="360" w:lineRule="auto"/>
        <w:ind w:right="31" w:rightChars="15" w:firstLine="420" w:firstLineChars="200"/>
        <w:rPr>
          <w:rFonts w:hint="eastAsia" w:ascii="仿宋_GB2312" w:hAnsi="宋体" w:cs="宋体"/>
          <w:bCs/>
          <w:color w:val="000000" w:themeColor="text1"/>
          <w:kern w:val="0"/>
          <w:szCs w:val="24"/>
          <w:highlight w:val="none"/>
          <w14:textFill>
            <w14:solidFill>
              <w14:schemeClr w14:val="tx1"/>
            </w14:solidFill>
          </w14:textFill>
        </w:rPr>
      </w:pPr>
      <w:r>
        <w:rPr>
          <w:rFonts w:hint="eastAsia" w:ascii="仿宋_GB2312" w:hAnsi="宋体" w:cs="宋体"/>
          <w:bCs/>
          <w:color w:val="000000" w:themeColor="text1"/>
          <w:kern w:val="0"/>
          <w:szCs w:val="24"/>
          <w:highlight w:val="none"/>
          <w14:textFill>
            <w14:solidFill>
              <w14:schemeClr w14:val="tx1"/>
            </w14:solidFill>
          </w14:textFill>
        </w:rPr>
        <w:t>本理财产品在投资于商品及金融衍生品类资产之前，管理人应获得相应的业务经营范围或投资交易资格。</w:t>
      </w:r>
    </w:p>
    <w:p w14:paraId="77A0FE83">
      <w:pPr>
        <w:tabs>
          <w:tab w:val="left" w:pos="3119"/>
        </w:tabs>
        <w:autoSpaceDE w:val="0"/>
        <w:autoSpaceDN w:val="0"/>
        <w:spacing w:line="360" w:lineRule="auto"/>
        <w:ind w:right="31" w:rightChars="15" w:firstLine="480" w:firstLineChars="200"/>
        <w:rPr>
          <w:rFonts w:ascii="仿宋_GB2312" w:hAnsi="宋体" w:cs="宋体"/>
          <w:bCs/>
          <w:color w:val="000000" w:themeColor="text1"/>
          <w:kern w:val="0"/>
          <w:szCs w:val="24"/>
          <w:highlight w:val="none"/>
          <w:u w:val="single"/>
          <w14:textFill>
            <w14:solidFill>
              <w14:schemeClr w14:val="tx1"/>
            </w14:solidFill>
          </w14:textFill>
        </w:rPr>
      </w:pPr>
      <w:r>
        <w:rPr>
          <w:rFonts w:hint="eastAsia" w:ascii="仿宋_GB2312" w:hAnsi="宋体" w:eastAsia="仿宋_GB2312" w:cs="宋体"/>
          <w:bCs/>
          <w:color w:val="000000" w:themeColor="text1"/>
          <w:kern w:val="0"/>
          <w:sz w:val="24"/>
          <w:szCs w:val="24"/>
          <w:highlight w:val="none"/>
          <w14:textFill>
            <w14:solidFill>
              <w14:schemeClr w14:val="tx1"/>
            </w14:solidFill>
          </w14:textFill>
        </w:rPr>
        <w:t>本理财产品在投资于境外资产之前，管理人应获得相应的业务经营范围或投资交易资格。</w:t>
      </w:r>
      <w:r>
        <w:rPr>
          <w:rFonts w:hint="eastAsia" w:ascii="仿宋_GB2312" w:hAnsi="宋体" w:cs="宋体"/>
          <w:bCs/>
          <w:color w:val="000000" w:themeColor="text1"/>
          <w:kern w:val="0"/>
          <w:szCs w:val="24"/>
          <w:highlight w:val="yellow"/>
          <w:lang w:eastAsia="zh-CN"/>
          <w14:textFill>
            <w14:solidFill>
              <w14:schemeClr w14:val="tx1"/>
            </w14:solidFill>
          </w14:textFill>
        </w:rPr>
        <w:t>】</w:t>
      </w:r>
    </w:p>
    <w:p w14:paraId="2FE9CE70">
      <w:pPr>
        <w:tabs>
          <w:tab w:val="left" w:pos="3119"/>
        </w:tabs>
        <w:autoSpaceDE w:val="0"/>
        <w:autoSpaceDN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本理财产品投资的资产范围须完全符合法律法规或监管规定，如因法律法规或监管规定的变更、修订或更新导致本理财产品投资某类资产受到限制或禁止的，该类资产将被视为从上述资产范围中自动剔除。</w:t>
      </w:r>
    </w:p>
    <w:p w14:paraId="74E7912F">
      <w:pPr>
        <w:pStyle w:val="3"/>
        <w:numPr>
          <w:ilvl w:val="1"/>
          <w:numId w:val="10"/>
        </w:numPr>
        <w:ind w:firstLine="482"/>
        <w:rPr>
          <w:color w:val="auto"/>
          <w:highlight w:val="none"/>
          <w:u w:val="none"/>
        </w:rPr>
      </w:pPr>
      <w:r>
        <w:rPr>
          <w:rFonts w:hint="eastAsia"/>
          <w:color w:val="auto"/>
          <w:highlight w:val="none"/>
          <w:u w:val="none"/>
        </w:rPr>
        <w:t>投资比例</w:t>
      </w:r>
    </w:p>
    <w:p w14:paraId="0BCF0121">
      <w:pPr>
        <w:tabs>
          <w:tab w:val="left" w:pos="3119"/>
        </w:tabs>
        <w:autoSpaceDE w:val="0"/>
        <w:autoSpaceDN w:val="0"/>
        <w:adjustRightInd w:val="0"/>
        <w:spacing w:line="360" w:lineRule="auto"/>
        <w:ind w:right="31" w:rightChars="15" w:firstLine="420" w:firstLineChars="200"/>
        <w:contextualSpacing/>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1.本产品各投资资产占比如下：</w:t>
      </w:r>
    </w:p>
    <w:tbl>
      <w:tblPr>
        <w:tblStyle w:val="8"/>
        <w:tblW w:w="0" w:type="auto"/>
        <w:tblInd w:w="18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89"/>
        <w:gridCol w:w="1325"/>
      </w:tblGrid>
      <w:tr w14:paraId="014FA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9" w:type="dxa"/>
          </w:tcPr>
          <w:p w14:paraId="24165663">
            <w:pPr>
              <w:widowControl/>
              <w:spacing w:line="360" w:lineRule="auto"/>
              <w:jc w:val="center"/>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投资资产</w:t>
            </w:r>
          </w:p>
        </w:tc>
        <w:tc>
          <w:tcPr>
            <w:tcW w:w="1325" w:type="dxa"/>
          </w:tcPr>
          <w:p w14:paraId="32CA82D6">
            <w:pPr>
              <w:widowControl/>
              <w:spacing w:line="360" w:lineRule="auto"/>
              <w:jc w:val="center"/>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投资比例</w:t>
            </w:r>
          </w:p>
        </w:tc>
      </w:tr>
      <w:tr w14:paraId="6BE22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9" w:type="dxa"/>
            <w:vAlign w:val="top"/>
          </w:tcPr>
          <w:p w14:paraId="16590B8F">
            <w:pPr>
              <w:widowControl/>
              <w:spacing w:line="360" w:lineRule="auto"/>
              <w:jc w:val="center"/>
              <w:rPr>
                <w:rFonts w:ascii="仿宋_GB2312" w:hAnsi="宋体" w:cs="宋体"/>
                <w:bCs/>
                <w:color w:val="auto"/>
                <w:kern w:val="0"/>
                <w:szCs w:val="24"/>
                <w:highlight w:val="none"/>
                <w:u w:val="none"/>
              </w:rPr>
            </w:pP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rPr>
              <w:t>债权类资产</w:t>
            </w:r>
            <w:r>
              <w:rPr>
                <w:rFonts w:hint="eastAsia" w:ascii="仿宋_GB2312" w:hAnsi="宋体" w:cs="宋体"/>
                <w:bCs/>
                <w:kern w:val="0"/>
                <w:szCs w:val="24"/>
                <w:highlight w:val="yellow"/>
                <w:lang w:eastAsia="zh-CN"/>
              </w:rPr>
              <w:t>】</w:t>
            </w:r>
          </w:p>
        </w:tc>
        <w:tc>
          <w:tcPr>
            <w:tcW w:w="1325" w:type="dxa"/>
            <w:vAlign w:val="top"/>
          </w:tcPr>
          <w:p w14:paraId="184F1AD9">
            <w:pPr>
              <w:widowControl/>
              <w:spacing w:line="360" w:lineRule="auto"/>
              <w:jc w:val="center"/>
              <w:rPr>
                <w:rFonts w:ascii="仿宋_GB2312" w:hAnsi="宋体" w:cs="宋体"/>
                <w:bCs/>
                <w:color w:val="auto"/>
                <w:kern w:val="0"/>
                <w:szCs w:val="24"/>
                <w:highlight w:val="none"/>
                <w:u w:val="none"/>
              </w:rPr>
            </w:pPr>
            <w:r>
              <w:rPr>
                <w:rFonts w:hint="eastAsia" w:ascii="仿宋_GB2312" w:hAnsi="宋体" w:cs="宋体"/>
                <w:bCs/>
                <w:kern w:val="0"/>
                <w:szCs w:val="24"/>
                <w:highlight w:val="yellow"/>
                <w:lang w:eastAsia="zh-CN"/>
              </w:rPr>
              <w:t>【】</w:t>
            </w:r>
          </w:p>
        </w:tc>
      </w:tr>
      <w:tr w14:paraId="1C476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9" w:type="dxa"/>
            <w:vAlign w:val="top"/>
          </w:tcPr>
          <w:p w14:paraId="4969AD68">
            <w:pPr>
              <w:widowControl/>
              <w:spacing w:line="360" w:lineRule="auto"/>
              <w:jc w:val="center"/>
              <w:rPr>
                <w:rFonts w:ascii="仿宋_GB2312" w:hAnsi="宋体" w:cs="宋体"/>
                <w:bCs/>
                <w:color w:val="auto"/>
                <w:kern w:val="0"/>
                <w:szCs w:val="24"/>
                <w:highlight w:val="none"/>
                <w:u w:val="none"/>
              </w:rPr>
            </w:pPr>
            <w:r>
              <w:rPr>
                <w:rFonts w:hint="eastAsia" w:ascii="仿宋_GB2312" w:hAnsi="宋体" w:cs="宋体"/>
                <w:bCs/>
                <w:kern w:val="0"/>
                <w:szCs w:val="24"/>
                <w:highlight w:val="yellow"/>
                <w:u w:val="none"/>
                <w:lang w:eastAsia="zh-CN"/>
              </w:rPr>
              <w:t>【</w:t>
            </w:r>
            <w:r>
              <w:rPr>
                <w:rFonts w:hint="eastAsia" w:ascii="仿宋_GB2312" w:hAnsi="宋体" w:cs="宋体"/>
                <w:bCs/>
                <w:color w:val="auto"/>
                <w:kern w:val="0"/>
                <w:szCs w:val="24"/>
                <w:highlight w:val="none"/>
                <w:u w:val="none"/>
              </w:rPr>
              <w:t>权益类资产</w:t>
            </w:r>
            <w:r>
              <w:rPr>
                <w:rFonts w:hint="eastAsia" w:ascii="仿宋_GB2312" w:hAnsi="宋体" w:cs="宋体"/>
                <w:bCs/>
                <w:kern w:val="0"/>
                <w:szCs w:val="24"/>
                <w:highlight w:val="yellow"/>
                <w:u w:val="none"/>
                <w:lang w:eastAsia="zh-CN"/>
              </w:rPr>
              <w:t>】</w:t>
            </w:r>
          </w:p>
        </w:tc>
        <w:tc>
          <w:tcPr>
            <w:tcW w:w="1325" w:type="dxa"/>
            <w:vAlign w:val="top"/>
          </w:tcPr>
          <w:p w14:paraId="06EC3B61">
            <w:pPr>
              <w:widowControl/>
              <w:spacing w:line="360" w:lineRule="auto"/>
              <w:jc w:val="center"/>
              <w:rPr>
                <w:rFonts w:ascii="仿宋_GB2312" w:hAnsi="宋体" w:cs="宋体"/>
                <w:bCs/>
                <w:color w:val="auto"/>
                <w:kern w:val="0"/>
                <w:szCs w:val="24"/>
                <w:highlight w:val="none"/>
                <w:u w:val="none"/>
              </w:rPr>
            </w:pPr>
            <w:r>
              <w:rPr>
                <w:rFonts w:hint="eastAsia" w:ascii="仿宋_GB2312" w:hAnsi="宋体" w:cs="宋体"/>
                <w:bCs/>
                <w:kern w:val="0"/>
                <w:szCs w:val="24"/>
                <w:highlight w:val="yellow"/>
                <w:lang w:eastAsia="zh-CN"/>
              </w:rPr>
              <w:t>【】</w:t>
            </w:r>
          </w:p>
        </w:tc>
      </w:tr>
      <w:tr w14:paraId="3EDD9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9" w:type="dxa"/>
            <w:vAlign w:val="top"/>
          </w:tcPr>
          <w:p w14:paraId="2694DE23">
            <w:pPr>
              <w:widowControl/>
              <w:spacing w:line="360" w:lineRule="auto"/>
              <w:jc w:val="center"/>
              <w:rPr>
                <w:rFonts w:hint="eastAsia" w:ascii="仿宋_GB2312" w:hAnsi="宋体" w:cs="宋体"/>
                <w:bCs/>
                <w:kern w:val="0"/>
                <w:szCs w:val="24"/>
                <w:highlight w:val="yellow"/>
                <w:u w:val="none"/>
                <w:lang w:eastAsia="zh-CN"/>
              </w:rPr>
            </w:pPr>
            <w:r>
              <w:rPr>
                <w:rFonts w:hint="eastAsia" w:ascii="仿宋_GB2312" w:hAnsi="宋体" w:cs="宋体"/>
                <w:bCs/>
                <w:kern w:val="0"/>
                <w:szCs w:val="24"/>
                <w:highlight w:val="yellow"/>
                <w:u w:val="none"/>
                <w:lang w:eastAsia="zh-CN"/>
              </w:rPr>
              <w:t>【</w:t>
            </w:r>
            <w:r>
              <w:rPr>
                <w:rFonts w:hint="eastAsia" w:ascii="仿宋_GB2312" w:hAnsi="宋体" w:cs="宋体"/>
                <w:bCs/>
                <w:color w:val="auto"/>
                <w:kern w:val="0"/>
                <w:szCs w:val="24"/>
                <w:highlight w:val="none"/>
                <w:u w:val="none"/>
              </w:rPr>
              <w:t>商品及金融衍生品类</w:t>
            </w:r>
            <w:r>
              <w:rPr>
                <w:rFonts w:hint="eastAsia" w:ascii="仿宋_GB2312" w:hAnsi="宋体" w:cs="宋体"/>
                <w:bCs/>
                <w:color w:val="auto"/>
                <w:kern w:val="0"/>
                <w:szCs w:val="24"/>
                <w:highlight w:val="none"/>
                <w:u w:val="none"/>
                <w:lang w:eastAsia="zh-CN"/>
              </w:rPr>
              <w:t>资产</w:t>
            </w:r>
            <w:r>
              <w:rPr>
                <w:rFonts w:hint="eastAsia" w:ascii="仿宋_GB2312" w:hAnsi="宋体" w:cs="宋体"/>
                <w:bCs/>
                <w:kern w:val="0"/>
                <w:szCs w:val="24"/>
                <w:highlight w:val="yellow"/>
                <w:u w:val="none"/>
                <w:lang w:eastAsia="zh-CN"/>
              </w:rPr>
              <w:t>】</w:t>
            </w:r>
          </w:p>
        </w:tc>
        <w:tc>
          <w:tcPr>
            <w:tcW w:w="1325" w:type="dxa"/>
            <w:vAlign w:val="top"/>
          </w:tcPr>
          <w:p w14:paraId="6CD94C39">
            <w:pPr>
              <w:widowControl/>
              <w:spacing w:line="360" w:lineRule="auto"/>
              <w:jc w:val="center"/>
              <w:rPr>
                <w:rFonts w:hint="eastAsia" w:ascii="仿宋_GB2312" w:hAnsi="宋体" w:cs="宋体"/>
                <w:bCs/>
                <w:kern w:val="0"/>
                <w:szCs w:val="24"/>
                <w:highlight w:val="yellow"/>
                <w:lang w:eastAsia="zh-CN"/>
              </w:rPr>
            </w:pPr>
            <w:r>
              <w:rPr>
                <w:rFonts w:hint="eastAsia" w:ascii="仿宋_GB2312" w:hAnsi="宋体" w:cs="宋体"/>
                <w:bCs/>
                <w:kern w:val="0"/>
                <w:szCs w:val="24"/>
                <w:highlight w:val="yellow"/>
                <w:lang w:eastAsia="zh-CN"/>
              </w:rPr>
              <w:t>【】</w:t>
            </w:r>
          </w:p>
        </w:tc>
      </w:tr>
    </w:tbl>
    <w:p w14:paraId="5E14DEED">
      <w:pPr>
        <w:autoSpaceDE w:val="0"/>
        <w:autoSpaceDN w:val="0"/>
        <w:adjustRightInd w:val="0"/>
        <w:snapToGrid w:val="0"/>
        <w:spacing w:line="360" w:lineRule="auto"/>
        <w:jc w:val="left"/>
        <w:rPr>
          <w:rFonts w:hint="eastAsia" w:ascii="仿宋_GB2312" w:hAnsi="宋体" w:cs="宋体"/>
          <w:bCs/>
          <w:color w:val="auto"/>
          <w:kern w:val="0"/>
          <w:szCs w:val="24"/>
          <w:highlight w:val="none"/>
        </w:rPr>
      </w:pPr>
    </w:p>
    <w:p w14:paraId="12CEAB6E">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管理人将在产品成立后一个月内使资产配置比例符合上述规定。</w:t>
      </w:r>
    </w:p>
    <w:p w14:paraId="4092A932">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本产品存续期内非</w:t>
      </w:r>
      <w:r>
        <w:rPr>
          <w:rFonts w:ascii="仿宋_GB2312" w:hAnsi="宋体" w:cs="宋体"/>
          <w:bCs/>
          <w:color w:val="auto"/>
          <w:kern w:val="0"/>
          <w:szCs w:val="24"/>
          <w:highlight w:val="none"/>
        </w:rPr>
        <w:t>因</w:t>
      </w:r>
      <w:r>
        <w:rPr>
          <w:rFonts w:hint="eastAsia" w:ascii="仿宋_GB2312" w:hAnsi="宋体" w:cs="宋体"/>
          <w:bCs/>
          <w:color w:val="auto"/>
          <w:kern w:val="0"/>
          <w:szCs w:val="24"/>
          <w:highlight w:val="none"/>
        </w:rPr>
        <w:t>产品</w:t>
      </w:r>
      <w:r>
        <w:rPr>
          <w:rFonts w:ascii="仿宋_GB2312" w:hAnsi="宋体" w:cs="宋体"/>
          <w:bCs/>
          <w:color w:val="auto"/>
          <w:kern w:val="0"/>
          <w:szCs w:val="24"/>
          <w:highlight w:val="none"/>
        </w:rPr>
        <w:t>管理人主</w:t>
      </w:r>
      <w:r>
        <w:rPr>
          <w:rFonts w:hint="eastAsia" w:ascii="仿宋_GB2312" w:hAnsi="宋体" w:cs="宋体"/>
          <w:bCs/>
          <w:color w:val="auto"/>
          <w:kern w:val="0"/>
          <w:szCs w:val="24"/>
          <w:highlight w:val="none"/>
        </w:rPr>
        <w:t>观</w:t>
      </w:r>
      <w:r>
        <w:rPr>
          <w:rFonts w:ascii="仿宋_GB2312" w:hAnsi="宋体" w:cs="宋体"/>
          <w:bCs/>
          <w:color w:val="auto"/>
          <w:kern w:val="0"/>
          <w:szCs w:val="24"/>
          <w:highlight w:val="none"/>
        </w:rPr>
        <w:t>因素</w:t>
      </w:r>
      <w:r>
        <w:rPr>
          <w:rFonts w:hint="eastAsia" w:ascii="仿宋_GB2312" w:hAnsi="宋体" w:cs="宋体"/>
          <w:bCs/>
          <w:color w:val="auto"/>
          <w:kern w:val="0"/>
          <w:szCs w:val="24"/>
          <w:highlight w:val="none"/>
        </w:rPr>
        <w:t>导致产品投资突破上述比例限制，管理人将尽合理努力，在流动性受限资产可出售、可转让或者恢复交易的15个交易日内调整至规定区间。</w:t>
      </w:r>
    </w:p>
    <w:p w14:paraId="3B268207">
      <w:pPr>
        <w:pStyle w:val="3"/>
        <w:numPr>
          <w:ilvl w:val="1"/>
          <w:numId w:val="10"/>
        </w:numPr>
        <w:ind w:firstLine="482"/>
        <w:rPr>
          <w:color w:val="auto"/>
          <w:highlight w:val="none"/>
        </w:rPr>
      </w:pPr>
      <w:r>
        <w:rPr>
          <w:rFonts w:hint="eastAsia"/>
          <w:color w:val="auto"/>
          <w:highlight w:val="none"/>
        </w:rPr>
        <w:t>投资限制</w:t>
      </w:r>
    </w:p>
    <w:p w14:paraId="66190C20">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none"/>
          <w:u w:val="none"/>
        </w:rPr>
        <w:t>投资限制中列示的资产品种不代表管理人的实际投向，本理财计划投资范围以“投资范围”章节表述为准。</w:t>
      </w:r>
    </w:p>
    <w:p w14:paraId="73B87434">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1．投资集中度限制</w:t>
      </w:r>
    </w:p>
    <w:p w14:paraId="7382B0AB">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（1）本理财计划持有单只证券或单只公募证券投资基金的市值不得超过该理财计划净资产的10%。</w:t>
      </w:r>
    </w:p>
    <w:p w14:paraId="62979FF6">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（2）管理人发行的全部公募理财计划持有单只证券或单只公募证券投资基金的市值，不得超过该证券市值或该公募证券投资基金市值的30%。</w:t>
      </w:r>
    </w:p>
    <w:p w14:paraId="3680D19E">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（3）管理人发行的全部理财计划持有单一上市公司发行的股票，不得超过该上市公司可流通股票的30%。</w:t>
      </w:r>
    </w:p>
    <w:p w14:paraId="0ECD7B99">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管理人发行的全部开放式公募理财计划投资单一上市公司发行的股票,不得超过该上市公司可流通股票的15%。国务院银行业监督管理机构另有规定的除外。非因管理人主观因素导致突破前述比例限制的，管理人应当在流动性受限资产可出售、可转让或者恢复交易的10个交易日内调整至符合要求，国务院银行业监督管理机构规定的特殊情形除外。</w:t>
      </w:r>
    </w:p>
    <w:p w14:paraId="60C38194">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2．投资期限限制</w:t>
      </w:r>
    </w:p>
    <w:p w14:paraId="6C727CC7">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本理财计划投资的非标准化债权类资产到期日不得晚于理财计划最近一次开放日。</w:t>
      </w:r>
    </w:p>
    <w:p w14:paraId="44F33CF6">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3</w:t>
      </w:r>
      <w:r>
        <w:rPr>
          <w:rFonts w:hint="eastAsia" w:ascii="仿宋_GB2312" w:hAnsi="宋体" w:cs="宋体"/>
          <w:bCs/>
          <w:color w:val="auto"/>
          <w:kern w:val="0"/>
          <w:szCs w:val="24"/>
          <w:highlight w:val="none"/>
          <w:u w:val="none"/>
        </w:rPr>
        <w:t>．流动性限制</w:t>
      </w:r>
    </w:p>
    <w:p w14:paraId="53850E05">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（1）本理财计划直接投资于流动性受限资产的市值在开放日不得超过该理财计划资产净值的15%。</w:t>
      </w:r>
    </w:p>
    <w:p w14:paraId="4B1F1578">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yellow"/>
          <w:u w:val="none"/>
        </w:rPr>
      </w:pPr>
      <w:r>
        <w:rPr>
          <w:rFonts w:hint="eastAsia" w:ascii="仿宋_GB2312" w:hAnsi="宋体" w:cs="宋体"/>
          <w:bCs/>
          <w:color w:val="auto"/>
          <w:kern w:val="0"/>
          <w:szCs w:val="24"/>
          <w:highlight w:val="none"/>
          <w:u w:val="none"/>
        </w:rPr>
        <w:t>（2）本理财计划还应满足以下限制</w:t>
      </w:r>
      <w:r>
        <w:rPr>
          <w:rFonts w:hint="eastAsia" w:ascii="仿宋_GB2312" w:hAnsi="宋体" w:cs="宋体"/>
          <w:bCs/>
          <w:color w:val="auto"/>
          <w:kern w:val="0"/>
          <w:szCs w:val="24"/>
          <w:highlight w:val="yellow"/>
          <w:u w:val="none"/>
        </w:rPr>
        <w:t>【</w:t>
      </w:r>
      <w:r>
        <w:rPr>
          <w:rFonts w:hint="eastAsia" w:ascii="仿宋_GB2312" w:hAnsi="宋体" w:cs="宋体"/>
          <w:bCs/>
          <w:color w:val="auto"/>
          <w:kern w:val="0"/>
          <w:szCs w:val="24"/>
          <w:highlight w:val="yellow"/>
          <w:u w:val="none"/>
          <w:lang w:val="en-US" w:eastAsia="zh-CN"/>
        </w:rPr>
        <w:t>a</w:t>
      </w:r>
      <w:r>
        <w:rPr>
          <w:rFonts w:hint="eastAsia" w:ascii="仿宋_GB2312" w:hAnsi="宋体" w:cs="宋体"/>
          <w:bCs/>
          <w:color w:val="auto"/>
          <w:kern w:val="0"/>
          <w:szCs w:val="24"/>
          <w:highlight w:val="yellow"/>
          <w:u w:val="none"/>
        </w:rPr>
        <w:t>】</w:t>
      </w:r>
    </w:p>
    <w:p w14:paraId="3520DEE4">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a. 本理财计划应当持有不低于该理财计划资产净值5%的现金或者到期日在一年以内的国债、中央银行票据和政策性金融债券。</w:t>
      </w:r>
    </w:p>
    <w:p w14:paraId="2B6565C8">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b. 本理财计划应当在开放日及开放日前7个工作日内持有不低于该理财计划资产净值5%的现金或者到期日在一年以内的国债、中央银行票据和政策性金融债券。</w:t>
      </w:r>
    </w:p>
    <w:p w14:paraId="35683E48">
      <w:pPr>
        <w:tabs>
          <w:tab w:val="left" w:pos="3119"/>
        </w:tabs>
        <w:autoSpaceDE w:val="0"/>
        <w:autoSpaceDN w:val="0"/>
        <w:adjustRightInd w:val="0"/>
        <w:spacing w:line="360" w:lineRule="auto"/>
        <w:ind w:right="31" w:rightChars="15" w:firstLine="422" w:firstLineChars="200"/>
        <w:contextualSpacing/>
        <w:rPr>
          <w:rFonts w:hint="eastAsia" w:ascii="仿宋_GB2312" w:hAnsi="宋体" w:cs="宋体"/>
          <w:bCs/>
          <w:color w:val="auto"/>
          <w:kern w:val="0"/>
          <w:szCs w:val="24"/>
          <w:highlight w:val="none"/>
          <w:u w:val="none"/>
        </w:rPr>
      </w:pPr>
      <w:r>
        <w:rPr>
          <w:rFonts w:hint="eastAsia" w:ascii="仿宋_GB2312" w:hAnsi="宋体" w:cs="宋体"/>
          <w:b/>
          <w:bCs w:val="0"/>
          <w:color w:val="auto"/>
          <w:kern w:val="0"/>
          <w:szCs w:val="24"/>
          <w:highlight w:val="none"/>
          <w:u w:val="none"/>
        </w:rPr>
        <w:t>c. 本理财计划投资不存在活跃交易市场，并且需要采用估值技术确定公允价值的资产比例可达到理财产品净资产50%以上。</w:t>
      </w:r>
      <w:r>
        <w:rPr>
          <w:rFonts w:hint="eastAsia" w:ascii="仿宋_GB2312" w:hAnsi="宋体" w:cs="宋体"/>
          <w:bCs/>
          <w:color w:val="auto"/>
          <w:kern w:val="0"/>
          <w:szCs w:val="24"/>
          <w:highlight w:val="none"/>
          <w:u w:val="none"/>
        </w:rPr>
        <w:t xml:space="preserve">                 </w:t>
      </w:r>
    </w:p>
    <w:p w14:paraId="1BA540D6">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（3）在开放日前一工作日内，本理财计划7个工作日可变现资产的可变现价值应当不低于该理财计划资产净值的10%。</w:t>
      </w:r>
    </w:p>
    <w:p w14:paraId="6E11AECA">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4</w:t>
      </w:r>
      <w:r>
        <w:rPr>
          <w:rFonts w:hint="eastAsia" w:ascii="仿宋_GB2312" w:hAnsi="宋体" w:cs="宋体"/>
          <w:bCs/>
          <w:color w:val="auto"/>
          <w:kern w:val="0"/>
          <w:szCs w:val="24"/>
          <w:highlight w:val="none"/>
          <w:u w:val="none"/>
        </w:rPr>
        <w:t>．其他投资限制</w:t>
      </w:r>
    </w:p>
    <w:p w14:paraId="1CA414EE">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理财计划不得直接投资于信贷资产，不得直接或间接投资于浙商银行信贷资产，不得直接或间接投资于浙商银行或其他银行业金融机构发行的理财产品，不得直接或间接投资于浙商银行发行的次级档信贷资产支持证券，不得直接或间接投资于未上市公司股权及其受（收）益权。</w:t>
      </w:r>
    </w:p>
    <w:p w14:paraId="10058056">
      <w:pPr>
        <w:tabs>
          <w:tab w:val="left" w:pos="3119"/>
        </w:tabs>
        <w:autoSpaceDE w:val="0"/>
        <w:autoSpaceDN w:val="0"/>
        <w:adjustRightInd w:val="0"/>
        <w:spacing w:line="360" w:lineRule="auto"/>
        <w:ind w:right="31" w:rightChars="15" w:firstLine="420" w:firstLineChars="200"/>
        <w:contextualSpacing/>
        <w:rPr>
          <w:rFonts w:hint="eastAsia" w:ascii="仿宋_GB2312" w:hAnsi="宋体" w:eastAsia="仿宋_GB2312" w:cs="宋体"/>
          <w:bCs/>
          <w:color w:val="auto"/>
          <w:kern w:val="0"/>
          <w:szCs w:val="24"/>
          <w:highlight w:val="none"/>
          <w:u w:val="none"/>
          <w:lang w:eastAsia="zh-CN"/>
        </w:rPr>
      </w:pPr>
      <w:r>
        <w:rPr>
          <w:rFonts w:hint="eastAsia" w:ascii="仿宋_GB2312" w:hAnsi="宋体" w:cs="宋体"/>
          <w:bCs/>
          <w:color w:val="auto"/>
          <w:kern w:val="0"/>
          <w:szCs w:val="24"/>
          <w:highlight w:val="none"/>
          <w:u w:val="none"/>
        </w:rPr>
        <w:t>以上限制，如监管有最新规定的，将参照监管规定调整。</w:t>
      </w:r>
      <w:r>
        <w:rPr>
          <w:rFonts w:hint="eastAsia" w:ascii="仿宋_GB2312" w:hAnsi="宋体" w:cs="宋体"/>
          <w:bCs/>
          <w:color w:val="auto"/>
          <w:kern w:val="0"/>
          <w:szCs w:val="24"/>
          <w:highlight w:val="yellow"/>
          <w:u w:val="none"/>
          <w:lang w:eastAsia="zh-CN"/>
        </w:rPr>
        <w:t>】</w:t>
      </w:r>
    </w:p>
    <w:p w14:paraId="5D90AC78">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本产品存续期内非因产品管理人主观因素导致产品投资突破上述限制的，管理人将尽合理努力，在15个交易日内调整至符合要求。</w:t>
      </w:r>
    </w:p>
    <w:p w14:paraId="48A2A7EF">
      <w:pPr>
        <w:pStyle w:val="3"/>
        <w:numPr>
          <w:ilvl w:val="1"/>
          <w:numId w:val="10"/>
        </w:numPr>
        <w:ind w:firstLine="482"/>
        <w:rPr>
          <w:color w:val="auto"/>
          <w:highlight w:val="none"/>
        </w:rPr>
      </w:pPr>
      <w:r>
        <w:rPr>
          <w:rFonts w:hint="eastAsia"/>
          <w:color w:val="auto"/>
          <w:highlight w:val="none"/>
        </w:rPr>
        <w:t>投资范围调整</w:t>
      </w:r>
    </w:p>
    <w:p w14:paraId="1B31D32C">
      <w:pPr>
        <w:tabs>
          <w:tab w:val="left" w:pos="3119"/>
        </w:tabs>
        <w:autoSpaceDE w:val="0"/>
        <w:autoSpaceDN w:val="0"/>
        <w:adjustRightInd w:val="0"/>
        <w:snapToGrid w:val="0"/>
        <w:spacing w:line="360" w:lineRule="auto"/>
        <w:ind w:firstLine="422" w:firstLineChars="200"/>
        <w:rPr>
          <w:rFonts w:hint="eastAsia" w:ascii="仿宋_GB2312" w:hAnsi="宋体" w:cs="宋体"/>
          <w:color w:val="auto"/>
          <w:kern w:val="0"/>
          <w:szCs w:val="24"/>
          <w:highlight w:val="none"/>
        </w:rPr>
      </w:pPr>
      <w:r>
        <w:rPr>
          <w:rFonts w:hint="eastAsia" w:ascii="仿宋_GB2312" w:hAnsi="宋体" w:cs="宋体"/>
          <w:b/>
          <w:bCs/>
          <w:color w:val="auto"/>
          <w:kern w:val="0"/>
          <w:szCs w:val="24"/>
          <w:highlight w:val="none"/>
        </w:rPr>
        <w:t>在不违反法律、法规、规章和监管规定的强制性规范的前提下，管理人有权根据市场情况，对本产品的投资范围、投资资产种类或投资比例等进行调整，在调整前将通过本产品说明书约定的信息披露渠道进行信息披露。</w:t>
      </w:r>
      <w:r>
        <w:rPr>
          <w:rFonts w:hint="eastAsia" w:ascii="仿宋_GB2312" w:hAnsi="宋体" w:cs="宋体"/>
          <w:color w:val="auto"/>
          <w:kern w:val="0"/>
          <w:szCs w:val="24"/>
          <w:highlight w:val="none"/>
        </w:rPr>
        <w:t>上述情况下管理人可能开放赎回，具体以信息披露内容为准。投资者不同意信息披露内容的，可在信息披露中约定的时间内赎回本产品。如投资者未在上述约定时间内赎回本产品，则视为投资者对上述调整无异议并同意继续持有本产品。除高风险类型的理财产品超出比例范围投资较低风险资产的情况外，管理人应提前取得投资者书面同意，并履行登记备案等法律法规以及金融监督管理部门规定的程序。</w:t>
      </w:r>
    </w:p>
    <w:p w14:paraId="198A87A9">
      <w:pPr>
        <w:pStyle w:val="3"/>
        <w:numPr>
          <w:ilvl w:val="1"/>
          <w:numId w:val="10"/>
        </w:numPr>
        <w:autoSpaceDE w:val="0"/>
        <w:autoSpaceDN w:val="0"/>
        <w:adjustRightInd w:val="0"/>
        <w:snapToGrid w:val="0"/>
        <w:ind w:right="31" w:rightChars="15" w:firstLine="482"/>
        <w:rPr>
          <w:color w:val="auto"/>
          <w:highlight w:val="none"/>
        </w:rPr>
      </w:pPr>
      <w:r>
        <w:rPr>
          <w:rFonts w:hint="eastAsia"/>
          <w:color w:val="auto"/>
          <w:highlight w:val="none"/>
        </w:rPr>
        <w:t>投资策略</w:t>
      </w:r>
    </w:p>
    <w:p w14:paraId="029AFD88">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yellow"/>
        </w:rPr>
      </w:pP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yellow"/>
        </w:rPr>
        <w:t>本理财产品本着稳健投资的理念，通过对宏观经济的研究，在较低风险资产间进行合理配置，在有效控制风险的基础上尽可能提高投资组合收益。理财产品投资以固定收益投资为主，主要投资于债券等标准化债权类资产及货币基金、存款等高流动性金融工具，同时根据宏观经济、货币政策和信用环境等因素，制定多种投资策略，并以不超过20%的比例进行多元配置。在投资组合构建和调整的过程中，根据投资品种的变化，如收益率、流动性状况变化或品种到期等，不定期的对组合进行优化调整。</w:t>
      </w:r>
    </w:p>
    <w:p w14:paraId="73A31C06">
      <w:pPr>
        <w:tabs>
          <w:tab w:val="left" w:pos="3119"/>
        </w:tabs>
        <w:autoSpaceDE w:val="0"/>
        <w:autoSpaceDN w:val="0"/>
        <w:adjustRightInd w:val="0"/>
        <w:snapToGrid w:val="0"/>
        <w:spacing w:line="360" w:lineRule="auto"/>
        <w:ind w:firstLine="422" w:firstLineChars="200"/>
        <w:rPr>
          <w:rFonts w:hint="eastAsia" w:ascii="仿宋_GB2312" w:hAnsi="宋体" w:eastAsia="仿宋_GB2312" w:cs="宋体"/>
          <w:b/>
          <w:bCs/>
          <w:color w:val="auto"/>
          <w:kern w:val="0"/>
          <w:szCs w:val="24"/>
          <w:highlight w:val="yellow"/>
          <w:lang w:eastAsia="zh-CN"/>
        </w:rPr>
      </w:pPr>
      <w:r>
        <w:rPr>
          <w:rFonts w:hint="eastAsia" w:ascii="仿宋_GB2312" w:hAnsi="宋体" w:cs="宋体"/>
          <w:b/>
          <w:bCs/>
          <w:color w:val="auto"/>
          <w:kern w:val="0"/>
          <w:szCs w:val="24"/>
          <w:highlight w:val="yellow"/>
        </w:rPr>
        <w:t>本产品可在符合监管规定的前提下适当运用杠杆原理，通过回购操作，增强投资组合的收益水平,但本理财产品总资产不超过净资产的【140%</w:t>
      </w:r>
      <w:r>
        <w:rPr>
          <w:rFonts w:ascii="仿宋_GB2312" w:hAnsi="宋体" w:cs="宋体"/>
          <w:b/>
          <w:bCs/>
          <w:color w:val="auto"/>
          <w:kern w:val="0"/>
          <w:szCs w:val="24"/>
          <w:highlight w:val="yellow"/>
        </w:rPr>
        <w:t>】</w:t>
      </w:r>
      <w:r>
        <w:rPr>
          <w:rFonts w:hint="eastAsia" w:ascii="仿宋_GB2312" w:hAnsi="宋体" w:cs="宋体"/>
          <w:b/>
          <w:bCs/>
          <w:color w:val="auto"/>
          <w:kern w:val="0"/>
          <w:szCs w:val="24"/>
          <w:highlight w:val="yellow"/>
        </w:rPr>
        <w:t>。</w:t>
      </w:r>
      <w:r>
        <w:rPr>
          <w:rFonts w:hint="eastAsia" w:ascii="仿宋_GB2312" w:hAnsi="宋体" w:cs="宋体"/>
          <w:b/>
          <w:bCs/>
          <w:color w:val="auto"/>
          <w:kern w:val="0"/>
          <w:szCs w:val="24"/>
          <w:highlight w:val="yellow"/>
          <w:lang w:eastAsia="zh-CN"/>
        </w:rPr>
        <w:t>】</w:t>
      </w:r>
    </w:p>
    <w:p w14:paraId="73DB9167">
      <w:pPr>
        <w:pStyle w:val="3"/>
        <w:numPr>
          <w:ilvl w:val="1"/>
          <w:numId w:val="10"/>
        </w:numPr>
        <w:ind w:firstLine="482"/>
        <w:rPr>
          <w:color w:val="auto"/>
          <w:highlight w:val="none"/>
        </w:rPr>
      </w:pPr>
      <w:r>
        <w:rPr>
          <w:rFonts w:hint="eastAsia"/>
          <w:color w:val="auto"/>
          <w:highlight w:val="none"/>
        </w:rPr>
        <w:t>投资</w:t>
      </w:r>
      <w:r>
        <w:rPr>
          <w:color w:val="auto"/>
          <w:highlight w:val="none"/>
        </w:rPr>
        <w:t>合作机构</w:t>
      </w:r>
    </w:p>
    <w:p w14:paraId="57D2F48E">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投资合作机构包括但不限于理财产品所投资资产管理产品的发行机构、根据合同约定从事理财产品受托投资的机构、与理财产品投资管理相关的投资顾问等。本理财产品的投资合作机构主要职责为对受托资金进行投资和管理，根据合同约定从事受托投资或提供投资顾问等服务，具体职责以管理人与投资合作机构签署的合同为准。</w:t>
      </w:r>
    </w:p>
    <w:p w14:paraId="73946083">
      <w:pPr>
        <w:tabs>
          <w:tab w:val="left" w:pos="3119"/>
        </w:tabs>
        <w:autoSpaceDE w:val="0"/>
        <w:autoSpaceDN w:val="0"/>
        <w:adjustRightInd w:val="0"/>
        <w:snapToGrid w:val="0"/>
        <w:spacing w:line="360" w:lineRule="auto"/>
        <w:ind w:right="31" w:rightChars="15" w:firstLine="420" w:firstLineChars="200"/>
        <w:rPr>
          <w:color w:val="auto"/>
          <w:highlight w:val="none"/>
        </w:rPr>
      </w:pPr>
      <w:r>
        <w:rPr>
          <w:rFonts w:hint="eastAsia" w:ascii="仿宋_GB2312" w:hAnsi="宋体" w:cs="宋体"/>
          <w:bCs/>
          <w:color w:val="auto"/>
          <w:kern w:val="0"/>
          <w:szCs w:val="24"/>
          <w:highlight w:val="none"/>
        </w:rPr>
        <w:t>本理财产品的投资合作机构均为具有专业资质并受国家金融监督管理总局监管的金融机构或国务院银行业监督管理机构认可的其他机构。本理财产品成立时暂无特定投资合作机构，具体以后续信息披露为准。</w:t>
      </w:r>
      <w:r>
        <w:rPr>
          <w:rFonts w:hint="eastAsia" w:ascii="仿宋_GB2312" w:hAnsi="宋体" w:eastAsia="仿宋_GB2312" w:cs="宋体"/>
          <w:bCs/>
          <w:color w:val="auto"/>
          <w:kern w:val="0"/>
          <w:sz w:val="24"/>
          <w:szCs w:val="24"/>
          <w:highlight w:val="none"/>
        </w:rPr>
        <w:br w:type="page"/>
      </w:r>
    </w:p>
    <w:p w14:paraId="2F69E799">
      <w:pPr>
        <w:pStyle w:val="2"/>
        <w:numPr>
          <w:ilvl w:val="0"/>
          <w:numId w:val="10"/>
        </w:numPr>
        <w:tabs>
          <w:tab w:val="left" w:pos="3119"/>
          <w:tab w:val="clear" w:pos="0"/>
        </w:tabs>
        <w:autoSpaceDE w:val="0"/>
        <w:autoSpaceDN w:val="0"/>
        <w:adjustRightInd w:val="0"/>
        <w:spacing w:before="240"/>
        <w:ind w:right="31" w:rightChars="15" w:firstLine="560"/>
        <w:contextualSpacing/>
        <w:rPr>
          <w:color w:val="auto"/>
          <w:highlight w:val="none"/>
        </w:rPr>
      </w:pPr>
      <w:r>
        <w:rPr>
          <w:rFonts w:hint="eastAsia"/>
          <w:color w:val="auto"/>
          <w:highlight w:val="none"/>
        </w:rPr>
        <w:t>理财产品的托管</w:t>
      </w:r>
    </w:p>
    <w:p w14:paraId="6F8272A0">
      <w:pPr>
        <w:tabs>
          <w:tab w:val="left" w:pos="3119"/>
        </w:tabs>
        <w:autoSpaceDE w:val="0"/>
        <w:autoSpaceDN w:val="0"/>
        <w:adjustRightInd w:val="0"/>
        <w:spacing w:before="240" w:line="360" w:lineRule="auto"/>
        <w:ind w:right="31" w:rightChars="15" w:firstLine="422" w:firstLineChars="200"/>
        <w:contextualSpacing/>
        <w:rPr>
          <w:rFonts w:ascii="仿宋_GB2312" w:hAnsi="宋体" w:cs="宋体"/>
          <w:bCs/>
          <w:color w:val="auto"/>
          <w:kern w:val="0"/>
          <w:szCs w:val="24"/>
          <w:highlight w:val="none"/>
          <w:u w:val="none"/>
        </w:rPr>
      </w:pPr>
      <w:r>
        <w:rPr>
          <w:rFonts w:hint="eastAsia" w:ascii="仿宋_GB2312" w:hAnsi="宋体" w:cs="宋体"/>
          <w:b/>
          <w:color w:val="auto"/>
          <w:kern w:val="0"/>
          <w:szCs w:val="24"/>
          <w:highlight w:val="none"/>
          <w:u w:val="none"/>
        </w:rPr>
        <w:t>本理财产品托管人为</w:t>
      </w:r>
      <w:r>
        <w:rPr>
          <w:rFonts w:hint="eastAsia" w:ascii="仿宋_GB2312" w:hAnsi="宋体" w:cs="宋体"/>
          <w:b/>
          <w:kern w:val="0"/>
          <w:szCs w:val="24"/>
          <w:highlight w:val="yellow"/>
          <w:lang w:eastAsia="zh-CN"/>
        </w:rPr>
        <w:t>【】</w:t>
      </w:r>
      <w:r>
        <w:rPr>
          <w:rFonts w:hint="eastAsia" w:ascii="仿宋_GB2312" w:hAnsi="宋体" w:cs="宋体"/>
          <w:b/>
          <w:color w:val="auto"/>
          <w:kern w:val="0"/>
          <w:szCs w:val="24"/>
          <w:highlight w:val="none"/>
          <w:u w:val="none"/>
        </w:rPr>
        <w:t>。托管</w:t>
      </w:r>
      <w:r>
        <w:rPr>
          <w:rFonts w:hint="eastAsia" w:ascii="仿宋_GB2312" w:hAnsi="宋体" w:cs="宋体"/>
          <w:b/>
          <w:bCs w:val="0"/>
          <w:color w:val="auto"/>
          <w:kern w:val="0"/>
          <w:szCs w:val="24"/>
          <w:highlight w:val="none"/>
          <w:u w:val="none"/>
        </w:rPr>
        <w:t>人</w:t>
      </w:r>
      <w:r>
        <w:rPr>
          <w:rFonts w:hint="eastAsia" w:ascii="仿宋_GB2312" w:hAnsi="宋体" w:cs="宋体"/>
          <w:b/>
          <w:kern w:val="0"/>
          <w:szCs w:val="24"/>
          <w:highlight w:val="yellow"/>
          <w:lang w:eastAsia="zh-CN"/>
        </w:rPr>
        <w:t>【</w:t>
      </w:r>
      <w:r>
        <w:rPr>
          <w:rFonts w:hint="eastAsia" w:ascii="仿宋_GB2312" w:hAnsi="宋体" w:cs="宋体"/>
          <w:b/>
          <w:kern w:val="0"/>
          <w:szCs w:val="24"/>
          <w:highlight w:val="none"/>
        </w:rPr>
        <w:t>是</w:t>
      </w:r>
      <w:r>
        <w:rPr>
          <w:rFonts w:hint="eastAsia" w:ascii="仿宋_GB2312" w:hAnsi="宋体" w:cs="宋体"/>
          <w:b/>
          <w:kern w:val="0"/>
          <w:szCs w:val="24"/>
          <w:highlight w:val="none"/>
          <w:lang w:val="en-US" w:eastAsia="zh-CN"/>
        </w:rPr>
        <w:t>/</w:t>
      </w:r>
      <w:r>
        <w:rPr>
          <w:rFonts w:hint="eastAsia" w:ascii="仿宋_GB2312" w:hAnsi="宋体"/>
          <w:b/>
          <w:szCs w:val="24"/>
          <w:highlight w:val="none"/>
        </w:rPr>
        <w:t>非</w:t>
      </w:r>
      <w:r>
        <w:rPr>
          <w:rFonts w:hint="eastAsia" w:ascii="仿宋_GB2312" w:hAnsi="宋体" w:cs="宋体"/>
          <w:b/>
          <w:kern w:val="0"/>
          <w:szCs w:val="24"/>
          <w:highlight w:val="yellow"/>
          <w:lang w:eastAsia="zh-CN"/>
        </w:rPr>
        <w:t>】</w:t>
      </w:r>
      <w:r>
        <w:rPr>
          <w:rFonts w:hint="eastAsia" w:ascii="仿宋_GB2312" w:hAnsi="宋体" w:cs="宋体"/>
          <w:b/>
          <w:bCs w:val="0"/>
          <w:color w:val="auto"/>
          <w:kern w:val="0"/>
          <w:szCs w:val="24"/>
          <w:highlight w:val="none"/>
          <w:u w:val="none"/>
        </w:rPr>
        <w:t>产品管理人</w:t>
      </w:r>
      <w:r>
        <w:rPr>
          <w:rFonts w:hint="eastAsia" w:ascii="仿宋_GB2312" w:hAnsi="宋体" w:cs="宋体"/>
          <w:b/>
          <w:color w:val="auto"/>
          <w:kern w:val="0"/>
          <w:szCs w:val="24"/>
          <w:highlight w:val="none"/>
          <w:u w:val="none"/>
        </w:rPr>
        <w:t>的关联方。</w:t>
      </w:r>
    </w:p>
    <w:p w14:paraId="3062EDD1">
      <w:pPr>
        <w:tabs>
          <w:tab w:val="left" w:pos="3119"/>
        </w:tabs>
        <w:autoSpaceDE w:val="0"/>
        <w:autoSpaceDN w:val="0"/>
        <w:adjustRightInd w:val="0"/>
        <w:spacing w:before="240" w:line="360" w:lineRule="auto"/>
        <w:ind w:right="31" w:rightChars="15" w:firstLine="422" w:firstLineChars="200"/>
        <w:contextualSpacing/>
        <w:rPr>
          <w:rFonts w:ascii="仿宋_GB2312" w:hAnsi="宋体" w:cs="宋体"/>
          <w:bCs/>
          <w:color w:val="auto"/>
          <w:kern w:val="0"/>
          <w:szCs w:val="24"/>
          <w:highlight w:val="none"/>
          <w:u w:val="none"/>
        </w:rPr>
      </w:pPr>
      <w:r>
        <w:rPr>
          <w:rFonts w:hint="eastAsia" w:ascii="仿宋_GB2312" w:hAnsi="宋体" w:cs="宋体"/>
          <w:b/>
          <w:kern w:val="0"/>
          <w:szCs w:val="24"/>
          <w:highlight w:val="yellow"/>
          <w:lang w:eastAsia="zh-CN"/>
        </w:rPr>
        <w:t>【】</w:t>
      </w:r>
      <w:r>
        <w:rPr>
          <w:rFonts w:hint="eastAsia" w:ascii="仿宋_GB2312" w:hAnsi="宋体" w:cs="宋体"/>
          <w:bCs/>
          <w:color w:val="auto"/>
          <w:kern w:val="0"/>
          <w:szCs w:val="24"/>
          <w:highlight w:val="none"/>
          <w:u w:val="none"/>
        </w:rPr>
        <w:t>具备监管机构认可的理财产品托管资格，主要履行职责包括：</w:t>
      </w:r>
    </w:p>
    <w:p w14:paraId="64D19364">
      <w:pPr>
        <w:tabs>
          <w:tab w:val="left" w:pos="3119"/>
        </w:tabs>
        <w:autoSpaceDE w:val="0"/>
        <w:autoSpaceDN w:val="0"/>
        <w:adjustRightInd w:val="0"/>
        <w:spacing w:before="240"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（一）安全保管理财产品财产；</w:t>
      </w:r>
    </w:p>
    <w:p w14:paraId="585BB7AD">
      <w:pPr>
        <w:tabs>
          <w:tab w:val="left" w:pos="3119"/>
        </w:tabs>
        <w:autoSpaceDE w:val="0"/>
        <w:autoSpaceDN w:val="0"/>
        <w:adjustRightInd w:val="0"/>
        <w:spacing w:before="240"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（二）确保托管资金安全，保证其托管的理财产品财产与其自有资产相互独立；为每只理财产品开设独立的托管账户，不同托管账户中的资产应当相互独立；</w:t>
      </w:r>
    </w:p>
    <w:p w14:paraId="0B1CE17E">
      <w:pPr>
        <w:tabs>
          <w:tab w:val="left" w:pos="3119"/>
        </w:tabs>
        <w:autoSpaceDE w:val="0"/>
        <w:autoSpaceDN w:val="0"/>
        <w:adjustRightInd w:val="0"/>
        <w:spacing w:before="240"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（三）按照托管协议约定和管理人的投资指令，及时办理清算、交割事宜；</w:t>
      </w:r>
    </w:p>
    <w:p w14:paraId="587ACE21">
      <w:pPr>
        <w:tabs>
          <w:tab w:val="left" w:pos="3119"/>
        </w:tabs>
        <w:autoSpaceDE w:val="0"/>
        <w:autoSpaceDN w:val="0"/>
        <w:adjustRightInd w:val="0"/>
        <w:spacing w:before="240"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（四）建立与管理人的对账机制，复核、审查理财产品资金头寸、资产账目、资产净值、认购和赎回价格等数据，及时核查认购、赎回以及投资资金的支付和到账情况；</w:t>
      </w:r>
    </w:p>
    <w:p w14:paraId="5432CDBA">
      <w:pPr>
        <w:tabs>
          <w:tab w:val="left" w:pos="3119"/>
        </w:tabs>
        <w:autoSpaceDE w:val="0"/>
        <w:autoSpaceDN w:val="0"/>
        <w:adjustRightInd w:val="0"/>
        <w:spacing w:before="240"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（五）监督理财产品投资运作，发现理财产品违反法律、行政法规、规章规定或合同约定进行投资的，应当拒绝执行，及时通知管理人并报告银行业监督管理机构；</w:t>
      </w:r>
    </w:p>
    <w:p w14:paraId="5E9A143A">
      <w:pPr>
        <w:tabs>
          <w:tab w:val="left" w:pos="3119"/>
        </w:tabs>
        <w:autoSpaceDE w:val="0"/>
        <w:autoSpaceDN w:val="0"/>
        <w:adjustRightInd w:val="0"/>
        <w:spacing w:before="240"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六）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365869EE">
      <w:pPr>
        <w:tabs>
          <w:tab w:val="left" w:pos="3119"/>
        </w:tabs>
        <w:autoSpaceDE w:val="0"/>
        <w:autoSpaceDN w:val="0"/>
        <w:adjustRightInd w:val="0"/>
        <w:spacing w:before="240"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（七）理财托管业务活动的记录、账册、报表和其他相关资料保存</w:t>
      </w:r>
      <w:r>
        <w:rPr>
          <w:rFonts w:ascii="仿宋_GB2312" w:hAnsi="宋体" w:cs="宋体"/>
          <w:bCs/>
          <w:color w:val="auto"/>
          <w:kern w:val="0"/>
          <w:szCs w:val="24"/>
          <w:highlight w:val="none"/>
        </w:rPr>
        <w:t>15年以上；</w:t>
      </w:r>
    </w:p>
    <w:p w14:paraId="4A54E898">
      <w:pPr>
        <w:tabs>
          <w:tab w:val="left" w:pos="3119"/>
        </w:tabs>
        <w:autoSpaceDE w:val="0"/>
        <w:autoSpaceDN w:val="0"/>
        <w:adjustRightInd w:val="0"/>
        <w:spacing w:before="240"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（八）对理财产品投资信息和相关资料承担保密责任，除法律、行政法规、规章规定、审计要求或者合同约定外，不得向任何机构或者个人提供相关信息和资料；</w:t>
      </w:r>
    </w:p>
    <w:p w14:paraId="7D37FBA5">
      <w:pPr>
        <w:tabs>
          <w:tab w:val="left" w:pos="3119"/>
        </w:tabs>
        <w:autoSpaceDE w:val="0"/>
        <w:autoSpaceDN w:val="0"/>
        <w:adjustRightInd w:val="0"/>
        <w:spacing w:before="240"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（九）托管人的董事、监事、高级管理人员和其他托管业务人员不得有《商业银行理财业务监督管理办法》第二十四条第二款所列行为；</w:t>
      </w:r>
    </w:p>
    <w:p w14:paraId="393A8E67">
      <w:pPr>
        <w:tabs>
          <w:tab w:val="left" w:pos="3119"/>
        </w:tabs>
        <w:autoSpaceDE w:val="0"/>
        <w:autoSpaceDN w:val="0"/>
        <w:adjustRightInd w:val="0"/>
        <w:spacing w:before="240"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（十</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配合提供托管人相应关联方信息；</w:t>
      </w:r>
    </w:p>
    <w:p w14:paraId="0E9A1D25">
      <w:pPr>
        <w:tabs>
          <w:tab w:val="left" w:pos="3119"/>
        </w:tabs>
        <w:autoSpaceDE w:val="0"/>
        <w:autoSpaceDN w:val="0"/>
        <w:adjustRightInd w:val="0"/>
        <w:spacing w:before="240"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（十</w:t>
      </w:r>
      <w:r>
        <w:rPr>
          <w:rFonts w:ascii="仿宋_GB2312" w:hAnsi="宋体" w:cs="宋体"/>
          <w:bCs/>
          <w:color w:val="auto"/>
          <w:kern w:val="0"/>
          <w:szCs w:val="24"/>
          <w:highlight w:val="none"/>
        </w:rPr>
        <w:t>一）</w:t>
      </w:r>
      <w:r>
        <w:rPr>
          <w:rFonts w:hint="eastAsia" w:ascii="仿宋_GB2312" w:hAnsi="宋体" w:cs="宋体"/>
          <w:bCs/>
          <w:color w:val="auto"/>
          <w:kern w:val="0"/>
          <w:szCs w:val="24"/>
          <w:highlight w:val="none"/>
        </w:rPr>
        <w:t>国务院银行业监督管理机构规定的其他职责。</w:t>
      </w:r>
    </w:p>
    <w:p w14:paraId="3E8B9ED5">
      <w:pPr>
        <w:rPr>
          <w:rFonts w:hint="eastAsia" w:ascii="仿宋_GB2312" w:hAnsi="宋体" w:cs="宋体"/>
          <w:bCs/>
          <w:color w:val="auto"/>
          <w:kern w:val="0"/>
          <w:szCs w:val="24"/>
          <w:highlight w:val="none"/>
        </w:rPr>
      </w:pPr>
      <w:r>
        <w:rPr>
          <w:rFonts w:ascii="仿宋_GB2312" w:hAnsi="宋体" w:cs="宋体"/>
          <w:bCs/>
          <w:color w:val="auto"/>
          <w:kern w:val="0"/>
          <w:szCs w:val="24"/>
          <w:highlight w:val="none"/>
        </w:rPr>
        <w:br w:type="page"/>
      </w:r>
    </w:p>
    <w:p w14:paraId="3E4FD47E">
      <w:pPr>
        <w:pStyle w:val="2"/>
        <w:numPr>
          <w:ilvl w:val="0"/>
          <w:numId w:val="10"/>
        </w:numPr>
        <w:rPr>
          <w:color w:val="auto"/>
          <w:highlight w:val="none"/>
        </w:rPr>
      </w:pPr>
      <w:r>
        <w:rPr>
          <w:rFonts w:hint="eastAsia"/>
          <w:color w:val="auto"/>
          <w:highlight w:val="none"/>
        </w:rPr>
        <w:t>理财产品资产估值</w:t>
      </w:r>
    </w:p>
    <w:p w14:paraId="7FE5B43F">
      <w:pPr>
        <w:pStyle w:val="3"/>
        <w:numPr>
          <w:ilvl w:val="1"/>
          <w:numId w:val="10"/>
        </w:numPr>
        <w:ind w:firstLine="482"/>
        <w:rPr>
          <w:color w:val="auto"/>
          <w:highlight w:val="none"/>
        </w:rPr>
      </w:pPr>
      <w:r>
        <w:rPr>
          <w:rFonts w:hint="eastAsia"/>
          <w:color w:val="auto"/>
          <w:highlight w:val="none"/>
        </w:rPr>
        <w:t>估值日</w:t>
      </w:r>
    </w:p>
    <w:p w14:paraId="2919D125">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highlight w:val="yellow"/>
          <w:lang w:eastAsia="zh-CN"/>
        </w:rPr>
        <w:t>【</w:t>
      </w:r>
      <w:r>
        <w:rPr>
          <w:rFonts w:hint="eastAsia"/>
          <w:color w:val="auto"/>
          <w:highlight w:val="none"/>
          <w:u w:val="none"/>
        </w:rPr>
        <w:t>本产品的估值日为</w:t>
      </w:r>
      <w:r>
        <w:rPr>
          <w:rFonts w:hint="eastAsia"/>
          <w:highlight w:val="yellow"/>
          <w:lang w:eastAsia="zh-CN"/>
        </w:rPr>
        <w:t>】</w:t>
      </w:r>
      <w:r>
        <w:rPr>
          <w:rFonts w:hint="eastAsia"/>
          <w:color w:val="auto"/>
          <w:highlight w:val="none"/>
          <w:u w:val="none"/>
        </w:rPr>
        <w:t>。</w:t>
      </w:r>
    </w:p>
    <w:p w14:paraId="0F2E2D73">
      <w:pPr>
        <w:pStyle w:val="3"/>
        <w:numPr>
          <w:ilvl w:val="1"/>
          <w:numId w:val="10"/>
        </w:numPr>
        <w:ind w:firstLine="482"/>
        <w:rPr>
          <w:color w:val="auto"/>
          <w:highlight w:val="none"/>
        </w:rPr>
      </w:pPr>
      <w:r>
        <w:rPr>
          <w:rFonts w:hint="eastAsia"/>
          <w:color w:val="auto"/>
          <w:highlight w:val="none"/>
        </w:rPr>
        <w:t>估值对象</w:t>
      </w:r>
    </w:p>
    <w:p w14:paraId="56F7582E">
      <w:pPr>
        <w:autoSpaceDE w:val="0"/>
        <w:autoSpaceDN w:val="0"/>
        <w:adjustRightInd w:val="0"/>
        <w:snapToGrid w:val="0"/>
        <w:spacing w:line="360" w:lineRule="auto"/>
        <w:ind w:firstLine="404" w:firstLineChars="200"/>
        <w:jc w:val="left"/>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本理财产品估值的对象为本理财产品所持有的一切资产和负债。</w:t>
      </w:r>
    </w:p>
    <w:p w14:paraId="4093C770">
      <w:pPr>
        <w:pStyle w:val="3"/>
        <w:numPr>
          <w:ilvl w:val="1"/>
          <w:numId w:val="10"/>
        </w:numPr>
        <w:ind w:firstLine="482"/>
        <w:rPr>
          <w:color w:val="auto"/>
          <w:highlight w:val="none"/>
        </w:rPr>
      </w:pPr>
      <w:r>
        <w:rPr>
          <w:rFonts w:hint="eastAsia"/>
          <w:color w:val="auto"/>
          <w:highlight w:val="none"/>
        </w:rPr>
        <w:t>估值方法</w:t>
      </w:r>
    </w:p>
    <w:p w14:paraId="387D1F57">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ascii="仿宋_GB2312" w:hAnsi="宋体" w:cs="宋体"/>
          <w:bCs/>
          <w:color w:val="auto"/>
          <w:spacing w:val="-4"/>
          <w:kern w:val="0"/>
          <w:szCs w:val="24"/>
          <w:highlight w:val="none"/>
        </w:rPr>
        <w:t>1.</w:t>
      </w:r>
      <w:r>
        <w:rPr>
          <w:rFonts w:hint="eastAsia" w:ascii="仿宋_GB2312" w:hAnsi="宋体" w:cs="宋体"/>
          <w:bCs/>
          <w:color w:val="auto"/>
          <w:spacing w:val="-4"/>
          <w:kern w:val="0"/>
          <w:szCs w:val="24"/>
          <w:highlight w:val="none"/>
        </w:rPr>
        <w:t>货币市场工具类资产的估值</w:t>
      </w:r>
    </w:p>
    <w:p w14:paraId="06441B24">
      <w:pPr>
        <w:tabs>
          <w:tab w:val="left" w:pos="3119"/>
        </w:tabs>
        <w:autoSpaceDE w:val="0"/>
        <w:autoSpaceDN w:val="0"/>
        <w:snapToGrid w:val="0"/>
        <w:spacing w:line="360" w:lineRule="auto"/>
        <w:ind w:firstLine="404" w:firstLineChars="200"/>
        <w:rPr>
          <w:rFonts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（1）银行存款、同业存款及债券回购按其商定利率或协议利率在实际持有期内逐日计提收益。</w:t>
      </w:r>
    </w:p>
    <w:p w14:paraId="0DEDE1C4">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（2）货币基金按最近披露的基金份额净值进行估值，并依据该基金公布的前一日每万份收益计提收益。</w:t>
      </w:r>
    </w:p>
    <w:p w14:paraId="63FCFDA2">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ascii="仿宋_GB2312" w:hAnsi="宋体" w:cs="宋体"/>
          <w:bCs/>
          <w:color w:val="auto"/>
          <w:spacing w:val="-4"/>
          <w:kern w:val="0"/>
          <w:szCs w:val="24"/>
          <w:highlight w:val="none"/>
        </w:rPr>
        <w:t>2.</w:t>
      </w:r>
      <w:r>
        <w:rPr>
          <w:rFonts w:hint="eastAsia" w:ascii="仿宋_GB2312" w:hAnsi="宋体" w:cs="宋体"/>
          <w:bCs/>
          <w:color w:val="auto"/>
          <w:spacing w:val="-4"/>
          <w:kern w:val="0"/>
          <w:szCs w:val="24"/>
          <w:highlight w:val="none"/>
        </w:rPr>
        <w:t>在证券交易所和银行间市场交易的债券的估值</w:t>
      </w:r>
    </w:p>
    <w:p w14:paraId="102EAAE6">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（1）不含转股权的债券，按照第三方估值机构（中债、中证等）提供的估值数据对本理财产品所持有债券进行估值，具体的第三方估值机构有管理人与托管人协商确定；</w:t>
      </w:r>
    </w:p>
    <w:p w14:paraId="3567DAF8">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（2）含转股权的债券（如可转债券等），实行全价交易的，按照估值日收盘价减去收盘价中所含债券的应收利息后的净价进行估值；实行净价交易的，按照估值日收盘价进行估值；</w:t>
      </w:r>
    </w:p>
    <w:p w14:paraId="1E315127">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3）对于暂不具备活跃交易市场，或者在活跃市场中没有公允报价的资产，采用估值技术确定其公允价值。在估值技术难以可靠计量公允价值的情况下，可按照监管机构认可的符合企业会计准则的其他方法进行估值；</w:t>
      </w:r>
    </w:p>
    <w:p w14:paraId="7E77AB75">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（4）如监管对债券估值另有规定，按照监管的最新规定进行调整。</w:t>
      </w:r>
    </w:p>
    <w:p w14:paraId="200FFB59">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lang w:val="en-US" w:eastAsia="zh-CN"/>
        </w:rPr>
        <w:t>3</w:t>
      </w:r>
      <w:r>
        <w:rPr>
          <w:rFonts w:hint="eastAsia" w:ascii="仿宋_GB2312" w:hAnsi="宋体" w:cs="宋体"/>
          <w:bCs/>
          <w:color w:val="auto"/>
          <w:spacing w:val="-4"/>
          <w:kern w:val="0"/>
          <w:szCs w:val="24"/>
          <w:highlight w:val="none"/>
        </w:rPr>
        <w:t>.优先股按第三方估值机构（中证、中债等）提供的估值数据进行估值；无第三方估值数据的，由管理人与托管人根据合理判断按反映产品公允价值的计量方案进行估值。</w:t>
      </w:r>
    </w:p>
    <w:p w14:paraId="600B37B8">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lang w:val="en-US" w:eastAsia="zh-CN"/>
        </w:rPr>
        <w:t>4</w:t>
      </w:r>
      <w:r>
        <w:rPr>
          <w:rFonts w:hint="eastAsia" w:ascii="仿宋_GB2312" w:hAnsi="宋体" w:cs="宋体"/>
          <w:bCs/>
          <w:color w:val="auto"/>
          <w:spacing w:val="-4"/>
          <w:kern w:val="0"/>
          <w:szCs w:val="24"/>
          <w:highlight w:val="none"/>
        </w:rPr>
        <w:t>.交易所上市的有价证券（包括股票、权证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7709FEA3">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5.投资非货币证券投资基金的估值</w:t>
      </w:r>
    </w:p>
    <w:p w14:paraId="244E2B84">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（1）未上市非货币基金，按所投资基金管理人估值日披露的最新份额净值进行估值；</w:t>
      </w:r>
    </w:p>
    <w:p w14:paraId="35B0093D">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（2）上市基金估值</w:t>
      </w:r>
    </w:p>
    <w:p w14:paraId="1EA3356A">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交易所上市流通的基金（含公募REITs），以估值日其所在证券交易所的收盘价估值；境内上市的开放式基金（LOF），以所投资基金披露的最新份额净值进行估值。</w:t>
      </w:r>
    </w:p>
    <w:p w14:paraId="31CC9B89">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（3）如遇所投资基金不公布基金份额净值、进行折算或拆分、估值日无交易等特殊情况，则按以下原则进行估值：</w:t>
      </w:r>
    </w:p>
    <w:p w14:paraId="14ACD487">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①以所投资基金的基金份额净值估值的，若所投资基金管理人未公布估值日基金份额净值，则按最近公布的基金份额净值为基础估值。</w:t>
      </w:r>
    </w:p>
    <w:p w14:paraId="2CC99DF8">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②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场及重大变化因素调整最近交易市场，确定公允价值。</w:t>
      </w:r>
    </w:p>
    <w:p w14:paraId="005C79B4">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③如果所投资基金前一估值日至估值日期间发生分红除权、折算或拆分，理财产品管理人应根据基金份额净值或收盘价、单位基金份额分红金额、折算拆分比例、持仓份额等因素合理确定公允价值。</w:t>
      </w:r>
    </w:p>
    <w:p w14:paraId="4E7BD4A1">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6.投资符合投资范围内的其他各类资产管理产品的估值，以估值日截止时点获得的、由所投资资产管理人披露的最新份额净值或者投资收益情况进行估值；或由产品管理人和托管人根据合理判断按反映产品公允价值的估值方案进行估值。</w:t>
      </w:r>
    </w:p>
    <w:p w14:paraId="1D31938D">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7.商品与金融衍生品类资产的估值</w:t>
      </w:r>
    </w:p>
    <w:p w14:paraId="34144767">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（1）场内交易的商品与金融衍生品类资产，以交易所最近交易日的结算价或者收盘价进行估值；</w:t>
      </w:r>
    </w:p>
    <w:p w14:paraId="08AEBEAC">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（2）场外交易的商品与金融衍生品类资产，采用估值技术确定其公允价值，按照外部机构提供的价格数据或管理人与托管人认可的估值方案进行估值。</w:t>
      </w:r>
    </w:p>
    <w:p w14:paraId="7CE55903">
      <w:pPr>
        <w:tabs>
          <w:tab w:val="left" w:pos="3119"/>
        </w:tabs>
        <w:autoSpaceDE w:val="0"/>
        <w:autoSpaceDN w:val="0"/>
        <w:snapToGrid w:val="0"/>
        <w:spacing w:line="360" w:lineRule="auto"/>
        <w:ind w:firstLine="422" w:firstLineChars="200"/>
        <w:rPr>
          <w:rFonts w:hint="eastAsia" w:ascii="仿宋_GB2312" w:hAnsi="宋体" w:cs="宋体"/>
          <w:b/>
          <w:bCs/>
          <w:color w:val="auto"/>
          <w:kern w:val="0"/>
          <w:szCs w:val="24"/>
          <w:highlight w:val="none"/>
        </w:rPr>
      </w:pPr>
      <w:r>
        <w:rPr>
          <w:rFonts w:ascii="仿宋_GB2312" w:hAnsi="宋体" w:cs="宋体"/>
          <w:b/>
          <w:bCs/>
          <w:color w:val="auto"/>
          <w:kern w:val="0"/>
          <w:szCs w:val="24"/>
          <w:highlight w:val="none"/>
        </w:rPr>
        <w:t>8.如按当前估值方法不能客观反映资产公允价值的，</w:t>
      </w:r>
      <w:r>
        <w:rPr>
          <w:rFonts w:hint="eastAsia" w:ascii="仿宋_GB2312" w:hAnsi="宋体" w:cs="宋体"/>
          <w:b/>
          <w:bCs/>
          <w:color w:val="auto"/>
          <w:kern w:val="0"/>
          <w:szCs w:val="24"/>
          <w:highlight w:val="none"/>
        </w:rPr>
        <w:t>浙银理财有权根据具体情况，在与托管人商议后，按最能反映资产公允价值的方法估值。</w:t>
      </w:r>
    </w:p>
    <w:p w14:paraId="72E23597">
      <w:pPr>
        <w:tabs>
          <w:tab w:val="left" w:pos="3119"/>
        </w:tabs>
        <w:autoSpaceDE w:val="0"/>
        <w:autoSpaceDN w:val="0"/>
        <w:snapToGrid w:val="0"/>
        <w:spacing w:line="360" w:lineRule="auto"/>
        <w:ind w:firstLine="422" w:firstLineChars="200"/>
        <w:rPr>
          <w:rFonts w:hint="eastAsia" w:ascii="仿宋_GB2312" w:hAnsi="宋体" w:cs="宋体"/>
          <w:b/>
          <w:bCs/>
          <w:color w:val="auto"/>
          <w:spacing w:val="-4"/>
          <w:kern w:val="0"/>
          <w:szCs w:val="24"/>
          <w:highlight w:val="none"/>
        </w:rPr>
      </w:pPr>
      <w:r>
        <w:rPr>
          <w:rFonts w:ascii="仿宋_GB2312" w:hAnsi="宋体" w:cs="宋体"/>
          <w:b/>
          <w:bCs/>
          <w:color w:val="auto"/>
          <w:kern w:val="0"/>
          <w:szCs w:val="24"/>
          <w:highlight w:val="none"/>
        </w:rPr>
        <w:t>9.国家或相关监管机构有最新规定的，按其规定进行估值。</w:t>
      </w:r>
    </w:p>
    <w:p w14:paraId="59FFFB83">
      <w:pPr>
        <w:pStyle w:val="3"/>
        <w:numPr>
          <w:ilvl w:val="1"/>
          <w:numId w:val="10"/>
        </w:numPr>
        <w:ind w:firstLine="482"/>
        <w:rPr>
          <w:color w:val="auto"/>
          <w:highlight w:val="none"/>
        </w:rPr>
      </w:pPr>
      <w:r>
        <w:rPr>
          <w:rFonts w:hint="eastAsia"/>
          <w:color w:val="auto"/>
          <w:highlight w:val="none"/>
        </w:rPr>
        <w:t>估值错误处理</w:t>
      </w:r>
    </w:p>
    <w:p w14:paraId="41772FAF">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理财</w:t>
      </w:r>
      <w:r>
        <w:rPr>
          <w:rFonts w:ascii="仿宋_GB2312" w:hAnsi="宋体" w:cs="宋体"/>
          <w:bCs/>
          <w:color w:val="auto"/>
          <w:kern w:val="0"/>
          <w:szCs w:val="24"/>
          <w:highlight w:val="none"/>
        </w:rPr>
        <w:t>产品</w:t>
      </w:r>
      <w:r>
        <w:rPr>
          <w:rFonts w:hint="eastAsia" w:ascii="仿宋_GB2312" w:hAnsi="宋体" w:cs="宋体"/>
          <w:bCs/>
          <w:color w:val="auto"/>
          <w:kern w:val="0"/>
          <w:szCs w:val="24"/>
          <w:highlight w:val="none"/>
        </w:rPr>
        <w:t>管理人和</w:t>
      </w:r>
      <w:r>
        <w:rPr>
          <w:rFonts w:ascii="仿宋_GB2312" w:hAnsi="宋体" w:cs="宋体"/>
          <w:bCs/>
          <w:color w:val="auto"/>
          <w:kern w:val="0"/>
          <w:szCs w:val="24"/>
          <w:highlight w:val="none"/>
        </w:rPr>
        <w:t>理财产品托管人</w:t>
      </w:r>
      <w:r>
        <w:rPr>
          <w:rFonts w:hint="eastAsia" w:ascii="仿宋_GB2312" w:hAnsi="宋体" w:cs="宋体"/>
          <w:bCs/>
          <w:color w:val="auto"/>
          <w:kern w:val="0"/>
          <w:szCs w:val="24"/>
          <w:highlight w:val="none"/>
        </w:rPr>
        <w:t>将采取必要、适当、合理的措施确保产品资产估值的准确性、及时性。</w:t>
      </w:r>
    </w:p>
    <w:p w14:paraId="7C327FC1">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1.估值错误处理原则</w:t>
      </w:r>
    </w:p>
    <w:p w14:paraId="76B5E5DC">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（1）由于理财产品管理人或理财产品托管人自身过错造成的估值错误，导致投资者遭受损失的，由估值错误责任方按照各自过错程度对该估值错误导致投资者遭受的直接损失给予赔偿，承担赔偿责任。</w:t>
      </w:r>
    </w:p>
    <w:p w14:paraId="53B1F031">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对因技术原因引起的差错，若系同行业现有技术水平无法预见、无法避免、无法抗拒，属不可抗力。由于不可抗力原因，或由于证券交易所、期货交易所、第三方估值机构、信托公司、基金公司等发送数据错误等非管理人和托管人原因，管理人和托管人虽然已经采取必要、适当、合理的措施进行检查，但未能发现错误的，由此造成的估值错误，管理人和托管人免除赔偿责任。但管理人、托管人应当积极采取必要的措施减轻或消除由此造成的影响。但因该差错取得不当得利的投资者仍应负有返还不当得利的义务。</w:t>
      </w:r>
    </w:p>
    <w:p w14:paraId="73ADC0CB">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若因理财产品托管人估值错误造成财产损失，理财产品管理人应向托管人追偿；若因理财产品管理人与理财产品托管人之外的第三方估值差错造成财产的损失，并拒绝进行赔偿时，由理财产品管理人负责向差错方追偿，追偿过程中产生的有关费用，应当列入理财产品费用，由理财产品承担。</w:t>
      </w:r>
    </w:p>
    <w:p w14:paraId="5C5B52E9">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（4）因估值错误而获得不当得利的投资者负有及时返还不当得利的义务。</w:t>
      </w:r>
    </w:p>
    <w:p w14:paraId="6D9580C1">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（5）按法律法规规定的其他原则处理估值错误。</w:t>
      </w:r>
    </w:p>
    <w:p w14:paraId="54FD3AA5">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2.估值错误处理程序</w:t>
      </w:r>
    </w:p>
    <w:p w14:paraId="042CA2A4">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估值错误被发现后，理财产品管理人与理财产品托管人应当及时进行处理，处理的程序如下：</w:t>
      </w:r>
    </w:p>
    <w:p w14:paraId="720B9E6C">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（1）查明估值差错发生的原因，根据估值错误发生的原因确定估值错误的责任方；</w:t>
      </w:r>
    </w:p>
    <w:p w14:paraId="27FBAB57">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（2）根据估值错误处理原则对因估值错误造成的损失进行评估；</w:t>
      </w:r>
    </w:p>
    <w:p w14:paraId="684B9DF2">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（3）根据估值错误处理原则或理财产品管理人与托管人协商的方法，由理财产品管理人与托管人共同进行更正，由估值错误的责任方进行赔偿损失。</w:t>
      </w:r>
    </w:p>
    <w:p w14:paraId="032DB438">
      <w:pPr>
        <w:pStyle w:val="3"/>
        <w:numPr>
          <w:ilvl w:val="1"/>
          <w:numId w:val="10"/>
        </w:numPr>
        <w:ind w:firstLine="482"/>
        <w:rPr>
          <w:color w:val="auto"/>
          <w:highlight w:val="none"/>
        </w:rPr>
      </w:pPr>
      <w:r>
        <w:rPr>
          <w:rFonts w:hint="eastAsia"/>
          <w:color w:val="auto"/>
          <w:highlight w:val="none"/>
        </w:rPr>
        <w:t>暂停估值的情形</w:t>
      </w:r>
    </w:p>
    <w:p w14:paraId="74750A1B">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1.当资产估值因不可抗力或其他情形致使本产品管理人和托管人无法准确评估资产价值时；</w:t>
      </w:r>
    </w:p>
    <w:p w14:paraId="168E1E96">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2．理财产品投资所涉及的交易市场遇法定节假日或因其他原因暂停营业时；</w:t>
      </w:r>
    </w:p>
    <w:p w14:paraId="6722699F">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3.理财产品投资的其他资产产品合同约定暂停估值或无法估值的情形发生，导致理财产品无法估值时；</w:t>
      </w:r>
    </w:p>
    <w:p w14:paraId="51FE943F">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4</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当前一估值日理财产品资产净值5</w:t>
      </w:r>
      <w:r>
        <w:rPr>
          <w:rFonts w:ascii="仿宋_GB2312" w:hAnsi="宋体" w:cs="宋体"/>
          <w:bCs/>
          <w:color w:val="auto"/>
          <w:kern w:val="0"/>
          <w:szCs w:val="24"/>
          <w:highlight w:val="none"/>
        </w:rPr>
        <w:t>0</w:t>
      </w:r>
      <w:r>
        <w:rPr>
          <w:rFonts w:hint="eastAsia" w:ascii="仿宋_GB2312" w:hAnsi="宋体" w:cs="宋体"/>
          <w:bCs/>
          <w:color w:val="auto"/>
          <w:kern w:val="0"/>
          <w:szCs w:val="24"/>
          <w:highlight w:val="none"/>
        </w:rPr>
        <w:t>%以上的资产不具备活跃市场或在活跃市场中无报价，且采用估值技术不能可靠计量公允价值时；</w:t>
      </w:r>
    </w:p>
    <w:p w14:paraId="2A6E0719">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ascii="仿宋_GB2312" w:hAnsi="宋体" w:cs="宋体"/>
          <w:bCs/>
          <w:color w:val="auto"/>
          <w:kern w:val="0"/>
          <w:szCs w:val="24"/>
          <w:highlight w:val="none"/>
        </w:rPr>
        <w:t>5</w:t>
      </w:r>
      <w:r>
        <w:rPr>
          <w:rFonts w:hint="eastAsia" w:ascii="仿宋_GB2312" w:hAnsi="宋体" w:cs="宋体"/>
          <w:bCs/>
          <w:color w:val="auto"/>
          <w:kern w:val="0"/>
          <w:szCs w:val="24"/>
          <w:highlight w:val="none"/>
        </w:rPr>
        <w:t>.国家金融监督管理总局认定的其他情形或理财产品管理人、托管人有合理理由认为将影响本理财产品估值的其他情形。</w:t>
      </w:r>
    </w:p>
    <w:p w14:paraId="18603BCD">
      <w:pPr>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br w:type="page"/>
      </w:r>
    </w:p>
    <w:p w14:paraId="407D43AF">
      <w:pPr>
        <w:pStyle w:val="2"/>
        <w:numPr>
          <w:ilvl w:val="0"/>
          <w:numId w:val="10"/>
        </w:numPr>
        <w:rPr>
          <w:color w:val="auto"/>
          <w:highlight w:val="none"/>
        </w:rPr>
      </w:pPr>
      <w:r>
        <w:rPr>
          <w:rFonts w:hint="eastAsia"/>
          <w:color w:val="auto"/>
          <w:highlight w:val="none"/>
        </w:rPr>
        <w:t>理财产品的</w:t>
      </w:r>
      <w:r>
        <w:rPr>
          <w:rFonts w:hint="eastAsia"/>
          <w:color w:val="auto"/>
          <w:highlight w:val="none"/>
          <w:u w:val="none"/>
          <w:lang w:eastAsia="zh-CN"/>
        </w:rPr>
        <w:t>收益</w:t>
      </w:r>
      <w:r>
        <w:rPr>
          <w:rFonts w:hint="eastAsia"/>
          <w:color w:val="auto"/>
          <w:highlight w:val="none"/>
        </w:rPr>
        <w:t>分配</w:t>
      </w:r>
    </w:p>
    <w:p w14:paraId="3CF4441A">
      <w:pPr>
        <w:pStyle w:val="3"/>
        <w:numPr>
          <w:ilvl w:val="1"/>
          <w:numId w:val="10"/>
        </w:numPr>
        <w:tabs>
          <w:tab w:val="left" w:pos="709"/>
          <w:tab w:val="left" w:pos="3261"/>
        </w:tabs>
        <w:ind w:firstLine="482"/>
        <w:rPr>
          <w:rFonts w:hint="eastAsia"/>
          <w:color w:val="auto"/>
          <w:highlight w:val="none"/>
        </w:rPr>
      </w:pPr>
      <w:r>
        <w:rPr>
          <w:rFonts w:hint="eastAsia"/>
          <w:color w:val="auto"/>
          <w:highlight w:val="none"/>
        </w:rPr>
        <w:t>理财产品的收益构成</w:t>
      </w:r>
    </w:p>
    <w:p w14:paraId="7980AE00">
      <w:pPr>
        <w:pStyle w:val="3"/>
        <w:numPr>
          <w:ilvl w:val="0"/>
          <w:numId w:val="0"/>
        </w:numPr>
        <w:tabs>
          <w:tab w:val="left" w:pos="709"/>
          <w:tab w:val="left" w:pos="3261"/>
        </w:tabs>
        <w:ind w:firstLine="482"/>
        <w:rPr>
          <w:color w:val="auto"/>
          <w:highlight w:val="none"/>
        </w:rPr>
      </w:pPr>
      <w:r>
        <w:rPr>
          <w:rFonts w:hint="eastAsia"/>
          <w:color w:val="auto"/>
          <w:highlight w:val="none"/>
        </w:rPr>
        <w:t>本理财产品的收益包括：投资债券、货币市场工具等</w:t>
      </w:r>
      <w:r>
        <w:rPr>
          <w:rFonts w:hint="eastAsia"/>
          <w:color w:val="auto"/>
          <w:highlight w:val="none"/>
          <w:u w:val="none"/>
          <w:lang w:eastAsia="zh-CN"/>
        </w:rPr>
        <w:t>投资范围内的资产和</w:t>
      </w:r>
      <w:r>
        <w:rPr>
          <w:rFonts w:hint="eastAsia"/>
          <w:color w:val="auto"/>
          <w:highlight w:val="none"/>
        </w:rPr>
        <w:t>监管机构认可的资产或资产管理产品所产生的利息收入、买卖证券差价收入、银行存款利息以及其他合法收入。该收益构成不代表投资者一定可以获得的收益。</w:t>
      </w:r>
    </w:p>
    <w:p w14:paraId="5F386A65">
      <w:pPr>
        <w:pStyle w:val="3"/>
        <w:numPr>
          <w:ilvl w:val="1"/>
          <w:numId w:val="10"/>
        </w:numPr>
        <w:ind w:firstLine="482"/>
        <w:rPr>
          <w:color w:val="auto"/>
          <w:highlight w:val="none"/>
        </w:rPr>
      </w:pPr>
      <w:r>
        <w:rPr>
          <w:rFonts w:hint="eastAsia"/>
          <w:color w:val="auto"/>
          <w:highlight w:val="none"/>
        </w:rPr>
        <w:t>理财</w:t>
      </w:r>
      <w:r>
        <w:rPr>
          <w:rFonts w:hint="eastAsia"/>
          <w:color w:val="auto"/>
          <w:highlight w:val="none"/>
          <w:u w:val="none"/>
          <w:lang w:eastAsia="zh-CN"/>
        </w:rPr>
        <w:t>收益</w:t>
      </w:r>
      <w:r>
        <w:rPr>
          <w:rFonts w:hint="eastAsia"/>
          <w:color w:val="auto"/>
          <w:highlight w:val="none"/>
        </w:rPr>
        <w:t>的分配类型</w:t>
      </w:r>
    </w:p>
    <w:p w14:paraId="73BC31CC">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1.依据分配时点，理财</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rPr>
        <w:t>的分配可分为“期间分配”与“终止分配”。</w:t>
      </w:r>
    </w:p>
    <w:p w14:paraId="304672F4">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2.依据分配方式，理财</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rPr>
        <w:t>的分配可分为“现金分配”与“非现金分配”。</w:t>
      </w:r>
    </w:p>
    <w:p w14:paraId="0E5043DE">
      <w:pPr>
        <w:pStyle w:val="3"/>
        <w:numPr>
          <w:ilvl w:val="1"/>
          <w:numId w:val="10"/>
        </w:numPr>
        <w:ind w:firstLine="482"/>
        <w:rPr>
          <w:color w:val="auto"/>
          <w:highlight w:val="none"/>
        </w:rPr>
      </w:pPr>
      <w:r>
        <w:rPr>
          <w:rFonts w:hint="eastAsia"/>
          <w:color w:val="auto"/>
          <w:highlight w:val="none"/>
        </w:rPr>
        <w:t>理财</w:t>
      </w:r>
      <w:r>
        <w:rPr>
          <w:rFonts w:hint="eastAsia"/>
          <w:color w:val="auto"/>
          <w:highlight w:val="none"/>
          <w:u w:val="none"/>
          <w:lang w:eastAsia="zh-CN"/>
        </w:rPr>
        <w:t>收益</w:t>
      </w:r>
      <w:r>
        <w:rPr>
          <w:rFonts w:hint="eastAsia"/>
          <w:color w:val="auto"/>
          <w:highlight w:val="none"/>
        </w:rPr>
        <w:t>的分配原则</w:t>
      </w:r>
    </w:p>
    <w:p w14:paraId="1D6CB832">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1.本产品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rPr>
        <w:t>分配应遵循下列原则：</w:t>
      </w:r>
    </w:p>
    <w:p w14:paraId="6C32AA4C">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（1）每一产品份额享有同等分配权。</w:t>
      </w:r>
    </w:p>
    <w:p w14:paraId="5E97A454">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（2）在不</w:t>
      </w:r>
      <w:r>
        <w:rPr>
          <w:rFonts w:ascii="仿宋_GB2312" w:hAnsi="宋体" w:cs="宋体"/>
          <w:bCs/>
          <w:color w:val="auto"/>
          <w:kern w:val="0"/>
          <w:szCs w:val="24"/>
          <w:highlight w:val="none"/>
        </w:rPr>
        <w:t>违反法律法规、理财产品销售文件约定以及对份额持有人权益无实质性不利影响的情况下，产品管理人可</w:t>
      </w:r>
      <w:r>
        <w:rPr>
          <w:rFonts w:hint="eastAsia" w:ascii="仿宋_GB2312" w:hAnsi="宋体" w:cs="宋体"/>
          <w:bCs/>
          <w:color w:val="auto"/>
          <w:kern w:val="0"/>
          <w:szCs w:val="24"/>
          <w:highlight w:val="none"/>
        </w:rPr>
        <w:t>调整</w:t>
      </w:r>
      <w:r>
        <w:rPr>
          <w:rFonts w:ascii="仿宋_GB2312" w:hAnsi="宋体" w:cs="宋体"/>
          <w:bCs/>
          <w:color w:val="auto"/>
          <w:kern w:val="0"/>
          <w:szCs w:val="24"/>
          <w:highlight w:val="none"/>
        </w:rPr>
        <w:t>本理财产品</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rPr>
        <w:t>的分配原则与支付方式。法律</w:t>
      </w:r>
      <w:r>
        <w:rPr>
          <w:rFonts w:hint="eastAsia" w:ascii="仿宋_GB2312" w:hAnsi="宋体" w:cs="宋体"/>
          <w:bCs/>
          <w:color w:val="auto"/>
          <w:kern w:val="0"/>
          <w:szCs w:val="24"/>
          <w:highlight w:val="none"/>
        </w:rPr>
        <w:t>法规</w:t>
      </w:r>
      <w:r>
        <w:rPr>
          <w:rFonts w:ascii="仿宋_GB2312" w:hAnsi="宋体" w:cs="宋体"/>
          <w:bCs/>
          <w:color w:val="auto"/>
          <w:kern w:val="0"/>
          <w:szCs w:val="24"/>
          <w:highlight w:val="none"/>
        </w:rPr>
        <w:t>或监管机构另有规定的从其规定。</w:t>
      </w:r>
    </w:p>
    <w:p w14:paraId="71E0C180">
      <w:pPr>
        <w:pStyle w:val="3"/>
        <w:numPr>
          <w:ilvl w:val="1"/>
          <w:numId w:val="10"/>
        </w:numPr>
        <w:autoSpaceDE w:val="0"/>
        <w:autoSpaceDN w:val="0"/>
        <w:adjustRightInd w:val="0"/>
        <w:snapToGrid w:val="0"/>
        <w:ind w:firstLine="482"/>
        <w:rPr>
          <w:color w:val="auto"/>
          <w:highlight w:val="none"/>
        </w:rPr>
      </w:pPr>
      <w:r>
        <w:rPr>
          <w:rFonts w:hint="eastAsia"/>
          <w:color w:val="auto"/>
          <w:highlight w:val="none"/>
        </w:rPr>
        <w:t>理财</w:t>
      </w:r>
      <w:r>
        <w:rPr>
          <w:rFonts w:hint="eastAsia"/>
          <w:color w:val="auto"/>
          <w:highlight w:val="none"/>
          <w:u w:val="none"/>
          <w:lang w:eastAsia="zh-CN"/>
        </w:rPr>
        <w:t>收益</w:t>
      </w:r>
      <w:r>
        <w:rPr>
          <w:rFonts w:hint="eastAsia"/>
          <w:color w:val="auto"/>
          <w:highlight w:val="none"/>
        </w:rPr>
        <w:t xml:space="preserve">的分配方案 </w:t>
      </w:r>
    </w:p>
    <w:p w14:paraId="63CA6E5D">
      <w:pPr>
        <w:autoSpaceDE w:val="0"/>
        <w:autoSpaceDN w:val="0"/>
        <w:adjustRightInd w:val="0"/>
        <w:snapToGrid w:val="0"/>
        <w:spacing w:line="360" w:lineRule="auto"/>
        <w:ind w:firstLine="420" w:firstLineChars="200"/>
        <w:jc w:val="left"/>
        <w:rPr>
          <w:color w:val="auto"/>
          <w:highlight w:val="none"/>
        </w:rPr>
      </w:pPr>
      <w:r>
        <w:rPr>
          <w:rFonts w:hint="eastAsia" w:ascii="仿宋_GB2312" w:hAnsi="宋体" w:cs="宋体"/>
          <w:bCs/>
          <w:color w:val="auto"/>
          <w:kern w:val="0"/>
          <w:szCs w:val="24"/>
          <w:highlight w:val="none"/>
        </w:rPr>
        <w:t>1.</w:t>
      </w:r>
      <w:r>
        <w:rPr>
          <w:rFonts w:hint="eastAsia"/>
          <w:color w:val="auto"/>
          <w:highlight w:val="none"/>
        </w:rPr>
        <w:t>分配方案要点：</w:t>
      </w:r>
    </w:p>
    <w:p w14:paraId="54A914AB">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w:t>
      </w:r>
      <w:r>
        <w:rPr>
          <w:rFonts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rPr>
        <w:t>本</w:t>
      </w:r>
      <w:r>
        <w:rPr>
          <w:rFonts w:ascii="仿宋_GB2312" w:hAnsi="宋体" w:cs="宋体"/>
          <w:bCs/>
          <w:color w:val="auto"/>
          <w:kern w:val="0"/>
          <w:szCs w:val="24"/>
          <w:highlight w:val="none"/>
          <w:u w:val="none"/>
        </w:rPr>
        <w:t>理财产品的分配时点包括</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rPr>
        <w:t>“期间分配”</w:t>
      </w:r>
      <w:r>
        <w:rPr>
          <w:rFonts w:hint="eastAsia" w:ascii="仿宋_GB2312" w:hAnsi="宋体" w:cs="宋体"/>
          <w:bCs/>
          <w:kern w:val="0"/>
          <w:szCs w:val="24"/>
          <w:highlight w:val="none"/>
        </w:rPr>
        <w:sym w:font="Wingdings 2" w:char="00A3"/>
      </w:r>
      <w:r>
        <w:rPr>
          <w:rFonts w:hint="eastAsia" w:ascii="仿宋_GB2312" w:hAnsi="宋体" w:cs="宋体"/>
          <w:bCs/>
          <w:kern w:val="0"/>
          <w:szCs w:val="24"/>
          <w:highlight w:val="none"/>
        </w:rPr>
        <w:t>“终止分配”</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w:t>
      </w:r>
    </w:p>
    <w:p w14:paraId="6ED590D6">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本</w:t>
      </w:r>
      <w:r>
        <w:rPr>
          <w:rFonts w:ascii="仿宋_GB2312" w:hAnsi="宋体" w:cs="宋体"/>
          <w:bCs/>
          <w:color w:val="auto"/>
          <w:kern w:val="0"/>
          <w:szCs w:val="24"/>
          <w:highlight w:val="none"/>
          <w:u w:val="none"/>
        </w:rPr>
        <w:t>理财产品的分配</w:t>
      </w:r>
      <w:r>
        <w:rPr>
          <w:rFonts w:hint="eastAsia" w:ascii="仿宋_GB2312" w:hAnsi="宋体" w:cs="宋体"/>
          <w:bCs/>
          <w:color w:val="auto"/>
          <w:kern w:val="0"/>
          <w:szCs w:val="24"/>
          <w:highlight w:val="none"/>
          <w:u w:val="none"/>
        </w:rPr>
        <w:t>方式</w:t>
      </w:r>
      <w:r>
        <w:rPr>
          <w:rFonts w:ascii="仿宋_GB2312" w:hAnsi="宋体" w:cs="宋体"/>
          <w:bCs/>
          <w:color w:val="auto"/>
          <w:kern w:val="0"/>
          <w:szCs w:val="24"/>
          <w:highlight w:val="none"/>
          <w:u w:val="none"/>
        </w:rPr>
        <w:t>采取</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rPr>
        <w:t>“现金分配”</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rPr>
        <w:t>“</w:t>
      </w:r>
      <w:r>
        <w:rPr>
          <w:rFonts w:hint="eastAsia" w:ascii="仿宋_GB2312" w:hAnsi="宋体" w:cs="宋体"/>
          <w:bCs/>
          <w:kern w:val="0"/>
          <w:szCs w:val="24"/>
          <w:highlight w:val="none"/>
          <w:lang w:eastAsia="zh-CN"/>
        </w:rPr>
        <w:t>非</w:t>
      </w:r>
      <w:r>
        <w:rPr>
          <w:rFonts w:hint="eastAsia" w:ascii="仿宋_GB2312" w:hAnsi="宋体" w:cs="宋体"/>
          <w:bCs/>
          <w:kern w:val="0"/>
          <w:szCs w:val="24"/>
          <w:highlight w:val="none"/>
        </w:rPr>
        <w:t>现金分配”</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w:t>
      </w:r>
    </w:p>
    <w:p w14:paraId="79C4501C">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ascii="仿宋_GB2312" w:hAnsi="宋体" w:cs="宋体"/>
          <w:bCs/>
          <w:color w:val="auto"/>
          <w:kern w:val="0"/>
          <w:szCs w:val="24"/>
          <w:highlight w:val="none"/>
        </w:rPr>
        <w:t>2.</w:t>
      </w:r>
      <w:r>
        <w:rPr>
          <w:rFonts w:hint="eastAsia" w:ascii="仿宋_GB2312" w:hAnsi="宋体" w:cs="宋体"/>
          <w:bCs/>
          <w:color w:val="auto"/>
          <w:kern w:val="0"/>
          <w:szCs w:val="24"/>
          <w:highlight w:val="none"/>
        </w:rPr>
        <w:t>具体</w:t>
      </w:r>
      <w:r>
        <w:rPr>
          <w:rFonts w:ascii="仿宋_GB2312" w:hAnsi="宋体" w:cs="宋体"/>
          <w:bCs/>
          <w:color w:val="auto"/>
          <w:kern w:val="0"/>
          <w:szCs w:val="24"/>
          <w:highlight w:val="none"/>
        </w:rPr>
        <w:t>理财产品</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rPr>
        <w:t>分配方案由产品管理人拟定，并由产品托管人复核后确定。</w:t>
      </w:r>
    </w:p>
    <w:p w14:paraId="7A458F9E">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3.理财</w:t>
      </w:r>
      <w:r>
        <w:rPr>
          <w:rFonts w:ascii="仿宋_GB2312" w:hAnsi="宋体" w:cs="宋体"/>
          <w:bCs/>
          <w:color w:val="auto"/>
          <w:kern w:val="0"/>
          <w:szCs w:val="24"/>
          <w:highlight w:val="none"/>
        </w:rPr>
        <w:t>产品存续期间，产品管理人有权</w:t>
      </w:r>
      <w:r>
        <w:rPr>
          <w:rFonts w:hint="eastAsia" w:ascii="仿宋_GB2312" w:hAnsi="宋体" w:cs="宋体"/>
          <w:bCs/>
          <w:color w:val="auto"/>
          <w:kern w:val="0"/>
          <w:szCs w:val="24"/>
          <w:highlight w:val="none"/>
        </w:rPr>
        <w:t>视</w:t>
      </w:r>
      <w:r>
        <w:rPr>
          <w:rFonts w:ascii="仿宋_GB2312" w:hAnsi="宋体" w:cs="宋体"/>
          <w:bCs/>
          <w:color w:val="auto"/>
          <w:kern w:val="0"/>
          <w:szCs w:val="24"/>
          <w:highlight w:val="none"/>
        </w:rPr>
        <w:t>理财产品收益情况进行主动分配，相应分配基准日、分配方案由管理人及时披露。</w:t>
      </w:r>
    </w:p>
    <w:p w14:paraId="755683DD">
      <w:pPr>
        <w:pStyle w:val="3"/>
        <w:numPr>
          <w:ilvl w:val="1"/>
          <w:numId w:val="10"/>
        </w:numPr>
        <w:tabs>
          <w:tab w:val="left" w:pos="0"/>
          <w:tab w:val="left" w:pos="709"/>
        </w:tabs>
        <w:ind w:firstLine="482" w:firstLineChars="0"/>
        <w:rPr>
          <w:color w:val="auto"/>
          <w:highlight w:val="none"/>
        </w:rPr>
      </w:pPr>
      <w:r>
        <w:rPr>
          <w:rFonts w:hint="eastAsia"/>
          <w:color w:val="auto"/>
          <w:highlight w:val="none"/>
        </w:rPr>
        <w:t>理财</w:t>
      </w:r>
      <w:r>
        <w:rPr>
          <w:rFonts w:hint="eastAsia"/>
          <w:color w:val="auto"/>
          <w:highlight w:val="none"/>
          <w:u w:val="none"/>
          <w:lang w:eastAsia="zh-CN"/>
        </w:rPr>
        <w:t>收益</w:t>
      </w:r>
      <w:r>
        <w:rPr>
          <w:rFonts w:hint="eastAsia"/>
          <w:color w:val="auto"/>
          <w:highlight w:val="none"/>
        </w:rPr>
        <w:t>的分配</w:t>
      </w:r>
    </w:p>
    <w:p w14:paraId="7935FDAE">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1.理财</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rPr>
        <w:t>的分配日</w:t>
      </w:r>
    </w:p>
    <w:p w14:paraId="4EE4C6E5">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若</w:t>
      </w:r>
      <w:r>
        <w:rPr>
          <w:rFonts w:ascii="仿宋_GB2312" w:hAnsi="宋体" w:cs="宋体"/>
          <w:bCs/>
          <w:color w:val="auto"/>
          <w:kern w:val="0"/>
          <w:szCs w:val="24"/>
          <w:highlight w:val="none"/>
        </w:rPr>
        <w:t>为期间分配的，原则上产品管理人应于分配基准日后</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lang w:val="en-US" w:eastAsia="zh-CN"/>
        </w:rPr>
        <w:t>5</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rPr>
        <w:t>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ascii="仿宋_GB2312" w:hAnsi="宋体" w:cs="宋体"/>
          <w:bCs/>
          <w:color w:val="auto"/>
          <w:kern w:val="0"/>
          <w:szCs w:val="24"/>
          <w:highlight w:val="none"/>
        </w:rPr>
        <w:t>内分配理财</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如有</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w:t>
      </w:r>
    </w:p>
    <w:p w14:paraId="73B3F58A">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若为</w:t>
      </w:r>
      <w:r>
        <w:rPr>
          <w:rFonts w:ascii="仿宋_GB2312" w:hAnsi="宋体" w:cs="宋体"/>
          <w:bCs/>
          <w:color w:val="auto"/>
          <w:kern w:val="0"/>
          <w:szCs w:val="24"/>
          <w:highlight w:val="none"/>
        </w:rPr>
        <w:t>终止分配的，</w:t>
      </w:r>
      <w:r>
        <w:rPr>
          <w:rFonts w:hint="eastAsia" w:ascii="仿宋_GB2312" w:hAnsi="宋体" w:cs="宋体"/>
          <w:bCs/>
          <w:color w:val="auto"/>
          <w:kern w:val="0"/>
          <w:szCs w:val="24"/>
          <w:highlight w:val="none"/>
        </w:rPr>
        <w:t>产品</w:t>
      </w:r>
      <w:r>
        <w:rPr>
          <w:rFonts w:ascii="仿宋_GB2312" w:hAnsi="宋体" w:cs="宋体"/>
          <w:bCs/>
          <w:color w:val="auto"/>
          <w:kern w:val="0"/>
          <w:szCs w:val="24"/>
          <w:highlight w:val="none"/>
        </w:rPr>
        <w:t>管理人应按“</w:t>
      </w:r>
      <w:r>
        <w:rPr>
          <w:rFonts w:hint="eastAsia" w:ascii="仿宋_GB2312" w:hAnsi="宋体" w:cs="宋体"/>
          <w:bCs/>
          <w:color w:val="auto"/>
          <w:kern w:val="0"/>
          <w:szCs w:val="24"/>
          <w:highlight w:val="none"/>
        </w:rPr>
        <w:t>第十节 理财</w:t>
      </w:r>
      <w:r>
        <w:rPr>
          <w:rFonts w:ascii="仿宋_GB2312" w:hAnsi="宋体" w:cs="宋体"/>
          <w:bCs/>
          <w:color w:val="auto"/>
          <w:kern w:val="0"/>
          <w:szCs w:val="24"/>
          <w:highlight w:val="none"/>
        </w:rPr>
        <w:t>产品</w:t>
      </w:r>
      <w:r>
        <w:rPr>
          <w:rFonts w:hint="eastAsia" w:ascii="仿宋_GB2312" w:hAnsi="宋体" w:cs="宋体"/>
          <w:bCs/>
          <w:color w:val="auto"/>
          <w:kern w:val="0"/>
          <w:szCs w:val="24"/>
          <w:highlight w:val="none"/>
          <w:lang w:eastAsia="zh-CN"/>
        </w:rPr>
        <w:t>的</w:t>
      </w:r>
      <w:r>
        <w:rPr>
          <w:rFonts w:ascii="仿宋_GB2312" w:hAnsi="宋体" w:cs="宋体"/>
          <w:bCs/>
          <w:color w:val="auto"/>
          <w:kern w:val="0"/>
          <w:szCs w:val="24"/>
          <w:highlight w:val="none"/>
        </w:rPr>
        <w:t>终止与清算”</w:t>
      </w:r>
      <w:r>
        <w:rPr>
          <w:rFonts w:hint="eastAsia" w:ascii="仿宋_GB2312" w:hAnsi="宋体" w:cs="宋体"/>
          <w:bCs/>
          <w:color w:val="auto"/>
          <w:kern w:val="0"/>
          <w:szCs w:val="24"/>
          <w:highlight w:val="none"/>
        </w:rPr>
        <w:t>中</w:t>
      </w:r>
      <w:r>
        <w:rPr>
          <w:rFonts w:ascii="仿宋_GB2312" w:hAnsi="宋体" w:cs="宋体"/>
          <w:bCs/>
          <w:color w:val="auto"/>
          <w:kern w:val="0"/>
          <w:szCs w:val="24"/>
          <w:highlight w:val="none"/>
        </w:rPr>
        <w:t>产品清算期的相关约定向投资者分配</w:t>
      </w:r>
      <w:r>
        <w:rPr>
          <w:rFonts w:hint="eastAsia" w:ascii="仿宋_GB2312" w:hAnsi="宋体" w:cs="宋体"/>
          <w:bCs/>
          <w:color w:val="auto"/>
          <w:kern w:val="0"/>
          <w:szCs w:val="24"/>
          <w:highlight w:val="none"/>
        </w:rPr>
        <w:t>理财</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如有</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w:t>
      </w:r>
    </w:p>
    <w:p w14:paraId="38B8BAFA">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ascii="仿宋_GB2312" w:hAnsi="宋体" w:cs="宋体"/>
          <w:bCs/>
          <w:color w:val="auto"/>
          <w:kern w:val="0"/>
          <w:szCs w:val="24"/>
          <w:highlight w:val="none"/>
        </w:rPr>
        <w:t>2.</w:t>
      </w:r>
      <w:r>
        <w:rPr>
          <w:rFonts w:hint="eastAsia" w:ascii="仿宋_GB2312" w:hAnsi="宋体" w:cs="宋体"/>
          <w:bCs/>
          <w:color w:val="auto"/>
          <w:kern w:val="0"/>
          <w:szCs w:val="24"/>
          <w:highlight w:val="none"/>
        </w:rPr>
        <w:t>具体</w:t>
      </w:r>
      <w:r>
        <w:rPr>
          <w:rFonts w:ascii="仿宋_GB2312" w:hAnsi="宋体" w:cs="宋体"/>
          <w:bCs/>
          <w:color w:val="auto"/>
          <w:kern w:val="0"/>
          <w:szCs w:val="24"/>
          <w:highlight w:val="none"/>
        </w:rPr>
        <w:t>的理财产品分配</w:t>
      </w:r>
      <w:r>
        <w:rPr>
          <w:rFonts w:hint="eastAsia" w:ascii="仿宋_GB2312" w:hAnsi="宋体" w:cs="宋体"/>
          <w:bCs/>
          <w:color w:val="auto"/>
          <w:kern w:val="0"/>
          <w:szCs w:val="24"/>
          <w:highlight w:val="none"/>
        </w:rPr>
        <w:t>以</w:t>
      </w:r>
      <w:r>
        <w:rPr>
          <w:rFonts w:ascii="仿宋_GB2312" w:hAnsi="宋体" w:cs="宋体"/>
          <w:bCs/>
          <w:color w:val="auto"/>
          <w:kern w:val="0"/>
          <w:szCs w:val="24"/>
          <w:highlight w:val="none"/>
        </w:rPr>
        <w:t>管理人实际分配的为准。</w:t>
      </w:r>
    </w:p>
    <w:p w14:paraId="5770C045">
      <w:pPr>
        <w:pStyle w:val="14"/>
        <w:widowControl/>
        <w:snapToGrid w:val="0"/>
        <w:spacing w:line="360" w:lineRule="auto"/>
        <w:ind w:firstLine="480" w:firstLineChars="200"/>
        <w:rPr>
          <w:color w:val="auto"/>
          <w:highlight w:val="none"/>
        </w:rPr>
      </w:pPr>
      <w:r>
        <w:rPr>
          <w:rFonts w:hint="eastAsia" w:ascii="仿宋_GB2312" w:hAnsi="宋体" w:eastAsia="仿宋_GB2312"/>
          <w:bCs/>
          <w:color w:val="auto"/>
          <w:highlight w:val="none"/>
        </w:rPr>
        <w:br w:type="page"/>
      </w:r>
    </w:p>
    <w:p w14:paraId="511776F6">
      <w:pPr>
        <w:pStyle w:val="2"/>
        <w:numPr>
          <w:ilvl w:val="0"/>
          <w:numId w:val="10"/>
        </w:numPr>
        <w:rPr>
          <w:color w:val="auto"/>
          <w:highlight w:val="none"/>
        </w:rPr>
      </w:pPr>
      <w:r>
        <w:rPr>
          <w:rFonts w:hint="eastAsia"/>
          <w:color w:val="auto"/>
          <w:highlight w:val="none"/>
        </w:rPr>
        <w:t>理财产品的费用与税收</w:t>
      </w:r>
    </w:p>
    <w:p w14:paraId="5A8B6C70">
      <w:pPr>
        <w:pStyle w:val="3"/>
        <w:numPr>
          <w:ilvl w:val="1"/>
          <w:numId w:val="10"/>
        </w:numPr>
        <w:tabs>
          <w:tab w:val="left" w:pos="0"/>
          <w:tab w:val="left" w:pos="709"/>
        </w:tabs>
        <w:ind w:firstLine="482" w:firstLineChars="0"/>
        <w:rPr>
          <w:color w:val="auto"/>
          <w:highlight w:val="none"/>
        </w:rPr>
      </w:pPr>
      <w:r>
        <w:rPr>
          <w:rFonts w:hint="eastAsia"/>
          <w:color w:val="auto"/>
          <w:highlight w:val="none"/>
        </w:rPr>
        <w:t>理财费用</w:t>
      </w:r>
    </w:p>
    <w:p w14:paraId="499B4DD2">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1.理财产品费用的种类</w:t>
      </w:r>
    </w:p>
    <w:p w14:paraId="14555889">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（1）理财产品的认购费、申购费、赎回费；</w:t>
      </w:r>
    </w:p>
    <w:p w14:paraId="13F0B907">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（2）理财产品的销售服务费；</w:t>
      </w:r>
    </w:p>
    <w:p w14:paraId="31AD9C63">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（3）理财产品的</w:t>
      </w:r>
      <w:r>
        <w:rPr>
          <w:rFonts w:hint="eastAsia" w:ascii="仿宋_GB2312" w:hAnsi="宋体" w:cs="宋体"/>
          <w:bCs/>
          <w:color w:val="auto"/>
          <w:kern w:val="0"/>
          <w:szCs w:val="24"/>
          <w:highlight w:val="none"/>
          <w:u w:val="none"/>
          <w:lang w:eastAsia="zh-CN"/>
        </w:rPr>
        <w:t>固定</w:t>
      </w:r>
      <w:r>
        <w:rPr>
          <w:rFonts w:hint="eastAsia" w:ascii="仿宋_GB2312" w:hAnsi="宋体" w:cs="宋体"/>
          <w:bCs/>
          <w:color w:val="auto"/>
          <w:kern w:val="0"/>
          <w:szCs w:val="24"/>
          <w:highlight w:val="none"/>
        </w:rPr>
        <w:t>管理费</w:t>
      </w:r>
      <w:r>
        <w:rPr>
          <w:rFonts w:ascii="仿宋_GB2312" w:hAnsi="宋体" w:cs="宋体"/>
          <w:bCs/>
          <w:color w:val="auto"/>
          <w:kern w:val="0"/>
          <w:szCs w:val="24"/>
          <w:highlight w:val="none"/>
        </w:rPr>
        <w:t>及</w:t>
      </w:r>
      <w:r>
        <w:rPr>
          <w:rFonts w:hint="eastAsia" w:ascii="仿宋_GB2312" w:hAnsi="宋体" w:cs="宋体"/>
          <w:bCs/>
          <w:color w:val="auto"/>
          <w:kern w:val="0"/>
          <w:szCs w:val="24"/>
          <w:highlight w:val="none"/>
          <w:u w:val="none"/>
          <w:lang w:eastAsia="zh-CN"/>
        </w:rPr>
        <w:t>浮动管理费</w:t>
      </w:r>
      <w:r>
        <w:rPr>
          <w:rFonts w:ascii="仿宋_GB2312" w:hAnsi="宋体" w:cs="宋体"/>
          <w:bCs/>
          <w:color w:val="auto"/>
          <w:kern w:val="0"/>
          <w:szCs w:val="24"/>
          <w:highlight w:val="none"/>
        </w:rPr>
        <w:t>；</w:t>
      </w:r>
    </w:p>
    <w:p w14:paraId="7EEBD9A6">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（4）理财产品的</w:t>
      </w:r>
      <w:r>
        <w:rPr>
          <w:rFonts w:hint="eastAsia" w:ascii="仿宋_GB2312" w:hAnsi="宋体" w:cs="宋体"/>
          <w:bCs/>
          <w:color w:val="auto"/>
          <w:kern w:val="0"/>
          <w:szCs w:val="24"/>
          <w:highlight w:val="none"/>
          <w:lang w:eastAsia="zh-CN"/>
        </w:rPr>
        <w:t>托管费</w:t>
      </w:r>
      <w:r>
        <w:rPr>
          <w:rFonts w:ascii="仿宋_GB2312" w:hAnsi="宋体" w:cs="宋体"/>
          <w:bCs/>
          <w:color w:val="auto"/>
          <w:kern w:val="0"/>
          <w:szCs w:val="24"/>
          <w:highlight w:val="none"/>
        </w:rPr>
        <w:t>；</w:t>
      </w:r>
    </w:p>
    <w:p w14:paraId="2AF0E5AA">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（5）</w:t>
      </w:r>
      <w:r>
        <w:rPr>
          <w:rFonts w:hint="eastAsia" w:ascii="仿宋_GB2312" w:hAnsi="宋体" w:cs="宋体"/>
          <w:bCs/>
          <w:color w:val="auto"/>
          <w:kern w:val="0"/>
          <w:szCs w:val="24"/>
          <w:highlight w:val="none"/>
        </w:rPr>
        <w:t>其他费用，包括但不限于：与</w:t>
      </w:r>
      <w:r>
        <w:rPr>
          <w:rFonts w:ascii="仿宋_GB2312" w:hAnsi="宋体" w:cs="宋体"/>
          <w:bCs/>
          <w:color w:val="auto"/>
          <w:kern w:val="0"/>
          <w:szCs w:val="24"/>
          <w:highlight w:val="none"/>
        </w:rPr>
        <w:t>理财产品相关的</w:t>
      </w:r>
      <w:r>
        <w:rPr>
          <w:rFonts w:hint="eastAsia" w:ascii="仿宋_GB2312" w:hAnsi="宋体" w:cs="宋体"/>
          <w:bCs/>
          <w:color w:val="auto"/>
          <w:kern w:val="0"/>
          <w:szCs w:val="24"/>
          <w:highlight w:val="none"/>
        </w:rPr>
        <w:t>账户服务费用、资产服务费用、交易费用（包括但不限于交易佣金、撮合费用等）、注册登记费、验资费、审计费、信息披露费、</w:t>
      </w:r>
      <w:r>
        <w:rPr>
          <w:rFonts w:hint="eastAsia" w:ascii="仿宋_GB2312" w:hAnsi="宋体" w:cs="宋体"/>
          <w:bCs/>
          <w:color w:val="auto"/>
          <w:kern w:val="0"/>
          <w:szCs w:val="24"/>
          <w:highlight w:val="yellow"/>
          <w:lang w:eastAsia="zh-CN"/>
        </w:rPr>
        <w:t>【信息服务费用】</w:t>
      </w: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rPr>
        <w:t>清算费用、执行费用（包括但不限于律师费、诉讼费、仲裁费、公证费、保全费、执行费等）以及按照法律法规、监管规定和理财产品销售文件约定可以列入的其他费用，具体以实际发生为准。</w:t>
      </w:r>
    </w:p>
    <w:p w14:paraId="4E8051C5">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宋体" w:hAnsi="宋体" w:cs="宋体"/>
          <w:color w:val="auto"/>
          <w:kern w:val="0"/>
          <w:szCs w:val="24"/>
          <w:highlight w:val="none"/>
        </w:rPr>
        <w:t>本产品可能根据投资者购买理财产品的</w:t>
      </w:r>
      <w:r>
        <w:rPr>
          <w:rFonts w:hint="eastAsia" w:ascii="仿宋_GB2312" w:hAnsi="宋体" w:cs="宋体"/>
          <w:bCs/>
          <w:color w:val="auto"/>
          <w:kern w:val="0"/>
          <w:szCs w:val="24"/>
          <w:highlight w:val="none"/>
        </w:rPr>
        <w:t>金额、销售渠道、客户类型</w:t>
      </w:r>
      <w:r>
        <w:rPr>
          <w:rFonts w:hint="eastAsia" w:ascii="宋体" w:hAnsi="宋体" w:cs="宋体"/>
          <w:color w:val="auto"/>
          <w:kern w:val="0"/>
          <w:szCs w:val="24"/>
          <w:highlight w:val="none"/>
        </w:rPr>
        <w:t>等因素设置不同产品份额</w:t>
      </w:r>
      <w:r>
        <w:rPr>
          <w:rFonts w:hint="eastAsia" w:ascii="仿宋_GB2312" w:hAnsi="宋体" w:cs="宋体"/>
          <w:bCs/>
          <w:color w:val="auto"/>
          <w:kern w:val="0"/>
          <w:szCs w:val="24"/>
          <w:highlight w:val="none"/>
        </w:rPr>
        <w:t>类别</w:t>
      </w:r>
      <w:r>
        <w:rPr>
          <w:rFonts w:hint="eastAsia" w:ascii="宋体" w:hAnsi="宋体" w:cs="宋体"/>
          <w:color w:val="auto"/>
          <w:kern w:val="0"/>
          <w:szCs w:val="24"/>
          <w:highlight w:val="none"/>
        </w:rPr>
        <w:t>，各类产品份额</w:t>
      </w:r>
      <w:r>
        <w:rPr>
          <w:rFonts w:hint="eastAsia" w:ascii="仿宋_GB2312" w:hAnsi="宋体" w:cs="宋体"/>
          <w:bCs/>
          <w:color w:val="auto"/>
          <w:kern w:val="0"/>
          <w:szCs w:val="24"/>
          <w:highlight w:val="none"/>
        </w:rPr>
        <w:t>可能分别设置不同的</w:t>
      </w:r>
      <w:r>
        <w:rPr>
          <w:rFonts w:ascii="仿宋_GB2312" w:hAnsi="宋体" w:cs="宋体"/>
          <w:bCs/>
          <w:color w:val="auto"/>
          <w:kern w:val="0"/>
          <w:szCs w:val="24"/>
          <w:highlight w:val="none"/>
        </w:rPr>
        <w:t>销售服务</w:t>
      </w:r>
      <w:r>
        <w:rPr>
          <w:rFonts w:ascii="宋体" w:hAnsi="宋体" w:cs="宋体"/>
          <w:color w:val="auto"/>
          <w:kern w:val="0"/>
          <w:szCs w:val="24"/>
          <w:highlight w:val="none"/>
        </w:rPr>
        <w:t>费率</w:t>
      </w:r>
      <w:r>
        <w:rPr>
          <w:rFonts w:hint="eastAsia" w:ascii="宋体" w:hAnsi="宋体" w:cs="宋体"/>
          <w:color w:val="auto"/>
          <w:kern w:val="0"/>
          <w:szCs w:val="24"/>
          <w:highlight w:val="none"/>
        </w:rPr>
        <w:t>、托管费率</w:t>
      </w:r>
      <w:r>
        <w:rPr>
          <w:rFonts w:ascii="宋体" w:hAnsi="宋体" w:cs="宋体"/>
          <w:color w:val="auto"/>
          <w:kern w:val="0"/>
          <w:szCs w:val="24"/>
          <w:highlight w:val="none"/>
        </w:rPr>
        <w:t>，</w:t>
      </w:r>
      <w:r>
        <w:rPr>
          <w:rFonts w:ascii="仿宋_GB2312" w:hAnsi="宋体" w:cs="宋体"/>
          <w:bCs/>
          <w:color w:val="auto"/>
          <w:kern w:val="0"/>
          <w:szCs w:val="24"/>
          <w:highlight w:val="none"/>
        </w:rPr>
        <w:t>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ascii="仿宋_GB2312" w:hAnsi="宋体" w:cs="宋体"/>
          <w:bCs/>
          <w:color w:val="auto"/>
          <w:kern w:val="0"/>
          <w:szCs w:val="24"/>
          <w:highlight w:val="none"/>
        </w:rPr>
        <w:t>”为准。</w:t>
      </w:r>
    </w:p>
    <w:p w14:paraId="27255D13">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2.理财产品费用计提方法、计提标准和支付方式</w:t>
      </w:r>
    </w:p>
    <w:p w14:paraId="07B6C1D1">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（1）理财产品的认购费、申购费、赎回费</w:t>
      </w:r>
    </w:p>
    <w:p w14:paraId="3088A7ED">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1）认购费：费率具体数值以《产品说明书》“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ascii="仿宋_GB2312" w:hAnsi="宋体" w:cs="宋体"/>
          <w:bCs/>
          <w:color w:val="auto"/>
          <w:kern w:val="0"/>
          <w:szCs w:val="24"/>
          <w:highlight w:val="none"/>
        </w:rPr>
        <w:t>”为准。</w:t>
      </w:r>
    </w:p>
    <w:p w14:paraId="0BD3ADFF">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2）申购费：费率具体数值以《产品说明书》“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ascii="仿宋_GB2312" w:hAnsi="宋体" w:cs="宋体"/>
          <w:bCs/>
          <w:color w:val="auto"/>
          <w:kern w:val="0"/>
          <w:szCs w:val="24"/>
          <w:highlight w:val="none"/>
        </w:rPr>
        <w:t>”为准。</w:t>
      </w:r>
    </w:p>
    <w:p w14:paraId="67AF0597">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3）赎回费：费率具体数值以《产品说明书》“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rPr>
        <w:t>”为准。</w:t>
      </w:r>
    </w:p>
    <w:p w14:paraId="68B08B38">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（2）理财产品的销售服务费</w:t>
      </w:r>
    </w:p>
    <w:p w14:paraId="1147BDD4">
      <w:pPr>
        <w:tabs>
          <w:tab w:val="left" w:pos="3119"/>
        </w:tabs>
        <w:autoSpaceDE w:val="0"/>
        <w:autoSpaceDN w:val="0"/>
        <w:snapToGrid w:val="0"/>
        <w:spacing w:line="360" w:lineRule="auto"/>
        <w:ind w:firstLine="420" w:firstLineChars="200"/>
        <w:rPr>
          <w:rFonts w:hint="eastAsia" w:ascii="仿宋_GB2312" w:hAnsi="宋体" w:cs="宋体"/>
          <w:bCs/>
          <w:color w:val="auto"/>
          <w:spacing w:val="-4"/>
          <w:kern w:val="0"/>
          <w:szCs w:val="24"/>
          <w:highlight w:val="yellow"/>
        </w:rPr>
      </w:pP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yellow"/>
        </w:rPr>
        <w:t>本产品的销售服务费按</w:t>
      </w:r>
      <w:r>
        <w:rPr>
          <w:rFonts w:hint="eastAsia" w:ascii="仿宋_GB2312" w:hAnsi="宋体" w:cs="宋体"/>
          <w:bCs/>
          <w:color w:val="auto"/>
          <w:kern w:val="0"/>
          <w:szCs w:val="24"/>
          <w:highlight w:val="yellow"/>
          <w:lang w:eastAsia="zh-CN"/>
        </w:rPr>
        <w:t>当日日终份额</w:t>
      </w:r>
      <w:r>
        <w:rPr>
          <w:rFonts w:hint="eastAsia" w:ascii="仿宋_GB2312" w:hAnsi="宋体" w:cs="宋体"/>
          <w:bCs/>
          <w:color w:val="auto"/>
          <w:kern w:val="0"/>
          <w:szCs w:val="24"/>
          <w:highlight w:val="yellow"/>
        </w:rPr>
        <w:t>与销售服务费费率每日计提。</w:t>
      </w:r>
      <w:r>
        <w:rPr>
          <w:rFonts w:hint="eastAsia" w:ascii="仿宋_GB2312" w:hAnsi="宋体" w:cs="宋体"/>
          <w:bCs/>
          <w:color w:val="auto"/>
          <w:spacing w:val="-4"/>
          <w:kern w:val="0"/>
          <w:szCs w:val="24"/>
          <w:highlight w:val="yellow"/>
        </w:rPr>
        <w:t>管理人可按季或产品开放周期（如有）收取，或与后续季度、开放周期（如有）合并收取</w:t>
      </w:r>
      <w:r>
        <w:rPr>
          <w:rFonts w:hint="eastAsia" w:ascii="仿宋_GB2312" w:hAnsi="宋体" w:cs="宋体"/>
          <w:bCs/>
          <w:color w:val="auto"/>
          <w:kern w:val="0"/>
          <w:szCs w:val="24"/>
          <w:highlight w:val="yellow"/>
        </w:rPr>
        <w:t>。销售服务费</w:t>
      </w:r>
      <w:r>
        <w:rPr>
          <w:rFonts w:hint="eastAsia" w:ascii="仿宋_GB2312" w:hAnsi="宋体" w:cs="宋体"/>
          <w:bCs/>
          <w:color w:val="auto"/>
          <w:spacing w:val="-4"/>
          <w:kern w:val="0"/>
          <w:szCs w:val="24"/>
          <w:highlight w:val="yellow"/>
        </w:rPr>
        <w:t>精确到小数点后2位，小数点2位以后四舍五入。</w:t>
      </w:r>
    </w:p>
    <w:p w14:paraId="62A60F89">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销售服务费的计算方法如下：</w:t>
      </w:r>
    </w:p>
    <w:p w14:paraId="0114BD0D">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H＝E×销售服务费年费率÷365</w:t>
      </w:r>
    </w:p>
    <w:p w14:paraId="551D0E71">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H为每日应计提的销售服务费</w:t>
      </w:r>
    </w:p>
    <w:p w14:paraId="20E52F74">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lang w:eastAsia="zh-CN"/>
        </w:rPr>
      </w:pPr>
      <w:r>
        <w:rPr>
          <w:rFonts w:hint="eastAsia" w:ascii="仿宋_GB2312" w:hAnsi="宋体" w:cs="宋体"/>
          <w:bCs/>
          <w:color w:val="auto"/>
          <w:kern w:val="0"/>
          <w:szCs w:val="24"/>
          <w:highlight w:val="yellow"/>
        </w:rPr>
        <w:t>E为</w:t>
      </w:r>
      <w:r>
        <w:rPr>
          <w:rFonts w:hint="eastAsia" w:ascii="仿宋_GB2312" w:hAnsi="宋体" w:cs="宋体"/>
          <w:bCs/>
          <w:color w:val="auto"/>
          <w:kern w:val="0"/>
          <w:szCs w:val="24"/>
          <w:highlight w:val="yellow"/>
          <w:lang w:eastAsia="zh-CN"/>
        </w:rPr>
        <w:t>当日日终份额】</w:t>
      </w:r>
    </w:p>
    <w:p w14:paraId="5449D420">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销售服务费依照上述约定，从理财财产中支付。费率具体数值以《产品说明书》“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rPr>
        <w:t>”为准。</w:t>
      </w:r>
    </w:p>
    <w:p w14:paraId="1834E743">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（3）理财产品的</w:t>
      </w:r>
      <w:r>
        <w:rPr>
          <w:rFonts w:hint="eastAsia" w:ascii="仿宋_GB2312" w:hAnsi="宋体" w:cs="宋体"/>
          <w:bCs/>
          <w:color w:val="auto"/>
          <w:kern w:val="0"/>
          <w:szCs w:val="24"/>
          <w:highlight w:val="none"/>
          <w:u w:val="none"/>
          <w:lang w:eastAsia="zh-CN"/>
        </w:rPr>
        <w:t>固定管理费</w:t>
      </w:r>
    </w:p>
    <w:p w14:paraId="58E8A1B0">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rPr>
      </w:pP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yellow"/>
        </w:rPr>
        <w:t>本产品的</w:t>
      </w:r>
      <w:r>
        <w:rPr>
          <w:rFonts w:hint="eastAsia" w:ascii="仿宋_GB2312" w:hAnsi="宋体" w:cs="宋体"/>
          <w:bCs/>
          <w:color w:val="auto"/>
          <w:kern w:val="0"/>
          <w:szCs w:val="24"/>
          <w:highlight w:val="yellow"/>
          <w:u w:val="none"/>
          <w:lang w:eastAsia="zh-CN"/>
        </w:rPr>
        <w:t>固定管理费</w:t>
      </w:r>
      <w:r>
        <w:rPr>
          <w:rFonts w:hint="eastAsia" w:ascii="仿宋_GB2312" w:hAnsi="宋体" w:cs="宋体"/>
          <w:bCs/>
          <w:color w:val="auto"/>
          <w:kern w:val="0"/>
          <w:szCs w:val="24"/>
          <w:highlight w:val="yellow"/>
        </w:rPr>
        <w:t>按</w:t>
      </w:r>
      <w:r>
        <w:rPr>
          <w:rFonts w:hint="eastAsia" w:ascii="仿宋_GB2312" w:hAnsi="宋体" w:cs="宋体"/>
          <w:bCs/>
          <w:color w:val="auto"/>
          <w:kern w:val="0"/>
          <w:szCs w:val="24"/>
          <w:highlight w:val="yellow"/>
          <w:lang w:eastAsia="zh-CN"/>
        </w:rPr>
        <w:t>当日日终份额</w:t>
      </w:r>
      <w:r>
        <w:rPr>
          <w:rFonts w:hint="eastAsia" w:ascii="仿宋_GB2312" w:hAnsi="宋体" w:cs="宋体"/>
          <w:bCs/>
          <w:color w:val="auto"/>
          <w:kern w:val="0"/>
          <w:szCs w:val="24"/>
          <w:highlight w:val="yellow"/>
        </w:rPr>
        <w:t>与</w:t>
      </w:r>
      <w:r>
        <w:rPr>
          <w:rFonts w:hint="eastAsia" w:ascii="仿宋_GB2312" w:hAnsi="宋体" w:cs="宋体"/>
          <w:bCs/>
          <w:color w:val="auto"/>
          <w:kern w:val="0"/>
          <w:szCs w:val="24"/>
          <w:highlight w:val="yellow"/>
          <w:lang w:eastAsia="zh-CN"/>
        </w:rPr>
        <w:t>固定管理费</w:t>
      </w:r>
      <w:r>
        <w:rPr>
          <w:rFonts w:hint="eastAsia" w:ascii="仿宋_GB2312" w:hAnsi="宋体" w:cs="宋体"/>
          <w:bCs/>
          <w:color w:val="auto"/>
          <w:kern w:val="0"/>
          <w:szCs w:val="24"/>
          <w:highlight w:val="yellow"/>
        </w:rPr>
        <w:t>费率每日计提，</w:t>
      </w:r>
      <w:r>
        <w:rPr>
          <w:rFonts w:hint="eastAsia" w:ascii="仿宋_GB2312" w:hAnsi="宋体" w:cs="宋体"/>
          <w:bCs/>
          <w:color w:val="auto"/>
          <w:spacing w:val="-4"/>
          <w:kern w:val="0"/>
          <w:szCs w:val="24"/>
          <w:highlight w:val="yellow"/>
        </w:rPr>
        <w:t>管理人可按季或产品开放周期（如有）收取，或与后续季度、开放周期（如有）合并收取。</w:t>
      </w:r>
      <w:r>
        <w:rPr>
          <w:rFonts w:hint="eastAsia" w:ascii="仿宋_GB2312" w:hAnsi="宋体" w:cs="宋体"/>
          <w:bCs/>
          <w:color w:val="auto"/>
          <w:kern w:val="0"/>
          <w:szCs w:val="24"/>
          <w:highlight w:val="yellow"/>
          <w:lang w:eastAsia="zh-CN"/>
        </w:rPr>
        <w:t>固定管理费</w:t>
      </w:r>
      <w:r>
        <w:rPr>
          <w:rFonts w:hint="eastAsia" w:ascii="仿宋_GB2312" w:hAnsi="宋体" w:cs="宋体"/>
          <w:bCs/>
          <w:color w:val="auto"/>
          <w:spacing w:val="-4"/>
          <w:kern w:val="0"/>
          <w:szCs w:val="24"/>
          <w:highlight w:val="yellow"/>
        </w:rPr>
        <w:t>精确到小数点后2位，小数点2位以后四舍五入</w:t>
      </w:r>
      <w:r>
        <w:rPr>
          <w:rFonts w:hint="eastAsia" w:ascii="仿宋_GB2312" w:hAnsi="宋体" w:cs="宋体"/>
          <w:bCs/>
          <w:color w:val="auto"/>
          <w:kern w:val="0"/>
          <w:szCs w:val="24"/>
          <w:highlight w:val="yellow"/>
        </w:rPr>
        <w:t>。</w:t>
      </w:r>
    </w:p>
    <w:p w14:paraId="6A0545B3">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lang w:eastAsia="zh-CN"/>
        </w:rPr>
        <w:t>固定管理费</w:t>
      </w:r>
      <w:r>
        <w:rPr>
          <w:rFonts w:hint="eastAsia" w:ascii="仿宋_GB2312" w:hAnsi="宋体" w:cs="宋体"/>
          <w:bCs/>
          <w:color w:val="auto"/>
          <w:kern w:val="0"/>
          <w:szCs w:val="24"/>
          <w:highlight w:val="yellow"/>
        </w:rPr>
        <w:t>的计算方法如下：</w:t>
      </w:r>
    </w:p>
    <w:p w14:paraId="2905E670">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H＝E×</w:t>
      </w:r>
      <w:r>
        <w:rPr>
          <w:rFonts w:hint="eastAsia" w:ascii="仿宋_GB2312" w:hAnsi="宋体" w:cs="宋体"/>
          <w:bCs/>
          <w:color w:val="auto"/>
          <w:kern w:val="0"/>
          <w:szCs w:val="24"/>
          <w:highlight w:val="yellow"/>
          <w:lang w:eastAsia="zh-CN"/>
        </w:rPr>
        <w:t>固定管理费</w:t>
      </w:r>
      <w:r>
        <w:rPr>
          <w:rFonts w:hint="eastAsia" w:ascii="仿宋_GB2312" w:hAnsi="宋体" w:cs="宋体"/>
          <w:bCs/>
          <w:color w:val="auto"/>
          <w:kern w:val="0"/>
          <w:szCs w:val="24"/>
          <w:highlight w:val="yellow"/>
        </w:rPr>
        <w:t>年费率÷365</w:t>
      </w:r>
    </w:p>
    <w:p w14:paraId="5555692F">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lang w:eastAsia="zh-CN"/>
        </w:rPr>
      </w:pPr>
      <w:r>
        <w:rPr>
          <w:rFonts w:hint="eastAsia" w:ascii="仿宋_GB2312" w:hAnsi="宋体" w:cs="宋体"/>
          <w:bCs/>
          <w:color w:val="auto"/>
          <w:kern w:val="0"/>
          <w:szCs w:val="24"/>
          <w:highlight w:val="yellow"/>
        </w:rPr>
        <w:t>H为每日应计提的产品</w:t>
      </w:r>
      <w:r>
        <w:rPr>
          <w:rFonts w:hint="eastAsia" w:ascii="仿宋_GB2312" w:hAnsi="宋体" w:cs="宋体"/>
          <w:bCs/>
          <w:color w:val="auto"/>
          <w:kern w:val="0"/>
          <w:szCs w:val="24"/>
          <w:highlight w:val="yellow"/>
          <w:lang w:eastAsia="zh-CN"/>
        </w:rPr>
        <w:t>固定管理费</w:t>
      </w:r>
    </w:p>
    <w:p w14:paraId="3332AA48">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lang w:eastAsia="zh-CN"/>
        </w:rPr>
      </w:pPr>
      <w:r>
        <w:rPr>
          <w:rFonts w:hint="eastAsia" w:ascii="仿宋_GB2312" w:hAnsi="宋体" w:cs="宋体"/>
          <w:bCs/>
          <w:color w:val="auto"/>
          <w:kern w:val="0"/>
          <w:szCs w:val="24"/>
          <w:highlight w:val="yellow"/>
        </w:rPr>
        <w:t>E为</w:t>
      </w:r>
      <w:r>
        <w:rPr>
          <w:rFonts w:hint="eastAsia" w:ascii="仿宋_GB2312" w:hAnsi="宋体" w:cs="宋体"/>
          <w:bCs/>
          <w:color w:val="auto"/>
          <w:kern w:val="0"/>
          <w:szCs w:val="24"/>
          <w:highlight w:val="yellow"/>
          <w:lang w:eastAsia="zh-CN"/>
        </w:rPr>
        <w:t>当日日终份额】</w:t>
      </w:r>
    </w:p>
    <w:p w14:paraId="58CD41B7">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lang w:eastAsia="zh-CN"/>
        </w:rPr>
        <w:t>固定管理费</w:t>
      </w:r>
      <w:r>
        <w:rPr>
          <w:rFonts w:hint="eastAsia" w:ascii="仿宋_GB2312" w:hAnsi="宋体" w:cs="宋体"/>
          <w:bCs/>
          <w:color w:val="auto"/>
          <w:kern w:val="0"/>
          <w:szCs w:val="24"/>
          <w:highlight w:val="none"/>
        </w:rPr>
        <w:t>依照上述约定，从理财财产中支付。费率具体数值以《产品说明书》“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rPr>
        <w:t>”为准。</w:t>
      </w:r>
    </w:p>
    <w:p w14:paraId="49F0884C">
      <w:pPr>
        <w:pStyle w:val="13"/>
        <w:widowControl/>
        <w:numPr>
          <w:ilvl w:val="255"/>
          <w:numId w:val="0"/>
        </w:numPr>
        <w:snapToGrid w:val="0"/>
        <w:spacing w:line="360" w:lineRule="auto"/>
        <w:ind w:firstLine="420" w:firstLineChars="200"/>
        <w:rPr>
          <w:color w:val="auto"/>
          <w:highlight w:val="none"/>
        </w:rPr>
      </w:pPr>
      <w:r>
        <w:rPr>
          <w:rFonts w:hint="eastAsia" w:ascii="仿宋_GB2312" w:hAnsi="宋体" w:cs="宋体"/>
          <w:bCs/>
          <w:color w:val="auto"/>
          <w:kern w:val="0"/>
          <w:szCs w:val="24"/>
          <w:highlight w:val="none"/>
        </w:rPr>
        <w:t>（4）</w:t>
      </w:r>
      <w:r>
        <w:rPr>
          <w:rFonts w:hint="eastAsia" w:ascii="仿宋_GB2312" w:hAnsi="宋体" w:cs="宋体"/>
          <w:bCs/>
          <w:color w:val="auto"/>
          <w:kern w:val="0"/>
          <w:szCs w:val="24"/>
          <w:highlight w:val="none"/>
          <w:u w:val="none"/>
          <w:lang w:eastAsia="zh-CN"/>
        </w:rPr>
        <w:t>浮动管理费</w:t>
      </w:r>
    </w:p>
    <w:p w14:paraId="79605960">
      <w:pPr>
        <w:pStyle w:val="13"/>
        <w:widowControl/>
        <w:snapToGrid w:val="0"/>
        <w:spacing w:line="360" w:lineRule="auto"/>
        <w:ind w:left="420" w:firstLine="0" w:firstLineChars="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rPr>
        <w:t>【</w:t>
      </w: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本产品</w:t>
      </w:r>
      <w:r>
        <w:rPr>
          <w:rFonts w:ascii="仿宋_GB2312" w:hAnsi="宋体" w:cs="宋体"/>
          <w:bCs/>
          <w:color w:val="auto"/>
          <w:kern w:val="0"/>
          <w:szCs w:val="24"/>
          <w:highlight w:val="yellow"/>
          <w:u w:val="none"/>
        </w:rPr>
        <w:t>无</w:t>
      </w:r>
      <w:r>
        <w:rPr>
          <w:rFonts w:hint="eastAsia" w:ascii="仿宋_GB2312" w:hAnsi="宋体" w:cs="宋体"/>
          <w:bCs/>
          <w:color w:val="auto"/>
          <w:kern w:val="0"/>
          <w:szCs w:val="24"/>
          <w:highlight w:val="yellow"/>
          <w:u w:val="none"/>
          <w:lang w:eastAsia="zh-CN"/>
        </w:rPr>
        <w:t>浮动管理费</w:t>
      </w:r>
      <w:r>
        <w:rPr>
          <w:rFonts w:ascii="仿宋_GB2312" w:hAnsi="宋体" w:cs="宋体"/>
          <w:bCs/>
          <w:color w:val="auto"/>
          <w:kern w:val="0"/>
          <w:szCs w:val="24"/>
          <w:highlight w:val="yellow"/>
          <w:u w:val="none"/>
        </w:rPr>
        <w:t>。</w:t>
      </w:r>
      <w:r>
        <w:rPr>
          <w:rFonts w:hint="eastAsia" w:ascii="仿宋_GB2312" w:hAnsi="宋体" w:cs="宋体"/>
          <w:bCs/>
          <w:color w:val="auto"/>
          <w:kern w:val="0"/>
          <w:szCs w:val="24"/>
          <w:highlight w:val="yellow"/>
          <w:u w:val="none"/>
          <w:lang w:eastAsia="zh-CN"/>
        </w:rPr>
        <w:t>】</w:t>
      </w:r>
    </w:p>
    <w:p w14:paraId="188B78D6">
      <w:pPr>
        <w:widowControl/>
        <w:tabs>
          <w:tab w:val="left" w:pos="709"/>
        </w:tabs>
        <w:autoSpaceDE/>
        <w:autoSpaceDN/>
        <w:snapToGrid w:val="0"/>
        <w:spacing w:line="360" w:lineRule="auto"/>
        <w:ind w:firstLine="420" w:firstLineChars="200"/>
        <w:rPr>
          <w:rFonts w:hint="eastAsia" w:ascii="仿宋_GB2312" w:hAnsi="宋体" w:cs="宋体"/>
          <w:b/>
          <w:bCs/>
          <w:color w:val="auto"/>
          <w:kern w:val="0"/>
          <w:szCs w:val="24"/>
          <w:highlight w:val="yellow"/>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sym w:font="Wingdings 2" w:char="0052"/>
      </w:r>
      <w:r>
        <w:rPr>
          <w:rFonts w:hint="eastAsia" w:ascii="仿宋_GB2312" w:hAnsi="宋体" w:cs="宋体"/>
          <w:bCs/>
          <w:color w:val="auto"/>
          <w:kern w:val="0"/>
          <w:szCs w:val="24"/>
          <w:highlight w:val="yellow"/>
          <w:u w:val="none"/>
        </w:rPr>
        <w:t>理财产品管理人收取理财产品</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w:t>
      </w:r>
      <w:r>
        <w:rPr>
          <w:rFonts w:hint="eastAsia" w:ascii="仿宋_GB2312" w:hAnsi="宋体" w:cs="宋体"/>
          <w:bCs/>
          <w:color w:val="auto"/>
          <w:kern w:val="0"/>
          <w:szCs w:val="24"/>
          <w:highlight w:val="yellow"/>
        </w:rPr>
        <w:t>浙银理财将对本产品各投资周期结束并自动赎回的产品份额，根据投资者实际持有期限，计算投资者持有期间产品运作年化收益率；</w:t>
      </w:r>
      <w:r>
        <w:rPr>
          <w:rFonts w:hint="eastAsia" w:ascii="仿宋_GB2312" w:hAnsi="宋体" w:cs="宋体"/>
          <w:b/>
          <w:bCs/>
          <w:color w:val="auto"/>
          <w:kern w:val="0"/>
          <w:szCs w:val="24"/>
          <w:highlight w:val="yellow"/>
        </w:rPr>
        <w:t>对年化收益率高于</w:t>
      </w:r>
      <w:r>
        <w:rPr>
          <w:rFonts w:ascii="仿宋_GB2312" w:hAnsi="宋体" w:cs="宋体"/>
          <w:b/>
          <w:bCs/>
          <w:color w:val="auto"/>
          <w:kern w:val="0"/>
          <w:szCs w:val="24"/>
          <w:highlight w:val="yellow"/>
        </w:rPr>
        <w:t>5%的部分，</w:t>
      </w:r>
      <w:r>
        <w:rPr>
          <w:rFonts w:hint="eastAsia" w:ascii="仿宋_GB2312" w:hAnsi="宋体" w:cs="宋体"/>
          <w:b/>
          <w:bCs/>
          <w:color w:val="auto"/>
          <w:kern w:val="0"/>
          <w:szCs w:val="24"/>
          <w:highlight w:val="yellow"/>
        </w:rPr>
        <w:t>浙银理财将按照</w:t>
      </w:r>
      <w:r>
        <w:rPr>
          <w:rFonts w:ascii="仿宋_GB2312" w:hAnsi="宋体" w:cs="宋体"/>
          <w:b/>
          <w:bCs/>
          <w:color w:val="auto"/>
          <w:kern w:val="0"/>
          <w:szCs w:val="24"/>
          <w:highlight w:val="yellow"/>
        </w:rPr>
        <w:t>50%</w:t>
      </w:r>
      <w:r>
        <w:rPr>
          <w:rFonts w:hint="eastAsia" w:ascii="仿宋_GB2312" w:hAnsi="宋体" w:cs="宋体"/>
          <w:b/>
          <w:bCs/>
          <w:color w:val="auto"/>
          <w:kern w:val="0"/>
          <w:szCs w:val="24"/>
          <w:highlight w:val="yellow"/>
        </w:rPr>
        <w:t>的比例一次性提取</w:t>
      </w:r>
      <w:r>
        <w:rPr>
          <w:rFonts w:hint="eastAsia" w:ascii="仿宋_GB2312" w:hAnsi="宋体" w:cs="宋体"/>
          <w:b/>
          <w:bCs/>
          <w:color w:val="auto"/>
          <w:kern w:val="0"/>
          <w:szCs w:val="24"/>
          <w:highlight w:val="yellow"/>
          <w:lang w:eastAsia="zh-CN"/>
        </w:rPr>
        <w:t>浮动管理费</w:t>
      </w:r>
      <w:r>
        <w:rPr>
          <w:rFonts w:hint="eastAsia" w:ascii="仿宋_GB2312" w:hAnsi="宋体" w:cs="宋体"/>
          <w:b/>
          <w:bCs/>
          <w:color w:val="auto"/>
          <w:kern w:val="0"/>
          <w:szCs w:val="24"/>
          <w:highlight w:val="yellow"/>
        </w:rPr>
        <w:t>。</w:t>
      </w:r>
    </w:p>
    <w:p w14:paraId="19F8209B">
      <w:pPr>
        <w:tabs>
          <w:tab w:val="left" w:pos="3119"/>
        </w:tabs>
        <w:autoSpaceDE w:val="0"/>
        <w:autoSpaceDN w:val="0"/>
        <w:snapToGrid w:val="0"/>
        <w:spacing w:line="360" w:lineRule="auto"/>
        <w:ind w:firstLine="420" w:firstLineChars="200"/>
        <w:rPr>
          <w:rFonts w:hint="eastAsia" w:ascii="仿宋_GB2312" w:hAnsi="宋体" w:cs="宋体"/>
          <w:bCs/>
          <w:color w:val="auto"/>
          <w:kern w:val="0"/>
          <w:szCs w:val="24"/>
          <w:highlight w:val="yellow"/>
        </w:rPr>
      </w:pPr>
      <w:r>
        <w:rPr>
          <w:rFonts w:hint="eastAsia" w:ascii="仿宋_GB2312" w:hAnsi="宋体" w:cs="宋体"/>
          <w:bCs/>
          <w:color w:val="auto"/>
          <w:kern w:val="0"/>
          <w:szCs w:val="24"/>
          <w:highlight w:val="yellow"/>
        </w:rPr>
        <w:t>本产品</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rPr>
        <w:t>由浙银理财在投资者收益分配时进行提取，不纳入产品进行核算。</w:t>
      </w:r>
    </w:p>
    <w:p w14:paraId="356B651F">
      <w:pPr>
        <w:tabs>
          <w:tab w:val="left" w:pos="3119"/>
        </w:tabs>
        <w:autoSpaceDE w:val="0"/>
        <w:autoSpaceDN w:val="0"/>
        <w:snapToGrid w:val="0"/>
        <w:spacing w:line="360" w:lineRule="auto"/>
        <w:ind w:firstLine="420" w:firstLineChars="200"/>
        <w:rPr>
          <w:rFonts w:hint="eastAsia" w:ascii="仿宋_GB2312" w:hAnsi="宋体" w:cs="宋体"/>
          <w:bCs/>
          <w:color w:val="auto"/>
          <w:kern w:val="0"/>
          <w:szCs w:val="24"/>
          <w:highlight w:val="yellow"/>
        </w:rPr>
      </w:pPr>
      <w:r>
        <w:rPr>
          <w:rFonts w:hint="eastAsia" w:ascii="仿宋_GB2312" w:hAnsi="宋体" w:cs="宋体"/>
          <w:bCs/>
          <w:color w:val="auto"/>
          <w:kern w:val="0"/>
          <w:szCs w:val="24"/>
          <w:highlight w:val="yellow"/>
        </w:rPr>
        <w:t>公式：投资者持有期间产品运作年化收益率X=（自动赎回日前一自然日份额净值-申购确认日前一自然日份额净值）÷申购确认日前一自然日份额净值÷实际持有天数×365</w:t>
      </w:r>
    </w:p>
    <w:p w14:paraId="1D12D3F4">
      <w:pPr>
        <w:tabs>
          <w:tab w:val="left" w:pos="3119"/>
        </w:tabs>
        <w:autoSpaceDE w:val="0"/>
        <w:autoSpaceDN w:val="0"/>
        <w:snapToGrid w:val="0"/>
        <w:spacing w:line="360" w:lineRule="auto"/>
        <w:ind w:firstLine="420" w:firstLineChars="200"/>
        <w:rPr>
          <w:rFonts w:hint="eastAsia" w:ascii="仿宋_GB2312" w:hAnsi="宋体" w:cs="宋体"/>
          <w:bCs/>
          <w:color w:val="auto"/>
          <w:kern w:val="0"/>
          <w:szCs w:val="24"/>
          <w:highlight w:val="yellow"/>
        </w:rPr>
      </w:pPr>
      <w:r>
        <w:rPr>
          <w:rFonts w:hint="eastAsia" w:ascii="仿宋_GB2312" w:hAnsi="宋体" w:cs="宋体"/>
          <w:bCs/>
          <w:color w:val="auto"/>
          <w:kern w:val="0"/>
          <w:szCs w:val="24"/>
          <w:highlight w:val="yellow"/>
        </w:rPr>
        <w:t>若X&gt;</w:t>
      </w:r>
      <w:r>
        <w:rPr>
          <w:rFonts w:ascii="仿宋_GB2312" w:hAnsi="宋体" w:cs="宋体"/>
          <w:bCs/>
          <w:color w:val="auto"/>
          <w:kern w:val="0"/>
          <w:szCs w:val="24"/>
          <w:highlight w:val="yellow"/>
        </w:rPr>
        <w:t>5%</w:t>
      </w:r>
      <w:r>
        <w:rPr>
          <w:rFonts w:hint="eastAsia" w:ascii="仿宋_GB2312" w:hAnsi="宋体" w:cs="宋体"/>
          <w:bCs/>
          <w:color w:val="auto"/>
          <w:kern w:val="0"/>
          <w:szCs w:val="24"/>
          <w:highlight w:val="yellow"/>
        </w:rPr>
        <w:t>，则</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rPr>
        <w:t>为（X-5%）×50%×申购金额×实际持有天数÷365；若X≤5</w:t>
      </w:r>
      <w:r>
        <w:rPr>
          <w:rFonts w:ascii="仿宋_GB2312" w:hAnsi="宋体" w:cs="宋体"/>
          <w:bCs/>
          <w:color w:val="auto"/>
          <w:kern w:val="0"/>
          <w:szCs w:val="24"/>
          <w:highlight w:val="yellow"/>
        </w:rPr>
        <w:t>%,</w:t>
      </w:r>
      <w:r>
        <w:rPr>
          <w:rFonts w:hint="eastAsia" w:ascii="仿宋_GB2312" w:hAnsi="宋体" w:cs="宋体"/>
          <w:bCs/>
          <w:color w:val="auto"/>
          <w:kern w:val="0"/>
          <w:szCs w:val="24"/>
          <w:highlight w:val="yellow"/>
        </w:rPr>
        <w:t>则无</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rPr>
        <w:t>。</w:t>
      </w:r>
    </w:p>
    <w:p w14:paraId="598DC269">
      <w:pPr>
        <w:tabs>
          <w:tab w:val="left" w:pos="3119"/>
        </w:tabs>
        <w:autoSpaceDE w:val="0"/>
        <w:autoSpaceDN w:val="0"/>
        <w:snapToGrid w:val="0"/>
        <w:spacing w:line="360" w:lineRule="auto"/>
        <w:ind w:firstLine="422" w:firstLineChars="200"/>
        <w:rPr>
          <w:rFonts w:hint="eastAsia" w:ascii="仿宋_GB2312" w:hAnsi="宋体" w:eastAsia="仿宋_GB2312" w:cs="宋体"/>
          <w:b/>
          <w:bCs/>
          <w:color w:val="auto"/>
          <w:kern w:val="0"/>
          <w:szCs w:val="24"/>
          <w:highlight w:val="yellow"/>
          <w:lang w:eastAsia="zh-CN"/>
        </w:rPr>
      </w:pPr>
      <w:r>
        <w:rPr>
          <w:rFonts w:hint="eastAsia" w:ascii="仿宋_GB2312" w:hAnsi="宋体" w:cs="宋体"/>
          <w:b/>
          <w:bCs/>
          <w:color w:val="auto"/>
          <w:kern w:val="0"/>
          <w:szCs w:val="24"/>
          <w:highlight w:val="yellow"/>
        </w:rPr>
        <w:t>浙银理财将于</w:t>
      </w:r>
      <w:r>
        <w:rPr>
          <w:rFonts w:ascii="仿宋_GB2312" w:hAnsi="宋体" w:cs="宋体"/>
          <w:b/>
          <w:bCs/>
          <w:color w:val="auto"/>
          <w:kern w:val="0"/>
          <w:szCs w:val="24"/>
          <w:highlight w:val="yellow"/>
        </w:rPr>
        <w:t>2021</w:t>
      </w:r>
      <w:r>
        <w:rPr>
          <w:rFonts w:hint="eastAsia" w:ascii="仿宋_GB2312" w:hAnsi="宋体" w:cs="宋体"/>
          <w:b/>
          <w:bCs/>
          <w:color w:val="auto"/>
          <w:kern w:val="0"/>
          <w:szCs w:val="24"/>
          <w:highlight w:val="yellow"/>
        </w:rPr>
        <w:t>年</w:t>
      </w:r>
      <w:r>
        <w:rPr>
          <w:rFonts w:ascii="仿宋_GB2312" w:hAnsi="宋体" w:cs="宋体"/>
          <w:b/>
          <w:bCs/>
          <w:color w:val="auto"/>
          <w:kern w:val="0"/>
          <w:szCs w:val="24"/>
          <w:highlight w:val="yellow"/>
        </w:rPr>
        <w:t>1</w:t>
      </w:r>
      <w:r>
        <w:rPr>
          <w:rFonts w:hint="eastAsia" w:ascii="仿宋_GB2312" w:hAnsi="宋体" w:cs="宋体"/>
          <w:b/>
          <w:bCs/>
          <w:color w:val="auto"/>
          <w:kern w:val="0"/>
          <w:szCs w:val="24"/>
          <w:highlight w:val="yellow"/>
        </w:rPr>
        <w:t>月</w:t>
      </w:r>
      <w:r>
        <w:rPr>
          <w:rFonts w:ascii="仿宋_GB2312" w:hAnsi="宋体" w:cs="宋体"/>
          <w:b/>
          <w:bCs/>
          <w:color w:val="auto"/>
          <w:kern w:val="0"/>
          <w:szCs w:val="24"/>
          <w:highlight w:val="yellow"/>
        </w:rPr>
        <w:t>1</w:t>
      </w:r>
      <w:r>
        <w:rPr>
          <w:rFonts w:hint="eastAsia" w:ascii="仿宋_GB2312" w:hAnsi="宋体" w:cs="宋体"/>
          <w:b/>
          <w:bCs/>
          <w:color w:val="auto"/>
          <w:kern w:val="0"/>
          <w:szCs w:val="24"/>
          <w:highlight w:val="yellow"/>
        </w:rPr>
        <w:t>日起提取</w:t>
      </w:r>
      <w:r>
        <w:rPr>
          <w:rFonts w:hint="eastAsia" w:ascii="仿宋_GB2312" w:hAnsi="宋体" w:cs="宋体"/>
          <w:b/>
          <w:bCs/>
          <w:color w:val="auto"/>
          <w:kern w:val="0"/>
          <w:szCs w:val="24"/>
          <w:highlight w:val="yellow"/>
          <w:lang w:eastAsia="zh-CN"/>
        </w:rPr>
        <w:t>浮动管理费</w:t>
      </w:r>
      <w:r>
        <w:rPr>
          <w:rFonts w:hint="eastAsia" w:ascii="仿宋_GB2312" w:hAnsi="宋体" w:cs="宋体"/>
          <w:b/>
          <w:bCs/>
          <w:color w:val="auto"/>
          <w:kern w:val="0"/>
          <w:szCs w:val="24"/>
          <w:highlight w:val="yellow"/>
        </w:rPr>
        <w:t>，即对申购确认日为</w:t>
      </w:r>
      <w:r>
        <w:rPr>
          <w:rFonts w:ascii="仿宋_GB2312" w:hAnsi="宋体" w:cs="宋体"/>
          <w:b/>
          <w:bCs/>
          <w:color w:val="auto"/>
          <w:kern w:val="0"/>
          <w:szCs w:val="24"/>
          <w:highlight w:val="yellow"/>
        </w:rPr>
        <w:t>2021</w:t>
      </w:r>
      <w:r>
        <w:rPr>
          <w:rFonts w:hint="eastAsia" w:ascii="仿宋_GB2312" w:hAnsi="宋体" w:cs="宋体"/>
          <w:b/>
          <w:bCs/>
          <w:color w:val="auto"/>
          <w:kern w:val="0"/>
          <w:szCs w:val="24"/>
          <w:highlight w:val="yellow"/>
        </w:rPr>
        <w:t>年</w:t>
      </w:r>
      <w:r>
        <w:rPr>
          <w:rFonts w:ascii="仿宋_GB2312" w:hAnsi="宋体" w:cs="宋体"/>
          <w:b/>
          <w:bCs/>
          <w:color w:val="auto"/>
          <w:kern w:val="0"/>
          <w:szCs w:val="24"/>
          <w:highlight w:val="yellow"/>
        </w:rPr>
        <w:t>1</w:t>
      </w:r>
      <w:r>
        <w:rPr>
          <w:rFonts w:hint="eastAsia" w:ascii="仿宋_GB2312" w:hAnsi="宋体" w:cs="宋体"/>
          <w:b/>
          <w:bCs/>
          <w:color w:val="auto"/>
          <w:kern w:val="0"/>
          <w:szCs w:val="24"/>
          <w:highlight w:val="yellow"/>
        </w:rPr>
        <w:t>月</w:t>
      </w:r>
      <w:r>
        <w:rPr>
          <w:rFonts w:ascii="仿宋_GB2312" w:hAnsi="宋体" w:cs="宋体"/>
          <w:b/>
          <w:bCs/>
          <w:color w:val="auto"/>
          <w:kern w:val="0"/>
          <w:szCs w:val="24"/>
          <w:highlight w:val="yellow"/>
        </w:rPr>
        <w:t>1</w:t>
      </w:r>
      <w:r>
        <w:rPr>
          <w:rFonts w:hint="eastAsia" w:ascii="仿宋_GB2312" w:hAnsi="宋体" w:cs="宋体"/>
          <w:b/>
          <w:bCs/>
          <w:color w:val="auto"/>
          <w:kern w:val="0"/>
          <w:szCs w:val="24"/>
          <w:highlight w:val="yellow"/>
        </w:rPr>
        <w:t>日以后的投资计算并提取</w:t>
      </w:r>
      <w:r>
        <w:rPr>
          <w:rFonts w:hint="eastAsia" w:ascii="仿宋_GB2312" w:hAnsi="宋体" w:cs="宋体"/>
          <w:b/>
          <w:bCs/>
          <w:color w:val="auto"/>
          <w:kern w:val="0"/>
          <w:szCs w:val="24"/>
          <w:highlight w:val="yellow"/>
          <w:lang w:eastAsia="zh-CN"/>
        </w:rPr>
        <w:t>浮动管理费</w:t>
      </w:r>
      <w:r>
        <w:rPr>
          <w:rFonts w:hint="eastAsia" w:ascii="仿宋_GB2312" w:hAnsi="宋体" w:cs="宋体"/>
          <w:b/>
          <w:bCs/>
          <w:color w:val="auto"/>
          <w:kern w:val="0"/>
          <w:szCs w:val="24"/>
          <w:highlight w:val="yellow"/>
        </w:rPr>
        <w:t>。</w:t>
      </w:r>
      <w:r>
        <w:rPr>
          <w:rFonts w:hint="eastAsia" w:ascii="仿宋_GB2312" w:hAnsi="宋体" w:cs="宋体"/>
          <w:b/>
          <w:bCs/>
          <w:color w:val="auto"/>
          <w:kern w:val="0"/>
          <w:szCs w:val="24"/>
          <w:highlight w:val="yellow"/>
          <w:lang w:eastAsia="zh-CN"/>
        </w:rPr>
        <w:t>】</w:t>
      </w:r>
    </w:p>
    <w:p w14:paraId="73B403DE">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（5）理财产品的托管费</w:t>
      </w:r>
    </w:p>
    <w:p w14:paraId="4E38B0BE">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rPr>
      </w:pP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yellow"/>
        </w:rPr>
        <w:t>本产品的托管费按</w:t>
      </w:r>
      <w:r>
        <w:rPr>
          <w:rFonts w:hint="eastAsia" w:ascii="仿宋_GB2312" w:hAnsi="宋体" w:cs="宋体"/>
          <w:bCs/>
          <w:color w:val="auto"/>
          <w:kern w:val="0"/>
          <w:szCs w:val="24"/>
          <w:highlight w:val="yellow"/>
          <w:lang w:eastAsia="zh-CN"/>
        </w:rPr>
        <w:t>当日日终份额</w:t>
      </w:r>
      <w:r>
        <w:rPr>
          <w:rFonts w:hint="eastAsia" w:ascii="仿宋_GB2312" w:hAnsi="宋体" w:cs="宋体"/>
          <w:bCs/>
          <w:color w:val="auto"/>
          <w:kern w:val="0"/>
          <w:szCs w:val="24"/>
          <w:highlight w:val="yellow"/>
        </w:rPr>
        <w:t>与托管费费率每日计提，</w:t>
      </w:r>
      <w:r>
        <w:rPr>
          <w:rFonts w:hint="eastAsia" w:ascii="仿宋_GB2312" w:hAnsi="宋体" w:cs="宋体"/>
          <w:bCs/>
          <w:color w:val="auto"/>
          <w:spacing w:val="-4"/>
          <w:kern w:val="0"/>
          <w:szCs w:val="24"/>
          <w:highlight w:val="yellow"/>
        </w:rPr>
        <w:t>管理人可按季或产品开放周期（如有）收取，或与后续季度、开放周期（如有）合并收取。</w:t>
      </w:r>
      <w:r>
        <w:rPr>
          <w:rFonts w:hint="eastAsia" w:ascii="仿宋_GB2312" w:hAnsi="宋体" w:cs="宋体"/>
          <w:bCs/>
          <w:color w:val="auto"/>
          <w:kern w:val="0"/>
          <w:szCs w:val="24"/>
          <w:highlight w:val="yellow"/>
        </w:rPr>
        <w:t>托管费</w:t>
      </w:r>
      <w:r>
        <w:rPr>
          <w:rFonts w:hint="eastAsia" w:ascii="仿宋_GB2312" w:hAnsi="宋体" w:cs="宋体"/>
          <w:bCs/>
          <w:color w:val="auto"/>
          <w:spacing w:val="-4"/>
          <w:kern w:val="0"/>
          <w:szCs w:val="24"/>
          <w:highlight w:val="yellow"/>
        </w:rPr>
        <w:t>精确到小数点后2位，小数点2位以后四舍五入</w:t>
      </w:r>
      <w:r>
        <w:rPr>
          <w:rFonts w:hint="eastAsia" w:ascii="仿宋_GB2312" w:hAnsi="宋体" w:cs="宋体"/>
          <w:bCs/>
          <w:color w:val="auto"/>
          <w:kern w:val="0"/>
          <w:szCs w:val="24"/>
          <w:highlight w:val="yellow"/>
        </w:rPr>
        <w:t>。</w:t>
      </w:r>
    </w:p>
    <w:p w14:paraId="3360F58F">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托管费的计算方法如下：</w:t>
      </w:r>
    </w:p>
    <w:p w14:paraId="70FD6BAA">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H＝E×托管费年费率÷365</w:t>
      </w:r>
    </w:p>
    <w:p w14:paraId="68CC972F">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H为每日应计提的托管费</w:t>
      </w:r>
    </w:p>
    <w:p w14:paraId="7BDD3662">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lang w:eastAsia="zh-CN"/>
        </w:rPr>
      </w:pPr>
      <w:r>
        <w:rPr>
          <w:rFonts w:hint="eastAsia" w:ascii="仿宋_GB2312" w:hAnsi="宋体" w:cs="宋体"/>
          <w:bCs/>
          <w:color w:val="auto"/>
          <w:kern w:val="0"/>
          <w:szCs w:val="24"/>
          <w:highlight w:val="yellow"/>
        </w:rPr>
        <w:t>E为</w:t>
      </w:r>
      <w:r>
        <w:rPr>
          <w:rFonts w:hint="eastAsia" w:ascii="仿宋_GB2312" w:hAnsi="宋体" w:cs="宋体"/>
          <w:bCs/>
          <w:color w:val="auto"/>
          <w:kern w:val="0"/>
          <w:szCs w:val="24"/>
          <w:highlight w:val="yellow"/>
          <w:lang w:eastAsia="zh-CN"/>
        </w:rPr>
        <w:t>当日日终份额】</w:t>
      </w:r>
    </w:p>
    <w:p w14:paraId="11EB3B32">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托管费依照上述约定，从理财财产中支付。费率具体数值以《产品说明书》“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rPr>
        <w:t>”为准。</w:t>
      </w:r>
    </w:p>
    <w:p w14:paraId="6B01140D">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（6）其他费用</w:t>
      </w:r>
    </w:p>
    <w:p w14:paraId="41E6E199">
      <w:pPr>
        <w:widowControl/>
        <w:tabs>
          <w:tab w:val="left" w:pos="709"/>
        </w:tabs>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与理财产品相关的账户服务费用、资产服务费用、交易费用（包括但不限于交易佣金、撮合费用等）、注册登记费、验资费、审计费、信息披露费、清算费用、执行费用（包括但不限于律师费、诉讼费、仲裁费、公证费、保全费、执行费等）以及按照法律法规、监管规定和理财产品销售文件约定的其他费用，按照实际发生金额从产品资产中列支。若产品管理人先行垫付其他费用的，管理人有权从理财产品资产中优先受偿。</w:t>
      </w:r>
    </w:p>
    <w:p w14:paraId="1331F9F4">
      <w:pPr>
        <w:widowControl/>
        <w:tabs>
          <w:tab w:val="left" w:pos="709"/>
        </w:tabs>
        <w:snapToGrid w:val="0"/>
        <w:spacing w:line="360" w:lineRule="auto"/>
        <w:ind w:firstLine="422" w:firstLineChars="200"/>
        <w:rPr>
          <w:rFonts w:hint="eastAsia" w:ascii="仿宋_GB2312" w:hAnsi="宋体" w:cs="宋体"/>
          <w:b/>
          <w:bCs/>
          <w:color w:val="auto"/>
          <w:kern w:val="0"/>
          <w:szCs w:val="24"/>
          <w:highlight w:val="none"/>
        </w:rPr>
      </w:pPr>
      <w:r>
        <w:rPr>
          <w:rFonts w:ascii="仿宋_GB2312" w:hAnsi="宋体" w:cs="宋体"/>
          <w:b/>
          <w:bCs/>
          <w:color w:val="auto"/>
          <w:kern w:val="0"/>
          <w:szCs w:val="24"/>
          <w:highlight w:val="none"/>
        </w:rPr>
        <w:t>3</w:t>
      </w:r>
      <w:r>
        <w:rPr>
          <w:rFonts w:hint="eastAsia" w:ascii="仿宋_GB2312" w:hAnsi="宋体" w:cs="宋体"/>
          <w:b/>
          <w:bCs/>
          <w:color w:val="auto"/>
          <w:kern w:val="0"/>
          <w:szCs w:val="24"/>
          <w:highlight w:val="none"/>
        </w:rPr>
        <w:t>.费用调整</w:t>
      </w:r>
    </w:p>
    <w:p w14:paraId="0AA2E8F8">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产品管理人有权根据相关法律和国家政策规定，对理财产品费用的收费项目、收费条件、收费标准和收费方式等进行调整。产品管理人对费用的调整按本说明书约定的方式进行信息披露。投资者有权不接受调整，并按照信息披露内容中约定的方式提前赎回理财产品。</w:t>
      </w:r>
    </w:p>
    <w:p w14:paraId="32BF3BEC">
      <w:pPr>
        <w:pStyle w:val="3"/>
        <w:numPr>
          <w:ilvl w:val="1"/>
          <w:numId w:val="10"/>
        </w:numPr>
        <w:ind w:firstLine="482"/>
        <w:rPr>
          <w:color w:val="auto"/>
          <w:highlight w:val="none"/>
        </w:rPr>
      </w:pPr>
      <w:r>
        <w:rPr>
          <w:rFonts w:hint="eastAsia"/>
          <w:color w:val="auto"/>
          <w:highlight w:val="none"/>
        </w:rPr>
        <w:t>税收说明</w:t>
      </w:r>
    </w:p>
    <w:p w14:paraId="33160773">
      <w:pPr>
        <w:tabs>
          <w:tab w:val="left" w:pos="709"/>
        </w:tabs>
        <w:snapToGrid w:val="0"/>
        <w:spacing w:line="360" w:lineRule="auto"/>
        <w:ind w:firstLine="420" w:firstLineChars="200"/>
        <w:rPr>
          <w:color w:val="auto"/>
          <w:highlight w:val="none"/>
        </w:rPr>
      </w:pPr>
      <w:r>
        <w:rPr>
          <w:rFonts w:hint="eastAsia" w:ascii="仿宋_GB2312" w:hAnsi="宋体" w:cs="宋体"/>
          <w:bCs/>
          <w:color w:val="auto"/>
          <w:kern w:val="0"/>
          <w:szCs w:val="24"/>
          <w:highlight w:val="none"/>
        </w:rPr>
        <w:t>本理财产品运作过程中涉及的各纳税主体的纳税义务按国家税收法律、法规执行。除法律法规特别要求外，理财产品运营过程中发生的增值税应税行为，由理财产品承担增值税及附加税费，并由理财产品管理人进行计算、申报和缴纳，该等税费将直接从理财产品财产中支付。后续国家法律法规如对相关税收政策进行调整，管理人有权根据税收政策相应调整理财产品运营过程中发生的税费的承担方式。理财收益的应纳税款以及其他的投资者应纳税款由投资者自行申报及缴纳，管理人不承担代扣代缴或纳税的义务。</w:t>
      </w:r>
    </w:p>
    <w:p w14:paraId="3C098AD1">
      <w:pPr>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br w:type="page"/>
      </w:r>
    </w:p>
    <w:p w14:paraId="0A4FFD7C">
      <w:pPr>
        <w:pStyle w:val="2"/>
        <w:numPr>
          <w:ilvl w:val="0"/>
          <w:numId w:val="10"/>
        </w:numPr>
        <w:rPr>
          <w:color w:val="auto"/>
          <w:highlight w:val="none"/>
        </w:rPr>
      </w:pPr>
      <w:r>
        <w:rPr>
          <w:rFonts w:hint="eastAsia"/>
          <w:color w:val="auto"/>
          <w:highlight w:val="none"/>
        </w:rPr>
        <w:t>理财产品的终止与清算</w:t>
      </w:r>
    </w:p>
    <w:p w14:paraId="2662EB69">
      <w:pPr>
        <w:pStyle w:val="3"/>
        <w:numPr>
          <w:ilvl w:val="1"/>
          <w:numId w:val="10"/>
        </w:numPr>
        <w:ind w:firstLine="482"/>
        <w:rPr>
          <w:color w:val="auto"/>
          <w:highlight w:val="none"/>
        </w:rPr>
      </w:pPr>
      <w:r>
        <w:rPr>
          <w:rFonts w:hint="eastAsia"/>
          <w:color w:val="auto"/>
          <w:highlight w:val="none"/>
        </w:rPr>
        <w:t>理财产品到期</w:t>
      </w:r>
    </w:p>
    <w:p w14:paraId="5C22F619">
      <w:pPr>
        <w:widowControl/>
        <w:tabs>
          <w:tab w:val="left" w:pos="709"/>
        </w:tabs>
        <w:adjustRightInd/>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yellow"/>
        </w:rPr>
        <w:t>本理财产品到期日为2070年8月10日</w:t>
      </w: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none"/>
        </w:rPr>
        <w:t>，如遇非工作日则顺延至下一工作日</w:t>
      </w:r>
      <w:r>
        <w:rPr>
          <w:rFonts w:hint="eastAsia" w:ascii="仿宋_GB2312" w:hAnsi="宋体" w:cs="宋体"/>
          <w:bCs/>
          <w:color w:val="auto"/>
          <w:kern w:val="0"/>
          <w:szCs w:val="24"/>
          <w:highlight w:val="none"/>
          <w:lang w:val="en-US" w:eastAsia="zh-CN"/>
        </w:rPr>
        <w:t>,</w:t>
      </w:r>
      <w:r>
        <w:rPr>
          <w:rFonts w:hint="eastAsia" w:ascii="宋体" w:hAnsi="宋体"/>
          <w:color w:val="auto"/>
          <w:szCs w:val="24"/>
          <w:highlight w:val="none"/>
        </w:rPr>
        <w:t>如产品提前</w:t>
      </w:r>
      <w:r>
        <w:rPr>
          <w:rFonts w:hint="eastAsia" w:ascii="仿宋_GB2312" w:hAnsi="宋体" w:cs="宋体"/>
          <w:bCs/>
          <w:color w:val="auto"/>
          <w:kern w:val="0"/>
          <w:szCs w:val="24"/>
          <w:highlight w:val="none"/>
          <w:lang w:val="en-US" w:eastAsia="zh-CN"/>
        </w:rPr>
        <w:t>或延期</w:t>
      </w:r>
      <w:r>
        <w:rPr>
          <w:rFonts w:hint="eastAsia" w:ascii="宋体" w:hAnsi="宋体"/>
          <w:color w:val="auto"/>
          <w:szCs w:val="24"/>
          <w:highlight w:val="none"/>
        </w:rPr>
        <w:t>终止，除有特别约定外，实际终止日为到期日。</w:t>
      </w:r>
    </w:p>
    <w:p w14:paraId="1EB9B2FA">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理财产品不因投资者死亡、丧失民事行为能力、破产而终止；投资者的法定继承人、承继人或指定受益人以及继任管理人承担本理财产品销售文件项下的相应权利和义务，产品管理人以及代销机构有权要求投资者的继承人或者指定受益人等相关主体配合办理相关变更手续。</w:t>
      </w:r>
    </w:p>
    <w:p w14:paraId="4C7BFD1A">
      <w:pPr>
        <w:pStyle w:val="3"/>
        <w:numPr>
          <w:ilvl w:val="1"/>
          <w:numId w:val="10"/>
        </w:numPr>
        <w:ind w:firstLine="482"/>
        <w:rPr>
          <w:color w:val="auto"/>
          <w:highlight w:val="none"/>
        </w:rPr>
      </w:pPr>
      <w:r>
        <w:rPr>
          <w:rFonts w:hint="eastAsia"/>
          <w:color w:val="auto"/>
          <w:highlight w:val="none"/>
        </w:rPr>
        <w:t>理财产品提前终止</w:t>
      </w:r>
    </w:p>
    <w:p w14:paraId="2A8B4B09">
      <w:pPr>
        <w:widowControl/>
        <w:tabs>
          <w:tab w:val="left" w:pos="709"/>
        </w:tabs>
        <w:snapToGrid w:val="0"/>
        <w:spacing w:line="360" w:lineRule="auto"/>
        <w:ind w:firstLine="422" w:firstLineChars="200"/>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本理财产品存续期间，投资者无提前终止权。如出现以下情形，管理人有权但无义务提前终止本产品：</w:t>
      </w:r>
      <w:r>
        <w:rPr>
          <w:rFonts w:ascii="仿宋_GB2312" w:hAnsi="宋体" w:cs="宋体"/>
          <w:b/>
          <w:bCs/>
          <w:color w:val="auto"/>
          <w:kern w:val="0"/>
          <w:szCs w:val="24"/>
          <w:highlight w:val="none"/>
        </w:rPr>
        <w:t xml:space="preserve"> </w:t>
      </w:r>
    </w:p>
    <w:p w14:paraId="042E02C2">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1.自然灾害、疫情、金融市场危机、战争等不可抗力因素及/或意外事件导致理财产品无法继续运作。</w:t>
      </w:r>
    </w:p>
    <w:p w14:paraId="5950C358">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2.遇有市场出现剧烈波动、异常风险事件等情形导致理财产品收益出现大幅波动或严重影响理财产品的资产安全。</w:t>
      </w:r>
    </w:p>
    <w:p w14:paraId="14E0B500">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3.因投资者理财资金被有权机关扣划等原因导致理财产品剩余资产无法满足相关法律法规规定、所投资市场要求或协议等相关法律文件约定，或者继续存续无法实现投资目标。</w:t>
      </w:r>
    </w:p>
    <w:p w14:paraId="7D9AC7AB">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4.因相关投资管理机构解散、破产、撤销、被取消业务资格等原因无法继续履行相应职责导致产品无法继续运作。</w:t>
      </w:r>
    </w:p>
    <w:p w14:paraId="248D1324">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5.相关投资管理机构或运用理财资金的第三方主体实施符合法律法规规定或协议等相关文件约定的行为导致理财产品被动提前终止。</w:t>
      </w:r>
    </w:p>
    <w:p w14:paraId="10A2B2EA">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6.因法律法规变化或国家金融政策调整、紧急措施出台影响产品继续正常运作。</w:t>
      </w:r>
    </w:p>
    <w:p w14:paraId="30D1964F">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7.提前终止产品比维持产品运作更有利于保护产品持有人的权益。</w:t>
      </w:r>
    </w:p>
    <w:p w14:paraId="5024C5E6">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8</w:t>
      </w:r>
      <w:r>
        <w:rPr>
          <w:rFonts w:hint="eastAsia" w:ascii="仿宋_GB2312" w:hAnsi="宋体" w:cs="宋体"/>
          <w:bCs/>
          <w:color w:val="auto"/>
          <w:kern w:val="0"/>
          <w:szCs w:val="24"/>
          <w:highlight w:val="none"/>
        </w:rPr>
        <w:t>.遇国家政策出现重大调整并影响到本产品的正常运行。</w:t>
      </w:r>
    </w:p>
    <w:p w14:paraId="7542F553">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9</w:t>
      </w:r>
      <w:r>
        <w:rPr>
          <w:rFonts w:hint="eastAsia" w:ascii="仿宋_GB2312" w:hAnsi="宋体" w:cs="宋体"/>
          <w:bCs/>
          <w:color w:val="auto"/>
          <w:kern w:val="0"/>
          <w:szCs w:val="24"/>
          <w:highlight w:val="none"/>
        </w:rPr>
        <w:t>.因本产品投资的资产部分或全部提前终止或发生其他影响本产品正常投资运作的重大事件。</w:t>
      </w:r>
    </w:p>
    <w:p w14:paraId="7A3E4A69">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10</w:t>
      </w:r>
      <w:r>
        <w:rPr>
          <w:rFonts w:hint="eastAsia" w:ascii="仿宋_GB2312" w:hAnsi="宋体" w:cs="宋体"/>
          <w:bCs/>
          <w:color w:val="auto"/>
          <w:kern w:val="0"/>
          <w:szCs w:val="24"/>
          <w:highlight w:val="none"/>
        </w:rPr>
        <w:t>.本产品存续期内，所投资资产种类已全部调整为现金资产且无其他投资安排。</w:t>
      </w:r>
    </w:p>
    <w:p w14:paraId="63AB39A8">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11</w:t>
      </w:r>
      <w:r>
        <w:rPr>
          <w:rFonts w:hint="eastAsia" w:ascii="仿宋_GB2312" w:hAnsi="宋体" w:cs="宋体"/>
          <w:bCs/>
          <w:color w:val="auto"/>
          <w:kern w:val="0"/>
          <w:szCs w:val="24"/>
          <w:highlight w:val="none"/>
        </w:rPr>
        <w:t>.管理人认为有必要提前终止本产品的其他情形。</w:t>
      </w:r>
    </w:p>
    <w:p w14:paraId="29240D95">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管理人将至少于提前终止日前</w:t>
      </w:r>
      <w:r>
        <w:rPr>
          <w:rFonts w:hint="eastAsia" w:ascii="仿宋_GB2312" w:hAnsi="宋体" w:cs="宋体"/>
          <w:bCs/>
          <w:color w:val="auto"/>
          <w:kern w:val="0"/>
          <w:szCs w:val="24"/>
          <w:highlight w:val="none"/>
          <w:lang w:val="en-US" w:eastAsia="zh-CN"/>
        </w:rPr>
        <w:t>1</w:t>
      </w:r>
      <w:r>
        <w:rPr>
          <w:rFonts w:hint="eastAsia" w:ascii="仿宋_GB2312" w:hAnsi="宋体" w:cs="宋体"/>
          <w:bCs/>
          <w:color w:val="auto"/>
          <w:kern w:val="0"/>
          <w:szCs w:val="24"/>
          <w:highlight w:val="none"/>
        </w:rPr>
        <w:t>个工作日通过本产品说明书约定</w:t>
      </w:r>
      <w:r>
        <w:rPr>
          <w:rFonts w:ascii="仿宋_GB2312" w:hAnsi="宋体" w:cs="宋体"/>
          <w:bCs/>
          <w:color w:val="auto"/>
          <w:kern w:val="0"/>
          <w:szCs w:val="24"/>
          <w:highlight w:val="none"/>
        </w:rPr>
        <w:t>方式</w:t>
      </w:r>
      <w:r>
        <w:rPr>
          <w:rFonts w:hint="eastAsia" w:ascii="仿宋_GB2312" w:hAnsi="宋体" w:cs="宋体"/>
          <w:bCs/>
          <w:color w:val="auto"/>
          <w:kern w:val="0"/>
          <w:szCs w:val="24"/>
          <w:highlight w:val="none"/>
        </w:rPr>
        <w:t>发布本产品提前终止公告，并于提前终止日后5个工作日内通过销售机构将兑付理财资金划至投资者指定账户。</w:t>
      </w:r>
    </w:p>
    <w:p w14:paraId="124C02FE">
      <w:pPr>
        <w:pStyle w:val="3"/>
        <w:numPr>
          <w:ilvl w:val="1"/>
          <w:numId w:val="10"/>
        </w:numPr>
        <w:ind w:firstLine="480"/>
        <w:rPr>
          <w:color w:val="auto"/>
          <w:highlight w:val="none"/>
        </w:rPr>
      </w:pPr>
      <w:r>
        <w:rPr>
          <w:rFonts w:hint="eastAsia" w:ascii="楷体_GB2312" w:hAnsi="宋体" w:eastAsia="楷体_GB2312" w:cs="宋体"/>
          <w:bCs/>
          <w:color w:val="auto"/>
          <w:kern w:val="0"/>
          <w:szCs w:val="24"/>
          <w:highlight w:val="none"/>
        </w:rPr>
        <w:t>理财产品到期清算</w:t>
      </w:r>
    </w:p>
    <w:p w14:paraId="08202557">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1.清算程序</w:t>
      </w:r>
    </w:p>
    <w:p w14:paraId="5D3746FC">
      <w:pPr>
        <w:widowControl/>
        <w:tabs>
          <w:tab w:val="left" w:pos="709"/>
        </w:tabs>
        <w:snapToGrid w:val="0"/>
        <w:spacing w:line="360" w:lineRule="auto"/>
        <w:ind w:firstLine="420" w:firstLineChars="200"/>
        <w:rPr>
          <w:rFonts w:hint="eastAsia" w:ascii="仿宋_GB2312" w:hAnsi="宋体" w:cs="宋体"/>
          <w:b/>
          <w:bCs w:val="0"/>
          <w:color w:val="auto"/>
          <w:kern w:val="0"/>
          <w:szCs w:val="24"/>
          <w:highlight w:val="none"/>
        </w:rPr>
      </w:pPr>
      <w:r>
        <w:rPr>
          <w:rFonts w:hint="eastAsia" w:ascii="仿宋_GB2312" w:hAnsi="宋体" w:cs="宋体"/>
          <w:bCs/>
          <w:color w:val="auto"/>
          <w:kern w:val="0"/>
          <w:szCs w:val="24"/>
          <w:highlight w:val="none"/>
        </w:rPr>
        <w:t>产品到期（含提前终止）后，理财产品终止运作，本理财产品</w:t>
      </w:r>
      <w:r>
        <w:rPr>
          <w:color w:val="auto"/>
          <w:highlight w:val="none"/>
        </w:rPr>
        <w:t>管</w:t>
      </w:r>
      <w:r>
        <w:rPr>
          <w:rFonts w:hint="eastAsia" w:ascii="仿宋_GB2312" w:hAnsi="宋体" w:cs="宋体"/>
          <w:bCs/>
          <w:color w:val="auto"/>
          <w:kern w:val="0"/>
          <w:szCs w:val="24"/>
          <w:highlight w:val="none"/>
        </w:rPr>
        <w:t>理人启动产品清算，理财资产清</w:t>
      </w:r>
      <w:r>
        <w:rPr>
          <w:rFonts w:ascii="仿宋_GB2312" w:hAnsi="宋体" w:cs="宋体"/>
          <w:bCs/>
          <w:color w:val="auto"/>
          <w:kern w:val="0"/>
          <w:szCs w:val="24"/>
          <w:highlight w:val="none"/>
        </w:rPr>
        <w:t>算后扣除理财相关费用、缴纳所欠税款并清偿理财产品负债后，</w:t>
      </w:r>
      <w:r>
        <w:rPr>
          <w:color w:val="auto"/>
          <w:highlight w:val="none"/>
        </w:rPr>
        <w:t>管</w:t>
      </w:r>
      <w:r>
        <w:rPr>
          <w:rFonts w:hint="eastAsia" w:ascii="仿宋_GB2312" w:hAnsi="宋体" w:cs="宋体"/>
          <w:bCs/>
          <w:color w:val="auto"/>
          <w:kern w:val="0"/>
          <w:szCs w:val="24"/>
          <w:highlight w:val="none"/>
        </w:rPr>
        <w:t>理人通过销售机构将投资者应得资金（如有，下同）划至投资者指定账户。本产品到期（含提前终止）时，如本产品项下财产全部变现，管理人将在产品到期后5个工作日内向投资者完成</w:t>
      </w:r>
      <w:r>
        <w:rPr>
          <w:rFonts w:ascii="仿宋_GB2312" w:hAnsi="宋体" w:cs="宋体"/>
          <w:bCs/>
          <w:color w:val="auto"/>
          <w:kern w:val="0"/>
          <w:szCs w:val="24"/>
          <w:highlight w:val="none"/>
        </w:rPr>
        <w:t>分配</w:t>
      </w:r>
      <w:r>
        <w:rPr>
          <w:rFonts w:hint="eastAsia" w:ascii="仿宋_GB2312" w:hAnsi="宋体" w:cs="宋体"/>
          <w:bCs/>
          <w:color w:val="auto"/>
          <w:kern w:val="0"/>
          <w:szCs w:val="24"/>
          <w:highlight w:val="none"/>
        </w:rPr>
        <w:t>。</w:t>
      </w:r>
      <w:r>
        <w:rPr>
          <w:rFonts w:hint="eastAsia" w:ascii="仿宋_GB2312" w:hAnsi="宋体" w:cs="宋体"/>
          <w:b/>
          <w:bCs w:val="0"/>
          <w:color w:val="auto"/>
          <w:kern w:val="0"/>
          <w:szCs w:val="24"/>
          <w:highlight w:val="none"/>
        </w:rPr>
        <w:t>产品到期日/终止日至资金到账日期间，投资者理财资金如因清算安排实际产生利息的，相关利息归投资者所有。</w:t>
      </w:r>
    </w:p>
    <w:p w14:paraId="4CA54F13">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如因清算需要，本产品无法在到期后5个工作日内向投资者完成</w:t>
      </w:r>
      <w:r>
        <w:rPr>
          <w:rFonts w:ascii="仿宋_GB2312" w:hAnsi="宋体" w:cs="宋体"/>
          <w:bCs/>
          <w:color w:val="auto"/>
          <w:kern w:val="0"/>
          <w:szCs w:val="24"/>
          <w:highlight w:val="none"/>
        </w:rPr>
        <w:t>分配</w:t>
      </w:r>
      <w:r>
        <w:rPr>
          <w:rFonts w:hint="eastAsia" w:ascii="仿宋_GB2312" w:hAnsi="宋体" w:cs="宋体"/>
          <w:bCs/>
          <w:color w:val="auto"/>
          <w:kern w:val="0"/>
          <w:szCs w:val="24"/>
          <w:highlight w:val="none"/>
        </w:rPr>
        <w:t>的，管理人有权延后产品可得资金分配并于产品到期日前公告。</w:t>
      </w:r>
    </w:p>
    <w:p w14:paraId="577333D3">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2.清算费用分别按照实际发生费用从产品资产中列支。</w:t>
      </w:r>
    </w:p>
    <w:p w14:paraId="5598898E">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3.产品资产清算剩余资产的分配</w:t>
      </w:r>
    </w:p>
    <w:p w14:paraId="2C1F47FF">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产品资产按下列顺序清偿：</w:t>
      </w:r>
    </w:p>
    <w:p w14:paraId="2644D68B">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（1）支付清算费用和交纳所欠税款；</w:t>
      </w:r>
    </w:p>
    <w:p w14:paraId="05271F99">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（2）清偿产品债务；</w:t>
      </w:r>
    </w:p>
    <w:p w14:paraId="4F94E451">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（3）按产品份额持有人持有的产品份额比例进行分配。</w:t>
      </w:r>
    </w:p>
    <w:p w14:paraId="1B0BCF8D">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4.产品终止投资者到账资金计算</w:t>
      </w:r>
    </w:p>
    <w:p w14:paraId="7230141D">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若产品终止或提前终止时本理财产品项下资产全部变现，产品管理人将</w:t>
      </w:r>
      <w:r>
        <w:rPr>
          <w:rFonts w:hint="eastAsia" w:ascii="仿宋_GB2312" w:hAnsi="宋体" w:cs="宋体"/>
          <w:bCs/>
          <w:color w:val="auto"/>
          <w:kern w:val="0"/>
          <w:szCs w:val="24"/>
          <w:highlight w:val="none"/>
        </w:rPr>
        <w:t>扣除理财产品财产清算费用、缴纳所欠税款并清偿理财产品债务后，按照各投资者持有理财产品份额占理财产品总份额的比例于</w:t>
      </w:r>
      <w:r>
        <w:rPr>
          <w:rFonts w:ascii="仿宋_GB2312" w:hAnsi="宋体" w:cs="宋体"/>
          <w:bCs/>
          <w:color w:val="auto"/>
          <w:kern w:val="0"/>
          <w:szCs w:val="24"/>
          <w:highlight w:val="none"/>
        </w:rPr>
        <w:t>产品到期日后</w:t>
      </w:r>
      <w:r>
        <w:rPr>
          <w:rFonts w:hint="eastAsia" w:ascii="仿宋_GB2312" w:hAnsi="宋体" w:cs="宋体"/>
          <w:bCs/>
          <w:color w:val="auto"/>
          <w:kern w:val="0"/>
          <w:szCs w:val="24"/>
          <w:highlight w:val="none"/>
        </w:rPr>
        <w:t>5</w:t>
      </w:r>
      <w:r>
        <w:rPr>
          <w:rFonts w:ascii="仿宋_GB2312" w:hAnsi="宋体" w:cs="宋体"/>
          <w:bCs/>
          <w:color w:val="auto"/>
          <w:kern w:val="0"/>
          <w:szCs w:val="24"/>
          <w:highlight w:val="none"/>
        </w:rPr>
        <w:t>个</w:t>
      </w:r>
      <w:r>
        <w:rPr>
          <w:rFonts w:hint="eastAsia" w:ascii="仿宋_GB2312" w:hAnsi="宋体" w:cs="宋体"/>
          <w:bCs/>
          <w:color w:val="auto"/>
          <w:kern w:val="0"/>
          <w:szCs w:val="24"/>
          <w:highlight w:val="none"/>
        </w:rPr>
        <w:t>工作日</w:t>
      </w:r>
      <w:r>
        <w:rPr>
          <w:rFonts w:ascii="仿宋_GB2312" w:hAnsi="宋体" w:cs="宋体"/>
          <w:bCs/>
          <w:color w:val="auto"/>
          <w:kern w:val="0"/>
          <w:szCs w:val="24"/>
          <w:highlight w:val="none"/>
        </w:rPr>
        <w:t>内或提前终止日后</w:t>
      </w:r>
      <w:r>
        <w:rPr>
          <w:rFonts w:hint="eastAsia" w:ascii="仿宋_GB2312" w:hAnsi="宋体" w:cs="宋体"/>
          <w:bCs/>
          <w:color w:val="auto"/>
          <w:kern w:val="0"/>
          <w:szCs w:val="24"/>
          <w:highlight w:val="none"/>
        </w:rPr>
        <w:t>5</w:t>
      </w:r>
      <w:r>
        <w:rPr>
          <w:rFonts w:ascii="仿宋_GB2312" w:hAnsi="宋体" w:cs="宋体"/>
          <w:bCs/>
          <w:color w:val="auto"/>
          <w:kern w:val="0"/>
          <w:szCs w:val="24"/>
          <w:highlight w:val="none"/>
        </w:rPr>
        <w:t>个</w:t>
      </w:r>
      <w:r>
        <w:rPr>
          <w:rFonts w:hint="eastAsia" w:ascii="仿宋_GB2312" w:hAnsi="宋体" w:cs="宋体"/>
          <w:bCs/>
          <w:color w:val="auto"/>
          <w:kern w:val="0"/>
          <w:szCs w:val="24"/>
          <w:highlight w:val="none"/>
        </w:rPr>
        <w:t>工作日通过销售机构</w:t>
      </w:r>
      <w:r>
        <w:rPr>
          <w:rFonts w:ascii="仿宋_GB2312" w:hAnsi="宋体" w:cs="宋体"/>
          <w:bCs/>
          <w:color w:val="auto"/>
          <w:kern w:val="0"/>
          <w:szCs w:val="24"/>
          <w:highlight w:val="none"/>
        </w:rPr>
        <w:t>内将投资者应得资金划转投资者指定账户。计算公式如下：</w:t>
      </w:r>
    </w:p>
    <w:p w14:paraId="0C51CAE0">
      <w:pPr>
        <w:widowControl/>
        <w:tabs>
          <w:tab w:val="left" w:pos="709"/>
        </w:tabs>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本产品兑付金额(理财产品总资产净值)=理财产品资产总值-理财产品负债总值</w:t>
      </w:r>
    </w:p>
    <w:p w14:paraId="3868C441">
      <w:pPr>
        <w:widowControl/>
        <w:tabs>
          <w:tab w:val="left" w:pos="709"/>
        </w:tabs>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其中，投资者到账金额计算公式如下：</w:t>
      </w:r>
    </w:p>
    <w:p w14:paraId="1D182A08">
      <w:pPr>
        <w:widowControl/>
        <w:tabs>
          <w:tab w:val="left" w:pos="709"/>
        </w:tabs>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本产品投资者到账金额=投资者在到期日持有理财产品份额/理财产品总份额*理财产品总资产净值，</w:t>
      </w:r>
      <w:r>
        <w:rPr>
          <w:rFonts w:ascii="仿宋_GB2312" w:hAnsi="宋体" w:cs="宋体"/>
          <w:bCs/>
          <w:color w:val="auto"/>
          <w:kern w:val="0"/>
          <w:szCs w:val="24"/>
          <w:highlight w:val="none"/>
        </w:rPr>
        <w:t>最终资金以实际到账为准。</w:t>
      </w:r>
    </w:p>
    <w:p w14:paraId="09A22FC9">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产品终止日，如产品投资资产因市场风险、信用风险以及监管风险等原因不能全部变现且产品管理人未对本产品进行延期则本产品进入延期清算程序。产品延期清算时，产品管理人将提前发布相关公告。产品管理人将产品持有的现金类资产在扣除支付清算费用和交纳所欠税款、清偿产品债务后，如仍有剩余资金可分配给</w:t>
      </w:r>
      <w:r>
        <w:rPr>
          <w:rFonts w:hint="eastAsia" w:ascii="仿宋_GB2312" w:hAnsi="宋体" w:cs="宋体"/>
          <w:bCs/>
          <w:color w:val="auto"/>
          <w:kern w:val="0"/>
          <w:szCs w:val="24"/>
          <w:highlight w:val="none"/>
        </w:rPr>
        <w:t>投资者</w:t>
      </w:r>
      <w:r>
        <w:rPr>
          <w:rFonts w:ascii="仿宋_GB2312" w:hAnsi="宋体" w:cs="宋体"/>
          <w:bCs/>
          <w:color w:val="auto"/>
          <w:kern w:val="0"/>
          <w:szCs w:val="24"/>
          <w:highlight w:val="none"/>
        </w:rPr>
        <w:t>。对于未变现资产部分，产品管理人以投资者利益最大化的原则，寻求未变现资产变现方式，在资产变现后，产品持有的现金类资产在扣除剩余未支付的清算费用和交纳所欠税款、清偿产品债务后，于产品清算完毕后的</w:t>
      </w:r>
      <w:r>
        <w:rPr>
          <w:rFonts w:hint="eastAsia" w:ascii="仿宋_GB2312" w:hAnsi="宋体" w:cs="宋体"/>
          <w:bCs/>
          <w:color w:val="auto"/>
          <w:kern w:val="0"/>
          <w:szCs w:val="24"/>
          <w:highlight w:val="none"/>
        </w:rPr>
        <w:t>5</w:t>
      </w:r>
      <w:r>
        <w:rPr>
          <w:rFonts w:ascii="仿宋_GB2312" w:hAnsi="宋体" w:cs="宋体"/>
          <w:bCs/>
          <w:color w:val="auto"/>
          <w:kern w:val="0"/>
          <w:szCs w:val="24"/>
          <w:highlight w:val="none"/>
        </w:rPr>
        <w:t>个</w:t>
      </w:r>
      <w:r>
        <w:rPr>
          <w:rFonts w:hint="eastAsia" w:ascii="仿宋_GB2312" w:hAnsi="宋体" w:cs="宋体"/>
          <w:bCs/>
          <w:color w:val="auto"/>
          <w:kern w:val="0"/>
          <w:szCs w:val="24"/>
          <w:highlight w:val="none"/>
        </w:rPr>
        <w:t>工作日</w:t>
      </w:r>
      <w:r>
        <w:rPr>
          <w:rFonts w:ascii="仿宋_GB2312" w:hAnsi="宋体" w:cs="宋体"/>
          <w:bCs/>
          <w:color w:val="auto"/>
          <w:kern w:val="0"/>
          <w:szCs w:val="24"/>
          <w:highlight w:val="none"/>
        </w:rPr>
        <w:t>内分配给</w:t>
      </w:r>
      <w:r>
        <w:rPr>
          <w:rFonts w:hint="eastAsia" w:ascii="仿宋_GB2312" w:hAnsi="宋体" w:cs="宋体"/>
          <w:bCs/>
          <w:color w:val="auto"/>
          <w:kern w:val="0"/>
          <w:szCs w:val="24"/>
          <w:highlight w:val="none"/>
        </w:rPr>
        <w:t>投资者</w:t>
      </w:r>
      <w:r>
        <w:rPr>
          <w:rFonts w:ascii="仿宋_GB2312" w:hAnsi="宋体" w:cs="宋体"/>
          <w:bCs/>
          <w:color w:val="auto"/>
          <w:kern w:val="0"/>
          <w:szCs w:val="24"/>
          <w:highlight w:val="none"/>
        </w:rPr>
        <w:t>。</w:t>
      </w:r>
    </w:p>
    <w:p w14:paraId="283D9D00">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产品管理人拟进行二次或多次清算的，管理人应向投资者及时披露。</w:t>
      </w:r>
    </w:p>
    <w:p w14:paraId="066B9355">
      <w:pPr>
        <w:jc w:val="left"/>
        <w:rPr>
          <w:rFonts w:hint="eastAsia" w:ascii="仿宋_GB2312" w:hAnsi="宋体" w:cs="宋体"/>
          <w:bCs/>
          <w:color w:val="auto"/>
          <w:kern w:val="0"/>
          <w:szCs w:val="24"/>
          <w:highlight w:val="none"/>
        </w:rPr>
      </w:pPr>
      <w:r>
        <w:rPr>
          <w:rFonts w:ascii="仿宋_GB2312" w:hAnsi="宋体" w:cs="宋体"/>
          <w:bCs/>
          <w:color w:val="auto"/>
          <w:kern w:val="0"/>
          <w:szCs w:val="24"/>
          <w:highlight w:val="none"/>
        </w:rPr>
        <w:br w:type="page"/>
      </w:r>
    </w:p>
    <w:p w14:paraId="7C1E7FC7">
      <w:pPr>
        <w:pStyle w:val="2"/>
        <w:numPr>
          <w:ilvl w:val="0"/>
          <w:numId w:val="10"/>
        </w:numPr>
        <w:rPr>
          <w:color w:val="auto"/>
          <w:highlight w:val="none"/>
        </w:rPr>
      </w:pPr>
      <w:r>
        <w:rPr>
          <w:rFonts w:hint="eastAsia"/>
          <w:color w:val="auto"/>
          <w:highlight w:val="none"/>
        </w:rPr>
        <w:t>理财产品的信息披露</w:t>
      </w:r>
    </w:p>
    <w:p w14:paraId="18228095">
      <w:pPr>
        <w:pStyle w:val="3"/>
        <w:numPr>
          <w:ilvl w:val="1"/>
          <w:numId w:val="10"/>
        </w:numPr>
        <w:ind w:firstLine="482"/>
        <w:rPr>
          <w:color w:val="auto"/>
          <w:highlight w:val="none"/>
        </w:rPr>
      </w:pPr>
      <w:r>
        <w:rPr>
          <w:rFonts w:hint="eastAsia"/>
          <w:color w:val="auto"/>
          <w:highlight w:val="none"/>
        </w:rPr>
        <w:t>信息披露方式</w:t>
      </w:r>
    </w:p>
    <w:p w14:paraId="6C6A7C4E">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rPr>
      </w:pPr>
      <w:r>
        <w:rPr>
          <w:rFonts w:hint="eastAsia" w:ascii="仿宋_GB2312" w:hAnsi="宋体" w:cs="宋体"/>
          <w:b/>
          <w:color w:val="auto"/>
          <w:kern w:val="0"/>
          <w:szCs w:val="24"/>
          <w:highlight w:val="none"/>
        </w:rPr>
        <w:t>本理财产品将通过</w:t>
      </w:r>
      <w:r>
        <w:rPr>
          <w:rFonts w:hint="eastAsia" w:ascii="仿宋_GB2312" w:hAnsi="宋体" w:cs="宋体"/>
          <w:b/>
          <w:color w:val="auto"/>
          <w:kern w:val="0"/>
          <w:szCs w:val="24"/>
          <w:highlight w:val="yellow"/>
          <w:lang w:eastAsia="zh-CN"/>
        </w:rPr>
        <w:t>【中国理财网】</w:t>
      </w:r>
      <w:r>
        <w:rPr>
          <w:rFonts w:hint="eastAsia" w:ascii="仿宋_GB2312" w:hAnsi="宋体" w:cs="宋体"/>
          <w:b/>
          <w:color w:val="auto"/>
          <w:kern w:val="0"/>
          <w:szCs w:val="24"/>
          <w:highlight w:val="none"/>
          <w:lang w:eastAsia="zh-CN"/>
        </w:rPr>
        <w:t>、</w:t>
      </w:r>
      <w:r>
        <w:rPr>
          <w:rFonts w:hint="eastAsia" w:ascii="仿宋_GB2312" w:hAnsi="宋体" w:cs="宋体"/>
          <w:b/>
          <w:color w:val="auto"/>
          <w:kern w:val="0"/>
          <w:szCs w:val="24"/>
          <w:highlight w:val="none"/>
        </w:rPr>
        <w:t>产品管理人官方网站</w:t>
      </w:r>
      <w:r>
        <w:rPr>
          <w:rFonts w:hint="eastAsia" w:ascii="仿宋_GB2312" w:hAnsi="宋体" w:cs="宋体"/>
          <w:b/>
          <w:color w:val="auto"/>
          <w:kern w:val="0"/>
          <w:szCs w:val="24"/>
          <w:highlight w:val="yellow"/>
          <w:lang w:eastAsia="zh-CN"/>
        </w:rPr>
        <w:t>【</w:t>
      </w:r>
      <w:r>
        <w:rPr>
          <w:rFonts w:ascii="仿宋_GB2312" w:hAnsi="宋体" w:cs="宋体"/>
          <w:b/>
          <w:color w:val="auto"/>
          <w:kern w:val="0"/>
          <w:szCs w:val="24"/>
          <w:highlight w:val="yellow"/>
        </w:rPr>
        <w:t>www.czbank-wm.com</w:t>
      </w:r>
      <w:r>
        <w:rPr>
          <w:rFonts w:hint="eastAsia" w:ascii="仿宋_GB2312" w:hAnsi="宋体" w:cs="宋体"/>
          <w:b/>
          <w:color w:val="auto"/>
          <w:kern w:val="0"/>
          <w:szCs w:val="24"/>
          <w:highlight w:val="yellow"/>
          <w:lang w:eastAsia="zh-CN"/>
        </w:rPr>
        <w:t>】</w:t>
      </w:r>
      <w:r>
        <w:rPr>
          <w:rFonts w:hint="eastAsia"/>
          <w:color w:val="auto"/>
          <w:highlight w:val="none"/>
        </w:rPr>
        <w:t>、</w:t>
      </w:r>
      <w:r>
        <w:rPr>
          <w:rFonts w:hint="eastAsia" w:ascii="仿宋_GB2312" w:hAnsi="宋体" w:cs="宋体"/>
          <w:b/>
          <w:color w:val="auto"/>
          <w:kern w:val="0"/>
          <w:szCs w:val="24"/>
          <w:highlight w:val="none"/>
        </w:rPr>
        <w:t>销售机构官方网站、个人手机银行或其他约定的方式等</w:t>
      </w:r>
      <w:r>
        <w:rPr>
          <w:rFonts w:hint="eastAsia" w:cs="宋体" w:asciiTheme="minorEastAsia" w:hAnsiTheme="minorEastAsia"/>
          <w:b/>
          <w:color w:val="auto"/>
          <w:kern w:val="0"/>
          <w:szCs w:val="24"/>
          <w:highlight w:val="none"/>
        </w:rPr>
        <w:t>一种或多种渠道</w:t>
      </w:r>
      <w:r>
        <w:rPr>
          <w:rFonts w:hint="eastAsia" w:ascii="仿宋_GB2312" w:hAnsi="宋体" w:cs="宋体"/>
          <w:b/>
          <w:color w:val="auto"/>
          <w:kern w:val="0"/>
          <w:szCs w:val="24"/>
          <w:highlight w:val="none"/>
        </w:rPr>
        <w:t>进行信息披露。相关信息自披露之日即视为已送达投资者，也视为产品管理人已适当披露理财产品相关信息。投资者应及时查看，以免因未及时获知信息而错过资金使用和再投资的机会。若由于投资者原因未能及时登陆产品管理人官方网站、销售机构信息披露渠道获取披露信息，所造成的后果将由投资者自行承担，产品管理人不承担相应责任。</w:t>
      </w:r>
    </w:p>
    <w:p w14:paraId="217F0C98">
      <w:pPr>
        <w:pStyle w:val="3"/>
        <w:numPr>
          <w:ilvl w:val="1"/>
          <w:numId w:val="10"/>
        </w:numPr>
        <w:ind w:firstLine="482"/>
        <w:rPr>
          <w:color w:val="auto"/>
          <w:highlight w:val="none"/>
        </w:rPr>
      </w:pPr>
      <w:r>
        <w:rPr>
          <w:rFonts w:hint="eastAsia"/>
          <w:color w:val="auto"/>
          <w:highlight w:val="none"/>
        </w:rPr>
        <w:t>信息披露内容</w:t>
      </w:r>
    </w:p>
    <w:p w14:paraId="215FEA28">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rPr>
      </w:pPr>
      <w:r>
        <w:rPr>
          <w:rFonts w:hint="eastAsia" w:ascii="仿宋_GB2312" w:hAnsi="宋体" w:cs="宋体"/>
          <w:b/>
          <w:color w:val="auto"/>
          <w:kern w:val="0"/>
          <w:szCs w:val="24"/>
          <w:highlight w:val="none"/>
        </w:rPr>
        <w:t>1.产品类型、募集信息、产品净值、产品规模、收益情况；</w:t>
      </w:r>
    </w:p>
    <w:p w14:paraId="1711DCEF">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rPr>
      </w:pPr>
      <w:r>
        <w:rPr>
          <w:rFonts w:hint="eastAsia" w:ascii="仿宋_GB2312" w:hAnsi="宋体" w:cs="宋体"/>
          <w:b/>
          <w:color w:val="auto"/>
          <w:kern w:val="0"/>
          <w:szCs w:val="24"/>
          <w:highlight w:val="none"/>
        </w:rPr>
        <w:t>2.产品直接和间接投资的资产种类、投资比例、</w:t>
      </w:r>
      <w:r>
        <w:rPr>
          <w:rFonts w:hint="eastAsia" w:ascii="仿宋_GB2312" w:hAnsi="宋体" w:cs="宋体"/>
          <w:b/>
          <w:color w:val="auto"/>
          <w:kern w:val="0"/>
          <w:szCs w:val="24"/>
          <w:highlight w:val="none"/>
          <w:lang w:val="zh-CN"/>
        </w:rPr>
        <w:t>前十项资产具体名称、规模和比例等信息、</w:t>
      </w:r>
      <w:r>
        <w:rPr>
          <w:rFonts w:hint="eastAsia" w:ascii="仿宋_GB2312" w:hAnsi="宋体" w:cs="宋体"/>
          <w:b/>
          <w:color w:val="auto"/>
          <w:kern w:val="0"/>
          <w:szCs w:val="24"/>
          <w:highlight w:val="none"/>
        </w:rPr>
        <w:t>杠杆水平以及流动性风险分析；</w:t>
      </w:r>
    </w:p>
    <w:p w14:paraId="51AAABD1">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rPr>
      </w:pPr>
      <w:r>
        <w:rPr>
          <w:rFonts w:hint="eastAsia" w:ascii="仿宋_GB2312" w:hAnsi="宋体" w:cs="宋体"/>
          <w:b/>
          <w:color w:val="auto"/>
          <w:kern w:val="0"/>
          <w:szCs w:val="24"/>
          <w:highlight w:val="none"/>
        </w:rPr>
        <w:t>3.产品估值方法、托管安排；</w:t>
      </w:r>
    </w:p>
    <w:p w14:paraId="17ABB377">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rPr>
      </w:pPr>
      <w:r>
        <w:rPr>
          <w:rFonts w:hint="eastAsia" w:ascii="仿宋_GB2312" w:hAnsi="宋体" w:cs="宋体"/>
          <w:b/>
          <w:color w:val="auto"/>
          <w:kern w:val="0"/>
          <w:szCs w:val="24"/>
          <w:highlight w:val="none"/>
        </w:rPr>
        <w:t>4.产品收益分配、各项费用情况及主要投资风险；</w:t>
      </w:r>
    </w:p>
    <w:p w14:paraId="6D63C433">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rPr>
      </w:pPr>
      <w:r>
        <w:rPr>
          <w:rFonts w:hint="eastAsia" w:ascii="仿宋_GB2312" w:hAnsi="宋体" w:cs="宋体"/>
          <w:b/>
          <w:color w:val="auto"/>
          <w:kern w:val="0"/>
          <w:szCs w:val="24"/>
          <w:highlight w:val="none"/>
        </w:rPr>
        <w:t>5.如本理财产品投资于理财产品管理人或托管机构的主要股东、实际控制人、一致行动人、最终受益人，托管机构，同一股东或托管机构控股的机构，或者与理财产品管理人或托管机构有重大利害关系的机构，以及国家金融监督管理机构关于关联交易管理相关规定中涉及的其他关联方发行或承销的证券、发行的资产管理产品，或者从事其他关联交易的，应当在理财产品管理人官方网站或者行业统一渠道披露关联交易信息，在理财产品管理人年报中披露当年关联交易总体情况，并应向投资者充分披露。</w:t>
      </w:r>
    </w:p>
    <w:p w14:paraId="72734D27">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rPr>
      </w:pPr>
      <w:r>
        <w:rPr>
          <w:rFonts w:hint="eastAsia" w:ascii="仿宋_GB2312" w:hAnsi="宋体" w:cs="宋体"/>
          <w:b/>
          <w:color w:val="auto"/>
          <w:kern w:val="0"/>
          <w:szCs w:val="24"/>
          <w:highlight w:val="none"/>
        </w:rPr>
        <w:t>6.其他影响本产品投资运作的重大事项、突发事件、临时性信息披露等。</w:t>
      </w:r>
    </w:p>
    <w:p w14:paraId="46A19972">
      <w:pPr>
        <w:pStyle w:val="3"/>
        <w:numPr>
          <w:ilvl w:val="1"/>
          <w:numId w:val="10"/>
        </w:numPr>
        <w:tabs>
          <w:tab w:val="left" w:pos="0"/>
          <w:tab w:val="left" w:pos="709"/>
        </w:tabs>
        <w:ind w:firstLine="480" w:firstLineChars="0"/>
        <w:rPr>
          <w:color w:val="auto"/>
          <w:highlight w:val="none"/>
        </w:rPr>
      </w:pPr>
      <w:r>
        <w:rPr>
          <w:rFonts w:hint="eastAsia"/>
          <w:color w:val="auto"/>
          <w:highlight w:val="none"/>
        </w:rPr>
        <w:t>信息披露频率</w:t>
      </w:r>
    </w:p>
    <w:p w14:paraId="4FAEC0B1">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rPr>
      </w:pPr>
      <w:r>
        <w:rPr>
          <w:rFonts w:ascii="仿宋_GB2312" w:hAnsi="宋体" w:cs="宋体"/>
          <w:color w:val="auto"/>
          <w:kern w:val="0"/>
          <w:szCs w:val="24"/>
          <w:highlight w:val="none"/>
        </w:rPr>
        <w:t>1.发行公告：本产品成立后5个工作日（含）内，将发布本理财产品成立公告；如</w:t>
      </w:r>
      <w:r>
        <w:rPr>
          <w:rFonts w:hint="eastAsia" w:ascii="仿宋_GB2312" w:hAnsi="宋体" w:cs="宋体"/>
          <w:color w:val="auto"/>
          <w:kern w:val="0"/>
          <w:szCs w:val="24"/>
          <w:highlight w:val="none"/>
        </w:rPr>
        <w:t>产品</w:t>
      </w:r>
      <w:r>
        <w:rPr>
          <w:rFonts w:ascii="仿宋_GB2312" w:hAnsi="宋体" w:cs="宋体"/>
          <w:color w:val="auto"/>
          <w:kern w:val="0"/>
          <w:szCs w:val="24"/>
          <w:highlight w:val="none"/>
        </w:rPr>
        <w:t>管理人决定本理财产品募集期延长，将于原定成立日前发布理财产品募集期延长公告；</w:t>
      </w:r>
      <w:r>
        <w:rPr>
          <w:rFonts w:hint="eastAsia" w:ascii="仿宋_GB2312" w:hAnsi="宋体" w:cs="宋体"/>
          <w:color w:val="auto"/>
          <w:kern w:val="0"/>
          <w:szCs w:val="24"/>
          <w:highlight w:val="none"/>
        </w:rPr>
        <w:t>产品</w:t>
      </w:r>
      <w:r>
        <w:rPr>
          <w:rFonts w:ascii="仿宋_GB2312" w:hAnsi="宋体" w:cs="宋体"/>
          <w:color w:val="auto"/>
          <w:kern w:val="0"/>
          <w:szCs w:val="24"/>
          <w:highlight w:val="none"/>
        </w:rPr>
        <w:t>管理人决定本理财产品不成立，将在理财产品原定成立日后的2个工作日（含）内发布理财产品不成立公告。</w:t>
      </w:r>
    </w:p>
    <w:p w14:paraId="4D7BE5B7">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ascii="仿宋_GB2312" w:hAnsi="宋体" w:cs="宋体"/>
          <w:color w:val="auto"/>
          <w:kern w:val="0"/>
          <w:szCs w:val="24"/>
          <w:highlight w:val="none"/>
        </w:rPr>
        <w:t>2.定期公告：</w:t>
      </w:r>
      <w:r>
        <w:rPr>
          <w:rFonts w:ascii="仿宋_GB2312" w:hAnsi="宋体" w:cs="宋体"/>
          <w:color w:val="auto"/>
          <w:kern w:val="0"/>
          <w:szCs w:val="24"/>
          <w:highlight w:val="none"/>
          <w:u w:val="none"/>
        </w:rPr>
        <w:t>本产品在</w:t>
      </w:r>
      <w:r>
        <w:rPr>
          <w:rFonts w:hint="eastAsia" w:ascii="仿宋_GB2312" w:hAnsi="宋体" w:cs="宋体"/>
          <w:color w:val="auto"/>
          <w:kern w:val="0"/>
          <w:szCs w:val="24"/>
          <w:highlight w:val="none"/>
          <w:u w:val="none"/>
        </w:rPr>
        <w:t>每个季度结束之日起十五个工作日内披露产品的季度报告，每年8月31日前披露产品的半年度报告，每年4月30日前披露产品上一年度的年度报告。产品成立不足</w:t>
      </w:r>
      <w:r>
        <w:rPr>
          <w:rFonts w:ascii="仿宋_GB2312" w:hAnsi="宋体" w:cs="宋体"/>
          <w:color w:val="auto"/>
          <w:kern w:val="0"/>
          <w:szCs w:val="24"/>
          <w:highlight w:val="none"/>
          <w:u w:val="none"/>
        </w:rPr>
        <w:t>90</w:t>
      </w:r>
      <w:r>
        <w:rPr>
          <w:rFonts w:hint="eastAsia" w:ascii="仿宋_GB2312" w:hAnsi="宋体" w:cs="宋体"/>
          <w:color w:val="auto"/>
          <w:kern w:val="0"/>
          <w:szCs w:val="24"/>
          <w:highlight w:val="none"/>
          <w:u w:val="none"/>
        </w:rPr>
        <w:t>个</w:t>
      </w:r>
      <w:r>
        <w:rPr>
          <w:rFonts w:hint="eastAsia" w:ascii="仿宋_GB2312" w:hAnsi="宋体" w:cs="宋体"/>
          <w:color w:val="auto"/>
          <w:kern w:val="0"/>
          <w:szCs w:val="24"/>
          <w:highlight w:val="none"/>
          <w:u w:val="none"/>
          <w:lang w:eastAsia="zh-CN"/>
        </w:rPr>
        <w:t>自然日</w:t>
      </w:r>
      <w:r>
        <w:rPr>
          <w:rFonts w:hint="eastAsia" w:ascii="仿宋_GB2312" w:hAnsi="宋体" w:cs="宋体"/>
          <w:color w:val="auto"/>
          <w:kern w:val="0"/>
          <w:szCs w:val="24"/>
          <w:highlight w:val="none"/>
          <w:u w:val="none"/>
        </w:rPr>
        <w:t>或者</w:t>
      </w:r>
      <w:r>
        <w:rPr>
          <w:rFonts w:hint="eastAsia" w:ascii="仿宋_GB2312"/>
          <w:color w:val="auto"/>
          <w:szCs w:val="32"/>
          <w:highlight w:val="none"/>
        </w:rPr>
        <w:t>理财产品剩余存续期不足完整报告期，且到期公告或清算报告包括对应定期报告内容的</w:t>
      </w:r>
      <w:r>
        <w:rPr>
          <w:rFonts w:hint="eastAsia" w:ascii="仿宋_GB2312" w:hAnsi="宋体" w:cs="宋体"/>
          <w:color w:val="auto"/>
          <w:kern w:val="0"/>
          <w:szCs w:val="24"/>
          <w:highlight w:val="none"/>
          <w:u w:val="none"/>
        </w:rPr>
        <w:t>，</w:t>
      </w:r>
      <w:r>
        <w:rPr>
          <w:rFonts w:hint="eastAsia" w:ascii="仿宋_GB2312" w:hAnsi="宋体" w:cs="宋体"/>
          <w:color w:val="auto"/>
          <w:kern w:val="0"/>
          <w:szCs w:val="24"/>
          <w:highlight w:val="none"/>
          <w:u w:val="none"/>
          <w:lang w:eastAsia="zh-CN"/>
        </w:rPr>
        <w:t>可</w:t>
      </w:r>
      <w:r>
        <w:rPr>
          <w:rFonts w:hint="eastAsia" w:ascii="仿宋_GB2312" w:hAnsi="宋体" w:cs="宋体"/>
          <w:color w:val="auto"/>
          <w:kern w:val="0"/>
          <w:szCs w:val="24"/>
          <w:highlight w:val="none"/>
          <w:u w:val="none"/>
        </w:rPr>
        <w:t>不编制本产品当期的季度、半年和年度报告。</w:t>
      </w:r>
    </w:p>
    <w:p w14:paraId="668EAC5F">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rPr>
      </w:pPr>
      <w:r>
        <w:rPr>
          <w:rFonts w:ascii="仿宋_GB2312" w:hAnsi="宋体" w:cs="宋体"/>
          <w:color w:val="auto"/>
          <w:kern w:val="0"/>
          <w:szCs w:val="24"/>
          <w:highlight w:val="none"/>
        </w:rPr>
        <w:t>3.到期公告：本产品在终止后5</w:t>
      </w:r>
      <w:r>
        <w:rPr>
          <w:rFonts w:hint="eastAsia" w:ascii="仿宋_GB2312" w:hAnsi="宋体" w:cs="宋体"/>
          <w:color w:val="auto"/>
          <w:kern w:val="0"/>
          <w:szCs w:val="24"/>
          <w:highlight w:val="none"/>
        </w:rPr>
        <w:t>个工作日内，披露本产品到期公告，包括理财产品的存续期限、终止日期、收费情况和收益分配情况等信息。本产品终止后5个工作日内，产品管理人发布产品到期公告。</w:t>
      </w:r>
    </w:p>
    <w:p w14:paraId="755C8651">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rPr>
      </w:pPr>
      <w:r>
        <w:rPr>
          <w:rFonts w:hint="eastAsia" w:ascii="仿宋_GB2312" w:hAnsi="宋体" w:cs="宋体"/>
          <w:color w:val="auto"/>
          <w:kern w:val="0"/>
          <w:szCs w:val="24"/>
          <w:highlight w:val="none"/>
        </w:rPr>
        <w:t>如果产品管理人提前或</w:t>
      </w:r>
      <w:r>
        <w:rPr>
          <w:rFonts w:ascii="仿宋_GB2312" w:hAnsi="宋体" w:cs="宋体"/>
          <w:color w:val="auto"/>
          <w:kern w:val="0"/>
          <w:szCs w:val="24"/>
          <w:highlight w:val="none"/>
        </w:rPr>
        <w:t>延后</w:t>
      </w:r>
      <w:r>
        <w:rPr>
          <w:rFonts w:hint="eastAsia" w:ascii="仿宋_GB2312" w:hAnsi="宋体" w:cs="宋体"/>
          <w:color w:val="auto"/>
          <w:kern w:val="0"/>
          <w:szCs w:val="24"/>
          <w:highlight w:val="none"/>
        </w:rPr>
        <w:t>终止本产品，产品管理人将提前</w:t>
      </w:r>
      <w:r>
        <w:rPr>
          <w:rFonts w:hint="eastAsia" w:ascii="仿宋_GB2312" w:hAnsi="宋体" w:cs="宋体"/>
          <w:color w:val="auto"/>
          <w:kern w:val="0"/>
          <w:szCs w:val="24"/>
          <w:highlight w:val="none"/>
          <w:lang w:val="en-US" w:eastAsia="zh-CN"/>
        </w:rPr>
        <w:t>1</w:t>
      </w:r>
      <w:r>
        <w:rPr>
          <w:rFonts w:hint="eastAsia" w:ascii="仿宋_GB2312" w:hAnsi="宋体" w:cs="宋体"/>
          <w:color w:val="auto"/>
          <w:kern w:val="0"/>
          <w:szCs w:val="24"/>
          <w:highlight w:val="none"/>
        </w:rPr>
        <w:t>个工作日进行公告。</w:t>
      </w:r>
    </w:p>
    <w:p w14:paraId="3BA391AA">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rPr>
      </w:pPr>
      <w:r>
        <w:rPr>
          <w:rFonts w:ascii="仿宋_GB2312" w:hAnsi="宋体" w:cs="宋体"/>
          <w:color w:val="auto"/>
          <w:kern w:val="0"/>
          <w:szCs w:val="24"/>
          <w:highlight w:val="none"/>
        </w:rPr>
        <w:t>4.开放日</w:t>
      </w:r>
      <w:r>
        <w:rPr>
          <w:rFonts w:hint="eastAsia" w:ascii="仿宋_GB2312" w:hAnsi="宋体" w:cs="宋体"/>
          <w:color w:val="auto"/>
          <w:kern w:val="0"/>
          <w:szCs w:val="24"/>
          <w:highlight w:val="none"/>
        </w:rPr>
        <w:t>（估值日</w:t>
      </w:r>
      <w:r>
        <w:rPr>
          <w:rFonts w:ascii="仿宋_GB2312" w:hAnsi="宋体" w:cs="宋体"/>
          <w:color w:val="auto"/>
          <w:kern w:val="0"/>
          <w:szCs w:val="24"/>
          <w:highlight w:val="none"/>
        </w:rPr>
        <w:t>）公告：</w:t>
      </w:r>
      <w:r>
        <w:rPr>
          <w:rFonts w:hint="eastAsia" w:ascii="仿宋_GB2312" w:hAnsi="宋体" w:cs="宋体"/>
          <w:color w:val="auto"/>
          <w:kern w:val="0"/>
          <w:szCs w:val="24"/>
          <w:highlight w:val="none"/>
        </w:rPr>
        <w:t>产品管理人在申购日</w:t>
      </w:r>
      <w:r>
        <w:rPr>
          <w:rFonts w:ascii="仿宋_GB2312" w:hAnsi="宋体" w:cs="宋体"/>
          <w:color w:val="auto"/>
          <w:kern w:val="0"/>
          <w:szCs w:val="24"/>
          <w:highlight w:val="none"/>
        </w:rPr>
        <w:t>/赎回日结束后2</w:t>
      </w:r>
      <w:r>
        <w:rPr>
          <w:rFonts w:hint="eastAsia" w:ascii="仿宋_GB2312" w:hAnsi="宋体" w:cs="宋体"/>
          <w:color w:val="auto"/>
          <w:kern w:val="0"/>
          <w:szCs w:val="24"/>
          <w:highlight w:val="none"/>
        </w:rPr>
        <w:t>个工作日内披露开放日公告，公告内容包括申购日</w:t>
      </w:r>
      <w:r>
        <w:rPr>
          <w:rFonts w:ascii="仿宋_GB2312" w:hAnsi="宋体" w:cs="宋体"/>
          <w:color w:val="auto"/>
          <w:kern w:val="0"/>
          <w:szCs w:val="24"/>
          <w:highlight w:val="none"/>
        </w:rPr>
        <w:t>/赎回日的产品份额净值、产品份额累计净值、</w:t>
      </w:r>
      <w:r>
        <w:rPr>
          <w:rFonts w:hint="eastAsia" w:ascii="仿宋_GB2312" w:hAnsi="宋体" w:cs="宋体"/>
          <w:color w:val="auto"/>
          <w:kern w:val="0"/>
          <w:szCs w:val="24"/>
          <w:highlight w:val="none"/>
        </w:rPr>
        <w:t>申购/赎回</w:t>
      </w:r>
      <w:r>
        <w:rPr>
          <w:rFonts w:ascii="仿宋_GB2312" w:hAnsi="宋体" w:cs="宋体"/>
          <w:color w:val="auto"/>
          <w:kern w:val="0"/>
          <w:szCs w:val="24"/>
          <w:highlight w:val="none"/>
        </w:rPr>
        <w:t>价格</w:t>
      </w:r>
      <w:r>
        <w:rPr>
          <w:rFonts w:hint="eastAsia" w:ascii="仿宋_GB2312" w:hAnsi="宋体" w:cs="宋体"/>
          <w:color w:val="auto"/>
          <w:kern w:val="0"/>
          <w:szCs w:val="24"/>
          <w:highlight w:val="none"/>
        </w:rPr>
        <w:t>。如遇法定节假日顺延。如遇产品到期日、季度末、半年度末、年度末等时间节点，产品管理人将增加估值日。此外，如遇其他特殊情况，以产品管理人信息披露为准。</w:t>
      </w:r>
    </w:p>
    <w:p w14:paraId="0A5B4804">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5</w:t>
      </w:r>
      <w:r>
        <w:rPr>
          <w:rFonts w:ascii="仿宋_GB2312" w:hAnsi="宋体" w:cs="宋体"/>
          <w:color w:val="auto"/>
          <w:kern w:val="0"/>
          <w:szCs w:val="24"/>
          <w:highlight w:val="none"/>
          <w:u w:val="none"/>
        </w:rPr>
        <w:t>.</w:t>
      </w:r>
      <w:r>
        <w:rPr>
          <w:rFonts w:hint="eastAsia" w:ascii="仿宋_GB2312" w:hAnsi="宋体" w:cs="宋体"/>
          <w:color w:val="auto"/>
          <w:kern w:val="0"/>
          <w:szCs w:val="24"/>
          <w:highlight w:val="none"/>
          <w:u w:val="none"/>
        </w:rPr>
        <w:t>产品临时公告</w:t>
      </w:r>
    </w:p>
    <w:p w14:paraId="16D8C84F">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1</w:t>
      </w:r>
      <w:r>
        <w:rPr>
          <w:rFonts w:hint="eastAsia" w:ascii="仿宋_GB2312" w:hAnsi="宋体" w:cs="宋体"/>
          <w:color w:val="auto"/>
          <w:kern w:val="0"/>
          <w:szCs w:val="24"/>
          <w:highlight w:val="none"/>
          <w:u w:val="none"/>
        </w:rPr>
        <w:t>）产品管理人对产品类型、投资范围、资产种类、投资比例、风险等级、产品期限、运作方式、认（申）购和赎回安排（包含认购或申购赎回时间、金额上下限等）、估值方法、收益分配安排</w:t>
      </w:r>
      <w:r>
        <w:rPr>
          <w:rFonts w:hint="eastAsia" w:ascii="仿宋_GB2312" w:hAnsi="宋体" w:cs="宋体"/>
          <w:color w:val="auto"/>
          <w:kern w:val="0"/>
          <w:szCs w:val="24"/>
          <w:highlight w:val="none"/>
          <w:u w:val="none"/>
          <w:lang w:eastAsia="zh-CN"/>
        </w:rPr>
        <w:t>、</w:t>
      </w:r>
      <w:r>
        <w:rPr>
          <w:rFonts w:hint="eastAsia" w:ascii="仿宋_GB2312"/>
          <w:color w:val="auto"/>
          <w:szCs w:val="32"/>
          <w:highlight w:val="none"/>
        </w:rPr>
        <w:t>份额类别</w:t>
      </w:r>
      <w:r>
        <w:rPr>
          <w:rFonts w:hint="eastAsia" w:ascii="仿宋_GB2312"/>
          <w:color w:val="auto"/>
          <w:szCs w:val="32"/>
          <w:highlight w:val="none"/>
          <w:lang w:eastAsia="zh-CN"/>
        </w:rPr>
        <w:t>、</w:t>
      </w:r>
      <w:r>
        <w:rPr>
          <w:rFonts w:hint="eastAsia" w:ascii="仿宋_GB2312" w:hAnsi="宋体" w:cs="宋体"/>
          <w:color w:val="auto"/>
          <w:kern w:val="0"/>
          <w:szCs w:val="24"/>
          <w:highlight w:val="none"/>
          <w:u w:val="none"/>
        </w:rPr>
        <w:t>收费项目、收费条件、收费标准、收费方式</w:t>
      </w:r>
      <w:r>
        <w:rPr>
          <w:rFonts w:hint="eastAsia" w:ascii="仿宋_GB2312" w:hAnsi="宋体" w:cs="宋体"/>
          <w:color w:val="auto"/>
          <w:kern w:val="0"/>
          <w:szCs w:val="24"/>
          <w:highlight w:val="none"/>
          <w:u w:val="none"/>
          <w:lang w:eastAsia="zh-CN"/>
        </w:rPr>
        <w:t>、费用优惠措施</w:t>
      </w:r>
      <w:r>
        <w:rPr>
          <w:rFonts w:hint="eastAsia" w:ascii="仿宋_GB2312" w:hAnsi="宋体" w:cs="宋体"/>
          <w:color w:val="auto"/>
          <w:kern w:val="0"/>
          <w:szCs w:val="24"/>
          <w:highlight w:val="none"/>
          <w:u w:val="none"/>
        </w:rPr>
        <w:t>等保留调整的权利，如发生调整，调整后的要素以产品管理人发布的公告中所载明的内容为准。产品管理人将提前</w:t>
      </w: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个工作日发布公告。</w:t>
      </w:r>
    </w:p>
    <w:p w14:paraId="5A8E088A">
      <w:pPr>
        <w:widowControl/>
        <w:tabs>
          <w:tab w:val="left" w:pos="709"/>
        </w:tabs>
        <w:adjustRightInd w:val="0"/>
        <w:snapToGrid w:val="0"/>
        <w:spacing w:line="360" w:lineRule="auto"/>
        <w:ind w:firstLine="422" w:firstLineChars="200"/>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w:t>
      </w:r>
      <w:r>
        <w:rPr>
          <w:rFonts w:ascii="仿宋_GB2312" w:hAnsi="宋体" w:cs="宋体"/>
          <w:b/>
          <w:bCs/>
          <w:color w:val="auto"/>
          <w:kern w:val="0"/>
          <w:szCs w:val="24"/>
          <w:highlight w:val="none"/>
        </w:rPr>
        <w:t>2）</w:t>
      </w:r>
      <w:r>
        <w:rPr>
          <w:rFonts w:hint="eastAsia" w:ascii="仿宋_GB2312" w:hAnsi="宋体" w:cs="宋体"/>
          <w:b/>
          <w:bCs/>
          <w:color w:val="auto"/>
          <w:kern w:val="0"/>
          <w:szCs w:val="24"/>
          <w:highlight w:val="none"/>
        </w:rPr>
        <w:t>在发生产品管理人拒绝或暂停接受投资者认购/申购申请、延期办理巨额赎回申请、暂停接受投资者赎回申请、延缓支付赎回款项、暂停理财产品估值、</w:t>
      </w:r>
      <w:r>
        <w:rPr>
          <w:rFonts w:hint="eastAsia" w:ascii="仿宋_GB2312" w:hAnsi="宋体" w:cs="宋体"/>
          <w:b/>
          <w:bCs/>
          <w:color w:val="auto"/>
          <w:kern w:val="0"/>
          <w:szCs w:val="24"/>
          <w:highlight w:val="none"/>
          <w:u w:val="none"/>
          <w:lang w:eastAsia="zh-CN"/>
        </w:rPr>
        <w:t>收取短期赎回费、</w:t>
      </w:r>
      <w:r>
        <w:rPr>
          <w:rFonts w:hint="eastAsia" w:ascii="仿宋_GB2312" w:hAnsi="宋体" w:cs="宋体"/>
          <w:b/>
          <w:bCs/>
          <w:color w:val="auto"/>
          <w:kern w:val="0"/>
          <w:szCs w:val="24"/>
          <w:highlight w:val="none"/>
        </w:rPr>
        <w:t>采用摆动定价等情形时</w:t>
      </w:r>
      <w:r>
        <w:rPr>
          <w:rFonts w:ascii="仿宋_GB2312" w:hAnsi="宋体" w:cs="宋体"/>
          <w:b/>
          <w:bCs/>
          <w:color w:val="auto"/>
          <w:kern w:val="0"/>
          <w:szCs w:val="24"/>
          <w:highlight w:val="none"/>
        </w:rPr>
        <w:t>，产品管理人将于</w:t>
      </w:r>
      <w:r>
        <w:rPr>
          <w:rFonts w:hint="eastAsia" w:ascii="仿宋_GB2312" w:hAnsi="宋体" w:cs="宋体"/>
          <w:b/>
          <w:bCs/>
          <w:color w:val="auto"/>
          <w:kern w:val="0"/>
          <w:szCs w:val="24"/>
          <w:highlight w:val="none"/>
        </w:rPr>
        <w:t>情形发生后</w:t>
      </w:r>
      <w:r>
        <w:rPr>
          <w:rFonts w:ascii="仿宋_GB2312" w:hAnsi="宋体" w:cs="宋体"/>
          <w:b/>
          <w:bCs/>
          <w:color w:val="auto"/>
          <w:kern w:val="0"/>
          <w:szCs w:val="24"/>
          <w:highlight w:val="none"/>
        </w:rPr>
        <w:t>3</w:t>
      </w:r>
      <w:r>
        <w:rPr>
          <w:rFonts w:hint="eastAsia" w:ascii="仿宋_GB2312" w:hAnsi="宋体" w:cs="宋体"/>
          <w:b/>
          <w:bCs/>
          <w:color w:val="auto"/>
          <w:kern w:val="0"/>
          <w:szCs w:val="24"/>
          <w:highlight w:val="none"/>
        </w:rPr>
        <w:t>个</w:t>
      </w:r>
      <w:r>
        <w:rPr>
          <w:rFonts w:hint="eastAsia" w:ascii="仿宋_GB2312" w:hAnsi="宋体" w:cs="宋体"/>
          <w:b/>
          <w:bCs/>
          <w:color w:val="auto"/>
          <w:kern w:val="0"/>
          <w:szCs w:val="24"/>
          <w:highlight w:val="none"/>
          <w:lang w:val="en-US" w:eastAsia="zh-CN"/>
        </w:rPr>
        <w:t>交易</w:t>
      </w:r>
      <w:r>
        <w:rPr>
          <w:rFonts w:hint="eastAsia" w:ascii="仿宋_GB2312" w:hAnsi="宋体" w:cs="宋体"/>
          <w:b/>
          <w:bCs/>
          <w:color w:val="auto"/>
          <w:kern w:val="0"/>
          <w:szCs w:val="24"/>
          <w:highlight w:val="none"/>
        </w:rPr>
        <w:t>日内告知投资者，并说明运用相关措施的原因和拟采取的应对安排等。在发生涉及产品认购、申购或赎回事项调整或潜在影响投资者赎回等事项时，管理人将发布临时公告。</w:t>
      </w:r>
    </w:p>
    <w:p w14:paraId="248181DB">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rPr>
      </w:pPr>
      <w:r>
        <w:rPr>
          <w:rFonts w:hint="eastAsia" w:ascii="仿宋_GB2312" w:hAnsi="宋体" w:cs="宋体"/>
          <w:color w:val="auto"/>
          <w:kern w:val="0"/>
          <w:szCs w:val="24"/>
          <w:highlight w:val="none"/>
        </w:rPr>
        <w:t>（</w:t>
      </w:r>
      <w:r>
        <w:rPr>
          <w:rFonts w:ascii="仿宋_GB2312" w:hAnsi="宋体" w:cs="宋体"/>
          <w:color w:val="auto"/>
          <w:kern w:val="0"/>
          <w:szCs w:val="24"/>
          <w:highlight w:val="none"/>
        </w:rPr>
        <w:t>3）理财产品清算期超过5</w:t>
      </w:r>
      <w:r>
        <w:rPr>
          <w:rFonts w:hint="eastAsia" w:ascii="仿宋_GB2312" w:hAnsi="宋体" w:cs="宋体"/>
          <w:color w:val="auto"/>
          <w:kern w:val="0"/>
          <w:szCs w:val="24"/>
          <w:highlight w:val="none"/>
        </w:rPr>
        <w:t>个工作日的，产品管理人应当在理财产品终止前</w:t>
      </w:r>
      <w:r>
        <w:rPr>
          <w:rFonts w:hint="eastAsia" w:ascii="仿宋_GB2312" w:hAnsi="宋体" w:cs="宋体"/>
          <w:color w:val="auto"/>
          <w:kern w:val="0"/>
          <w:szCs w:val="24"/>
          <w:highlight w:val="none"/>
          <w:lang w:val="en-US" w:eastAsia="zh-CN"/>
        </w:rPr>
        <w:t>1</w:t>
      </w:r>
      <w:r>
        <w:rPr>
          <w:rFonts w:hint="eastAsia" w:ascii="仿宋_GB2312" w:hAnsi="宋体" w:cs="宋体"/>
          <w:color w:val="auto"/>
          <w:kern w:val="0"/>
          <w:szCs w:val="24"/>
          <w:highlight w:val="none"/>
        </w:rPr>
        <w:t>个</w:t>
      </w:r>
      <w:r>
        <w:rPr>
          <w:rFonts w:ascii="仿宋_GB2312" w:hAnsi="宋体" w:cs="宋体"/>
          <w:color w:val="auto"/>
          <w:kern w:val="0"/>
          <w:szCs w:val="24"/>
          <w:highlight w:val="none"/>
        </w:rPr>
        <w:t>工作日</w:t>
      </w:r>
      <w:r>
        <w:rPr>
          <w:rFonts w:hint="eastAsia" w:ascii="仿宋_GB2312" w:hAnsi="宋体" w:cs="宋体"/>
          <w:color w:val="auto"/>
          <w:kern w:val="0"/>
          <w:szCs w:val="24"/>
          <w:highlight w:val="none"/>
        </w:rPr>
        <w:t>，根据与投资者约定的渠道向投资者进行信息披露。</w:t>
      </w:r>
    </w:p>
    <w:p w14:paraId="2E760C3F">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rPr>
      </w:pPr>
      <w:r>
        <w:rPr>
          <w:rFonts w:hint="eastAsia" w:ascii="仿宋_GB2312" w:hAnsi="宋体" w:cs="宋体"/>
          <w:b/>
          <w:color w:val="auto"/>
          <w:kern w:val="0"/>
          <w:szCs w:val="24"/>
          <w:highlight w:val="none"/>
        </w:rPr>
        <w:t>（4）在本产品存续期内，如因国家法律法规、监管规定发生变化，或是出于维护本产品正常运营的需要，在不损害投资者权益的前提下，产品管理人有权对理财产品销售文件进行修订，并提前</w:t>
      </w:r>
      <w:r>
        <w:rPr>
          <w:rFonts w:hint="eastAsia" w:ascii="仿宋_GB2312" w:hAnsi="宋体" w:cs="宋体"/>
          <w:b/>
          <w:color w:val="auto"/>
          <w:kern w:val="0"/>
          <w:szCs w:val="24"/>
          <w:highlight w:val="none"/>
          <w:lang w:val="en-US" w:eastAsia="zh-CN"/>
        </w:rPr>
        <w:t>1</w:t>
      </w:r>
      <w:r>
        <w:rPr>
          <w:rFonts w:hint="eastAsia" w:ascii="仿宋_GB2312" w:hAnsi="宋体" w:cs="宋体"/>
          <w:b/>
          <w:color w:val="auto"/>
          <w:kern w:val="0"/>
          <w:szCs w:val="24"/>
          <w:highlight w:val="none"/>
        </w:rPr>
        <w:t>个工作日进行公告。</w:t>
      </w:r>
    </w:p>
    <w:p w14:paraId="48D0C7C2">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rPr>
      </w:pPr>
      <w:r>
        <w:rPr>
          <w:rFonts w:hint="eastAsia" w:ascii="仿宋_GB2312" w:hAnsi="宋体" w:cs="宋体"/>
          <w:color w:val="auto"/>
          <w:kern w:val="0"/>
          <w:szCs w:val="24"/>
          <w:highlight w:val="none"/>
        </w:rPr>
        <w:t>（</w:t>
      </w:r>
      <w:r>
        <w:rPr>
          <w:rFonts w:ascii="仿宋_GB2312" w:hAnsi="宋体" w:cs="宋体"/>
          <w:color w:val="auto"/>
          <w:kern w:val="0"/>
          <w:szCs w:val="24"/>
          <w:highlight w:val="none"/>
        </w:rPr>
        <w:t>5）其他临时性公告</w:t>
      </w:r>
    </w:p>
    <w:p w14:paraId="472BAE22">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rPr>
        <w:t>除前述事项外，如出现产品</w:t>
      </w:r>
      <w:r>
        <w:rPr>
          <w:rFonts w:ascii="仿宋_GB2312" w:hAnsi="宋体" w:cs="宋体"/>
          <w:color w:val="auto"/>
          <w:kern w:val="0"/>
          <w:szCs w:val="24"/>
          <w:highlight w:val="none"/>
        </w:rPr>
        <w:t>二次清算</w:t>
      </w:r>
      <w:r>
        <w:rPr>
          <w:rFonts w:hint="eastAsia" w:ascii="仿宋_GB2312" w:hAnsi="宋体" w:cs="宋体"/>
          <w:color w:val="auto"/>
          <w:kern w:val="0"/>
          <w:szCs w:val="24"/>
          <w:highlight w:val="none"/>
        </w:rPr>
        <w:t>等其他突发事件，</w:t>
      </w:r>
      <w:r>
        <w:rPr>
          <w:rFonts w:hint="eastAsia" w:ascii="仿宋_GB2312" w:hAnsi="宋体" w:cs="宋体"/>
          <w:color w:val="auto"/>
          <w:kern w:val="0"/>
          <w:szCs w:val="24"/>
          <w:highlight w:val="none"/>
          <w:u w:val="none"/>
        </w:rPr>
        <w:t>应在完成再次清算之日起两个工作日内，向投资者披露清算资金分配情况等信息。</w:t>
      </w:r>
    </w:p>
    <w:p w14:paraId="5FC4FFB8">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rPr>
      </w:pPr>
      <w:r>
        <w:rPr>
          <w:rFonts w:hint="eastAsia" w:ascii="仿宋_GB2312" w:hAnsi="宋体" w:cs="宋体"/>
          <w:b/>
          <w:color w:val="auto"/>
          <w:kern w:val="0"/>
          <w:szCs w:val="24"/>
          <w:highlight w:val="none"/>
        </w:rPr>
        <w:t>在本产品存续期内，当产品管理人对理财产品进行相应调整（包括调整投资范围、投资资产种类、投资比例或收费项目、收费条件、收费标准、收费方式等）时，若构成对投资者利益产生实质性不利影响或涉及当事人权利义务的重大变更的，投资者有权不接受调整，在符合法律法规及监管政策的前提下，可由产品管理人决定投资者提前赎回的方式，并通过公告进行披露。若投资者未选择赎回本产品的，则视为已理解并接受产品管理人的相应调整。</w:t>
      </w:r>
    </w:p>
    <w:p w14:paraId="547DB6D0">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lang w:eastAsia="zh-CN"/>
        </w:rPr>
      </w:pP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对于理财产品存续期间发生的以下事项，应于知晓或应当知晓相关事项后五个工作日内向投资者披露</w:t>
      </w:r>
      <w:r>
        <w:rPr>
          <w:rFonts w:hint="eastAsia" w:ascii="仿宋_GB2312" w:hAnsi="宋体" w:cs="宋体"/>
          <w:color w:val="auto"/>
          <w:kern w:val="0"/>
          <w:szCs w:val="24"/>
          <w:highlight w:val="none"/>
          <w:u w:val="none"/>
          <w:lang w:eastAsia="zh-CN"/>
        </w:rPr>
        <w:t>：</w:t>
      </w:r>
    </w:p>
    <w:p w14:paraId="4D8F5F99">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更换理财产品管理人或</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变更实际控制人，更换托管机构，</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或托管</w:t>
      </w:r>
      <w:r>
        <w:rPr>
          <w:rFonts w:hint="eastAsia" w:ascii="仿宋_GB2312" w:hAnsi="宋体" w:cs="宋体"/>
          <w:color w:val="auto"/>
          <w:kern w:val="0"/>
          <w:szCs w:val="24"/>
          <w:highlight w:val="none"/>
          <w:u w:val="none"/>
          <w:lang w:eastAsia="zh-CN"/>
        </w:rPr>
        <w:t>人</w:t>
      </w:r>
      <w:r>
        <w:rPr>
          <w:rFonts w:hint="eastAsia" w:ascii="仿宋_GB2312" w:hAnsi="宋体" w:cs="宋体"/>
          <w:color w:val="auto"/>
          <w:kern w:val="0"/>
          <w:szCs w:val="24"/>
          <w:highlight w:val="none"/>
          <w:u w:val="none"/>
        </w:rPr>
        <w:t>的法定名称、住所发生变更。</w:t>
      </w:r>
    </w:p>
    <w:p w14:paraId="16885D12">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2）</w:t>
      </w:r>
      <w:r>
        <w:rPr>
          <w:rFonts w:hint="eastAsia" w:ascii="仿宋_GB2312" w:hAnsi="宋体" w:cs="宋体"/>
          <w:color w:val="auto"/>
          <w:kern w:val="0"/>
          <w:szCs w:val="24"/>
          <w:highlight w:val="none"/>
          <w:u w:val="none"/>
        </w:rPr>
        <w:t>涉及产品穿透后持仓百分之十及以上的单笔资产的诉讼或仲裁，并可能对产品或其投资者权益有重大影响的。</w:t>
      </w:r>
    </w:p>
    <w:p w14:paraId="605F471D">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3</w:t>
      </w:r>
      <w:r>
        <w:rPr>
          <w:rFonts w:hint="eastAsia" w:ascii="仿宋_GB2312" w:hAnsi="宋体" w:cs="宋体"/>
          <w:color w:val="auto"/>
          <w:kern w:val="0"/>
          <w:szCs w:val="24"/>
          <w:highlight w:val="none"/>
          <w:u w:val="none"/>
        </w:rPr>
        <w:t>）产品穿透后持仓百分之十及以上的非标准化债权类资产的融资主体、担保主体发生重大行政处罚、重大诉讼或仲裁，或破产、兼并、重组等重大事项，并对其还款能力或担保能力造成重大不利影响；或上述融资主体对其公开市场债务出现不能按时足额还本付息情况的。</w:t>
      </w:r>
    </w:p>
    <w:p w14:paraId="637C8B96">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理财产品投资的非标准化资产本身为不良资产及其收益权的，可以不进行临时披露，但应当在季度、半年度、年度报告中披露相关情况。</w:t>
      </w:r>
    </w:p>
    <w:p w14:paraId="58BC4AE0">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4）</w:t>
      </w:r>
      <w:r>
        <w:rPr>
          <w:rFonts w:hint="eastAsia" w:ascii="仿宋_GB2312" w:hAnsi="宋体" w:cs="宋体"/>
          <w:color w:val="auto"/>
          <w:kern w:val="0"/>
          <w:szCs w:val="24"/>
          <w:highlight w:val="none"/>
          <w:u w:val="none"/>
        </w:rPr>
        <w:t>涉及产品穿透后持仓百分之十及以上的单笔资产的债券违约、股票停牌或退市的。</w:t>
      </w:r>
    </w:p>
    <w:p w14:paraId="7203BDC7">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5）</w:t>
      </w:r>
      <w:r>
        <w:rPr>
          <w:rFonts w:hint="eastAsia" w:ascii="仿宋_GB2312" w:hAnsi="宋体" w:cs="宋体"/>
          <w:color w:val="auto"/>
          <w:kern w:val="0"/>
          <w:szCs w:val="24"/>
          <w:highlight w:val="none"/>
          <w:u w:val="none"/>
        </w:rPr>
        <w:t>理财产品份额净值计价错误达份额净值百分之零点五。</w:t>
      </w:r>
    </w:p>
    <w:p w14:paraId="58EF8172">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6）</w:t>
      </w:r>
      <w:r>
        <w:rPr>
          <w:rFonts w:hint="eastAsia" w:ascii="仿宋_GB2312" w:hAnsi="宋体" w:cs="宋体"/>
          <w:color w:val="auto"/>
          <w:kern w:val="0"/>
          <w:szCs w:val="24"/>
          <w:highlight w:val="none"/>
          <w:u w:val="none"/>
        </w:rPr>
        <w:t>金融市场发生重大变化导致理财产品投资比例暂时超出浮动区间且可能对理财产品收益产生重大影响的。</w:t>
      </w:r>
    </w:p>
    <w:p w14:paraId="60D267E6">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7）</w:t>
      </w:r>
      <w:r>
        <w:rPr>
          <w:rFonts w:hint="eastAsia" w:ascii="仿宋_GB2312" w:hAnsi="宋体" w:cs="宋体"/>
          <w:color w:val="auto"/>
          <w:kern w:val="0"/>
          <w:szCs w:val="24"/>
          <w:highlight w:val="none"/>
          <w:u w:val="none"/>
        </w:rPr>
        <w:t>法律法规以及监管规定的其他内容，或者</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认为可能对投资者权益产生重大不利影响的其他事项。</w:t>
      </w:r>
    </w:p>
    <w:p w14:paraId="18B05815">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p>
    <w:p w14:paraId="3D05C774">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p>
    <w:p w14:paraId="1F9C00F1">
      <w:pPr>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rPr>
        <w:br w:type="page"/>
      </w:r>
    </w:p>
    <w:p w14:paraId="6A607696">
      <w:pPr>
        <w:pStyle w:val="2"/>
        <w:numPr>
          <w:ilvl w:val="0"/>
          <w:numId w:val="10"/>
        </w:numPr>
        <w:rPr>
          <w:color w:val="auto"/>
          <w:highlight w:val="none"/>
          <w:u w:val="none"/>
        </w:rPr>
      </w:pPr>
      <w:r>
        <w:rPr>
          <w:rFonts w:hint="eastAsia"/>
          <w:color w:val="auto"/>
          <w:highlight w:val="none"/>
          <w:u w:val="none"/>
          <w:lang w:eastAsia="zh-CN"/>
        </w:rPr>
        <w:t>风险揭示</w:t>
      </w:r>
    </w:p>
    <w:p w14:paraId="23DE895B">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lang w:eastAsia="zh-CN"/>
        </w:rPr>
        <w:t>【</w:t>
      </w:r>
      <w:r>
        <w:rPr>
          <w:rFonts w:hint="default" w:ascii="仿宋_GB2312" w:hAnsi="宋体" w:cs="宋体"/>
          <w:b w:val="0"/>
          <w:color w:val="auto"/>
          <w:kern w:val="0"/>
          <w:szCs w:val="24"/>
          <w:highlight w:val="yellow"/>
          <w:u w:val="none"/>
        </w:rPr>
        <w:t>本产品不保证本金和收益，投资者的本金有可能蒙受损失，极端情况下，可能全部或部分受损。投资者应充分认识投资风险，谨慎投资。</w:t>
      </w:r>
      <w:r>
        <w:rPr>
          <w:rFonts w:hint="eastAsia" w:ascii="仿宋_GB2312" w:hAnsi="宋体" w:cs="宋体"/>
          <w:b w:val="0"/>
          <w:color w:val="auto"/>
          <w:kern w:val="0"/>
          <w:szCs w:val="24"/>
          <w:highlight w:val="yellow"/>
          <w:u w:val="none"/>
          <w:lang w:eastAsia="zh-CN"/>
        </w:rPr>
        <w:t>风险列示</w:t>
      </w:r>
      <w:r>
        <w:rPr>
          <w:rFonts w:hint="default" w:ascii="仿宋_GB2312" w:hAnsi="宋体" w:cs="宋体"/>
          <w:b w:val="0"/>
          <w:color w:val="auto"/>
          <w:kern w:val="0"/>
          <w:szCs w:val="24"/>
          <w:highlight w:val="yellow"/>
          <w:u w:val="none"/>
        </w:rPr>
        <w:t>如下：</w:t>
      </w:r>
    </w:p>
    <w:p w14:paraId="0A36348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（一）政策风险</w:t>
      </w:r>
    </w:p>
    <w:p w14:paraId="1D44D43B">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是根据当前相关法律法规、监管规定和国家政策设计的。如国家宏观政策以及市场相关法律法规、监管规定发生变化，可能影响本理财产品的发行、交易、投资、兑付等工作流程的正常进行，从而影响本理财产品的投资运作，则投资者可能面临本金和收益遭受部分甚至全部损失的风险。</w:t>
      </w:r>
    </w:p>
    <w:p w14:paraId="32AB667F">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（二）信用风险</w:t>
      </w:r>
    </w:p>
    <w:p w14:paraId="042CAD68">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本理财产品所投资的资产或资产组合项下义务人可能出现信用违约情形，无法如期偿付融资本金与利息，则投资者可能面临本金和收益遭受部分甚至全部损失的风险。</w:t>
      </w:r>
    </w:p>
    <w:p w14:paraId="2D676C0C">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（三）市场风险</w:t>
      </w:r>
    </w:p>
    <w:p w14:paraId="4D89A9C6">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存续期内，由于市场利率、汇率变化，债券、股票等投资品市场价格波动，以及市场已出现或未来可能出现的其他重要因素影响，将导致本理财产品所投资的资产或资产组合出现估值波动，从而影响本理财产品的净值，投资者可能面临投资本金和收益遭受部分甚至全部损失的风险。</w:t>
      </w:r>
    </w:p>
    <w:p w14:paraId="2247FAF1">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（四）流动性风险</w:t>
      </w:r>
    </w:p>
    <w:p w14:paraId="7E955481">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当市场出现极端情况或开放式产品投资者集中、大额赎回等情形下，理财产品可能因持有现金头寸不足或所投资的资产无法及时变现，导致无法按约定向投资者及时兑付理财资金，投资者可能面临理财资金无法及时到账及/或持有的本理财产品整体损益出现不利情形的风险。</w:t>
      </w:r>
    </w:p>
    <w:p w14:paraId="68DC0057">
      <w:pPr>
        <w:widowControl/>
        <w:tabs>
          <w:tab w:val="left" w:pos="709"/>
        </w:tabs>
        <w:adjustRightInd w:val="0"/>
        <w:snapToGrid w:val="0"/>
        <w:spacing w:line="360" w:lineRule="auto"/>
        <w:ind w:firstLine="422" w:firstLineChars="200"/>
        <w:rPr>
          <w:rFonts w:hint="default" w:ascii="仿宋_GB2312" w:hAnsi="宋体" w:cs="宋体"/>
          <w:b w:val="0"/>
          <w:color w:val="auto"/>
          <w:kern w:val="0"/>
          <w:szCs w:val="24"/>
          <w:highlight w:val="yellow"/>
          <w:u w:val="none"/>
        </w:rPr>
      </w:pPr>
      <w:r>
        <w:rPr>
          <w:rFonts w:hint="default" w:ascii="仿宋_GB2312" w:hAnsi="宋体" w:cs="宋体"/>
          <w:b/>
          <w:bCs/>
          <w:color w:val="auto"/>
          <w:kern w:val="0"/>
          <w:szCs w:val="24"/>
          <w:highlight w:val="yellow"/>
          <w:u w:val="none"/>
        </w:rPr>
        <w:t>投资者在本理财产品说明书约定的封闭期、最短持有期及/或其他不可赎回时段内不享有提前赎回权。</w:t>
      </w:r>
      <w:r>
        <w:rPr>
          <w:rFonts w:hint="default" w:ascii="仿宋_GB2312" w:hAnsi="宋体" w:cs="宋体"/>
          <w:b w:val="0"/>
          <w:color w:val="auto"/>
          <w:kern w:val="0"/>
          <w:szCs w:val="24"/>
          <w:highlight w:val="yellow"/>
          <w:u w:val="none"/>
        </w:rPr>
        <w:t>如果投资者面临用款需求与其他投资机会，可能因所持有的理财产品不能随时赎回或变现，存在用款需求无法满足或错过其他投资机会的风险。</w:t>
      </w:r>
    </w:p>
    <w:p w14:paraId="75E61B8A">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拟投资市场、资产的流动性风险评估：</w:t>
      </w:r>
    </w:p>
    <w:p w14:paraId="7265934B">
      <w:pPr>
        <w:tabs>
          <w:tab w:val="left" w:pos="3119"/>
        </w:tabs>
        <w:autoSpaceDE w:val="0"/>
        <w:autoSpaceDN w:val="0"/>
        <w:spacing w:line="360" w:lineRule="auto"/>
        <w:ind w:right="31" w:rightChars="15"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本理财产品投资范围包括</w:t>
      </w: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w:t>
      </w:r>
      <w:r>
        <w:rPr>
          <w:rFonts w:hint="default" w:ascii="仿宋_GB2312" w:hAnsi="宋体" w:cs="宋体"/>
          <w:b w:val="0"/>
          <w:color w:val="auto"/>
          <w:kern w:val="0"/>
          <w:szCs w:val="24"/>
          <w:highlight w:val="yellow"/>
          <w:u w:val="none"/>
        </w:rPr>
        <w:t>标的资产主要为标准化债券金融工具，一般情况下具有较好的流动性，同时，本理财产品严格控制开放期内投资于流动性受限资产的投资品种比例。本理财产品管理人会进行标的的分散化投资并结合对各类标的资产的预期流动性状况进行合理配置，以防范流动性风险。</w:t>
      </w:r>
    </w:p>
    <w:p w14:paraId="204F49CA">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流动性应对措施及对投资者的潜在影响：</w:t>
      </w:r>
    </w:p>
    <w:p w14:paraId="7468D704">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本理财产品管理人将合理安排组合流动性，统筹考虑产品期限、各类标的资产的预期流动性，合理进行资产配置，最大程度防范流动性风险。</w:t>
      </w:r>
    </w:p>
    <w:p w14:paraId="138404C6">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产品管理人可依照法律法规及理财产品销售文件的约定，综合运用各类流动性应对措施，作为特定情形下流动性风险管理的辅助手段，包括但不限于：</w:t>
      </w:r>
    </w:p>
    <w:p w14:paraId="2E3CF45B">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（1）认购/申购风险应对措施，包括:设定单一投资者认购/申购金额上限、设定本理财产品单日净认购/申购比例上限、拒绝大额认购/申购、暂停认购/申购，以及国家金融监督管理总局规定的其他措施。</w:t>
      </w:r>
    </w:p>
    <w:p w14:paraId="1C905CD6">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（2）赎回风险应对措施，包括：设置赎回上限、延期办理巨额赎回申请、暂停接受赎回申请、延缓支付赎回款项、收取短期赎回费、暂停理财产品估值、摆动定价，以及国家金融监督管理总局规定的其他措施。</w:t>
      </w:r>
    </w:p>
    <w:p w14:paraId="127F1BD7">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1)延期办理巨额赎回申请</w:t>
      </w:r>
    </w:p>
    <w:p w14:paraId="52737269">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若理财产品管理人采用延期办理巨额赎回申请的流动性风险应对措施，投资者的赎回申请将无法按时全额获得确认，投资者自身的流动性可能受到影响，并将额外承担市场波动对本理财产品净值的影响。</w:t>
      </w:r>
    </w:p>
    <w:p w14:paraId="71CCAB40">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2）暂停接受赎回申请或延缓支付赎回款项</w:t>
      </w:r>
    </w:p>
    <w:p w14:paraId="553E952E">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若理财产品管理人采用暂停接受赎回申请或延缓支付赎回款项的流动性风险应对措施，投资者面临在暂停赎回期间将无法赎回其持有的产品份额的风险，接收赎回款项的时间将可能比一般正常情形下有所延迟。</w:t>
      </w:r>
    </w:p>
    <w:p w14:paraId="15F39899">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3</w:t>
      </w:r>
      <w:r>
        <w:rPr>
          <w:rFonts w:hint="eastAsia" w:ascii="仿宋_GB2312" w:hAnsi="宋体" w:cs="宋体"/>
          <w:b/>
          <w:bCs/>
          <w:color w:val="auto"/>
          <w:kern w:val="0"/>
          <w:szCs w:val="24"/>
          <w:highlight w:val="yellow"/>
          <w:u w:val="none"/>
          <w:lang w:eastAsia="zh-CN"/>
        </w:rPr>
        <w:t>）</w:t>
      </w:r>
      <w:r>
        <w:rPr>
          <w:rFonts w:hint="default" w:ascii="仿宋_GB2312" w:hAnsi="宋体" w:cs="宋体"/>
          <w:b/>
          <w:bCs/>
          <w:color w:val="auto"/>
          <w:kern w:val="0"/>
          <w:szCs w:val="24"/>
          <w:highlight w:val="yellow"/>
          <w:u w:val="none"/>
        </w:rPr>
        <w:t>暂停理财产品估值</w:t>
      </w:r>
    </w:p>
    <w:p w14:paraId="54F230C5">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若理财产品管理人采用暂停理财产品估值的流动性风险应对措施，投资人没有可供参考的产品份额净值，同时赎回申请可能被暂停接受，或被延缓支付赎回款项。</w:t>
      </w:r>
    </w:p>
    <w:p w14:paraId="42A13797">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4</w:t>
      </w:r>
      <w:r>
        <w:rPr>
          <w:rFonts w:hint="eastAsia" w:ascii="仿宋_GB2312" w:hAnsi="宋体" w:cs="宋体"/>
          <w:b/>
          <w:bCs/>
          <w:color w:val="auto"/>
          <w:kern w:val="0"/>
          <w:szCs w:val="24"/>
          <w:highlight w:val="yellow"/>
          <w:u w:val="none"/>
          <w:lang w:eastAsia="zh-CN"/>
        </w:rPr>
        <w:t>）</w:t>
      </w:r>
      <w:r>
        <w:rPr>
          <w:rFonts w:hint="default" w:ascii="仿宋_GB2312" w:hAnsi="宋体" w:cs="宋体"/>
          <w:b/>
          <w:bCs/>
          <w:color w:val="auto"/>
          <w:kern w:val="0"/>
          <w:szCs w:val="24"/>
          <w:highlight w:val="yellow"/>
          <w:u w:val="none"/>
        </w:rPr>
        <w:t>摆动定价</w:t>
      </w:r>
    </w:p>
    <w:p w14:paraId="3BD5CDDD">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若理财产品管理人采用摆动定价机制的流动性风险应对措施，则通过调整理财产品份额净值的方式，将理财产品调整投资组合的市场冲击成本分配给实际申购、赎回的投资者，以期减少对存量投资者利益的不利影响。</w:t>
      </w:r>
    </w:p>
    <w:p w14:paraId="3A1363B1">
      <w:pPr>
        <w:widowControl/>
        <w:numPr>
          <w:ilvl w:val="0"/>
          <w:numId w:val="9"/>
        </w:numPr>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lang w:val="en-US" w:eastAsia="zh-CN"/>
        </w:rPr>
      </w:pPr>
      <w:r>
        <w:rPr>
          <w:rFonts w:hint="default" w:ascii="仿宋_GB2312" w:hAnsi="宋体" w:cs="宋体"/>
          <w:b/>
          <w:bCs/>
          <w:color w:val="auto"/>
          <w:kern w:val="0"/>
          <w:szCs w:val="24"/>
          <w:highlight w:val="yellow"/>
          <w:u w:val="none"/>
          <w:lang w:val="en-US" w:eastAsia="zh-CN"/>
        </w:rPr>
        <w:t>收取短期赎回费</w:t>
      </w:r>
    </w:p>
    <w:p w14:paraId="60F1F108">
      <w:pPr>
        <w:widowControl/>
        <w:numPr>
          <w:ilvl w:val="0"/>
          <w:numId w:val="0"/>
        </w:numPr>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lang w:val="en-US" w:eastAsia="zh-CN"/>
        </w:rPr>
        <w:t>对持续持有期少于7日的投资者收取一定比例的赎回费，并全额计入理财财产。在此情形下，投资者在提交赎回申请时，实际赎回金额可能少于按照赎回申请当日理财产品份额净值计算出的赎回金额。若实施收取短期赎回费措施，管理人应于3个</w:t>
      </w:r>
      <w:r>
        <w:rPr>
          <w:rFonts w:hint="eastAsia" w:ascii="仿宋_GB2312" w:hAnsi="宋体" w:cs="宋体"/>
          <w:b/>
          <w:bCs/>
          <w:color w:val="auto"/>
          <w:kern w:val="0"/>
          <w:szCs w:val="24"/>
          <w:highlight w:val="yellow"/>
          <w:u w:val="none"/>
          <w:lang w:val="en-US" w:eastAsia="zh-CN"/>
        </w:rPr>
        <w:t>工作</w:t>
      </w:r>
      <w:r>
        <w:rPr>
          <w:rFonts w:hint="default" w:ascii="仿宋_GB2312" w:hAnsi="宋体" w:cs="宋体"/>
          <w:b/>
          <w:bCs/>
          <w:color w:val="auto"/>
          <w:kern w:val="0"/>
          <w:szCs w:val="24"/>
          <w:highlight w:val="yellow"/>
          <w:u w:val="none"/>
          <w:lang w:val="en-US" w:eastAsia="zh-CN"/>
        </w:rPr>
        <w:t>日内告知本理财产品的相关投资者。</w:t>
      </w:r>
    </w:p>
    <w:p w14:paraId="024055CC">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具体应对措施使用情形及程序详见</w:t>
      </w:r>
      <w:r>
        <w:rPr>
          <w:rFonts w:hint="eastAsia" w:ascii="仿宋_GB2312" w:hAnsi="宋体" w:cs="宋体"/>
          <w:b/>
          <w:bCs/>
          <w:color w:val="auto"/>
          <w:kern w:val="0"/>
          <w:szCs w:val="24"/>
          <w:highlight w:val="yellow"/>
          <w:u w:val="none"/>
          <w:lang w:eastAsia="zh-CN"/>
        </w:rPr>
        <w:t>“</w:t>
      </w:r>
      <w:r>
        <w:rPr>
          <w:rFonts w:hint="default" w:ascii="仿宋_GB2312" w:hAnsi="宋体" w:cs="宋体"/>
          <w:b/>
          <w:bCs/>
          <w:color w:val="auto"/>
          <w:kern w:val="0"/>
          <w:szCs w:val="24"/>
          <w:highlight w:val="yellow"/>
          <w:u w:val="none"/>
        </w:rPr>
        <w:t>第一节 理财产品说明书关键要素</w:t>
      </w:r>
      <w:r>
        <w:rPr>
          <w:rFonts w:hint="eastAsia" w:ascii="仿宋_GB2312" w:hAnsi="宋体" w:cs="宋体"/>
          <w:b/>
          <w:bCs/>
          <w:color w:val="auto"/>
          <w:kern w:val="0"/>
          <w:szCs w:val="24"/>
          <w:highlight w:val="yellow"/>
          <w:u w:val="none"/>
          <w:lang w:eastAsia="zh-CN"/>
        </w:rPr>
        <w:t>”“第四节 理财产品的认购与成立”“第五节 理财产品的申购与赎回”</w:t>
      </w:r>
      <w:r>
        <w:rPr>
          <w:rFonts w:hint="default" w:ascii="仿宋_GB2312" w:hAnsi="宋体" w:cs="宋体"/>
          <w:b/>
          <w:bCs/>
          <w:color w:val="auto"/>
          <w:kern w:val="0"/>
          <w:szCs w:val="24"/>
          <w:highlight w:val="yellow"/>
          <w:u w:val="none"/>
        </w:rPr>
        <w:t>。敬请投资者留意管理人运用上述流动性风险应对措施的相关风险。</w:t>
      </w:r>
    </w:p>
    <w:p w14:paraId="3B7BDA0F">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（五）经营管理风险</w:t>
      </w:r>
    </w:p>
    <w:p w14:paraId="1848AF47">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在本理财产品运作过程中，投资管理各方受经验、技能、判断力、执行力等综合因素的限制，可能对本理财产品的运作与管理形成一定影响，投资者可能面临本金和收益遭受部分甚至全部损失的风险。</w:t>
      </w:r>
    </w:p>
    <w:p w14:paraId="009D88EF">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（六）交易对手风险</w:t>
      </w:r>
    </w:p>
    <w:p w14:paraId="3C2CC9A9">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由于交易对手受偿付能力、流动性管理能力以及及时履约意愿等因素影响，导致交易对手不履约，可能影响本理财产品的投资管理，则投资者可能面临本金和收益遭受部分甚至全部损失的风险。</w:t>
      </w:r>
    </w:p>
    <w:p w14:paraId="28D8AB9F">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（七）操作风险</w:t>
      </w:r>
    </w:p>
    <w:p w14:paraId="032991F7">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产品运作过程中，由于理财产品管理人及理财合作机构因技术系统故障、内部控制存在缺陷或人为因素，导致操作失误或违反操作规程等引起的风险，如内部作业、人员管理、系统操作及事务处理不当或失误等，则投资者可能面临本金和收益遭受部分甚至全部损失的风险。</w:t>
      </w:r>
    </w:p>
    <w:p w14:paraId="69D4BCF7">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（八）代销风险（如有）</w:t>
      </w:r>
    </w:p>
    <w:p w14:paraId="08C364F4">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如本理财产品通过代理销售渠道销售，投资者购买理财产品的资金将由销售机构从投资者清算账户扣收并划付产品管理人，产品到期/终止/赎回时理财本金及收益相应款项由产品管理人按理财产品销售文件约定划付至销售机构清算账户，并由销售机构向投资者支付投资者应得理财本金及收益。如因销售机构清算账户余额不足，或销售机构未及时足额划付资金，或销售机构清算账户内资金被依法冻结或扣划、账户处于被挂失、冻结、注销或其他非正常状态等原因而导致交易失败，由销售机构与投资者依法协商解决，产品管理人对此不承担责任，但前述约定不免除因产品管理人过错依法应由产品管理人承担的责任。</w:t>
      </w:r>
    </w:p>
    <w:p w14:paraId="63284DE4">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（九）募集期延长/缩短风险</w:t>
      </w:r>
    </w:p>
    <w:p w14:paraId="5C4497F5">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在本理财产品募集期内，国家宏观政策以及市场相关法律法规政策发生变化、产品募集状况未达到/已达到产品说明书约定的成立条件，或其他经理财产品管理人合理判断需延长/缩短募集期的情形，产品管理人有权宣布本理财产品募集期延长/缩短，本理财产品可能延后/提前成立。</w:t>
      </w:r>
    </w:p>
    <w:p w14:paraId="04A6F828">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（十）产品不成立风险</w:t>
      </w:r>
    </w:p>
    <w:p w14:paraId="7331B53F">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如果本理财产品因募集规模低于《产品说明书》约定的本理财产品最低成立规模，或出现政策、法规、市场或其他因素导致本理财产品不能成立的情形，理财产品管理人有权宣布本理财产品不成立，投资者将面临再投资的风险。</w:t>
      </w:r>
    </w:p>
    <w:p w14:paraId="1EA2C54E">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（十一）提前终止风险</w:t>
      </w:r>
    </w:p>
    <w:p w14:paraId="76F8B901">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存续期间，由于国家宏观政策变化、市场相关法律法规及政策变化、本理财产品所投资资产提前结清、意外事件、不可抗力（包括但不限于政府行为、自然灾害、疫情等）以及其他可能导致理财产品管理人无法继续履行本理财产品投资管理义务或经理财产品管理人合理评估且审慎判断不适宜本理财产品继续存续运作的情形，为保护投资者权益，理财产品管理人有权按照理财产品销售文件的约定部分/全部提前终止本理财产品，投资者可能面临本理财产品部分/全部提前终止后再投资的风险。</w:t>
      </w:r>
    </w:p>
    <w:p w14:paraId="462F352E">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（十二）延期分配风险</w:t>
      </w:r>
    </w:p>
    <w:p w14:paraId="1259458B">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因缺乏交易对手、市场成交量不足、资产限制赎回、暂停交易、所投资产发生风险或不能及时变现、发生不可抗力（包括但不限于政府行为、自然灾害、疫情等）及其他理财产品管理人认为需要延期分配的情形，可能导致理财产品管理人无法在理财产品销售文件约定的清算期内完成理财资金的清算与分配，投资者可能面临理财产品资金延期分配、分配方案调整等风险，投资者由此可能面临投资本金和收益遭受部分甚至全部损失的风险。</w:t>
      </w:r>
    </w:p>
    <w:p w14:paraId="2828D6F5">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（十三）信息传递风险</w:t>
      </w:r>
    </w:p>
    <w:p w14:paraId="06594772">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理财产品管理人将按照理财产品销售文件中约定的信息披露方式、披露途径向投资者披露涉及本理财产品的各类信息和重大事件，投资者应及时查询了解。如投资者未及时查询相关信息或由于不可抗力（包括但不限于政府行为、自然灾害、疫情等）或意外事件的影响使得投资者无法及时了解本理财产品信息，进而影响投资者的投资决策行为，因此而产生的责任和风险由投资者承担。如投资者未及时告知理财产品管理人联系方式变更或理财产品管理人在其认为需要时无法及时联系到投资者，使得投资者无法及时获知本理财产品信息，进而影响投资者的投资决策行为，因此而产生的责任和风险由投资者承担。</w:t>
      </w:r>
    </w:p>
    <w:p w14:paraId="2EE40315">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（十四）关联关系及关联交易风险</w:t>
      </w:r>
    </w:p>
    <w:p w14:paraId="2B374AAD">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浙银理财作为本理财产品的发行人、管理人，独立履行产品管理职责；浙银理财委托托管机构托管理财产品或委托销售机构销售理财产品的，可能涉及委托浙商银行股份有限公司（以下简称“浙商银行”）担任理财产品的托管机构或销售机构，负责理财产品的托管或代理销售工作。浙银理财是浙商银行控股的子公司，双方存在关联关系。</w:t>
      </w:r>
    </w:p>
    <w:p w14:paraId="1EC85B51">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可能投资于管理人、个别销售机构或托管人的主要股东、实际控制人、一致行动人、最终受益人，托管人，同一股东或托管人控股的机构，或者与管理人或托管人有重大利害关系的机构发行或承销的证券，或者从事其他关联交易，本理财产品也可能由管理人的关联方进行托管或代理销售。上述各方在业务执行及实施上具有隔离机制，并符合相关法律法规要求，且上述各方将依照恪尽职守、诚实信用、谨慎勤勉的原则按照市场公允定价进行公平交易，但仍可能存在利益冲突。提请投资者充分知悉、关注本理财产品关联关系和关联交易风险，投资者签署本理财产品销售文件即代表投资者认可且同意上述可能发生的关联交易并自愿承担相关风险。</w:t>
      </w:r>
    </w:p>
    <w:p w14:paraId="37B2FBE0">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（十五）再投资风险</w:t>
      </w:r>
    </w:p>
    <w:p w14:paraId="41C054E8">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由于浙银理财有权根据市场状况和产品余额情况提前终止本理财产品，因市场利率下滑，投资者可能面临本金和收益再投资收益率降低的风险。</w:t>
      </w:r>
    </w:p>
    <w:p w14:paraId="1ACC56C0">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（十六）估值风险</w:t>
      </w:r>
    </w:p>
    <w:p w14:paraId="2D1DDD28">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按《产品说明书》的估值方法进行估值，理财产品估值与实际变现价值可能发生偏离，投资者应知晓该风险。本理财产品管理人估值仅作为参考，本理财产品管理人不承担第三方再次使用该估值引发的其他风险。本理财产品所投资的资产管理产品以其估值日截止时点能够取得的最新份额净值进行估值。因此，在前述情况下可能会出现本理财产品净值不能完全反映所投资资产管理计划或基金等资产管理产品估值日当日净值的情形。</w:t>
      </w:r>
    </w:p>
    <w:p w14:paraId="17C8A1B0">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可能投资符合监管要求的资产管理产品（包括但不限于信托计划、公募基金、基金公司或子公司资产管理计划、证券公司资产管理计划、期货资产管理计划、保险资产管理计划等，具体以《产品说明书》或理财产品定期报告披露为准），前述资产管理产品的管理人可能收取</w:t>
      </w:r>
      <w:r>
        <w:rPr>
          <w:rFonts w:hint="eastAsia" w:ascii="仿宋_GB2312" w:hAnsi="宋体" w:cs="宋体"/>
          <w:b w:val="0"/>
          <w:color w:val="auto"/>
          <w:kern w:val="0"/>
          <w:szCs w:val="24"/>
          <w:highlight w:val="yellow"/>
          <w:u w:val="none"/>
          <w:lang w:eastAsia="zh-CN"/>
        </w:rPr>
        <w:t>浮动管理费</w:t>
      </w:r>
      <w:r>
        <w:rPr>
          <w:rFonts w:hint="default" w:ascii="仿宋_GB2312" w:hAnsi="宋体" w:cs="宋体"/>
          <w:b w:val="0"/>
          <w:color w:val="auto"/>
          <w:kern w:val="0"/>
          <w:szCs w:val="24"/>
          <w:highlight w:val="yellow"/>
          <w:u w:val="none"/>
        </w:rPr>
        <w:t>，当前述资产管理产品计提</w:t>
      </w:r>
      <w:r>
        <w:rPr>
          <w:rFonts w:hint="eastAsia" w:ascii="仿宋_GB2312" w:hAnsi="宋体" w:cs="宋体"/>
          <w:b w:val="0"/>
          <w:color w:val="auto"/>
          <w:kern w:val="0"/>
          <w:szCs w:val="24"/>
          <w:highlight w:val="yellow"/>
          <w:u w:val="none"/>
          <w:lang w:eastAsia="zh-CN"/>
        </w:rPr>
        <w:t>浮动管理费</w:t>
      </w:r>
      <w:r>
        <w:rPr>
          <w:rFonts w:hint="default" w:ascii="仿宋_GB2312" w:hAnsi="宋体" w:cs="宋体"/>
          <w:b w:val="0"/>
          <w:color w:val="auto"/>
          <w:kern w:val="0"/>
          <w:szCs w:val="24"/>
          <w:highlight w:val="yellow"/>
          <w:u w:val="none"/>
        </w:rPr>
        <w:t>时，本理财产品的产品份额净值存在下跌风险。</w:t>
      </w:r>
    </w:p>
    <w:p w14:paraId="5EA6BE8D">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（十七）托管及清算风险</w:t>
      </w:r>
    </w:p>
    <w:p w14:paraId="1AADC624">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本理财产品存在托管人，若因托管人操作失误或因任何原因未能按约履行托管人职责，或丧失进行托管的能力或法定资格，均可能给本理财产品带来风险。</w:t>
      </w:r>
    </w:p>
    <w:p w14:paraId="012EC4B8">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（十八）税务风险</w:t>
      </w:r>
    </w:p>
    <w:p w14:paraId="4770E3FA">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根据国家相关法律法规，理财产品运营过程中发生的应由理财产品承担的增值税应税行为，由产品管理人申报和缴纳增值税及附加税费。该等税款将直接从理财产品中扣付缴纳，本理财产品将因为前述增值税等税负承担导致税费支出增加、理财产品净值或实际收益降低，从而降低投资者的收益水平。</w:t>
      </w:r>
    </w:p>
    <w:p w14:paraId="2EA6A05F">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（十九）不同理财产品份额类别存在差异的风险</w:t>
      </w:r>
    </w:p>
    <w:p w14:paraId="6AE1F0DF">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管理人有权根据投资者购买理财产品的金额、销售渠道、客户类型等因素，对投资者所持有的理财产品份额设置不同的理财产品份额类别。不同类别的理财产品份额可能在产品销售名称、产品</w:t>
      </w:r>
      <w:r>
        <w:rPr>
          <w:rFonts w:hint="eastAsia" w:ascii="仿宋_GB2312" w:hAnsi="宋体" w:cs="宋体"/>
          <w:b w:val="0"/>
          <w:color w:val="auto"/>
          <w:kern w:val="0"/>
          <w:szCs w:val="24"/>
          <w:highlight w:val="yellow"/>
          <w:u w:val="none"/>
          <w:lang w:eastAsia="zh-CN"/>
        </w:rPr>
        <w:t>份额</w:t>
      </w:r>
      <w:r>
        <w:rPr>
          <w:rFonts w:hint="default" w:ascii="仿宋_GB2312" w:hAnsi="宋体" w:cs="宋体"/>
          <w:b w:val="0"/>
          <w:color w:val="auto"/>
          <w:kern w:val="0"/>
          <w:szCs w:val="24"/>
          <w:highlight w:val="yellow"/>
          <w:u w:val="none"/>
        </w:rPr>
        <w:t>代码、销售渠道、销售</w:t>
      </w:r>
      <w:r>
        <w:rPr>
          <w:rFonts w:hint="eastAsia" w:ascii="仿宋_GB2312" w:hAnsi="宋体" w:cs="宋体"/>
          <w:b w:val="0"/>
          <w:color w:val="auto"/>
          <w:kern w:val="0"/>
          <w:szCs w:val="24"/>
          <w:highlight w:val="yellow"/>
          <w:u w:val="none"/>
          <w:lang w:eastAsia="zh-CN"/>
        </w:rPr>
        <w:t>对象</w:t>
      </w:r>
      <w:r>
        <w:rPr>
          <w:rFonts w:hint="default" w:ascii="仿宋_GB2312" w:hAnsi="宋体" w:cs="宋体"/>
          <w:b w:val="0"/>
          <w:color w:val="auto"/>
          <w:kern w:val="0"/>
          <w:szCs w:val="24"/>
          <w:highlight w:val="yellow"/>
          <w:u w:val="none"/>
        </w:rPr>
        <w:t>、销售服务费率、托管费率、收费方式、业绩比较基准、起点</w:t>
      </w:r>
      <w:r>
        <w:rPr>
          <w:rFonts w:hint="eastAsia" w:ascii="仿宋_GB2312" w:hAnsi="宋体" w:cs="宋体"/>
          <w:b w:val="0"/>
          <w:color w:val="auto"/>
          <w:kern w:val="0"/>
          <w:szCs w:val="24"/>
          <w:highlight w:val="yellow"/>
          <w:u w:val="none"/>
          <w:lang w:eastAsia="zh-CN"/>
        </w:rPr>
        <w:t>销售</w:t>
      </w:r>
      <w:r>
        <w:rPr>
          <w:rFonts w:hint="default" w:ascii="仿宋_GB2312" w:hAnsi="宋体" w:cs="宋体"/>
          <w:b w:val="0"/>
          <w:color w:val="auto"/>
          <w:kern w:val="0"/>
          <w:szCs w:val="24"/>
          <w:highlight w:val="yellow"/>
          <w:u w:val="none"/>
        </w:rPr>
        <w:t>金额及</w:t>
      </w:r>
      <w:r>
        <w:rPr>
          <w:rFonts w:hint="eastAsia" w:ascii="仿宋_GB2312" w:hAnsi="宋体" w:cs="宋体"/>
          <w:b w:val="0"/>
          <w:color w:val="auto"/>
          <w:kern w:val="0"/>
          <w:szCs w:val="24"/>
          <w:highlight w:val="yellow"/>
          <w:u w:val="none"/>
          <w:lang w:eastAsia="zh-CN"/>
        </w:rPr>
        <w:t>追加</w:t>
      </w:r>
      <w:r>
        <w:rPr>
          <w:rFonts w:hint="default" w:ascii="仿宋_GB2312" w:hAnsi="宋体" w:cs="宋体"/>
          <w:b w:val="0"/>
          <w:color w:val="auto"/>
          <w:kern w:val="0"/>
          <w:szCs w:val="24"/>
          <w:highlight w:val="yellow"/>
          <w:u w:val="none"/>
        </w:rPr>
        <w:t>递增金额、认/申购上限金额、认/申购和赎回数量限制、持有金额上/下限、单一投资者持有份额占比上限、产品规模上限、产品份额净值的计算结果及信息披露等方面存在差异。</w:t>
      </w:r>
    </w:p>
    <w:p w14:paraId="3D9B5540">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（二十）投资特定风险</w:t>
      </w:r>
    </w:p>
    <w:p w14:paraId="37F190DA">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本理财产品因拟投资市场和资产类别可能面临的特定风险如下：</w:t>
      </w:r>
    </w:p>
    <w:p w14:paraId="6B4DCF5E">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1.投资于固定收益类资产</w:t>
      </w:r>
      <w:r>
        <w:rPr>
          <w:rFonts w:hint="eastAsia" w:ascii="仿宋_GB2312" w:hAnsi="宋体" w:cs="宋体"/>
          <w:b/>
          <w:bCs/>
          <w:color w:val="auto"/>
          <w:kern w:val="0"/>
          <w:szCs w:val="24"/>
          <w:highlight w:val="yellow"/>
          <w:u w:val="none"/>
          <w:lang w:eastAsia="zh-CN"/>
        </w:rPr>
        <w:t>（如有）</w:t>
      </w:r>
      <w:r>
        <w:rPr>
          <w:rFonts w:hint="default" w:ascii="仿宋_GB2312" w:hAnsi="宋体" w:cs="宋体"/>
          <w:b/>
          <w:bCs/>
          <w:color w:val="auto"/>
          <w:kern w:val="0"/>
          <w:szCs w:val="24"/>
          <w:highlight w:val="yellow"/>
          <w:u w:val="none"/>
        </w:rPr>
        <w:t>的可能风险：</w:t>
      </w:r>
    </w:p>
    <w:p w14:paraId="2B07635A">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1）国家政策、经济周期、利率、汇率等因素可能发生的变化导致的市场风险。（2）债券发行人、担保人的经营状况、信用质量降低等可能发生的变化导致的信用风险。（3）债券发行人、担保人信用等级降低导致债券价格下降，可能影响投资者收益，甚至使产品本金遭受损失。（4）非公开定向债务融资工具的流通和转让限制导致的流动性风险。（5）债券市场出现整体下跌，导致债券市场的系统性风险等。（6）可转/交换债券投资风险（如有）：可转/交换债券收益与对应标的股票股价直接挂钩，债券价格可能受之影响；转股期内，对应标的股票价格可能低于转股价格，若选择转股，产品将承受标的股票价格低于转股价格之间的价差；转股价格向下修正条款触发时，存在发行方不同意修正转股价格的风险；赎回条款可能导致债券提前兑付或转股期缩短而影响投资收益的风险；存在因政策限制导致无法转股的风险，可转/交换债券投资受到包括但不限于上述因素影响时，可能影响投资者收益，甚至使产品本金遭受损失。（7）永续债投资风险（如有）：永续债发行人可能延期支付利息，且永续债无到期日，可能因流动性差无法变现、无法收回本金，使产品出现流动性风险；永续债附加的回售或赎回权，可能会导致管理人以不利价格出售永续债，从而影响投资者收益。</w:t>
      </w:r>
    </w:p>
    <w:p w14:paraId="0F9021CE">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2.投资于股票等权益类资产（如有）的可能风险：</w:t>
      </w:r>
    </w:p>
    <w:p w14:paraId="7D46ACEE">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国家货币、财政、产业等政策变化对证券市场产生一定的影响，导致市场价格水平波动的风险；宏观经济运行周期性波动，对股票市场的收益水平产生影响的风险；上市公司的经营状况受多种因素影响，如市场、技术、竞争、管理、财务等都可能导致公司盈利发生变化，从而导致股票价格下跌，影响投资者收益，甚至使产品本金遭受损失；股票遭流通和转让限制导致的流动性风险；投资于不同板块、不同市场股票，如投资科创板、创业板、港股通股票等，可能面临因投资标的、市场制度、交易规则、监管法规等差异造成的风险等。</w:t>
      </w:r>
    </w:p>
    <w:p w14:paraId="5B7C8B0A">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优先股具有固定收益证券的特征，但优先股发行方无到期归还本金的义务，可能发生发行人经营状况恶化、无法足额支付股息的风险，从而影响产品和投资者收益；优先股属于权益类资产，价格受国家各类政策、宏观经济、行业发展等多种因素影响，可能发生波动从而影响产品收益，甚至使产品本金遭受损失。</w:t>
      </w:r>
    </w:p>
    <w:p w14:paraId="3AA01318">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3.投资于商品及金融衍生品类资产（如有）的可能风险：</w:t>
      </w:r>
    </w:p>
    <w:p w14:paraId="490E951C">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基础产品价格波动造成衍生品价格波动，高杠杆和跨期交易可能加剧衍生品价格波动的市场风险；衍生品发行方或交易对手方违约或不履行合约的导致的信用风险；缺乏交易对手导致无法平仓/变现、流动资金不足或无法追加保证金导致被迫平仓造成亏损的风险；因内部程序、人员、系统操作不当或因外部事件导致损失的操作风险；部分衍生品操作相关法律法规的滞后，交易合约在法律范围内无效而无法履约或交易合约订立不当产生的法律风险。由于期货与现货间的价差的波动，影响套期保值或套利效果，使之发生意外损益的基差风险。</w:t>
      </w:r>
    </w:p>
    <w:p w14:paraId="04082F1C">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（二十一）其他风险</w:t>
      </w:r>
    </w:p>
    <w:p w14:paraId="344467F5">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自然灾害、疫情、战争、金融危机等不能预见、不能避免、不能克服的不可抗力因素的出现，或系统故障、通讯故障、投资市场停止交易等意外事件的发生，可能对本理财产品的受理、成立、投资运作、资金返还、信息披露等造成影响，甚至可能导致本理财产品本金和收益的降低或损失，以及本金和收益延迟支付。对于由不可抗力及意外事件风险导致的任何损失和延迟支付，须投资者承担。</w:t>
      </w:r>
    </w:p>
    <w:p w14:paraId="19B057B9">
      <w:pPr>
        <w:widowControl/>
        <w:tabs>
          <w:tab w:val="left" w:pos="709"/>
        </w:tabs>
        <w:adjustRightInd w:val="0"/>
        <w:snapToGrid w:val="0"/>
        <w:spacing w:line="360" w:lineRule="auto"/>
        <w:ind w:firstLine="420" w:firstLineChars="200"/>
        <w:rPr>
          <w:rFonts w:hint="eastAsia" w:ascii="仿宋_GB2312" w:hAnsi="宋体" w:eastAsia="仿宋_GB2312" w:cs="宋体"/>
          <w:b w:val="0"/>
          <w:bCs w:val="0"/>
          <w:color w:val="auto"/>
          <w:kern w:val="0"/>
          <w:sz w:val="24"/>
          <w:szCs w:val="24"/>
          <w:highlight w:val="yellow"/>
          <w:u w:val="none"/>
          <w:lang w:eastAsia="zh-CN"/>
        </w:rPr>
      </w:pPr>
      <w:r>
        <w:rPr>
          <w:rFonts w:hint="default" w:ascii="仿宋_GB2312" w:hAnsi="宋体" w:cs="宋体"/>
          <w:b w:val="0"/>
          <w:color w:val="auto"/>
          <w:kern w:val="0"/>
          <w:szCs w:val="24"/>
          <w:highlight w:val="yellow"/>
          <w:u w:val="none"/>
        </w:rPr>
        <w:t>以上所揭示事项仅为列举性质，未能尽述列明投资者投资本理财产品所面临的全部风险和可能导致投资者资产损失的所有因素。投资者应充分认识投资风险，谨慎投资</w:t>
      </w:r>
      <w:r>
        <w:rPr>
          <w:rFonts w:hint="default" w:ascii="仿宋_GB2312" w:hAnsi="宋体" w:eastAsia="仿宋_GB2312" w:cs="宋体"/>
          <w:b w:val="0"/>
          <w:bCs w:val="0"/>
          <w:color w:val="auto"/>
          <w:kern w:val="0"/>
          <w:sz w:val="24"/>
          <w:szCs w:val="24"/>
          <w:highlight w:val="yellow"/>
          <w:u w:val="none"/>
        </w:rPr>
        <w:t>。</w:t>
      </w:r>
      <w:r>
        <w:rPr>
          <w:rFonts w:hint="eastAsia" w:ascii="仿宋_GB2312" w:hAnsi="宋体" w:cs="宋体"/>
          <w:b w:val="0"/>
          <w:bCs w:val="0"/>
          <w:color w:val="auto"/>
          <w:kern w:val="0"/>
          <w:sz w:val="24"/>
          <w:szCs w:val="24"/>
          <w:highlight w:val="yellow"/>
          <w:u w:val="none"/>
          <w:lang w:eastAsia="zh-CN"/>
        </w:rPr>
        <w:t>】</w:t>
      </w:r>
    </w:p>
    <w:p w14:paraId="38FAB67F">
      <w:pPr>
        <w:widowControl/>
        <w:jc w:val="left"/>
        <w:rPr>
          <w:rFonts w:eastAsia="黑体"/>
          <w:color w:val="auto"/>
          <w:kern w:val="44"/>
          <w:sz w:val="28"/>
          <w:highlight w:val="none"/>
        </w:rPr>
      </w:pPr>
      <w:r>
        <w:rPr>
          <w:color w:val="auto"/>
          <w:highlight w:val="none"/>
        </w:rPr>
        <w:br w:type="page"/>
      </w:r>
    </w:p>
    <w:p w14:paraId="59868BBB">
      <w:pPr>
        <w:pStyle w:val="2"/>
        <w:numPr>
          <w:ilvl w:val="0"/>
          <w:numId w:val="10"/>
        </w:numPr>
        <w:rPr>
          <w:color w:val="auto"/>
          <w:highlight w:val="none"/>
        </w:rPr>
      </w:pPr>
      <w:r>
        <w:rPr>
          <w:rFonts w:hint="eastAsia"/>
          <w:color w:val="auto"/>
          <w:highlight w:val="none"/>
        </w:rPr>
        <w:t>特别提示</w:t>
      </w:r>
    </w:p>
    <w:p w14:paraId="3E815C55">
      <w:pPr>
        <w:widowControl/>
        <w:tabs>
          <w:tab w:val="left" w:pos="709"/>
        </w:tabs>
        <w:snapToGrid w:val="0"/>
        <w:spacing w:line="360" w:lineRule="auto"/>
        <w:ind w:firstLine="422" w:firstLineChars="200"/>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若本理财产品所投资资产到期不能全部偿付导致资产减值甚至本金大幅损失，则浙银理财将以产品管理人名义，代表投资者利益行使诉讼权利或者实施其他法律行为。</w:t>
      </w:r>
    </w:p>
    <w:p w14:paraId="0FDCC034">
      <w:pPr>
        <w:widowControl/>
        <w:tabs>
          <w:tab w:val="left" w:pos="709"/>
        </w:tabs>
        <w:snapToGrid w:val="0"/>
        <w:spacing w:line="360" w:lineRule="auto"/>
        <w:ind w:firstLine="422" w:firstLineChars="200"/>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产品管理人对投资者信息负有保密义务，不得无故向任何组织、个人提供或泄露与投资者有关的业务资料及信息。产品管理人向确有知悉必要的雇员提供投资者信息，或按照有关法律、法规、监管要求向司法机关、行政机关等有关政府部门、投资合作机构及第三方专业机构提供的，不视为对保密义务的违反。</w:t>
      </w:r>
    </w:p>
    <w:p w14:paraId="2EA9A085">
      <w:pPr>
        <w:widowControl/>
        <w:tabs>
          <w:tab w:val="left" w:pos="709"/>
        </w:tabs>
        <w:snapToGrid w:val="0"/>
        <w:spacing w:line="360" w:lineRule="auto"/>
        <w:ind w:firstLine="422" w:firstLineChars="200"/>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产品管理人根据适用的法律法规和监管机构要求，向监管机构和/或其他有权机关（包括但不限于理财登记中心数据交换平台）报送投资者身份信息及投资者持有本产品份额及其变动情况等相关信息。产品管理人对向监管机构和/或监管机构指定机构报送的相关信息负有保密义务,并在报送信息过程中,采取有效措施确保信息安全与保密。</w:t>
      </w:r>
    </w:p>
    <w:p w14:paraId="68D85104">
      <w:pPr>
        <w:widowControl/>
        <w:tabs>
          <w:tab w:val="left" w:pos="709"/>
        </w:tabs>
        <w:snapToGrid w:val="0"/>
        <w:spacing w:line="360" w:lineRule="auto"/>
        <w:ind w:firstLine="420" w:firstLineChars="200"/>
        <w:rPr>
          <w:rFonts w:hint="eastAsia" w:ascii="仿宋_GB2312" w:hAnsi="宋体" w:cs="宋体"/>
          <w:b/>
          <w:bCs/>
          <w:color w:val="auto"/>
          <w:kern w:val="0"/>
          <w:szCs w:val="24"/>
          <w:highlight w:val="none"/>
        </w:rPr>
      </w:pPr>
      <w:r>
        <w:rPr>
          <w:rFonts w:hint="eastAsia"/>
          <w:color w:val="auto"/>
          <w:highlight w:val="none"/>
        </w:rPr>
        <w:t>本产品的转让将依照理财产品销售文件及销售机构的业务政策执行。</w:t>
      </w:r>
    </w:p>
    <w:p w14:paraId="56A66CEC">
      <w:pPr>
        <w:tabs>
          <w:tab w:val="left" w:pos="709"/>
        </w:tabs>
        <w:snapToGrid w:val="0"/>
        <w:spacing w:line="360" w:lineRule="auto"/>
        <w:ind w:firstLine="420" w:firstLineChars="200"/>
        <w:rPr>
          <w:color w:val="auto"/>
          <w:highlight w:val="none"/>
        </w:rPr>
      </w:pPr>
      <w:r>
        <w:rPr>
          <w:rFonts w:hint="eastAsia" w:ascii="仿宋_GB2312" w:hAnsi="宋体" w:cs="宋体"/>
          <w:bCs/>
          <w:color w:val="auto"/>
          <w:kern w:val="0"/>
          <w:szCs w:val="24"/>
          <w:highlight w:val="none"/>
        </w:rPr>
        <w:t>投资者对本理财产品有任何意见或异议，</w:t>
      </w:r>
      <w:r>
        <w:rPr>
          <w:rFonts w:hint="eastAsia" w:ascii="仿宋_GB2312" w:cs="宋体" w:hAnsiTheme="minorEastAsia"/>
          <w:bCs/>
          <w:color w:val="auto"/>
          <w:kern w:val="0"/>
          <w:szCs w:val="32"/>
          <w:highlight w:val="none"/>
        </w:rPr>
        <w:t>敬请联系您的销售服务机构，具体联系方式以《产品说明书》等销售文件的披露为准;或反馈至浙银理财，浙银理财服务电话：0571-57192881。</w:t>
      </w:r>
    </w:p>
    <w:p w14:paraId="7A7BF503">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p>
    <w:p w14:paraId="442A5D4F">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p>
    <w:p w14:paraId="44DC7FAA">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p>
    <w:p w14:paraId="3100BB74">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p>
    <w:p w14:paraId="2DDCF043">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p>
    <w:p w14:paraId="64C1311A">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p>
    <w:p w14:paraId="63F3B3DE">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p>
    <w:p w14:paraId="101FC6F8">
      <w:pPr>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br w:type="page"/>
      </w:r>
    </w:p>
    <w:p w14:paraId="7D19EEEB">
      <w:pPr>
        <w:widowControl/>
        <w:tabs>
          <w:tab w:val="left" w:pos="709"/>
        </w:tabs>
        <w:snapToGrid w:val="0"/>
        <w:spacing w:line="360" w:lineRule="auto"/>
        <w:ind w:firstLine="420" w:firstLineChars="200"/>
        <w:rPr>
          <w:rFonts w:hint="eastAsia"/>
          <w:color w:val="auto"/>
          <w:highlight w:val="none"/>
          <w:u w:val="none"/>
          <w:lang w:val="en-US" w:eastAsia="zh-CN"/>
        </w:rPr>
      </w:pPr>
      <w:r>
        <w:rPr>
          <w:rFonts w:hint="eastAsia"/>
          <w:color w:val="auto"/>
          <w:highlight w:val="none"/>
          <w:u w:val="none"/>
          <w:lang w:val="en-US" w:eastAsia="zh-CN"/>
        </w:rPr>
        <w:t xml:space="preserve">（本页为签署页，无正文） </w:t>
      </w:r>
    </w:p>
    <w:p w14:paraId="004782B4">
      <w:pPr>
        <w:widowControl/>
        <w:tabs>
          <w:tab w:val="left" w:pos="709"/>
        </w:tabs>
        <w:snapToGrid w:val="0"/>
        <w:spacing w:line="360" w:lineRule="auto"/>
        <w:ind w:firstLine="420" w:firstLineChars="200"/>
        <w:rPr>
          <w:rFonts w:hint="eastAsia"/>
          <w:color w:val="auto"/>
          <w:highlight w:val="none"/>
          <w:u w:val="none"/>
          <w:lang w:val="en-US" w:eastAsia="zh-CN"/>
        </w:rPr>
      </w:pPr>
      <w:r>
        <w:rPr>
          <w:rFonts w:hint="eastAsia"/>
          <w:color w:val="auto"/>
          <w:highlight w:val="none"/>
          <w:u w:val="none"/>
          <w:lang w:val="en-US" w:eastAsia="zh-CN"/>
        </w:rPr>
        <w:t>投资者（个人客户签名） ：</w:t>
      </w:r>
    </w:p>
    <w:p w14:paraId="56F5A6CC">
      <w:pPr>
        <w:widowControl/>
        <w:tabs>
          <w:tab w:val="left" w:pos="709"/>
        </w:tabs>
        <w:snapToGrid w:val="0"/>
        <w:spacing w:line="360" w:lineRule="auto"/>
        <w:ind w:firstLine="420" w:firstLineChars="200"/>
        <w:rPr>
          <w:rFonts w:hint="eastAsia"/>
          <w:color w:val="auto"/>
          <w:highlight w:val="none"/>
          <w:u w:val="none"/>
          <w:lang w:val="en-US" w:eastAsia="zh-CN"/>
        </w:rPr>
      </w:pPr>
    </w:p>
    <w:p w14:paraId="7D7F156C">
      <w:pPr>
        <w:widowControl/>
        <w:tabs>
          <w:tab w:val="left" w:pos="709"/>
        </w:tabs>
        <w:snapToGrid w:val="0"/>
        <w:spacing w:line="360" w:lineRule="auto"/>
        <w:ind w:firstLine="420" w:firstLineChars="200"/>
        <w:rPr>
          <w:rFonts w:hint="eastAsia"/>
          <w:color w:val="auto"/>
          <w:highlight w:val="none"/>
          <w:u w:val="none"/>
        </w:rPr>
      </w:pPr>
      <w:r>
        <w:rPr>
          <w:rFonts w:hint="eastAsia"/>
          <w:color w:val="auto"/>
          <w:highlight w:val="none"/>
          <w:u w:val="none"/>
          <w:lang w:val="en-US" w:eastAsia="zh-CN"/>
        </w:rPr>
        <w:t>投资者（机构客户盖公章） ：</w:t>
      </w:r>
    </w:p>
    <w:p w14:paraId="18BA617B">
      <w:pPr>
        <w:widowControl/>
        <w:tabs>
          <w:tab w:val="left" w:pos="709"/>
        </w:tabs>
        <w:snapToGrid w:val="0"/>
        <w:spacing w:line="360" w:lineRule="auto"/>
        <w:ind w:firstLine="420" w:firstLineChars="200"/>
        <w:rPr>
          <w:rFonts w:hint="eastAsia"/>
          <w:color w:val="auto"/>
          <w:highlight w:val="none"/>
          <w:u w:val="none"/>
        </w:rPr>
      </w:pPr>
      <w:r>
        <w:rPr>
          <w:rFonts w:hint="eastAsia"/>
          <w:color w:val="auto"/>
          <w:highlight w:val="none"/>
          <w:u w:val="none"/>
          <w:lang w:val="en-US" w:eastAsia="zh-CN"/>
        </w:rPr>
        <w:t xml:space="preserve">法定代表人或授权代理人（签名或盖个人名章）： </w:t>
      </w:r>
    </w:p>
    <w:p w14:paraId="1745C137">
      <w:pPr>
        <w:widowControl/>
        <w:tabs>
          <w:tab w:val="left" w:pos="709"/>
        </w:tabs>
        <w:snapToGrid w:val="0"/>
        <w:spacing w:line="360" w:lineRule="auto"/>
        <w:ind w:firstLine="420" w:firstLineChars="200"/>
        <w:rPr>
          <w:rFonts w:hint="eastAsia"/>
          <w:color w:val="auto"/>
          <w:highlight w:val="none"/>
          <w:u w:val="none"/>
          <w:lang w:val="en-US" w:eastAsia="zh-CN"/>
        </w:rPr>
      </w:pPr>
    </w:p>
    <w:p w14:paraId="28D1BF31">
      <w:pPr>
        <w:widowControl/>
        <w:tabs>
          <w:tab w:val="left" w:pos="709"/>
        </w:tabs>
        <w:snapToGrid w:val="0"/>
        <w:spacing w:line="360" w:lineRule="auto"/>
        <w:ind w:firstLine="420" w:firstLineChars="200"/>
        <w:rPr>
          <w:rFonts w:hint="eastAsia"/>
          <w:color w:val="auto"/>
          <w:highlight w:val="none"/>
          <w:u w:val="none"/>
        </w:rPr>
      </w:pPr>
      <w:r>
        <w:rPr>
          <w:rFonts w:hint="eastAsia"/>
          <w:color w:val="auto"/>
          <w:highlight w:val="none"/>
          <w:u w:val="none"/>
          <w:lang w:val="en-US" w:eastAsia="zh-CN"/>
        </w:rPr>
        <w:t>签约日期:_______年______月______日</w:t>
      </w:r>
    </w:p>
    <w:p w14:paraId="73897E47">
      <w:pPr>
        <w:widowControl/>
        <w:jc w:val="left"/>
        <w:rPr>
          <w:color w:val="auto"/>
          <w:szCs w:val="24"/>
          <w:highlight w:val="none"/>
        </w:rPr>
      </w:pPr>
    </w:p>
    <w:p w14:paraId="286DF8A1">
      <w:pPr>
        <w:rPr>
          <w:rFonts w:hint="eastAsia"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br w:type="page"/>
      </w:r>
    </w:p>
    <w:p w14:paraId="70B8F4CB">
      <w:pPr>
        <w:jc w:val="left"/>
        <w:rPr>
          <w:rFonts w:hint="eastAsia"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t>附件7：</w:t>
      </w:r>
    </w:p>
    <w:p w14:paraId="28029EB2">
      <w:pPr>
        <w:widowControl/>
        <w:snapToGrid w:val="0"/>
        <w:jc w:val="center"/>
        <w:rPr>
          <w:rFonts w:hint="eastAsia" w:ascii="方正小标宋简体" w:hAnsi="宋体" w:eastAsia="方正小标宋简体" w:cs="宋体"/>
          <w:bCs/>
          <w:color w:val="auto"/>
          <w:kern w:val="0"/>
          <w:sz w:val="36"/>
          <w:szCs w:val="36"/>
          <w:highlight w:val="none"/>
          <w:u w:val="none"/>
        </w:rPr>
      </w:pPr>
      <w:r>
        <w:rPr>
          <w:rFonts w:hint="eastAsia" w:ascii="方正小标宋简体" w:hAnsi="宋体" w:eastAsia="方正小标宋简体" w:cs="宋体"/>
          <w:bCs/>
          <w:color w:val="auto"/>
          <w:kern w:val="0"/>
          <w:sz w:val="36"/>
          <w:szCs w:val="36"/>
          <w:highlight w:val="none"/>
          <w:u w:val="none"/>
        </w:rPr>
        <w:t>浙银理财</w:t>
      </w:r>
      <w:r>
        <w:rPr>
          <w:rFonts w:hint="eastAsia" w:ascii="方正小标宋简体" w:hAnsi="宋体" w:eastAsia="方正小标宋简体" w:cs="宋体"/>
          <w:bCs/>
          <w:color w:val="auto"/>
          <w:kern w:val="0"/>
          <w:sz w:val="36"/>
          <w:szCs w:val="36"/>
          <w:highlight w:val="yellow"/>
          <w:u w:val="none"/>
          <w:lang w:eastAsia="zh-CN"/>
        </w:rPr>
        <w:t>【】</w:t>
      </w:r>
      <w:r>
        <w:rPr>
          <w:rFonts w:hint="eastAsia" w:ascii="方正小标宋简体" w:hAnsi="宋体" w:eastAsia="方正小标宋简体" w:cs="宋体"/>
          <w:bCs/>
          <w:color w:val="auto"/>
          <w:kern w:val="0"/>
          <w:sz w:val="36"/>
          <w:szCs w:val="36"/>
          <w:highlight w:val="none"/>
          <w:u w:val="none"/>
        </w:rPr>
        <w:t>产品说明书</w:t>
      </w:r>
    </w:p>
    <w:p w14:paraId="42A7F241">
      <w:pPr>
        <w:keepNext w:val="0"/>
        <w:keepLines w:val="0"/>
        <w:widowControl/>
        <w:suppressLineNumbers w:val="0"/>
        <w:jc w:val="center"/>
        <w:rPr>
          <w:color w:val="auto"/>
          <w:highlight w:val="none"/>
          <w:u w:val="none"/>
        </w:rPr>
      </w:pPr>
      <w:r>
        <w:rPr>
          <w:rFonts w:hint="eastAsia" w:ascii="宋体" w:hAnsi="宋体" w:eastAsia="宋体" w:cs="宋体"/>
          <w:b/>
          <w:bCs/>
          <w:color w:val="auto"/>
          <w:kern w:val="0"/>
          <w:sz w:val="28"/>
          <w:szCs w:val="28"/>
          <w:highlight w:val="none"/>
          <w:u w:val="none"/>
          <w:lang w:val="en-US" w:eastAsia="zh-CN" w:bidi="ar"/>
        </w:rPr>
        <w:t>（</w:t>
      </w:r>
      <w:r>
        <w:rPr>
          <w:rFonts w:ascii="宋体" w:hAnsi="宋体" w:eastAsia="宋体" w:cs="宋体"/>
          <w:b/>
          <w:bCs/>
          <w:color w:val="auto"/>
          <w:kern w:val="0"/>
          <w:sz w:val="28"/>
          <w:szCs w:val="28"/>
          <w:highlight w:val="none"/>
          <w:u w:val="none"/>
          <w:lang w:val="en-US" w:eastAsia="zh-CN" w:bidi="ar"/>
        </w:rPr>
        <w:t>全国银行业理财信息登记系统产品登记编码：</w:t>
      </w:r>
      <w:r>
        <w:rPr>
          <w:rFonts w:hint="eastAsia" w:ascii="宋体" w:hAnsi="宋体" w:eastAsia="宋体" w:cs="宋体"/>
          <w:b/>
          <w:bCs/>
          <w:color w:val="auto"/>
          <w:kern w:val="0"/>
          <w:sz w:val="28"/>
          <w:szCs w:val="28"/>
          <w:highlight w:val="yellow"/>
          <w:u w:val="none"/>
          <w:lang w:val="en-US" w:eastAsia="zh-CN" w:bidi="ar"/>
        </w:rPr>
        <w:t>【】</w:t>
      </w:r>
      <w:r>
        <w:rPr>
          <w:rFonts w:hint="eastAsia" w:ascii="宋体" w:hAnsi="宋体" w:eastAsia="宋体" w:cs="宋体"/>
          <w:b/>
          <w:bCs/>
          <w:color w:val="auto"/>
          <w:kern w:val="0"/>
          <w:sz w:val="28"/>
          <w:szCs w:val="28"/>
          <w:highlight w:val="none"/>
          <w:u w:val="none"/>
          <w:lang w:val="en-US" w:eastAsia="zh-CN" w:bidi="ar"/>
        </w:rPr>
        <w:t>）</w:t>
      </w:r>
    </w:p>
    <w:p w14:paraId="253642EB">
      <w:pPr>
        <w:keepNext w:val="0"/>
        <w:keepLines w:val="0"/>
        <w:widowControl/>
        <w:suppressLineNumbers w:val="0"/>
        <w:jc w:val="center"/>
        <w:rPr>
          <w:color w:val="auto"/>
          <w:highlight w:val="none"/>
          <w:u w:val="none"/>
        </w:rPr>
      </w:pPr>
      <w:r>
        <w:rPr>
          <w:rFonts w:ascii="宋体" w:hAnsi="宋体" w:eastAsia="宋体" w:cs="宋体"/>
          <w:b/>
          <w:bCs/>
          <w:color w:val="auto"/>
          <w:kern w:val="0"/>
          <w:sz w:val="20"/>
          <w:szCs w:val="20"/>
          <w:highlight w:val="none"/>
          <w:u w:val="none"/>
          <w:lang w:val="en-US" w:eastAsia="zh-CN" w:bidi="ar"/>
        </w:rPr>
        <w:t xml:space="preserve">（投资者可依据该编码在中国理财网 </w:t>
      </w:r>
      <w:r>
        <w:rPr>
          <w:rFonts w:hint="default" w:ascii="Times New Roman" w:hAnsi="Times New Roman" w:eastAsia="宋体" w:cs="Times New Roman"/>
          <w:b/>
          <w:bCs/>
          <w:color w:val="auto"/>
          <w:kern w:val="0"/>
          <w:sz w:val="20"/>
          <w:szCs w:val="20"/>
          <w:highlight w:val="none"/>
          <w:u w:val="none"/>
          <w:lang w:val="en-US" w:eastAsia="zh-CN" w:bidi="ar"/>
        </w:rPr>
        <w:t xml:space="preserve">www.chinawealth.com.cn </w:t>
      </w:r>
      <w:r>
        <w:rPr>
          <w:rFonts w:ascii="宋体" w:hAnsi="宋体" w:eastAsia="宋体" w:cs="宋体"/>
          <w:b/>
          <w:bCs/>
          <w:color w:val="auto"/>
          <w:kern w:val="0"/>
          <w:sz w:val="20"/>
          <w:szCs w:val="20"/>
          <w:highlight w:val="none"/>
          <w:u w:val="none"/>
          <w:lang w:val="en-US" w:eastAsia="zh-CN" w:bidi="ar"/>
        </w:rPr>
        <w:t>查询产品信息）</w:t>
      </w:r>
    </w:p>
    <w:p w14:paraId="7B38C099">
      <w:pPr>
        <w:widowControl/>
        <w:snapToGrid w:val="0"/>
        <w:ind w:firstLine="420" w:firstLineChars="200"/>
        <w:rPr>
          <w:rFonts w:ascii="黑体" w:hAnsi="宋体" w:eastAsia="黑体" w:cs="宋体"/>
          <w:bCs/>
          <w:color w:val="auto"/>
          <w:kern w:val="0"/>
          <w:szCs w:val="32"/>
          <w:highlight w:val="none"/>
          <w:u w:val="none"/>
        </w:rPr>
      </w:pPr>
    </w:p>
    <w:p w14:paraId="42A41BE0">
      <w:pPr>
        <w:pStyle w:val="2"/>
        <w:numPr>
          <w:ilvl w:val="0"/>
          <w:numId w:val="11"/>
        </w:numPr>
        <w:rPr>
          <w:rFonts w:hint="eastAsia"/>
          <w:color w:val="auto"/>
          <w:highlight w:val="none"/>
          <w:u w:val="none"/>
        </w:rPr>
      </w:pPr>
      <w:r>
        <w:rPr>
          <w:rFonts w:hint="eastAsia"/>
          <w:color w:val="auto"/>
          <w:highlight w:val="none"/>
          <w:u w:val="none"/>
        </w:rPr>
        <w:t>理财产品</w:t>
      </w:r>
      <w:r>
        <w:rPr>
          <w:rFonts w:hint="eastAsia"/>
          <w:color w:val="auto"/>
          <w:highlight w:val="none"/>
          <w:u w:val="none"/>
          <w:lang w:eastAsia="zh-CN"/>
        </w:rPr>
        <w:t>说明书关键要素</w:t>
      </w:r>
    </w:p>
    <w:tbl>
      <w:tblPr>
        <w:tblStyle w:val="7"/>
        <w:tblW w:w="9425" w:type="dxa"/>
        <w:tblInd w:w="-477" w:type="dxa"/>
        <w:tblLayout w:type="fixed"/>
        <w:tblCellMar>
          <w:top w:w="0" w:type="dxa"/>
          <w:left w:w="108" w:type="dxa"/>
          <w:bottom w:w="0" w:type="dxa"/>
          <w:right w:w="108" w:type="dxa"/>
        </w:tblCellMar>
      </w:tblPr>
      <w:tblGrid>
        <w:gridCol w:w="2453"/>
        <w:gridCol w:w="6972"/>
      </w:tblGrid>
      <w:tr w14:paraId="6DEF8DF5">
        <w:tblPrEx>
          <w:tblCellMar>
            <w:top w:w="0" w:type="dxa"/>
            <w:left w:w="108" w:type="dxa"/>
            <w:bottom w:w="0" w:type="dxa"/>
            <w:right w:w="108" w:type="dxa"/>
          </w:tblCellMar>
        </w:tblPrEx>
        <w:trPr>
          <w:trHeight w:val="1394" w:hRule="atLeast"/>
        </w:trPr>
        <w:tc>
          <w:tcPr>
            <w:tcW w:w="9425" w:type="dxa"/>
            <w:gridSpan w:val="2"/>
            <w:tcBorders>
              <w:top w:val="single" w:color="000000" w:sz="8" w:space="0"/>
              <w:left w:val="single" w:color="000000" w:sz="8" w:space="0"/>
              <w:bottom w:val="single" w:color="000000" w:sz="4" w:space="0"/>
              <w:right w:val="single" w:color="000000" w:sz="8" w:space="0"/>
            </w:tcBorders>
            <w:vAlign w:val="center"/>
          </w:tcPr>
          <w:p w14:paraId="1D37D06F">
            <w:pPr>
              <w:widowControl/>
              <w:spacing w:line="600" w:lineRule="exact"/>
              <w:jc w:val="center"/>
              <w:textAlignment w:val="center"/>
              <w:rPr>
                <w:rFonts w:hint="eastAsia" w:ascii="方正小标宋简体" w:hAnsi="方正小标宋简体" w:eastAsia="方正小标宋简体" w:cs="方正小标宋简体"/>
                <w:color w:val="000000"/>
                <w:sz w:val="40"/>
                <w:szCs w:val="40"/>
              </w:rPr>
            </w:pPr>
            <w:r>
              <w:rPr>
                <w:rFonts w:hint="eastAsia" w:ascii="方正小标宋简体" w:hAnsi="方正小标宋简体" w:eastAsia="方正小标宋简体" w:cs="方正小标宋简体"/>
                <w:color w:val="000000"/>
                <w:kern w:val="0"/>
                <w:sz w:val="40"/>
                <w:szCs w:val="40"/>
                <w:lang w:bidi="ar"/>
              </w:rPr>
              <w:t>理财产品说明书关键要素</w:t>
            </w:r>
          </w:p>
        </w:tc>
      </w:tr>
      <w:tr w14:paraId="4F82F3D8">
        <w:tblPrEx>
          <w:tblCellMar>
            <w:top w:w="0" w:type="dxa"/>
            <w:left w:w="108" w:type="dxa"/>
            <w:bottom w:w="0" w:type="dxa"/>
            <w:right w:w="108" w:type="dxa"/>
          </w:tblCellMar>
        </w:tblPrEx>
        <w:trPr>
          <w:trHeight w:val="980" w:hRule="atLeast"/>
        </w:trPr>
        <w:tc>
          <w:tcPr>
            <w:tcW w:w="9425" w:type="dxa"/>
            <w:gridSpan w:val="2"/>
            <w:tcBorders>
              <w:top w:val="single" w:color="000000" w:sz="4" w:space="0"/>
              <w:left w:val="single" w:color="000000" w:sz="8" w:space="0"/>
              <w:bottom w:val="nil"/>
              <w:right w:val="single" w:color="000000" w:sz="8" w:space="0"/>
            </w:tcBorders>
            <w:vAlign w:val="center"/>
          </w:tcPr>
          <w:p w14:paraId="0D93A8DF">
            <w:pPr>
              <w:widowControl/>
              <w:spacing w:line="400" w:lineRule="exact"/>
              <w:jc w:val="center"/>
              <w:textAlignment w:val="center"/>
              <w:rPr>
                <w:rFonts w:hint="eastAsia" w:ascii="仿宋_GB2312" w:hAnsi="等线" w:eastAsia="仿宋_GB2312" w:cs="仿宋_GB2312"/>
                <w:color w:val="000000"/>
                <w:sz w:val="24"/>
              </w:rPr>
            </w:pPr>
            <w:r>
              <w:rPr>
                <w:rFonts w:hint="eastAsia" w:cs="仿宋_GB2312"/>
                <w:sz w:val="22"/>
                <w:szCs w:val="22"/>
                <w:lang w:bidi="ar"/>
              </w:rPr>
              <w:t>本表格提供本理财产品的重要信息，是理财产品说明书的一部分。</w:t>
            </w:r>
            <w:r>
              <w:rPr>
                <w:rFonts w:hint="eastAsia" w:cs="仿宋_GB2312"/>
                <w:sz w:val="22"/>
                <w:szCs w:val="22"/>
                <w:lang w:bidi="ar"/>
              </w:rPr>
              <w:br w:type="textWrapping"/>
            </w:r>
            <w:r>
              <w:rPr>
                <w:rFonts w:hint="eastAsia" w:cs="仿宋_GB2312"/>
                <w:sz w:val="22"/>
                <w:szCs w:val="22"/>
                <w:lang w:bidi="ar"/>
              </w:rPr>
              <w:t>作出投资决定前，请阅读完整的理财产品说明书等销售文件。</w:t>
            </w:r>
          </w:p>
        </w:tc>
      </w:tr>
      <w:tr w14:paraId="41B0DE04">
        <w:tblPrEx>
          <w:tblCellMar>
            <w:top w:w="0" w:type="dxa"/>
            <w:left w:w="108" w:type="dxa"/>
            <w:bottom w:w="0" w:type="dxa"/>
            <w:right w:w="108" w:type="dxa"/>
          </w:tblCellMar>
        </w:tblPrEx>
        <w:trPr>
          <w:trHeight w:val="270" w:hRule="atLeast"/>
        </w:trPr>
        <w:tc>
          <w:tcPr>
            <w:tcW w:w="9425" w:type="dxa"/>
            <w:gridSpan w:val="2"/>
            <w:tcBorders>
              <w:top w:val="single" w:color="000000" w:sz="4" w:space="0"/>
              <w:left w:val="single" w:color="000000" w:sz="8" w:space="0"/>
              <w:bottom w:val="single" w:color="auto" w:sz="4" w:space="0"/>
              <w:right w:val="single" w:color="000000" w:sz="8" w:space="0"/>
            </w:tcBorders>
            <w:vAlign w:val="center"/>
          </w:tcPr>
          <w:p w14:paraId="33FD1D00">
            <w:pPr>
              <w:widowControl/>
              <w:spacing w:line="400" w:lineRule="exact"/>
              <w:jc w:val="center"/>
              <w:textAlignment w:val="center"/>
              <w:rPr>
                <w:rFonts w:hint="eastAsia" w:ascii="楷体_GB2312" w:hAnsi="等线" w:eastAsia="楷体_GB2312" w:cs="楷体_GB2312"/>
                <w:b/>
                <w:bCs/>
                <w:color w:val="000000"/>
                <w:sz w:val="24"/>
              </w:rPr>
            </w:pPr>
            <w:r>
              <w:rPr>
                <w:rFonts w:hint="eastAsia" w:ascii="楷体_GB2312" w:hAnsi="等线" w:eastAsia="楷体_GB2312" w:cs="楷体_GB2312"/>
                <w:b/>
                <w:bCs/>
                <w:color w:val="000000"/>
                <w:kern w:val="0"/>
                <w:sz w:val="24"/>
                <w:lang w:bidi="ar"/>
              </w:rPr>
              <w:t>（一）理财产品基本信息</w:t>
            </w:r>
          </w:p>
        </w:tc>
      </w:tr>
      <w:tr w14:paraId="43769BB1">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4CADC7B9">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产品登记编码</w:t>
            </w:r>
          </w:p>
        </w:tc>
        <w:tc>
          <w:tcPr>
            <w:tcW w:w="6972" w:type="dxa"/>
            <w:tcBorders>
              <w:top w:val="single" w:color="auto" w:sz="4" w:space="0"/>
              <w:left w:val="single" w:color="auto" w:sz="4" w:space="0"/>
              <w:bottom w:val="single" w:color="auto" w:sz="4" w:space="0"/>
              <w:right w:val="single" w:color="auto" w:sz="4" w:space="0"/>
            </w:tcBorders>
            <w:vAlign w:val="center"/>
          </w:tcPr>
          <w:p w14:paraId="1634913A">
            <w:pPr>
              <w:widowControl/>
              <w:spacing w:line="400" w:lineRule="exact"/>
              <w:jc w:val="left"/>
              <w:textAlignment w:val="center"/>
              <w:rPr>
                <w:rFonts w:hint="eastAsia" w:ascii="宋体" w:hAnsi="宋体"/>
                <w:color w:val="auto"/>
                <w:szCs w:val="24"/>
                <w:highlight w:val="yellow"/>
                <w:u w:val="none"/>
              </w:rPr>
            </w:pPr>
            <w:r>
              <w:rPr>
                <w:rFonts w:hint="eastAsia" w:ascii="宋体" w:hAnsi="宋体"/>
                <w:color w:val="auto"/>
                <w:szCs w:val="24"/>
                <w:highlight w:val="yellow"/>
                <w:u w:val="none"/>
              </w:rPr>
              <w:t>【】</w:t>
            </w:r>
          </w:p>
          <w:p w14:paraId="65F8E2D2">
            <w:pPr>
              <w:widowControl/>
              <w:spacing w:line="400" w:lineRule="exact"/>
              <w:jc w:val="left"/>
              <w:textAlignment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仿宋_GB2312" w:hAnsi="仿宋_GB2312" w:cs="仿宋_GB2312"/>
                <w:sz w:val="22"/>
                <w:szCs w:val="22"/>
                <w:lang w:bidi="ar"/>
              </w:rPr>
              <w:t>（重要提示：可依据该登记编码在中国理财网www.chinawealth.com.cn查询产品信息）</w:t>
            </w:r>
          </w:p>
        </w:tc>
      </w:tr>
      <w:tr w14:paraId="6BECD9C4">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A101A9A">
            <w:pPr>
              <w:widowControl/>
              <w:spacing w:line="400" w:lineRule="exact"/>
              <w:jc w:val="center"/>
              <w:textAlignment w:val="center"/>
              <w:rPr>
                <w:rFonts w:hint="eastAsia" w:ascii="仿宋_GB2312" w:hAnsi="等线" w:cs="仿宋_GB2312"/>
                <w:color w:val="000000" w:themeColor="text1"/>
                <w:kern w:val="0"/>
                <w:sz w:val="24"/>
                <w:lang w:eastAsia="zh-CN" w:bidi="ar"/>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产品代码</w:t>
            </w:r>
          </w:p>
        </w:tc>
        <w:tc>
          <w:tcPr>
            <w:tcW w:w="6972" w:type="dxa"/>
            <w:tcBorders>
              <w:top w:val="single" w:color="auto" w:sz="4" w:space="0"/>
              <w:left w:val="single" w:color="auto" w:sz="4" w:space="0"/>
              <w:bottom w:val="single" w:color="auto" w:sz="4" w:space="0"/>
              <w:right w:val="single" w:color="auto" w:sz="4" w:space="0"/>
            </w:tcBorders>
            <w:vAlign w:val="center"/>
          </w:tcPr>
          <w:p w14:paraId="3CF25671">
            <w:pPr>
              <w:widowControl/>
              <w:spacing w:line="400" w:lineRule="exact"/>
              <w:jc w:val="left"/>
              <w:textAlignment w:val="center"/>
              <w:rPr>
                <w:rFonts w:hint="eastAsia" w:ascii="宋体" w:hAnsi="宋体"/>
                <w:color w:val="auto"/>
                <w:szCs w:val="24"/>
                <w:highlight w:val="none"/>
                <w:u w:val="none"/>
              </w:rPr>
            </w:pPr>
            <w:r>
              <w:rPr>
                <w:rFonts w:hint="eastAsia" w:ascii="宋体" w:hAnsi="宋体"/>
                <w:color w:val="auto"/>
                <w:szCs w:val="24"/>
                <w:highlight w:val="yellow"/>
                <w:u w:val="none"/>
              </w:rPr>
              <w:t>【】</w:t>
            </w:r>
          </w:p>
        </w:tc>
      </w:tr>
      <w:tr w14:paraId="009C174D">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6413CB1F">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理财</w:t>
            </w:r>
            <w:r>
              <w:rPr>
                <w:rFonts w:hint="eastAsia" w:ascii="仿宋_GB2312" w:hAnsi="等线" w:eastAsia="仿宋_GB2312" w:cs="仿宋_GB2312"/>
                <w:color w:val="000000" w:themeColor="text1"/>
                <w:kern w:val="0"/>
                <w:sz w:val="24"/>
                <w:lang w:bidi="ar"/>
                <w14:textFill>
                  <w14:solidFill>
                    <w14:schemeClr w14:val="tx1"/>
                  </w14:solidFill>
                </w14:textFill>
              </w:rPr>
              <w:t>产品名称</w:t>
            </w:r>
          </w:p>
        </w:tc>
        <w:tc>
          <w:tcPr>
            <w:tcW w:w="6972" w:type="dxa"/>
            <w:tcBorders>
              <w:top w:val="single" w:color="auto" w:sz="4" w:space="0"/>
              <w:left w:val="single" w:color="auto" w:sz="4" w:space="0"/>
              <w:bottom w:val="single" w:color="auto" w:sz="4" w:space="0"/>
              <w:right w:val="single" w:color="auto" w:sz="4" w:space="0"/>
            </w:tcBorders>
            <w:vAlign w:val="center"/>
          </w:tcPr>
          <w:p w14:paraId="48AF0DA8">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olor w:val="auto"/>
                <w:szCs w:val="24"/>
                <w:highlight w:val="yellow"/>
                <w:u w:val="none"/>
              </w:rPr>
              <w:t>【】</w:t>
            </w:r>
          </w:p>
        </w:tc>
      </w:tr>
      <w:tr w14:paraId="09968505">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160D865">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份额代码</w:t>
            </w:r>
          </w:p>
        </w:tc>
        <w:tc>
          <w:tcPr>
            <w:tcW w:w="6972" w:type="dxa"/>
            <w:tcBorders>
              <w:top w:val="single" w:color="auto" w:sz="4" w:space="0"/>
              <w:left w:val="single" w:color="auto" w:sz="4" w:space="0"/>
              <w:bottom w:val="single" w:color="auto" w:sz="4" w:space="0"/>
              <w:right w:val="single" w:color="auto" w:sz="4" w:space="0"/>
            </w:tcBorders>
            <w:vAlign w:val="center"/>
          </w:tcPr>
          <w:p w14:paraId="00E88194">
            <w:pPr>
              <w:widowControl/>
              <w:snapToGrid/>
              <w:spacing w:line="400" w:lineRule="exact"/>
              <w:jc w:val="both"/>
              <w:textAlignment w:val="center"/>
              <w:rPr>
                <w:rFonts w:hint="eastAsia" w:ascii="宋体" w:hAnsi="宋体" w:cs="宋体"/>
                <w:color w:val="auto"/>
                <w:kern w:val="0"/>
                <w:szCs w:val="24"/>
                <w:highlight w:val="none"/>
              </w:rPr>
            </w:pPr>
            <w:r>
              <w:rPr>
                <w:rFonts w:hint="eastAsia" w:ascii="宋体" w:hAnsi="宋体" w:cs="宋体"/>
                <w:color w:val="auto"/>
                <w:kern w:val="0"/>
                <w:szCs w:val="24"/>
                <w:highlight w:val="none"/>
              </w:rPr>
              <w:t>本产品根据投资者购买理财产品的金额、销售渠道、客户类型等因素设置不同的产品份额类别，各类产品份额可能分别设置不同的销售名称、</w:t>
            </w:r>
            <w:r>
              <w:rPr>
                <w:rFonts w:hint="eastAsia" w:ascii="宋体" w:hAnsi="宋体" w:cs="宋体"/>
                <w:color w:val="auto"/>
                <w:kern w:val="0"/>
                <w:szCs w:val="24"/>
                <w:highlight w:val="none"/>
                <w:lang w:eastAsia="zh-CN"/>
              </w:rPr>
              <w:t>份额</w:t>
            </w:r>
            <w:r>
              <w:rPr>
                <w:rFonts w:hint="eastAsia" w:ascii="宋体" w:hAnsi="宋体" w:cs="宋体"/>
                <w:color w:val="auto"/>
                <w:kern w:val="0"/>
                <w:szCs w:val="24"/>
                <w:highlight w:val="none"/>
              </w:rPr>
              <w:t>代码、销售渠道、销售</w:t>
            </w:r>
            <w:r>
              <w:rPr>
                <w:rFonts w:hint="eastAsia" w:ascii="宋体" w:hAnsi="宋体" w:cs="宋体"/>
                <w:color w:val="auto"/>
                <w:kern w:val="0"/>
                <w:szCs w:val="24"/>
                <w:highlight w:val="none"/>
                <w:lang w:eastAsia="zh-CN"/>
              </w:rPr>
              <w:t>对象</w:t>
            </w:r>
            <w:r>
              <w:rPr>
                <w:rFonts w:hint="eastAsia" w:ascii="宋体" w:hAnsi="宋体" w:cs="宋体"/>
                <w:color w:val="auto"/>
                <w:kern w:val="0"/>
                <w:szCs w:val="24"/>
                <w:highlight w:val="none"/>
              </w:rPr>
              <w:t>、销售服务费率、收费方式、业绩比较基准、</w:t>
            </w:r>
            <w:r>
              <w:rPr>
                <w:rFonts w:hint="eastAsia" w:ascii="宋体" w:hAnsi="宋体" w:cs="宋体"/>
                <w:color w:val="auto"/>
                <w:kern w:val="0"/>
                <w:szCs w:val="24"/>
                <w:highlight w:val="none"/>
                <w:lang w:eastAsia="zh-CN"/>
              </w:rPr>
              <w:t>起点销售</w:t>
            </w:r>
            <w:r>
              <w:rPr>
                <w:rFonts w:hint="eastAsia" w:ascii="宋体" w:hAnsi="宋体" w:cs="宋体"/>
                <w:color w:val="auto"/>
                <w:kern w:val="0"/>
                <w:szCs w:val="24"/>
                <w:highlight w:val="none"/>
              </w:rPr>
              <w:t>金额及</w:t>
            </w:r>
            <w:r>
              <w:rPr>
                <w:rFonts w:hint="eastAsia" w:ascii="宋体" w:hAnsi="宋体" w:cs="宋体"/>
                <w:color w:val="auto"/>
                <w:kern w:val="0"/>
                <w:szCs w:val="24"/>
                <w:highlight w:val="none"/>
                <w:lang w:eastAsia="zh-CN"/>
              </w:rPr>
              <w:t>追加</w:t>
            </w:r>
            <w:r>
              <w:rPr>
                <w:rFonts w:hint="eastAsia" w:ascii="宋体" w:hAnsi="宋体" w:cs="宋体"/>
                <w:color w:val="auto"/>
                <w:kern w:val="0"/>
                <w:szCs w:val="24"/>
                <w:highlight w:val="none"/>
              </w:rPr>
              <w:t>递增金额、认/申购上限金额、认/申购和赎回数量限制、持有金额上/下限、单一投资者持有份额占比上限、产品规模上限等要素，并分别计算和公告各类产品份额单位净值，具体以对应的理财产品销售文件约定为准。</w:t>
            </w:r>
          </w:p>
          <w:p w14:paraId="2F00568A">
            <w:pPr>
              <w:widowControl/>
              <w:snapToGrid/>
              <w:spacing w:line="400" w:lineRule="exact"/>
              <w:jc w:val="both"/>
              <w:textAlignment w:val="center"/>
              <w:rPr>
                <w:rFonts w:hint="eastAsia" w:ascii="宋体" w:hAnsi="宋体" w:cs="宋体"/>
                <w:color w:val="auto"/>
                <w:kern w:val="0"/>
                <w:szCs w:val="24"/>
                <w:highlight w:val="yellow"/>
              </w:rPr>
            </w:pPr>
            <w:r>
              <w:rPr>
                <w:rFonts w:hint="eastAsia" w:ascii="宋体" w:hAnsi="宋体" w:cs="宋体"/>
                <w:color w:val="auto"/>
                <w:kern w:val="0"/>
                <w:szCs w:val="24"/>
                <w:highlight w:val="none"/>
              </w:rPr>
              <w:t>注：</w:t>
            </w:r>
            <w:r>
              <w:rPr>
                <w:rFonts w:hint="eastAsia" w:ascii="宋体" w:hAnsi="宋体" w:cs="宋体"/>
                <w:color w:val="auto"/>
                <w:kern w:val="0"/>
                <w:szCs w:val="24"/>
                <w:highlight w:val="yellow"/>
                <w:lang w:eastAsia="zh-CN"/>
              </w:rPr>
              <w:t>【</w:t>
            </w:r>
            <w:r>
              <w:rPr>
                <w:rFonts w:hint="eastAsia" w:ascii="宋体" w:hAnsi="宋体" w:cs="宋体"/>
                <w:color w:val="auto"/>
                <w:kern w:val="0"/>
                <w:szCs w:val="24"/>
                <w:highlight w:val="yellow"/>
              </w:rPr>
              <w:t>本理财产品合作所列示产品份额类别仅为本产品项下某一类产品份额类别，其他类别的产品份额相关约定以对应的理财产品销售文件及产品管理人的信息披露为准。</w:t>
            </w:r>
            <w:r>
              <w:rPr>
                <w:rFonts w:hint="eastAsia" w:ascii="宋体" w:hAnsi="宋体" w:cs="宋体"/>
                <w:color w:val="auto"/>
                <w:kern w:val="0"/>
                <w:szCs w:val="24"/>
                <w:highlight w:val="yellow"/>
                <w:lang w:eastAsia="zh-CN"/>
              </w:rPr>
              <w:t>】</w:t>
            </w:r>
          </w:p>
          <w:p w14:paraId="7DB41676">
            <w:pPr>
              <w:widowControl/>
              <w:snapToGrid/>
              <w:spacing w:line="400" w:lineRule="exact"/>
              <w:jc w:val="both"/>
              <w:textAlignment w:val="center"/>
              <w:rPr>
                <w:rFonts w:ascii="宋体" w:hAnsi="宋体" w:cs="宋体"/>
                <w:color w:val="auto"/>
                <w:kern w:val="0"/>
                <w:szCs w:val="24"/>
                <w:highlight w:val="none"/>
              </w:rPr>
            </w:pPr>
            <w:r>
              <w:rPr>
                <w:rFonts w:hint="eastAsia" w:ascii="宋体" w:hAnsi="宋体" w:cs="宋体"/>
                <w:color w:val="auto"/>
                <w:kern w:val="0"/>
                <w:szCs w:val="24"/>
                <w:highlight w:val="none"/>
              </w:rPr>
              <w:t>投资者可根据实际情况自行选择认/申购的产品份额类别。</w:t>
            </w:r>
          </w:p>
          <w:p w14:paraId="69F66487">
            <w:pPr>
              <w:widowControl/>
              <w:spacing w:line="400" w:lineRule="exact"/>
              <w:jc w:val="both"/>
              <w:textAlignment w:val="center"/>
              <w:rPr>
                <w:rFonts w:hint="eastAsia" w:ascii="宋体" w:hAnsi="宋体" w:eastAsia="仿宋_GB2312" w:cstheme="minorBidi"/>
                <w:bCs w:val="0"/>
                <w:color w:val="auto"/>
                <w:kern w:val="2"/>
                <w:sz w:val="24"/>
                <w:szCs w:val="24"/>
                <w:highlight w:val="none"/>
                <w:u w:val="none"/>
                <w:lang w:bidi="ar"/>
              </w:rPr>
            </w:pPr>
            <w:r>
              <w:rPr>
                <w:rFonts w:hint="eastAsia" w:ascii="宋体" w:hAnsi="宋体" w:cs="宋体"/>
                <w:b/>
                <w:bCs/>
                <w:color w:val="auto"/>
                <w:kern w:val="0"/>
                <w:szCs w:val="24"/>
                <w:highlight w:val="none"/>
              </w:rPr>
              <w:t>产品管理人有权在本理财产品项下增设</w:t>
            </w:r>
            <w:r>
              <w:rPr>
                <w:rFonts w:hint="eastAsia" w:ascii="宋体" w:hAnsi="宋体" w:cs="宋体"/>
                <w:b/>
                <w:bCs/>
                <w:color w:val="auto"/>
                <w:kern w:val="0"/>
                <w:szCs w:val="24"/>
                <w:highlight w:val="none"/>
                <w:lang w:val="en-US" w:eastAsia="zh-CN"/>
              </w:rPr>
              <w:t>/终止</w:t>
            </w:r>
            <w:r>
              <w:rPr>
                <w:rFonts w:hint="eastAsia" w:ascii="宋体" w:hAnsi="宋体" w:cs="宋体"/>
                <w:b/>
                <w:bCs/>
                <w:color w:val="auto"/>
                <w:kern w:val="0"/>
                <w:szCs w:val="24"/>
                <w:highlight w:val="none"/>
              </w:rPr>
              <w:t>产品份额类别，届时，产品管理人将依据本理财产品销售文件的约定进行信息披露。</w:t>
            </w:r>
          </w:p>
          <w:p w14:paraId="5C041EDC">
            <w:pPr>
              <w:widowControl/>
              <w:spacing w:line="400" w:lineRule="exact"/>
              <w:jc w:val="both"/>
              <w:textAlignment w:val="center"/>
              <w:rPr>
                <w:rFonts w:hint="eastAsia" w:ascii="宋体" w:hAnsi="宋体" w:eastAsia="仿宋_GB2312" w:cstheme="minorBidi"/>
                <w:bCs w:val="0"/>
                <w:color w:val="auto"/>
                <w:kern w:val="2"/>
                <w:sz w:val="24"/>
                <w:szCs w:val="24"/>
                <w:highlight w:val="none"/>
                <w:u w:val="none"/>
                <w:lang w:eastAsia="zh-CN" w:bidi="ar"/>
              </w:rPr>
            </w:pPr>
            <w:r>
              <w:rPr>
                <w:rFonts w:hint="eastAsia" w:ascii="宋体" w:hAnsi="宋体"/>
                <w:color w:val="auto"/>
                <w:szCs w:val="24"/>
                <w:highlight w:val="yellow"/>
                <w:u w:val="none"/>
              </w:rPr>
              <w:t>【</w:t>
            </w:r>
            <w:r>
              <w:rPr>
                <w:rFonts w:hint="eastAsia" w:ascii="宋体" w:hAnsi="宋体"/>
                <w:color w:val="auto"/>
                <w:szCs w:val="24"/>
                <w:highlight w:val="yellow"/>
                <w:u w:val="none"/>
                <w:lang w:val="en-US" w:eastAsia="zh-CN"/>
              </w:rPr>
              <w:t>A类</w:t>
            </w:r>
            <w:r>
              <w:rPr>
                <w:rFonts w:hint="eastAsia" w:ascii="宋体" w:hAnsi="宋体"/>
                <w:color w:val="auto"/>
                <w:szCs w:val="24"/>
                <w:highlight w:val="yellow"/>
                <w:u w:val="none"/>
              </w:rPr>
              <w:t>】</w:t>
            </w:r>
            <w:r>
              <w:rPr>
                <w:rFonts w:hint="eastAsia" w:ascii="宋体" w:hAnsi="宋体" w:eastAsia="仿宋_GB2312" w:cstheme="minorBidi"/>
                <w:bCs w:val="0"/>
                <w:color w:val="auto"/>
                <w:kern w:val="2"/>
                <w:sz w:val="24"/>
                <w:szCs w:val="24"/>
                <w:highlight w:val="none"/>
                <w:u w:val="none"/>
                <w:lang w:bidi="ar"/>
              </w:rPr>
              <w:t>份额：份额代码</w:t>
            </w:r>
            <w:r>
              <w:rPr>
                <w:rFonts w:hint="eastAsia" w:ascii="宋体" w:hAnsi="宋体"/>
                <w:color w:val="auto"/>
                <w:szCs w:val="24"/>
                <w:highlight w:val="yellow"/>
                <w:u w:val="none"/>
              </w:rPr>
              <w:t>【】</w:t>
            </w:r>
            <w:r>
              <w:rPr>
                <w:rFonts w:hint="eastAsia" w:ascii="宋体" w:hAnsi="宋体" w:cstheme="minorBidi"/>
                <w:bCs w:val="0"/>
                <w:color w:val="auto"/>
                <w:kern w:val="2"/>
                <w:sz w:val="24"/>
                <w:szCs w:val="24"/>
                <w:highlight w:val="none"/>
                <w:u w:val="none"/>
                <w:lang w:eastAsia="zh-CN" w:bidi="ar"/>
              </w:rPr>
              <w:t>；</w:t>
            </w:r>
          </w:p>
          <w:p w14:paraId="0F98323E">
            <w:pPr>
              <w:widowControl/>
              <w:spacing w:line="400" w:lineRule="exact"/>
              <w:jc w:val="both"/>
              <w:textAlignment w:val="center"/>
              <w:rPr>
                <w:rFonts w:hint="eastAsia" w:ascii="宋体" w:hAnsi="宋体" w:eastAsia="仿宋_GB2312" w:cstheme="minorBidi"/>
                <w:bCs w:val="0"/>
                <w:color w:val="auto"/>
                <w:kern w:val="2"/>
                <w:sz w:val="24"/>
                <w:szCs w:val="24"/>
                <w:highlight w:val="none"/>
                <w:u w:val="none"/>
                <w:lang w:bidi="ar"/>
              </w:rPr>
            </w:pPr>
            <w:r>
              <w:rPr>
                <w:rFonts w:hint="eastAsia" w:ascii="宋体" w:hAnsi="宋体"/>
                <w:color w:val="auto"/>
                <w:szCs w:val="24"/>
                <w:highlight w:val="yellow"/>
                <w:u w:val="none"/>
              </w:rPr>
              <w:t>【】</w:t>
            </w:r>
            <w:r>
              <w:rPr>
                <w:rFonts w:hint="eastAsia" w:ascii="宋体" w:hAnsi="宋体" w:eastAsia="仿宋_GB2312" w:cstheme="minorBidi"/>
                <w:bCs w:val="0"/>
                <w:color w:val="auto"/>
                <w:kern w:val="2"/>
                <w:sz w:val="24"/>
                <w:szCs w:val="24"/>
                <w:highlight w:val="none"/>
                <w:u w:val="none"/>
                <w:lang w:bidi="ar"/>
              </w:rPr>
              <w:t>份额：份额代码</w:t>
            </w:r>
            <w:r>
              <w:rPr>
                <w:rFonts w:hint="eastAsia" w:ascii="宋体" w:hAnsi="宋体"/>
                <w:color w:val="auto"/>
                <w:szCs w:val="24"/>
                <w:highlight w:val="yellow"/>
                <w:u w:val="none"/>
              </w:rPr>
              <w:t>【】</w:t>
            </w:r>
          </w:p>
        </w:tc>
      </w:tr>
      <w:tr w14:paraId="725942F8">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EB806BF">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发行机构名称</w:t>
            </w:r>
          </w:p>
        </w:tc>
        <w:tc>
          <w:tcPr>
            <w:tcW w:w="6972" w:type="dxa"/>
            <w:tcBorders>
              <w:top w:val="single" w:color="auto" w:sz="4" w:space="0"/>
              <w:left w:val="single" w:color="auto" w:sz="4" w:space="0"/>
              <w:bottom w:val="single" w:color="auto" w:sz="4" w:space="0"/>
              <w:right w:val="single" w:color="auto" w:sz="4" w:space="0"/>
            </w:tcBorders>
            <w:vAlign w:val="center"/>
          </w:tcPr>
          <w:p w14:paraId="34A34F08">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宋体"/>
                <w:color w:val="auto"/>
                <w:kern w:val="0"/>
                <w:szCs w:val="24"/>
                <w:highlight w:val="none"/>
                <w:u w:val="none"/>
              </w:rPr>
              <w:t>浙银理财有限责任公司</w:t>
            </w:r>
          </w:p>
        </w:tc>
      </w:tr>
      <w:tr w14:paraId="2E377955">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629F683">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销售机构名称</w:t>
            </w:r>
          </w:p>
        </w:tc>
        <w:tc>
          <w:tcPr>
            <w:tcW w:w="6972" w:type="dxa"/>
            <w:tcBorders>
              <w:top w:val="single" w:color="auto" w:sz="4" w:space="0"/>
              <w:left w:val="single" w:color="auto" w:sz="4" w:space="0"/>
              <w:bottom w:val="single" w:color="auto" w:sz="4" w:space="0"/>
              <w:right w:val="single" w:color="auto" w:sz="4" w:space="0"/>
            </w:tcBorders>
            <w:vAlign w:val="center"/>
          </w:tcPr>
          <w:p w14:paraId="2142A26B">
            <w:pPr>
              <w:widowControl/>
              <w:spacing w:line="400" w:lineRule="exact"/>
              <w:jc w:val="left"/>
              <w:textAlignment w:val="center"/>
              <w:rPr>
                <w:rFonts w:hint="eastAsia" w:ascii="宋体" w:hAnsi="宋体" w:cs="宋体"/>
                <w:color w:val="auto"/>
                <w:kern w:val="0"/>
                <w:szCs w:val="24"/>
                <w:highlight w:val="none"/>
                <w:lang w:val="en-US" w:eastAsia="zh-CN"/>
              </w:rPr>
            </w:pPr>
            <w:r>
              <w:rPr>
                <w:rFonts w:hint="eastAsia" w:ascii="宋体" w:hAnsi="宋体"/>
                <w:color w:val="auto"/>
                <w:szCs w:val="24"/>
                <w:highlight w:val="yellow"/>
                <w:u w:val="none"/>
              </w:rPr>
              <w:t>【</w:t>
            </w:r>
            <w:r>
              <w:rPr>
                <w:rFonts w:hint="eastAsia" w:ascii="宋体" w:hAnsi="宋体"/>
                <w:color w:val="auto"/>
                <w:szCs w:val="24"/>
                <w:highlight w:val="yellow"/>
                <w:u w:val="none"/>
                <w:lang w:eastAsia="zh-CN"/>
              </w:rPr>
              <w:t>销售机构全称</w:t>
            </w:r>
            <w:r>
              <w:rPr>
                <w:rFonts w:hint="eastAsia" w:ascii="宋体" w:hAnsi="宋体"/>
                <w:color w:val="auto"/>
                <w:szCs w:val="24"/>
                <w:highlight w:val="yellow"/>
                <w:u w:val="none"/>
              </w:rPr>
              <w:t>】</w:t>
            </w:r>
            <w:r>
              <w:rPr>
                <w:rFonts w:hint="eastAsia" w:ascii="宋体" w:hAnsi="宋体" w:cs="宋体"/>
                <w:color w:val="auto"/>
                <w:kern w:val="0"/>
                <w:szCs w:val="24"/>
                <w:highlight w:val="none"/>
                <w:lang w:val="en-US" w:eastAsia="zh-CN"/>
              </w:rPr>
              <w:t>：</w:t>
            </w:r>
            <w:r>
              <w:rPr>
                <w:rFonts w:hint="eastAsia" w:ascii="宋体" w:hAnsi="宋体"/>
                <w:color w:val="auto"/>
                <w:szCs w:val="24"/>
                <w:highlight w:val="yellow"/>
                <w:u w:val="none"/>
              </w:rPr>
              <w:t>【</w:t>
            </w:r>
            <w:r>
              <w:rPr>
                <w:rFonts w:hint="eastAsia" w:ascii="宋体" w:hAnsi="宋体" w:cs="宋体"/>
                <w:color w:val="auto"/>
                <w:kern w:val="0"/>
                <w:szCs w:val="24"/>
                <w:highlight w:val="none"/>
                <w:lang w:val="en-US" w:eastAsia="zh-CN"/>
              </w:rPr>
              <w:t>份额代码</w:t>
            </w:r>
            <w:r>
              <w:rPr>
                <w:rFonts w:hint="eastAsia" w:ascii="宋体" w:hAnsi="宋体"/>
                <w:color w:val="auto"/>
                <w:szCs w:val="24"/>
                <w:highlight w:val="yellow"/>
                <w:u w:val="none"/>
              </w:rPr>
              <w:t>】</w:t>
            </w:r>
          </w:p>
          <w:p w14:paraId="628B033A">
            <w:pPr>
              <w:widowControl/>
              <w:spacing w:line="400" w:lineRule="exact"/>
              <w:jc w:val="left"/>
              <w:textAlignment w:val="center"/>
              <w:rPr>
                <w:rFonts w:hint="eastAsia" w:ascii="宋体" w:hAnsi="宋体"/>
                <w:color w:val="auto"/>
                <w:szCs w:val="24"/>
                <w:highlight w:val="none"/>
                <w:u w:val="none"/>
                <w:lang w:val="en-US" w:eastAsia="zh-CN"/>
              </w:rPr>
            </w:pPr>
            <w:r>
              <w:rPr>
                <w:rFonts w:hint="eastAsia" w:ascii="宋体" w:hAnsi="宋体" w:eastAsia="仿宋_GB2312" w:cs="宋体"/>
                <w:color w:val="auto"/>
                <w:kern w:val="0"/>
                <w:sz w:val="24"/>
                <w:szCs w:val="24"/>
                <w:highlight w:val="none"/>
                <w:lang w:val="en-US" w:eastAsia="zh-CN" w:bidi="ar"/>
              </w:rPr>
              <w:t>后续销售机构如有新增、减少和变更，以</w:t>
            </w:r>
            <w:r>
              <w:rPr>
                <w:rFonts w:hint="eastAsia" w:ascii="宋体" w:hAnsi="宋体" w:cs="宋体"/>
                <w:color w:val="auto"/>
                <w:kern w:val="0"/>
                <w:sz w:val="24"/>
                <w:szCs w:val="24"/>
                <w:highlight w:val="none"/>
                <w:lang w:val="en-US" w:eastAsia="zh-CN" w:bidi="ar"/>
              </w:rPr>
              <w:t>产品</w:t>
            </w:r>
            <w:r>
              <w:rPr>
                <w:rFonts w:hint="eastAsia" w:ascii="宋体" w:hAnsi="宋体" w:eastAsia="仿宋_GB2312" w:cs="宋体"/>
                <w:color w:val="auto"/>
                <w:kern w:val="0"/>
                <w:sz w:val="24"/>
                <w:szCs w:val="24"/>
                <w:highlight w:val="none"/>
                <w:lang w:val="en-US" w:eastAsia="zh-CN" w:bidi="ar"/>
              </w:rPr>
              <w:t>管理人信息披露为准。</w:t>
            </w:r>
          </w:p>
        </w:tc>
      </w:tr>
      <w:tr w14:paraId="7D5592A4">
        <w:tblPrEx>
          <w:tblCellMar>
            <w:top w:w="0" w:type="dxa"/>
            <w:left w:w="108" w:type="dxa"/>
            <w:bottom w:w="0" w:type="dxa"/>
            <w:right w:w="108" w:type="dxa"/>
          </w:tblCellMar>
        </w:tblPrEx>
        <w:trPr>
          <w:trHeight w:val="600" w:hRule="atLeast"/>
        </w:trPr>
        <w:tc>
          <w:tcPr>
            <w:tcW w:w="2453" w:type="dxa"/>
            <w:tcBorders>
              <w:top w:val="single" w:color="auto" w:sz="4" w:space="0"/>
              <w:left w:val="single" w:color="auto" w:sz="4" w:space="0"/>
              <w:bottom w:val="single" w:color="auto" w:sz="4" w:space="0"/>
              <w:right w:val="single" w:color="auto" w:sz="4" w:space="0"/>
            </w:tcBorders>
            <w:vAlign w:val="center"/>
          </w:tcPr>
          <w:p w14:paraId="4C4F36DB">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境内托管机构名称</w:t>
            </w:r>
          </w:p>
        </w:tc>
        <w:tc>
          <w:tcPr>
            <w:tcW w:w="6972" w:type="dxa"/>
            <w:tcBorders>
              <w:top w:val="single" w:color="auto" w:sz="4" w:space="0"/>
              <w:left w:val="single" w:color="auto" w:sz="4" w:space="0"/>
              <w:bottom w:val="single" w:color="auto" w:sz="4" w:space="0"/>
              <w:right w:val="single" w:color="auto" w:sz="4" w:space="0"/>
            </w:tcBorders>
            <w:vAlign w:val="center"/>
          </w:tcPr>
          <w:p w14:paraId="74663C4E">
            <w:pPr>
              <w:widowControl/>
              <w:spacing w:line="400" w:lineRule="exact"/>
              <w:jc w:val="left"/>
              <w:textAlignment w:val="center"/>
              <w:rPr>
                <w:rFonts w:hint="eastAsia" w:ascii="仿宋_GB2312" w:hAnsi="等线" w:eastAsia="仿宋_GB2312" w:cs="仿宋_GB2312"/>
                <w:bCs/>
                <w:color w:val="000000" w:themeColor="text1"/>
                <w:sz w:val="24"/>
                <w:lang w:eastAsia="zh-CN"/>
                <w14:textFill>
                  <w14:solidFill>
                    <w14:schemeClr w14:val="tx1"/>
                  </w14:solidFill>
                </w14:textFill>
              </w:rPr>
            </w:pPr>
            <w:r>
              <w:rPr>
                <w:rFonts w:hint="eastAsia" w:ascii="宋体" w:hAnsi="宋体"/>
                <w:color w:val="auto"/>
                <w:szCs w:val="24"/>
                <w:highlight w:val="yellow"/>
                <w:u w:val="none"/>
              </w:rPr>
              <w:t>【】</w:t>
            </w:r>
          </w:p>
        </w:tc>
      </w:tr>
      <w:tr w14:paraId="64F519DC">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shd w:val="clear" w:color="auto" w:fill="auto"/>
            <w:vAlign w:val="center"/>
          </w:tcPr>
          <w:p w14:paraId="59F14FA9">
            <w:pPr>
              <w:widowControl/>
              <w:spacing w:line="400" w:lineRule="exact"/>
              <w:jc w:val="center"/>
              <w:textAlignment w:val="center"/>
              <w:rPr>
                <w:rFonts w:hint="eastAsia" w:ascii="仿宋_GB2312" w:hAnsi="等线" w:cs="仿宋_GB2312"/>
                <w:color w:val="000000" w:themeColor="text1"/>
                <w:kern w:val="0"/>
                <w:sz w:val="24"/>
                <w:lang w:eastAsia="zh-CN" w:bidi="ar"/>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w:t>
            </w:r>
            <w:r>
              <w:rPr>
                <w:rFonts w:hint="eastAsia" w:ascii="仿宋_GB2312" w:hAnsi="等线" w:eastAsia="仿宋_GB2312" w:cs="仿宋_GB2312"/>
                <w:color w:val="000000" w:themeColor="text1"/>
                <w:kern w:val="0"/>
                <w:sz w:val="24"/>
                <w:lang w:bidi="ar"/>
                <w14:textFill>
                  <w14:solidFill>
                    <w14:schemeClr w14:val="tx1"/>
                  </w14:solidFill>
                </w14:textFill>
              </w:rPr>
              <w:t>境外托管机构名称</w:t>
            </w:r>
            <w:r>
              <w:rPr>
                <w:rFonts w:hint="eastAsia" w:ascii="仿宋_GB2312" w:hAnsi="等线" w:cs="仿宋_GB2312"/>
                <w:color w:val="000000" w:themeColor="text1"/>
                <w:kern w:val="0"/>
                <w:sz w:val="24"/>
                <w:lang w:eastAsia="zh-CN" w:bidi="ar"/>
                <w14:textFill>
                  <w14:solidFill>
                    <w14:schemeClr w14:val="tx1"/>
                  </w14:solidFill>
                </w14:textFill>
              </w:rPr>
              <w:t>】</w:t>
            </w:r>
          </w:p>
        </w:tc>
        <w:tc>
          <w:tcPr>
            <w:tcW w:w="6972" w:type="dxa"/>
            <w:tcBorders>
              <w:top w:val="single" w:color="auto" w:sz="4" w:space="0"/>
              <w:left w:val="single" w:color="auto" w:sz="4" w:space="0"/>
              <w:bottom w:val="single" w:color="auto" w:sz="4" w:space="0"/>
              <w:right w:val="single" w:color="auto" w:sz="4" w:space="0"/>
            </w:tcBorders>
            <w:shd w:val="clear" w:color="auto" w:fill="auto"/>
            <w:vAlign w:val="center"/>
          </w:tcPr>
          <w:p w14:paraId="39FAF79B">
            <w:pPr>
              <w:widowControl/>
              <w:jc w:val="left"/>
              <w:rPr>
                <w:rFonts w:hint="eastAsia" w:ascii="宋体" w:hAnsi="宋体"/>
                <w:color w:val="auto"/>
                <w:szCs w:val="24"/>
                <w:highlight w:val="none"/>
                <w:u w:val="none"/>
              </w:rPr>
            </w:pPr>
            <w:r>
              <w:rPr>
                <w:rFonts w:hint="eastAsia" w:ascii="仿宋" w:hAnsi="仿宋" w:eastAsia="仿宋" w:cs="宋体"/>
                <w:bCs/>
                <w:color w:val="000000" w:themeColor="text1"/>
                <w:kern w:val="0"/>
                <w:sz w:val="24"/>
                <w:highlight w:val="yellow"/>
                <w:lang w:eastAsia="zh-CN" w:bidi="ar"/>
                <w14:textFill>
                  <w14:solidFill>
                    <w14:schemeClr w14:val="tx1"/>
                  </w14:solidFill>
                </w14:textFill>
              </w:rPr>
              <w:t>【】</w:t>
            </w:r>
          </w:p>
        </w:tc>
      </w:tr>
      <w:tr w14:paraId="38C980AA">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shd w:val="clear" w:color="auto" w:fill="auto"/>
            <w:vAlign w:val="center"/>
          </w:tcPr>
          <w:p w14:paraId="59BECEA2">
            <w:pPr>
              <w:widowControl/>
              <w:spacing w:line="400" w:lineRule="exact"/>
              <w:jc w:val="center"/>
              <w:textAlignment w:val="center"/>
              <w:rPr>
                <w:rFonts w:hint="eastAsia" w:ascii="仿宋_GB2312" w:hAnsi="等线" w:eastAsia="仿宋_GB2312" w:cs="仿宋_GB2312"/>
                <w:color w:val="000000" w:themeColor="text1"/>
                <w:kern w:val="2"/>
                <w:sz w:val="24"/>
                <w:szCs w:val="22"/>
                <w:lang w:val="en-US" w:eastAsia="zh-CN" w:bidi="ar-SA"/>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投资者范围</w:t>
            </w:r>
          </w:p>
        </w:tc>
        <w:tc>
          <w:tcPr>
            <w:tcW w:w="6972" w:type="dxa"/>
            <w:tcBorders>
              <w:top w:val="single" w:color="auto" w:sz="4" w:space="0"/>
              <w:left w:val="single" w:color="auto" w:sz="4" w:space="0"/>
              <w:bottom w:val="single" w:color="auto" w:sz="4" w:space="0"/>
              <w:right w:val="single" w:color="auto" w:sz="4" w:space="0"/>
            </w:tcBorders>
            <w:shd w:val="clear" w:color="auto" w:fill="auto"/>
            <w:vAlign w:val="center"/>
          </w:tcPr>
          <w:p w14:paraId="1D27A47F">
            <w:pPr>
              <w:snapToGrid w:val="0"/>
              <w:rPr>
                <w:rFonts w:ascii="宋体" w:hAnsi="宋体"/>
                <w:color w:val="auto"/>
                <w:szCs w:val="24"/>
                <w:highlight w:val="none"/>
                <w:u w:val="none"/>
              </w:rPr>
            </w:pPr>
            <w:r>
              <w:rPr>
                <w:rFonts w:hint="eastAsia" w:ascii="宋体" w:hAnsi="宋体"/>
                <w:color w:val="auto"/>
                <w:szCs w:val="24"/>
                <w:highlight w:val="none"/>
                <w:u w:val="none"/>
              </w:rPr>
              <w:t>不特定社会公众（个人、机构投资者）；其中，普通投资者应符合相关法律法规、监管规定，经销售机构评估评定投资者风险承受能力与本产品风险等级相适应。</w:t>
            </w:r>
          </w:p>
          <w:p w14:paraId="6C30032F">
            <w:pPr>
              <w:widowControl/>
              <w:spacing w:line="400" w:lineRule="exact"/>
              <w:jc w:val="left"/>
              <w:textAlignment w:val="center"/>
              <w:rPr>
                <w:rFonts w:hint="eastAsia" w:ascii="仿宋_GB2312" w:hAnsi="等线" w:eastAsia="仿宋_GB2312" w:cs="仿宋_GB2312"/>
                <w:bCs/>
                <w:color w:val="000000" w:themeColor="text1"/>
                <w:kern w:val="2"/>
                <w:sz w:val="24"/>
                <w:szCs w:val="22"/>
                <w:lang w:val="en-US" w:eastAsia="zh-CN" w:bidi="ar-SA"/>
                <w14:textFill>
                  <w14:solidFill>
                    <w14:schemeClr w14:val="tx1"/>
                  </w14:solidFill>
                </w14:textFill>
              </w:rPr>
            </w:pPr>
            <w:r>
              <w:rPr>
                <w:rFonts w:hint="eastAsia" w:ascii="宋体" w:hAnsi="宋体"/>
                <w:color w:val="auto"/>
                <w:szCs w:val="24"/>
                <w:highlight w:val="none"/>
                <w:u w:val="none"/>
              </w:rPr>
              <w:t>本产品通过销售机构销售的，产品风险等级应当以销售机构最终披露的评级结果为准。</w:t>
            </w:r>
          </w:p>
        </w:tc>
      </w:tr>
      <w:tr w14:paraId="599B273F">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7FB6A20">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销售对象</w:t>
            </w:r>
          </w:p>
        </w:tc>
        <w:tc>
          <w:tcPr>
            <w:tcW w:w="6972" w:type="dxa"/>
            <w:tcBorders>
              <w:top w:val="single" w:color="auto" w:sz="4" w:space="0"/>
              <w:left w:val="single" w:color="auto" w:sz="4" w:space="0"/>
              <w:bottom w:val="single" w:color="auto" w:sz="4" w:space="0"/>
              <w:right w:val="single" w:color="auto" w:sz="4" w:space="0"/>
            </w:tcBorders>
            <w:vAlign w:val="center"/>
          </w:tcPr>
          <w:p w14:paraId="41C6E33D">
            <w:pPr>
              <w:widowControl/>
              <w:spacing w:line="400" w:lineRule="exact"/>
              <w:jc w:val="left"/>
              <w:textAlignment w:val="center"/>
              <w:rPr>
                <w:rFonts w:hint="eastAsia" w:ascii="仿宋_GB2312" w:hAnsi="等线" w:cs="仿宋_GB2312"/>
                <w:bCs/>
                <w:color w:val="000000" w:themeColor="text1"/>
                <w:sz w:val="24"/>
                <w:lang w:eastAsia="zh-CN"/>
                <w14:textFill>
                  <w14:solidFill>
                    <w14:schemeClr w14:val="tx1"/>
                  </w14:solidFill>
                </w14:textFill>
              </w:rPr>
            </w:pPr>
          </w:p>
          <w:tbl>
            <w:tblPr>
              <w:tblStyle w:val="8"/>
              <w:tblW w:w="6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9"/>
              <w:gridCol w:w="2386"/>
              <w:gridCol w:w="2721"/>
            </w:tblGrid>
            <w:tr w14:paraId="496D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9" w:type="dxa"/>
                </w:tcPr>
                <w:p w14:paraId="7AE8E974">
                  <w:pPr>
                    <w:widowControl/>
                    <w:spacing w:line="400" w:lineRule="exact"/>
                    <w:jc w:val="center"/>
                    <w:textAlignment w:val="center"/>
                    <w:rPr>
                      <w:rFonts w:hint="eastAsia" w:eastAsia="仿宋_GB2312"/>
                      <w:vertAlign w:val="baseline"/>
                      <w:lang w:eastAsia="zh-CN"/>
                    </w:rPr>
                  </w:pPr>
                  <w:r>
                    <w:rPr>
                      <w:rFonts w:hint="eastAsia"/>
                      <w:vertAlign w:val="baseline"/>
                      <w:lang w:eastAsia="zh-CN"/>
                    </w:rPr>
                    <w:t>份额代码</w:t>
                  </w:r>
                </w:p>
              </w:tc>
              <w:tc>
                <w:tcPr>
                  <w:tcW w:w="2386" w:type="dxa"/>
                </w:tcPr>
                <w:p w14:paraId="79AE2A09">
                  <w:pPr>
                    <w:widowControl/>
                    <w:spacing w:line="400" w:lineRule="exact"/>
                    <w:jc w:val="center"/>
                    <w:textAlignment w:val="center"/>
                    <w:rPr>
                      <w:rFonts w:hint="eastAsia" w:eastAsia="仿宋_GB2312"/>
                      <w:vertAlign w:val="baseline"/>
                      <w:lang w:eastAsia="zh-CN"/>
                    </w:rPr>
                  </w:pPr>
                  <w:r>
                    <w:rPr>
                      <w:rFonts w:hint="eastAsia"/>
                      <w:vertAlign w:val="baseline"/>
                      <w:lang w:eastAsia="zh-CN"/>
                    </w:rPr>
                    <w:t>销售对象</w:t>
                  </w:r>
                </w:p>
              </w:tc>
              <w:tc>
                <w:tcPr>
                  <w:tcW w:w="2721" w:type="dxa"/>
                </w:tcPr>
                <w:p w14:paraId="08146652">
                  <w:pPr>
                    <w:widowControl/>
                    <w:spacing w:line="400" w:lineRule="exact"/>
                    <w:jc w:val="center"/>
                    <w:textAlignment w:val="center"/>
                    <w:rPr>
                      <w:rFonts w:hint="eastAsia" w:eastAsia="仿宋_GB2312"/>
                      <w:vertAlign w:val="baseline"/>
                      <w:lang w:eastAsia="zh-CN"/>
                    </w:rPr>
                  </w:pPr>
                  <w:r>
                    <w:rPr>
                      <w:rFonts w:hint="eastAsia"/>
                      <w:vertAlign w:val="baseline"/>
                      <w:lang w:eastAsia="zh-CN"/>
                    </w:rPr>
                    <w:t>销售机构</w:t>
                  </w:r>
                </w:p>
              </w:tc>
            </w:tr>
            <w:tr w14:paraId="5F253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9" w:type="dxa"/>
                </w:tcPr>
                <w:p w14:paraId="7296F809">
                  <w:pPr>
                    <w:widowControl/>
                    <w:spacing w:line="400" w:lineRule="exact"/>
                    <w:jc w:val="center"/>
                    <w:textAlignment w:val="center"/>
                    <w:rPr>
                      <w:vertAlign w:val="baseline"/>
                    </w:rPr>
                  </w:pPr>
                </w:p>
              </w:tc>
              <w:tc>
                <w:tcPr>
                  <w:tcW w:w="2386" w:type="dxa"/>
                </w:tcPr>
                <w:p w14:paraId="314EB09C">
                  <w:pPr>
                    <w:widowControl/>
                    <w:spacing w:line="400" w:lineRule="exact"/>
                    <w:jc w:val="center"/>
                    <w:textAlignment w:val="center"/>
                    <w:rPr>
                      <w:rFonts w:hint="eastAsia" w:eastAsia="仿宋_GB2312"/>
                      <w:vertAlign w:val="baseline"/>
                      <w:lang w:eastAsia="zh-CN"/>
                    </w:rPr>
                  </w:pPr>
                </w:p>
              </w:tc>
              <w:tc>
                <w:tcPr>
                  <w:tcW w:w="2721" w:type="dxa"/>
                </w:tcPr>
                <w:p w14:paraId="3E0755ED">
                  <w:pPr>
                    <w:widowControl/>
                    <w:spacing w:line="400" w:lineRule="exact"/>
                    <w:jc w:val="center"/>
                    <w:textAlignment w:val="center"/>
                    <w:rPr>
                      <w:vertAlign w:val="baseline"/>
                    </w:rPr>
                  </w:pPr>
                </w:p>
              </w:tc>
            </w:tr>
          </w:tbl>
          <w:p w14:paraId="4D10665C">
            <w:pPr>
              <w:widowControl/>
              <w:spacing w:line="400" w:lineRule="exact"/>
              <w:jc w:val="left"/>
              <w:textAlignment w:val="center"/>
              <w:rPr>
                <w:rFonts w:hint="eastAsia" w:ascii="仿宋_GB2312" w:hAnsi="等线" w:cs="仿宋_GB2312"/>
                <w:bCs/>
                <w:color w:val="000000" w:themeColor="text1"/>
                <w:sz w:val="24"/>
                <w:lang w:eastAsia="zh-CN"/>
                <w14:textFill>
                  <w14:solidFill>
                    <w14:schemeClr w14:val="tx1"/>
                  </w14:solidFill>
                </w14:textFill>
              </w:rPr>
            </w:pPr>
          </w:p>
        </w:tc>
      </w:tr>
      <w:tr w14:paraId="5532EA6D">
        <w:tblPrEx>
          <w:tblCellMar>
            <w:top w:w="0" w:type="dxa"/>
            <w:left w:w="108" w:type="dxa"/>
            <w:bottom w:w="0" w:type="dxa"/>
            <w:right w:w="108" w:type="dxa"/>
          </w:tblCellMar>
        </w:tblPrEx>
        <w:trPr>
          <w:trHeight w:val="38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6D6D1A0E">
            <w:pPr>
              <w:widowControl/>
              <w:spacing w:line="400" w:lineRule="exact"/>
              <w:jc w:val="center"/>
              <w:textAlignment w:val="center"/>
              <w:rPr>
                <w:rFonts w:hint="eastAsia" w:ascii="楷体_GB2312" w:hAnsi="等线" w:eastAsia="楷体_GB2312" w:cs="楷体_GB2312"/>
                <w:b/>
                <w:bCs/>
                <w:color w:val="000000" w:themeColor="text1"/>
                <w:sz w:val="24"/>
                <w14:textFill>
                  <w14:solidFill>
                    <w14:schemeClr w14:val="tx1"/>
                  </w14:solidFill>
                </w14:textFill>
              </w:rPr>
            </w:pPr>
            <w:r>
              <w:rPr>
                <w:rFonts w:hint="eastAsia" w:ascii="楷体_GB2312" w:hAnsi="等线" w:eastAsia="楷体_GB2312" w:cs="楷体_GB2312"/>
                <w:b/>
                <w:bCs/>
                <w:color w:val="000000" w:themeColor="text1"/>
                <w:kern w:val="0"/>
                <w:sz w:val="24"/>
                <w:lang w:bidi="ar"/>
                <w14:textFill>
                  <w14:solidFill>
                    <w14:schemeClr w14:val="tx1"/>
                  </w14:solidFill>
                </w14:textFill>
              </w:rPr>
              <w:t>（二）交易规则</w:t>
            </w:r>
          </w:p>
        </w:tc>
      </w:tr>
      <w:tr w14:paraId="3B7D4AF4">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6FF9D4F">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募集币种</w:t>
            </w:r>
          </w:p>
        </w:tc>
        <w:tc>
          <w:tcPr>
            <w:tcW w:w="6972" w:type="dxa"/>
            <w:tcBorders>
              <w:top w:val="single" w:color="auto" w:sz="4" w:space="0"/>
              <w:left w:val="single" w:color="auto" w:sz="4" w:space="0"/>
              <w:bottom w:val="single" w:color="auto" w:sz="4" w:space="0"/>
              <w:right w:val="single" w:color="auto" w:sz="4" w:space="0"/>
            </w:tcBorders>
            <w:vAlign w:val="center"/>
          </w:tcPr>
          <w:p w14:paraId="3D8F8257">
            <w:pPr>
              <w:widowControl/>
              <w:spacing w:line="400" w:lineRule="exact"/>
              <w:jc w:val="left"/>
              <w:textAlignment w:val="center"/>
              <w:rPr>
                <w:rFonts w:hint="eastAsia" w:ascii="仿宋_GB2312" w:hAnsi="等线" w:eastAsia="仿宋_GB2312" w:cs="仿宋_GB2312"/>
                <w:bCs/>
                <w:color w:val="000000" w:themeColor="text1"/>
                <w:sz w:val="24"/>
                <w:lang w:eastAsia="zh-CN"/>
                <w14:textFill>
                  <w14:solidFill>
                    <w14:schemeClr w14:val="tx1"/>
                  </w14:solidFill>
                </w14:textFill>
              </w:rPr>
            </w:pPr>
            <w:r>
              <w:rPr>
                <w:rFonts w:hint="eastAsia" w:ascii="宋体" w:hAnsi="宋体"/>
                <w:color w:val="auto"/>
                <w:szCs w:val="24"/>
                <w:highlight w:val="yellow"/>
                <w:u w:val="none"/>
              </w:rPr>
              <w:t>【</w:t>
            </w:r>
            <w:r>
              <w:rPr>
                <w:rFonts w:hint="eastAsia" w:ascii="宋体" w:hAnsi="宋体" w:eastAsia="仿宋_GB2312" w:cstheme="minorBidi"/>
                <w:bCs w:val="0"/>
                <w:color w:val="auto"/>
                <w:kern w:val="2"/>
                <w:sz w:val="24"/>
                <w:szCs w:val="24"/>
                <w:highlight w:val="none"/>
                <w:u w:val="none"/>
                <w:lang w:eastAsia="zh-CN" w:bidi="ar"/>
              </w:rPr>
              <w:t>人民币</w:t>
            </w:r>
            <w:r>
              <w:rPr>
                <w:rFonts w:hint="eastAsia" w:ascii="宋体" w:hAnsi="宋体"/>
                <w:color w:val="auto"/>
                <w:szCs w:val="24"/>
                <w:highlight w:val="yellow"/>
                <w:u w:val="none"/>
              </w:rPr>
              <w:t>】</w:t>
            </w:r>
          </w:p>
        </w:tc>
      </w:tr>
      <w:tr w14:paraId="083D4E4B">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66F1EABD">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起点销售金额</w:t>
            </w:r>
          </w:p>
        </w:tc>
        <w:tc>
          <w:tcPr>
            <w:tcW w:w="6972" w:type="dxa"/>
            <w:tcBorders>
              <w:top w:val="single" w:color="auto" w:sz="4" w:space="0"/>
              <w:left w:val="single" w:color="auto" w:sz="4" w:space="0"/>
              <w:bottom w:val="single" w:color="auto" w:sz="4" w:space="0"/>
              <w:right w:val="single" w:color="auto" w:sz="4" w:space="0"/>
            </w:tcBorders>
            <w:vAlign w:val="center"/>
          </w:tcPr>
          <w:p w14:paraId="2CCEDE5E">
            <w:pPr>
              <w:widowControl/>
              <w:spacing w:line="400" w:lineRule="exact"/>
              <w:jc w:val="left"/>
              <w:textAlignment w:val="center"/>
              <w:rPr>
                <w:rFonts w:hint="default" w:ascii="宋体" w:hAnsi="宋体"/>
                <w:color w:val="auto"/>
                <w:szCs w:val="24"/>
                <w:highlight w:val="none"/>
                <w:u w:val="none"/>
                <w:lang w:val="en-US" w:eastAsia="zh-CN"/>
              </w:rPr>
            </w:pPr>
            <w:r>
              <w:rPr>
                <w:rFonts w:hint="eastAsia" w:ascii="宋体" w:hAnsi="宋体"/>
                <w:color w:val="auto"/>
                <w:szCs w:val="24"/>
                <w:highlight w:val="yellow"/>
                <w:u w:val="none"/>
              </w:rPr>
              <w:t>【</w:t>
            </w:r>
            <w:r>
              <w:rPr>
                <w:rFonts w:hint="eastAsia" w:ascii="宋体" w:hAnsi="宋体"/>
                <w:color w:val="auto"/>
                <w:szCs w:val="24"/>
                <w:highlight w:val="yellow"/>
                <w:u w:val="none"/>
                <w:lang w:eastAsia="zh-CN"/>
              </w:rPr>
              <w:t>份额代码</w:t>
            </w:r>
            <w:r>
              <w:rPr>
                <w:rFonts w:hint="eastAsia" w:ascii="宋体" w:hAnsi="宋体"/>
                <w:color w:val="auto"/>
                <w:szCs w:val="24"/>
                <w:highlight w:val="yellow"/>
                <w:u w:val="none"/>
              </w:rPr>
              <w:t>】</w:t>
            </w:r>
            <w:r>
              <w:rPr>
                <w:rFonts w:hint="eastAsia" w:ascii="宋体" w:hAnsi="宋体"/>
                <w:color w:val="auto"/>
                <w:szCs w:val="24"/>
                <w:highlight w:val="none"/>
                <w:u w:val="none"/>
                <w:lang w:val="en-US" w:eastAsia="zh-CN"/>
              </w:rPr>
              <w:t>：</w:t>
            </w:r>
            <w:r>
              <w:rPr>
                <w:rFonts w:hint="eastAsia" w:ascii="宋体" w:hAnsi="宋体"/>
                <w:color w:val="auto"/>
                <w:szCs w:val="24"/>
                <w:highlight w:val="yellow"/>
                <w:u w:val="none"/>
              </w:rPr>
              <w:t>【】</w:t>
            </w:r>
            <w:r>
              <w:rPr>
                <w:rFonts w:hint="eastAsia" w:ascii="宋体" w:hAnsi="宋体"/>
                <w:color w:val="auto"/>
                <w:szCs w:val="24"/>
                <w:highlight w:val="none"/>
                <w:u w:val="none"/>
                <w:lang w:val="en-US" w:eastAsia="zh-CN"/>
              </w:rPr>
              <w:t>元</w:t>
            </w:r>
          </w:p>
          <w:p w14:paraId="48B6EF2C">
            <w:pPr>
              <w:widowControl/>
              <w:spacing w:line="400" w:lineRule="exact"/>
              <w:jc w:val="left"/>
              <w:textAlignment w:val="center"/>
              <w:rPr>
                <w:rFonts w:hint="default" w:ascii="宋体" w:hAnsi="宋体"/>
                <w:color w:val="auto"/>
                <w:szCs w:val="24"/>
                <w:highlight w:val="none"/>
                <w:u w:val="none"/>
                <w:lang w:val="en-US" w:eastAsia="zh-CN"/>
              </w:rPr>
            </w:pPr>
            <w:r>
              <w:rPr>
                <w:rFonts w:hint="eastAsia" w:ascii="宋体" w:hAnsi="宋体"/>
                <w:b/>
                <w:color w:val="auto"/>
                <w:szCs w:val="24"/>
                <w:highlight w:val="none"/>
                <w:u w:val="none"/>
              </w:rPr>
              <w:t>管理人有权以公告形式调整投资者起点</w:t>
            </w:r>
            <w:r>
              <w:rPr>
                <w:rFonts w:hint="eastAsia" w:ascii="宋体" w:hAnsi="宋体"/>
                <w:b/>
                <w:color w:val="auto"/>
                <w:szCs w:val="24"/>
                <w:highlight w:val="none"/>
                <w:u w:val="none"/>
                <w:lang w:eastAsia="zh-CN"/>
              </w:rPr>
              <w:t>销售</w:t>
            </w:r>
            <w:r>
              <w:rPr>
                <w:rFonts w:hint="eastAsia" w:ascii="宋体" w:hAnsi="宋体"/>
                <w:b/>
                <w:color w:val="auto"/>
                <w:szCs w:val="24"/>
                <w:highlight w:val="none"/>
                <w:u w:val="none"/>
              </w:rPr>
              <w:t>金额。销售机构的认购、申购起点</w:t>
            </w:r>
            <w:r>
              <w:rPr>
                <w:rFonts w:hint="eastAsia" w:ascii="宋体" w:hAnsi="宋体"/>
                <w:b/>
                <w:color w:val="auto"/>
                <w:szCs w:val="24"/>
                <w:highlight w:val="none"/>
                <w:u w:val="none"/>
                <w:lang w:eastAsia="zh-CN"/>
              </w:rPr>
              <w:t>销售</w:t>
            </w:r>
            <w:r>
              <w:rPr>
                <w:rFonts w:hint="eastAsia" w:ascii="宋体" w:hAnsi="宋体"/>
                <w:b/>
                <w:color w:val="auto"/>
                <w:szCs w:val="24"/>
                <w:highlight w:val="none"/>
                <w:u w:val="none"/>
              </w:rPr>
              <w:t>金额可能</w:t>
            </w:r>
            <w:r>
              <w:rPr>
                <w:rFonts w:ascii="宋体" w:hAnsi="宋体"/>
                <w:b/>
                <w:color w:val="auto"/>
                <w:szCs w:val="24"/>
                <w:highlight w:val="none"/>
                <w:u w:val="none"/>
              </w:rPr>
              <w:t>与本</w:t>
            </w:r>
            <w:r>
              <w:rPr>
                <w:rFonts w:hint="eastAsia" w:ascii="宋体" w:hAnsi="宋体"/>
                <w:b/>
                <w:color w:val="auto"/>
                <w:szCs w:val="24"/>
                <w:highlight w:val="none"/>
                <w:u w:val="none"/>
              </w:rPr>
              <w:t>产品</w:t>
            </w:r>
            <w:r>
              <w:rPr>
                <w:rFonts w:ascii="宋体" w:hAnsi="宋体"/>
                <w:b/>
                <w:color w:val="auto"/>
                <w:szCs w:val="24"/>
                <w:highlight w:val="none"/>
                <w:u w:val="none"/>
              </w:rPr>
              <w:t>说明书</w:t>
            </w:r>
            <w:r>
              <w:rPr>
                <w:rFonts w:hint="eastAsia" w:ascii="宋体" w:hAnsi="宋体"/>
                <w:b/>
                <w:color w:val="auto"/>
                <w:szCs w:val="24"/>
                <w:highlight w:val="none"/>
                <w:u w:val="none"/>
              </w:rPr>
              <w:t>不一致</w:t>
            </w:r>
            <w:r>
              <w:rPr>
                <w:rFonts w:ascii="宋体" w:hAnsi="宋体"/>
                <w:b/>
                <w:color w:val="auto"/>
                <w:szCs w:val="24"/>
                <w:highlight w:val="none"/>
                <w:u w:val="none"/>
              </w:rPr>
              <w:t>，</w:t>
            </w:r>
            <w:r>
              <w:rPr>
                <w:rFonts w:hint="eastAsia" w:ascii="宋体" w:hAnsi="宋体"/>
                <w:b/>
                <w:color w:val="auto"/>
                <w:szCs w:val="24"/>
                <w:highlight w:val="none"/>
                <w:u w:val="none"/>
              </w:rPr>
              <w:t>通过销售机构认购、申购</w:t>
            </w:r>
            <w:r>
              <w:rPr>
                <w:rFonts w:ascii="宋体" w:hAnsi="宋体"/>
                <w:b/>
                <w:color w:val="auto"/>
                <w:szCs w:val="24"/>
                <w:highlight w:val="none"/>
                <w:u w:val="none"/>
              </w:rPr>
              <w:t>的</w:t>
            </w:r>
            <w:r>
              <w:rPr>
                <w:rFonts w:hint="eastAsia" w:ascii="宋体" w:hAnsi="宋体"/>
                <w:b/>
                <w:color w:val="auto"/>
                <w:szCs w:val="24"/>
                <w:highlight w:val="none"/>
                <w:u w:val="none"/>
              </w:rPr>
              <w:t>具体以销售机构展示为准。销售机构的实际起点销售金额，不得低于本产品说明书约定的起点销售金额。</w:t>
            </w:r>
          </w:p>
        </w:tc>
      </w:tr>
      <w:tr w14:paraId="30F98776">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26DA3EC">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追加递增金额</w:t>
            </w:r>
          </w:p>
        </w:tc>
        <w:tc>
          <w:tcPr>
            <w:tcW w:w="6972" w:type="dxa"/>
            <w:tcBorders>
              <w:top w:val="single" w:color="auto" w:sz="4" w:space="0"/>
              <w:left w:val="single" w:color="auto" w:sz="4" w:space="0"/>
              <w:bottom w:val="single" w:color="auto" w:sz="4" w:space="0"/>
              <w:right w:val="single" w:color="auto" w:sz="4" w:space="0"/>
            </w:tcBorders>
            <w:vAlign w:val="center"/>
          </w:tcPr>
          <w:p w14:paraId="159B08AA">
            <w:pPr>
              <w:widowControl/>
              <w:spacing w:line="400" w:lineRule="exact"/>
              <w:jc w:val="left"/>
              <w:textAlignment w:val="center"/>
              <w:rPr>
                <w:rFonts w:hint="eastAsia" w:ascii="仿宋_GB2312" w:hAnsi="等线" w:eastAsia="仿宋_GB2312" w:cs="仿宋_GB2312"/>
                <w:bCs/>
                <w:color w:val="000000" w:themeColor="text1"/>
                <w:sz w:val="24"/>
                <w:lang w:eastAsia="zh-CN"/>
                <w14:textFill>
                  <w14:solidFill>
                    <w14:schemeClr w14:val="tx1"/>
                  </w14:solidFill>
                </w14:textFill>
              </w:rPr>
            </w:pPr>
            <w:r>
              <w:rPr>
                <w:rFonts w:hint="eastAsia" w:ascii="宋体" w:hAnsi="宋体"/>
                <w:color w:val="auto"/>
                <w:szCs w:val="24"/>
                <w:highlight w:val="yellow"/>
                <w:u w:val="none"/>
              </w:rPr>
              <w:t>【</w:t>
            </w:r>
            <w:r>
              <w:rPr>
                <w:rFonts w:hint="eastAsia" w:ascii="宋体" w:hAnsi="宋体"/>
                <w:color w:val="auto"/>
                <w:szCs w:val="24"/>
                <w:highlight w:val="yellow"/>
                <w:u w:val="none"/>
                <w:lang w:eastAsia="zh-CN"/>
              </w:rPr>
              <w:t>份额代码</w:t>
            </w:r>
            <w:r>
              <w:rPr>
                <w:rFonts w:hint="eastAsia" w:ascii="宋体" w:hAnsi="宋体"/>
                <w:color w:val="auto"/>
                <w:szCs w:val="24"/>
                <w:highlight w:val="yellow"/>
                <w:u w:val="none"/>
              </w:rPr>
              <w:t>】</w:t>
            </w:r>
            <w:r>
              <w:rPr>
                <w:rFonts w:hint="eastAsia" w:ascii="宋体" w:hAnsi="宋体"/>
                <w:color w:val="auto"/>
                <w:szCs w:val="24"/>
                <w:highlight w:val="none"/>
                <w:u w:val="none"/>
                <w:lang w:val="en-US" w:eastAsia="zh-CN"/>
              </w:rPr>
              <w:t>：</w:t>
            </w:r>
            <w:r>
              <w:rPr>
                <w:rFonts w:hint="eastAsia" w:ascii="宋体" w:hAnsi="宋体"/>
                <w:color w:val="auto"/>
                <w:szCs w:val="24"/>
                <w:highlight w:val="yellow"/>
                <w:u w:val="none"/>
              </w:rPr>
              <w:t>【】</w:t>
            </w:r>
            <w:r>
              <w:rPr>
                <w:rFonts w:hint="eastAsia" w:ascii="宋体" w:hAnsi="宋体"/>
                <w:color w:val="auto"/>
                <w:szCs w:val="24"/>
                <w:highlight w:val="none"/>
                <w:u w:val="none"/>
                <w:lang w:val="en-US" w:eastAsia="zh-CN"/>
              </w:rPr>
              <w:t>元</w:t>
            </w:r>
          </w:p>
        </w:tc>
      </w:tr>
      <w:tr w14:paraId="62E66AAF">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41E14D3">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计划募集金额</w:t>
            </w:r>
          </w:p>
        </w:tc>
        <w:tc>
          <w:tcPr>
            <w:tcW w:w="6972" w:type="dxa"/>
            <w:tcBorders>
              <w:top w:val="single" w:color="auto" w:sz="4" w:space="0"/>
              <w:left w:val="single" w:color="auto" w:sz="4" w:space="0"/>
              <w:bottom w:val="single" w:color="auto" w:sz="4" w:space="0"/>
              <w:right w:val="single" w:color="auto" w:sz="4" w:space="0"/>
            </w:tcBorders>
            <w:vAlign w:val="center"/>
          </w:tcPr>
          <w:p w14:paraId="4D1CDEA6">
            <w:pPr>
              <w:widowControl/>
              <w:spacing w:line="400" w:lineRule="exact"/>
              <w:jc w:val="left"/>
              <w:textAlignment w:val="center"/>
              <w:rPr>
                <w:rFonts w:hint="eastAsia" w:ascii="宋体" w:hAnsi="宋体"/>
                <w:color w:val="auto"/>
                <w:szCs w:val="24"/>
                <w:highlight w:val="none"/>
                <w:u w:val="none"/>
                <w:lang w:val="en-US" w:eastAsia="zh-CN"/>
              </w:rPr>
            </w:pPr>
            <w:r>
              <w:rPr>
                <w:rFonts w:hint="eastAsia" w:ascii="宋体" w:hAnsi="宋体"/>
                <w:color w:val="auto"/>
                <w:szCs w:val="24"/>
                <w:highlight w:val="yellow"/>
                <w:u w:val="none"/>
              </w:rPr>
              <w:t>【</w:t>
            </w:r>
            <w:r>
              <w:rPr>
                <w:rFonts w:hint="eastAsia" w:ascii="宋体" w:hAnsi="宋体"/>
                <w:color w:val="auto"/>
                <w:szCs w:val="24"/>
                <w:highlight w:val="yellow"/>
                <w:u w:val="none"/>
                <w:lang w:val="en-US" w:eastAsia="zh-CN"/>
              </w:rPr>
              <w:t>70亿</w:t>
            </w:r>
            <w:r>
              <w:rPr>
                <w:rFonts w:hint="eastAsia" w:ascii="宋体" w:hAnsi="宋体"/>
                <w:color w:val="auto"/>
                <w:szCs w:val="24"/>
                <w:highlight w:val="yellow"/>
                <w:u w:val="none"/>
              </w:rPr>
              <w:t>】</w:t>
            </w:r>
            <w:r>
              <w:rPr>
                <w:rFonts w:hint="eastAsia" w:ascii="宋体" w:hAnsi="宋体"/>
                <w:color w:val="auto"/>
                <w:szCs w:val="24"/>
                <w:highlight w:val="none"/>
                <w:u w:val="none"/>
                <w:lang w:val="en-US" w:eastAsia="zh-CN"/>
              </w:rPr>
              <w:t>元。</w:t>
            </w:r>
          </w:p>
          <w:p w14:paraId="04BC0FD6">
            <w:pPr>
              <w:widowControl/>
              <w:spacing w:line="400" w:lineRule="exact"/>
              <w:jc w:val="left"/>
              <w:textAlignment w:val="center"/>
              <w:rPr>
                <w:rFonts w:hint="eastAsia" w:ascii="宋体" w:hAnsi="宋体"/>
                <w:color w:val="auto"/>
                <w:szCs w:val="24"/>
                <w:highlight w:val="none"/>
                <w:u w:val="none"/>
                <w:lang w:val="en-US" w:eastAsia="zh-CN"/>
              </w:rPr>
            </w:pPr>
            <w:r>
              <w:rPr>
                <w:rFonts w:hint="eastAsia"/>
                <w:b/>
                <w:bCs/>
                <w:color w:val="auto"/>
                <w:szCs w:val="24"/>
                <w:highlight w:val="none"/>
                <w:u w:val="none"/>
              </w:rPr>
              <w:t>管理人有权根据实际需要调整</w:t>
            </w:r>
            <w:r>
              <w:rPr>
                <w:rFonts w:hint="eastAsia"/>
                <w:b/>
                <w:bCs/>
                <w:color w:val="auto"/>
                <w:szCs w:val="24"/>
                <w:highlight w:val="none"/>
                <w:u w:val="none"/>
                <w:lang w:eastAsia="zh-CN"/>
              </w:rPr>
              <w:t>计划募集金额</w:t>
            </w:r>
            <w:r>
              <w:rPr>
                <w:rFonts w:hint="eastAsia"/>
                <w:b/>
                <w:bCs/>
                <w:color w:val="auto"/>
                <w:szCs w:val="24"/>
                <w:highlight w:val="none"/>
                <w:u w:val="none"/>
              </w:rPr>
              <w:t>上限。</w:t>
            </w:r>
          </w:p>
        </w:tc>
      </w:tr>
      <w:tr w14:paraId="2E1381D5">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2BE266D">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color w:val="auto"/>
                <w:szCs w:val="24"/>
                <w:highlight w:val="none"/>
                <w:u w:val="none"/>
              </w:rPr>
              <w:t>产品最低成立规模</w:t>
            </w:r>
          </w:p>
        </w:tc>
        <w:tc>
          <w:tcPr>
            <w:tcW w:w="6972" w:type="dxa"/>
            <w:tcBorders>
              <w:top w:val="single" w:color="auto" w:sz="4" w:space="0"/>
              <w:left w:val="single" w:color="auto" w:sz="4" w:space="0"/>
              <w:bottom w:val="single" w:color="auto" w:sz="4" w:space="0"/>
              <w:right w:val="single" w:color="auto" w:sz="4" w:space="0"/>
            </w:tcBorders>
            <w:vAlign w:val="center"/>
          </w:tcPr>
          <w:p w14:paraId="67DB7F49">
            <w:pPr>
              <w:widowControl/>
              <w:jc w:val="left"/>
              <w:rPr>
                <w:rFonts w:ascii="宋体" w:hAnsi="宋体"/>
                <w:bCs/>
                <w:color w:val="auto"/>
                <w:szCs w:val="24"/>
                <w:highlight w:val="none"/>
                <w:u w:val="none"/>
              </w:rPr>
            </w:pPr>
            <w:r>
              <w:rPr>
                <w:rFonts w:hint="eastAsia" w:ascii="宋体" w:hAnsi="宋体"/>
                <w:color w:val="auto"/>
                <w:szCs w:val="24"/>
                <w:highlight w:val="yellow"/>
                <w:u w:val="none"/>
              </w:rPr>
              <w:t>【】</w:t>
            </w:r>
            <w:r>
              <w:rPr>
                <w:rFonts w:hint="eastAsia" w:ascii="宋体" w:hAnsi="宋体"/>
                <w:bCs/>
                <w:color w:val="auto"/>
                <w:szCs w:val="24"/>
                <w:highlight w:val="none"/>
                <w:u w:val="none"/>
              </w:rPr>
              <w:t>亿元。</w:t>
            </w:r>
          </w:p>
          <w:p w14:paraId="712CF600">
            <w:pPr>
              <w:widowControl/>
              <w:jc w:val="left"/>
              <w:rPr>
                <w:rFonts w:hint="eastAsia"/>
                <w:b/>
                <w:bCs/>
                <w:color w:val="auto"/>
                <w:szCs w:val="24"/>
                <w:highlight w:val="none"/>
                <w:u w:val="none"/>
              </w:rPr>
            </w:pPr>
            <w:r>
              <w:rPr>
                <w:rFonts w:hint="eastAsia"/>
                <w:color w:val="auto"/>
                <w:szCs w:val="24"/>
                <w:highlight w:val="none"/>
                <w:u w:val="none"/>
              </w:rPr>
              <w:t>若认购金额不足</w:t>
            </w:r>
            <w:r>
              <w:rPr>
                <w:rFonts w:hint="eastAsia" w:ascii="宋体" w:hAnsi="宋体"/>
                <w:color w:val="auto"/>
                <w:szCs w:val="24"/>
                <w:highlight w:val="yellow"/>
                <w:u w:val="none"/>
              </w:rPr>
              <w:t>【】</w:t>
            </w:r>
            <w:r>
              <w:rPr>
                <w:rFonts w:hint="eastAsia" w:ascii="宋体" w:hAnsi="宋体"/>
                <w:bCs/>
                <w:color w:val="auto"/>
                <w:szCs w:val="24"/>
                <w:highlight w:val="none"/>
                <w:u w:val="none"/>
              </w:rPr>
              <w:t>亿元</w:t>
            </w:r>
            <w:r>
              <w:rPr>
                <w:rFonts w:hint="eastAsia"/>
                <w:color w:val="auto"/>
                <w:szCs w:val="24"/>
                <w:highlight w:val="none"/>
                <w:u w:val="none"/>
              </w:rPr>
              <w:t>，</w:t>
            </w:r>
            <w:r>
              <w:rPr>
                <w:rFonts w:hint="eastAsia"/>
                <w:b/>
                <w:bCs/>
                <w:color w:val="auto"/>
                <w:szCs w:val="24"/>
                <w:highlight w:val="none"/>
                <w:u w:val="none"/>
              </w:rPr>
              <w:t>管理人有权宣布理财产品不成立，亦有权调整</w:t>
            </w:r>
            <w:r>
              <w:rPr>
                <w:rFonts w:hint="eastAsia" w:ascii="宋体" w:hAnsi="宋体"/>
                <w:b/>
                <w:bCs/>
                <w:color w:val="auto"/>
                <w:szCs w:val="24"/>
                <w:highlight w:val="none"/>
                <w:u w:val="none"/>
              </w:rPr>
              <w:t>产品最低成立规模，具体以管理人公告为准</w:t>
            </w:r>
            <w:r>
              <w:rPr>
                <w:rFonts w:hint="eastAsia"/>
                <w:color w:val="auto"/>
                <w:szCs w:val="24"/>
                <w:highlight w:val="none"/>
                <w:u w:val="none"/>
              </w:rPr>
              <w:t>。</w:t>
            </w:r>
          </w:p>
        </w:tc>
      </w:tr>
      <w:tr w14:paraId="53890BD3">
        <w:tblPrEx>
          <w:tblCellMar>
            <w:top w:w="0" w:type="dxa"/>
            <w:left w:w="108" w:type="dxa"/>
            <w:bottom w:w="0" w:type="dxa"/>
            <w:right w:w="108" w:type="dxa"/>
          </w:tblCellMar>
        </w:tblPrEx>
        <w:trPr>
          <w:trHeight w:val="1280" w:hRule="atLeast"/>
        </w:trPr>
        <w:tc>
          <w:tcPr>
            <w:tcW w:w="2453" w:type="dxa"/>
            <w:tcBorders>
              <w:top w:val="single" w:color="auto" w:sz="4" w:space="0"/>
              <w:left w:val="single" w:color="auto" w:sz="4" w:space="0"/>
              <w:bottom w:val="single" w:color="auto" w:sz="4" w:space="0"/>
              <w:right w:val="single" w:color="auto" w:sz="4" w:space="0"/>
            </w:tcBorders>
            <w:vAlign w:val="center"/>
          </w:tcPr>
          <w:p w14:paraId="694FCBD8">
            <w:pPr>
              <w:snapToGrid w:val="0"/>
              <w:ind w:left="-140" w:leftChars="-74" w:hanging="15" w:firstLineChars="0"/>
              <w:jc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认购、申购、赎回安排</w:t>
            </w:r>
          </w:p>
        </w:tc>
        <w:tc>
          <w:tcPr>
            <w:tcW w:w="6972" w:type="dxa"/>
            <w:tcBorders>
              <w:top w:val="single" w:color="auto" w:sz="4" w:space="0"/>
              <w:left w:val="single" w:color="auto" w:sz="4" w:space="0"/>
              <w:bottom w:val="single" w:color="auto" w:sz="4" w:space="0"/>
              <w:right w:val="single" w:color="auto" w:sz="4" w:space="0"/>
            </w:tcBorders>
            <w:vAlign w:val="center"/>
          </w:tcPr>
          <w:p w14:paraId="2C1A97B5">
            <w:pPr>
              <w:snapToGrid w:val="0"/>
              <w:rPr>
                <w:rFonts w:ascii="宋体" w:hAnsi="宋体"/>
                <w:szCs w:val="24"/>
              </w:rPr>
            </w:pPr>
            <w:r>
              <w:rPr>
                <w:rFonts w:hint="eastAsia" w:ascii="宋体" w:hAnsi="宋体"/>
                <w:szCs w:val="24"/>
                <w:highlight w:val="yellow"/>
                <w:lang w:eastAsia="zh-CN"/>
              </w:rPr>
              <w:t>【</w:t>
            </w:r>
            <w:r>
              <w:rPr>
                <w:rFonts w:hint="eastAsia" w:ascii="宋体" w:hAnsi="宋体"/>
                <w:szCs w:val="24"/>
                <w:highlight w:val="yellow"/>
                <w:lang w:val="en-US" w:eastAsia="zh-CN"/>
              </w:rPr>
              <w:t>1</w:t>
            </w:r>
            <w:r>
              <w:rPr>
                <w:rFonts w:hint="eastAsia" w:ascii="仿宋_GB2312" w:hAnsi="宋体" w:cs="宋体"/>
                <w:bCs/>
                <w:color w:val="auto"/>
                <w:kern w:val="0"/>
                <w:szCs w:val="24"/>
                <w:highlight w:val="none"/>
                <w:lang w:val="en-US" w:eastAsia="zh-CN"/>
              </w:rPr>
              <w:t>.产品募集期为募集起始日期至募集结束日期，</w:t>
            </w:r>
            <w:r>
              <w:rPr>
                <w:rFonts w:hint="eastAsia" w:ascii="仿宋_GB2312" w:hAnsi="宋体" w:cs="宋体"/>
                <w:bCs/>
                <w:color w:val="auto"/>
                <w:kern w:val="0"/>
                <w:szCs w:val="24"/>
                <w:highlight w:val="none"/>
              </w:rPr>
              <w:t>产品募集期内，投资者可多次对本产品认购、追加、</w:t>
            </w:r>
            <w:r>
              <w:rPr>
                <w:rFonts w:hint="eastAsia"/>
                <w:color w:val="auto"/>
                <w:highlight w:val="none"/>
              </w:rPr>
              <w:t>撤单</w:t>
            </w:r>
            <w:r>
              <w:rPr>
                <w:rFonts w:hint="eastAsia" w:ascii="仿宋_GB2312" w:hAnsi="宋体" w:cs="宋体"/>
                <w:bCs/>
                <w:color w:val="auto"/>
                <w:kern w:val="0"/>
                <w:szCs w:val="24"/>
                <w:highlight w:val="none"/>
              </w:rPr>
              <w:t>。</w:t>
            </w:r>
          </w:p>
          <w:p w14:paraId="2AEF2A38">
            <w:pPr>
              <w:snapToGrid w:val="0"/>
              <w:rPr>
                <w:rFonts w:hint="eastAsia" w:ascii="宋体" w:hAnsi="宋体"/>
                <w:szCs w:val="24"/>
              </w:rPr>
            </w:pPr>
            <w:r>
              <w:rPr>
                <w:rFonts w:hint="eastAsia" w:ascii="宋体" w:hAnsi="宋体"/>
                <w:szCs w:val="24"/>
                <w:lang w:val="en-US" w:eastAsia="zh-CN"/>
              </w:rPr>
              <w:t>2</w:t>
            </w:r>
            <w:r>
              <w:rPr>
                <w:rFonts w:ascii="宋体" w:hAnsi="宋体"/>
                <w:szCs w:val="24"/>
              </w:rPr>
              <w:t>.</w:t>
            </w:r>
            <w:r>
              <w:rPr>
                <w:rFonts w:hint="eastAsia" w:ascii="宋体" w:hAnsi="宋体"/>
                <w:szCs w:val="24"/>
              </w:rPr>
              <w:t>本产品的封闭期</w:t>
            </w:r>
          </w:p>
          <w:p w14:paraId="6488C0E1">
            <w:pPr>
              <w:snapToGrid w:val="0"/>
              <w:rPr>
                <w:rFonts w:hint="eastAsia" w:ascii="宋体" w:hAnsi="宋体"/>
                <w:szCs w:val="24"/>
              </w:rPr>
            </w:pPr>
            <w:r>
              <w:rPr>
                <w:rFonts w:hint="eastAsia"/>
                <w:lang w:eastAsia="zh-CN"/>
              </w:rPr>
              <w:t>本</w:t>
            </w:r>
            <w:r>
              <w:rPr>
                <w:rFonts w:hint="eastAsia"/>
              </w:rPr>
              <w:t>产品不设置封闭期</w:t>
            </w:r>
            <w:r>
              <w:rPr>
                <w:rFonts w:hint="eastAsia" w:ascii="宋体" w:hAnsi="宋体"/>
                <w:szCs w:val="24"/>
              </w:rPr>
              <w:t>。</w:t>
            </w:r>
          </w:p>
          <w:p w14:paraId="03908CD7">
            <w:pPr>
              <w:snapToGrid w:val="0"/>
              <w:rPr>
                <w:rFonts w:hint="eastAsia" w:ascii="宋体" w:hAnsi="宋体"/>
                <w:szCs w:val="24"/>
              </w:rPr>
            </w:pPr>
            <w:r>
              <w:rPr>
                <w:rFonts w:hint="eastAsia" w:ascii="宋体" w:hAnsi="宋体"/>
                <w:szCs w:val="24"/>
                <w:lang w:val="en-US" w:eastAsia="zh-CN"/>
              </w:rPr>
              <w:t>3</w:t>
            </w:r>
            <w:r>
              <w:rPr>
                <w:rFonts w:ascii="宋体" w:hAnsi="宋体"/>
                <w:szCs w:val="24"/>
              </w:rPr>
              <w:t>.</w:t>
            </w:r>
            <w:r>
              <w:rPr>
                <w:rFonts w:hint="eastAsia" w:ascii="宋体" w:hAnsi="宋体"/>
                <w:szCs w:val="24"/>
              </w:rPr>
              <w:t>本产品的开放期/开放日</w:t>
            </w:r>
          </w:p>
          <w:p w14:paraId="2F3F725C">
            <w:pPr>
              <w:snapToGrid w:val="0"/>
              <w:rPr>
                <w:rFonts w:hint="eastAsia" w:ascii="宋体" w:hAnsi="宋体" w:eastAsia="仿宋_GB2312"/>
                <w:szCs w:val="24"/>
                <w:lang w:eastAsia="zh-CN"/>
              </w:rPr>
            </w:pPr>
            <w:r>
              <w:rPr>
                <w:rFonts w:hint="eastAsia" w:ascii="宋体" w:hAnsi="宋体"/>
                <w:szCs w:val="24"/>
              </w:rPr>
              <w:t>本产品成立后（不含产品成立日）的每个</w:t>
            </w:r>
            <w:r>
              <w:rPr>
                <w:rFonts w:hint="eastAsia" w:ascii="仿宋_GB2312" w:hAnsi="宋体" w:cs="宋体"/>
                <w:bCs/>
                <w:color w:val="000000"/>
                <w:kern w:val="0"/>
                <w:szCs w:val="24"/>
                <w:highlight w:val="yellow"/>
              </w:rPr>
              <w:t>【</w:t>
            </w:r>
            <w:r>
              <w:rPr>
                <w:rFonts w:hint="eastAsia" w:ascii="仿宋_GB2312" w:hAnsi="宋体"/>
                <w:color w:val="000000"/>
                <w:szCs w:val="24"/>
                <w:highlight w:val="yellow"/>
                <w:lang w:eastAsia="zh-CN"/>
              </w:rPr>
              <w:t>□</w:t>
            </w:r>
            <w:r>
              <w:rPr>
                <w:rFonts w:hint="eastAsia" w:ascii="仿宋_GB2312" w:hAnsi="宋体" w:cs="宋体"/>
                <w:bCs/>
                <w:color w:val="000000"/>
                <w:kern w:val="0"/>
                <w:szCs w:val="24"/>
                <w:highlight w:val="yellow"/>
              </w:rPr>
              <w:t>工作日</w:t>
            </w:r>
            <w:r>
              <w:rPr>
                <w:rFonts w:ascii="仿宋_GB2312" w:hAnsi="宋体" w:cs="宋体"/>
                <w:bCs/>
                <w:color w:val="000000"/>
                <w:kern w:val="0"/>
                <w:szCs w:val="24"/>
                <w:highlight w:val="yellow"/>
              </w:rPr>
              <w:t>/</w:t>
            </w:r>
            <w:r>
              <w:rPr>
                <w:rFonts w:hint="eastAsia" w:ascii="仿宋_GB2312" w:hAnsi="宋体"/>
                <w:color w:val="000000"/>
                <w:szCs w:val="24"/>
                <w:highlight w:val="yellow"/>
              </w:rPr>
              <w:t>□</w:t>
            </w:r>
            <w:r>
              <w:rPr>
                <w:rFonts w:hint="eastAsia" w:ascii="仿宋_GB2312" w:hAnsi="宋体" w:cs="宋体"/>
                <w:bCs/>
                <w:color w:val="000000"/>
                <w:kern w:val="0"/>
                <w:szCs w:val="24"/>
                <w:highlight w:val="yellow"/>
              </w:rPr>
              <w:t>交易日】</w:t>
            </w:r>
            <w:r>
              <w:rPr>
                <w:rFonts w:hint="eastAsia" w:ascii="宋体" w:hAnsi="宋体" w:cs="宋体"/>
                <w:szCs w:val="24"/>
              </w:rPr>
              <w:t>（浙银理财公告暂停开放的日期除外）</w:t>
            </w:r>
            <w:r>
              <w:rPr>
                <w:rFonts w:hint="eastAsia" w:ascii="宋体" w:hAnsi="宋体" w:cs="宋体"/>
                <w:szCs w:val="24"/>
                <w:lang w:eastAsia="zh-CN"/>
              </w:rPr>
              <w:t>。</w:t>
            </w:r>
          </w:p>
          <w:p w14:paraId="1BAF18D5">
            <w:pPr>
              <w:snapToGrid w:val="0"/>
              <w:rPr>
                <w:rFonts w:hint="eastAsia" w:ascii="宋体" w:hAnsi="宋体"/>
                <w:szCs w:val="24"/>
              </w:rPr>
            </w:pPr>
            <w:r>
              <w:rPr>
                <w:rFonts w:hint="eastAsia" w:ascii="宋体" w:hAnsi="宋体"/>
                <w:szCs w:val="24"/>
                <w:lang w:val="en-US" w:eastAsia="zh-CN"/>
              </w:rPr>
              <w:t>4</w:t>
            </w:r>
            <w:r>
              <w:rPr>
                <w:rFonts w:ascii="宋体" w:hAnsi="宋体"/>
                <w:szCs w:val="24"/>
              </w:rPr>
              <w:t>.</w:t>
            </w:r>
            <w:r>
              <w:rPr>
                <w:rFonts w:hint="eastAsia" w:ascii="宋体" w:hAnsi="宋体"/>
                <w:szCs w:val="24"/>
              </w:rPr>
              <w:t>申购安排：</w:t>
            </w:r>
          </w:p>
          <w:p w14:paraId="78A97484">
            <w:pPr>
              <w:snapToGrid w:val="0"/>
              <w:rPr>
                <w:rFonts w:hint="eastAsia" w:ascii="宋体" w:hAnsi="宋体"/>
                <w:szCs w:val="24"/>
              </w:rPr>
            </w:pPr>
            <w:r>
              <w:rPr>
                <w:rFonts w:hint="eastAsia" w:ascii="宋体" w:hAnsi="宋体"/>
                <w:szCs w:val="24"/>
              </w:rPr>
              <w:t>（</w:t>
            </w:r>
            <w:r>
              <w:rPr>
                <w:rFonts w:ascii="宋体" w:hAnsi="宋体"/>
                <w:szCs w:val="24"/>
              </w:rPr>
              <w:t>1</w:t>
            </w:r>
            <w:r>
              <w:rPr>
                <w:rFonts w:hint="eastAsia" w:ascii="宋体" w:hAnsi="宋体"/>
                <w:szCs w:val="24"/>
              </w:rPr>
              <w:t>）申购的时间</w:t>
            </w:r>
          </w:p>
          <w:p w14:paraId="6E322747">
            <w:pPr>
              <w:snapToGrid w:val="0"/>
              <w:rPr>
                <w:rFonts w:hint="eastAsia" w:ascii="宋体" w:hAnsi="宋体"/>
                <w:szCs w:val="24"/>
              </w:rPr>
            </w:pPr>
            <w:r>
              <w:rPr>
                <w:rFonts w:hint="eastAsia" w:ascii="宋体" w:hAnsi="宋体"/>
                <w:szCs w:val="24"/>
              </w:rPr>
              <w:t>投资者在</w:t>
            </w:r>
            <w:r>
              <w:rPr>
                <w:rFonts w:hint="eastAsia" w:ascii="仿宋_GB2312" w:hAnsi="宋体" w:cs="宋体"/>
                <w:bCs/>
                <w:color w:val="000000"/>
                <w:kern w:val="0"/>
                <w:szCs w:val="24"/>
                <w:highlight w:val="yellow"/>
              </w:rPr>
              <w:t>【</w:t>
            </w:r>
            <w:r>
              <w:rPr>
                <w:rFonts w:hint="eastAsia" w:ascii="仿宋_GB2312" w:hAnsi="宋体"/>
                <w:color w:val="000000"/>
                <w:szCs w:val="24"/>
                <w:highlight w:val="yellow"/>
                <w:lang w:eastAsia="zh-CN"/>
              </w:rPr>
              <w:t>□</w:t>
            </w:r>
            <w:r>
              <w:rPr>
                <w:rFonts w:hint="eastAsia" w:ascii="仿宋_GB2312" w:hAnsi="宋体" w:cs="宋体"/>
                <w:bCs/>
                <w:color w:val="000000"/>
                <w:kern w:val="0"/>
                <w:szCs w:val="24"/>
                <w:highlight w:val="yellow"/>
              </w:rPr>
              <w:t>工作日</w:t>
            </w:r>
            <w:r>
              <w:rPr>
                <w:rFonts w:ascii="仿宋_GB2312" w:hAnsi="宋体" w:cs="宋体"/>
                <w:bCs/>
                <w:color w:val="000000"/>
                <w:kern w:val="0"/>
                <w:szCs w:val="24"/>
                <w:highlight w:val="yellow"/>
              </w:rPr>
              <w:t>/</w:t>
            </w:r>
            <w:r>
              <w:rPr>
                <w:rFonts w:hint="eastAsia" w:ascii="仿宋_GB2312" w:hAnsi="宋体"/>
                <w:color w:val="000000"/>
                <w:szCs w:val="24"/>
                <w:highlight w:val="yellow"/>
              </w:rPr>
              <w:t>□</w:t>
            </w:r>
            <w:r>
              <w:rPr>
                <w:rFonts w:hint="eastAsia" w:ascii="仿宋_GB2312" w:hAnsi="宋体" w:cs="宋体"/>
                <w:bCs/>
                <w:color w:val="000000"/>
                <w:kern w:val="0"/>
                <w:szCs w:val="24"/>
                <w:highlight w:val="yellow"/>
              </w:rPr>
              <w:t>交易日】</w:t>
            </w:r>
            <w:r>
              <w:rPr>
                <w:rFonts w:hint="eastAsia" w:ascii="宋体" w:hAnsi="宋体"/>
                <w:szCs w:val="24"/>
                <w:highlight w:val="yellow"/>
              </w:rPr>
              <w:t>【</w:t>
            </w:r>
            <w:r>
              <w:rPr>
                <w:rFonts w:hint="eastAsia" w:ascii="宋体" w:hAnsi="宋体"/>
                <w:szCs w:val="24"/>
                <w:highlight w:val="yellow"/>
                <w:lang w:val="en-US" w:eastAsia="zh-CN"/>
              </w:rPr>
              <w:t>xx:xx</w:t>
            </w:r>
            <w:r>
              <w:rPr>
                <w:rFonts w:hint="eastAsia" w:ascii="宋体" w:hAnsi="宋体"/>
                <w:szCs w:val="24"/>
                <w:highlight w:val="yellow"/>
              </w:rPr>
              <w:t>】</w:t>
            </w:r>
            <w:r>
              <w:rPr>
                <w:rFonts w:hint="eastAsia" w:ascii="宋体" w:hAnsi="宋体"/>
                <w:szCs w:val="24"/>
              </w:rPr>
              <w:t>前提交申购申请的，提交当日为申购日。</w:t>
            </w:r>
          </w:p>
          <w:p w14:paraId="33007BE8">
            <w:pPr>
              <w:snapToGrid w:val="0"/>
              <w:rPr>
                <w:rFonts w:hint="eastAsia" w:ascii="宋体" w:hAnsi="宋体"/>
                <w:szCs w:val="24"/>
              </w:rPr>
            </w:pPr>
            <w:r>
              <w:rPr>
                <w:rFonts w:hint="eastAsia" w:ascii="宋体" w:hAnsi="宋体"/>
                <w:szCs w:val="24"/>
              </w:rPr>
              <w:t>投资者在</w:t>
            </w:r>
            <w:r>
              <w:rPr>
                <w:rFonts w:hint="eastAsia" w:ascii="仿宋_GB2312" w:hAnsi="宋体" w:cs="宋体"/>
                <w:bCs/>
                <w:color w:val="000000"/>
                <w:kern w:val="0"/>
                <w:szCs w:val="24"/>
                <w:highlight w:val="yellow"/>
              </w:rPr>
              <w:t>【</w:t>
            </w:r>
            <w:r>
              <w:rPr>
                <w:rFonts w:hint="eastAsia" w:ascii="仿宋_GB2312" w:hAnsi="宋体"/>
                <w:color w:val="000000"/>
                <w:szCs w:val="24"/>
                <w:highlight w:val="yellow"/>
                <w:lang w:eastAsia="zh-CN"/>
              </w:rPr>
              <w:t>□</w:t>
            </w:r>
            <w:r>
              <w:rPr>
                <w:rFonts w:hint="eastAsia" w:ascii="仿宋_GB2312" w:hAnsi="宋体" w:cs="宋体"/>
                <w:bCs/>
                <w:color w:val="000000"/>
                <w:kern w:val="0"/>
                <w:szCs w:val="24"/>
                <w:highlight w:val="yellow"/>
              </w:rPr>
              <w:t>工作日</w:t>
            </w:r>
            <w:r>
              <w:rPr>
                <w:rFonts w:ascii="仿宋_GB2312" w:hAnsi="宋体" w:cs="宋体"/>
                <w:bCs/>
                <w:color w:val="000000"/>
                <w:kern w:val="0"/>
                <w:szCs w:val="24"/>
                <w:highlight w:val="yellow"/>
              </w:rPr>
              <w:t>/</w:t>
            </w:r>
            <w:r>
              <w:rPr>
                <w:rFonts w:hint="eastAsia" w:ascii="仿宋_GB2312" w:hAnsi="宋体"/>
                <w:color w:val="000000"/>
                <w:szCs w:val="24"/>
                <w:highlight w:val="yellow"/>
              </w:rPr>
              <w:t>□</w:t>
            </w:r>
            <w:r>
              <w:rPr>
                <w:rFonts w:hint="eastAsia" w:ascii="仿宋_GB2312" w:hAnsi="宋体" w:cs="宋体"/>
                <w:bCs/>
                <w:color w:val="000000"/>
                <w:kern w:val="0"/>
                <w:szCs w:val="24"/>
                <w:highlight w:val="yellow"/>
              </w:rPr>
              <w:t>交易日】</w:t>
            </w:r>
            <w:r>
              <w:rPr>
                <w:rFonts w:hint="eastAsia" w:ascii="宋体" w:hAnsi="宋体"/>
                <w:szCs w:val="24"/>
                <w:highlight w:val="yellow"/>
              </w:rPr>
              <w:t>【</w:t>
            </w:r>
            <w:r>
              <w:rPr>
                <w:rFonts w:hint="eastAsia" w:ascii="宋体" w:hAnsi="宋体"/>
                <w:szCs w:val="24"/>
                <w:highlight w:val="yellow"/>
                <w:lang w:val="en-US" w:eastAsia="zh-CN"/>
              </w:rPr>
              <w:t>xx:xx</w:t>
            </w:r>
            <w:r>
              <w:rPr>
                <w:rFonts w:hint="eastAsia" w:ascii="宋体" w:hAnsi="宋体"/>
                <w:szCs w:val="24"/>
                <w:highlight w:val="yellow"/>
              </w:rPr>
              <w:t>】</w:t>
            </w:r>
            <w:r>
              <w:rPr>
                <w:rFonts w:hint="eastAsia" w:ascii="宋体" w:hAnsi="宋体"/>
                <w:szCs w:val="24"/>
              </w:rPr>
              <w:t>后提交申购申请的，下一个</w:t>
            </w:r>
            <w:r>
              <w:rPr>
                <w:rFonts w:hint="eastAsia" w:ascii="仿宋_GB2312" w:hAnsi="宋体" w:cs="宋体"/>
                <w:bCs/>
                <w:color w:val="000000"/>
                <w:kern w:val="0"/>
                <w:szCs w:val="24"/>
                <w:highlight w:val="yellow"/>
              </w:rPr>
              <w:t>【</w:t>
            </w:r>
            <w:r>
              <w:rPr>
                <w:rFonts w:hint="eastAsia" w:ascii="仿宋_GB2312" w:hAnsi="宋体"/>
                <w:color w:val="000000"/>
                <w:szCs w:val="24"/>
                <w:highlight w:val="yellow"/>
                <w:lang w:eastAsia="zh-CN"/>
              </w:rPr>
              <w:t>□</w:t>
            </w:r>
            <w:r>
              <w:rPr>
                <w:rFonts w:hint="eastAsia" w:ascii="仿宋_GB2312" w:hAnsi="宋体" w:cs="宋体"/>
                <w:bCs/>
                <w:color w:val="000000"/>
                <w:kern w:val="0"/>
                <w:szCs w:val="24"/>
                <w:highlight w:val="yellow"/>
              </w:rPr>
              <w:t>工作日</w:t>
            </w:r>
            <w:r>
              <w:rPr>
                <w:rFonts w:ascii="仿宋_GB2312" w:hAnsi="宋体" w:cs="宋体"/>
                <w:bCs/>
                <w:color w:val="000000"/>
                <w:kern w:val="0"/>
                <w:szCs w:val="24"/>
                <w:highlight w:val="yellow"/>
              </w:rPr>
              <w:t>/</w:t>
            </w:r>
            <w:r>
              <w:rPr>
                <w:rFonts w:hint="eastAsia" w:ascii="仿宋_GB2312" w:hAnsi="宋体"/>
                <w:color w:val="000000"/>
                <w:szCs w:val="24"/>
                <w:highlight w:val="yellow"/>
              </w:rPr>
              <w:t>□</w:t>
            </w:r>
            <w:r>
              <w:rPr>
                <w:rFonts w:hint="eastAsia" w:ascii="仿宋_GB2312" w:hAnsi="宋体" w:cs="宋体"/>
                <w:bCs/>
                <w:color w:val="000000"/>
                <w:kern w:val="0"/>
                <w:szCs w:val="24"/>
                <w:highlight w:val="yellow"/>
              </w:rPr>
              <w:t>交易日】</w:t>
            </w:r>
            <w:r>
              <w:rPr>
                <w:rFonts w:hint="eastAsia" w:ascii="宋体" w:hAnsi="宋体"/>
                <w:szCs w:val="24"/>
              </w:rPr>
              <w:t>为申购日。</w:t>
            </w:r>
          </w:p>
          <w:p w14:paraId="0E6F30A7">
            <w:pPr>
              <w:snapToGrid w:val="0"/>
              <w:rPr>
                <w:rFonts w:hint="eastAsia" w:ascii="宋体" w:hAnsi="宋体"/>
                <w:szCs w:val="24"/>
              </w:rPr>
            </w:pPr>
            <w:r>
              <w:rPr>
                <w:rFonts w:hint="eastAsia" w:ascii="宋体" w:hAnsi="宋体"/>
                <w:szCs w:val="24"/>
              </w:rPr>
              <w:t>投资者在非</w:t>
            </w:r>
            <w:r>
              <w:rPr>
                <w:rFonts w:hint="eastAsia" w:ascii="仿宋_GB2312" w:hAnsi="宋体" w:cs="宋体"/>
                <w:bCs/>
                <w:color w:val="000000"/>
                <w:kern w:val="0"/>
                <w:szCs w:val="24"/>
                <w:highlight w:val="yellow"/>
              </w:rPr>
              <w:t>【</w:t>
            </w:r>
            <w:r>
              <w:rPr>
                <w:rFonts w:hint="eastAsia" w:ascii="仿宋_GB2312" w:hAnsi="宋体"/>
                <w:color w:val="000000"/>
                <w:szCs w:val="24"/>
                <w:highlight w:val="yellow"/>
                <w:lang w:eastAsia="zh-CN"/>
              </w:rPr>
              <w:t>□</w:t>
            </w:r>
            <w:r>
              <w:rPr>
                <w:rFonts w:hint="eastAsia" w:ascii="仿宋_GB2312" w:hAnsi="宋体" w:cs="宋体"/>
                <w:bCs/>
                <w:color w:val="000000"/>
                <w:kern w:val="0"/>
                <w:szCs w:val="24"/>
                <w:highlight w:val="yellow"/>
              </w:rPr>
              <w:t>工作日</w:t>
            </w:r>
            <w:r>
              <w:rPr>
                <w:rFonts w:ascii="仿宋_GB2312" w:hAnsi="宋体" w:cs="宋体"/>
                <w:bCs/>
                <w:color w:val="000000"/>
                <w:kern w:val="0"/>
                <w:szCs w:val="24"/>
                <w:highlight w:val="yellow"/>
              </w:rPr>
              <w:t>/</w:t>
            </w:r>
            <w:r>
              <w:rPr>
                <w:rFonts w:hint="eastAsia" w:ascii="仿宋_GB2312" w:hAnsi="宋体"/>
                <w:color w:val="000000"/>
                <w:szCs w:val="24"/>
                <w:highlight w:val="yellow"/>
              </w:rPr>
              <w:t>□</w:t>
            </w:r>
            <w:r>
              <w:rPr>
                <w:rFonts w:hint="eastAsia" w:ascii="仿宋_GB2312" w:hAnsi="宋体" w:cs="宋体"/>
                <w:bCs/>
                <w:color w:val="000000"/>
                <w:kern w:val="0"/>
                <w:szCs w:val="24"/>
                <w:highlight w:val="yellow"/>
              </w:rPr>
              <w:t>交易日】</w:t>
            </w:r>
            <w:r>
              <w:rPr>
                <w:rFonts w:hint="eastAsia" w:ascii="宋体" w:hAnsi="宋体"/>
                <w:szCs w:val="24"/>
              </w:rPr>
              <w:t>提交申购申请的，下一个</w:t>
            </w:r>
            <w:r>
              <w:rPr>
                <w:rFonts w:hint="eastAsia" w:ascii="仿宋_GB2312" w:hAnsi="宋体" w:cs="宋体"/>
                <w:bCs/>
                <w:color w:val="000000"/>
                <w:kern w:val="0"/>
                <w:szCs w:val="24"/>
                <w:highlight w:val="yellow"/>
              </w:rPr>
              <w:t>【</w:t>
            </w:r>
            <w:r>
              <w:rPr>
                <w:rFonts w:hint="eastAsia" w:ascii="仿宋_GB2312" w:hAnsi="宋体"/>
                <w:color w:val="000000"/>
                <w:szCs w:val="24"/>
                <w:highlight w:val="yellow"/>
                <w:lang w:eastAsia="zh-CN"/>
              </w:rPr>
              <w:t>□</w:t>
            </w:r>
            <w:r>
              <w:rPr>
                <w:rFonts w:hint="eastAsia" w:ascii="仿宋_GB2312" w:hAnsi="宋体" w:cs="宋体"/>
                <w:bCs/>
                <w:color w:val="000000"/>
                <w:kern w:val="0"/>
                <w:szCs w:val="24"/>
                <w:highlight w:val="yellow"/>
              </w:rPr>
              <w:t>工作日</w:t>
            </w:r>
            <w:r>
              <w:rPr>
                <w:rFonts w:ascii="仿宋_GB2312" w:hAnsi="宋体" w:cs="宋体"/>
                <w:bCs/>
                <w:color w:val="000000"/>
                <w:kern w:val="0"/>
                <w:szCs w:val="24"/>
                <w:highlight w:val="yellow"/>
              </w:rPr>
              <w:t>/</w:t>
            </w:r>
            <w:r>
              <w:rPr>
                <w:rFonts w:hint="eastAsia" w:ascii="仿宋_GB2312" w:hAnsi="宋体"/>
                <w:color w:val="000000"/>
                <w:szCs w:val="24"/>
                <w:highlight w:val="yellow"/>
              </w:rPr>
              <w:t>□</w:t>
            </w:r>
            <w:r>
              <w:rPr>
                <w:rFonts w:hint="eastAsia" w:ascii="仿宋_GB2312" w:hAnsi="宋体" w:cs="宋体"/>
                <w:bCs/>
                <w:color w:val="000000"/>
                <w:kern w:val="0"/>
                <w:szCs w:val="24"/>
                <w:highlight w:val="yellow"/>
              </w:rPr>
              <w:t>交易日】</w:t>
            </w:r>
            <w:r>
              <w:rPr>
                <w:rFonts w:hint="eastAsia" w:ascii="宋体" w:hAnsi="宋体"/>
                <w:szCs w:val="24"/>
              </w:rPr>
              <w:t>为申购日。</w:t>
            </w:r>
          </w:p>
          <w:p w14:paraId="75EF7E68">
            <w:pPr>
              <w:snapToGrid w:val="0"/>
              <w:rPr>
                <w:rFonts w:hint="eastAsia" w:ascii="宋体" w:hAnsi="宋体"/>
                <w:szCs w:val="24"/>
              </w:rPr>
            </w:pPr>
            <w:r>
              <w:rPr>
                <w:rFonts w:hint="eastAsia" w:ascii="宋体" w:hAnsi="宋体"/>
                <w:szCs w:val="24"/>
              </w:rPr>
              <w:t>（</w:t>
            </w:r>
            <w:r>
              <w:rPr>
                <w:rFonts w:ascii="宋体" w:hAnsi="宋体"/>
                <w:szCs w:val="24"/>
              </w:rPr>
              <w:t>2</w:t>
            </w:r>
            <w:r>
              <w:rPr>
                <w:rFonts w:hint="eastAsia" w:ascii="宋体" w:hAnsi="宋体"/>
                <w:szCs w:val="24"/>
              </w:rPr>
              <w:t>）申购的确认</w:t>
            </w:r>
          </w:p>
          <w:p w14:paraId="059CE9E8">
            <w:pPr>
              <w:snapToGrid w:val="0"/>
              <w:rPr>
                <w:rFonts w:hint="eastAsia" w:ascii="宋体" w:hAnsi="宋体"/>
                <w:szCs w:val="24"/>
              </w:rPr>
            </w:pPr>
            <w:r>
              <w:rPr>
                <w:rFonts w:hint="eastAsia" w:ascii="宋体" w:hAnsi="宋体"/>
                <w:szCs w:val="24"/>
              </w:rPr>
              <w:t>申购日后的</w:t>
            </w:r>
            <w:r>
              <w:rPr>
                <w:rFonts w:hint="eastAsia" w:ascii="宋体" w:hAnsi="宋体"/>
                <w:szCs w:val="24"/>
                <w:highlight w:val="yellow"/>
              </w:rPr>
              <w:t>【</w:t>
            </w:r>
            <w:r>
              <w:rPr>
                <w:rFonts w:ascii="宋体" w:hAnsi="宋体"/>
                <w:szCs w:val="24"/>
                <w:highlight w:val="yellow"/>
              </w:rPr>
              <w:t>1</w:t>
            </w:r>
            <w:r>
              <w:rPr>
                <w:rFonts w:hint="eastAsia" w:ascii="宋体" w:hAnsi="宋体"/>
                <w:szCs w:val="24"/>
                <w:highlight w:val="yellow"/>
              </w:rPr>
              <w:t>】</w:t>
            </w:r>
            <w:r>
              <w:rPr>
                <w:rFonts w:hint="eastAsia" w:ascii="宋体" w:hAnsi="宋体"/>
                <w:szCs w:val="24"/>
              </w:rPr>
              <w:t>个</w:t>
            </w:r>
            <w:r>
              <w:rPr>
                <w:rFonts w:hint="eastAsia" w:ascii="仿宋_GB2312" w:hAnsi="宋体" w:cs="宋体"/>
                <w:bCs/>
                <w:color w:val="000000"/>
                <w:kern w:val="0"/>
                <w:szCs w:val="24"/>
                <w:highlight w:val="yellow"/>
              </w:rPr>
              <w:t>【</w:t>
            </w:r>
            <w:r>
              <w:rPr>
                <w:rFonts w:hint="eastAsia" w:ascii="仿宋_GB2312" w:hAnsi="宋体"/>
                <w:color w:val="000000"/>
                <w:szCs w:val="24"/>
                <w:highlight w:val="yellow"/>
                <w:lang w:eastAsia="zh-CN"/>
              </w:rPr>
              <w:t>□</w:t>
            </w:r>
            <w:r>
              <w:rPr>
                <w:rFonts w:hint="eastAsia" w:ascii="仿宋_GB2312" w:hAnsi="宋体" w:cs="宋体"/>
                <w:bCs/>
                <w:color w:val="000000"/>
                <w:kern w:val="0"/>
                <w:szCs w:val="24"/>
                <w:highlight w:val="yellow"/>
              </w:rPr>
              <w:t>工作日</w:t>
            </w:r>
            <w:r>
              <w:rPr>
                <w:rFonts w:ascii="仿宋_GB2312" w:hAnsi="宋体" w:cs="宋体"/>
                <w:bCs/>
                <w:color w:val="000000"/>
                <w:kern w:val="0"/>
                <w:szCs w:val="24"/>
                <w:highlight w:val="yellow"/>
              </w:rPr>
              <w:t>/</w:t>
            </w:r>
            <w:r>
              <w:rPr>
                <w:rFonts w:hint="eastAsia" w:ascii="仿宋_GB2312" w:hAnsi="宋体"/>
                <w:color w:val="000000"/>
                <w:szCs w:val="24"/>
                <w:highlight w:val="yellow"/>
              </w:rPr>
              <w:t>□</w:t>
            </w:r>
            <w:r>
              <w:rPr>
                <w:rFonts w:hint="eastAsia" w:ascii="仿宋_GB2312" w:hAnsi="宋体" w:cs="宋体"/>
                <w:bCs/>
                <w:color w:val="000000"/>
                <w:kern w:val="0"/>
                <w:szCs w:val="24"/>
                <w:highlight w:val="yellow"/>
              </w:rPr>
              <w:t>交易日】</w:t>
            </w:r>
            <w:r>
              <w:rPr>
                <w:rFonts w:hint="eastAsia" w:ascii="宋体" w:hAnsi="宋体"/>
                <w:szCs w:val="24"/>
              </w:rPr>
              <w:t>内为申购确认日。</w:t>
            </w:r>
          </w:p>
          <w:p w14:paraId="147AB901">
            <w:pPr>
              <w:snapToGrid w:val="0"/>
              <w:rPr>
                <w:rFonts w:hint="eastAsia" w:ascii="宋体" w:hAnsi="宋体"/>
                <w:szCs w:val="24"/>
              </w:rPr>
            </w:pPr>
            <w:r>
              <w:rPr>
                <w:rFonts w:hint="eastAsia" w:ascii="宋体" w:hAnsi="宋体"/>
                <w:szCs w:val="24"/>
                <w:lang w:val="en-US" w:eastAsia="zh-CN"/>
              </w:rPr>
              <w:t>5</w:t>
            </w:r>
            <w:r>
              <w:rPr>
                <w:rFonts w:ascii="宋体" w:hAnsi="宋体"/>
                <w:szCs w:val="24"/>
              </w:rPr>
              <w:t>.</w:t>
            </w:r>
            <w:r>
              <w:rPr>
                <w:rFonts w:hint="eastAsia" w:ascii="宋体" w:hAnsi="宋体"/>
                <w:szCs w:val="24"/>
              </w:rPr>
              <w:t>赎回安排</w:t>
            </w:r>
          </w:p>
          <w:p w14:paraId="3D6A89CC">
            <w:pPr>
              <w:snapToGrid w:val="0"/>
              <w:rPr>
                <w:rFonts w:hint="eastAsia" w:ascii="宋体" w:hAnsi="宋体"/>
                <w:szCs w:val="24"/>
              </w:rPr>
            </w:pPr>
            <w:r>
              <w:rPr>
                <w:rFonts w:hint="eastAsia" w:ascii="宋体" w:hAnsi="宋体"/>
                <w:szCs w:val="24"/>
              </w:rPr>
              <w:t>（</w:t>
            </w:r>
            <w:r>
              <w:rPr>
                <w:rFonts w:ascii="宋体" w:hAnsi="宋体"/>
                <w:szCs w:val="24"/>
              </w:rPr>
              <w:t>1</w:t>
            </w:r>
            <w:r>
              <w:rPr>
                <w:rFonts w:hint="eastAsia" w:ascii="宋体" w:hAnsi="宋体"/>
                <w:szCs w:val="24"/>
              </w:rPr>
              <w:t>）</w:t>
            </w:r>
            <w:r>
              <w:rPr>
                <w:rFonts w:hint="eastAsia" w:ascii="宋体" w:hAnsi="宋体"/>
                <w:color w:val="000000" w:themeColor="text1"/>
                <w:szCs w:val="24"/>
                <w14:textFill>
                  <w14:solidFill>
                    <w14:schemeClr w14:val="tx1"/>
                  </w14:solidFill>
                </w14:textFill>
              </w:rPr>
              <w:t>预约赎回截止日</w:t>
            </w:r>
          </w:p>
          <w:p w14:paraId="1AAE0A7E">
            <w:pPr>
              <w:snapToGrid w:val="0"/>
              <w:rPr>
                <w:rFonts w:hint="eastAsia" w:ascii="宋体" w:hAnsi="宋体"/>
                <w:szCs w:val="24"/>
              </w:rPr>
            </w:pPr>
            <w:r>
              <w:rPr>
                <w:rFonts w:hint="eastAsia" w:ascii="宋体" w:hAnsi="宋体"/>
                <w:color w:val="000000" w:themeColor="text1"/>
                <w:szCs w:val="24"/>
                <w14:textFill>
                  <w14:solidFill>
                    <w14:schemeClr w14:val="tx1"/>
                  </w14:solidFill>
                </w14:textFill>
              </w:rPr>
              <w:t>投资者持有本产品份额对应的周期结束日前一个</w:t>
            </w:r>
            <w:r>
              <w:rPr>
                <w:rFonts w:hint="eastAsia" w:ascii="仿宋_GB2312" w:hAnsi="宋体" w:cs="宋体"/>
                <w:bCs/>
                <w:color w:val="000000"/>
                <w:kern w:val="0"/>
                <w:szCs w:val="24"/>
                <w:highlight w:val="yellow"/>
              </w:rPr>
              <w:t>【</w:t>
            </w:r>
            <w:r>
              <w:rPr>
                <w:rFonts w:hint="eastAsia" w:ascii="仿宋_GB2312" w:hAnsi="宋体"/>
                <w:color w:val="000000"/>
                <w:szCs w:val="24"/>
                <w:highlight w:val="yellow"/>
                <w:lang w:eastAsia="zh-CN"/>
              </w:rPr>
              <w:t>□</w:t>
            </w:r>
            <w:r>
              <w:rPr>
                <w:rFonts w:hint="eastAsia" w:ascii="仿宋_GB2312" w:hAnsi="宋体" w:cs="宋体"/>
                <w:bCs/>
                <w:color w:val="000000"/>
                <w:kern w:val="0"/>
                <w:szCs w:val="24"/>
                <w:highlight w:val="yellow"/>
              </w:rPr>
              <w:t>工作日</w:t>
            </w:r>
            <w:r>
              <w:rPr>
                <w:rFonts w:ascii="仿宋_GB2312" w:hAnsi="宋体" w:cs="宋体"/>
                <w:bCs/>
                <w:color w:val="000000"/>
                <w:kern w:val="0"/>
                <w:szCs w:val="24"/>
                <w:highlight w:val="yellow"/>
              </w:rPr>
              <w:t>/</w:t>
            </w:r>
            <w:r>
              <w:rPr>
                <w:rFonts w:hint="eastAsia" w:ascii="仿宋_GB2312" w:hAnsi="宋体"/>
                <w:color w:val="000000"/>
                <w:szCs w:val="24"/>
                <w:highlight w:val="yellow"/>
              </w:rPr>
              <w:t>□</w:t>
            </w:r>
            <w:r>
              <w:rPr>
                <w:rFonts w:hint="eastAsia" w:ascii="仿宋_GB2312" w:hAnsi="宋体" w:cs="宋体"/>
                <w:bCs/>
                <w:color w:val="000000"/>
                <w:kern w:val="0"/>
                <w:szCs w:val="24"/>
                <w:highlight w:val="yellow"/>
              </w:rPr>
              <w:t>交易日】</w:t>
            </w:r>
            <w:r>
              <w:rPr>
                <w:rFonts w:hint="eastAsia" w:ascii="宋体" w:hAnsi="宋体"/>
                <w:color w:val="000000" w:themeColor="text1"/>
                <w:szCs w:val="24"/>
                <w14:textFill>
                  <w14:solidFill>
                    <w14:schemeClr w14:val="tx1"/>
                  </w14:solidFill>
                </w14:textFill>
              </w:rPr>
              <w:t>为该份额对应的预约赎回截止日。</w:t>
            </w:r>
          </w:p>
          <w:p w14:paraId="1BD6BB5D">
            <w:pPr>
              <w:numPr>
                <w:ilvl w:val="255"/>
                <w:numId w:val="0"/>
              </w:numPr>
              <w:snapToGrid w:val="0"/>
              <w:rPr>
                <w:rFonts w:hint="eastAsia"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（2）预约赎回的时间</w:t>
            </w:r>
          </w:p>
          <w:p w14:paraId="77942FAF">
            <w:pPr>
              <w:snapToGrid w:val="0"/>
              <w:rPr>
                <w:rFonts w:hint="eastAsia" w:ascii="宋体" w:hAnsi="宋体"/>
                <w:szCs w:val="24"/>
              </w:rPr>
            </w:pPr>
            <w:r>
              <w:rPr>
                <w:rFonts w:hint="eastAsia" w:ascii="宋体" w:hAnsi="宋体"/>
                <w:color w:val="000000" w:themeColor="text1"/>
                <w:szCs w:val="24"/>
                <w14:textFill>
                  <w14:solidFill>
                    <w14:schemeClr w14:val="tx1"/>
                  </w14:solidFill>
                </w14:textFill>
              </w:rPr>
              <w:t>投资者持有本产品份额的投资周期内，可于对应的预约赎回截止日</w:t>
            </w:r>
            <w:r>
              <w:rPr>
                <w:rFonts w:hint="eastAsia" w:ascii="宋体" w:hAnsi="宋体"/>
                <w:color w:val="000000" w:themeColor="text1"/>
                <w:szCs w:val="24"/>
                <w:highlight w:val="yellow"/>
                <w:lang w:eastAsia="zh-CN"/>
                <w14:textFill>
                  <w14:solidFill>
                    <w14:schemeClr w14:val="tx1"/>
                  </w14:solidFill>
                </w14:textFill>
              </w:rPr>
              <w:t>【】</w:t>
            </w:r>
            <w:r>
              <w:rPr>
                <w:rFonts w:hint="eastAsia" w:ascii="宋体" w:hAnsi="宋体"/>
                <w:color w:val="000000" w:themeColor="text1"/>
                <w:szCs w:val="24"/>
                <w14:textFill>
                  <w14:solidFill>
                    <w14:schemeClr w14:val="tx1"/>
                  </w14:solidFill>
                </w14:textFill>
              </w:rPr>
              <w:t>（不含）前预约赎回/撤销预约赎回本产品份额，预约赎回截止日</w:t>
            </w:r>
            <w:r>
              <w:rPr>
                <w:rFonts w:hint="eastAsia" w:ascii="宋体" w:hAnsi="宋体"/>
                <w:color w:val="000000" w:themeColor="text1"/>
                <w:szCs w:val="24"/>
                <w:highlight w:val="yellow"/>
                <w:lang w:eastAsia="zh-CN"/>
                <w14:textFill>
                  <w14:solidFill>
                    <w14:schemeClr w14:val="tx1"/>
                  </w14:solidFill>
                </w14:textFill>
              </w:rPr>
              <w:t>【】</w:t>
            </w:r>
            <w:r>
              <w:rPr>
                <w:rFonts w:hint="eastAsia" w:ascii="宋体" w:hAnsi="宋体"/>
                <w:color w:val="000000" w:themeColor="text1"/>
                <w:szCs w:val="24"/>
                <w14:textFill>
                  <w14:solidFill>
                    <w14:schemeClr w14:val="tx1"/>
                  </w14:solidFill>
                </w14:textFill>
              </w:rPr>
              <w:t>（含）之后不可操作。</w:t>
            </w:r>
          </w:p>
          <w:p w14:paraId="36A549CC">
            <w:pPr>
              <w:snapToGrid w:val="0"/>
              <w:rPr>
                <w:rFonts w:hint="eastAsia" w:ascii="宋体" w:hAnsi="宋体"/>
                <w:szCs w:val="24"/>
              </w:rPr>
            </w:pPr>
            <w:r>
              <w:rPr>
                <w:rFonts w:hint="eastAsia" w:ascii="宋体" w:hAnsi="宋体"/>
                <w:szCs w:val="24"/>
              </w:rPr>
              <w:t>（3）赎回的确认</w:t>
            </w:r>
          </w:p>
          <w:p w14:paraId="4E7349F7">
            <w:pPr>
              <w:snapToGrid w:val="0"/>
              <w:rPr>
                <w:rFonts w:hint="eastAsia" w:ascii="宋体" w:hAnsi="宋体"/>
                <w:szCs w:val="24"/>
              </w:rPr>
            </w:pPr>
            <w:r>
              <w:rPr>
                <w:rFonts w:ascii="宋体" w:hAnsi="宋体"/>
                <w:b/>
                <w:color w:val="000000" w:themeColor="text1"/>
                <w:szCs w:val="24"/>
                <w14:textFill>
                  <w14:solidFill>
                    <w14:schemeClr w14:val="tx1"/>
                  </w14:solidFill>
                </w14:textFill>
              </w:rPr>
              <w:t>投资者持有本产品份额</w:t>
            </w:r>
            <w:r>
              <w:rPr>
                <w:rFonts w:hint="eastAsia" w:ascii="宋体" w:hAnsi="宋体"/>
                <w:b/>
                <w:color w:val="000000" w:themeColor="text1"/>
                <w:szCs w:val="24"/>
                <w14:textFill>
                  <w14:solidFill>
                    <w14:schemeClr w14:val="tx1"/>
                  </w14:solidFill>
                </w14:textFill>
              </w:rPr>
              <w:t>对应的</w:t>
            </w:r>
            <w:r>
              <w:rPr>
                <w:rFonts w:ascii="宋体" w:hAnsi="宋体"/>
                <w:b/>
                <w:color w:val="000000" w:themeColor="text1"/>
                <w:szCs w:val="24"/>
                <w14:textFill>
                  <w14:solidFill>
                    <w14:schemeClr w14:val="tx1"/>
                  </w14:solidFill>
                </w14:textFill>
              </w:rPr>
              <w:t>预约赎回截止日</w:t>
            </w:r>
            <w:r>
              <w:rPr>
                <w:rFonts w:hint="eastAsia" w:ascii="宋体" w:hAnsi="宋体"/>
                <w:szCs w:val="24"/>
                <w:highlight w:val="yellow"/>
              </w:rPr>
              <w:t>【</w:t>
            </w:r>
            <w:r>
              <w:rPr>
                <w:rFonts w:hint="eastAsia" w:ascii="宋体" w:hAnsi="宋体"/>
                <w:szCs w:val="24"/>
                <w:highlight w:val="yellow"/>
                <w:lang w:val="en-US" w:eastAsia="zh-CN"/>
              </w:rPr>
              <w:t>xx:xx</w:t>
            </w:r>
            <w:r>
              <w:rPr>
                <w:rFonts w:hint="eastAsia" w:ascii="宋体" w:hAnsi="宋体"/>
                <w:szCs w:val="24"/>
                <w:highlight w:val="yellow"/>
              </w:rPr>
              <w:t>】</w:t>
            </w:r>
            <w:r>
              <w:rPr>
                <w:rFonts w:ascii="宋体" w:hAnsi="宋体"/>
                <w:b/>
                <w:color w:val="000000" w:themeColor="text1"/>
                <w:szCs w:val="24"/>
                <w14:textFill>
                  <w14:solidFill>
                    <w14:schemeClr w14:val="tx1"/>
                  </w14:solidFill>
                </w14:textFill>
              </w:rPr>
              <w:t>（</w:t>
            </w:r>
            <w:r>
              <w:rPr>
                <w:rFonts w:hint="eastAsia" w:ascii="宋体" w:hAnsi="宋体"/>
                <w:b/>
                <w:color w:val="000000" w:themeColor="text1"/>
                <w:szCs w:val="24"/>
                <w14:textFill>
                  <w14:solidFill>
                    <w14:schemeClr w14:val="tx1"/>
                  </w14:solidFill>
                </w14:textFill>
              </w:rPr>
              <w:t>不</w:t>
            </w:r>
            <w:r>
              <w:rPr>
                <w:rFonts w:ascii="宋体" w:hAnsi="宋体"/>
                <w:b/>
                <w:color w:val="000000" w:themeColor="text1"/>
                <w:szCs w:val="24"/>
                <w14:textFill>
                  <w14:solidFill>
                    <w14:schemeClr w14:val="tx1"/>
                  </w14:solidFill>
                </w14:textFill>
              </w:rPr>
              <w:t>含）</w:t>
            </w:r>
            <w:r>
              <w:rPr>
                <w:rFonts w:hint="eastAsia" w:ascii="宋体" w:hAnsi="宋体"/>
                <w:b/>
                <w:color w:val="000000" w:themeColor="text1"/>
                <w:szCs w:val="24"/>
                <w14:textFill>
                  <w14:solidFill>
                    <w14:schemeClr w14:val="tx1"/>
                  </w14:solidFill>
                </w14:textFill>
              </w:rPr>
              <w:t>前已提交且未撤销的</w:t>
            </w:r>
            <w:r>
              <w:rPr>
                <w:rFonts w:hint="eastAsia" w:ascii="宋体" w:hAnsi="宋体"/>
                <w:b/>
                <w:bCs/>
                <w:color w:val="000000" w:themeColor="text1"/>
                <w:szCs w:val="24"/>
                <w14:textFill>
                  <w14:solidFill>
                    <w14:schemeClr w14:val="tx1"/>
                  </w14:solidFill>
                </w14:textFill>
              </w:rPr>
              <w:t>预约赎回申请将于最近一个周期结束日的下一个</w:t>
            </w:r>
            <w:r>
              <w:rPr>
                <w:rFonts w:hint="eastAsia" w:ascii="仿宋_GB2312" w:hAnsi="宋体" w:cs="宋体"/>
                <w:bCs/>
                <w:color w:val="000000"/>
                <w:kern w:val="0"/>
                <w:szCs w:val="24"/>
                <w:highlight w:val="yellow"/>
              </w:rPr>
              <w:t>【</w:t>
            </w:r>
            <w:r>
              <w:rPr>
                <w:rFonts w:hint="eastAsia" w:ascii="仿宋_GB2312" w:hAnsi="宋体"/>
                <w:color w:val="000000"/>
                <w:szCs w:val="24"/>
                <w:highlight w:val="yellow"/>
                <w:lang w:eastAsia="zh-CN"/>
              </w:rPr>
              <w:t>□</w:t>
            </w:r>
            <w:r>
              <w:rPr>
                <w:rFonts w:hint="eastAsia" w:ascii="仿宋_GB2312" w:hAnsi="宋体" w:cs="宋体"/>
                <w:bCs/>
                <w:color w:val="000000"/>
                <w:kern w:val="0"/>
                <w:szCs w:val="24"/>
                <w:highlight w:val="yellow"/>
              </w:rPr>
              <w:t>工作日</w:t>
            </w:r>
            <w:r>
              <w:rPr>
                <w:rFonts w:ascii="仿宋_GB2312" w:hAnsi="宋体" w:cs="宋体"/>
                <w:bCs/>
                <w:color w:val="000000"/>
                <w:kern w:val="0"/>
                <w:szCs w:val="24"/>
                <w:highlight w:val="yellow"/>
              </w:rPr>
              <w:t>/</w:t>
            </w:r>
            <w:r>
              <w:rPr>
                <w:rFonts w:hint="eastAsia" w:ascii="仿宋_GB2312" w:hAnsi="宋体"/>
                <w:color w:val="000000"/>
                <w:szCs w:val="24"/>
                <w:highlight w:val="yellow"/>
              </w:rPr>
              <w:t>□</w:t>
            </w:r>
            <w:r>
              <w:rPr>
                <w:rFonts w:hint="eastAsia" w:ascii="仿宋_GB2312" w:hAnsi="宋体" w:cs="宋体"/>
                <w:bCs/>
                <w:color w:val="000000"/>
                <w:kern w:val="0"/>
                <w:szCs w:val="24"/>
                <w:highlight w:val="yellow"/>
              </w:rPr>
              <w:t>交易日】</w:t>
            </w:r>
            <w:r>
              <w:rPr>
                <w:rFonts w:hint="eastAsia" w:ascii="宋体" w:hAnsi="宋体"/>
                <w:b/>
                <w:bCs/>
                <w:color w:val="000000" w:themeColor="text1"/>
                <w:szCs w:val="24"/>
                <w14:textFill>
                  <w14:solidFill>
                    <w14:schemeClr w14:val="tx1"/>
                  </w14:solidFill>
                </w14:textFill>
              </w:rPr>
              <w:t>确认。</w:t>
            </w:r>
          </w:p>
          <w:p w14:paraId="5A2C9823">
            <w:pPr>
              <w:snapToGrid w:val="0"/>
              <w:rPr>
                <w:rFonts w:hint="eastAsia" w:ascii="宋体" w:hAnsi="宋体" w:eastAsia="仿宋_GB2312"/>
                <w:szCs w:val="24"/>
                <w:lang w:eastAsia="zh-CN"/>
              </w:rPr>
            </w:pPr>
            <w:r>
              <w:rPr>
                <w:rFonts w:hint="eastAsia" w:ascii="宋体" w:hAnsi="宋体"/>
                <w:szCs w:val="24"/>
                <w:lang w:val="en-US" w:eastAsia="zh-CN"/>
              </w:rPr>
              <w:t>6</w:t>
            </w:r>
            <w:r>
              <w:rPr>
                <w:rFonts w:ascii="宋体" w:hAnsi="宋体"/>
                <w:szCs w:val="24"/>
              </w:rPr>
              <w:t>.</w:t>
            </w:r>
            <w:r>
              <w:rPr>
                <w:rFonts w:hint="eastAsia" w:ascii="宋体" w:hAnsi="宋体"/>
                <w:szCs w:val="24"/>
              </w:rPr>
              <w:t>赎回款项于赎回确认日后</w:t>
            </w:r>
            <w:r>
              <w:rPr>
                <w:rFonts w:hint="eastAsia" w:ascii="宋体" w:hAnsi="宋体"/>
                <w:szCs w:val="24"/>
                <w:highlight w:val="yellow"/>
              </w:rPr>
              <w:t>【】</w:t>
            </w:r>
            <w:r>
              <w:rPr>
                <w:rFonts w:hint="eastAsia" w:ascii="宋体" w:hAnsi="宋体"/>
                <w:szCs w:val="24"/>
              </w:rPr>
              <w:t>个</w:t>
            </w:r>
            <w:r>
              <w:rPr>
                <w:rFonts w:hint="eastAsia" w:ascii="宋体" w:hAnsi="宋体"/>
                <w:szCs w:val="24"/>
                <w:highlight w:val="yellow"/>
              </w:rPr>
              <w:t>工作日</w:t>
            </w:r>
            <w:r>
              <w:rPr>
                <w:rFonts w:hint="eastAsia" w:ascii="宋体" w:hAnsi="宋体"/>
                <w:szCs w:val="24"/>
              </w:rPr>
              <w:t>内支付给投资者。</w:t>
            </w:r>
            <w:r>
              <w:rPr>
                <w:rFonts w:hint="eastAsia" w:ascii="宋体" w:hAnsi="宋体"/>
                <w:szCs w:val="24"/>
                <w:highlight w:val="yellow"/>
                <w:lang w:eastAsia="zh-CN"/>
              </w:rPr>
              <w:t>】</w:t>
            </w:r>
          </w:p>
          <w:p w14:paraId="0EAFD825">
            <w:pPr>
              <w:snapToGrid w:val="0"/>
              <w:rPr>
                <w:rFonts w:hint="eastAsia" w:ascii="宋体" w:hAnsi="宋体"/>
                <w:szCs w:val="24"/>
              </w:rPr>
            </w:pPr>
            <w:r>
              <w:rPr>
                <w:rFonts w:hint="eastAsia" w:ascii="宋体" w:hAnsi="宋体"/>
                <w:szCs w:val="24"/>
              </w:rPr>
              <w:t>★注：关于销售机构的实际工作服务时段的提示</w:t>
            </w:r>
          </w:p>
          <w:p w14:paraId="224359A3">
            <w:pPr>
              <w:snapToGrid w:val="0"/>
              <w:rPr>
                <w:rFonts w:hint="eastAsia" w:ascii="宋体" w:hAnsi="宋体"/>
                <w:szCs w:val="24"/>
              </w:rPr>
            </w:pPr>
            <w:r>
              <w:rPr>
                <w:rFonts w:hint="eastAsia" w:ascii="宋体" w:hAnsi="宋体"/>
                <w:szCs w:val="24"/>
              </w:rPr>
              <w:t>①为本产品办理相关交易的实际工作服务时段，因销售机构的不同可能存在差异（可能晚于销售文件约定的起始时点开始或早于销售文件约定的终止时点结束），投资者应当以销售机构的展示为准。</w:t>
            </w:r>
          </w:p>
          <w:p w14:paraId="732BFA12">
            <w:pPr>
              <w:snapToGrid w:val="0"/>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szCs w:val="24"/>
              </w:rPr>
              <w:t>②销售机构的实际工作服务时段，最早不得早于销售文件约定的起始时点、最晚不得晚于销售文件约定的终止时点。</w:t>
            </w:r>
          </w:p>
        </w:tc>
      </w:tr>
      <w:tr w14:paraId="5F87A00F">
        <w:tblPrEx>
          <w:tblCellMar>
            <w:top w:w="0" w:type="dxa"/>
            <w:left w:w="108" w:type="dxa"/>
            <w:bottom w:w="0" w:type="dxa"/>
            <w:right w:w="108" w:type="dxa"/>
          </w:tblCellMar>
        </w:tblPrEx>
        <w:trPr>
          <w:trHeight w:val="1180" w:hRule="atLeast"/>
        </w:trPr>
        <w:tc>
          <w:tcPr>
            <w:tcW w:w="2453" w:type="dxa"/>
            <w:tcBorders>
              <w:top w:val="single" w:color="auto" w:sz="4" w:space="0"/>
              <w:left w:val="single" w:color="auto" w:sz="4" w:space="0"/>
              <w:bottom w:val="single" w:color="auto" w:sz="4" w:space="0"/>
              <w:right w:val="single" w:color="auto" w:sz="4" w:space="0"/>
            </w:tcBorders>
            <w:vAlign w:val="center"/>
          </w:tcPr>
          <w:p w14:paraId="7E9D59DC">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巨额赎回</w:t>
            </w:r>
          </w:p>
        </w:tc>
        <w:tc>
          <w:tcPr>
            <w:tcW w:w="6972" w:type="dxa"/>
            <w:tcBorders>
              <w:top w:val="single" w:color="auto" w:sz="4" w:space="0"/>
              <w:left w:val="single" w:color="auto" w:sz="4" w:space="0"/>
              <w:bottom w:val="single" w:color="auto" w:sz="4" w:space="0"/>
              <w:right w:val="single" w:color="auto" w:sz="4" w:space="0"/>
            </w:tcBorders>
            <w:vAlign w:val="center"/>
          </w:tcPr>
          <w:p w14:paraId="144AA041">
            <w:pPr>
              <w:snapToGrid w:val="0"/>
              <w:jc w:val="left"/>
              <w:rPr>
                <w:rFonts w:hint="eastAsia" w:asciiTheme="minorEastAsia" w:hAnsiTheme="minorEastAsia"/>
                <w:b/>
                <w:color w:val="000000"/>
                <w:szCs w:val="24"/>
              </w:rPr>
            </w:pPr>
            <w:bookmarkStart w:id="0" w:name="_Hlk218057807"/>
            <w:r>
              <w:rPr>
                <w:rFonts w:hint="eastAsia" w:ascii="仿宋_GB2312" w:hAnsi="宋体" w:cs="宋体"/>
                <w:b/>
                <w:bCs/>
                <w:kern w:val="0"/>
                <w:szCs w:val="24"/>
              </w:rPr>
              <w:t>单个开放日内</w:t>
            </w:r>
            <w:r>
              <w:rPr>
                <w:rFonts w:ascii="仿宋_GB2312" w:hAnsi="宋体" w:cs="宋体"/>
                <w:b/>
                <w:bCs/>
                <w:kern w:val="0"/>
                <w:szCs w:val="24"/>
              </w:rPr>
              <w:t>，</w:t>
            </w:r>
            <w:r>
              <w:rPr>
                <w:rFonts w:hint="eastAsia" w:ascii="仿宋_GB2312" w:hAnsi="宋体" w:cs="宋体"/>
                <w:b/>
                <w:bCs/>
                <w:kern w:val="0"/>
                <w:szCs w:val="24"/>
              </w:rPr>
              <w:t>产品净赎回申请（</w:t>
            </w:r>
            <w:r>
              <w:rPr>
                <w:rFonts w:ascii="仿宋_GB2312" w:hAnsi="宋体" w:cs="宋体"/>
                <w:b/>
                <w:bCs/>
                <w:kern w:val="0"/>
                <w:szCs w:val="24"/>
              </w:rPr>
              <w:t>赎回</w:t>
            </w:r>
            <w:r>
              <w:rPr>
                <w:rFonts w:hint="eastAsia" w:ascii="仿宋_GB2312" w:hAnsi="宋体" w:cs="宋体"/>
                <w:b/>
                <w:bCs/>
                <w:kern w:val="0"/>
                <w:szCs w:val="24"/>
              </w:rPr>
              <w:t>申请总份额扣除申购总份额后的余额</w:t>
            </w:r>
            <w:r>
              <w:rPr>
                <w:rFonts w:ascii="仿宋_GB2312" w:hAnsi="宋体" w:cs="宋体"/>
                <w:b/>
                <w:bCs/>
                <w:kern w:val="0"/>
                <w:szCs w:val="24"/>
              </w:rPr>
              <w:t>,下同）</w:t>
            </w:r>
            <w:r>
              <w:rPr>
                <w:rFonts w:hint="eastAsia" w:ascii="仿宋_GB2312" w:hAnsi="宋体" w:cs="宋体"/>
                <w:b/>
                <w:bCs/>
                <w:kern w:val="0"/>
                <w:szCs w:val="24"/>
              </w:rPr>
              <w:t>超过前一日终理财产品总份额的【</w:t>
            </w:r>
            <w:r>
              <w:rPr>
                <w:rFonts w:ascii="仿宋_GB2312" w:hAnsi="宋体" w:cs="宋体"/>
                <w:b/>
                <w:bCs/>
                <w:kern w:val="0"/>
                <w:szCs w:val="24"/>
              </w:rPr>
              <w:t>10</w:t>
            </w:r>
            <w:r>
              <w:rPr>
                <w:rFonts w:hint="eastAsia" w:ascii="仿宋_GB2312" w:hAnsi="宋体" w:cs="宋体"/>
                <w:b/>
                <w:bCs/>
                <w:kern w:val="0"/>
                <w:szCs w:val="24"/>
              </w:rPr>
              <w:t>％】</w:t>
            </w:r>
            <w:r>
              <w:rPr>
                <w:rFonts w:hint="eastAsia" w:asciiTheme="minorEastAsia" w:hAnsiTheme="minorEastAsia"/>
                <w:b/>
                <w:color w:val="000000"/>
                <w:szCs w:val="24"/>
              </w:rPr>
              <w:t>，即为发生巨额赎回。</w:t>
            </w:r>
          </w:p>
          <w:p w14:paraId="16E547F2">
            <w:pPr>
              <w:snapToGrid w:val="0"/>
              <w:jc w:val="left"/>
              <w:rPr>
                <w:rFonts w:hint="eastAsia" w:asciiTheme="minorEastAsia" w:hAnsiTheme="minorEastAsia"/>
                <w:b/>
                <w:color w:val="000000"/>
                <w:szCs w:val="24"/>
              </w:rPr>
            </w:pPr>
            <w:r>
              <w:rPr>
                <w:rFonts w:hint="eastAsia" w:asciiTheme="minorEastAsia" w:hAnsiTheme="minorEastAsia"/>
                <w:b/>
                <w:color w:val="000000"/>
                <w:szCs w:val="24"/>
              </w:rPr>
              <w:t>本理财产品在开放日发生巨额赎回时，管理人有权根据产品的实际运作情况采取如下措施中的一种：</w:t>
            </w:r>
          </w:p>
          <w:p w14:paraId="7117B9EB">
            <w:pPr>
              <w:snapToGrid w:val="0"/>
              <w:jc w:val="left"/>
              <w:rPr>
                <w:rFonts w:hint="eastAsia" w:asciiTheme="minorEastAsia" w:hAnsiTheme="minorEastAsia"/>
                <w:b/>
                <w:color w:val="000000"/>
                <w:szCs w:val="24"/>
              </w:rPr>
            </w:pPr>
            <w:r>
              <w:rPr>
                <w:rFonts w:asciiTheme="minorEastAsia" w:hAnsiTheme="minorEastAsia"/>
                <w:b/>
                <w:color w:val="000000"/>
                <w:szCs w:val="24"/>
              </w:rPr>
              <w:t>1.</w:t>
            </w:r>
            <w:r>
              <w:rPr>
                <w:rFonts w:hint="eastAsia" w:asciiTheme="minorEastAsia" w:hAnsiTheme="minorEastAsia"/>
                <w:b/>
                <w:color w:val="000000"/>
                <w:szCs w:val="24"/>
              </w:rPr>
              <w:t>接受全额赎回：当管理人认为有能力兑付投资者的全部赎回申请时，将在赎回确认日按正常赎回程序执行；</w:t>
            </w:r>
          </w:p>
          <w:p w14:paraId="029ED243">
            <w:pPr>
              <w:snapToGrid w:val="0"/>
              <w:jc w:val="left"/>
              <w:rPr>
                <w:rFonts w:hint="eastAsia" w:asciiTheme="minorEastAsia" w:hAnsiTheme="minorEastAsia"/>
                <w:b/>
                <w:color w:val="000000"/>
                <w:szCs w:val="24"/>
              </w:rPr>
            </w:pPr>
            <w:r>
              <w:rPr>
                <w:rFonts w:asciiTheme="minorEastAsia" w:hAnsiTheme="minorEastAsia"/>
                <w:b/>
                <w:color w:val="000000"/>
                <w:szCs w:val="24"/>
              </w:rPr>
              <w:t>2.</w:t>
            </w:r>
            <w:r>
              <w:rPr>
                <w:rFonts w:hint="eastAsia" w:asciiTheme="minorEastAsia" w:hAnsiTheme="minorEastAsia"/>
                <w:b/>
                <w:color w:val="000000"/>
                <w:szCs w:val="24"/>
              </w:rPr>
              <w:t>接受部分赎回：当管理人认为兑付投资者的赎回申请有困难，或认为兑付投资者的赎回申请可能会对本理财产品的资产净值造成较大波动时，在赎回确认日管理人办理的赎回份额将不低于前一日终理财产品总份额的</w:t>
            </w:r>
            <w:r>
              <w:rPr>
                <w:rFonts w:hint="eastAsia" w:ascii="仿宋_GB2312" w:hAnsi="宋体" w:cs="宋体"/>
                <w:b/>
                <w:bCs/>
                <w:kern w:val="0"/>
                <w:szCs w:val="24"/>
              </w:rPr>
              <w:t>【</w:t>
            </w:r>
            <w:r>
              <w:rPr>
                <w:rFonts w:ascii="仿宋_GB2312" w:hAnsi="宋体" w:cs="宋体"/>
                <w:b/>
                <w:bCs/>
                <w:kern w:val="0"/>
                <w:szCs w:val="24"/>
              </w:rPr>
              <w:t>10</w:t>
            </w:r>
            <w:r>
              <w:rPr>
                <w:rFonts w:hint="eastAsia" w:ascii="仿宋_GB2312" w:hAnsi="宋体" w:cs="宋体"/>
                <w:b/>
                <w:bCs/>
                <w:kern w:val="0"/>
                <w:szCs w:val="24"/>
              </w:rPr>
              <w:t>％】</w:t>
            </w:r>
            <w:r>
              <w:rPr>
                <w:rFonts w:hint="eastAsia" w:asciiTheme="minorEastAsia" w:hAnsiTheme="minorEastAsia"/>
                <w:b/>
                <w:color w:val="000000"/>
                <w:szCs w:val="24"/>
              </w:rPr>
              <w:t>，对于其余赎回申请管理人可暂停接受或延期办理。</w:t>
            </w:r>
          </w:p>
          <w:p w14:paraId="314F81A2">
            <w:pPr>
              <w:snapToGrid w:val="0"/>
              <w:jc w:val="left"/>
              <w:rPr>
                <w:rFonts w:hint="eastAsia" w:asciiTheme="minorEastAsia" w:hAnsiTheme="minorEastAsia"/>
                <w:b/>
                <w:color w:val="000000"/>
                <w:szCs w:val="24"/>
              </w:rPr>
            </w:pPr>
            <w:r>
              <w:rPr>
                <w:rFonts w:hint="eastAsia" w:asciiTheme="minorEastAsia" w:hAnsiTheme="minorEastAsia"/>
                <w:b/>
                <w:color w:val="000000"/>
                <w:szCs w:val="24"/>
              </w:rPr>
              <w:t>（</w:t>
            </w:r>
            <w:r>
              <w:rPr>
                <w:rFonts w:asciiTheme="minorEastAsia" w:hAnsiTheme="minorEastAsia"/>
                <w:b/>
                <w:color w:val="000000"/>
                <w:szCs w:val="24"/>
              </w:rPr>
              <w:t>1</w:t>
            </w:r>
            <w:r>
              <w:rPr>
                <w:rFonts w:hint="eastAsia" w:asciiTheme="minorEastAsia" w:hAnsiTheme="minorEastAsia"/>
                <w:b/>
                <w:color w:val="000000"/>
                <w:szCs w:val="24"/>
              </w:rPr>
              <w:t>）对于接受赎回申请的部分，管理人将按单个投资者的赎回申请份额占当日所有投资者的</w:t>
            </w:r>
            <w:r>
              <w:rPr>
                <w:rFonts w:hint="eastAsia" w:asciiTheme="minorEastAsia" w:hAnsiTheme="minorEastAsia"/>
                <w:b/>
                <w:color w:val="000000"/>
                <w:szCs w:val="24"/>
                <w:lang w:eastAsia="zh-CN"/>
              </w:rPr>
              <w:t>净</w:t>
            </w:r>
            <w:r>
              <w:rPr>
                <w:rFonts w:hint="eastAsia" w:asciiTheme="minorEastAsia" w:hAnsiTheme="minorEastAsia"/>
                <w:b/>
                <w:color w:val="000000"/>
                <w:szCs w:val="24"/>
              </w:rPr>
              <w:t>赎回申请总份额的比例，确认该投资者当日办理的赎回申请份额。</w:t>
            </w:r>
          </w:p>
          <w:p w14:paraId="6AFE1F50">
            <w:pPr>
              <w:snapToGrid w:val="0"/>
              <w:jc w:val="left"/>
              <w:rPr>
                <w:rFonts w:hint="eastAsia" w:asciiTheme="minorEastAsia" w:hAnsiTheme="minorEastAsia"/>
                <w:b/>
                <w:color w:val="000000"/>
                <w:szCs w:val="24"/>
              </w:rPr>
            </w:pPr>
            <w:r>
              <w:rPr>
                <w:rFonts w:hint="eastAsia" w:asciiTheme="minorEastAsia" w:hAnsiTheme="minorEastAsia"/>
                <w:b/>
                <w:color w:val="000000"/>
                <w:szCs w:val="24"/>
              </w:rPr>
              <w:t>（</w:t>
            </w:r>
            <w:r>
              <w:rPr>
                <w:rFonts w:asciiTheme="minorEastAsia" w:hAnsiTheme="minorEastAsia"/>
                <w:b/>
                <w:color w:val="000000"/>
                <w:szCs w:val="24"/>
              </w:rPr>
              <w:t>2</w:t>
            </w:r>
            <w:r>
              <w:rPr>
                <w:rFonts w:hint="eastAsia" w:asciiTheme="minorEastAsia" w:hAnsiTheme="minorEastAsia"/>
                <w:b/>
                <w:color w:val="000000"/>
                <w:szCs w:val="24"/>
              </w:rPr>
              <w:t>）对于暂停接受的部分，管理人将拒绝该部分赎回申请，投资者可在下一个投资周期再次预约赎回。</w:t>
            </w:r>
          </w:p>
          <w:p w14:paraId="0F058E51">
            <w:pPr>
              <w:keepNext w:val="0"/>
              <w:keepLines w:val="0"/>
              <w:widowControl/>
              <w:numPr>
                <w:ilvl w:val="-1"/>
                <w:numId w:val="0"/>
              </w:numPr>
              <w:suppressLineNumbers w:val="0"/>
              <w:spacing w:line="400" w:lineRule="exact"/>
              <w:jc w:val="left"/>
              <w:textAlignment w:val="center"/>
              <w:rPr>
                <w:rFonts w:hint="eastAsia" w:asciiTheme="minorEastAsia" w:hAnsiTheme="minorEastAsia"/>
                <w:b/>
                <w:color w:val="000000"/>
                <w:szCs w:val="24"/>
              </w:rPr>
            </w:pPr>
            <w:r>
              <w:rPr>
                <w:rFonts w:hint="eastAsia" w:asciiTheme="minorEastAsia" w:hAnsiTheme="minorEastAsia"/>
                <w:b/>
                <w:color w:val="000000"/>
                <w:szCs w:val="24"/>
              </w:rPr>
              <w:t>（</w:t>
            </w:r>
            <w:r>
              <w:rPr>
                <w:rFonts w:asciiTheme="minorEastAsia" w:hAnsiTheme="minorEastAsia"/>
                <w:b/>
                <w:color w:val="000000"/>
                <w:szCs w:val="24"/>
              </w:rPr>
              <w:t>3</w:t>
            </w:r>
            <w:r>
              <w:rPr>
                <w:rFonts w:hint="eastAsia" w:asciiTheme="minorEastAsia" w:hAnsiTheme="minorEastAsia"/>
                <w:b/>
                <w:color w:val="000000"/>
                <w:szCs w:val="24"/>
              </w:rPr>
              <w:t>）对于延期办理的部分，管理人将在下一个有产品份额赎回的产品开放日自动为投资者发起该部分的赎回，延期赎回的申请与该</w:t>
            </w:r>
            <w:r>
              <w:rPr>
                <w:rFonts w:hint="eastAsia" w:asciiTheme="minorEastAsia" w:hAnsiTheme="minorEastAsia"/>
                <w:b/>
                <w:color w:val="000000"/>
                <w:szCs w:val="24"/>
                <w:lang w:eastAsia="zh-CN"/>
              </w:rPr>
              <w:t>【</w:t>
            </w:r>
            <w:r>
              <w:rPr>
                <w:rFonts w:hint="eastAsia" w:ascii="仿宋_GB2312" w:hAnsi="宋体" w:cs="宋体"/>
                <w:bCs/>
                <w:color w:val="000000" w:themeColor="text1"/>
                <w:kern w:val="0"/>
                <w:szCs w:val="24"/>
                <w:highlight w:val="yellow"/>
                <w:lang w:eastAsia="zh-CN"/>
                <w14:textFill>
                  <w14:solidFill>
                    <w14:schemeClr w14:val="tx1"/>
                  </w14:solidFill>
                </w14:textFill>
              </w:rPr>
              <w:t>开放日】</w:t>
            </w:r>
            <w:r>
              <w:rPr>
                <w:rFonts w:hint="eastAsia" w:asciiTheme="minorEastAsia" w:hAnsiTheme="minorEastAsia"/>
                <w:b/>
                <w:color w:val="000000"/>
                <w:szCs w:val="24"/>
              </w:rPr>
              <w:t>的赎回申请一并处理，不享有优先确认权，且赎回净值为该产品开放日的净值，直至该部分全部被确认。在延期办理的部分全部被确认前，投资者不可撤销该部分的赎回申请。本理财产品发生巨额赎回、管理人接受部分赎回时，对于暂停接受和延期办理的部分，管理人可能需在下一个</w:t>
            </w:r>
            <w:r>
              <w:rPr>
                <w:rFonts w:hint="eastAsia" w:asciiTheme="minorEastAsia" w:hAnsiTheme="minorEastAsia"/>
                <w:b/>
                <w:color w:val="000000"/>
                <w:szCs w:val="24"/>
                <w:highlight w:val="yellow"/>
                <w:lang w:eastAsia="zh-CN"/>
              </w:rPr>
              <w:t>【</w:t>
            </w:r>
            <w:r>
              <w:rPr>
                <w:rFonts w:hint="eastAsia" w:asciiTheme="minorEastAsia" w:hAnsiTheme="minorEastAsia"/>
                <w:b/>
                <w:color w:val="000000"/>
                <w:szCs w:val="24"/>
                <w:highlight w:val="yellow"/>
              </w:rPr>
              <w:t>开放日</w:t>
            </w:r>
            <w:r>
              <w:rPr>
                <w:rFonts w:hint="eastAsia" w:asciiTheme="minorEastAsia" w:hAnsiTheme="minorEastAsia"/>
                <w:b/>
                <w:color w:val="000000"/>
                <w:szCs w:val="24"/>
                <w:highlight w:val="yellow"/>
                <w:lang w:eastAsia="zh-CN"/>
              </w:rPr>
              <w:t>】</w:t>
            </w:r>
            <w:r>
              <w:rPr>
                <w:rFonts w:hint="eastAsia" w:asciiTheme="minorEastAsia" w:hAnsiTheme="minorEastAsia"/>
                <w:b/>
                <w:color w:val="000000"/>
                <w:szCs w:val="24"/>
              </w:rPr>
              <w:t>才可确认，可能影响投资者的资金安排。根据不同销售机构提供的服务，投资者可以在申请赎回（预约赎回）时选择在触发巨额赎回情形下将当日未获办理部分取消或者顺延。投资者选择取消的，未获办理部分管理人将参考“</w:t>
            </w:r>
            <w:r>
              <w:rPr>
                <w:rFonts w:asciiTheme="minorEastAsia" w:hAnsiTheme="minorEastAsia"/>
                <w:b/>
                <w:color w:val="000000"/>
                <w:szCs w:val="24"/>
              </w:rPr>
              <w:t>2.</w:t>
            </w:r>
            <w:r>
              <w:rPr>
                <w:rFonts w:hint="eastAsia" w:asciiTheme="minorEastAsia" w:hAnsiTheme="minorEastAsia"/>
                <w:b/>
                <w:color w:val="000000"/>
                <w:szCs w:val="24"/>
              </w:rPr>
              <w:t>接受部分赎回（</w:t>
            </w:r>
            <w:r>
              <w:rPr>
                <w:rFonts w:asciiTheme="minorEastAsia" w:hAnsiTheme="minorEastAsia"/>
                <w:b/>
                <w:color w:val="000000"/>
                <w:szCs w:val="24"/>
              </w:rPr>
              <w:t>2</w:t>
            </w:r>
            <w:r>
              <w:rPr>
                <w:rFonts w:hint="eastAsia" w:asciiTheme="minorEastAsia" w:hAnsiTheme="minorEastAsia"/>
                <w:b/>
                <w:color w:val="000000"/>
                <w:szCs w:val="24"/>
              </w:rPr>
              <w:t>）对于暂停接受的部分”采取措施；投资者选择顺延的，顺延部分管理人将参考“</w:t>
            </w:r>
            <w:r>
              <w:rPr>
                <w:rFonts w:asciiTheme="minorEastAsia" w:hAnsiTheme="minorEastAsia"/>
                <w:b/>
                <w:color w:val="000000"/>
                <w:szCs w:val="24"/>
              </w:rPr>
              <w:t>2.</w:t>
            </w:r>
            <w:r>
              <w:rPr>
                <w:rFonts w:hint="eastAsia" w:asciiTheme="minorEastAsia" w:hAnsiTheme="minorEastAsia"/>
                <w:b/>
                <w:color w:val="000000"/>
                <w:szCs w:val="24"/>
              </w:rPr>
              <w:t>接受部分赎回（</w:t>
            </w:r>
            <w:r>
              <w:rPr>
                <w:rFonts w:asciiTheme="minorEastAsia" w:hAnsiTheme="minorEastAsia"/>
                <w:b/>
                <w:color w:val="000000"/>
                <w:szCs w:val="24"/>
              </w:rPr>
              <w:t>3</w:t>
            </w:r>
            <w:r>
              <w:rPr>
                <w:rFonts w:hint="eastAsia" w:asciiTheme="minorEastAsia" w:hAnsiTheme="minorEastAsia"/>
                <w:b/>
                <w:color w:val="000000"/>
                <w:szCs w:val="24"/>
              </w:rPr>
              <w:t>）对于延期办理的部分”采取措施。具体服务投资者可详询销售机构，最终以销售机构提供的服务为准。</w:t>
            </w:r>
            <w:bookmarkEnd w:id="0"/>
          </w:p>
          <w:p w14:paraId="4D5808AC">
            <w:pPr>
              <w:keepNext w:val="0"/>
              <w:keepLines w:val="0"/>
              <w:widowControl/>
              <w:numPr>
                <w:ilvl w:val="-1"/>
                <w:numId w:val="0"/>
              </w:numPr>
              <w:suppressLineNumbers w:val="0"/>
              <w:spacing w:line="400" w:lineRule="exact"/>
              <w:jc w:val="left"/>
              <w:textAlignment w:val="center"/>
              <w:rPr>
                <w:rFonts w:hint="eastAsia" w:ascii="宋体" w:hAnsi="宋体"/>
                <w:b/>
                <w:bCs w:val="0"/>
                <w:color w:val="auto"/>
                <w:szCs w:val="24"/>
                <w:highlight w:val="none"/>
                <w:u w:val="none"/>
              </w:rPr>
            </w:pPr>
            <w:r>
              <w:rPr>
                <w:rFonts w:hint="eastAsia" w:ascii="宋体" w:hAnsi="宋体" w:cstheme="minorBidi"/>
                <w:b/>
                <w:bCs w:val="0"/>
                <w:color w:val="auto"/>
                <w:kern w:val="2"/>
                <w:sz w:val="24"/>
                <w:szCs w:val="24"/>
                <w:highlight w:val="none"/>
                <w:u w:val="none"/>
                <w:lang w:val="en-US" w:eastAsia="zh-CN" w:bidi="ar"/>
              </w:rPr>
              <w:t>3.</w:t>
            </w:r>
            <w:r>
              <w:rPr>
                <w:rFonts w:hint="eastAsia" w:ascii="宋体" w:hAnsi="宋体" w:eastAsia="仿宋_GB2312" w:cstheme="minorBidi"/>
                <w:b/>
                <w:bCs w:val="0"/>
                <w:color w:val="auto"/>
                <w:kern w:val="2"/>
                <w:sz w:val="24"/>
                <w:szCs w:val="24"/>
                <w:highlight w:val="none"/>
                <w:u w:val="none"/>
                <w:lang w:val="en-US" w:eastAsia="zh-CN" w:bidi="ar"/>
              </w:rPr>
              <w:t>收取短期赎回费：产品发生巨额赎回或产品管理人认为可能会导致产品流动性风险的其他情形下，产品管理人可向连续持有少于7日的开放式理财产品投资者收取短期赎回费，并将上述短期赎回费全额计入理财产品财产。产品管理人将在收取短期赎回费后3个</w:t>
            </w:r>
            <w:r>
              <w:rPr>
                <w:rFonts w:hint="eastAsia" w:ascii="宋体" w:hAnsi="宋体" w:cstheme="minorBidi"/>
                <w:b/>
                <w:bCs w:val="0"/>
                <w:color w:val="auto"/>
                <w:kern w:val="2"/>
                <w:sz w:val="24"/>
                <w:szCs w:val="24"/>
                <w:highlight w:val="none"/>
                <w:u w:val="none"/>
                <w:lang w:val="en-US" w:eastAsia="zh-CN" w:bidi="ar"/>
              </w:rPr>
              <w:t>交易日</w:t>
            </w:r>
            <w:r>
              <w:rPr>
                <w:rFonts w:hint="eastAsia" w:ascii="宋体" w:hAnsi="宋体" w:eastAsia="仿宋_GB2312" w:cstheme="minorBidi"/>
                <w:b/>
                <w:bCs w:val="0"/>
                <w:color w:val="auto"/>
                <w:kern w:val="2"/>
                <w:sz w:val="24"/>
                <w:szCs w:val="24"/>
                <w:highlight w:val="none"/>
                <w:u w:val="none"/>
                <w:lang w:val="en-US" w:eastAsia="zh-CN" w:bidi="ar"/>
              </w:rPr>
              <w:t>内通过公告的形式向相关投资者披露短期赎回费率、费用计算方式、收费方式等信息。</w:t>
            </w:r>
          </w:p>
          <w:p w14:paraId="54A917B0">
            <w:pPr>
              <w:widowControl/>
              <w:spacing w:line="400" w:lineRule="exact"/>
              <w:jc w:val="left"/>
              <w:textAlignment w:val="center"/>
              <w:rPr>
                <w:rFonts w:hint="eastAsia" w:asciiTheme="minorEastAsia" w:hAnsiTheme="minorEastAsia"/>
                <w:b/>
                <w:color w:val="auto"/>
                <w:szCs w:val="24"/>
                <w:highlight w:val="none"/>
                <w:u w:val="none"/>
              </w:rPr>
            </w:pPr>
          </w:p>
          <w:p w14:paraId="2FD9170A">
            <w:pPr>
              <w:widowControl/>
              <w:spacing w:line="400" w:lineRule="exact"/>
              <w:jc w:val="left"/>
              <w:textAlignment w:val="center"/>
              <w:rPr>
                <w:rFonts w:hint="eastAsia"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当本理财产品连续</w:t>
            </w:r>
            <w:r>
              <w:rPr>
                <w:rFonts w:ascii="仿宋_GB2312" w:hAnsi="宋体" w:cs="宋体"/>
                <w:b/>
                <w:bCs/>
                <w:color w:val="auto"/>
                <w:kern w:val="0"/>
                <w:szCs w:val="24"/>
                <w:highlight w:val="none"/>
                <w:u w:val="none"/>
              </w:rPr>
              <w:t>2</w:t>
            </w:r>
            <w:r>
              <w:rPr>
                <w:rFonts w:hint="eastAsia" w:ascii="仿宋_GB2312" w:hAnsi="宋体" w:cs="宋体"/>
                <w:b/>
                <w:bCs/>
                <w:color w:val="auto"/>
                <w:kern w:val="0"/>
                <w:szCs w:val="24"/>
                <w:highlight w:val="none"/>
                <w:u w:val="none"/>
              </w:rPr>
              <w:t>个以上开放日发生巨额赎回时，除采取上述措施外，对于已经接受的赎回申请，管理人有权延缓支付赎回款项，但延缓期限不得超过</w:t>
            </w:r>
            <w:r>
              <w:rPr>
                <w:rFonts w:ascii="仿宋_GB2312" w:hAnsi="宋体" w:cs="宋体"/>
                <w:b/>
                <w:bCs/>
                <w:color w:val="auto"/>
                <w:kern w:val="0"/>
                <w:szCs w:val="24"/>
                <w:highlight w:val="none"/>
                <w:u w:val="none"/>
              </w:rPr>
              <w:t>20</w:t>
            </w:r>
            <w:r>
              <w:rPr>
                <w:rFonts w:hint="eastAsia" w:ascii="仿宋_GB2312" w:hAnsi="宋体" w:cs="宋体"/>
                <w:b/>
                <w:bCs/>
                <w:color w:val="auto"/>
                <w:kern w:val="0"/>
                <w:szCs w:val="24"/>
                <w:highlight w:val="none"/>
                <w:u w:val="none"/>
              </w:rPr>
              <w:t>个工作日。</w:t>
            </w:r>
          </w:p>
        </w:tc>
      </w:tr>
      <w:tr w14:paraId="65B69FBD">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E594079">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Theme="minorEastAsia" w:hAnsiTheme="minorEastAsia"/>
                <w:color w:val="auto"/>
                <w:kern w:val="0"/>
                <w:szCs w:val="24"/>
                <w:highlight w:val="none"/>
                <w:u w:val="none"/>
              </w:rPr>
              <w:t>撤销规则</w:t>
            </w:r>
          </w:p>
        </w:tc>
        <w:tc>
          <w:tcPr>
            <w:tcW w:w="6972" w:type="dxa"/>
            <w:tcBorders>
              <w:top w:val="single" w:color="auto" w:sz="4" w:space="0"/>
              <w:left w:val="single" w:color="auto" w:sz="4" w:space="0"/>
              <w:bottom w:val="single" w:color="auto" w:sz="4" w:space="0"/>
              <w:right w:val="single" w:color="auto" w:sz="4" w:space="0"/>
            </w:tcBorders>
            <w:vAlign w:val="center"/>
          </w:tcPr>
          <w:p w14:paraId="653B778F">
            <w:pPr>
              <w:snapToGrid w:val="0"/>
              <w:jc w:val="left"/>
              <w:rPr>
                <w:rFonts w:asciiTheme="minorEastAsia" w:hAnsiTheme="minorEastAsia"/>
                <w:color w:val="auto"/>
                <w:szCs w:val="24"/>
                <w:highlight w:val="none"/>
                <w:u w:val="none"/>
              </w:rPr>
            </w:pPr>
            <w:r>
              <w:rPr>
                <w:rFonts w:hint="eastAsia" w:asciiTheme="minorEastAsia" w:hAnsiTheme="minorEastAsia"/>
                <w:color w:val="auto"/>
                <w:szCs w:val="24"/>
                <w:highlight w:val="none"/>
                <w:u w:val="none"/>
              </w:rPr>
              <w:t>1.投资者可在本理财产品募集期结束前撤销已成功提交的产品认购申请；</w:t>
            </w:r>
          </w:p>
          <w:p w14:paraId="15AC3378">
            <w:pPr>
              <w:snapToGrid w:val="0"/>
              <w:jc w:val="left"/>
              <w:rPr>
                <w:rFonts w:asciiTheme="minorEastAsia" w:hAnsiTheme="minorEastAsia"/>
                <w:color w:val="auto"/>
                <w:szCs w:val="24"/>
                <w:highlight w:val="none"/>
                <w:u w:val="none"/>
              </w:rPr>
            </w:pPr>
            <w:r>
              <w:rPr>
                <w:rFonts w:hint="eastAsia" w:asciiTheme="minorEastAsia" w:hAnsiTheme="minorEastAsia"/>
                <w:color w:val="auto"/>
                <w:szCs w:val="24"/>
                <w:highlight w:val="none"/>
                <w:u w:val="none"/>
              </w:rPr>
              <w:t>2.投资者可</w:t>
            </w:r>
            <w:r>
              <w:rPr>
                <w:rFonts w:hint="eastAsia" w:asciiTheme="minorEastAsia" w:hAnsiTheme="minorEastAsia"/>
                <w:b/>
                <w:color w:val="auto"/>
                <w:szCs w:val="24"/>
                <w:highlight w:val="none"/>
                <w:u w:val="none"/>
              </w:rPr>
              <w:t>在任一开放日</w:t>
            </w:r>
            <w:r>
              <w:rPr>
                <w:rFonts w:hint="eastAsia" w:asciiTheme="minorEastAsia" w:hAnsiTheme="minorEastAsia"/>
                <w:b/>
                <w:color w:val="auto"/>
                <w:szCs w:val="24"/>
                <w:highlight w:val="yellow"/>
                <w:u w:val="none"/>
              </w:rPr>
              <w:t>【</w:t>
            </w:r>
            <w:r>
              <w:rPr>
                <w:rFonts w:hint="eastAsia" w:asciiTheme="minorEastAsia" w:hAnsiTheme="minorEastAsia"/>
                <w:b/>
                <w:color w:val="auto"/>
                <w:szCs w:val="24"/>
                <w:highlight w:val="yellow"/>
                <w:u w:val="none"/>
                <w:lang w:val="en-US" w:eastAsia="zh-CN"/>
              </w:rPr>
              <w:t>xx</w:t>
            </w:r>
            <w:r>
              <w:rPr>
                <w:rFonts w:hint="eastAsia" w:asciiTheme="minorEastAsia" w:hAnsiTheme="minorEastAsia"/>
                <w:b/>
                <w:color w:val="auto"/>
                <w:szCs w:val="24"/>
                <w:highlight w:val="yellow"/>
                <w:u w:val="none"/>
              </w:rPr>
              <w:t>:</w:t>
            </w:r>
            <w:r>
              <w:rPr>
                <w:rFonts w:hint="eastAsia" w:asciiTheme="minorEastAsia" w:hAnsiTheme="minorEastAsia"/>
                <w:b/>
                <w:color w:val="auto"/>
                <w:szCs w:val="24"/>
                <w:highlight w:val="yellow"/>
                <w:u w:val="none"/>
                <w:lang w:val="en-US" w:eastAsia="zh-CN"/>
              </w:rPr>
              <w:t>xx</w:t>
            </w:r>
            <w:r>
              <w:rPr>
                <w:rFonts w:hint="eastAsia" w:asciiTheme="minorEastAsia" w:hAnsiTheme="minorEastAsia"/>
                <w:b/>
                <w:color w:val="auto"/>
                <w:szCs w:val="24"/>
                <w:highlight w:val="yellow"/>
                <w:u w:val="none"/>
              </w:rPr>
              <w:t>】</w:t>
            </w:r>
            <w:r>
              <w:rPr>
                <w:rFonts w:hint="eastAsia" w:asciiTheme="minorEastAsia" w:hAnsiTheme="minorEastAsia"/>
                <w:b/>
                <w:color w:val="auto"/>
                <w:szCs w:val="24"/>
                <w:highlight w:val="none"/>
                <w:u w:val="none"/>
              </w:rPr>
              <w:t>前（含）撤销已成功提交的理财产品申购、赎回申请，</w:t>
            </w:r>
            <w:r>
              <w:rPr>
                <w:rFonts w:hint="eastAsia" w:asciiTheme="minorEastAsia" w:hAnsiTheme="minorEastAsia"/>
                <w:b/>
                <w:color w:val="auto"/>
                <w:szCs w:val="24"/>
                <w:highlight w:val="yellow"/>
                <w:u w:val="none"/>
              </w:rPr>
              <w:t>【</w:t>
            </w:r>
            <w:r>
              <w:rPr>
                <w:rFonts w:hint="eastAsia" w:asciiTheme="minorEastAsia" w:hAnsiTheme="minorEastAsia"/>
                <w:b/>
                <w:color w:val="auto"/>
                <w:szCs w:val="24"/>
                <w:highlight w:val="yellow"/>
                <w:u w:val="none"/>
                <w:lang w:val="en-US" w:eastAsia="zh-CN"/>
              </w:rPr>
              <w:t>xx</w:t>
            </w:r>
            <w:r>
              <w:rPr>
                <w:rFonts w:hint="eastAsia" w:asciiTheme="minorEastAsia" w:hAnsiTheme="minorEastAsia"/>
                <w:b/>
                <w:color w:val="auto"/>
                <w:szCs w:val="24"/>
                <w:highlight w:val="yellow"/>
                <w:u w:val="none"/>
              </w:rPr>
              <w:t>:</w:t>
            </w:r>
            <w:r>
              <w:rPr>
                <w:rFonts w:hint="eastAsia" w:asciiTheme="minorEastAsia" w:hAnsiTheme="minorEastAsia"/>
                <w:b/>
                <w:color w:val="auto"/>
                <w:szCs w:val="24"/>
                <w:highlight w:val="yellow"/>
                <w:u w:val="none"/>
                <w:lang w:val="en-US" w:eastAsia="zh-CN"/>
              </w:rPr>
              <w:t>xx</w:t>
            </w:r>
            <w:r>
              <w:rPr>
                <w:rFonts w:hint="eastAsia" w:asciiTheme="minorEastAsia" w:hAnsiTheme="minorEastAsia"/>
                <w:b/>
                <w:color w:val="auto"/>
                <w:szCs w:val="24"/>
                <w:highlight w:val="yellow"/>
                <w:u w:val="none"/>
              </w:rPr>
              <w:t>】</w:t>
            </w:r>
            <w:r>
              <w:rPr>
                <w:rFonts w:hint="eastAsia" w:asciiTheme="minorEastAsia" w:hAnsiTheme="minorEastAsia"/>
                <w:b/>
                <w:color w:val="auto"/>
                <w:szCs w:val="24"/>
                <w:highlight w:val="none"/>
                <w:u w:val="none"/>
              </w:rPr>
              <w:t>后不可撤销</w:t>
            </w:r>
            <w:r>
              <w:rPr>
                <w:rFonts w:hint="eastAsia" w:asciiTheme="minorEastAsia" w:hAnsiTheme="minorEastAsia"/>
                <w:color w:val="auto"/>
                <w:szCs w:val="24"/>
                <w:highlight w:val="none"/>
                <w:u w:val="none"/>
              </w:rPr>
              <w:t>；</w:t>
            </w:r>
          </w:p>
          <w:p w14:paraId="03B0F048">
            <w:pPr>
              <w:snapToGrid w:val="0"/>
              <w:jc w:val="left"/>
              <w:rPr>
                <w:rFonts w:hint="eastAsia" w:ascii="仿宋" w:hAnsi="仿宋" w:eastAsia="仿宋" w:cs="宋体"/>
                <w:bCs/>
                <w:color w:val="000000" w:themeColor="text1"/>
                <w:kern w:val="0"/>
                <w:sz w:val="24"/>
                <w:lang w:bidi="ar"/>
                <w14:textFill>
                  <w14:solidFill>
                    <w14:schemeClr w14:val="tx1"/>
                  </w14:solidFill>
                </w14:textFill>
              </w:rPr>
            </w:pPr>
            <w:r>
              <w:rPr>
                <w:rFonts w:hint="eastAsia" w:asciiTheme="minorEastAsia" w:hAnsiTheme="minorEastAsia"/>
                <w:color w:val="auto"/>
                <w:szCs w:val="24"/>
                <w:highlight w:val="none"/>
                <w:u w:val="none"/>
              </w:rPr>
              <w:t>3.</w:t>
            </w:r>
            <w:r>
              <w:rPr>
                <w:rFonts w:hint="eastAsia"/>
                <w:b/>
                <w:color w:val="auto"/>
                <w:szCs w:val="24"/>
                <w:highlight w:val="none"/>
                <w:u w:val="none"/>
              </w:rPr>
              <w:t>销售机构实际受理撤销申请时间可能与说明书不一致，具体以销售机构展示为准。</w:t>
            </w:r>
          </w:p>
        </w:tc>
      </w:tr>
      <w:tr w14:paraId="0FFBD991">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5A74FF1">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bCs/>
                <w:color w:val="auto"/>
                <w:szCs w:val="24"/>
                <w:highlight w:val="none"/>
                <w:u w:val="none"/>
              </w:rPr>
              <w:t>认/申购数量</w:t>
            </w:r>
            <w:r>
              <w:rPr>
                <w:rFonts w:ascii="宋体" w:hAnsi="宋体"/>
                <w:bCs/>
                <w:color w:val="auto"/>
                <w:szCs w:val="24"/>
                <w:highlight w:val="none"/>
                <w:u w:val="none"/>
              </w:rPr>
              <w:t>限制</w:t>
            </w:r>
          </w:p>
        </w:tc>
        <w:tc>
          <w:tcPr>
            <w:tcW w:w="6972" w:type="dxa"/>
            <w:tcBorders>
              <w:top w:val="single" w:color="auto" w:sz="4" w:space="0"/>
              <w:left w:val="single" w:color="auto" w:sz="4" w:space="0"/>
              <w:bottom w:val="single" w:color="auto" w:sz="4" w:space="0"/>
              <w:right w:val="single" w:color="auto" w:sz="4" w:space="0"/>
            </w:tcBorders>
            <w:vAlign w:val="center"/>
          </w:tcPr>
          <w:p w14:paraId="0827BA4D">
            <w:pPr>
              <w:widowControl/>
              <w:numPr>
                <w:ilvl w:val="0"/>
                <w:numId w:val="6"/>
              </w:numPr>
              <w:jc w:val="left"/>
              <w:rPr>
                <w:rFonts w:asciiTheme="minorEastAsia" w:hAnsiTheme="minorEastAsia"/>
                <w:color w:val="auto"/>
                <w:szCs w:val="24"/>
                <w:highlight w:val="none"/>
                <w:u w:val="none"/>
              </w:rPr>
            </w:pPr>
            <w:r>
              <w:rPr>
                <w:rFonts w:hint="eastAsia" w:ascii="宋体" w:hAnsi="宋体"/>
                <w:bCs/>
                <w:color w:val="auto"/>
                <w:szCs w:val="24"/>
                <w:highlight w:val="yellow"/>
                <w:u w:val="none"/>
                <w:lang w:val="en-US" w:eastAsia="zh-CN"/>
              </w:rPr>
              <w:t>【A类份额】</w:t>
            </w:r>
            <w:r>
              <w:rPr>
                <w:rFonts w:hint="eastAsia" w:ascii="宋体" w:hAnsi="宋体"/>
                <w:bCs/>
                <w:color w:val="auto"/>
                <w:szCs w:val="24"/>
                <w:highlight w:val="none"/>
                <w:u w:val="none"/>
                <w:lang w:val="en-US" w:eastAsia="zh-CN"/>
              </w:rPr>
              <w:t>：</w:t>
            </w:r>
            <w:r>
              <w:rPr>
                <w:rFonts w:hint="eastAsia" w:ascii="宋体" w:hAnsi="宋体"/>
                <w:bCs/>
                <w:color w:val="auto"/>
                <w:szCs w:val="24"/>
                <w:highlight w:val="yellow"/>
                <w:u w:val="none"/>
                <w:lang w:val="en-US" w:eastAsia="zh-CN"/>
              </w:rPr>
              <w:t>【</w:t>
            </w:r>
            <w:r>
              <w:rPr>
                <w:rFonts w:hint="eastAsia" w:ascii="宋体" w:hAnsi="宋体"/>
                <w:bCs/>
                <w:color w:val="auto"/>
                <w:szCs w:val="24"/>
                <w:highlight w:val="yellow"/>
                <w:u w:val="none"/>
                <w:lang w:eastAsia="zh-CN"/>
              </w:rPr>
              <w:t>单一</w:t>
            </w:r>
            <w:r>
              <w:rPr>
                <w:rFonts w:hint="eastAsia" w:ascii="宋体" w:hAnsi="宋体"/>
                <w:bCs/>
                <w:color w:val="auto"/>
                <w:szCs w:val="24"/>
                <w:highlight w:val="yellow"/>
                <w:u w:val="none"/>
                <w:lang w:val="en-US" w:eastAsia="zh-CN"/>
              </w:rPr>
              <w:t>/个人/机构</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投资者认购上限为</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万元。</w:t>
            </w:r>
            <w:r>
              <w:rPr>
                <w:rFonts w:hint="eastAsia" w:ascii="宋体" w:hAnsi="宋体"/>
                <w:bCs/>
                <w:color w:val="auto"/>
                <w:szCs w:val="24"/>
                <w:highlight w:val="none"/>
                <w:u w:val="none"/>
                <w:lang w:val="en-US" w:eastAsia="zh-CN"/>
              </w:rPr>
              <w:t>【</w:t>
            </w:r>
            <w:r>
              <w:rPr>
                <w:rFonts w:hint="eastAsia" w:ascii="宋体" w:hAnsi="宋体"/>
                <w:bCs/>
                <w:color w:val="auto"/>
                <w:szCs w:val="24"/>
                <w:highlight w:val="none"/>
                <w:u w:val="none"/>
                <w:lang w:eastAsia="zh-CN"/>
              </w:rPr>
              <w:t>单一】</w:t>
            </w:r>
            <w:r>
              <w:rPr>
                <w:rFonts w:hint="eastAsia" w:ascii="宋体" w:hAnsi="宋体"/>
                <w:bCs/>
                <w:color w:val="auto"/>
                <w:szCs w:val="24"/>
                <w:highlight w:val="none"/>
                <w:u w:val="none"/>
              </w:rPr>
              <w:t>投资者申购上限为</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万元，在产品运作过程中因收益分配、净值波动等被动超上限的情形除外。</w:t>
            </w:r>
          </w:p>
          <w:p w14:paraId="283DC5A5">
            <w:pPr>
              <w:widowControl/>
              <w:numPr>
                <w:ilvl w:val="0"/>
                <w:numId w:val="6"/>
              </w:numPr>
              <w:jc w:val="left"/>
              <w:rPr>
                <w:rFonts w:asciiTheme="minorEastAsia" w:hAnsiTheme="minorEastAsia"/>
                <w:color w:val="auto"/>
                <w:szCs w:val="24"/>
                <w:highlight w:val="none"/>
                <w:u w:val="none"/>
              </w:rPr>
            </w:pPr>
            <w:r>
              <w:rPr>
                <w:rFonts w:hint="eastAsia" w:ascii="宋体" w:hAnsi="宋体"/>
                <w:bCs/>
                <w:color w:val="auto"/>
                <w:szCs w:val="24"/>
                <w:highlight w:val="yellow"/>
                <w:u w:val="none"/>
                <w:lang w:val="en-US" w:eastAsia="zh-CN"/>
              </w:rPr>
              <w:t>【B类份额】</w:t>
            </w:r>
            <w:r>
              <w:rPr>
                <w:rFonts w:hint="eastAsia" w:asciiTheme="minorEastAsia" w:hAnsiTheme="minorEastAsia"/>
                <w:color w:val="auto"/>
                <w:szCs w:val="24"/>
                <w:highlight w:val="none"/>
                <w:u w:val="none"/>
                <w:lang w:val="en-US" w:eastAsia="zh-CN"/>
              </w:rPr>
              <w:t>：</w:t>
            </w:r>
            <w:r>
              <w:rPr>
                <w:rFonts w:hint="eastAsia" w:ascii="宋体" w:hAnsi="宋体"/>
                <w:bCs/>
                <w:color w:val="auto"/>
                <w:szCs w:val="24"/>
                <w:highlight w:val="yellow"/>
                <w:u w:val="none"/>
                <w:lang w:val="en-US" w:eastAsia="zh-CN"/>
              </w:rPr>
              <w:t>【</w:t>
            </w:r>
            <w:r>
              <w:rPr>
                <w:rFonts w:hint="eastAsia" w:ascii="宋体" w:hAnsi="宋体"/>
                <w:bCs/>
                <w:color w:val="auto"/>
                <w:szCs w:val="24"/>
                <w:highlight w:val="yellow"/>
                <w:u w:val="none"/>
                <w:lang w:eastAsia="zh-CN"/>
              </w:rPr>
              <w:t>单一</w:t>
            </w:r>
            <w:r>
              <w:rPr>
                <w:rFonts w:hint="eastAsia" w:ascii="宋体" w:hAnsi="宋体"/>
                <w:bCs/>
                <w:color w:val="auto"/>
                <w:szCs w:val="24"/>
                <w:highlight w:val="yellow"/>
                <w:u w:val="none"/>
                <w:lang w:val="en-US" w:eastAsia="zh-CN"/>
              </w:rPr>
              <w:t>/个人/机构</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投投资者认购上限为</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万元。</w:t>
            </w:r>
            <w:r>
              <w:rPr>
                <w:rFonts w:hint="eastAsia" w:ascii="宋体" w:hAnsi="宋体"/>
                <w:bCs/>
                <w:color w:val="auto"/>
                <w:szCs w:val="24"/>
                <w:highlight w:val="yellow"/>
                <w:u w:val="none"/>
                <w:lang w:val="en-US" w:eastAsia="zh-CN"/>
              </w:rPr>
              <w:t>【</w:t>
            </w:r>
            <w:r>
              <w:rPr>
                <w:rFonts w:hint="eastAsia" w:ascii="宋体" w:hAnsi="宋体"/>
                <w:bCs/>
                <w:color w:val="auto"/>
                <w:szCs w:val="24"/>
                <w:highlight w:val="yellow"/>
                <w:u w:val="none"/>
                <w:lang w:eastAsia="zh-CN"/>
              </w:rPr>
              <w:t>单一</w:t>
            </w:r>
            <w:r>
              <w:rPr>
                <w:rFonts w:hint="eastAsia" w:ascii="宋体" w:hAnsi="宋体"/>
                <w:bCs/>
                <w:color w:val="auto"/>
                <w:szCs w:val="24"/>
                <w:highlight w:val="yellow"/>
                <w:u w:val="none"/>
                <w:lang w:val="en-US" w:eastAsia="zh-CN"/>
              </w:rPr>
              <w:t>/个人/机构</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投资者申购上限为</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万元，在产品运作过程中因收益分配、净值波动等被动超上限的情形除外。</w:t>
            </w:r>
          </w:p>
          <w:p w14:paraId="161DDDC7">
            <w:pPr>
              <w:widowControl/>
              <w:numPr>
                <w:ilvl w:val="0"/>
                <w:numId w:val="6"/>
              </w:numPr>
              <w:jc w:val="left"/>
              <w:rPr>
                <w:rFonts w:asciiTheme="minorEastAsia" w:hAnsiTheme="minorEastAsia"/>
                <w:color w:val="auto"/>
                <w:szCs w:val="24"/>
                <w:highlight w:val="none"/>
                <w:u w:val="none"/>
              </w:rPr>
            </w:pPr>
            <w:r>
              <w:rPr>
                <w:rFonts w:hint="eastAsia" w:ascii="宋体" w:hAnsi="宋体"/>
                <w:bCs/>
                <w:color w:val="auto"/>
                <w:szCs w:val="24"/>
                <w:highlight w:val="none"/>
                <w:u w:val="none"/>
              </w:rPr>
              <w:t>如果</w:t>
            </w:r>
            <w:r>
              <w:rPr>
                <w:rFonts w:ascii="宋体" w:hAnsi="宋体"/>
                <w:bCs/>
                <w:color w:val="auto"/>
                <w:szCs w:val="24"/>
                <w:highlight w:val="none"/>
                <w:u w:val="none"/>
              </w:rPr>
              <w:t>单一投资者</w:t>
            </w:r>
            <w:r>
              <w:rPr>
                <w:rFonts w:hint="eastAsia" w:ascii="宋体" w:hAnsi="宋体"/>
                <w:bCs/>
                <w:color w:val="auto"/>
                <w:szCs w:val="24"/>
                <w:highlight w:val="none"/>
                <w:u w:val="none"/>
              </w:rPr>
              <w:t>认购或申购申请确认后将导致其持有份额超过产品总份额</w:t>
            </w:r>
            <w:r>
              <w:rPr>
                <w:rFonts w:ascii="宋体" w:hAnsi="宋体"/>
                <w:bCs/>
                <w:color w:val="auto"/>
                <w:szCs w:val="24"/>
                <w:highlight w:val="none"/>
                <w:u w:val="none"/>
              </w:rPr>
              <w:t>50%</w:t>
            </w:r>
            <w:r>
              <w:rPr>
                <w:rFonts w:hint="eastAsia" w:ascii="宋体" w:hAnsi="宋体"/>
                <w:bCs/>
                <w:color w:val="auto"/>
                <w:szCs w:val="24"/>
                <w:highlight w:val="none"/>
                <w:u w:val="none"/>
              </w:rPr>
              <w:t>的</w:t>
            </w:r>
            <w:r>
              <w:rPr>
                <w:rFonts w:ascii="宋体" w:hAnsi="宋体"/>
                <w:bCs/>
                <w:color w:val="auto"/>
                <w:szCs w:val="24"/>
                <w:highlight w:val="none"/>
                <w:u w:val="none"/>
              </w:rPr>
              <w:t>，管理人有权拒绝或暂停</w:t>
            </w:r>
            <w:r>
              <w:rPr>
                <w:rFonts w:hint="eastAsia" w:ascii="宋体" w:hAnsi="宋体"/>
                <w:bCs/>
                <w:color w:val="auto"/>
                <w:szCs w:val="24"/>
                <w:highlight w:val="none"/>
                <w:u w:val="none"/>
              </w:rPr>
              <w:t>接受超出部分的</w:t>
            </w:r>
            <w:r>
              <w:rPr>
                <w:rFonts w:ascii="宋体" w:hAnsi="宋体"/>
                <w:bCs/>
                <w:color w:val="auto"/>
                <w:szCs w:val="24"/>
                <w:highlight w:val="none"/>
                <w:u w:val="none"/>
              </w:rPr>
              <w:t>认购、申购</w:t>
            </w:r>
            <w:r>
              <w:rPr>
                <w:rFonts w:hint="eastAsia" w:ascii="宋体" w:hAnsi="宋体"/>
                <w:bCs/>
                <w:color w:val="auto"/>
                <w:szCs w:val="24"/>
                <w:highlight w:val="none"/>
                <w:u w:val="none"/>
              </w:rPr>
              <w:t>申请</w:t>
            </w:r>
            <w:r>
              <w:rPr>
                <w:rFonts w:ascii="宋体" w:hAnsi="宋体"/>
                <w:bCs/>
                <w:color w:val="auto"/>
                <w:szCs w:val="24"/>
                <w:highlight w:val="none"/>
                <w:u w:val="none"/>
              </w:rPr>
              <w:t>。非因管理人主观因素导致突破该比例限制的，在单一投资者持有比例降至50%以下之前，管理人不再接受该投资者对本产品的认购</w:t>
            </w:r>
            <w:r>
              <w:rPr>
                <w:rFonts w:hint="eastAsia" w:ascii="宋体" w:hAnsi="宋体"/>
                <w:bCs/>
                <w:color w:val="auto"/>
                <w:szCs w:val="24"/>
                <w:highlight w:val="none"/>
                <w:u w:val="none"/>
              </w:rPr>
              <w:t>、申购申请。投资者持有份额的计算以管理人登记为准。</w:t>
            </w:r>
          </w:p>
          <w:p w14:paraId="271E6CD6">
            <w:pPr>
              <w:widowControl/>
              <w:numPr>
                <w:ilvl w:val="-1"/>
                <w:numId w:val="0"/>
              </w:numPr>
              <w:ind w:left="0" w:leftChars="0" w:firstLine="0" w:firstLineChars="0"/>
              <w:jc w:val="left"/>
              <w:rPr>
                <w:rFonts w:hint="eastAsia" w:ascii="仿宋" w:hAnsi="仿宋" w:eastAsia="仿宋" w:cs="宋体"/>
                <w:bCs/>
                <w:color w:val="000000" w:themeColor="text1"/>
                <w:kern w:val="0"/>
                <w:sz w:val="24"/>
                <w:lang w:bidi="ar"/>
                <w14:textFill>
                  <w14:solidFill>
                    <w14:schemeClr w14:val="tx1"/>
                  </w14:solidFill>
                </w14:textFill>
              </w:rPr>
            </w:pPr>
            <w:r>
              <w:rPr>
                <w:rFonts w:hint="eastAsia" w:ascii="宋体" w:hAnsi="宋体"/>
                <w:bCs/>
                <w:color w:val="auto"/>
                <w:szCs w:val="24"/>
                <w:highlight w:val="none"/>
                <w:u w:val="none"/>
                <w:lang w:val="en-US" w:eastAsia="zh-CN"/>
              </w:rPr>
              <w:t>4.</w:t>
            </w:r>
            <w:r>
              <w:rPr>
                <w:rFonts w:hint="eastAsia" w:ascii="宋体" w:hAnsi="宋体"/>
                <w:bCs/>
                <w:color w:val="auto"/>
                <w:szCs w:val="24"/>
                <w:highlight w:val="none"/>
                <w:u w:val="none"/>
              </w:rPr>
              <w:t>如投资者认/申购超过上述限额，管理人有权根据实际情况接受、拒绝或确认失败。</w:t>
            </w:r>
            <w:r>
              <w:rPr>
                <w:rFonts w:hint="eastAsia" w:ascii="宋体" w:hAnsi="宋体"/>
                <w:b/>
                <w:bCs w:val="0"/>
                <w:color w:val="auto"/>
                <w:szCs w:val="24"/>
                <w:highlight w:val="none"/>
                <w:u w:val="none"/>
              </w:rPr>
              <w:t>管理人有权以公告形式调整投资者累计认/申购上限。</w:t>
            </w:r>
          </w:p>
        </w:tc>
      </w:tr>
      <w:tr w14:paraId="4A2C1186">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C445050">
            <w:pPr>
              <w:snapToGrid w:val="0"/>
              <w:ind w:left="-140" w:leftChars="-74" w:hanging="15" w:firstLineChars="0"/>
              <w:jc w:val="center"/>
              <w:rPr>
                <w:rFonts w:hint="eastAsia" w:ascii="宋体" w:hAnsi="宋体"/>
                <w:bCs/>
                <w:color w:val="auto"/>
                <w:szCs w:val="24"/>
                <w:highlight w:val="none"/>
                <w:u w:val="none"/>
              </w:rPr>
            </w:pPr>
            <w:r>
              <w:rPr>
                <w:rFonts w:hint="eastAsia" w:ascii="宋体" w:hAnsi="宋体"/>
                <w:szCs w:val="24"/>
              </w:rPr>
              <w:t>投资周期起始日/结束日</w:t>
            </w:r>
          </w:p>
        </w:tc>
        <w:tc>
          <w:tcPr>
            <w:tcW w:w="6972" w:type="dxa"/>
            <w:tcBorders>
              <w:top w:val="single" w:color="auto" w:sz="4" w:space="0"/>
              <w:left w:val="single" w:color="auto" w:sz="4" w:space="0"/>
              <w:bottom w:val="single" w:color="auto" w:sz="4" w:space="0"/>
              <w:right w:val="single" w:color="auto" w:sz="4" w:space="0"/>
            </w:tcBorders>
            <w:vAlign w:val="center"/>
          </w:tcPr>
          <w:p w14:paraId="7AF39A8D">
            <w:pPr>
              <w:snapToGrid w:val="0"/>
              <w:rPr>
                <w:rFonts w:ascii="宋体" w:hAnsi="宋体"/>
                <w:b/>
                <w:bCs/>
                <w:szCs w:val="24"/>
              </w:rPr>
            </w:pPr>
            <w:r>
              <w:rPr>
                <w:rFonts w:hint="eastAsia" w:ascii="宋体" w:hAnsi="宋体"/>
                <w:b/>
                <w:bCs/>
                <w:szCs w:val="24"/>
                <w:lang w:eastAsia="zh-CN"/>
              </w:rPr>
              <w:t>本</w:t>
            </w:r>
            <w:r>
              <w:rPr>
                <w:rFonts w:ascii="宋体" w:hAnsi="宋体"/>
                <w:b/>
                <w:bCs/>
                <w:szCs w:val="24"/>
              </w:rPr>
              <w:t>产品根据投资者单笔认购/申购资金确认产品份额的日期，逐笔对应投资周期、投资起始日、投资结束日。</w:t>
            </w:r>
          </w:p>
          <w:p w14:paraId="261914AC">
            <w:pPr>
              <w:snapToGrid w:val="0"/>
              <w:rPr>
                <w:rFonts w:hint="eastAsia" w:ascii="宋体" w:hAnsi="宋体"/>
                <w:szCs w:val="24"/>
              </w:rPr>
            </w:pPr>
            <w:r>
              <w:rPr>
                <w:rFonts w:hint="eastAsia" w:ascii="宋体" w:hAnsi="宋体"/>
                <w:szCs w:val="24"/>
              </w:rPr>
              <w:t>产品成立日/申购确认日即投资周期起始日，即</w:t>
            </w:r>
            <w:r>
              <w:rPr>
                <w:rFonts w:ascii="宋体" w:hAnsi="宋体"/>
                <w:szCs w:val="24"/>
              </w:rPr>
              <w:t>：（1）募集期认购资金以产品成立日为投资起始日；（2）产品存续期申购资金以单笔资金申购确认日为投资起始日。</w:t>
            </w:r>
          </w:p>
          <w:p w14:paraId="594178EB">
            <w:pPr>
              <w:snapToGrid w:val="0"/>
              <w:rPr>
                <w:rFonts w:hint="eastAsia" w:ascii="宋体" w:hAnsi="宋体"/>
                <w:color w:val="000000" w:themeColor="text1"/>
                <w:szCs w:val="24"/>
                <w14:textFill>
                  <w14:solidFill>
                    <w14:schemeClr w14:val="tx1"/>
                  </w14:solidFill>
                </w14:textFill>
              </w:rPr>
            </w:pPr>
            <w:r>
              <w:rPr>
                <w:rFonts w:hint="eastAsia" w:ascii="宋体" w:hAnsi="宋体"/>
                <w:color w:val="000000" w:themeColor="text1"/>
                <w:szCs w:val="24"/>
                <w14:textFill>
                  <w14:solidFill>
                    <w14:schemeClr w14:val="tx1"/>
                  </w14:solidFill>
                </w14:textFill>
              </w:rPr>
              <w:t>周期结束日/终止日：投资周期最后一日为周期结束日，如遇节假日则自动顺延至下一</w:t>
            </w:r>
            <w:r>
              <w:rPr>
                <w:rFonts w:hint="eastAsia" w:ascii="宋体" w:hAnsi="宋体"/>
                <w:color w:val="000000" w:themeColor="text1"/>
                <w:szCs w:val="24"/>
                <w:lang w:eastAsia="zh-CN"/>
                <w14:textFill>
                  <w14:solidFill>
                    <w14:schemeClr w14:val="tx1"/>
                  </w14:solidFill>
                </w14:textFill>
              </w:rPr>
              <w:t>【</w:t>
            </w:r>
            <w:r>
              <w:rPr>
                <w:rFonts w:hint="eastAsia" w:ascii="宋体" w:hAnsi="宋体"/>
                <w:color w:val="000000" w:themeColor="text1"/>
                <w:szCs w:val="24"/>
                <w:highlight w:val="yellow"/>
                <w14:textFill>
                  <w14:solidFill>
                    <w14:schemeClr w14:val="tx1"/>
                  </w14:solidFill>
                </w14:textFill>
              </w:rPr>
              <w:t>工作日</w:t>
            </w:r>
            <w:r>
              <w:rPr>
                <w:rFonts w:hint="eastAsia" w:ascii="宋体" w:hAnsi="宋体"/>
                <w:color w:val="000000" w:themeColor="text1"/>
                <w:szCs w:val="24"/>
                <w:highlight w:val="yellow"/>
                <w:lang w:val="en-US" w:eastAsia="zh-CN"/>
                <w14:textFill>
                  <w14:solidFill>
                    <w14:schemeClr w14:val="tx1"/>
                  </w14:solidFill>
                </w14:textFill>
              </w:rPr>
              <w:t>/交易日】</w:t>
            </w:r>
            <w:r>
              <w:rPr>
                <w:rFonts w:hint="eastAsia" w:ascii="宋体" w:hAnsi="宋体"/>
                <w:color w:val="000000" w:themeColor="text1"/>
                <w:szCs w:val="24"/>
                <w14:textFill>
                  <w14:solidFill>
                    <w14:schemeClr w14:val="tx1"/>
                  </w14:solidFill>
                </w14:textFill>
              </w:rPr>
              <w:t>。</w:t>
            </w:r>
          </w:p>
          <w:p w14:paraId="2A622895">
            <w:pPr>
              <w:snapToGrid w:val="0"/>
              <w:rPr>
                <w:rFonts w:hint="eastAsia" w:ascii="宋体" w:hAnsi="宋体"/>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投资者单笔资金可连续持有多个投资周期，或多笔资金同时持有多个投资周期。</w:t>
            </w:r>
          </w:p>
          <w:p w14:paraId="214F400D">
            <w:pPr>
              <w:snapToGrid w:val="0"/>
              <w:rPr>
                <w:rFonts w:hint="eastAsia" w:ascii="宋体" w:hAnsi="宋体"/>
                <w:bCs/>
                <w:color w:val="auto"/>
                <w:szCs w:val="24"/>
                <w:highlight w:val="none"/>
                <w:u w:val="none"/>
                <w:lang w:val="en-US" w:eastAsia="zh-CN"/>
              </w:rPr>
            </w:pPr>
            <w:r>
              <w:rPr>
                <w:rFonts w:asciiTheme="minorEastAsia" w:hAnsiTheme="minorEastAsia"/>
                <w:color w:val="000000"/>
                <w:szCs w:val="24"/>
              </w:rPr>
              <w:t>以上规则如有调整，以浙银理财公告为准。</w:t>
            </w:r>
          </w:p>
        </w:tc>
      </w:tr>
      <w:tr w14:paraId="41404287">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626B20AD">
            <w:pPr>
              <w:snapToGrid w:val="0"/>
              <w:ind w:left="-140" w:leftChars="-74" w:hanging="15" w:firstLineChars="0"/>
              <w:jc w:val="center"/>
              <w:rPr>
                <w:rFonts w:hint="eastAsia" w:ascii="宋体" w:hAnsi="宋体"/>
                <w:bCs/>
                <w:color w:val="auto"/>
                <w:szCs w:val="24"/>
                <w:highlight w:val="none"/>
                <w:u w:val="none"/>
              </w:rPr>
            </w:pPr>
            <w:r>
              <w:rPr>
                <w:rFonts w:hint="eastAsia" w:ascii="宋体" w:hAnsi="宋体"/>
                <w:color w:val="000000" w:themeColor="text1"/>
                <w:szCs w:val="24"/>
                <w14:textFill>
                  <w14:solidFill>
                    <w14:schemeClr w14:val="tx1"/>
                  </w14:solidFill>
                </w14:textFill>
              </w:rPr>
              <w:t>续投规则</w:t>
            </w:r>
          </w:p>
        </w:tc>
        <w:tc>
          <w:tcPr>
            <w:tcW w:w="6972" w:type="dxa"/>
            <w:tcBorders>
              <w:top w:val="single" w:color="auto" w:sz="4" w:space="0"/>
              <w:left w:val="single" w:color="auto" w:sz="4" w:space="0"/>
              <w:bottom w:val="single" w:color="auto" w:sz="4" w:space="0"/>
              <w:right w:val="single" w:color="auto" w:sz="4" w:space="0"/>
            </w:tcBorders>
            <w:vAlign w:val="center"/>
          </w:tcPr>
          <w:p w14:paraId="12EE26B4">
            <w:pPr>
              <w:snapToGrid w:val="0"/>
              <w:rPr>
                <w:rFonts w:hint="eastAsia" w:ascii="宋体" w:hAnsi="宋体"/>
                <w:b/>
                <w:bCs w:val="0"/>
                <w:color w:val="auto"/>
                <w:szCs w:val="24"/>
                <w:highlight w:val="none"/>
                <w:u w:val="none"/>
                <w:lang w:val="en-US" w:eastAsia="zh-CN"/>
              </w:rPr>
            </w:pPr>
            <w:r>
              <w:rPr>
                <w:rFonts w:hint="eastAsia" w:ascii="宋体" w:hAnsi="宋体"/>
                <w:b/>
                <w:color w:val="000000" w:themeColor="text1"/>
                <w:szCs w:val="24"/>
                <w14:textFill>
                  <w14:solidFill>
                    <w14:schemeClr w14:val="tx1"/>
                  </w14:solidFill>
                </w14:textFill>
              </w:rPr>
              <w:t>在投资者持有的产品份额对应的投资周期内，投资者如未就所持有的产品份额于预约赎回截止日</w:t>
            </w:r>
            <w:r>
              <w:rPr>
                <w:rFonts w:hint="eastAsia" w:ascii="宋体" w:hAnsi="宋体"/>
                <w:b/>
                <w:color w:val="000000" w:themeColor="text1"/>
                <w:szCs w:val="24"/>
                <w:highlight w:val="yellow"/>
                <w:lang w:eastAsia="zh-CN"/>
                <w14:textFill>
                  <w14:solidFill>
                    <w14:schemeClr w14:val="tx1"/>
                  </w14:solidFill>
                </w14:textFill>
              </w:rPr>
              <w:t>【】</w:t>
            </w:r>
            <w:r>
              <w:rPr>
                <w:rFonts w:hint="eastAsia" w:ascii="宋体" w:hAnsi="宋体"/>
                <w:b/>
                <w:color w:val="000000" w:themeColor="text1"/>
                <w:szCs w:val="24"/>
                <w14:textFill>
                  <w14:solidFill>
                    <w14:schemeClr w14:val="tx1"/>
                  </w14:solidFill>
                </w14:textFill>
              </w:rPr>
              <w:t>（不含）前发起预约赎回或已发起但赎回确认失败，相应产品份额在当前周期结束后自动续投至下一投资周期。</w:t>
            </w:r>
          </w:p>
        </w:tc>
      </w:tr>
      <w:tr w14:paraId="23E6A6FE">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A7AE7C6">
            <w:pPr>
              <w:snapToGrid w:val="0"/>
              <w:ind w:left="-140" w:leftChars="-74" w:hanging="15" w:firstLineChars="0"/>
              <w:jc w:val="center"/>
              <w:rPr>
                <w:rFonts w:hint="eastAsia" w:ascii="宋体" w:hAnsi="宋体"/>
                <w:bCs/>
                <w:color w:val="auto"/>
                <w:szCs w:val="24"/>
                <w:highlight w:val="none"/>
                <w:u w:val="none"/>
              </w:rPr>
            </w:pPr>
            <w:r>
              <w:rPr>
                <w:rFonts w:hint="eastAsia" w:ascii="宋体" w:hAnsi="宋体"/>
                <w:bCs/>
                <w:color w:val="auto"/>
                <w:szCs w:val="24"/>
                <w:highlight w:val="none"/>
                <w:u w:val="none"/>
              </w:rPr>
              <w:t>最高持有限额</w:t>
            </w:r>
          </w:p>
        </w:tc>
        <w:tc>
          <w:tcPr>
            <w:tcW w:w="6972" w:type="dxa"/>
            <w:tcBorders>
              <w:top w:val="single" w:color="auto" w:sz="4" w:space="0"/>
              <w:left w:val="single" w:color="auto" w:sz="4" w:space="0"/>
              <w:bottom w:val="single" w:color="auto" w:sz="4" w:space="0"/>
              <w:right w:val="single" w:color="auto" w:sz="4" w:space="0"/>
            </w:tcBorders>
            <w:vAlign w:val="center"/>
          </w:tcPr>
          <w:p w14:paraId="709DBA39">
            <w:pPr>
              <w:keepNext w:val="0"/>
              <w:keepLines w:val="0"/>
              <w:widowControl/>
              <w:numPr>
                <w:ilvl w:val="0"/>
                <w:numId w:val="0"/>
              </w:numPr>
              <w:suppressLineNumbers w:val="0"/>
              <w:jc w:val="left"/>
              <w:rPr>
                <w:rFonts w:hint="eastAsia" w:ascii="宋体" w:hAnsi="宋体"/>
                <w:b/>
                <w:color w:val="auto"/>
                <w:szCs w:val="24"/>
                <w:highlight w:val="none"/>
                <w:u w:val="none"/>
              </w:rPr>
            </w:pPr>
            <w:r>
              <w:rPr>
                <w:rFonts w:hint="eastAsia" w:ascii="宋体" w:hAnsi="宋体" w:eastAsia="仿宋_GB2312" w:cstheme="minorBidi"/>
                <w:b/>
                <w:bCs w:val="0"/>
                <w:color w:val="auto"/>
                <w:kern w:val="2"/>
                <w:sz w:val="24"/>
                <w:szCs w:val="24"/>
                <w:highlight w:val="none"/>
                <w:u w:val="none"/>
                <w:lang w:val="en-US" w:eastAsia="zh-CN" w:bidi="ar"/>
              </w:rPr>
              <w:t>单一投资者持有份额不得超过本理财产品总份额的50%。</w:t>
            </w:r>
          </w:p>
          <w:p w14:paraId="7278DFD0">
            <w:pPr>
              <w:widowControl/>
              <w:numPr>
                <w:ilvl w:val="-1"/>
                <w:numId w:val="0"/>
              </w:numPr>
              <w:jc w:val="left"/>
              <w:rPr>
                <w:rFonts w:hint="eastAsia" w:ascii="宋体" w:hAnsi="宋体"/>
                <w:b/>
                <w:bCs w:val="0"/>
                <w:color w:val="auto"/>
                <w:szCs w:val="24"/>
                <w:highlight w:val="none"/>
                <w:u w:val="none"/>
                <w:lang w:val="en-US" w:eastAsia="zh-CN"/>
              </w:rPr>
            </w:pPr>
            <w:r>
              <w:rPr>
                <w:rFonts w:hint="eastAsia" w:ascii="宋体" w:hAnsi="宋体"/>
                <w:b/>
                <w:bCs w:val="0"/>
                <w:color w:val="auto"/>
                <w:szCs w:val="24"/>
                <w:highlight w:val="none"/>
                <w:u w:val="none"/>
                <w:lang w:val="en-US" w:eastAsia="zh-CN"/>
              </w:rPr>
              <w:t>如销售机构规定与本规则不一致的，则以各销售机构规定为准，但不得高于最高持有限额。</w:t>
            </w:r>
          </w:p>
        </w:tc>
      </w:tr>
      <w:tr w14:paraId="7ECD2F21">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7262339">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bCs/>
                <w:color w:val="auto"/>
                <w:szCs w:val="24"/>
                <w:highlight w:val="none"/>
                <w:u w:val="none"/>
              </w:rPr>
              <w:t>赎回</w:t>
            </w:r>
            <w:r>
              <w:rPr>
                <w:rFonts w:ascii="宋体" w:hAnsi="宋体"/>
                <w:bCs/>
                <w:color w:val="auto"/>
                <w:szCs w:val="24"/>
                <w:highlight w:val="none"/>
                <w:u w:val="none"/>
              </w:rPr>
              <w:t>数量限制</w:t>
            </w:r>
          </w:p>
        </w:tc>
        <w:tc>
          <w:tcPr>
            <w:tcW w:w="6972" w:type="dxa"/>
            <w:tcBorders>
              <w:top w:val="single" w:color="auto" w:sz="4" w:space="0"/>
              <w:left w:val="single" w:color="auto" w:sz="4" w:space="0"/>
              <w:bottom w:val="single" w:color="auto" w:sz="4" w:space="0"/>
              <w:right w:val="single" w:color="auto" w:sz="4" w:space="0"/>
            </w:tcBorders>
            <w:vAlign w:val="center"/>
          </w:tcPr>
          <w:p w14:paraId="0BF7EA7B">
            <w:pPr>
              <w:widowControl/>
              <w:numPr>
                <w:ilvl w:val="0"/>
                <w:numId w:val="7"/>
              </w:numPr>
              <w:jc w:val="left"/>
              <w:rPr>
                <w:rFonts w:ascii="宋体" w:hAnsi="宋体"/>
                <w:bCs/>
                <w:color w:val="auto"/>
                <w:szCs w:val="24"/>
                <w:highlight w:val="none"/>
                <w:u w:val="none"/>
              </w:rPr>
            </w:pPr>
            <w:r>
              <w:rPr>
                <w:rFonts w:hint="eastAsia" w:ascii="宋体" w:hAnsi="宋体"/>
                <w:bCs/>
                <w:color w:val="auto"/>
                <w:szCs w:val="24"/>
                <w:highlight w:val="yellow"/>
                <w:u w:val="none"/>
                <w:lang w:val="en-US" w:eastAsia="zh-CN"/>
              </w:rPr>
              <w:t>【A类份额】</w:t>
            </w:r>
            <w:r>
              <w:rPr>
                <w:rFonts w:hint="eastAsia" w:ascii="宋体" w:hAnsi="宋体"/>
                <w:color w:val="auto"/>
                <w:szCs w:val="24"/>
                <w:highlight w:val="none"/>
                <w:u w:val="none"/>
                <w:lang w:val="en-US" w:eastAsia="zh-CN"/>
              </w:rPr>
              <w:t>：</w:t>
            </w:r>
            <w:r>
              <w:rPr>
                <w:rFonts w:hint="eastAsia" w:ascii="宋体" w:hAnsi="宋体"/>
                <w:color w:val="auto"/>
                <w:szCs w:val="24"/>
                <w:highlight w:val="none"/>
                <w:u w:val="none"/>
              </w:rPr>
              <w:t>单笔最小赎回份额</w:t>
            </w:r>
            <w:r>
              <w:rPr>
                <w:rFonts w:hint="eastAsia" w:ascii="宋体" w:hAnsi="宋体"/>
                <w:color w:val="auto"/>
                <w:szCs w:val="24"/>
                <w:highlight w:val="yellow"/>
                <w:u w:val="none"/>
                <w:lang w:eastAsia="zh-CN"/>
              </w:rPr>
              <w:t>【】</w:t>
            </w:r>
            <w:r>
              <w:rPr>
                <w:rFonts w:hint="eastAsia" w:ascii="宋体" w:hAnsi="宋体"/>
                <w:color w:val="auto"/>
                <w:szCs w:val="24"/>
                <w:highlight w:val="none"/>
                <w:u w:val="none"/>
                <w:lang w:eastAsia="zh-CN"/>
              </w:rPr>
              <w:t>份</w:t>
            </w:r>
            <w:r>
              <w:rPr>
                <w:rFonts w:hint="eastAsia" w:ascii="宋体" w:hAnsi="宋体"/>
                <w:bCs/>
                <w:color w:val="auto"/>
                <w:szCs w:val="24"/>
                <w:highlight w:val="none"/>
                <w:u w:val="none"/>
              </w:rPr>
              <w:t>。</w:t>
            </w:r>
          </w:p>
          <w:p w14:paraId="27A3504A">
            <w:pPr>
              <w:widowControl/>
              <w:numPr>
                <w:ilvl w:val="-1"/>
                <w:numId w:val="0"/>
              </w:numPr>
              <w:jc w:val="left"/>
              <w:rPr>
                <w:rFonts w:ascii="宋体" w:hAnsi="宋体"/>
                <w:bCs/>
                <w:color w:val="auto"/>
                <w:szCs w:val="24"/>
                <w:highlight w:val="none"/>
                <w:u w:val="none"/>
              </w:rPr>
            </w:pPr>
            <w:r>
              <w:rPr>
                <w:rFonts w:hint="eastAsia" w:ascii="宋体" w:hAnsi="宋体"/>
                <w:bCs/>
                <w:color w:val="auto"/>
                <w:szCs w:val="24"/>
                <w:highlight w:val="yellow"/>
                <w:u w:val="none"/>
                <w:lang w:val="en-US" w:eastAsia="zh-CN"/>
              </w:rPr>
              <w:t>【B类份额】</w:t>
            </w:r>
            <w:r>
              <w:rPr>
                <w:rFonts w:hint="eastAsia" w:ascii="宋体" w:hAnsi="宋体"/>
                <w:color w:val="auto"/>
                <w:szCs w:val="24"/>
                <w:highlight w:val="none"/>
                <w:u w:val="none"/>
                <w:lang w:val="en-US" w:eastAsia="zh-CN"/>
              </w:rPr>
              <w:t>：</w:t>
            </w:r>
            <w:r>
              <w:rPr>
                <w:rFonts w:hint="eastAsia" w:ascii="宋体" w:hAnsi="宋体"/>
                <w:color w:val="auto"/>
                <w:szCs w:val="24"/>
                <w:highlight w:val="none"/>
                <w:u w:val="none"/>
              </w:rPr>
              <w:t>单笔最小赎回份额</w:t>
            </w:r>
            <w:r>
              <w:rPr>
                <w:rFonts w:hint="eastAsia" w:ascii="宋体" w:hAnsi="宋体"/>
                <w:color w:val="auto"/>
                <w:szCs w:val="24"/>
                <w:highlight w:val="yellow"/>
                <w:u w:val="none"/>
                <w:lang w:eastAsia="zh-CN"/>
              </w:rPr>
              <w:t>【】</w:t>
            </w:r>
            <w:r>
              <w:rPr>
                <w:rFonts w:hint="eastAsia" w:ascii="宋体" w:hAnsi="宋体"/>
                <w:color w:val="auto"/>
                <w:szCs w:val="24"/>
                <w:highlight w:val="none"/>
                <w:u w:val="none"/>
                <w:lang w:eastAsia="zh-CN"/>
              </w:rPr>
              <w:t>份</w:t>
            </w:r>
            <w:r>
              <w:rPr>
                <w:rFonts w:hint="eastAsia" w:ascii="宋体" w:hAnsi="宋体"/>
                <w:bCs/>
                <w:color w:val="auto"/>
                <w:szCs w:val="24"/>
                <w:highlight w:val="none"/>
                <w:u w:val="none"/>
              </w:rPr>
              <w:t>。</w:t>
            </w:r>
            <w:r>
              <w:rPr>
                <w:rFonts w:ascii="宋体" w:hAnsi="宋体"/>
                <w:bCs/>
                <w:color w:val="auto"/>
                <w:szCs w:val="24"/>
                <w:highlight w:val="none"/>
                <w:u w:val="none"/>
              </w:rPr>
              <w:t xml:space="preserve"> </w:t>
            </w:r>
          </w:p>
          <w:p w14:paraId="46E69B91">
            <w:pPr>
              <w:widowControl/>
              <w:numPr>
                <w:ilvl w:val="0"/>
                <w:numId w:val="7"/>
              </w:numPr>
              <w:jc w:val="left"/>
              <w:rPr>
                <w:rFonts w:ascii="宋体" w:hAnsi="宋体"/>
                <w:bCs/>
                <w:color w:val="auto"/>
                <w:szCs w:val="24"/>
                <w:highlight w:val="none"/>
                <w:u w:val="none"/>
              </w:rPr>
            </w:pPr>
            <w:r>
              <w:rPr>
                <w:rFonts w:hint="eastAsia" w:ascii="宋体" w:hAnsi="宋体"/>
                <w:bCs/>
                <w:color w:val="auto"/>
                <w:szCs w:val="24"/>
                <w:highlight w:val="yellow"/>
                <w:u w:val="none"/>
                <w:lang w:val="en-US" w:eastAsia="zh-CN"/>
              </w:rPr>
              <w:t>【A类份额】</w:t>
            </w:r>
            <w:r>
              <w:rPr>
                <w:rFonts w:hint="eastAsia" w:ascii="宋体" w:hAnsi="宋体"/>
                <w:color w:val="auto"/>
                <w:szCs w:val="24"/>
                <w:highlight w:val="none"/>
                <w:u w:val="none"/>
                <w:lang w:val="en-US" w:eastAsia="zh-CN"/>
              </w:rPr>
              <w:t>：</w:t>
            </w:r>
            <w:r>
              <w:rPr>
                <w:rFonts w:hint="eastAsia" w:ascii="宋体" w:hAnsi="宋体"/>
                <w:color w:val="auto"/>
                <w:szCs w:val="24"/>
                <w:highlight w:val="none"/>
                <w:u w:val="none"/>
              </w:rPr>
              <w:t>单笔最</w:t>
            </w:r>
            <w:r>
              <w:rPr>
                <w:rFonts w:hint="eastAsia" w:ascii="宋体" w:hAnsi="宋体"/>
                <w:color w:val="auto"/>
                <w:szCs w:val="24"/>
                <w:highlight w:val="none"/>
                <w:u w:val="none"/>
                <w:lang w:eastAsia="zh-CN"/>
              </w:rPr>
              <w:t>大</w:t>
            </w:r>
            <w:r>
              <w:rPr>
                <w:rFonts w:hint="eastAsia" w:ascii="宋体" w:hAnsi="宋体"/>
                <w:color w:val="auto"/>
                <w:szCs w:val="24"/>
                <w:highlight w:val="none"/>
                <w:u w:val="none"/>
              </w:rPr>
              <w:t>赎回份额</w:t>
            </w:r>
            <w:r>
              <w:rPr>
                <w:rFonts w:hint="eastAsia" w:ascii="宋体" w:hAnsi="宋体"/>
                <w:color w:val="auto"/>
                <w:szCs w:val="24"/>
                <w:highlight w:val="yellow"/>
                <w:u w:val="none"/>
                <w:lang w:eastAsia="zh-CN"/>
              </w:rPr>
              <w:t>【】</w:t>
            </w:r>
            <w:r>
              <w:rPr>
                <w:rFonts w:hint="eastAsia" w:ascii="宋体" w:hAnsi="宋体"/>
                <w:color w:val="auto"/>
                <w:szCs w:val="24"/>
                <w:highlight w:val="none"/>
                <w:u w:val="none"/>
                <w:lang w:eastAsia="zh-CN"/>
              </w:rPr>
              <w:t>份</w:t>
            </w:r>
            <w:r>
              <w:rPr>
                <w:rFonts w:hint="eastAsia" w:ascii="宋体" w:hAnsi="宋体"/>
                <w:bCs/>
                <w:color w:val="auto"/>
                <w:szCs w:val="24"/>
                <w:highlight w:val="none"/>
                <w:u w:val="none"/>
              </w:rPr>
              <w:t>。</w:t>
            </w:r>
          </w:p>
          <w:p w14:paraId="39BD1D80">
            <w:pPr>
              <w:widowControl/>
              <w:numPr>
                <w:ilvl w:val="-1"/>
                <w:numId w:val="0"/>
              </w:numPr>
              <w:jc w:val="left"/>
              <w:rPr>
                <w:rFonts w:ascii="宋体" w:hAnsi="宋体"/>
                <w:bCs/>
                <w:color w:val="auto"/>
                <w:szCs w:val="24"/>
                <w:highlight w:val="none"/>
                <w:u w:val="none"/>
              </w:rPr>
            </w:pPr>
            <w:r>
              <w:rPr>
                <w:rFonts w:hint="eastAsia" w:ascii="宋体" w:hAnsi="宋体"/>
                <w:bCs/>
                <w:color w:val="auto"/>
                <w:szCs w:val="24"/>
                <w:highlight w:val="yellow"/>
                <w:u w:val="none"/>
                <w:lang w:val="en-US" w:eastAsia="zh-CN"/>
              </w:rPr>
              <w:t>【B类份额】</w:t>
            </w:r>
            <w:r>
              <w:rPr>
                <w:rFonts w:hint="eastAsia" w:ascii="宋体" w:hAnsi="宋体"/>
                <w:color w:val="auto"/>
                <w:szCs w:val="24"/>
                <w:highlight w:val="none"/>
                <w:u w:val="none"/>
                <w:lang w:val="en-US" w:eastAsia="zh-CN"/>
              </w:rPr>
              <w:t>：</w:t>
            </w:r>
            <w:r>
              <w:rPr>
                <w:rFonts w:hint="eastAsia" w:ascii="宋体" w:hAnsi="宋体"/>
                <w:color w:val="auto"/>
                <w:szCs w:val="24"/>
                <w:highlight w:val="none"/>
                <w:u w:val="none"/>
              </w:rPr>
              <w:t>单笔最</w:t>
            </w:r>
            <w:r>
              <w:rPr>
                <w:rFonts w:hint="eastAsia" w:ascii="宋体" w:hAnsi="宋体"/>
                <w:color w:val="auto"/>
                <w:szCs w:val="24"/>
                <w:highlight w:val="none"/>
                <w:u w:val="none"/>
                <w:lang w:eastAsia="zh-CN"/>
              </w:rPr>
              <w:t>大</w:t>
            </w:r>
            <w:r>
              <w:rPr>
                <w:rFonts w:hint="eastAsia" w:ascii="宋体" w:hAnsi="宋体"/>
                <w:color w:val="auto"/>
                <w:szCs w:val="24"/>
                <w:highlight w:val="none"/>
                <w:u w:val="none"/>
              </w:rPr>
              <w:t>赎回份额</w:t>
            </w:r>
            <w:r>
              <w:rPr>
                <w:rFonts w:hint="eastAsia" w:ascii="宋体" w:hAnsi="宋体"/>
                <w:color w:val="auto"/>
                <w:szCs w:val="24"/>
                <w:highlight w:val="yellow"/>
                <w:u w:val="none"/>
                <w:lang w:eastAsia="zh-CN"/>
              </w:rPr>
              <w:t>【】</w:t>
            </w:r>
            <w:r>
              <w:rPr>
                <w:rFonts w:hint="eastAsia" w:ascii="宋体" w:hAnsi="宋体"/>
                <w:color w:val="auto"/>
                <w:szCs w:val="24"/>
                <w:highlight w:val="none"/>
                <w:u w:val="none"/>
                <w:lang w:eastAsia="zh-CN"/>
              </w:rPr>
              <w:t>份</w:t>
            </w:r>
            <w:r>
              <w:rPr>
                <w:rFonts w:hint="eastAsia" w:ascii="宋体" w:hAnsi="宋体"/>
                <w:bCs/>
                <w:color w:val="auto"/>
                <w:szCs w:val="24"/>
                <w:highlight w:val="none"/>
                <w:u w:val="none"/>
              </w:rPr>
              <w:t>。</w:t>
            </w:r>
            <w:r>
              <w:rPr>
                <w:rFonts w:ascii="宋体" w:hAnsi="宋体"/>
                <w:bCs/>
                <w:color w:val="auto"/>
                <w:szCs w:val="24"/>
                <w:highlight w:val="none"/>
                <w:u w:val="none"/>
              </w:rPr>
              <w:t xml:space="preserve"> </w:t>
            </w:r>
          </w:p>
          <w:p w14:paraId="6B27E9CF">
            <w:pPr>
              <w:widowControl/>
              <w:numPr>
                <w:ilvl w:val="0"/>
                <w:numId w:val="7"/>
              </w:numPr>
              <w:jc w:val="left"/>
              <w:rPr>
                <w:rFonts w:ascii="宋体" w:hAnsi="宋体"/>
                <w:bCs/>
                <w:color w:val="auto"/>
                <w:szCs w:val="24"/>
                <w:highlight w:val="none"/>
                <w:u w:val="none"/>
              </w:rPr>
            </w:pPr>
            <w:r>
              <w:rPr>
                <w:rFonts w:hint="eastAsia" w:ascii="宋体" w:hAnsi="宋体"/>
                <w:bCs/>
                <w:color w:val="auto"/>
                <w:szCs w:val="24"/>
                <w:highlight w:val="none"/>
                <w:u w:val="none"/>
              </w:rPr>
              <w:t>投资者可全部或部分赎回其理财份额，但是部分赎回后单一投资者持有产品份额不得低于</w:t>
            </w:r>
            <w:r>
              <w:rPr>
                <w:rFonts w:hint="eastAsia" w:ascii="宋体" w:hAnsi="宋体"/>
                <w:bCs/>
                <w:color w:val="auto"/>
                <w:szCs w:val="24"/>
                <w:highlight w:val="yellow"/>
                <w:u w:val="none"/>
              </w:rPr>
              <w:t>【/】</w:t>
            </w:r>
            <w:r>
              <w:rPr>
                <w:rFonts w:hint="eastAsia" w:ascii="宋体" w:hAnsi="宋体"/>
                <w:bCs/>
                <w:color w:val="auto"/>
                <w:szCs w:val="24"/>
                <w:highlight w:val="none"/>
                <w:u w:val="none"/>
              </w:rPr>
              <w:t>份。受理财</w:t>
            </w:r>
            <w:r>
              <w:rPr>
                <w:rFonts w:hint="eastAsia" w:ascii="宋体" w:hAnsi="宋体"/>
                <w:bCs/>
                <w:color w:val="auto"/>
                <w:szCs w:val="24"/>
                <w:highlight w:val="none"/>
                <w:u w:val="none"/>
                <w:lang w:eastAsia="zh-CN"/>
              </w:rPr>
              <w:t>收益</w:t>
            </w:r>
            <w:r>
              <w:rPr>
                <w:rFonts w:hint="eastAsia" w:ascii="宋体" w:hAnsi="宋体"/>
                <w:bCs/>
                <w:color w:val="auto"/>
                <w:szCs w:val="24"/>
                <w:highlight w:val="none"/>
                <w:u w:val="none"/>
              </w:rPr>
              <w:t>分配去尾规则的影响，投资者持有产品份额较低时可能无法取得利益。巨额赎回情景发生时，投资者的可赎回份额需要根据巨额赎回规则确定。</w:t>
            </w:r>
          </w:p>
          <w:p w14:paraId="127693F7">
            <w:pPr>
              <w:widowControl/>
              <w:numPr>
                <w:ilvl w:val="-1"/>
                <w:numId w:val="0"/>
              </w:numPr>
              <w:ind w:left="0" w:leftChars="0" w:firstLine="0" w:firstLineChars="0"/>
              <w:jc w:val="left"/>
              <w:rPr>
                <w:rFonts w:hint="eastAsia" w:ascii="仿宋" w:hAnsi="仿宋" w:eastAsia="仿宋" w:cs="宋体"/>
                <w:bCs/>
                <w:color w:val="000000" w:themeColor="text1"/>
                <w:kern w:val="0"/>
                <w:sz w:val="24"/>
                <w:lang w:bidi="ar"/>
                <w14:textFill>
                  <w14:solidFill>
                    <w14:schemeClr w14:val="tx1"/>
                  </w14:solidFill>
                </w14:textFill>
              </w:rPr>
            </w:pPr>
            <w:r>
              <w:rPr>
                <w:rFonts w:hint="eastAsia" w:ascii="宋体" w:hAnsi="宋体"/>
                <w:b/>
                <w:bCs w:val="0"/>
                <w:color w:val="auto"/>
                <w:szCs w:val="24"/>
                <w:highlight w:val="none"/>
                <w:u w:val="none"/>
                <w:lang w:val="en-US" w:eastAsia="zh-CN"/>
              </w:rPr>
              <w:t>4.管</w:t>
            </w:r>
            <w:r>
              <w:rPr>
                <w:rFonts w:hint="eastAsia" w:ascii="宋体" w:hAnsi="宋体"/>
                <w:b/>
                <w:bCs w:val="0"/>
                <w:color w:val="auto"/>
                <w:szCs w:val="24"/>
                <w:highlight w:val="none"/>
                <w:u w:val="none"/>
              </w:rPr>
              <w:t>理人有权以公告形式设置或调整赎回上限。</w:t>
            </w:r>
          </w:p>
        </w:tc>
      </w:tr>
      <w:tr w14:paraId="52955067">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8C9E07D">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color w:val="auto"/>
                <w:szCs w:val="24"/>
                <w:highlight w:val="none"/>
                <w:u w:val="none"/>
              </w:rPr>
              <w:t>产品份额净值</w:t>
            </w:r>
          </w:p>
        </w:tc>
        <w:tc>
          <w:tcPr>
            <w:tcW w:w="6972" w:type="dxa"/>
            <w:tcBorders>
              <w:top w:val="single" w:color="auto" w:sz="4" w:space="0"/>
              <w:left w:val="single" w:color="auto" w:sz="4" w:space="0"/>
              <w:bottom w:val="single" w:color="auto" w:sz="4" w:space="0"/>
              <w:right w:val="single" w:color="auto" w:sz="4" w:space="0"/>
            </w:tcBorders>
            <w:vAlign w:val="center"/>
          </w:tcPr>
          <w:p w14:paraId="0137A501">
            <w:pPr>
              <w:snapToGrid w:val="0"/>
              <w:rPr>
                <w:rFonts w:ascii="宋体" w:hAnsi="宋体"/>
                <w:color w:val="auto"/>
                <w:szCs w:val="24"/>
                <w:highlight w:val="none"/>
                <w:u w:val="none"/>
              </w:rPr>
            </w:pPr>
            <w:r>
              <w:rPr>
                <w:rFonts w:hint="eastAsia" w:ascii="宋体" w:hAnsi="宋体"/>
                <w:color w:val="auto"/>
                <w:szCs w:val="24"/>
                <w:highlight w:val="none"/>
                <w:u w:val="none"/>
              </w:rPr>
              <w:t>理财产品份额净值是提取相关税费后单位理财产品份额的净值；份额净值随理财产品投资运行情况变化而变化。</w:t>
            </w:r>
          </w:p>
          <w:p w14:paraId="79836DC6">
            <w:pPr>
              <w:snapToGrid w:val="0"/>
              <w:rPr>
                <w:rFonts w:ascii="宋体" w:hAnsi="宋体"/>
                <w:color w:val="auto"/>
                <w:szCs w:val="24"/>
                <w:highlight w:val="none"/>
                <w:u w:val="none"/>
              </w:rPr>
            </w:pPr>
            <w:r>
              <w:rPr>
                <w:rFonts w:hint="eastAsia" w:ascii="宋体" w:hAnsi="宋体"/>
                <w:color w:val="auto"/>
                <w:szCs w:val="24"/>
                <w:highlight w:val="none"/>
                <w:u w:val="none"/>
              </w:rPr>
              <w:t>本产品募集期内，投资者按份额净值进行认购。</w:t>
            </w:r>
          </w:p>
          <w:p w14:paraId="216C2124">
            <w:pPr>
              <w:snapToGrid w:val="0"/>
              <w:rPr>
                <w:rFonts w:hint="eastAsia" w:ascii="宋体" w:hAnsi="宋体" w:eastAsia="仿宋_GB2312"/>
                <w:b/>
                <w:bCs/>
                <w:color w:val="auto"/>
                <w:szCs w:val="24"/>
                <w:highlight w:val="none"/>
                <w:u w:val="none"/>
                <w:lang w:eastAsia="zh-CN"/>
              </w:rPr>
            </w:pPr>
            <w:r>
              <w:rPr>
                <w:rFonts w:hint="eastAsia" w:ascii="宋体" w:hAnsi="宋体"/>
                <w:b/>
                <w:bCs/>
                <w:color w:val="auto"/>
                <w:szCs w:val="24"/>
                <w:highlight w:val="none"/>
                <w:u w:val="none"/>
              </w:rPr>
              <w:t>本产品初始份额净值为</w:t>
            </w:r>
            <w:r>
              <w:rPr>
                <w:rFonts w:hint="eastAsia" w:ascii="宋体" w:hAnsi="宋体"/>
                <w:b/>
                <w:bCs/>
                <w:color w:val="auto"/>
                <w:szCs w:val="24"/>
                <w:highlight w:val="yellow"/>
                <w:u w:val="none"/>
                <w:lang w:eastAsia="zh-CN"/>
              </w:rPr>
              <w:t>【</w:t>
            </w:r>
            <w:r>
              <w:rPr>
                <w:rFonts w:hint="eastAsia" w:ascii="宋体" w:hAnsi="宋体"/>
                <w:b/>
                <w:bCs/>
                <w:color w:val="auto"/>
                <w:szCs w:val="24"/>
                <w:highlight w:val="yellow"/>
                <w:u w:val="none"/>
              </w:rPr>
              <w:t>1.0000</w:t>
            </w:r>
            <w:r>
              <w:rPr>
                <w:rFonts w:hint="eastAsia" w:ascii="宋体" w:hAnsi="宋体"/>
                <w:b/>
                <w:bCs/>
                <w:color w:val="auto"/>
                <w:szCs w:val="24"/>
                <w:highlight w:val="yellow"/>
                <w:u w:val="none"/>
                <w:lang w:val="en-US" w:eastAsia="zh-CN"/>
              </w:rPr>
              <w:t>00</w:t>
            </w:r>
            <w:r>
              <w:rPr>
                <w:rFonts w:hint="eastAsia" w:ascii="宋体" w:hAnsi="宋体"/>
                <w:b/>
                <w:bCs/>
                <w:color w:val="auto"/>
                <w:szCs w:val="24"/>
                <w:highlight w:val="yellow"/>
                <w:u w:val="none"/>
              </w:rPr>
              <w:t>元</w:t>
            </w:r>
            <w:r>
              <w:rPr>
                <w:rFonts w:hint="eastAsia" w:ascii="宋体" w:hAnsi="宋体"/>
                <w:b/>
                <w:bCs/>
                <w:color w:val="auto"/>
                <w:szCs w:val="24"/>
                <w:highlight w:val="yellow"/>
                <w:u w:val="none"/>
                <w:lang w:eastAsia="zh-CN"/>
              </w:rPr>
              <w:t>】</w:t>
            </w:r>
            <w:r>
              <w:rPr>
                <w:rFonts w:hint="eastAsia" w:ascii="宋体" w:hAnsi="宋体"/>
                <w:b/>
                <w:bCs/>
                <w:color w:val="auto"/>
                <w:szCs w:val="24"/>
                <w:highlight w:val="none"/>
                <w:u w:val="none"/>
              </w:rPr>
              <w:t>/份。</w:t>
            </w:r>
          </w:p>
        </w:tc>
      </w:tr>
      <w:tr w14:paraId="4B1308FF">
        <w:tblPrEx>
          <w:tblCellMar>
            <w:top w:w="0" w:type="dxa"/>
            <w:left w:w="108" w:type="dxa"/>
            <w:bottom w:w="0" w:type="dxa"/>
            <w:right w:w="108" w:type="dxa"/>
          </w:tblCellMar>
        </w:tblPrEx>
        <w:trPr>
          <w:trHeight w:val="643" w:hRule="atLeast"/>
        </w:trPr>
        <w:tc>
          <w:tcPr>
            <w:tcW w:w="2453" w:type="dxa"/>
            <w:tcBorders>
              <w:top w:val="single" w:color="auto" w:sz="4" w:space="0"/>
              <w:left w:val="single" w:color="auto" w:sz="4" w:space="0"/>
              <w:bottom w:val="single" w:color="auto" w:sz="4" w:space="0"/>
              <w:right w:val="single" w:color="auto" w:sz="4" w:space="0"/>
            </w:tcBorders>
            <w:vAlign w:val="center"/>
          </w:tcPr>
          <w:p w14:paraId="6042EF96">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收益分配方式</w:t>
            </w:r>
          </w:p>
        </w:tc>
        <w:tc>
          <w:tcPr>
            <w:tcW w:w="6972" w:type="dxa"/>
            <w:tcBorders>
              <w:top w:val="single" w:color="auto" w:sz="4" w:space="0"/>
              <w:left w:val="single" w:color="auto" w:sz="4" w:space="0"/>
              <w:bottom w:val="single" w:color="auto" w:sz="4" w:space="0"/>
              <w:right w:val="single" w:color="auto" w:sz="4" w:space="0"/>
            </w:tcBorders>
            <w:vAlign w:val="center"/>
          </w:tcPr>
          <w:p w14:paraId="34A35ACE">
            <w:pPr>
              <w:widowControl/>
              <w:spacing w:line="400" w:lineRule="exact"/>
              <w:jc w:val="left"/>
              <w:textAlignment w:val="center"/>
              <w:rPr>
                <w:rFonts w:hint="eastAsia" w:ascii="仿宋_GB2312" w:hAnsi="等线" w:cs="仿宋_GB2312"/>
                <w:bCs/>
                <w:color w:val="000000" w:themeColor="text1"/>
                <w:sz w:val="24"/>
                <w:highlight w:val="yellow"/>
                <w:lang w:eastAsia="zh-CN"/>
                <w14:textFill>
                  <w14:solidFill>
                    <w14:schemeClr w14:val="tx1"/>
                  </w14:solidFill>
                </w14:textFill>
              </w:rPr>
            </w:pPr>
            <w:r>
              <w:rPr>
                <w:rFonts w:hint="eastAsia" w:ascii="仿宋_GB2312" w:hAnsi="等线" w:cs="仿宋_GB2312"/>
                <w:bCs/>
                <w:color w:val="000000" w:themeColor="text1"/>
                <w:sz w:val="24"/>
                <w:highlight w:val="yellow"/>
                <w:lang w:eastAsia="zh-CN"/>
                <w14:textFill>
                  <w14:solidFill>
                    <w14:schemeClr w14:val="tx1"/>
                  </w14:solidFill>
                </w14:textFill>
              </w:rPr>
              <w:t>【现金分配】</w:t>
            </w:r>
          </w:p>
          <w:p w14:paraId="1A607043">
            <w:pPr>
              <w:snapToGrid w:val="0"/>
              <w:rPr>
                <w:rFonts w:hint="eastAsia" w:ascii="宋体" w:hAnsi="宋体"/>
                <w:sz w:val="24"/>
                <w:szCs w:val="24"/>
                <w:highlight w:val="yellow"/>
              </w:rPr>
            </w:pPr>
            <w:r>
              <w:rPr>
                <w:rFonts w:hint="eastAsia" w:ascii="宋体" w:hAnsi="宋体"/>
                <w:sz w:val="24"/>
                <w:szCs w:val="24"/>
                <w:highlight w:val="yellow"/>
                <w:lang w:eastAsia="zh-CN"/>
              </w:rPr>
              <w:t>【</w:t>
            </w:r>
            <w:r>
              <w:rPr>
                <w:rFonts w:hint="eastAsia" w:ascii="宋体" w:hAnsi="宋体"/>
                <w:sz w:val="24"/>
                <w:szCs w:val="24"/>
                <w:highlight w:val="yellow"/>
              </w:rPr>
              <w:t>产品存续期内，管理人有权</w:t>
            </w:r>
            <w:r>
              <w:rPr>
                <w:rFonts w:hint="eastAsia" w:ascii="宋体" w:hAnsi="宋体"/>
                <w:sz w:val="24"/>
                <w:szCs w:val="24"/>
                <w:highlight w:val="yellow"/>
                <w:lang w:eastAsia="zh-CN"/>
              </w:rPr>
              <w:t>【</w:t>
            </w:r>
            <w:r>
              <w:rPr>
                <w:rFonts w:hint="eastAsia" w:ascii="宋体" w:hAnsi="宋体"/>
                <w:sz w:val="24"/>
                <w:szCs w:val="24"/>
                <w:highlight w:val="yellow"/>
              </w:rPr>
              <w:t>每半年</w:t>
            </w:r>
            <w:r>
              <w:rPr>
                <w:rFonts w:hint="eastAsia" w:ascii="宋体" w:hAnsi="宋体"/>
                <w:sz w:val="24"/>
                <w:szCs w:val="24"/>
                <w:highlight w:val="yellow"/>
                <w:lang w:eastAsia="zh-CN"/>
              </w:rPr>
              <w:t>】</w:t>
            </w:r>
            <w:r>
              <w:rPr>
                <w:rFonts w:hint="eastAsia" w:ascii="宋体" w:hAnsi="宋体"/>
                <w:sz w:val="24"/>
                <w:szCs w:val="24"/>
                <w:highlight w:val="yellow"/>
              </w:rPr>
              <w:t>根据投资运作情况对本理财产品进行</w:t>
            </w:r>
            <w:r>
              <w:rPr>
                <w:rFonts w:hint="eastAsia" w:ascii="宋体" w:hAnsi="宋体"/>
                <w:sz w:val="24"/>
                <w:szCs w:val="24"/>
                <w:highlight w:val="yellow"/>
                <w:lang w:eastAsia="zh-CN"/>
              </w:rPr>
              <w:t>收益分配</w:t>
            </w:r>
            <w:r>
              <w:rPr>
                <w:rFonts w:hint="eastAsia" w:ascii="宋体" w:hAnsi="宋体"/>
                <w:sz w:val="24"/>
                <w:szCs w:val="24"/>
                <w:highlight w:val="yellow"/>
              </w:rPr>
              <w:t>，分配方式为</w:t>
            </w:r>
            <w:r>
              <w:rPr>
                <w:rFonts w:hint="eastAsia" w:ascii="宋体" w:hAnsi="宋体"/>
                <w:sz w:val="24"/>
                <w:szCs w:val="24"/>
                <w:highlight w:val="yellow"/>
                <w:lang w:eastAsia="zh-CN"/>
              </w:rPr>
              <w:t>【</w:t>
            </w:r>
            <w:r>
              <w:rPr>
                <w:rFonts w:hint="eastAsia" w:ascii="宋体" w:hAnsi="宋体"/>
                <w:sz w:val="24"/>
                <w:szCs w:val="24"/>
                <w:highlight w:val="yellow"/>
              </w:rPr>
              <w:t>现金</w:t>
            </w:r>
            <w:r>
              <w:rPr>
                <w:rFonts w:hint="eastAsia" w:ascii="宋体" w:hAnsi="宋体"/>
                <w:sz w:val="24"/>
                <w:szCs w:val="24"/>
                <w:highlight w:val="yellow"/>
                <w:lang w:eastAsia="zh-CN"/>
              </w:rPr>
              <w:t>分配】</w:t>
            </w:r>
            <w:r>
              <w:rPr>
                <w:rFonts w:hint="eastAsia" w:ascii="宋体" w:hAnsi="宋体"/>
                <w:sz w:val="24"/>
                <w:szCs w:val="24"/>
                <w:highlight w:val="yellow"/>
              </w:rPr>
              <w:t>（</w:t>
            </w:r>
            <w:r>
              <w:rPr>
                <w:rFonts w:hint="eastAsia" w:ascii="宋体" w:hAnsi="宋体"/>
                <w:sz w:val="24"/>
                <w:szCs w:val="24"/>
                <w:highlight w:val="yellow"/>
                <w:lang w:eastAsia="zh-CN"/>
              </w:rPr>
              <w:t>分配</w:t>
            </w:r>
            <w:r>
              <w:rPr>
                <w:rFonts w:hint="eastAsia" w:ascii="宋体" w:hAnsi="宋体"/>
                <w:sz w:val="24"/>
                <w:szCs w:val="24"/>
                <w:highlight w:val="yellow"/>
              </w:rPr>
              <w:t>前提条件为</w:t>
            </w:r>
            <w:r>
              <w:rPr>
                <w:rFonts w:hint="eastAsia" w:ascii="宋体" w:hAnsi="宋体"/>
                <w:sz w:val="24"/>
                <w:szCs w:val="24"/>
                <w:highlight w:val="yellow"/>
                <w:lang w:eastAsia="zh-CN"/>
              </w:rPr>
              <w:t>【</w:t>
            </w:r>
            <w:r>
              <w:rPr>
                <w:rFonts w:hint="eastAsia" w:ascii="宋体" w:hAnsi="宋体"/>
                <w:sz w:val="24"/>
                <w:szCs w:val="24"/>
                <w:highlight w:val="yellow"/>
              </w:rPr>
              <w:t>本理财产品在对应收益分配基准日的份额净值大于1.000</w:t>
            </w:r>
            <w:r>
              <w:rPr>
                <w:rFonts w:hint="eastAsia" w:ascii="宋体" w:hAnsi="宋体"/>
                <w:sz w:val="24"/>
                <w:szCs w:val="24"/>
                <w:highlight w:val="yellow"/>
                <w:lang w:val="en-US" w:eastAsia="zh-CN"/>
              </w:rPr>
              <w:t>00</w:t>
            </w:r>
            <w:r>
              <w:rPr>
                <w:rFonts w:hint="eastAsia" w:ascii="宋体" w:hAnsi="宋体"/>
                <w:sz w:val="24"/>
                <w:szCs w:val="24"/>
                <w:highlight w:val="yellow"/>
              </w:rPr>
              <w:t>0元/份</w:t>
            </w:r>
            <w:r>
              <w:rPr>
                <w:rFonts w:hint="eastAsia" w:ascii="宋体" w:hAnsi="宋体"/>
                <w:sz w:val="24"/>
                <w:szCs w:val="24"/>
                <w:highlight w:val="yellow"/>
                <w:lang w:eastAsia="zh-CN"/>
              </w:rPr>
              <w:t>】</w:t>
            </w:r>
            <w:r>
              <w:rPr>
                <w:rFonts w:hint="eastAsia" w:ascii="宋体" w:hAnsi="宋体"/>
                <w:sz w:val="24"/>
                <w:szCs w:val="24"/>
                <w:highlight w:val="yellow"/>
              </w:rPr>
              <w:t>）。权益登记日为收益分配基准日后的第</w:t>
            </w:r>
            <w:r>
              <w:rPr>
                <w:rFonts w:hint="eastAsia" w:ascii="宋体" w:hAnsi="宋体"/>
                <w:sz w:val="24"/>
                <w:szCs w:val="24"/>
                <w:highlight w:val="yellow"/>
                <w:lang w:eastAsia="zh-CN"/>
              </w:rPr>
              <w:t>【</w:t>
            </w:r>
            <w:r>
              <w:rPr>
                <w:rFonts w:hint="eastAsia" w:ascii="宋体" w:hAnsi="宋体"/>
                <w:sz w:val="24"/>
                <w:szCs w:val="24"/>
                <w:highlight w:val="yellow"/>
              </w:rPr>
              <w:t>5</w:t>
            </w:r>
            <w:r>
              <w:rPr>
                <w:rFonts w:hint="eastAsia" w:ascii="宋体" w:hAnsi="宋体"/>
                <w:sz w:val="24"/>
                <w:szCs w:val="24"/>
                <w:highlight w:val="yellow"/>
                <w:lang w:eastAsia="zh-CN"/>
              </w:rPr>
              <w:t>】</w:t>
            </w:r>
            <w:r>
              <w:rPr>
                <w:rFonts w:hint="eastAsia" w:ascii="宋体" w:hAnsi="宋体"/>
                <w:sz w:val="24"/>
                <w:szCs w:val="24"/>
                <w:highlight w:val="yellow"/>
              </w:rPr>
              <w:t>个</w:t>
            </w:r>
            <w:r>
              <w:rPr>
                <w:rFonts w:hint="eastAsia" w:ascii="宋体" w:hAnsi="宋体"/>
                <w:sz w:val="24"/>
                <w:szCs w:val="24"/>
                <w:highlight w:val="yellow"/>
                <w:lang w:eastAsia="zh-CN"/>
              </w:rPr>
              <w:t>【交易</w:t>
            </w:r>
            <w:r>
              <w:rPr>
                <w:rFonts w:hint="eastAsia" w:ascii="宋体" w:hAnsi="宋体"/>
                <w:sz w:val="24"/>
                <w:szCs w:val="24"/>
                <w:highlight w:val="yellow"/>
              </w:rPr>
              <w:t>日</w:t>
            </w:r>
            <w:r>
              <w:rPr>
                <w:rFonts w:hint="eastAsia" w:ascii="宋体" w:hAnsi="宋体"/>
                <w:sz w:val="24"/>
                <w:szCs w:val="24"/>
                <w:highlight w:val="yellow"/>
                <w:lang w:eastAsia="zh-CN"/>
              </w:rPr>
              <w:t>】</w:t>
            </w:r>
            <w:r>
              <w:rPr>
                <w:rFonts w:hint="eastAsia" w:ascii="宋体" w:hAnsi="宋体"/>
                <w:sz w:val="24"/>
                <w:szCs w:val="24"/>
                <w:highlight w:val="yellow"/>
              </w:rPr>
              <w:t>。管理人将根据理财产品投资收益情况决定当次的分配比例和金额等</w:t>
            </w:r>
            <w:r>
              <w:rPr>
                <w:rFonts w:hint="eastAsia" w:ascii="宋体" w:hAnsi="宋体"/>
                <w:sz w:val="24"/>
                <w:szCs w:val="24"/>
                <w:highlight w:val="yellow"/>
                <w:lang w:eastAsia="zh-CN"/>
              </w:rPr>
              <w:t>分配</w:t>
            </w:r>
            <w:r>
              <w:rPr>
                <w:rFonts w:hint="eastAsia" w:ascii="宋体" w:hAnsi="宋体"/>
                <w:sz w:val="24"/>
                <w:szCs w:val="24"/>
                <w:highlight w:val="yellow"/>
              </w:rPr>
              <w:t>要素，并于权益登记日前</w:t>
            </w:r>
            <w:r>
              <w:rPr>
                <w:rFonts w:hint="eastAsia" w:ascii="宋体" w:hAnsi="宋体"/>
                <w:sz w:val="24"/>
                <w:szCs w:val="24"/>
                <w:highlight w:val="yellow"/>
                <w:lang w:val="en-US" w:eastAsia="zh-CN"/>
              </w:rPr>
              <w:t>1</w:t>
            </w:r>
            <w:r>
              <w:rPr>
                <w:rFonts w:hint="eastAsia" w:ascii="宋体" w:hAnsi="宋体"/>
                <w:sz w:val="24"/>
                <w:szCs w:val="24"/>
                <w:highlight w:val="yellow"/>
              </w:rPr>
              <w:t>个工作日通过本产品说明书约定的方式向投资者披露</w:t>
            </w:r>
            <w:r>
              <w:rPr>
                <w:rFonts w:hint="eastAsia" w:ascii="宋体" w:hAnsi="宋体"/>
                <w:sz w:val="24"/>
                <w:szCs w:val="24"/>
                <w:highlight w:val="yellow"/>
                <w:lang w:eastAsia="zh-CN"/>
              </w:rPr>
              <w:t>分配</w:t>
            </w:r>
            <w:r>
              <w:rPr>
                <w:rFonts w:hint="eastAsia" w:ascii="宋体" w:hAnsi="宋体"/>
                <w:sz w:val="24"/>
                <w:szCs w:val="24"/>
                <w:highlight w:val="yellow"/>
              </w:rPr>
              <w:t>方案。管理人在权益登记日后5个工作日内向投资者分配收益。</w:t>
            </w:r>
          </w:p>
          <w:p w14:paraId="5A809099">
            <w:pPr>
              <w:snapToGrid w:val="0"/>
              <w:rPr>
                <w:rFonts w:hint="eastAsia" w:ascii="宋体" w:hAnsi="宋体" w:eastAsia="仿宋_GB2312"/>
                <w:sz w:val="24"/>
                <w:szCs w:val="24"/>
                <w:highlight w:val="yellow"/>
                <w:lang w:eastAsia="zh-CN"/>
              </w:rPr>
            </w:pPr>
            <w:r>
              <w:rPr>
                <w:rFonts w:hint="eastAsia" w:ascii="宋体" w:hAnsi="宋体"/>
                <w:sz w:val="24"/>
                <w:szCs w:val="24"/>
                <w:highlight w:val="yellow"/>
              </w:rPr>
              <w:t>理财产品存续期间，产品管理人有权视理财产品收益情况进行主动分配，相应分配基准日、分配方案由管理人及时披露。</w:t>
            </w:r>
            <w:r>
              <w:rPr>
                <w:rFonts w:hint="eastAsia"/>
                <w:highlight w:val="yellow"/>
                <w:lang w:eastAsia="zh-CN"/>
              </w:rPr>
              <w:t>】</w:t>
            </w:r>
          </w:p>
          <w:tbl>
            <w:tblPr>
              <w:tblStyle w:val="7"/>
              <w:tblW w:w="6751" w:type="dxa"/>
              <w:tblInd w:w="0" w:type="dxa"/>
              <w:tblLayout w:type="fixed"/>
              <w:tblCellMar>
                <w:top w:w="0" w:type="dxa"/>
                <w:left w:w="108" w:type="dxa"/>
                <w:bottom w:w="0" w:type="dxa"/>
                <w:right w:w="108" w:type="dxa"/>
              </w:tblCellMar>
            </w:tblPr>
            <w:tblGrid>
              <w:gridCol w:w="2290"/>
              <w:gridCol w:w="2238"/>
              <w:gridCol w:w="2223"/>
            </w:tblGrid>
            <w:tr w14:paraId="461532EF">
              <w:tblPrEx>
                <w:tblCellMar>
                  <w:top w:w="0" w:type="dxa"/>
                  <w:left w:w="108" w:type="dxa"/>
                  <w:bottom w:w="0" w:type="dxa"/>
                  <w:right w:w="108" w:type="dxa"/>
                </w:tblCellMar>
              </w:tblPrEx>
              <w:trPr>
                <w:trHeight w:val="285" w:hRule="atLeast"/>
              </w:trPr>
              <w:tc>
                <w:tcPr>
                  <w:tcW w:w="2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4FFDAD">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收益分配基准日</w:t>
                  </w:r>
                </w:p>
              </w:tc>
              <w:tc>
                <w:tcPr>
                  <w:tcW w:w="2238" w:type="dxa"/>
                  <w:tcBorders>
                    <w:top w:val="single" w:color="auto" w:sz="4" w:space="0"/>
                    <w:left w:val="nil"/>
                    <w:bottom w:val="single" w:color="auto" w:sz="4" w:space="0"/>
                    <w:right w:val="single" w:color="auto" w:sz="4" w:space="0"/>
                  </w:tcBorders>
                  <w:shd w:val="clear" w:color="auto" w:fill="auto"/>
                  <w:noWrap/>
                  <w:vAlign w:val="center"/>
                </w:tcPr>
                <w:p w14:paraId="00DD1372">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权益登记日</w:t>
                  </w:r>
                </w:p>
              </w:tc>
              <w:tc>
                <w:tcPr>
                  <w:tcW w:w="2223" w:type="dxa"/>
                  <w:tcBorders>
                    <w:top w:val="single" w:color="auto" w:sz="4" w:space="0"/>
                    <w:left w:val="nil"/>
                    <w:bottom w:val="single" w:color="auto" w:sz="4" w:space="0"/>
                    <w:right w:val="single" w:color="auto" w:sz="4" w:space="0"/>
                  </w:tcBorders>
                  <w:shd w:val="clear" w:color="auto" w:fill="auto"/>
                  <w:noWrap/>
                  <w:vAlign w:val="center"/>
                </w:tcPr>
                <w:p w14:paraId="21C0A018">
                  <w:pPr>
                    <w:widowControl/>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除权日</w:t>
                  </w:r>
                </w:p>
              </w:tc>
            </w:tr>
            <w:tr w14:paraId="31C9711B">
              <w:tblPrEx>
                <w:tblCellMar>
                  <w:top w:w="0" w:type="dxa"/>
                  <w:left w:w="108" w:type="dxa"/>
                  <w:bottom w:w="0" w:type="dxa"/>
                  <w:right w:w="108" w:type="dxa"/>
                </w:tblCellMar>
              </w:tblPrEx>
              <w:trPr>
                <w:trHeight w:val="285" w:hRule="atLeast"/>
              </w:trPr>
              <w:tc>
                <w:tcPr>
                  <w:tcW w:w="2290" w:type="dxa"/>
                  <w:tcBorders>
                    <w:top w:val="nil"/>
                    <w:left w:val="single" w:color="auto" w:sz="4" w:space="0"/>
                    <w:bottom w:val="single" w:color="auto" w:sz="4" w:space="0"/>
                    <w:right w:val="single" w:color="auto" w:sz="4" w:space="0"/>
                  </w:tcBorders>
                  <w:shd w:val="clear" w:color="auto" w:fill="auto"/>
                  <w:noWrap/>
                  <w:vAlign w:val="center"/>
                </w:tcPr>
                <w:p w14:paraId="25E068BB">
                  <w:pPr>
                    <w:widowControl/>
                    <w:jc w:val="center"/>
                    <w:rPr>
                      <w:rFonts w:ascii="宋体" w:hAnsi="宋体" w:eastAsia="宋体" w:cs="宋体"/>
                      <w:color w:val="000000"/>
                      <w:kern w:val="0"/>
                      <w:sz w:val="24"/>
                      <w:szCs w:val="24"/>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p>
              </w:tc>
              <w:tc>
                <w:tcPr>
                  <w:tcW w:w="2238" w:type="dxa"/>
                  <w:tcBorders>
                    <w:top w:val="nil"/>
                    <w:left w:val="nil"/>
                    <w:bottom w:val="single" w:color="auto" w:sz="4" w:space="0"/>
                    <w:right w:val="single" w:color="auto" w:sz="4" w:space="0"/>
                  </w:tcBorders>
                  <w:shd w:val="clear" w:color="auto" w:fill="auto"/>
                  <w:noWrap/>
                  <w:vAlign w:val="center"/>
                </w:tcPr>
                <w:p w14:paraId="77AF9BD4">
                  <w:pPr>
                    <w:widowControl/>
                    <w:jc w:val="center"/>
                    <w:rPr>
                      <w:rFonts w:ascii="宋体" w:hAnsi="宋体" w:eastAsia="宋体" w:cs="宋体"/>
                      <w:color w:val="000000"/>
                      <w:kern w:val="0"/>
                      <w:sz w:val="24"/>
                      <w:szCs w:val="24"/>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p>
              </w:tc>
              <w:tc>
                <w:tcPr>
                  <w:tcW w:w="2223" w:type="dxa"/>
                  <w:tcBorders>
                    <w:top w:val="nil"/>
                    <w:left w:val="nil"/>
                    <w:bottom w:val="single" w:color="auto" w:sz="4" w:space="0"/>
                    <w:right w:val="single" w:color="auto" w:sz="4" w:space="0"/>
                  </w:tcBorders>
                  <w:shd w:val="clear" w:color="auto" w:fill="auto"/>
                  <w:noWrap/>
                  <w:vAlign w:val="center"/>
                </w:tcPr>
                <w:p w14:paraId="29CF772C">
                  <w:pPr>
                    <w:widowControl/>
                    <w:jc w:val="center"/>
                    <w:rPr>
                      <w:rFonts w:ascii="宋体" w:hAnsi="宋体" w:eastAsia="宋体" w:cs="宋体"/>
                      <w:color w:val="000000"/>
                      <w:kern w:val="0"/>
                      <w:sz w:val="24"/>
                      <w:szCs w:val="24"/>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p>
              </w:tc>
            </w:tr>
          </w:tbl>
          <w:p w14:paraId="61E9BFF9">
            <w:pPr>
              <w:widowControl/>
              <w:spacing w:line="400" w:lineRule="exact"/>
              <w:jc w:val="left"/>
              <w:textAlignment w:val="center"/>
              <w:rPr>
                <w:rFonts w:hint="eastAsia" w:ascii="仿宋_GB2312" w:hAnsi="等线" w:cs="仿宋_GB2312"/>
                <w:bCs/>
                <w:color w:val="000000" w:themeColor="text1"/>
                <w:sz w:val="24"/>
                <w:lang w:eastAsia="zh-CN"/>
                <w14:textFill>
                  <w14:solidFill>
                    <w14:schemeClr w14:val="tx1"/>
                  </w14:solidFill>
                </w14:textFill>
              </w:rPr>
            </w:pPr>
          </w:p>
        </w:tc>
      </w:tr>
      <w:tr w14:paraId="684FEE19">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7BD1A409">
            <w:pPr>
              <w:widowControl/>
              <w:spacing w:line="400" w:lineRule="exact"/>
              <w:jc w:val="center"/>
              <w:textAlignment w:val="center"/>
              <w:rPr>
                <w:rFonts w:hint="eastAsia" w:ascii="楷体_GB2312" w:hAnsi="等线" w:eastAsia="楷体_GB2312" w:cs="楷体_GB2312"/>
                <w:b/>
                <w:bCs/>
                <w:color w:val="000000" w:themeColor="text1"/>
                <w:sz w:val="24"/>
                <w14:textFill>
                  <w14:solidFill>
                    <w14:schemeClr w14:val="tx1"/>
                  </w14:solidFill>
                </w14:textFill>
              </w:rPr>
            </w:pPr>
            <w:r>
              <w:rPr>
                <w:rFonts w:hint="eastAsia" w:ascii="楷体_GB2312" w:hAnsi="等线" w:eastAsia="楷体_GB2312" w:cs="楷体_GB2312"/>
                <w:b/>
                <w:bCs/>
                <w:color w:val="000000" w:themeColor="text1"/>
                <w:kern w:val="0"/>
                <w:sz w:val="24"/>
                <w:lang w:bidi="ar"/>
                <w14:textFill>
                  <w14:solidFill>
                    <w14:schemeClr w14:val="tx1"/>
                  </w14:solidFill>
                </w14:textFill>
              </w:rPr>
              <w:t>（三）产品性质与类型</w:t>
            </w:r>
          </w:p>
        </w:tc>
      </w:tr>
      <w:tr w14:paraId="3E94125F">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6AFF2CC1">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募集方式</w:t>
            </w:r>
          </w:p>
        </w:tc>
        <w:tc>
          <w:tcPr>
            <w:tcW w:w="6972" w:type="dxa"/>
            <w:tcBorders>
              <w:top w:val="single" w:color="auto" w:sz="4" w:space="0"/>
              <w:left w:val="single" w:color="auto" w:sz="4" w:space="0"/>
              <w:bottom w:val="single" w:color="auto" w:sz="4" w:space="0"/>
              <w:right w:val="single" w:color="auto" w:sz="4" w:space="0"/>
            </w:tcBorders>
            <w:vAlign w:val="center"/>
          </w:tcPr>
          <w:p w14:paraId="65483302">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eastAsia="zh-CN"/>
              </w:rPr>
            </w:pPr>
            <w:r>
              <w:rPr>
                <w:rFonts w:hint="eastAsia" w:ascii="宋体" w:hAnsi="宋体"/>
                <w:b/>
                <w:szCs w:val="24"/>
                <w:highlight w:val="yellow"/>
                <w:lang w:eastAsia="zh-CN"/>
              </w:rPr>
              <w:t>【公募</w:t>
            </w:r>
            <w:r>
              <w:rPr>
                <w:rFonts w:hint="eastAsia" w:ascii="宋体" w:hAnsi="宋体"/>
                <w:b/>
                <w:szCs w:val="24"/>
                <w:highlight w:val="yellow"/>
                <w:lang w:val="en-US" w:eastAsia="zh-CN"/>
              </w:rPr>
              <w:t>/私募</w:t>
            </w:r>
            <w:r>
              <w:rPr>
                <w:rFonts w:hint="eastAsia" w:ascii="宋体" w:hAnsi="宋体"/>
                <w:b/>
                <w:szCs w:val="24"/>
                <w:highlight w:val="yellow"/>
                <w:lang w:eastAsia="zh-CN"/>
              </w:rPr>
              <w:t>】</w:t>
            </w:r>
          </w:p>
        </w:tc>
      </w:tr>
      <w:tr w14:paraId="16869719">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C4FF9FD">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投资性质</w:t>
            </w:r>
          </w:p>
        </w:tc>
        <w:tc>
          <w:tcPr>
            <w:tcW w:w="6972" w:type="dxa"/>
            <w:tcBorders>
              <w:top w:val="single" w:color="auto" w:sz="4" w:space="0"/>
              <w:left w:val="single" w:color="auto" w:sz="4" w:space="0"/>
              <w:bottom w:val="single" w:color="auto" w:sz="4" w:space="0"/>
              <w:right w:val="single" w:color="auto" w:sz="4" w:space="0"/>
            </w:tcBorders>
            <w:vAlign w:val="center"/>
          </w:tcPr>
          <w:p w14:paraId="2302B8D4">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bidi="ar"/>
              </w:rPr>
            </w:pPr>
            <w:r>
              <w:rPr>
                <w:rFonts w:hint="eastAsia" w:ascii="宋体" w:hAnsi="宋体"/>
                <w:b/>
                <w:szCs w:val="24"/>
                <w:highlight w:val="yellow"/>
                <w:lang w:eastAsia="zh-CN"/>
              </w:rPr>
              <w:t>【固定收益类、权益类、商品及金融衍生品类、混合类】</w:t>
            </w:r>
          </w:p>
        </w:tc>
      </w:tr>
      <w:tr w14:paraId="548804A4">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9804FA5">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运作模式</w:t>
            </w:r>
          </w:p>
        </w:tc>
        <w:tc>
          <w:tcPr>
            <w:tcW w:w="6972" w:type="dxa"/>
            <w:tcBorders>
              <w:top w:val="single" w:color="auto" w:sz="4" w:space="0"/>
              <w:left w:val="single" w:color="auto" w:sz="4" w:space="0"/>
              <w:bottom w:val="single" w:color="auto" w:sz="4" w:space="0"/>
              <w:right w:val="single" w:color="auto" w:sz="4" w:space="0"/>
            </w:tcBorders>
            <w:vAlign w:val="center"/>
          </w:tcPr>
          <w:p w14:paraId="0B46F88F">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bidi="ar"/>
              </w:rPr>
            </w:pPr>
            <w:r>
              <w:rPr>
                <w:rFonts w:hint="eastAsia" w:ascii="宋体" w:hAnsi="宋体"/>
                <w:b/>
                <w:szCs w:val="24"/>
                <w:highlight w:val="yellow"/>
                <w:lang w:eastAsia="zh-CN"/>
              </w:rPr>
              <w:t>【开放式】</w:t>
            </w:r>
          </w:p>
        </w:tc>
      </w:tr>
      <w:tr w14:paraId="7DE835F6">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39D2A49">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运作模式（二级）</w:t>
            </w:r>
          </w:p>
        </w:tc>
        <w:tc>
          <w:tcPr>
            <w:tcW w:w="6972" w:type="dxa"/>
            <w:tcBorders>
              <w:top w:val="single" w:color="auto" w:sz="4" w:space="0"/>
              <w:left w:val="single" w:color="auto" w:sz="4" w:space="0"/>
              <w:bottom w:val="single" w:color="auto" w:sz="4" w:space="0"/>
              <w:right w:val="single" w:color="auto" w:sz="4" w:space="0"/>
            </w:tcBorders>
            <w:vAlign w:val="center"/>
          </w:tcPr>
          <w:p w14:paraId="0D792840">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bidi="ar"/>
              </w:rPr>
            </w:pPr>
            <w:r>
              <w:rPr>
                <w:rFonts w:hint="eastAsia" w:ascii="仿宋_GB2312" w:hAnsi="宋体" w:eastAsia="仿宋_GB2312" w:cs="宋体"/>
                <w:b/>
                <w:bCs/>
                <w:color w:val="auto"/>
                <w:kern w:val="0"/>
                <w:sz w:val="24"/>
                <w:szCs w:val="24"/>
                <w:highlight w:val="yellow"/>
                <w:u w:val="none"/>
                <w:lang w:bidi="ar"/>
              </w:rPr>
              <w:t>申赎分离型产品</w:t>
            </w:r>
          </w:p>
        </w:tc>
      </w:tr>
      <w:tr w14:paraId="60881B8F">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5479ADDA">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风险等级</w:t>
            </w:r>
          </w:p>
        </w:tc>
        <w:tc>
          <w:tcPr>
            <w:tcW w:w="6972" w:type="dxa"/>
            <w:tcBorders>
              <w:top w:val="single" w:color="auto" w:sz="4" w:space="0"/>
              <w:left w:val="single" w:color="auto" w:sz="4" w:space="0"/>
              <w:bottom w:val="single" w:color="auto" w:sz="4" w:space="0"/>
              <w:right w:val="single" w:color="auto" w:sz="4" w:space="0"/>
            </w:tcBorders>
            <w:vAlign w:val="center"/>
          </w:tcPr>
          <w:p w14:paraId="5123046B">
            <w:pPr>
              <w:widowControl/>
              <w:tabs>
                <w:tab w:val="left" w:pos="709"/>
              </w:tabs>
              <w:snapToGrid w:val="0"/>
              <w:rPr>
                <w:rFonts w:ascii="宋体" w:hAnsi="宋体"/>
                <w:color w:val="auto"/>
                <w:szCs w:val="24"/>
                <w:highlight w:val="none"/>
                <w:u w:val="none"/>
              </w:rPr>
            </w:pPr>
            <w:r>
              <w:rPr>
                <w:rFonts w:hint="eastAsia" w:ascii="宋体" w:hAnsi="宋体"/>
                <w:b/>
                <w:bCs/>
                <w:color w:val="auto"/>
                <w:szCs w:val="24"/>
                <w:highlight w:val="yellow"/>
                <w:u w:val="none"/>
              </w:rPr>
              <w:t>【</w:t>
            </w:r>
            <w:r>
              <w:rPr>
                <w:rFonts w:hint="eastAsia" w:ascii="宋体" w:hAnsi="宋体"/>
                <w:b/>
                <w:bCs/>
                <w:color w:val="auto"/>
                <w:szCs w:val="24"/>
                <w:highlight w:val="yellow"/>
                <w:u w:val="none"/>
                <w:lang w:val="en-US" w:eastAsia="zh-CN"/>
              </w:rPr>
              <w:t>R1/2/3/4/5</w:t>
            </w:r>
            <w:r>
              <w:rPr>
                <w:rFonts w:hint="eastAsia" w:ascii="宋体" w:hAnsi="宋体"/>
                <w:b/>
                <w:bCs/>
                <w:color w:val="auto"/>
                <w:szCs w:val="24"/>
                <w:highlight w:val="yellow"/>
                <w:u w:val="none"/>
              </w:rPr>
              <w:t>】</w:t>
            </w:r>
            <w:r>
              <w:rPr>
                <w:rFonts w:hint="eastAsia" w:ascii="宋体" w:hAnsi="宋体"/>
                <w:b/>
                <w:bCs/>
                <w:color w:val="auto"/>
                <w:szCs w:val="24"/>
                <w:highlight w:val="none"/>
                <w:u w:val="none"/>
              </w:rPr>
              <w:t>对应风险等级为</w:t>
            </w:r>
            <w:r>
              <w:rPr>
                <w:rFonts w:hint="eastAsia" w:ascii="宋体" w:hAnsi="宋体"/>
                <w:b/>
                <w:bCs/>
                <w:color w:val="auto"/>
                <w:szCs w:val="24"/>
                <w:highlight w:val="yellow"/>
                <w:u w:val="none"/>
              </w:rPr>
              <w:t>【】</w:t>
            </w:r>
            <w:r>
              <w:rPr>
                <w:rFonts w:hint="eastAsia" w:ascii="仿宋_GB2312" w:hAnsi="等线" w:eastAsia="仿宋_GB2312" w:cs="仿宋_GB2312"/>
                <w:b/>
                <w:bCs w:val="0"/>
                <w:color w:val="000000" w:themeColor="text1"/>
                <w:kern w:val="0"/>
                <w:sz w:val="24"/>
                <w:lang w:bidi="ar"/>
                <w14:textFill>
                  <w14:solidFill>
                    <w14:schemeClr w14:val="tx1"/>
                  </w14:solidFill>
                </w14:textFill>
              </w:rPr>
              <w:br w:type="textWrapping"/>
            </w:r>
            <w:r>
              <w:rPr>
                <w:rFonts w:hint="eastAsia" w:ascii="宋体" w:hAnsi="宋体"/>
                <w:color w:val="auto"/>
                <w:szCs w:val="24"/>
                <w:highlight w:val="none"/>
                <w:u w:val="none"/>
              </w:rPr>
              <w:t>本评级为管理人内部测评结果，仅供投资者参考。</w:t>
            </w:r>
            <w:r>
              <w:rPr>
                <w:rFonts w:hint="eastAsia" w:ascii="宋体" w:hAnsi="宋体"/>
                <w:b/>
                <w:color w:val="auto"/>
                <w:szCs w:val="24"/>
                <w:highlight w:val="none"/>
                <w:u w:val="none"/>
              </w:rPr>
              <w:t>本产品通过代理销售机构渠道销售的，理财产品评级应当以代理销售机构最终披露的评级结果为准。</w:t>
            </w:r>
            <w:r>
              <w:rPr>
                <w:rFonts w:ascii="宋体" w:hAnsi="宋体"/>
                <w:color w:val="auto"/>
                <w:szCs w:val="24"/>
                <w:highlight w:val="none"/>
                <w:u w:val="none"/>
              </w:rPr>
              <w:t>(</w:t>
            </w:r>
            <w:r>
              <w:rPr>
                <w:rFonts w:hint="eastAsia" w:ascii="宋体" w:hAnsi="宋体"/>
                <w:color w:val="auto"/>
                <w:szCs w:val="24"/>
                <w:highlight w:val="none"/>
                <w:u w:val="none"/>
              </w:rPr>
              <w:t>管理</w:t>
            </w:r>
            <w:r>
              <w:rPr>
                <w:rFonts w:ascii="宋体" w:hAnsi="宋体"/>
                <w:color w:val="auto"/>
                <w:szCs w:val="24"/>
                <w:highlight w:val="none"/>
                <w:u w:val="none"/>
              </w:rPr>
              <w:t>人与</w:t>
            </w:r>
            <w:r>
              <w:rPr>
                <w:rFonts w:hint="eastAsia" w:ascii="宋体" w:hAnsi="宋体"/>
                <w:color w:val="auto"/>
                <w:szCs w:val="24"/>
                <w:highlight w:val="none"/>
                <w:u w:val="none"/>
              </w:rPr>
              <w:t>代理</w:t>
            </w:r>
            <w:r>
              <w:rPr>
                <w:rFonts w:ascii="宋体" w:hAnsi="宋体"/>
                <w:color w:val="auto"/>
                <w:szCs w:val="24"/>
                <w:highlight w:val="none"/>
                <w:u w:val="none"/>
              </w:rPr>
              <w:t>销售机构</w:t>
            </w:r>
            <w:r>
              <w:rPr>
                <w:rFonts w:hint="eastAsia" w:ascii="宋体" w:hAnsi="宋体"/>
                <w:color w:val="auto"/>
                <w:szCs w:val="24"/>
                <w:highlight w:val="none"/>
                <w:u w:val="none"/>
              </w:rPr>
              <w:t>的</w:t>
            </w:r>
            <w:r>
              <w:rPr>
                <w:rFonts w:ascii="宋体" w:hAnsi="宋体"/>
                <w:color w:val="auto"/>
                <w:szCs w:val="24"/>
                <w:highlight w:val="none"/>
                <w:u w:val="none"/>
              </w:rPr>
              <w:t>风险</w:t>
            </w:r>
            <w:r>
              <w:rPr>
                <w:rFonts w:hint="eastAsia" w:ascii="宋体" w:hAnsi="宋体"/>
                <w:color w:val="auto"/>
                <w:szCs w:val="24"/>
                <w:highlight w:val="none"/>
                <w:u w:val="none"/>
              </w:rPr>
              <w:t>等级评估结果</w:t>
            </w:r>
            <w:r>
              <w:rPr>
                <w:rFonts w:ascii="宋体" w:hAnsi="宋体"/>
                <w:color w:val="auto"/>
                <w:szCs w:val="24"/>
                <w:highlight w:val="none"/>
                <w:u w:val="none"/>
              </w:rPr>
              <w:t>不一致的应采用</w:t>
            </w:r>
            <w:r>
              <w:rPr>
                <w:rFonts w:hint="eastAsia" w:ascii="宋体" w:hAnsi="宋体"/>
                <w:color w:val="auto"/>
                <w:szCs w:val="24"/>
                <w:highlight w:val="none"/>
                <w:u w:val="none"/>
              </w:rPr>
              <w:t>对应</w:t>
            </w:r>
            <w:r>
              <w:rPr>
                <w:rFonts w:ascii="宋体" w:hAnsi="宋体"/>
                <w:color w:val="auto"/>
                <w:szCs w:val="24"/>
                <w:highlight w:val="none"/>
                <w:u w:val="none"/>
              </w:rPr>
              <w:t>较高风险</w:t>
            </w:r>
            <w:r>
              <w:rPr>
                <w:rFonts w:hint="eastAsia" w:ascii="宋体" w:hAnsi="宋体"/>
                <w:color w:val="auto"/>
                <w:szCs w:val="24"/>
                <w:highlight w:val="none"/>
                <w:u w:val="none"/>
              </w:rPr>
              <w:t>的</w:t>
            </w:r>
            <w:r>
              <w:rPr>
                <w:rFonts w:ascii="宋体" w:hAnsi="宋体"/>
                <w:color w:val="auto"/>
                <w:szCs w:val="24"/>
                <w:highlight w:val="none"/>
                <w:u w:val="none"/>
              </w:rPr>
              <w:t>评级</w:t>
            </w:r>
            <w:r>
              <w:rPr>
                <w:rFonts w:hint="eastAsia" w:ascii="宋体" w:hAnsi="宋体"/>
                <w:color w:val="auto"/>
                <w:szCs w:val="24"/>
                <w:highlight w:val="none"/>
                <w:u w:val="none"/>
              </w:rPr>
              <w:t>结果。</w:t>
            </w:r>
            <w:r>
              <w:rPr>
                <w:rFonts w:ascii="宋体" w:hAnsi="宋体"/>
                <w:color w:val="auto"/>
                <w:szCs w:val="24"/>
                <w:highlight w:val="none"/>
                <w:u w:val="none"/>
              </w:rPr>
              <w:t>)</w:t>
            </w:r>
          </w:p>
          <w:p w14:paraId="2E36AF97">
            <w:pPr>
              <w:widowControl/>
              <w:tabs>
                <w:tab w:val="left" w:pos="709"/>
              </w:tabs>
              <w:snapToGrid w:val="0"/>
              <w:spacing w:line="240" w:lineRule="auto"/>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b/>
                <w:bCs/>
                <w:color w:val="auto"/>
                <w:szCs w:val="24"/>
                <w:highlight w:val="none"/>
                <w:u w:val="none"/>
              </w:rPr>
              <w:t>产品管理人在符合监管政策的前提下可对产品风险评级进行动态管理，如产品风险等级发生调整，将提前通过本《产品说明书》“信息披露”约定的方式通知投资者。</w:t>
            </w:r>
          </w:p>
        </w:tc>
      </w:tr>
      <w:tr w14:paraId="2819A394">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2F95B28F">
            <w:pPr>
              <w:widowControl/>
              <w:spacing w:line="400" w:lineRule="exact"/>
              <w:jc w:val="center"/>
              <w:textAlignment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是否为现金管理类产品</w:t>
            </w:r>
          </w:p>
        </w:tc>
        <w:tc>
          <w:tcPr>
            <w:tcW w:w="6972" w:type="dxa"/>
            <w:tcBorders>
              <w:top w:val="single" w:color="auto" w:sz="4" w:space="0"/>
              <w:left w:val="single" w:color="auto" w:sz="4" w:space="0"/>
              <w:bottom w:val="single" w:color="auto" w:sz="4" w:space="0"/>
              <w:right w:val="single" w:color="auto" w:sz="4" w:space="0"/>
            </w:tcBorders>
            <w:vAlign w:val="center"/>
          </w:tcPr>
          <w:p w14:paraId="49990958">
            <w:pPr>
              <w:widowControl/>
              <w:spacing w:line="400" w:lineRule="exact"/>
              <w:jc w:val="left"/>
              <w:textAlignment w:val="center"/>
              <w:rPr>
                <w:rFonts w:hint="eastAsia" w:ascii="仿宋_GB2312" w:hAnsi="等线" w:eastAsia="仿宋_GB2312" w:cs="仿宋_GB2312"/>
                <w:bCs/>
                <w:color w:val="000000" w:themeColor="text1"/>
                <w:kern w:val="0"/>
                <w:sz w:val="24"/>
                <w:lang w:eastAsia="zh-CN" w:bidi="ar"/>
                <w14:textFill>
                  <w14:solidFill>
                    <w14:schemeClr w14:val="tx1"/>
                  </w14:solidFill>
                </w14:textFill>
              </w:rPr>
            </w:pPr>
            <w:r>
              <w:rPr>
                <w:rFonts w:hint="eastAsia" w:ascii="仿宋_GB2312" w:hAnsi="等线" w:cs="仿宋_GB2312"/>
                <w:bCs/>
                <w:color w:val="000000" w:themeColor="text1"/>
                <w:kern w:val="0"/>
                <w:sz w:val="24"/>
                <w:highlight w:val="yellow"/>
                <w:lang w:eastAsia="zh-CN" w:bidi="ar"/>
                <w14:textFill>
                  <w14:solidFill>
                    <w14:schemeClr w14:val="tx1"/>
                  </w14:solidFill>
                </w14:textFill>
              </w:rPr>
              <w:t>【否】</w:t>
            </w:r>
          </w:p>
        </w:tc>
      </w:tr>
      <w:tr w14:paraId="4E389661">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2F87A8E4">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color w:val="auto"/>
                <w:szCs w:val="24"/>
                <w:highlight w:val="none"/>
                <w:u w:val="none"/>
              </w:rPr>
              <w:t>本金及收益类型</w:t>
            </w:r>
          </w:p>
        </w:tc>
        <w:tc>
          <w:tcPr>
            <w:tcW w:w="6972" w:type="dxa"/>
            <w:tcBorders>
              <w:top w:val="single" w:color="auto" w:sz="4" w:space="0"/>
              <w:left w:val="single" w:color="auto" w:sz="4" w:space="0"/>
              <w:bottom w:val="single" w:color="auto" w:sz="4" w:space="0"/>
              <w:right w:val="single" w:color="auto" w:sz="4" w:space="0"/>
            </w:tcBorders>
            <w:vAlign w:val="center"/>
          </w:tcPr>
          <w:p w14:paraId="5DDDFF93">
            <w:pPr>
              <w:snapToGrid w:val="0"/>
              <w:rPr>
                <w:rFonts w:ascii="宋体" w:hAnsi="宋体"/>
                <w:color w:val="auto"/>
                <w:szCs w:val="24"/>
                <w:highlight w:val="none"/>
                <w:u w:val="none"/>
              </w:rPr>
            </w:pPr>
            <w:r>
              <w:rPr>
                <w:rFonts w:hint="eastAsia" w:ascii="宋体" w:hAnsi="宋体"/>
                <w:color w:val="auto"/>
                <w:szCs w:val="24"/>
                <w:highlight w:val="none"/>
                <w:u w:val="none"/>
              </w:rPr>
              <w:t>非保本浮动收益。本产品不保证理财本金且不保证收益。本产品的收益随投资收益浮动，投资者可能会因市场变动而蒙受损失。</w:t>
            </w:r>
          </w:p>
          <w:p w14:paraId="3686CE2D">
            <w:pPr>
              <w:snapToGrid w:val="0"/>
              <w:rPr>
                <w:rFonts w:hint="eastAsia" w:ascii="仿宋_GB2312" w:hAnsi="等线" w:cs="仿宋_GB2312"/>
                <w:bCs/>
                <w:color w:val="000000" w:themeColor="text1"/>
                <w:kern w:val="0"/>
                <w:sz w:val="24"/>
                <w:lang w:eastAsia="zh-CN" w:bidi="ar"/>
                <w14:textFill>
                  <w14:solidFill>
                    <w14:schemeClr w14:val="tx1"/>
                  </w14:solidFill>
                </w14:textFill>
              </w:rPr>
            </w:pPr>
            <w:r>
              <w:rPr>
                <w:rFonts w:hint="eastAsia" w:ascii="宋体" w:hAnsi="宋体"/>
                <w:color w:val="auto"/>
                <w:szCs w:val="24"/>
                <w:highlight w:val="none"/>
                <w:u w:val="none"/>
              </w:rPr>
              <w:t>理财产品管理人对本产品的本金并不提供保证，也不承诺任何固定收益。</w:t>
            </w:r>
          </w:p>
        </w:tc>
      </w:tr>
      <w:tr w14:paraId="34A022A0">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287DC2CC">
            <w:pPr>
              <w:widowControl/>
              <w:spacing w:line="400" w:lineRule="exact"/>
              <w:jc w:val="center"/>
              <w:textAlignment w:val="center"/>
              <w:rPr>
                <w:rFonts w:hint="eastAsia" w:ascii="楷体_GB2312" w:hAnsi="等线" w:eastAsia="楷体_GB2312" w:cs="楷体_GB2312"/>
                <w:bCs/>
                <w:color w:val="000000" w:themeColor="text1"/>
                <w:sz w:val="24"/>
                <w14:textFill>
                  <w14:solidFill>
                    <w14:schemeClr w14:val="tx1"/>
                  </w14:solidFill>
                </w14:textFill>
              </w:rPr>
            </w:pPr>
            <w:r>
              <w:rPr>
                <w:rFonts w:hint="eastAsia" w:ascii="楷体_GB2312" w:hAnsi="等线" w:eastAsia="楷体_GB2312" w:cs="楷体_GB2312"/>
                <w:b/>
                <w:color w:val="000000" w:themeColor="text1"/>
                <w:kern w:val="0"/>
                <w:sz w:val="24"/>
                <w:lang w:bidi="ar"/>
                <w14:textFill>
                  <w14:solidFill>
                    <w14:schemeClr w14:val="tx1"/>
                  </w14:solidFill>
                </w14:textFill>
              </w:rPr>
              <w:t>（四）产品期限</w:t>
            </w:r>
          </w:p>
        </w:tc>
      </w:tr>
      <w:tr w14:paraId="25C3310B">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05AE299">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募集起始日期</w:t>
            </w:r>
          </w:p>
        </w:tc>
        <w:tc>
          <w:tcPr>
            <w:tcW w:w="6972" w:type="dxa"/>
            <w:tcBorders>
              <w:top w:val="single" w:color="auto" w:sz="4" w:space="0"/>
              <w:left w:val="single" w:color="auto" w:sz="4" w:space="0"/>
              <w:bottom w:val="single" w:color="auto" w:sz="4" w:space="0"/>
              <w:right w:val="single" w:color="auto" w:sz="4" w:space="0"/>
            </w:tcBorders>
            <w:vAlign w:val="center"/>
          </w:tcPr>
          <w:p w14:paraId="1E93A189">
            <w:pPr>
              <w:widowControl/>
              <w:autoSpaceDE w:val="0"/>
              <w:autoSpaceDN w:val="0"/>
              <w:adjustRightInd w:val="0"/>
              <w:snapToGrid w:val="0"/>
              <w:spacing w:line="240" w:lineRule="auto"/>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r>
              <w:rPr>
                <w:rFonts w:hint="eastAsia" w:ascii="宋体" w:hAnsi="宋体"/>
                <w:b/>
                <w:szCs w:val="24"/>
                <w:highlight w:val="yellow"/>
                <w:lang w:eastAsia="zh-CN"/>
              </w:rPr>
              <w:t>【</w:t>
            </w:r>
            <w:r>
              <w:rPr>
                <w:rFonts w:hint="eastAsia" w:ascii="宋体" w:hAnsi="宋体"/>
                <w:b/>
                <w:szCs w:val="24"/>
                <w:highlight w:val="none"/>
                <w:lang w:val="en-US" w:eastAsia="zh-CN"/>
              </w:rPr>
              <w:t>XX:XX</w:t>
            </w:r>
            <w:r>
              <w:rPr>
                <w:rFonts w:hint="eastAsia" w:ascii="宋体" w:hAnsi="宋体"/>
                <w:b/>
                <w:szCs w:val="24"/>
                <w:highlight w:val="yellow"/>
                <w:lang w:eastAsia="zh-CN"/>
              </w:rPr>
              <w:t>】</w:t>
            </w:r>
          </w:p>
        </w:tc>
      </w:tr>
      <w:tr w14:paraId="362FAB52">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6B27333">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募集结束日期</w:t>
            </w:r>
          </w:p>
        </w:tc>
        <w:tc>
          <w:tcPr>
            <w:tcW w:w="6972" w:type="dxa"/>
            <w:tcBorders>
              <w:top w:val="single" w:color="auto" w:sz="4" w:space="0"/>
              <w:left w:val="single" w:color="auto" w:sz="4" w:space="0"/>
              <w:bottom w:val="single" w:color="auto" w:sz="4" w:space="0"/>
              <w:right w:val="single" w:color="auto" w:sz="4" w:space="0"/>
            </w:tcBorders>
            <w:vAlign w:val="center"/>
          </w:tcPr>
          <w:p w14:paraId="15BB59F2">
            <w:pPr>
              <w:widowControl/>
              <w:autoSpaceDE w:val="0"/>
              <w:autoSpaceDN w:val="0"/>
              <w:adjustRightInd w:val="0"/>
              <w:snapToGrid w:val="0"/>
              <w:spacing w:line="240" w:lineRule="auto"/>
              <w:jc w:val="left"/>
              <w:textAlignment w:val="auto"/>
              <w:rPr>
                <w:rFonts w:hint="eastAsia" w:ascii="宋体" w:hAnsi="宋体"/>
                <w:b/>
                <w:szCs w:val="24"/>
                <w:highlight w:val="yellow"/>
                <w:lang w:eastAsia="zh-CN"/>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r>
              <w:rPr>
                <w:rFonts w:hint="eastAsia" w:ascii="宋体" w:hAnsi="宋体"/>
                <w:b/>
                <w:szCs w:val="24"/>
                <w:highlight w:val="yellow"/>
                <w:lang w:eastAsia="zh-CN"/>
              </w:rPr>
              <w:t>【</w:t>
            </w:r>
            <w:r>
              <w:rPr>
                <w:rFonts w:hint="eastAsia" w:ascii="宋体" w:hAnsi="宋体"/>
                <w:b/>
                <w:szCs w:val="24"/>
                <w:highlight w:val="none"/>
                <w:lang w:val="en-US" w:eastAsia="zh-CN"/>
              </w:rPr>
              <w:t>XX:XX</w:t>
            </w:r>
            <w:r>
              <w:rPr>
                <w:rFonts w:hint="eastAsia" w:ascii="宋体" w:hAnsi="宋体"/>
                <w:b/>
                <w:szCs w:val="24"/>
                <w:highlight w:val="yellow"/>
                <w:lang w:eastAsia="zh-CN"/>
              </w:rPr>
              <w:t>】</w:t>
            </w:r>
          </w:p>
          <w:p w14:paraId="7990D5F1">
            <w:pPr>
              <w:widowControl/>
              <w:autoSpaceDE w:val="0"/>
              <w:autoSpaceDN w:val="0"/>
              <w:adjustRightInd w:val="0"/>
              <w:snapToGrid w:val="0"/>
              <w:spacing w:line="240" w:lineRule="auto"/>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color w:val="auto"/>
                <w:szCs w:val="24"/>
                <w:highlight w:val="none"/>
                <w:u w:val="none"/>
              </w:rPr>
              <w:t>销售机构实际受理时间可能与说明书不一致，具体以销售机构通知为准。</w:t>
            </w:r>
            <w:r>
              <w:rPr>
                <w:rFonts w:hint="eastAsia" w:ascii="宋体" w:hAnsi="宋体"/>
                <w:b/>
                <w:color w:val="auto"/>
                <w:szCs w:val="24"/>
                <w:highlight w:val="none"/>
                <w:u w:val="none"/>
              </w:rPr>
              <w:t>管理人有权提前结束募集并提前成立理财产品或延长募集期，具体以管理人或销售机构公告为准。</w:t>
            </w:r>
          </w:p>
        </w:tc>
      </w:tr>
      <w:tr w14:paraId="5477FC50">
        <w:tblPrEx>
          <w:tblCellMar>
            <w:top w:w="0" w:type="dxa"/>
            <w:left w:w="108" w:type="dxa"/>
            <w:bottom w:w="0" w:type="dxa"/>
            <w:right w:w="108" w:type="dxa"/>
          </w:tblCellMar>
        </w:tblPrEx>
        <w:trPr>
          <w:trHeight w:val="888" w:hRule="atLeast"/>
        </w:trPr>
        <w:tc>
          <w:tcPr>
            <w:tcW w:w="2453" w:type="dxa"/>
            <w:tcBorders>
              <w:top w:val="single" w:color="auto" w:sz="4" w:space="0"/>
              <w:left w:val="single" w:color="auto" w:sz="4" w:space="0"/>
              <w:bottom w:val="single" w:color="auto" w:sz="4" w:space="0"/>
              <w:right w:val="single" w:color="auto" w:sz="4" w:space="0"/>
            </w:tcBorders>
            <w:vAlign w:val="center"/>
          </w:tcPr>
          <w:p w14:paraId="16B28E89">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产品成立日期</w:t>
            </w:r>
          </w:p>
        </w:tc>
        <w:tc>
          <w:tcPr>
            <w:tcW w:w="6972" w:type="dxa"/>
            <w:tcBorders>
              <w:top w:val="single" w:color="auto" w:sz="4" w:space="0"/>
              <w:left w:val="single" w:color="auto" w:sz="4" w:space="0"/>
              <w:bottom w:val="single" w:color="auto" w:sz="4" w:space="0"/>
              <w:right w:val="single" w:color="auto" w:sz="4" w:space="0"/>
            </w:tcBorders>
            <w:vAlign w:val="center"/>
          </w:tcPr>
          <w:p w14:paraId="43B5A41D">
            <w:pPr>
              <w:snapToGrid w:val="0"/>
              <w:rPr>
                <w:rFonts w:hint="eastAsia" w:ascii="宋体" w:hAnsi="宋体"/>
                <w:b/>
                <w:szCs w:val="24"/>
                <w:highlight w:val="yellow"/>
                <w:lang w:eastAsia="zh-CN"/>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p>
          <w:p w14:paraId="7B7250A7">
            <w:pPr>
              <w:snapToGrid w:val="0"/>
              <w:rPr>
                <w:rFonts w:ascii="宋体" w:hAnsi="宋体"/>
                <w:b/>
                <w:color w:val="auto"/>
                <w:szCs w:val="24"/>
                <w:highlight w:val="none"/>
                <w:u w:val="none"/>
              </w:rPr>
            </w:pPr>
            <w:r>
              <w:rPr>
                <w:rFonts w:hint="eastAsia" w:ascii="宋体" w:hAnsi="宋体"/>
                <w:b/>
                <w:color w:val="auto"/>
                <w:szCs w:val="24"/>
                <w:highlight w:val="none"/>
                <w:u w:val="none"/>
              </w:rPr>
              <w:t>如遇非</w:t>
            </w:r>
            <w:r>
              <w:rPr>
                <w:rFonts w:hint="eastAsia" w:ascii="宋体" w:hAnsi="宋体"/>
                <w:b/>
                <w:color w:val="auto"/>
                <w:szCs w:val="24"/>
                <w:highlight w:val="yellow"/>
                <w:u w:val="none"/>
                <w:lang w:eastAsia="zh-CN"/>
              </w:rPr>
              <w:t>【工作日</w:t>
            </w:r>
            <w:r>
              <w:rPr>
                <w:rFonts w:hint="eastAsia" w:ascii="宋体" w:hAnsi="宋体"/>
                <w:b/>
                <w:color w:val="auto"/>
                <w:szCs w:val="24"/>
                <w:highlight w:val="yellow"/>
                <w:u w:val="none"/>
                <w:lang w:val="en-US" w:eastAsia="zh-CN"/>
              </w:rPr>
              <w:t>/</w:t>
            </w:r>
            <w:r>
              <w:rPr>
                <w:rFonts w:hint="eastAsia" w:ascii="宋体" w:hAnsi="宋体"/>
                <w:b/>
                <w:color w:val="auto"/>
                <w:szCs w:val="24"/>
                <w:highlight w:val="yellow"/>
                <w:u w:val="none"/>
              </w:rPr>
              <w:t>交易日</w:t>
            </w:r>
            <w:r>
              <w:rPr>
                <w:rFonts w:hint="eastAsia" w:ascii="宋体" w:hAnsi="宋体"/>
                <w:b/>
                <w:color w:val="auto"/>
                <w:szCs w:val="24"/>
                <w:highlight w:val="yellow"/>
                <w:u w:val="none"/>
                <w:lang w:eastAsia="zh-CN"/>
              </w:rPr>
              <w:t>】</w:t>
            </w:r>
            <w:r>
              <w:rPr>
                <w:rFonts w:hint="eastAsia" w:ascii="宋体" w:hAnsi="宋体"/>
                <w:b/>
                <w:color w:val="auto"/>
                <w:szCs w:val="24"/>
                <w:highlight w:val="none"/>
                <w:u w:val="none"/>
              </w:rPr>
              <w:t>则顺延至下一</w:t>
            </w:r>
            <w:r>
              <w:rPr>
                <w:rFonts w:hint="eastAsia" w:ascii="宋体" w:hAnsi="宋体"/>
                <w:b/>
                <w:color w:val="auto"/>
                <w:szCs w:val="24"/>
                <w:highlight w:val="yellow"/>
                <w:u w:val="none"/>
                <w:lang w:eastAsia="zh-CN"/>
              </w:rPr>
              <w:t>【工作日</w:t>
            </w:r>
            <w:r>
              <w:rPr>
                <w:rFonts w:hint="eastAsia" w:ascii="宋体" w:hAnsi="宋体"/>
                <w:b/>
                <w:color w:val="auto"/>
                <w:szCs w:val="24"/>
                <w:highlight w:val="yellow"/>
                <w:u w:val="none"/>
                <w:lang w:val="en-US" w:eastAsia="zh-CN"/>
              </w:rPr>
              <w:t>/</w:t>
            </w:r>
            <w:r>
              <w:rPr>
                <w:rFonts w:hint="eastAsia" w:ascii="宋体" w:hAnsi="宋体"/>
                <w:b/>
                <w:color w:val="auto"/>
                <w:szCs w:val="24"/>
                <w:highlight w:val="yellow"/>
                <w:u w:val="none"/>
              </w:rPr>
              <w:t>交易日</w:t>
            </w:r>
            <w:r>
              <w:rPr>
                <w:rFonts w:hint="eastAsia" w:ascii="宋体" w:hAnsi="宋体"/>
                <w:b/>
                <w:color w:val="auto"/>
                <w:szCs w:val="24"/>
                <w:highlight w:val="yellow"/>
                <w:u w:val="none"/>
                <w:lang w:eastAsia="zh-CN"/>
              </w:rPr>
              <w:t>】</w:t>
            </w:r>
            <w:r>
              <w:rPr>
                <w:rFonts w:hint="eastAsia" w:ascii="宋体" w:hAnsi="宋体"/>
                <w:b/>
                <w:color w:val="auto"/>
                <w:szCs w:val="24"/>
                <w:highlight w:val="none"/>
                <w:u w:val="none"/>
              </w:rPr>
              <w:t>。</w:t>
            </w:r>
          </w:p>
          <w:p w14:paraId="011373E4">
            <w:pPr>
              <w:widowControl/>
              <w:spacing w:line="400" w:lineRule="exact"/>
              <w:jc w:val="left"/>
              <w:textAlignment w:val="center"/>
              <w:rPr>
                <w:rFonts w:hint="eastAsia" w:ascii="宋体" w:hAnsi="宋体"/>
                <w:color w:val="auto"/>
                <w:szCs w:val="24"/>
                <w:highlight w:val="none"/>
                <w:u w:val="none"/>
              </w:rPr>
            </w:pPr>
            <w:r>
              <w:rPr>
                <w:rFonts w:hint="eastAsia" w:ascii="宋体" w:hAnsi="宋体"/>
                <w:b/>
                <w:color w:val="auto"/>
                <w:szCs w:val="24"/>
                <w:highlight w:val="none"/>
                <w:u w:val="none"/>
              </w:rPr>
              <w:t>如本理财产品募集期提前终止或延长，实际成立日以管理人或销售机构公告为准。</w:t>
            </w:r>
          </w:p>
        </w:tc>
      </w:tr>
      <w:tr w14:paraId="10A037D8">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3303EE4">
            <w:pPr>
              <w:widowControl/>
              <w:spacing w:line="400" w:lineRule="exact"/>
              <w:jc w:val="center"/>
              <w:textAlignment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产品到期日期</w:t>
            </w:r>
          </w:p>
        </w:tc>
        <w:tc>
          <w:tcPr>
            <w:tcW w:w="6972" w:type="dxa"/>
            <w:tcBorders>
              <w:top w:val="single" w:color="auto" w:sz="4" w:space="0"/>
              <w:left w:val="single" w:color="auto" w:sz="4" w:space="0"/>
              <w:bottom w:val="single" w:color="auto" w:sz="4" w:space="0"/>
              <w:right w:val="single" w:color="auto" w:sz="4" w:space="0"/>
            </w:tcBorders>
            <w:vAlign w:val="center"/>
          </w:tcPr>
          <w:p w14:paraId="4160F8BE">
            <w:pPr>
              <w:widowControl/>
              <w:spacing w:line="400" w:lineRule="exact"/>
              <w:jc w:val="left"/>
              <w:textAlignment w:val="center"/>
              <w:rPr>
                <w:rFonts w:hint="eastAsia" w:ascii="仿宋_GB2312" w:hAnsi="等线" w:cs="仿宋_GB2312"/>
                <w:bCs/>
                <w:color w:val="000000" w:themeColor="text1"/>
                <w:sz w:val="24"/>
                <w:lang w:eastAsia="zh-CN"/>
                <w14:textFill>
                  <w14:solidFill>
                    <w14:schemeClr w14:val="tx1"/>
                  </w14:solidFill>
                </w14:textFill>
              </w:rPr>
            </w:pPr>
            <w:r>
              <w:rPr>
                <w:rFonts w:hint="eastAsia" w:ascii="宋体" w:hAnsi="宋体"/>
                <w:szCs w:val="24"/>
                <w:highlight w:val="yellow"/>
                <w:lang w:eastAsia="zh-CN"/>
              </w:rPr>
              <w:t>【无固定期限</w:t>
            </w:r>
            <w:r>
              <w:rPr>
                <w:rFonts w:hint="eastAsia" w:ascii="宋体" w:hAnsi="宋体"/>
                <w:szCs w:val="24"/>
                <w:highlight w:val="yellow"/>
                <w:lang w:val="en-US" w:eastAsia="zh-CN"/>
              </w:rPr>
              <w:t>/xxxx年xx月xx日</w:t>
            </w:r>
            <w:r>
              <w:rPr>
                <w:rFonts w:hint="eastAsia" w:ascii="宋体" w:hAnsi="宋体"/>
                <w:b/>
                <w:szCs w:val="24"/>
                <w:highlight w:val="yellow"/>
                <w:lang w:eastAsia="zh-CN"/>
              </w:rPr>
              <w:t>】</w:t>
            </w:r>
          </w:p>
          <w:p w14:paraId="0918722D">
            <w:pPr>
              <w:widowControl/>
              <w:spacing w:line="400" w:lineRule="exact"/>
              <w:jc w:val="left"/>
              <w:textAlignment w:val="center"/>
              <w:rPr>
                <w:rFonts w:hint="eastAsia" w:ascii="仿宋_GB2312" w:hAnsi="等线" w:cs="仿宋_GB2312"/>
                <w:bCs/>
                <w:color w:val="000000" w:themeColor="text1"/>
                <w:sz w:val="24"/>
                <w:lang w:eastAsia="zh-CN"/>
                <w14:textFill>
                  <w14:solidFill>
                    <w14:schemeClr w14:val="tx1"/>
                  </w14:solidFill>
                </w14:textFill>
              </w:rPr>
            </w:pPr>
            <w:r>
              <w:rPr>
                <w:rFonts w:hint="eastAsia" w:ascii="宋体" w:hAnsi="宋体"/>
                <w:color w:val="auto"/>
                <w:szCs w:val="24"/>
                <w:highlight w:val="none"/>
                <w:u w:val="none"/>
              </w:rPr>
              <w:t>产品管理人有权根据实际情况提前终止，并提前</w:t>
            </w:r>
            <w:r>
              <w:rPr>
                <w:rFonts w:hint="eastAsia" w:ascii="宋体" w:hAnsi="宋体"/>
                <w:b/>
                <w:szCs w:val="24"/>
                <w:highlight w:val="yellow"/>
                <w:lang w:eastAsia="zh-CN"/>
              </w:rPr>
              <w:t>【</w:t>
            </w:r>
            <w:r>
              <w:rPr>
                <w:rFonts w:hint="eastAsia" w:ascii="宋体" w:hAnsi="宋体"/>
                <w:b/>
                <w:szCs w:val="24"/>
                <w:highlight w:val="yellow"/>
                <w:lang w:val="en-US" w:eastAsia="zh-CN"/>
              </w:rPr>
              <w:t>1</w:t>
            </w:r>
            <w:r>
              <w:rPr>
                <w:rFonts w:hint="eastAsia" w:ascii="宋体" w:hAnsi="宋体"/>
                <w:b/>
                <w:szCs w:val="24"/>
                <w:highlight w:val="yellow"/>
                <w:lang w:eastAsia="zh-CN"/>
              </w:rPr>
              <w:t>】</w:t>
            </w:r>
            <w:r>
              <w:rPr>
                <w:rFonts w:hint="eastAsia" w:ascii="宋体" w:hAnsi="宋体"/>
                <w:color w:val="auto"/>
                <w:szCs w:val="24"/>
                <w:highlight w:val="none"/>
                <w:u w:val="none"/>
              </w:rPr>
              <w:t>个</w:t>
            </w:r>
            <w:r>
              <w:rPr>
                <w:rFonts w:ascii="宋体" w:hAnsi="宋体"/>
                <w:color w:val="auto"/>
                <w:szCs w:val="24"/>
                <w:highlight w:val="none"/>
                <w:u w:val="none"/>
              </w:rPr>
              <w:t>工作</w:t>
            </w:r>
            <w:r>
              <w:rPr>
                <w:rFonts w:hint="eastAsia" w:ascii="宋体" w:hAnsi="宋体"/>
                <w:color w:val="auto"/>
                <w:szCs w:val="24"/>
                <w:highlight w:val="none"/>
                <w:u w:val="none"/>
              </w:rPr>
              <w:t>日按照本《产品说明书》“信息披露”约定的方式通知投资者。</w:t>
            </w:r>
          </w:p>
        </w:tc>
      </w:tr>
      <w:tr w14:paraId="13A8A16C">
        <w:tblPrEx>
          <w:tblCellMar>
            <w:top w:w="0" w:type="dxa"/>
            <w:left w:w="108" w:type="dxa"/>
            <w:bottom w:w="0" w:type="dxa"/>
            <w:right w:w="108" w:type="dxa"/>
          </w:tblCellMar>
        </w:tblPrEx>
        <w:trPr>
          <w:trHeight w:val="447" w:hRule="atLeast"/>
        </w:trPr>
        <w:tc>
          <w:tcPr>
            <w:tcW w:w="2453" w:type="dxa"/>
            <w:tcBorders>
              <w:top w:val="single" w:color="auto" w:sz="4" w:space="0"/>
              <w:left w:val="single" w:color="auto" w:sz="4" w:space="0"/>
              <w:bottom w:val="single" w:color="auto" w:sz="4" w:space="0"/>
              <w:right w:val="single" w:color="auto" w:sz="4" w:space="0"/>
            </w:tcBorders>
            <w:vAlign w:val="center"/>
          </w:tcPr>
          <w:p w14:paraId="4503ECC9">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资金到账日</w:t>
            </w:r>
          </w:p>
        </w:tc>
        <w:tc>
          <w:tcPr>
            <w:tcW w:w="6972" w:type="dxa"/>
            <w:tcBorders>
              <w:top w:val="single" w:color="auto" w:sz="4" w:space="0"/>
              <w:left w:val="single" w:color="auto" w:sz="4" w:space="0"/>
              <w:bottom w:val="single" w:color="auto" w:sz="4" w:space="0"/>
              <w:right w:val="single" w:color="auto" w:sz="4" w:space="0"/>
            </w:tcBorders>
            <w:vAlign w:val="center"/>
          </w:tcPr>
          <w:p w14:paraId="5B7FFDE1">
            <w:pPr>
              <w:widowControl/>
              <w:spacing w:line="400" w:lineRule="exact"/>
              <w:jc w:val="left"/>
              <w:textAlignment w:val="center"/>
              <w:rPr>
                <w:rFonts w:hint="eastAsia" w:ascii="宋体" w:hAnsi="宋体" w:eastAsia="仿宋_GB2312" w:cstheme="minorBidi"/>
                <w:bCs w:val="0"/>
                <w:color w:val="auto"/>
                <w:sz w:val="24"/>
                <w:szCs w:val="24"/>
                <w:highlight w:val="none"/>
                <w:u w:val="none"/>
              </w:rPr>
            </w:pPr>
            <w:r>
              <w:rPr>
                <w:rFonts w:hint="eastAsia" w:ascii="宋体" w:hAnsi="宋体"/>
                <w:b/>
                <w:szCs w:val="24"/>
                <w:highlight w:val="yellow"/>
                <w:lang w:eastAsia="zh-CN"/>
              </w:rPr>
              <w:t>【T+0、T+1、T+2、T+3、T+4、T+5及以上】</w:t>
            </w:r>
          </w:p>
        </w:tc>
      </w:tr>
      <w:tr w14:paraId="587BB1E8">
        <w:tblPrEx>
          <w:tblCellMar>
            <w:top w:w="0" w:type="dxa"/>
            <w:left w:w="108" w:type="dxa"/>
            <w:bottom w:w="0" w:type="dxa"/>
            <w:right w:w="108" w:type="dxa"/>
          </w:tblCellMar>
        </w:tblPrEx>
        <w:trPr>
          <w:trHeight w:val="328" w:hRule="atLeast"/>
        </w:trPr>
        <w:tc>
          <w:tcPr>
            <w:tcW w:w="2453" w:type="dxa"/>
            <w:tcBorders>
              <w:top w:val="single" w:color="auto" w:sz="4" w:space="0"/>
              <w:left w:val="single" w:color="auto" w:sz="4" w:space="0"/>
              <w:bottom w:val="single" w:color="auto" w:sz="4" w:space="0"/>
              <w:right w:val="single" w:color="auto" w:sz="4" w:space="0"/>
            </w:tcBorders>
            <w:vAlign w:val="center"/>
          </w:tcPr>
          <w:p w14:paraId="6596B973">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投资周期</w:t>
            </w:r>
          </w:p>
        </w:tc>
        <w:tc>
          <w:tcPr>
            <w:tcW w:w="6972" w:type="dxa"/>
            <w:tcBorders>
              <w:top w:val="single" w:color="auto" w:sz="4" w:space="0"/>
              <w:left w:val="single" w:color="auto" w:sz="4" w:space="0"/>
              <w:bottom w:val="single" w:color="auto" w:sz="4" w:space="0"/>
              <w:right w:val="single" w:color="auto" w:sz="4" w:space="0"/>
            </w:tcBorders>
            <w:vAlign w:val="center"/>
          </w:tcPr>
          <w:p w14:paraId="52F42DF6">
            <w:pPr>
              <w:widowControl/>
              <w:spacing w:line="400" w:lineRule="exact"/>
              <w:jc w:val="left"/>
              <w:textAlignment w:val="center"/>
              <w:rPr>
                <w:rFonts w:hint="eastAsia" w:ascii="宋体" w:hAnsi="宋体" w:eastAsia="仿宋_GB2312" w:cstheme="minorBidi"/>
                <w:bCs w:val="0"/>
                <w:color w:val="auto"/>
                <w:sz w:val="24"/>
                <w:szCs w:val="24"/>
                <w:highlight w:val="none"/>
                <w:u w:val="none"/>
                <w:lang w:eastAsia="zh-CN"/>
              </w:rPr>
            </w:pPr>
            <w:r>
              <w:rPr>
                <w:rFonts w:hint="eastAsia" w:ascii="宋体" w:hAnsi="宋体" w:cstheme="minorBidi"/>
                <w:bCs w:val="0"/>
                <w:color w:val="auto"/>
                <w:kern w:val="2"/>
                <w:sz w:val="24"/>
                <w:szCs w:val="24"/>
                <w:highlight w:val="yellow"/>
                <w:u w:val="none"/>
                <w:lang w:eastAsia="zh-CN" w:bidi="ar"/>
              </w:rPr>
              <w:t>【每</w:t>
            </w:r>
            <w:r>
              <w:rPr>
                <w:rFonts w:hint="eastAsia" w:ascii="宋体" w:hAnsi="宋体" w:cstheme="minorBidi"/>
                <w:bCs w:val="0"/>
                <w:color w:val="auto"/>
                <w:kern w:val="2"/>
                <w:sz w:val="24"/>
                <w:szCs w:val="24"/>
                <w:highlight w:val="yellow"/>
                <w:u w:val="none"/>
                <w:lang w:val="en-US" w:eastAsia="zh-CN" w:bidi="ar"/>
              </w:rPr>
              <w:t>x天/周/月/年</w:t>
            </w:r>
            <w:r>
              <w:rPr>
                <w:rFonts w:hint="eastAsia" w:ascii="宋体" w:hAnsi="宋体" w:cstheme="minorBidi"/>
                <w:bCs w:val="0"/>
                <w:color w:val="auto"/>
                <w:kern w:val="2"/>
                <w:sz w:val="24"/>
                <w:szCs w:val="24"/>
                <w:highlight w:val="yellow"/>
                <w:u w:val="none"/>
                <w:lang w:eastAsia="zh-CN" w:bidi="ar"/>
              </w:rPr>
              <w:t>】</w:t>
            </w:r>
          </w:p>
        </w:tc>
      </w:tr>
      <w:tr w14:paraId="519E5AEB">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2869EA31">
            <w:pPr>
              <w:widowControl/>
              <w:spacing w:line="400" w:lineRule="exact"/>
              <w:jc w:val="center"/>
              <w:textAlignment w:val="center"/>
              <w:rPr>
                <w:rFonts w:hint="eastAsia" w:ascii="楷体_GB2312" w:hAnsi="等线" w:eastAsia="楷体_GB2312" w:cs="楷体_GB2312"/>
                <w:b/>
                <w:bCs/>
                <w:color w:val="000000" w:themeColor="text1"/>
                <w:sz w:val="24"/>
                <w14:textFill>
                  <w14:solidFill>
                    <w14:schemeClr w14:val="tx1"/>
                  </w14:solidFill>
                </w14:textFill>
              </w:rPr>
            </w:pPr>
            <w:r>
              <w:rPr>
                <w:rFonts w:hint="eastAsia" w:ascii="楷体_GB2312" w:hAnsi="等线" w:eastAsia="楷体_GB2312" w:cs="楷体_GB2312"/>
                <w:b/>
                <w:bCs/>
                <w:color w:val="000000" w:themeColor="text1"/>
                <w:kern w:val="0"/>
                <w:sz w:val="24"/>
                <w:lang w:bidi="ar"/>
                <w14:textFill>
                  <w14:solidFill>
                    <w14:schemeClr w14:val="tx1"/>
                  </w14:solidFill>
                </w14:textFill>
              </w:rPr>
              <w:t>（五）产品费用</w:t>
            </w:r>
          </w:p>
        </w:tc>
      </w:tr>
      <w:tr w14:paraId="7E470761">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838F59F">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销售</w:t>
            </w:r>
            <w:r>
              <w:rPr>
                <w:rFonts w:hint="eastAsia" w:ascii="仿宋_GB2312" w:hAnsi="等线" w:cs="仿宋_GB2312"/>
                <w:color w:val="000000" w:themeColor="text1"/>
                <w:kern w:val="0"/>
                <w:sz w:val="24"/>
                <w:lang w:eastAsia="zh-CN" w:bidi="ar"/>
                <w14:textFill>
                  <w14:solidFill>
                    <w14:schemeClr w14:val="tx1"/>
                  </w14:solidFill>
                </w14:textFill>
              </w:rPr>
              <w:t>服务</w:t>
            </w:r>
            <w:r>
              <w:rPr>
                <w:rFonts w:hint="eastAsia" w:ascii="仿宋_GB2312" w:hAnsi="等线" w:eastAsia="仿宋_GB2312" w:cs="仿宋_GB2312"/>
                <w:color w:val="000000" w:themeColor="text1"/>
                <w:kern w:val="0"/>
                <w:sz w:val="24"/>
                <w:lang w:bidi="ar"/>
                <w14:textFill>
                  <w14:solidFill>
                    <w14:schemeClr w14:val="tx1"/>
                  </w14:solidFill>
                </w14:textFill>
              </w:rPr>
              <w:t>费率（年化）</w:t>
            </w:r>
          </w:p>
        </w:tc>
        <w:tc>
          <w:tcPr>
            <w:tcW w:w="6972" w:type="dxa"/>
            <w:tcBorders>
              <w:top w:val="single" w:color="auto" w:sz="4" w:space="0"/>
              <w:left w:val="single" w:color="auto" w:sz="4" w:space="0"/>
              <w:bottom w:val="single" w:color="auto" w:sz="4" w:space="0"/>
              <w:right w:val="single" w:color="auto" w:sz="4" w:space="0"/>
            </w:tcBorders>
            <w:vAlign w:val="center"/>
          </w:tcPr>
          <w:p w14:paraId="65C29E5C">
            <w:pPr>
              <w:widowControl/>
              <w:spacing w:line="400" w:lineRule="exact"/>
              <w:jc w:val="left"/>
              <w:textAlignment w:val="center"/>
              <w:rPr>
                <w:rFonts w:hint="default" w:ascii="宋体" w:hAnsi="宋体"/>
                <w:color w:val="auto"/>
                <w:szCs w:val="24"/>
                <w:highlight w:val="none"/>
                <w:u w:val="none"/>
                <w:lang w:val="en-US" w:eastAsia="zh-CN"/>
              </w:rPr>
            </w:pPr>
            <w:r>
              <w:rPr>
                <w:rFonts w:hint="eastAsia" w:ascii="宋体" w:hAnsi="宋体" w:cstheme="minorBidi"/>
                <w:bCs w:val="0"/>
                <w:color w:val="auto"/>
                <w:kern w:val="2"/>
                <w:sz w:val="24"/>
                <w:szCs w:val="24"/>
                <w:highlight w:val="yellow"/>
                <w:u w:val="none"/>
                <w:lang w:eastAsia="zh-CN" w:bidi="ar"/>
              </w:rPr>
              <w:t>【份额代码】</w:t>
            </w:r>
            <w:r>
              <w:rPr>
                <w:rFonts w:hint="eastAsia" w:ascii="宋体" w:hAnsi="宋体"/>
                <w:color w:val="auto"/>
                <w:szCs w:val="24"/>
                <w:highlight w:val="none"/>
                <w:u w:val="none"/>
                <w:lang w:val="en-US" w:eastAsia="zh-CN"/>
              </w:rPr>
              <w:t>：</w:t>
            </w:r>
            <w:r>
              <w:rPr>
                <w:rFonts w:hint="eastAsia" w:ascii="宋体" w:hAnsi="宋体" w:cstheme="minorBidi"/>
                <w:bCs w:val="0"/>
                <w:color w:val="auto"/>
                <w:kern w:val="2"/>
                <w:sz w:val="24"/>
                <w:szCs w:val="24"/>
                <w:highlight w:val="yellow"/>
                <w:u w:val="none"/>
                <w:lang w:eastAsia="zh-CN" w:bidi="ar"/>
              </w:rPr>
              <w:t>【费率】</w:t>
            </w:r>
          </w:p>
          <w:p w14:paraId="1A3B9D38">
            <w:pPr>
              <w:widowControl/>
              <w:spacing w:line="400" w:lineRule="exact"/>
              <w:jc w:val="left"/>
              <w:textAlignment w:val="center"/>
              <w:rPr>
                <w:rFonts w:hint="default" w:ascii="仿宋_GB2312" w:hAnsi="等线" w:eastAsia="仿宋_GB2312" w:cs="仿宋_GB2312"/>
                <w:bCs/>
                <w:color w:val="000000" w:themeColor="text1"/>
                <w:sz w:val="24"/>
                <w:lang w:val="en-US"/>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r>
              <w:rPr>
                <w:rFonts w:hint="eastAsia" w:ascii="宋体" w:hAnsi="宋体"/>
                <w:color w:val="auto"/>
                <w:szCs w:val="24"/>
                <w:highlight w:val="none"/>
                <w:u w:val="none"/>
                <w:lang w:val="en-US" w:eastAsia="zh-CN"/>
              </w:rPr>
              <w:t>：</w:t>
            </w:r>
            <w:r>
              <w:rPr>
                <w:rFonts w:hint="eastAsia" w:ascii="宋体" w:hAnsi="宋体" w:cstheme="minorBidi"/>
                <w:bCs w:val="0"/>
                <w:color w:val="auto"/>
                <w:kern w:val="2"/>
                <w:sz w:val="24"/>
                <w:szCs w:val="24"/>
                <w:highlight w:val="yellow"/>
                <w:u w:val="none"/>
                <w:lang w:eastAsia="zh-CN" w:bidi="ar"/>
              </w:rPr>
              <w:t>【】</w:t>
            </w:r>
          </w:p>
        </w:tc>
      </w:tr>
      <w:tr w14:paraId="395DAED2">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42FEE74">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托管费率（年化）</w:t>
            </w:r>
          </w:p>
        </w:tc>
        <w:tc>
          <w:tcPr>
            <w:tcW w:w="6972" w:type="dxa"/>
            <w:tcBorders>
              <w:top w:val="single" w:color="auto" w:sz="4" w:space="0"/>
              <w:left w:val="single" w:color="auto" w:sz="4" w:space="0"/>
              <w:bottom w:val="single" w:color="auto" w:sz="4" w:space="0"/>
              <w:right w:val="single" w:color="auto" w:sz="4" w:space="0"/>
            </w:tcBorders>
            <w:vAlign w:val="center"/>
          </w:tcPr>
          <w:p w14:paraId="6B535B9D">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【费率】</w:t>
            </w:r>
          </w:p>
        </w:tc>
      </w:tr>
      <w:tr w14:paraId="55707AE1">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5C9AB21">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固定</w:t>
            </w:r>
            <w:r>
              <w:rPr>
                <w:rFonts w:hint="eastAsia" w:ascii="仿宋_GB2312" w:hAnsi="等线" w:eastAsia="仿宋_GB2312" w:cs="仿宋_GB2312"/>
                <w:color w:val="000000" w:themeColor="text1"/>
                <w:kern w:val="0"/>
                <w:sz w:val="24"/>
                <w:lang w:bidi="ar"/>
                <w14:textFill>
                  <w14:solidFill>
                    <w14:schemeClr w14:val="tx1"/>
                  </w14:solidFill>
                </w14:textFill>
              </w:rPr>
              <w:t>管理费率（年化）</w:t>
            </w:r>
          </w:p>
        </w:tc>
        <w:tc>
          <w:tcPr>
            <w:tcW w:w="6972" w:type="dxa"/>
            <w:tcBorders>
              <w:top w:val="single" w:color="auto" w:sz="4" w:space="0"/>
              <w:left w:val="single" w:color="auto" w:sz="4" w:space="0"/>
              <w:bottom w:val="single" w:color="auto" w:sz="4" w:space="0"/>
              <w:right w:val="single" w:color="auto" w:sz="4" w:space="0"/>
            </w:tcBorders>
            <w:vAlign w:val="center"/>
          </w:tcPr>
          <w:p w14:paraId="58B3312F">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【费率】</w:t>
            </w:r>
          </w:p>
        </w:tc>
      </w:tr>
      <w:tr w14:paraId="787B74BE">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649428D0">
            <w:pPr>
              <w:widowControl/>
              <w:spacing w:line="400" w:lineRule="exact"/>
              <w:jc w:val="center"/>
              <w:textAlignment w:val="center"/>
              <w:rPr>
                <w:rFonts w:hint="eastAsia" w:ascii="仿宋_GB2312" w:hAnsi="等线" w:eastAsia="仿宋_GB2312" w:cs="仿宋_GB2312"/>
                <w:color w:val="000000" w:themeColor="text1"/>
                <w:sz w:val="24"/>
                <w:lang w:eastAsia="zh-CN"/>
                <w14:textFill>
                  <w14:solidFill>
                    <w14:schemeClr w14:val="tx1"/>
                  </w14:solidFill>
                </w14:textFill>
              </w:rPr>
            </w:pPr>
            <w:r>
              <w:rPr>
                <w:rFonts w:hint="eastAsia" w:ascii="仿宋_GB2312" w:hAnsi="等线" w:cs="仿宋_GB2312"/>
                <w:color w:val="auto"/>
                <w:kern w:val="0"/>
                <w:sz w:val="24"/>
                <w:highlight w:val="none"/>
                <w:lang w:eastAsia="zh-CN" w:bidi="ar"/>
              </w:rPr>
              <w:t>浮动管理费</w:t>
            </w:r>
          </w:p>
        </w:tc>
        <w:tc>
          <w:tcPr>
            <w:tcW w:w="6972" w:type="dxa"/>
            <w:tcBorders>
              <w:top w:val="single" w:color="auto" w:sz="4" w:space="0"/>
              <w:left w:val="single" w:color="auto" w:sz="4" w:space="0"/>
              <w:bottom w:val="single" w:color="auto" w:sz="4" w:space="0"/>
              <w:right w:val="single" w:color="auto" w:sz="4" w:space="0"/>
            </w:tcBorders>
            <w:vAlign w:val="center"/>
          </w:tcPr>
          <w:p w14:paraId="57CA8E08">
            <w:pPr>
              <w:widowControl/>
              <w:tabs>
                <w:tab w:val="left" w:pos="312"/>
              </w:tabs>
              <w:jc w:val="left"/>
              <w:rPr>
                <w:rFonts w:hint="eastAsia" w:ascii="宋体" w:hAnsi="宋体"/>
                <w:b/>
                <w:color w:val="auto"/>
                <w:szCs w:val="24"/>
                <w:highlight w:val="yellow"/>
                <w:lang w:eastAsia="zh-CN"/>
              </w:rPr>
            </w:pPr>
            <w:r>
              <w:rPr>
                <w:rFonts w:hint="eastAsia" w:ascii="宋体" w:hAnsi="宋体"/>
                <w:b/>
                <w:color w:val="auto"/>
                <w:szCs w:val="24"/>
                <w:highlight w:val="yellow"/>
                <w:lang w:eastAsia="zh-CN"/>
              </w:rPr>
              <w:t>【□</w:t>
            </w:r>
            <w:r>
              <w:rPr>
                <w:rFonts w:hint="eastAsia" w:ascii="宋体" w:hAnsi="宋体"/>
                <w:b/>
                <w:color w:val="auto"/>
                <w:szCs w:val="24"/>
                <w:highlight w:val="yellow"/>
              </w:rPr>
              <w:t xml:space="preserve"> 产品管理人</w:t>
            </w:r>
            <w:r>
              <w:rPr>
                <w:rFonts w:hint="eastAsia" w:ascii="宋体" w:hAnsi="宋体"/>
                <w:b/>
                <w:color w:val="auto"/>
                <w:szCs w:val="24"/>
                <w:highlight w:val="yellow"/>
                <w:lang w:eastAsia="zh-CN"/>
              </w:rPr>
              <w:t>设置浮动管理费</w:t>
            </w:r>
          </w:p>
          <w:p w14:paraId="00E9E279">
            <w:pPr>
              <w:widowControl/>
              <w:tabs>
                <w:tab w:val="left" w:pos="312"/>
              </w:tabs>
              <w:jc w:val="left"/>
              <w:rPr>
                <w:rFonts w:hint="eastAsia" w:ascii="宋体" w:hAnsi="宋体"/>
                <w:b/>
                <w:color w:val="auto"/>
                <w:szCs w:val="24"/>
                <w:highlight w:val="yellow"/>
                <w:lang w:eastAsia="zh-CN"/>
              </w:rPr>
            </w:pPr>
          </w:p>
          <w:p w14:paraId="3DCE5971">
            <w:pPr>
              <w:widowControl/>
              <w:tabs>
                <w:tab w:val="left" w:pos="312"/>
              </w:tabs>
              <w:jc w:val="left"/>
              <w:rPr>
                <w:rFonts w:hint="eastAsia" w:ascii="宋体" w:hAnsi="宋体"/>
                <w:b/>
                <w:color w:val="auto"/>
                <w:szCs w:val="24"/>
                <w:highlight w:val="yellow"/>
                <w:lang w:eastAsia="zh-CN"/>
              </w:rPr>
            </w:pPr>
            <w:r>
              <w:rPr>
                <w:rFonts w:hint="eastAsia" w:ascii="宋体" w:hAnsi="宋体"/>
                <w:b/>
                <w:color w:val="auto"/>
                <w:szCs w:val="24"/>
                <w:highlight w:val="yellow"/>
                <w:lang w:eastAsia="zh-CN"/>
              </w:rPr>
              <w:t>□</w:t>
            </w:r>
            <w:r>
              <w:rPr>
                <w:rFonts w:hint="eastAsia" w:ascii="宋体" w:hAnsi="宋体"/>
                <w:b/>
                <w:color w:val="auto"/>
                <w:szCs w:val="24"/>
                <w:highlight w:val="yellow"/>
              </w:rPr>
              <w:t xml:space="preserve"> 产品管理人不设</w:t>
            </w:r>
            <w:r>
              <w:rPr>
                <w:rFonts w:hint="eastAsia" w:ascii="宋体" w:hAnsi="宋体"/>
                <w:b/>
                <w:color w:val="auto"/>
                <w:szCs w:val="24"/>
                <w:highlight w:val="yellow"/>
                <w:lang w:eastAsia="zh-CN"/>
              </w:rPr>
              <w:t>浮动管理费】</w:t>
            </w:r>
          </w:p>
          <w:p w14:paraId="2F49CFC5">
            <w:pPr>
              <w:widowControl/>
              <w:jc w:val="left"/>
              <w:rPr>
                <w:rFonts w:hint="eastAsia" w:ascii="宋体" w:hAnsi="宋体" w:eastAsia="仿宋_GB2312"/>
                <w:b/>
                <w:color w:val="auto"/>
                <w:szCs w:val="24"/>
                <w:highlight w:val="none"/>
                <w:lang w:eastAsia="zh-CN"/>
              </w:rPr>
            </w:pPr>
            <w:r>
              <w:rPr>
                <w:rFonts w:hint="eastAsia" w:ascii="宋体" w:hAnsi="宋体"/>
                <w:b/>
                <w:color w:val="auto"/>
                <w:szCs w:val="24"/>
                <w:highlight w:val="none"/>
                <w:lang w:eastAsia="zh-CN"/>
              </w:rPr>
              <w:t>浮动管理费计提基准：</w:t>
            </w:r>
            <w:r>
              <w:rPr>
                <w:rFonts w:hint="eastAsia" w:ascii="宋体" w:hAnsi="宋体"/>
                <w:b/>
                <w:color w:val="auto"/>
                <w:szCs w:val="24"/>
                <w:highlight w:val="yellow"/>
                <w:lang w:eastAsia="zh-CN"/>
              </w:rPr>
              <w:t>【】</w:t>
            </w:r>
          </w:p>
          <w:p w14:paraId="4E9175CB">
            <w:pPr>
              <w:snapToGrid w:val="0"/>
              <w:jc w:val="left"/>
              <w:rPr>
                <w:rFonts w:ascii="宋体" w:hAnsi="宋体"/>
                <w:b/>
                <w:color w:val="auto"/>
                <w:szCs w:val="24"/>
                <w:highlight w:val="none"/>
              </w:rPr>
            </w:pP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计提基准的提示：</w:t>
            </w:r>
          </w:p>
          <w:p w14:paraId="48B9226A">
            <w:pPr>
              <w:snapToGrid w:val="0"/>
              <w:jc w:val="left"/>
              <w:rPr>
                <w:rFonts w:ascii="宋体" w:hAnsi="宋体"/>
                <w:b/>
                <w:color w:val="auto"/>
                <w:szCs w:val="24"/>
                <w:highlight w:val="none"/>
              </w:rPr>
            </w:pPr>
            <w:r>
              <w:rPr>
                <w:rFonts w:hint="eastAsia" w:ascii="宋体" w:hAnsi="宋体"/>
                <w:b/>
                <w:color w:val="auto"/>
                <w:szCs w:val="24"/>
                <w:highlight w:val="none"/>
              </w:rPr>
              <w:t>（1）</w:t>
            </w:r>
            <w:r>
              <w:rPr>
                <w:rFonts w:hint="eastAsia" w:ascii="宋体" w:hAnsi="宋体"/>
                <w:b/>
                <w:color w:val="auto"/>
                <w:szCs w:val="24"/>
                <w:highlight w:val="none"/>
                <w:lang w:eastAsia="zh-CN"/>
              </w:rPr>
              <w:t>浮动管理费计</w:t>
            </w:r>
            <w:r>
              <w:rPr>
                <w:rFonts w:hint="eastAsia" w:ascii="宋体" w:hAnsi="宋体"/>
                <w:b/>
                <w:color w:val="auto"/>
                <w:szCs w:val="24"/>
                <w:highlight w:val="none"/>
              </w:rPr>
              <w:t>提基准仅作为管理人计算</w:t>
            </w:r>
            <w:r>
              <w:rPr>
                <w:rFonts w:hint="eastAsia" w:ascii="宋体" w:hAnsi="宋体"/>
                <w:b/>
                <w:color w:val="auto"/>
                <w:szCs w:val="24"/>
                <w:highlight w:val="none"/>
                <w:lang w:eastAsia="zh-CN"/>
              </w:rPr>
              <w:t>浮动管理费</w:t>
            </w:r>
            <w:r>
              <w:rPr>
                <w:rFonts w:hint="eastAsia" w:ascii="宋体" w:hAnsi="宋体"/>
                <w:b/>
                <w:color w:val="auto"/>
                <w:szCs w:val="24"/>
                <w:highlight w:val="none"/>
              </w:rPr>
              <w:t>的参照标准。</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计提基准不是预期收益率，不代表产品的未来表现和实际收益，不构成对产品收益的承诺。</w:t>
            </w:r>
          </w:p>
          <w:p w14:paraId="0F5C1D6C">
            <w:pPr>
              <w:widowControl/>
              <w:spacing w:line="400" w:lineRule="exact"/>
              <w:jc w:val="left"/>
              <w:textAlignment w:val="center"/>
              <w:rPr>
                <w:rFonts w:hint="eastAsia" w:ascii="仿宋" w:hAnsi="仿宋" w:eastAsia="仿宋" w:cs="宋体"/>
                <w:bCs/>
                <w:color w:val="000000" w:themeColor="text1"/>
                <w:kern w:val="0"/>
                <w:sz w:val="24"/>
                <w:lang w:bidi="ar"/>
                <w14:textFill>
                  <w14:solidFill>
                    <w14:schemeClr w14:val="tx1"/>
                  </w14:solidFill>
                </w14:textFill>
              </w:rPr>
            </w:pPr>
            <w:r>
              <w:rPr>
                <w:rFonts w:hint="eastAsia" w:ascii="宋体" w:hAnsi="宋体"/>
                <w:b/>
                <w:color w:val="auto"/>
                <w:szCs w:val="24"/>
                <w:highlight w:val="none"/>
              </w:rPr>
              <w:t>（2）如果法律法规、</w:t>
            </w:r>
            <w:r>
              <w:rPr>
                <w:rFonts w:ascii="宋体" w:hAnsi="宋体"/>
                <w:b/>
                <w:color w:val="auto"/>
                <w:szCs w:val="24"/>
                <w:highlight w:val="none"/>
              </w:rPr>
              <w:t>国家政策</w:t>
            </w:r>
            <w:r>
              <w:rPr>
                <w:rFonts w:hint="eastAsia" w:ascii="宋体" w:hAnsi="宋体"/>
                <w:b/>
                <w:color w:val="auto"/>
                <w:szCs w:val="24"/>
                <w:highlight w:val="none"/>
              </w:rPr>
              <w:t>发生变化，或者有其他代表性更强、更科学客观的</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计提基准适用于本产品时，经产品管理人和产品托管人协商一致后，本产品可以调整</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计提基准并及时公告。</w:t>
            </w:r>
          </w:p>
        </w:tc>
      </w:tr>
      <w:tr w14:paraId="664D49CF">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370E423">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认购费率</w:t>
            </w:r>
          </w:p>
        </w:tc>
        <w:tc>
          <w:tcPr>
            <w:tcW w:w="6972" w:type="dxa"/>
            <w:tcBorders>
              <w:top w:val="single" w:color="auto" w:sz="4" w:space="0"/>
              <w:left w:val="single" w:color="auto" w:sz="4" w:space="0"/>
              <w:bottom w:val="single" w:color="auto" w:sz="4" w:space="0"/>
              <w:right w:val="single" w:color="auto" w:sz="4" w:space="0"/>
            </w:tcBorders>
            <w:vAlign w:val="center"/>
          </w:tcPr>
          <w:p w14:paraId="21F68515">
            <w:pPr>
              <w:widowControl/>
              <w:spacing w:line="400" w:lineRule="exact"/>
              <w:jc w:val="left"/>
              <w:textAlignment w:val="center"/>
              <w:rPr>
                <w:rFonts w:hint="eastAsia" w:ascii="仿宋_GB2312" w:hAnsi="等线" w:eastAsia="仿宋_GB2312" w:cs="仿宋_GB2312"/>
                <w:bCs/>
                <w:color w:val="000000" w:themeColor="text1"/>
                <w:sz w:val="24"/>
                <w:lang w:val="en-US" w:eastAsia="zh-CN"/>
                <w14:textFill>
                  <w14:solidFill>
                    <w14:schemeClr w14:val="tx1"/>
                  </w14:solidFill>
                </w14:textFill>
              </w:rPr>
            </w:pPr>
            <w:r>
              <w:rPr>
                <w:rFonts w:hint="eastAsia" w:ascii="宋体" w:hAnsi="宋体"/>
                <w:b/>
                <w:color w:val="auto"/>
                <w:szCs w:val="24"/>
                <w:highlight w:val="none"/>
                <w:lang w:val="en-US" w:eastAsia="zh-CN"/>
              </w:rPr>
              <w:t>/</w:t>
            </w:r>
          </w:p>
        </w:tc>
      </w:tr>
      <w:tr w14:paraId="59B9907A">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3BC638D">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申购费率</w:t>
            </w:r>
          </w:p>
        </w:tc>
        <w:tc>
          <w:tcPr>
            <w:tcW w:w="6972" w:type="dxa"/>
            <w:tcBorders>
              <w:top w:val="single" w:color="auto" w:sz="4" w:space="0"/>
              <w:left w:val="single" w:color="auto" w:sz="4" w:space="0"/>
              <w:bottom w:val="single" w:color="auto" w:sz="4" w:space="0"/>
              <w:right w:val="single" w:color="auto" w:sz="4" w:space="0"/>
            </w:tcBorders>
            <w:vAlign w:val="center"/>
          </w:tcPr>
          <w:p w14:paraId="26811BBB">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b/>
                <w:color w:val="auto"/>
                <w:szCs w:val="24"/>
                <w:highlight w:val="none"/>
                <w:lang w:val="en-US" w:eastAsia="zh-CN"/>
              </w:rPr>
              <w:t>/</w:t>
            </w:r>
          </w:p>
        </w:tc>
      </w:tr>
      <w:tr w14:paraId="73D6FFEB">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78F73EA">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赎回费率</w:t>
            </w:r>
          </w:p>
        </w:tc>
        <w:tc>
          <w:tcPr>
            <w:tcW w:w="6972" w:type="dxa"/>
            <w:tcBorders>
              <w:top w:val="single" w:color="auto" w:sz="4" w:space="0"/>
              <w:left w:val="single" w:color="auto" w:sz="4" w:space="0"/>
              <w:bottom w:val="single" w:color="auto" w:sz="4" w:space="0"/>
              <w:right w:val="single" w:color="auto" w:sz="4" w:space="0"/>
            </w:tcBorders>
            <w:vAlign w:val="center"/>
          </w:tcPr>
          <w:p w14:paraId="4CB64F2B">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b/>
                <w:color w:val="auto"/>
                <w:szCs w:val="24"/>
                <w:highlight w:val="none"/>
                <w:lang w:val="en-US" w:eastAsia="zh-CN"/>
              </w:rPr>
              <w:t>/</w:t>
            </w:r>
          </w:p>
        </w:tc>
      </w:tr>
      <w:tr w14:paraId="2D64B832">
        <w:tblPrEx>
          <w:tblCellMar>
            <w:top w:w="0" w:type="dxa"/>
            <w:left w:w="108" w:type="dxa"/>
            <w:bottom w:w="0" w:type="dxa"/>
            <w:right w:w="108" w:type="dxa"/>
          </w:tblCellMar>
        </w:tblPrEx>
        <w:trPr>
          <w:trHeight w:val="830" w:hRule="atLeast"/>
        </w:trPr>
        <w:tc>
          <w:tcPr>
            <w:tcW w:w="2453" w:type="dxa"/>
            <w:tcBorders>
              <w:top w:val="single" w:color="auto" w:sz="4" w:space="0"/>
              <w:left w:val="single" w:color="auto" w:sz="4" w:space="0"/>
              <w:bottom w:val="single" w:color="auto" w:sz="4" w:space="0"/>
              <w:right w:val="single" w:color="auto" w:sz="4" w:space="0"/>
            </w:tcBorders>
            <w:vAlign w:val="center"/>
          </w:tcPr>
          <w:p w14:paraId="219D0C2C">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其他费用说明</w:t>
            </w:r>
          </w:p>
        </w:tc>
        <w:tc>
          <w:tcPr>
            <w:tcW w:w="6972" w:type="dxa"/>
            <w:tcBorders>
              <w:top w:val="single" w:color="auto" w:sz="4" w:space="0"/>
              <w:left w:val="single" w:color="auto" w:sz="4" w:space="0"/>
              <w:bottom w:val="single" w:color="auto" w:sz="4" w:space="0"/>
              <w:right w:val="single" w:color="auto" w:sz="4" w:space="0"/>
            </w:tcBorders>
            <w:vAlign w:val="center"/>
          </w:tcPr>
          <w:p w14:paraId="560138FC">
            <w:pPr>
              <w:widowControl/>
              <w:spacing w:line="400" w:lineRule="exact"/>
              <w:jc w:val="left"/>
              <w:textAlignment w:val="center"/>
              <w:rPr>
                <w:rFonts w:hint="eastAsia" w:ascii="宋体" w:hAnsi="宋体"/>
                <w:color w:val="auto"/>
                <w:szCs w:val="24"/>
                <w:highlight w:val="none"/>
                <w:u w:val="none"/>
              </w:rPr>
            </w:pPr>
            <w:r>
              <w:rPr>
                <w:rFonts w:hint="eastAsia" w:ascii="宋体" w:hAnsi="宋体"/>
                <w:color w:val="auto"/>
                <w:szCs w:val="24"/>
                <w:highlight w:val="none"/>
                <w:u w:val="none"/>
              </w:rPr>
              <w:t>产品管理人保留调整上述理财产品收取费率标准的权利。以上费用精确到小数点后2位，小数点2位以后四舍五入。</w:t>
            </w:r>
          </w:p>
          <w:p w14:paraId="2C553796">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b/>
                <w:bCs/>
                <w:color w:val="auto"/>
                <w:szCs w:val="24"/>
                <w:highlight w:val="none"/>
                <w:u w:val="none"/>
                <w:lang w:eastAsia="zh-CN"/>
              </w:rPr>
              <w:t>其他费用说明</w:t>
            </w:r>
            <w:r>
              <w:rPr>
                <w:rFonts w:hint="eastAsia" w:ascii="宋体" w:hAnsi="宋体"/>
                <w:b/>
                <w:bCs/>
                <w:color w:val="auto"/>
                <w:szCs w:val="24"/>
                <w:highlight w:val="none"/>
                <w:u w:val="none"/>
              </w:rPr>
              <w:t>详见</w:t>
            </w:r>
            <w:r>
              <w:rPr>
                <w:rFonts w:ascii="宋体" w:hAnsi="宋体"/>
                <w:b/>
                <w:bCs/>
                <w:color w:val="auto"/>
                <w:szCs w:val="24"/>
                <w:highlight w:val="none"/>
                <w:u w:val="none"/>
              </w:rPr>
              <w:t>第</w:t>
            </w:r>
            <w:r>
              <w:rPr>
                <w:rFonts w:hint="eastAsia" w:ascii="宋体" w:hAnsi="宋体"/>
                <w:b/>
                <w:bCs/>
                <w:color w:val="auto"/>
                <w:szCs w:val="24"/>
                <w:highlight w:val="none"/>
                <w:u w:val="none"/>
                <w:lang w:val="en-US" w:eastAsia="zh-CN"/>
              </w:rPr>
              <w:t>十</w:t>
            </w:r>
            <w:r>
              <w:rPr>
                <w:rFonts w:ascii="宋体" w:hAnsi="宋体"/>
                <w:b/>
                <w:bCs/>
                <w:color w:val="auto"/>
                <w:szCs w:val="24"/>
                <w:highlight w:val="none"/>
                <w:u w:val="none"/>
              </w:rPr>
              <w:t>节</w:t>
            </w:r>
            <w:r>
              <w:rPr>
                <w:rFonts w:hint="eastAsia" w:ascii="宋体" w:hAnsi="宋体"/>
                <w:b/>
                <w:bCs/>
                <w:color w:val="auto"/>
                <w:szCs w:val="24"/>
                <w:highlight w:val="none"/>
                <w:u w:val="none"/>
              </w:rPr>
              <w:t xml:space="preserve"> “理财</w:t>
            </w:r>
            <w:r>
              <w:rPr>
                <w:rFonts w:ascii="宋体" w:hAnsi="宋体"/>
                <w:b/>
                <w:bCs/>
                <w:color w:val="auto"/>
                <w:szCs w:val="24"/>
                <w:highlight w:val="none"/>
                <w:u w:val="none"/>
              </w:rPr>
              <w:t>产品</w:t>
            </w:r>
            <w:r>
              <w:rPr>
                <w:rFonts w:hint="eastAsia" w:ascii="宋体" w:hAnsi="宋体"/>
                <w:b/>
                <w:bCs/>
                <w:color w:val="auto"/>
                <w:szCs w:val="24"/>
                <w:highlight w:val="none"/>
                <w:u w:val="none"/>
                <w:lang w:eastAsia="zh-CN"/>
              </w:rPr>
              <w:t>的</w:t>
            </w:r>
            <w:r>
              <w:rPr>
                <w:rFonts w:ascii="宋体" w:hAnsi="宋体"/>
                <w:b/>
                <w:bCs/>
                <w:color w:val="auto"/>
                <w:szCs w:val="24"/>
                <w:highlight w:val="none"/>
                <w:u w:val="none"/>
              </w:rPr>
              <w:t>费用与税收”</w:t>
            </w:r>
            <w:r>
              <w:rPr>
                <w:rFonts w:hint="eastAsia" w:ascii="宋体" w:hAnsi="宋体"/>
                <w:b/>
                <w:bCs/>
                <w:color w:val="auto"/>
                <w:szCs w:val="24"/>
                <w:highlight w:val="none"/>
                <w:u w:val="none"/>
              </w:rPr>
              <w:t>。</w:t>
            </w:r>
          </w:p>
        </w:tc>
      </w:tr>
      <w:tr w14:paraId="56FD1845">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71D60E34">
            <w:pPr>
              <w:widowControl/>
              <w:spacing w:line="400" w:lineRule="exact"/>
              <w:jc w:val="center"/>
              <w:textAlignment w:val="center"/>
              <w:rPr>
                <w:rFonts w:hint="eastAsia" w:ascii="楷体_GB2312" w:hAnsi="等线" w:eastAsia="楷体_GB2312" w:cs="楷体_GB2312"/>
                <w:b/>
                <w:bCs/>
                <w:color w:val="000000" w:themeColor="text1"/>
                <w:sz w:val="24"/>
                <w14:textFill>
                  <w14:solidFill>
                    <w14:schemeClr w14:val="tx1"/>
                  </w14:solidFill>
                </w14:textFill>
              </w:rPr>
            </w:pPr>
            <w:r>
              <w:rPr>
                <w:rFonts w:hint="eastAsia" w:ascii="楷体_GB2312" w:hAnsi="等线" w:eastAsia="楷体_GB2312" w:cs="楷体_GB2312"/>
                <w:b/>
                <w:bCs/>
                <w:color w:val="000000" w:themeColor="text1"/>
                <w:kern w:val="0"/>
                <w:sz w:val="24"/>
                <w:lang w:bidi="ar"/>
                <w14:textFill>
                  <w14:solidFill>
                    <w14:schemeClr w14:val="tx1"/>
                  </w14:solidFill>
                </w14:textFill>
              </w:rPr>
              <w:t>（六）业绩比较基准</w:t>
            </w:r>
          </w:p>
        </w:tc>
      </w:tr>
      <w:tr w14:paraId="30F1D272">
        <w:tblPrEx>
          <w:tblCellMar>
            <w:top w:w="0" w:type="dxa"/>
            <w:left w:w="108" w:type="dxa"/>
            <w:bottom w:w="0" w:type="dxa"/>
            <w:right w:w="108" w:type="dxa"/>
          </w:tblCellMar>
        </w:tblPrEx>
        <w:trPr>
          <w:trHeight w:val="1180" w:hRule="atLeast"/>
        </w:trPr>
        <w:tc>
          <w:tcPr>
            <w:tcW w:w="2453" w:type="dxa"/>
            <w:tcBorders>
              <w:top w:val="single" w:color="auto" w:sz="4" w:space="0"/>
              <w:left w:val="single" w:color="auto" w:sz="4" w:space="0"/>
              <w:bottom w:val="single" w:color="auto" w:sz="4" w:space="0"/>
              <w:right w:val="single" w:color="auto" w:sz="4" w:space="0"/>
            </w:tcBorders>
            <w:vAlign w:val="center"/>
          </w:tcPr>
          <w:p w14:paraId="3161ED49">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业绩比较基准</w:t>
            </w:r>
          </w:p>
        </w:tc>
        <w:tc>
          <w:tcPr>
            <w:tcW w:w="6972" w:type="dxa"/>
            <w:tcBorders>
              <w:top w:val="single" w:color="auto" w:sz="4" w:space="0"/>
              <w:left w:val="single" w:color="auto" w:sz="4" w:space="0"/>
              <w:bottom w:val="single" w:color="auto" w:sz="4" w:space="0"/>
              <w:right w:val="single" w:color="auto" w:sz="4" w:space="0"/>
            </w:tcBorders>
            <w:vAlign w:val="center"/>
          </w:tcPr>
          <w:p w14:paraId="7129BE3A">
            <w:pPr>
              <w:widowControl/>
              <w:spacing w:line="400" w:lineRule="exact"/>
              <w:jc w:val="left"/>
              <w:textAlignment w:val="center"/>
              <w:rPr>
                <w:rFonts w:hint="eastAsia" w:ascii="宋体" w:hAnsi="宋体"/>
                <w:b/>
                <w:color w:val="auto"/>
                <w:szCs w:val="24"/>
                <w:highlight w:val="none"/>
                <w:u w:val="none"/>
              </w:rPr>
            </w:pPr>
            <w:r>
              <w:rPr>
                <w:rFonts w:hint="eastAsia" w:ascii="宋体" w:hAnsi="宋体"/>
                <w:b/>
                <w:color w:val="auto"/>
                <w:szCs w:val="24"/>
                <w:highlight w:val="none"/>
                <w:u w:val="none"/>
              </w:rPr>
              <w:t>业绩比较基准设置</w:t>
            </w:r>
          </w:p>
          <w:p w14:paraId="52637352">
            <w:pPr>
              <w:widowControl/>
              <w:spacing w:line="400" w:lineRule="exact"/>
              <w:jc w:val="left"/>
              <w:textAlignment w:val="center"/>
              <w:rPr>
                <w:rFonts w:ascii="宋体" w:hAnsi="宋体"/>
                <w:b/>
                <w:color w:val="auto"/>
                <w:szCs w:val="24"/>
                <w:highlight w:val="none"/>
                <w:u w:val="none"/>
              </w:rPr>
            </w:pPr>
            <w:r>
              <w:rPr>
                <w:rFonts w:hint="eastAsia" w:ascii="宋体" w:hAnsi="宋体" w:cstheme="minorBidi"/>
                <w:bCs w:val="0"/>
                <w:color w:val="auto"/>
                <w:kern w:val="2"/>
                <w:sz w:val="24"/>
                <w:szCs w:val="24"/>
                <w:highlight w:val="yellow"/>
                <w:u w:val="none"/>
                <w:lang w:eastAsia="zh-CN" w:bidi="ar"/>
              </w:rPr>
              <w:t>【</w:t>
            </w:r>
            <w:r>
              <w:rPr>
                <w:rFonts w:hint="eastAsia" w:ascii="宋体" w:hAnsi="宋体"/>
                <w:b/>
                <w:color w:val="auto"/>
                <w:szCs w:val="24"/>
                <w:highlight w:val="yellow"/>
                <w:u w:val="none"/>
              </w:rPr>
              <w:t>■ 设置业绩比较基准。</w:t>
            </w:r>
          </w:p>
          <w:p w14:paraId="15AC8A81">
            <w:pPr>
              <w:widowControl/>
              <w:spacing w:line="400" w:lineRule="exact"/>
              <w:jc w:val="left"/>
              <w:textAlignment w:val="center"/>
              <w:rPr>
                <w:rFonts w:hint="eastAsia" w:ascii="宋体" w:hAnsi="宋体"/>
                <w:b/>
                <w:color w:val="auto"/>
                <w:szCs w:val="24"/>
                <w:highlight w:val="none"/>
                <w:u w:val="none"/>
                <w:lang w:eastAsia="zh-CN"/>
              </w:rPr>
            </w:pPr>
          </w:p>
          <w:p w14:paraId="68E67482">
            <w:pPr>
              <w:widowControl/>
              <w:spacing w:line="400" w:lineRule="exact"/>
              <w:jc w:val="left"/>
              <w:textAlignment w:val="center"/>
              <w:rPr>
                <w:rFonts w:hint="eastAsia" w:ascii="宋体" w:hAnsi="宋体"/>
                <w:b/>
                <w:color w:val="auto"/>
                <w:szCs w:val="24"/>
                <w:highlight w:val="none"/>
                <w:u w:val="none"/>
                <w:lang w:eastAsia="zh-CN"/>
              </w:rPr>
            </w:pPr>
            <w:r>
              <w:rPr>
                <w:rFonts w:hint="eastAsia" w:ascii="宋体" w:hAnsi="宋体"/>
                <w:b/>
                <w:color w:val="auto"/>
                <w:szCs w:val="24"/>
                <w:highlight w:val="none"/>
                <w:u w:val="none"/>
              </w:rPr>
              <w:t>□</w:t>
            </w:r>
            <w:r>
              <w:rPr>
                <w:rFonts w:hint="eastAsia" w:ascii="宋体" w:hAnsi="宋体"/>
                <w:b/>
                <w:color w:val="auto"/>
                <w:szCs w:val="24"/>
                <w:highlight w:val="yellow"/>
                <w:u w:val="none"/>
              </w:rPr>
              <w:t xml:space="preserve"> </w:t>
            </w:r>
            <w:r>
              <w:rPr>
                <w:rFonts w:hint="eastAsia" w:ascii="宋体" w:hAnsi="宋体"/>
                <w:b/>
                <w:color w:val="auto"/>
                <w:szCs w:val="24"/>
                <w:highlight w:val="yellow"/>
                <w:u w:val="none"/>
                <w:lang w:eastAsia="zh-CN"/>
              </w:rPr>
              <w:t>无</w:t>
            </w:r>
            <w:r>
              <w:rPr>
                <w:rFonts w:hint="eastAsia" w:ascii="宋体" w:hAnsi="宋体"/>
                <w:b/>
                <w:color w:val="auto"/>
                <w:szCs w:val="24"/>
                <w:highlight w:val="yellow"/>
                <w:u w:val="none"/>
              </w:rPr>
              <w:t>业绩比较基准。</w:t>
            </w:r>
            <w:r>
              <w:rPr>
                <w:rFonts w:hint="eastAsia" w:ascii="宋体" w:hAnsi="宋体" w:cstheme="minorBidi"/>
                <w:bCs w:val="0"/>
                <w:color w:val="auto"/>
                <w:kern w:val="2"/>
                <w:sz w:val="24"/>
                <w:szCs w:val="24"/>
                <w:highlight w:val="yellow"/>
                <w:u w:val="none"/>
                <w:lang w:eastAsia="zh-CN" w:bidi="ar"/>
              </w:rPr>
              <w:t>】</w:t>
            </w:r>
          </w:p>
          <w:p w14:paraId="14663FA9">
            <w:pPr>
              <w:widowControl/>
              <w:spacing w:line="400" w:lineRule="exact"/>
              <w:jc w:val="left"/>
              <w:textAlignment w:val="center"/>
              <w:rPr>
                <w:rFonts w:hint="eastAsia" w:ascii="宋体" w:hAnsi="宋体"/>
                <w:b/>
                <w:color w:val="auto"/>
                <w:szCs w:val="24"/>
                <w:highlight w:val="none"/>
                <w:u w:val="none"/>
                <w:lang w:eastAsia="zh-CN"/>
              </w:rPr>
            </w:pPr>
            <w:r>
              <w:rPr>
                <w:rFonts w:hint="eastAsia" w:ascii="宋体" w:hAnsi="宋体"/>
                <w:b/>
                <w:color w:val="auto"/>
                <w:szCs w:val="24"/>
                <w:highlight w:val="none"/>
                <w:u w:val="none"/>
              </w:rPr>
              <w:t>2</w:t>
            </w:r>
            <w:r>
              <w:rPr>
                <w:rFonts w:ascii="宋体" w:hAnsi="宋体"/>
                <w:b/>
                <w:color w:val="auto"/>
                <w:szCs w:val="24"/>
                <w:highlight w:val="none"/>
                <w:u w:val="none"/>
              </w:rPr>
              <w:t>.</w:t>
            </w:r>
            <w:r>
              <w:rPr>
                <w:rFonts w:hint="eastAsia" w:ascii="宋体" w:hAnsi="宋体"/>
                <w:b/>
                <w:color w:val="auto"/>
                <w:szCs w:val="24"/>
                <w:highlight w:val="none"/>
                <w:u w:val="none"/>
              </w:rPr>
              <w:t>业绩</w:t>
            </w:r>
            <w:r>
              <w:rPr>
                <w:rFonts w:ascii="宋体" w:hAnsi="宋体"/>
                <w:b/>
                <w:color w:val="auto"/>
                <w:szCs w:val="24"/>
                <w:highlight w:val="none"/>
                <w:u w:val="none"/>
              </w:rPr>
              <w:t>比较基准</w:t>
            </w:r>
            <w:r>
              <w:rPr>
                <w:rFonts w:hint="eastAsia" w:ascii="宋体" w:hAnsi="宋体"/>
                <w:b/>
                <w:color w:val="auto"/>
                <w:szCs w:val="24"/>
                <w:highlight w:val="none"/>
                <w:u w:val="none"/>
              </w:rPr>
              <w:t>提示</w:t>
            </w:r>
          </w:p>
          <w:p w14:paraId="7C03AC23">
            <w:pPr>
              <w:widowControl/>
              <w:spacing w:line="400" w:lineRule="exact"/>
              <w:jc w:val="left"/>
              <w:textAlignment w:val="center"/>
              <w:rPr>
                <w:rFonts w:ascii="宋体" w:hAnsi="宋体"/>
                <w:b/>
                <w:color w:val="auto"/>
                <w:szCs w:val="24"/>
                <w:highlight w:val="none"/>
                <w:u w:val="none"/>
              </w:rPr>
            </w:pPr>
            <w:r>
              <w:rPr>
                <w:rFonts w:hint="eastAsia" w:ascii="宋体" w:hAnsi="宋体"/>
                <w:b/>
                <w:color w:val="auto"/>
                <w:szCs w:val="24"/>
                <w:highlight w:val="none"/>
                <w:u w:val="none"/>
              </w:rPr>
              <w:t>本理财产品为净值型产品，业绩表现将随市场波动，具有不确定性。业绩比较基准是管理人基于投资范围内各类资产的收益率水平、投资比例、市场情况等因素进行静态测算和情景分析所得出和设定的投资目标。</w:t>
            </w:r>
          </w:p>
          <w:p w14:paraId="4E2EAD89">
            <w:pPr>
              <w:widowControl/>
              <w:snapToGrid/>
              <w:spacing w:line="400" w:lineRule="exact"/>
              <w:jc w:val="left"/>
              <w:textAlignment w:val="center"/>
              <w:rPr>
                <w:rFonts w:ascii="宋体" w:hAnsi="宋体"/>
                <w:b/>
                <w:bCs/>
                <w:color w:val="auto"/>
                <w:szCs w:val="24"/>
                <w:highlight w:val="none"/>
                <w:u w:val="none"/>
              </w:rPr>
            </w:pPr>
            <w:r>
              <w:rPr>
                <w:rFonts w:hint="eastAsia" w:asciiTheme="minorEastAsia" w:hAnsiTheme="minorEastAsia"/>
                <w:color w:val="auto"/>
                <w:kern w:val="0"/>
                <w:szCs w:val="24"/>
                <w:highlight w:val="none"/>
                <w:u w:val="none"/>
              </w:rPr>
              <w:t>本理财产品</w:t>
            </w:r>
            <w:r>
              <w:rPr>
                <w:rFonts w:hint="eastAsia" w:ascii="宋体" w:hAnsi="宋体" w:cstheme="minorBidi"/>
                <w:bCs w:val="0"/>
                <w:color w:val="auto"/>
                <w:kern w:val="2"/>
                <w:sz w:val="24"/>
                <w:szCs w:val="24"/>
                <w:highlight w:val="yellow"/>
                <w:u w:val="none"/>
                <w:lang w:eastAsia="zh-CN" w:bidi="ar"/>
              </w:rPr>
              <w:t>【</w:t>
            </w:r>
            <w:r>
              <w:rPr>
                <w:rFonts w:hint="eastAsia" w:ascii="宋体" w:hAnsi="宋体"/>
                <w:b/>
                <w:color w:val="auto"/>
                <w:szCs w:val="24"/>
                <w:highlight w:val="none"/>
                <w:u w:val="none"/>
              </w:rPr>
              <w:t>投向债权类资产投资比例不低于80%，投向权益类资产、商品及金融衍生品类资产不高于20%</w:t>
            </w:r>
            <w:r>
              <w:rPr>
                <w:rFonts w:hint="eastAsia" w:ascii="宋体" w:hAnsi="宋体"/>
                <w:b/>
                <w:color w:val="auto"/>
                <w:szCs w:val="24"/>
                <w:highlight w:val="none"/>
                <w:u w:val="none"/>
                <w:lang w:eastAsia="zh-CN"/>
              </w:rPr>
              <w:t>。</w:t>
            </w:r>
            <w:r>
              <w:rPr>
                <w:rFonts w:hint="eastAsia" w:ascii="仿宋_GB2312" w:hAnsi="宋体" w:cs="宋体"/>
                <w:bCs/>
                <w:color w:val="auto"/>
                <w:kern w:val="0"/>
                <w:szCs w:val="24"/>
                <w:highlight w:val="none"/>
                <w:u w:val="none"/>
              </w:rPr>
              <w:t>本理财</w:t>
            </w:r>
            <w:r>
              <w:rPr>
                <w:rFonts w:ascii="仿宋_GB2312" w:hAnsi="宋体" w:cs="宋体"/>
                <w:bCs/>
                <w:color w:val="auto"/>
                <w:kern w:val="0"/>
                <w:szCs w:val="24"/>
                <w:highlight w:val="none"/>
                <w:u w:val="none"/>
              </w:rPr>
              <w:t>产品在投资</w:t>
            </w:r>
            <w:r>
              <w:rPr>
                <w:rFonts w:hint="eastAsia" w:ascii="仿宋_GB2312" w:hAnsi="宋体" w:cs="宋体"/>
                <w:bCs/>
                <w:color w:val="auto"/>
                <w:kern w:val="0"/>
                <w:szCs w:val="24"/>
                <w:highlight w:val="none"/>
                <w:u w:val="none"/>
              </w:rPr>
              <w:t>于</w:t>
            </w:r>
            <w:r>
              <w:rPr>
                <w:rFonts w:ascii="仿宋_GB2312" w:hAnsi="宋体" w:cs="宋体"/>
                <w:bCs/>
                <w:color w:val="auto"/>
                <w:kern w:val="0"/>
                <w:szCs w:val="24"/>
                <w:highlight w:val="none"/>
                <w:u w:val="none"/>
              </w:rPr>
              <w:t>商品及金融衍生品类资产之前，管理人应获得相应的业务经营范围或投资交易资格</w:t>
            </w:r>
            <w:r>
              <w:rPr>
                <w:rFonts w:hint="eastAsia" w:ascii="宋体" w:hAnsi="宋体"/>
                <w:b/>
                <w:bCs/>
                <w:color w:val="auto"/>
                <w:szCs w:val="24"/>
                <w:highlight w:val="none"/>
                <w:u w:val="none"/>
              </w:rPr>
              <w:t>，</w:t>
            </w:r>
            <w:r>
              <w:rPr>
                <w:rFonts w:hint="eastAsia" w:ascii="宋体" w:hAnsi="宋体" w:cstheme="minorBidi"/>
                <w:bCs w:val="0"/>
                <w:color w:val="auto"/>
                <w:kern w:val="2"/>
                <w:sz w:val="24"/>
                <w:szCs w:val="24"/>
                <w:highlight w:val="yellow"/>
                <w:u w:val="none"/>
                <w:lang w:eastAsia="zh-CN" w:bidi="ar"/>
              </w:rPr>
              <w:t>】</w:t>
            </w:r>
            <w:r>
              <w:rPr>
                <w:rFonts w:hint="eastAsia" w:ascii="宋体" w:hAnsi="宋体"/>
                <w:b/>
                <w:bCs/>
                <w:color w:val="auto"/>
                <w:szCs w:val="24"/>
                <w:highlight w:val="none"/>
                <w:u w:val="none"/>
              </w:rPr>
              <w:t>管理人根据拟投资资产种类、配置比例、运作策略等因素，结合宏观经济情况和市场趋势的预判分析，综合测算、确定本理财产品的业绩比较基准。</w:t>
            </w:r>
          </w:p>
          <w:p w14:paraId="69099720">
            <w:pPr>
              <w:widowControl/>
              <w:snapToGrid/>
              <w:spacing w:line="400" w:lineRule="exact"/>
              <w:jc w:val="left"/>
              <w:textAlignment w:val="center"/>
              <w:rPr>
                <w:rFonts w:asciiTheme="minorEastAsia" w:hAnsiTheme="minorEastAsia" w:cstheme="minorEastAsia"/>
                <w:b/>
                <w:color w:val="auto"/>
                <w:highlight w:val="none"/>
                <w:u w:val="none"/>
              </w:rPr>
            </w:pPr>
            <w:r>
              <w:rPr>
                <w:rFonts w:hint="eastAsia" w:asciiTheme="minorEastAsia" w:hAnsiTheme="minorEastAsia" w:cstheme="minorEastAsia"/>
                <w:b/>
                <w:color w:val="auto"/>
                <w:highlight w:val="none"/>
                <w:u w:val="none"/>
              </w:rPr>
              <w:t>业绩比较基准不是预期收益率，不代表产品的未来表现和实际收益，仅作为业绩参考和</w:t>
            </w:r>
            <w:r>
              <w:rPr>
                <w:rFonts w:asciiTheme="minorEastAsia" w:hAnsiTheme="minorEastAsia" w:cstheme="minorEastAsia"/>
                <w:b/>
                <w:color w:val="auto"/>
                <w:highlight w:val="none"/>
                <w:u w:val="none"/>
              </w:rPr>
              <w:t>计算</w:t>
            </w:r>
            <w:r>
              <w:rPr>
                <w:rFonts w:hint="eastAsia" w:asciiTheme="minorEastAsia" w:hAnsiTheme="minorEastAsia" w:cstheme="minorEastAsia"/>
                <w:b/>
                <w:color w:val="auto"/>
                <w:highlight w:val="none"/>
                <w:u w:val="none"/>
                <w:lang w:eastAsia="zh-CN"/>
              </w:rPr>
              <w:t>浮动管理费</w:t>
            </w:r>
            <w:r>
              <w:rPr>
                <w:rFonts w:hint="eastAsia" w:asciiTheme="minorEastAsia" w:hAnsiTheme="minorEastAsia" w:cstheme="minorEastAsia"/>
                <w:b/>
                <w:color w:val="auto"/>
                <w:highlight w:val="none"/>
                <w:u w:val="none"/>
              </w:rPr>
              <w:t>（如有）的依据，不构成对该理财产品的任何收益承诺，投资者能获得的最终收益以实际支付为准。</w:t>
            </w:r>
          </w:p>
          <w:p w14:paraId="5426FA7D">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Theme="minorEastAsia" w:hAnsiTheme="minorEastAsia" w:cstheme="minorEastAsia"/>
                <w:b/>
                <w:color w:val="auto"/>
                <w:highlight w:val="none"/>
                <w:u w:val="none"/>
              </w:rPr>
              <w:t>理财产品存续期内，管理人有权根据市场情况对业绩比较基准进行调整，该调整将通过本《产品说明书》之“信息披露”约定的方式进行信息披露，如未披露调整，以最新披露的业绩比较基准为准。</w:t>
            </w:r>
          </w:p>
        </w:tc>
      </w:tr>
      <w:tr w14:paraId="3821FA25">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2E2A030C">
            <w:pPr>
              <w:widowControl/>
              <w:spacing w:line="400" w:lineRule="exact"/>
              <w:jc w:val="center"/>
              <w:textAlignment w:val="center"/>
              <w:rPr>
                <w:rFonts w:hint="eastAsia" w:ascii="楷体_GB2312" w:hAnsi="等线" w:eastAsia="楷体_GB2312" w:cs="楷体_GB2312"/>
                <w:bCs/>
                <w:color w:val="000000" w:themeColor="text1"/>
                <w:sz w:val="24"/>
                <w14:textFill>
                  <w14:solidFill>
                    <w14:schemeClr w14:val="tx1"/>
                  </w14:solidFill>
                </w14:textFill>
              </w:rPr>
            </w:pPr>
            <w:r>
              <w:rPr>
                <w:rFonts w:hint="eastAsia" w:ascii="楷体_GB2312" w:hAnsi="等线" w:eastAsia="楷体_GB2312" w:cs="楷体_GB2312"/>
                <w:b/>
                <w:color w:val="000000" w:themeColor="text1"/>
                <w:kern w:val="0"/>
                <w:sz w:val="24"/>
                <w:lang w:bidi="ar"/>
                <w14:textFill>
                  <w14:solidFill>
                    <w14:schemeClr w14:val="tx1"/>
                  </w14:solidFill>
                </w14:textFill>
              </w:rPr>
              <w:t>（七）投资范围与策略</w:t>
            </w:r>
          </w:p>
        </w:tc>
      </w:tr>
      <w:tr w14:paraId="7809A439">
        <w:tblPrEx>
          <w:tblCellMar>
            <w:top w:w="0" w:type="dxa"/>
            <w:left w:w="108" w:type="dxa"/>
            <w:bottom w:w="0" w:type="dxa"/>
            <w:right w:w="108" w:type="dxa"/>
          </w:tblCellMar>
        </w:tblPrEx>
        <w:trPr>
          <w:trHeight w:val="864" w:hRule="atLeast"/>
        </w:trPr>
        <w:tc>
          <w:tcPr>
            <w:tcW w:w="2453" w:type="dxa"/>
            <w:tcBorders>
              <w:top w:val="single" w:color="auto" w:sz="4" w:space="0"/>
              <w:left w:val="single" w:color="auto" w:sz="4" w:space="0"/>
              <w:bottom w:val="single" w:color="auto" w:sz="4" w:space="0"/>
              <w:right w:val="single" w:color="auto" w:sz="4" w:space="0"/>
            </w:tcBorders>
            <w:vAlign w:val="center"/>
          </w:tcPr>
          <w:p w14:paraId="2B7F05F3">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投资范围</w:t>
            </w:r>
          </w:p>
        </w:tc>
        <w:tc>
          <w:tcPr>
            <w:tcW w:w="6972" w:type="dxa"/>
            <w:tcBorders>
              <w:top w:val="single" w:color="auto" w:sz="4" w:space="0"/>
              <w:left w:val="single" w:color="auto" w:sz="4" w:space="0"/>
              <w:bottom w:val="single" w:color="auto" w:sz="4" w:space="0"/>
              <w:right w:val="single" w:color="auto" w:sz="4" w:space="0"/>
            </w:tcBorders>
            <w:vAlign w:val="center"/>
          </w:tcPr>
          <w:p w14:paraId="2C7F366D">
            <w:pPr>
              <w:widowControl/>
              <w:tabs>
                <w:tab w:val="left" w:pos="3119"/>
              </w:tabs>
              <w:autoSpaceDE w:val="0"/>
              <w:autoSpaceDN w:val="0"/>
              <w:spacing w:line="360" w:lineRule="auto"/>
              <w:ind w:right="31" w:rightChars="15"/>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35DE9975">
        <w:tblPrEx>
          <w:tblCellMar>
            <w:top w:w="0" w:type="dxa"/>
            <w:left w:w="108" w:type="dxa"/>
            <w:bottom w:w="0" w:type="dxa"/>
            <w:right w:w="108" w:type="dxa"/>
          </w:tblCellMar>
        </w:tblPrEx>
        <w:trPr>
          <w:trHeight w:val="780" w:hRule="atLeast"/>
        </w:trPr>
        <w:tc>
          <w:tcPr>
            <w:tcW w:w="2453" w:type="dxa"/>
            <w:tcBorders>
              <w:top w:val="single" w:color="auto" w:sz="4" w:space="0"/>
              <w:left w:val="single" w:color="auto" w:sz="4" w:space="0"/>
              <w:bottom w:val="single" w:color="auto" w:sz="4" w:space="0"/>
              <w:right w:val="single" w:color="auto" w:sz="4" w:space="0"/>
            </w:tcBorders>
            <w:vAlign w:val="center"/>
          </w:tcPr>
          <w:p w14:paraId="28B4860E">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投资策略</w:t>
            </w:r>
          </w:p>
        </w:tc>
        <w:tc>
          <w:tcPr>
            <w:tcW w:w="6972" w:type="dxa"/>
            <w:tcBorders>
              <w:top w:val="single" w:color="auto" w:sz="4" w:space="0"/>
              <w:left w:val="single" w:color="auto" w:sz="4" w:space="0"/>
              <w:bottom w:val="single" w:color="auto" w:sz="4" w:space="0"/>
              <w:right w:val="single" w:color="auto" w:sz="4" w:space="0"/>
            </w:tcBorders>
            <w:vAlign w:val="center"/>
          </w:tcPr>
          <w:p w14:paraId="63D12F8E">
            <w:pPr>
              <w:widowControl/>
              <w:tabs>
                <w:tab w:val="left" w:pos="3119"/>
              </w:tabs>
              <w:autoSpaceDE w:val="0"/>
              <w:autoSpaceDN w:val="0"/>
              <w:adjustRightInd w:val="0"/>
              <w:snapToGrid w:val="0"/>
              <w:spacing w:line="360" w:lineRule="auto"/>
              <w:ind w:firstLine="0" w:firstLineChars="0"/>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367BA309">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40CB1F86">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债权</w:t>
            </w:r>
            <w:r>
              <w:rPr>
                <w:rFonts w:hint="eastAsia" w:ascii="仿宋_GB2312" w:hAnsi="等线" w:eastAsia="仿宋_GB2312" w:cs="仿宋_GB2312"/>
                <w:color w:val="000000" w:themeColor="text1"/>
                <w:kern w:val="0"/>
                <w:sz w:val="24"/>
                <w:lang w:bidi="ar"/>
                <w14:textFill>
                  <w14:solidFill>
                    <w14:schemeClr w14:val="tx1"/>
                  </w14:solidFill>
                </w14:textFill>
              </w:rPr>
              <w:t>类资产投资上限</w:t>
            </w:r>
          </w:p>
        </w:tc>
        <w:tc>
          <w:tcPr>
            <w:tcW w:w="6972" w:type="dxa"/>
            <w:tcBorders>
              <w:top w:val="single" w:color="auto" w:sz="4" w:space="0"/>
              <w:left w:val="single" w:color="auto" w:sz="4" w:space="0"/>
              <w:bottom w:val="single" w:color="auto" w:sz="4" w:space="0"/>
              <w:right w:val="single" w:color="auto" w:sz="4" w:space="0"/>
            </w:tcBorders>
            <w:vAlign w:val="center"/>
          </w:tcPr>
          <w:p w14:paraId="671B6601">
            <w:pPr>
              <w:widowControl/>
              <w:spacing w:line="56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24208469">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4CA85331">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债权</w:t>
            </w:r>
            <w:r>
              <w:rPr>
                <w:rFonts w:hint="eastAsia" w:ascii="仿宋_GB2312" w:hAnsi="等线" w:eastAsia="仿宋_GB2312" w:cs="仿宋_GB2312"/>
                <w:color w:val="000000" w:themeColor="text1"/>
                <w:kern w:val="0"/>
                <w:sz w:val="24"/>
                <w:lang w:bidi="ar"/>
                <w14:textFill>
                  <w14:solidFill>
                    <w14:schemeClr w14:val="tx1"/>
                  </w14:solidFill>
                </w14:textFill>
              </w:rPr>
              <w:t>类资产投资下限</w:t>
            </w:r>
          </w:p>
        </w:tc>
        <w:tc>
          <w:tcPr>
            <w:tcW w:w="6972" w:type="dxa"/>
            <w:tcBorders>
              <w:top w:val="single" w:color="auto" w:sz="4" w:space="0"/>
              <w:left w:val="single" w:color="auto" w:sz="4" w:space="0"/>
              <w:bottom w:val="single" w:color="auto" w:sz="4" w:space="0"/>
              <w:right w:val="single" w:color="auto" w:sz="4" w:space="0"/>
            </w:tcBorders>
            <w:vAlign w:val="center"/>
          </w:tcPr>
          <w:p w14:paraId="6FB64367">
            <w:pPr>
              <w:widowControl/>
              <w:spacing w:line="56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087957DE">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0C3E9CBB">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权益类资产投资上限</w:t>
            </w:r>
          </w:p>
        </w:tc>
        <w:tc>
          <w:tcPr>
            <w:tcW w:w="6972" w:type="dxa"/>
            <w:tcBorders>
              <w:top w:val="single" w:color="auto" w:sz="4" w:space="0"/>
              <w:left w:val="single" w:color="auto" w:sz="4" w:space="0"/>
              <w:bottom w:val="single" w:color="auto" w:sz="4" w:space="0"/>
              <w:right w:val="single" w:color="auto" w:sz="4" w:space="0"/>
            </w:tcBorders>
            <w:vAlign w:val="center"/>
          </w:tcPr>
          <w:p w14:paraId="55A42CB1">
            <w:pPr>
              <w:widowControl/>
              <w:spacing w:line="56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0BA7E17C">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1D2B7229">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权益类资产投资下限</w:t>
            </w:r>
          </w:p>
        </w:tc>
        <w:tc>
          <w:tcPr>
            <w:tcW w:w="6972" w:type="dxa"/>
            <w:tcBorders>
              <w:top w:val="single" w:color="auto" w:sz="4" w:space="0"/>
              <w:left w:val="single" w:color="auto" w:sz="4" w:space="0"/>
              <w:bottom w:val="single" w:color="auto" w:sz="4" w:space="0"/>
              <w:right w:val="single" w:color="auto" w:sz="4" w:space="0"/>
            </w:tcBorders>
            <w:vAlign w:val="center"/>
          </w:tcPr>
          <w:p w14:paraId="1E77C620">
            <w:pPr>
              <w:widowControl/>
              <w:spacing w:line="56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50C5418D">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3824C1F6">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商品及金融衍生品类资产投资上限</w:t>
            </w:r>
          </w:p>
        </w:tc>
        <w:tc>
          <w:tcPr>
            <w:tcW w:w="6972" w:type="dxa"/>
            <w:tcBorders>
              <w:top w:val="single" w:color="auto" w:sz="4" w:space="0"/>
              <w:left w:val="single" w:color="auto" w:sz="4" w:space="0"/>
              <w:bottom w:val="single" w:color="auto" w:sz="4" w:space="0"/>
              <w:right w:val="single" w:color="auto" w:sz="4" w:space="0"/>
            </w:tcBorders>
            <w:vAlign w:val="center"/>
          </w:tcPr>
          <w:p w14:paraId="1A9C680E">
            <w:pPr>
              <w:widowControl/>
              <w:spacing w:line="56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6148FF49">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2D505E9A">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商品及金融衍生品类资产投资下限</w:t>
            </w:r>
          </w:p>
        </w:tc>
        <w:tc>
          <w:tcPr>
            <w:tcW w:w="6972" w:type="dxa"/>
            <w:tcBorders>
              <w:top w:val="single" w:color="auto" w:sz="4" w:space="0"/>
              <w:left w:val="single" w:color="auto" w:sz="4" w:space="0"/>
              <w:bottom w:val="single" w:color="auto" w:sz="4" w:space="0"/>
              <w:right w:val="single" w:color="auto" w:sz="4" w:space="0"/>
            </w:tcBorders>
            <w:vAlign w:val="center"/>
          </w:tcPr>
          <w:p w14:paraId="720F7DB7">
            <w:pPr>
              <w:widowControl/>
              <w:spacing w:line="560" w:lineRule="exact"/>
              <w:jc w:val="left"/>
              <w:textAlignment w:val="center"/>
              <w:rPr>
                <w:rFonts w:hint="default" w:ascii="仿宋_GB2312" w:hAnsi="等线" w:eastAsia="仿宋_GB2312" w:cs="仿宋_GB2312"/>
                <w:bCs/>
                <w:color w:val="000000" w:themeColor="text1"/>
                <w:sz w:val="24"/>
                <w:lang w:val="en-US" w:eastAsia="zh-CN"/>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2F485CFA">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0D242921">
            <w:pPr>
              <w:widowControl/>
              <w:spacing w:line="560" w:lineRule="exact"/>
              <w:jc w:val="center"/>
              <w:textAlignment w:val="center"/>
              <w:rPr>
                <w:rFonts w:hint="eastAsia" w:ascii="楷体_GB2312" w:hAnsi="等线" w:eastAsia="楷体_GB2312" w:cs="楷体_GB2312"/>
                <w:bCs/>
                <w:color w:val="000000" w:themeColor="text1"/>
                <w:sz w:val="24"/>
                <w14:textFill>
                  <w14:solidFill>
                    <w14:schemeClr w14:val="tx1"/>
                  </w14:solidFill>
                </w14:textFill>
              </w:rPr>
            </w:pPr>
            <w:r>
              <w:rPr>
                <w:rFonts w:hint="eastAsia" w:ascii="楷体_GB2312" w:hAnsi="等线" w:eastAsia="楷体_GB2312" w:cs="楷体_GB2312"/>
                <w:b/>
                <w:color w:val="000000" w:themeColor="text1"/>
                <w:kern w:val="0"/>
                <w:sz w:val="24"/>
                <w:lang w:bidi="ar"/>
                <w14:textFill>
                  <w14:solidFill>
                    <w14:schemeClr w14:val="tx1"/>
                  </w14:solidFill>
                </w14:textFill>
              </w:rPr>
              <w:t>（八）其他约定</w:t>
            </w:r>
          </w:p>
        </w:tc>
      </w:tr>
      <w:tr w14:paraId="05B42900">
        <w:tblPrEx>
          <w:tblCellMar>
            <w:top w:w="0" w:type="dxa"/>
            <w:left w:w="108" w:type="dxa"/>
            <w:bottom w:w="0" w:type="dxa"/>
            <w:right w:w="108" w:type="dxa"/>
          </w:tblCellMar>
        </w:tblPrEx>
        <w:trPr>
          <w:trHeight w:val="1010" w:hRule="atLeast"/>
        </w:trPr>
        <w:tc>
          <w:tcPr>
            <w:tcW w:w="2453" w:type="dxa"/>
            <w:tcBorders>
              <w:top w:val="single" w:color="auto" w:sz="4" w:space="0"/>
              <w:left w:val="single" w:color="auto" w:sz="4" w:space="0"/>
              <w:bottom w:val="single" w:color="auto" w:sz="4" w:space="0"/>
              <w:right w:val="single" w:color="auto" w:sz="4" w:space="0"/>
            </w:tcBorders>
            <w:vAlign w:val="center"/>
          </w:tcPr>
          <w:p w14:paraId="474B4318">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color w:val="auto"/>
                <w:kern w:val="0"/>
                <w:szCs w:val="24"/>
                <w:highlight w:val="none"/>
                <w:u w:val="none"/>
              </w:rPr>
              <w:t>信息披露</w:t>
            </w:r>
          </w:p>
        </w:tc>
        <w:tc>
          <w:tcPr>
            <w:tcW w:w="6972" w:type="dxa"/>
            <w:tcBorders>
              <w:top w:val="single" w:color="auto" w:sz="4" w:space="0"/>
              <w:left w:val="single" w:color="auto" w:sz="4" w:space="0"/>
              <w:bottom w:val="single" w:color="auto" w:sz="4" w:space="0"/>
              <w:right w:val="single" w:color="auto" w:sz="4" w:space="0"/>
            </w:tcBorders>
            <w:vAlign w:val="center"/>
          </w:tcPr>
          <w:p w14:paraId="728B62AD">
            <w:pPr>
              <w:snapToGrid w:val="0"/>
              <w:rPr>
                <w:rFonts w:hint="eastAsia" w:ascii="仿宋_GB2312" w:hAnsi="宋体" w:eastAsia="仿宋_GB2312" w:cs="宋体"/>
                <w:b/>
                <w:color w:val="auto"/>
                <w:kern w:val="0"/>
                <w:szCs w:val="24"/>
                <w:highlight w:val="yellow"/>
                <w:u w:val="none"/>
                <w:lang w:eastAsia="zh-CN"/>
              </w:rPr>
            </w:pPr>
            <w:r>
              <w:rPr>
                <w:rFonts w:hint="eastAsia" w:ascii="宋体" w:hAnsi="宋体"/>
                <w:b/>
                <w:iCs w:val="0"/>
                <w:color w:val="000000" w:themeColor="text1"/>
                <w:sz w:val="24"/>
                <w:szCs w:val="24"/>
                <w:highlight w:val="yellow"/>
                <w:lang w:eastAsia="zh-CN"/>
                <w14:textFill>
                  <w14:solidFill>
                    <w14:schemeClr w14:val="tx1"/>
                  </w14:solidFill>
                </w14:textFill>
              </w:rPr>
              <w:t>本理财产品成立后，管理人将通过《产品说明书》之“信息披露”约定的方式进行信息披露。详细内容见《本产品说明书》之“信息披露”。</w:t>
            </w:r>
          </w:p>
          <w:p w14:paraId="54BC4FA8">
            <w:pPr>
              <w:snapToGrid w:val="0"/>
              <w:rPr>
                <w:rFonts w:hint="eastAsia" w:ascii="宋体" w:hAnsi="宋体"/>
                <w:b/>
                <w:bCs/>
                <w:iCs/>
                <w:color w:val="auto"/>
                <w:szCs w:val="24"/>
                <w:highlight w:val="none"/>
                <w:u w:val="none"/>
              </w:rPr>
            </w:pPr>
            <w:r>
              <w:rPr>
                <w:rFonts w:hint="eastAsia" w:asciiTheme="minorEastAsia" w:hAnsiTheme="minorEastAsia"/>
                <w:color w:val="auto"/>
                <w:szCs w:val="24"/>
                <w:highlight w:val="none"/>
                <w:u w:val="none"/>
              </w:rPr>
              <w:t>本产品成立、运行、到期、净值等信息将通过</w:t>
            </w:r>
            <w:r>
              <w:rPr>
                <w:rFonts w:hint="eastAsia" w:asciiTheme="minorEastAsia" w:hAnsiTheme="minorEastAsia"/>
                <w:color w:val="auto"/>
                <w:szCs w:val="24"/>
                <w:highlight w:val="none"/>
                <w:u w:val="none"/>
                <w:lang w:eastAsia="zh-CN"/>
              </w:rPr>
              <w:t>产品</w:t>
            </w:r>
            <w:r>
              <w:rPr>
                <w:rFonts w:hint="eastAsia" w:asciiTheme="minorEastAsia" w:hAnsiTheme="minorEastAsia"/>
                <w:color w:val="auto"/>
                <w:szCs w:val="24"/>
                <w:highlight w:val="none"/>
                <w:u w:val="none"/>
              </w:rPr>
              <w:t>管理人</w:t>
            </w:r>
            <w:r>
              <w:rPr>
                <w:rFonts w:asciiTheme="minorEastAsia" w:hAnsiTheme="minorEastAsia"/>
                <w:color w:val="auto"/>
                <w:szCs w:val="24"/>
                <w:highlight w:val="none"/>
                <w:u w:val="none"/>
              </w:rPr>
              <w:t>官方网站</w:t>
            </w: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www.czbank-wm.com</w:t>
            </w:r>
            <w:r>
              <w:rPr>
                <w:rFonts w:hint="eastAsia" w:ascii="仿宋_GB2312" w:hAnsi="宋体" w:cs="宋体"/>
                <w:color w:val="auto"/>
                <w:kern w:val="0"/>
                <w:szCs w:val="24"/>
                <w:highlight w:val="none"/>
                <w:u w:val="none"/>
              </w:rPr>
              <w:t>】、销售机构官方网站、个人手机银行或其他约定的方式等</w:t>
            </w:r>
            <w:r>
              <w:rPr>
                <w:rFonts w:hint="eastAsia" w:cs="宋体" w:asciiTheme="minorEastAsia" w:hAnsiTheme="minorEastAsia"/>
                <w:color w:val="auto"/>
                <w:kern w:val="0"/>
                <w:szCs w:val="24"/>
                <w:highlight w:val="none"/>
                <w:u w:val="none"/>
              </w:rPr>
              <w:t>一种或多种渠道进行信息披露，</w:t>
            </w:r>
            <w:r>
              <w:rPr>
                <w:rFonts w:hint="eastAsia" w:asciiTheme="minorEastAsia" w:hAnsiTheme="minorEastAsia"/>
                <w:color w:val="auto"/>
                <w:szCs w:val="24"/>
                <w:highlight w:val="none"/>
                <w:u w:val="none"/>
              </w:rPr>
              <w:t>请投资者持续关注并及时查看。</w:t>
            </w:r>
          </w:p>
        </w:tc>
      </w:tr>
      <w:tr w14:paraId="2084B1E0">
        <w:tblPrEx>
          <w:tblCellMar>
            <w:top w:w="0" w:type="dxa"/>
            <w:left w:w="108" w:type="dxa"/>
            <w:bottom w:w="0" w:type="dxa"/>
            <w:right w:w="108" w:type="dxa"/>
          </w:tblCellMar>
        </w:tblPrEx>
        <w:trPr>
          <w:trHeight w:val="1010" w:hRule="atLeast"/>
        </w:trPr>
        <w:tc>
          <w:tcPr>
            <w:tcW w:w="2453" w:type="dxa"/>
            <w:tcBorders>
              <w:top w:val="single" w:color="auto" w:sz="4" w:space="0"/>
              <w:left w:val="single" w:color="auto" w:sz="4" w:space="0"/>
              <w:bottom w:val="single" w:color="auto" w:sz="4" w:space="0"/>
              <w:right w:val="single" w:color="auto" w:sz="4" w:space="0"/>
            </w:tcBorders>
            <w:vAlign w:val="center"/>
          </w:tcPr>
          <w:p w14:paraId="7D5768EE">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其他约定</w:t>
            </w:r>
          </w:p>
        </w:tc>
        <w:tc>
          <w:tcPr>
            <w:tcW w:w="6972" w:type="dxa"/>
            <w:tcBorders>
              <w:top w:val="single" w:color="auto" w:sz="4" w:space="0"/>
              <w:left w:val="single" w:color="auto" w:sz="4" w:space="0"/>
              <w:bottom w:val="single" w:color="auto" w:sz="4" w:space="0"/>
              <w:right w:val="single" w:color="auto" w:sz="4" w:space="0"/>
            </w:tcBorders>
            <w:vAlign w:val="center"/>
          </w:tcPr>
          <w:p w14:paraId="2EFAFD99">
            <w:pPr>
              <w:snapToGrid w:val="0"/>
              <w:jc w:val="left"/>
              <w:rPr>
                <w:rFonts w:ascii="宋体" w:hAnsi="宋体"/>
                <w:b/>
                <w:bCs/>
                <w:iCs/>
                <w:color w:val="auto"/>
                <w:szCs w:val="24"/>
                <w:highlight w:val="none"/>
                <w:u w:val="none"/>
              </w:rPr>
            </w:pPr>
            <w:r>
              <w:rPr>
                <w:rFonts w:ascii="宋体" w:hAnsi="宋体"/>
                <w:b/>
                <w:bCs/>
                <w:iCs/>
                <w:color w:val="auto"/>
                <w:szCs w:val="24"/>
                <w:highlight w:val="none"/>
                <w:u w:val="none"/>
              </w:rPr>
              <w:t>1.</w:t>
            </w:r>
            <w:r>
              <w:rPr>
                <w:rFonts w:hint="eastAsia" w:ascii="宋体" w:hAnsi="宋体"/>
                <w:b/>
                <w:bCs/>
                <w:iCs/>
                <w:color w:val="auto"/>
                <w:szCs w:val="24"/>
                <w:highlight w:val="none"/>
                <w:u w:val="none"/>
              </w:rPr>
              <w:t>募集期内认购资金是否计息以销售机构为准，但利息不计入认购本金份额。</w:t>
            </w:r>
          </w:p>
          <w:p w14:paraId="4EF8417B">
            <w:pPr>
              <w:widowControl/>
              <w:snapToGrid w:val="0"/>
              <w:spacing w:line="240" w:lineRule="auto"/>
              <w:jc w:val="left"/>
              <w:textAlignment w:val="auto"/>
              <w:rPr>
                <w:rFonts w:hint="eastAsia" w:ascii="宋体" w:hAnsi="宋体"/>
                <w:b/>
                <w:bCs/>
                <w:iCs/>
                <w:color w:val="auto"/>
                <w:szCs w:val="24"/>
                <w:highlight w:val="none"/>
                <w:u w:val="none"/>
              </w:rPr>
            </w:pPr>
            <w:r>
              <w:rPr>
                <w:rFonts w:hint="eastAsia" w:ascii="宋体" w:hAnsi="宋体"/>
                <w:b/>
                <w:bCs/>
                <w:iCs/>
                <w:color w:val="auto"/>
                <w:szCs w:val="24"/>
                <w:highlight w:val="none"/>
                <w:u w:val="none"/>
              </w:rPr>
              <w:t>2.本产品到期日（或提前/延期终止日）至资金到账日期间，投资者理财资金如因清算安排实际产生利息的，相关利息归投资者所有。</w:t>
            </w:r>
          </w:p>
          <w:p w14:paraId="7BEB510A">
            <w:pPr>
              <w:widowControl/>
              <w:snapToGrid w:val="0"/>
              <w:spacing w:line="240" w:lineRule="auto"/>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b/>
                <w:bCs/>
                <w:iCs/>
                <w:color w:val="auto"/>
                <w:szCs w:val="24"/>
                <w:highlight w:val="none"/>
                <w:u w:val="none"/>
              </w:rPr>
              <w:t>3.理财产品份额转让</w:t>
            </w:r>
            <w:r>
              <w:rPr>
                <w:rFonts w:ascii="宋体" w:hAnsi="宋体"/>
                <w:b/>
                <w:bCs/>
                <w:iCs/>
                <w:color w:val="auto"/>
                <w:szCs w:val="24"/>
                <w:highlight w:val="none"/>
                <w:u w:val="none"/>
              </w:rPr>
              <w:t>、</w:t>
            </w:r>
            <w:r>
              <w:rPr>
                <w:rFonts w:hint="eastAsia" w:ascii="宋体" w:hAnsi="宋体"/>
                <w:b/>
                <w:bCs/>
                <w:iCs/>
                <w:color w:val="auto"/>
                <w:szCs w:val="24"/>
                <w:highlight w:val="none"/>
                <w:u w:val="none"/>
              </w:rPr>
              <w:t>质押将依照销售机构</w:t>
            </w:r>
            <w:r>
              <w:rPr>
                <w:rFonts w:hint="eastAsia" w:ascii="宋体" w:hAnsi="宋体"/>
                <w:b/>
                <w:bCs/>
                <w:iCs/>
                <w:color w:val="auto"/>
                <w:szCs w:val="24"/>
                <w:highlight w:val="none"/>
                <w:u w:val="none"/>
                <w:lang w:eastAsia="zh-CN"/>
              </w:rPr>
              <w:t>与管理人</w:t>
            </w:r>
            <w:r>
              <w:rPr>
                <w:rFonts w:hint="eastAsia" w:ascii="宋体" w:hAnsi="宋体"/>
                <w:b/>
                <w:bCs/>
                <w:iCs/>
                <w:color w:val="auto"/>
                <w:szCs w:val="24"/>
                <w:highlight w:val="none"/>
                <w:u w:val="none"/>
              </w:rPr>
              <w:t>的业务政策执行。</w:t>
            </w:r>
          </w:p>
        </w:tc>
      </w:tr>
    </w:tbl>
    <w:p w14:paraId="76111EAB">
      <w:pPr>
        <w:rPr>
          <w:rFonts w:hint="eastAsia"/>
          <w:color w:val="auto"/>
          <w:highlight w:val="none"/>
          <w:u w:val="none"/>
        </w:rPr>
      </w:pPr>
    </w:p>
    <w:p w14:paraId="75B52341">
      <w:pPr>
        <w:pStyle w:val="2"/>
        <w:numPr>
          <w:ilvl w:val="0"/>
          <w:numId w:val="11"/>
        </w:numPr>
        <w:autoSpaceDE w:val="0"/>
        <w:autoSpaceDN w:val="0"/>
        <w:snapToGrid w:val="0"/>
        <w:ind w:right="31" w:rightChars="15"/>
        <w:jc w:val="center"/>
        <w:rPr>
          <w:rFonts w:ascii="黑体" w:hAnsi="宋体" w:eastAsia="黑体" w:cs="宋体"/>
          <w:bCs/>
          <w:color w:val="auto"/>
          <w:kern w:val="0"/>
          <w:sz w:val="28"/>
          <w:szCs w:val="28"/>
          <w:highlight w:val="none"/>
          <w:u w:val="none"/>
        </w:rPr>
      </w:pPr>
      <w:r>
        <w:rPr>
          <w:rFonts w:hint="eastAsia" w:ascii="黑体" w:hAnsi="宋体" w:cs="宋体"/>
          <w:bCs/>
          <w:color w:val="auto"/>
          <w:kern w:val="0"/>
          <w:szCs w:val="24"/>
          <w:highlight w:val="none"/>
          <w:u w:val="none"/>
        </w:rPr>
        <w:br w:type="page"/>
      </w:r>
      <w:r>
        <w:rPr>
          <w:rFonts w:hint="eastAsia" w:eastAsia="黑体" w:asciiTheme="minorHAnsi" w:hAnsiTheme="minorHAnsi" w:cstheme="minorBidi"/>
          <w:bCs w:val="0"/>
          <w:color w:val="auto"/>
          <w:kern w:val="44"/>
          <w:sz w:val="28"/>
          <w:szCs w:val="22"/>
          <w:highlight w:val="none"/>
          <w:u w:val="none"/>
        </w:rPr>
        <w:t>重要提示</w:t>
      </w:r>
    </w:p>
    <w:p w14:paraId="64E332BE">
      <w:pPr>
        <w:widowControl/>
        <w:tabs>
          <w:tab w:val="left" w:pos="709"/>
        </w:tabs>
        <w:snapToGrid w:val="0"/>
        <w:spacing w:line="360" w:lineRule="auto"/>
        <w:rPr>
          <w:rFonts w:ascii="仿宋_GB2312" w:hAnsi="宋体" w:cs="宋体"/>
          <w:b/>
          <w:bCs/>
          <w:color w:val="auto"/>
          <w:kern w:val="0"/>
          <w:szCs w:val="24"/>
          <w:highlight w:val="none"/>
          <w:u w:val="none"/>
        </w:rPr>
      </w:pPr>
      <w:r>
        <w:rPr>
          <w:rFonts w:hint="eastAsia" w:ascii="仿宋_GB2312" w:cs="宋体" w:hAnsiTheme="minorEastAsia"/>
          <w:b/>
          <w:bCs/>
          <w:color w:val="auto"/>
          <w:kern w:val="0"/>
          <w:szCs w:val="32"/>
          <w:highlight w:val="none"/>
          <w:u w:val="none"/>
        </w:rPr>
        <w:t>●</w:t>
      </w:r>
      <w:r>
        <w:rPr>
          <w:rFonts w:hint="eastAsia" w:ascii="仿宋_GB2312" w:hAnsi="宋体" w:cs="宋体"/>
          <w:b/>
          <w:bCs/>
          <w:color w:val="auto"/>
          <w:kern w:val="0"/>
          <w:szCs w:val="24"/>
          <w:highlight w:val="none"/>
          <w:u w:val="none"/>
        </w:rPr>
        <w:t>理财非存款、产品有风险、投资须谨慎。</w:t>
      </w:r>
    </w:p>
    <w:p w14:paraId="73B1B6FE">
      <w:pPr>
        <w:widowControl/>
        <w:tabs>
          <w:tab w:val="left" w:pos="709"/>
        </w:tabs>
        <w:snapToGrid w:val="0"/>
        <w:spacing w:line="360" w:lineRule="auto"/>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●浙银理财有限责任公司（以下称“浙银</w:t>
      </w:r>
      <w:r>
        <w:rPr>
          <w:rFonts w:ascii="仿宋_GB2312" w:hAnsi="宋体" w:cs="宋体"/>
          <w:b/>
          <w:bCs/>
          <w:color w:val="auto"/>
          <w:kern w:val="0"/>
          <w:szCs w:val="24"/>
          <w:highlight w:val="none"/>
          <w:u w:val="none"/>
        </w:rPr>
        <w:t>理财</w:t>
      </w:r>
      <w:r>
        <w:rPr>
          <w:rFonts w:hint="eastAsia" w:ascii="仿宋_GB2312" w:hAnsi="宋体" w:cs="宋体"/>
          <w:b/>
          <w:bCs/>
          <w:color w:val="auto"/>
          <w:kern w:val="0"/>
          <w:szCs w:val="24"/>
          <w:highlight w:val="none"/>
          <w:u w:val="none"/>
        </w:rPr>
        <w:t>”）郑重提示：在购买理财产品前，请投资者应确保自己完全明白该项投资的性质和所涉及的风险，详细了解和审慎评估该理财产品的资金投资方向及风险类型等基本情况，在慎重考虑后自行决定购买与自身风险承受能力和资产管理需求匹配的理财产品，并承受由此产生的收益与风险。如影响投资者风险承受能力的因素发生变化，请及时完成风险承受能力评估</w:t>
      </w:r>
      <w:r>
        <w:rPr>
          <w:rFonts w:hint="eastAsia"/>
          <w:b/>
          <w:color w:val="auto"/>
          <w:highlight w:val="none"/>
          <w:u w:val="none"/>
        </w:rPr>
        <w:t>。</w:t>
      </w:r>
    </w:p>
    <w:p w14:paraId="72A5B02E">
      <w:pPr>
        <w:pStyle w:val="13"/>
        <w:spacing w:line="360" w:lineRule="auto"/>
        <w:ind w:firstLine="0" w:firstLineChars="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w:t>
      </w:r>
      <w:r>
        <w:rPr>
          <w:rFonts w:hint="eastAsia" w:ascii="仿宋_GB2312" w:hAnsi="宋体" w:cs="宋体"/>
          <w:bCs/>
          <w:color w:val="auto"/>
          <w:kern w:val="0"/>
          <w:szCs w:val="24"/>
          <w:highlight w:val="none"/>
          <w:u w:val="none"/>
        </w:rPr>
        <w:t>本理财产品说明书与《风险揭示书》《投资协议书》《投资者权益须知》《（代理）销售协议书》等共同构成本理财产品完整</w:t>
      </w:r>
      <w:r>
        <w:rPr>
          <w:rFonts w:ascii="仿宋_GB2312" w:hAnsi="宋体" w:cs="宋体"/>
          <w:bCs/>
          <w:color w:val="auto"/>
          <w:kern w:val="0"/>
          <w:szCs w:val="24"/>
          <w:highlight w:val="none"/>
          <w:u w:val="none"/>
        </w:rPr>
        <w:t>的</w:t>
      </w:r>
      <w:r>
        <w:rPr>
          <w:rFonts w:hint="eastAsia" w:ascii="仿宋_GB2312" w:hAnsi="宋体" w:cs="宋体"/>
          <w:bCs/>
          <w:color w:val="auto"/>
          <w:kern w:val="0"/>
          <w:szCs w:val="24"/>
          <w:highlight w:val="none"/>
          <w:u w:val="none"/>
        </w:rPr>
        <w:t>、</w:t>
      </w:r>
      <w:r>
        <w:rPr>
          <w:rFonts w:ascii="仿宋_GB2312" w:hAnsi="宋体" w:cs="宋体"/>
          <w:bCs/>
          <w:color w:val="auto"/>
          <w:kern w:val="0"/>
          <w:szCs w:val="24"/>
          <w:highlight w:val="none"/>
          <w:u w:val="none"/>
        </w:rPr>
        <w:t>不可</w:t>
      </w:r>
      <w:r>
        <w:rPr>
          <w:rFonts w:hint="eastAsia" w:ascii="仿宋_GB2312" w:hAnsi="宋体" w:cs="宋体"/>
          <w:bCs/>
          <w:color w:val="auto"/>
          <w:kern w:val="0"/>
          <w:szCs w:val="24"/>
          <w:highlight w:val="none"/>
          <w:u w:val="none"/>
        </w:rPr>
        <w:t>分割</w:t>
      </w:r>
      <w:r>
        <w:rPr>
          <w:rFonts w:ascii="仿宋_GB2312" w:hAnsi="宋体" w:cs="宋体"/>
          <w:bCs/>
          <w:color w:val="auto"/>
          <w:kern w:val="0"/>
          <w:szCs w:val="24"/>
          <w:highlight w:val="none"/>
          <w:u w:val="none"/>
        </w:rPr>
        <w:t>的</w:t>
      </w:r>
      <w:r>
        <w:rPr>
          <w:rFonts w:hint="eastAsia" w:ascii="仿宋_GB2312" w:hAnsi="宋体" w:cs="宋体"/>
          <w:bCs/>
          <w:color w:val="auto"/>
          <w:kern w:val="0"/>
          <w:szCs w:val="24"/>
          <w:highlight w:val="none"/>
          <w:u w:val="none"/>
        </w:rPr>
        <w:t>销售文件。</w:t>
      </w:r>
      <w:r>
        <w:rPr>
          <w:rFonts w:hint="eastAsia" w:ascii="仿宋_GB2312" w:hAnsi="宋体" w:cs="宋体"/>
          <w:b/>
          <w:bCs/>
          <w:color w:val="auto"/>
          <w:kern w:val="0"/>
          <w:szCs w:val="24"/>
          <w:highlight w:val="none"/>
          <w:u w:val="none"/>
        </w:rPr>
        <w:t>为了维护投资者的合法权益，请在投资前仔细阅读本说明书及其他销售文件，了解理财产品具体情况。</w:t>
      </w:r>
    </w:p>
    <w:p w14:paraId="4F9E17C8">
      <w:pPr>
        <w:pStyle w:val="13"/>
        <w:spacing w:line="360" w:lineRule="auto"/>
        <w:ind w:firstLine="0" w:firstLineChars="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w:t>
      </w:r>
      <w:r>
        <w:rPr>
          <w:rFonts w:hint="eastAsia" w:ascii="仿宋_GB2312" w:hAnsi="宋体" w:cs="宋体"/>
          <w:bCs/>
          <w:color w:val="auto"/>
          <w:kern w:val="0"/>
          <w:szCs w:val="24"/>
          <w:highlight w:val="none"/>
          <w:u w:val="none"/>
        </w:rPr>
        <w:t>本理财产品为</w:t>
      </w:r>
      <w:r>
        <w:rPr>
          <w:rFonts w:hint="eastAsia" w:ascii="仿宋_GB2312" w:hAnsi="宋体" w:cs="宋体"/>
          <w:b/>
          <w:bCs/>
          <w:color w:val="auto"/>
          <w:kern w:val="0"/>
          <w:szCs w:val="24"/>
          <w:highlight w:val="none"/>
          <w:u w:val="none"/>
        </w:rPr>
        <w:t>非保本浮动收益型理财产品，与银行存款存在显著区别，不受</w:t>
      </w:r>
      <w:r>
        <w:rPr>
          <w:rFonts w:hint="eastAsia" w:ascii="仿宋_GB2312" w:cs="宋体" w:hAnsiTheme="minorEastAsia"/>
          <w:b/>
          <w:bCs/>
          <w:color w:val="auto"/>
          <w:kern w:val="0"/>
          <w:szCs w:val="32"/>
          <w:highlight w:val="none"/>
          <w:u w:val="none"/>
        </w:rPr>
        <w:t>存款保险及其他保障机制的保障。</w:t>
      </w:r>
      <w:r>
        <w:rPr>
          <w:rFonts w:hint="eastAsia" w:ascii="仿宋_GB2312" w:hAnsi="宋体" w:cs="宋体"/>
          <w:b/>
          <w:bCs/>
          <w:color w:val="auto"/>
          <w:kern w:val="0"/>
          <w:szCs w:val="24"/>
          <w:highlight w:val="none"/>
          <w:u w:val="none"/>
        </w:rPr>
        <w:t>本理财产品不保证投资者理财本金安全及最低收益，投资者投资/持有本理财产品可能因市场变化、突发事件等因素遭受收益乃至本金损失</w:t>
      </w:r>
      <w:r>
        <w:rPr>
          <w:rFonts w:hint="eastAsia" w:ascii="仿宋_GB2312" w:cs="宋体" w:hAnsiTheme="minorEastAsia"/>
          <w:b/>
          <w:bCs/>
          <w:color w:val="auto"/>
          <w:kern w:val="0"/>
          <w:szCs w:val="32"/>
          <w:highlight w:val="none"/>
          <w:u w:val="none"/>
        </w:rPr>
        <w:t>，</w:t>
      </w:r>
      <w:r>
        <w:rPr>
          <w:rFonts w:hint="eastAsia" w:cs="宋体" w:asciiTheme="minorEastAsia" w:hAnsiTheme="minorEastAsia"/>
          <w:b/>
          <w:bCs/>
          <w:color w:val="auto"/>
          <w:kern w:val="0"/>
          <w:szCs w:val="24"/>
          <w:highlight w:val="none"/>
          <w:u w:val="none"/>
        </w:rPr>
        <w:t>请</w:t>
      </w:r>
      <w:r>
        <w:rPr>
          <w:rFonts w:hint="eastAsia" w:ascii="仿宋_GB2312" w:hAnsi="宋体" w:cs="宋体"/>
          <w:b/>
          <w:bCs/>
          <w:color w:val="auto"/>
          <w:kern w:val="0"/>
          <w:szCs w:val="24"/>
          <w:highlight w:val="none"/>
          <w:u w:val="none"/>
        </w:rPr>
        <w:t>投资者充分知晓、理解投资风险，谨慎投资。</w:t>
      </w:r>
    </w:p>
    <w:p w14:paraId="35B4CC0C">
      <w:pPr>
        <w:pStyle w:val="13"/>
        <w:spacing w:line="360" w:lineRule="auto"/>
        <w:ind w:firstLine="0" w:firstLineChars="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w:t>
      </w:r>
      <w:r>
        <w:rPr>
          <w:rFonts w:hint="eastAsia" w:ascii="仿宋_GB2312" w:hAnsi="宋体" w:cs="宋体"/>
          <w:bCs/>
          <w:color w:val="auto"/>
          <w:kern w:val="0"/>
          <w:szCs w:val="24"/>
          <w:highlight w:val="none"/>
          <w:u w:val="none"/>
        </w:rPr>
        <w:t>本理财产品涉及的主要风险包括政策风险、信用风险、市场风险、流动性风险、经营管理风险、交易对手风险、操作风险、代销风险、募集期延长/缩短风险、产品不成立风险、提前终止风险、延期分配风险、信息传递风险、关联关系及关联交易风险、再投资风险、估值风险、托管及清算风险、税务风险、不同理财产品份额类别存在差异的风险、其他风险等，</w:t>
      </w:r>
      <w:r>
        <w:rPr>
          <w:rFonts w:hint="eastAsia" w:ascii="仿宋_GB2312" w:hAnsi="宋体" w:cs="宋体"/>
          <w:b/>
          <w:bCs/>
          <w:color w:val="auto"/>
          <w:kern w:val="0"/>
          <w:szCs w:val="24"/>
          <w:highlight w:val="none"/>
          <w:u w:val="none"/>
        </w:rPr>
        <w:t>请投资者仔细阅读《风险揭示书》。●本理财产品销售文件中的任何“业绩比较基准”“业绩比较基准区间”以及其他类似表述均不代表投资者可能获得的实际收益，亦不构成管理人对本理财产品的任何收益承诺，不具有法律效力。</w:t>
      </w:r>
    </w:p>
    <w:p w14:paraId="6710F338">
      <w:pPr>
        <w:pStyle w:val="13"/>
        <w:spacing w:line="360" w:lineRule="auto"/>
        <w:ind w:firstLine="0" w:firstLineChars="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●本理财</w:t>
      </w:r>
      <w:r>
        <w:rPr>
          <w:rFonts w:ascii="仿宋_GB2312" w:hAnsi="宋体" w:cs="宋体"/>
          <w:b/>
          <w:bCs/>
          <w:color w:val="auto"/>
          <w:kern w:val="0"/>
          <w:szCs w:val="24"/>
          <w:highlight w:val="none"/>
          <w:u w:val="none"/>
        </w:rPr>
        <w:t>产品的投资运作情况体现为产品净值变化，</w:t>
      </w:r>
      <w:r>
        <w:rPr>
          <w:rFonts w:hint="eastAsia" w:ascii="仿宋_GB2312" w:hAnsi="宋体" w:cs="宋体"/>
          <w:b/>
          <w:bCs/>
          <w:color w:val="auto"/>
          <w:kern w:val="0"/>
          <w:szCs w:val="24"/>
          <w:highlight w:val="none"/>
          <w:u w:val="none"/>
        </w:rPr>
        <w:t>投资者最终理财收益以实际到账为准。本理财产品过往业绩不代表其未来表现，不等于投资者未来可获得的实际收益。</w:t>
      </w:r>
    </w:p>
    <w:p w14:paraId="632098D0">
      <w:pPr>
        <w:tabs>
          <w:tab w:val="left" w:pos="709"/>
        </w:tabs>
        <w:snapToGrid w:val="0"/>
        <w:spacing w:line="360" w:lineRule="auto"/>
        <w:rPr>
          <w:rFonts w:ascii="仿宋_GB2312" w:hAnsi="宋体" w:cs="宋体"/>
          <w:bCs/>
          <w:color w:val="auto"/>
          <w:kern w:val="0"/>
          <w:szCs w:val="24"/>
          <w:highlight w:val="none"/>
          <w:u w:val="none"/>
        </w:rPr>
      </w:pPr>
      <w:r>
        <w:rPr>
          <w:rFonts w:hint="eastAsia" w:ascii="仿宋_GB2312" w:hAnsi="宋体" w:cs="宋体"/>
          <w:b/>
          <w:bCs/>
          <w:color w:val="auto"/>
          <w:kern w:val="0"/>
          <w:szCs w:val="24"/>
          <w:highlight w:val="none"/>
          <w:u w:val="none"/>
        </w:rPr>
        <w:t>●本理财产品仅向依据中华人民共和国法律法规及监管规定可以购买本类理财产品的投资者发售。</w:t>
      </w:r>
      <w:r>
        <w:rPr>
          <w:rFonts w:ascii="仿宋_GB2312" w:hAnsi="宋体" w:cs="宋体"/>
          <w:b/>
          <w:color w:val="auto"/>
          <w:kern w:val="0"/>
          <w:szCs w:val="24"/>
          <w:highlight w:val="none"/>
          <w:u w:val="none"/>
        </w:rPr>
        <w:t>投资者通过销售机构与浙银理财签订理财产品销售文件后，销售机构或浙银理财在划款时，不再通过任何方式与投资者进行最后确认，直接划款。</w:t>
      </w:r>
      <w:r>
        <w:rPr>
          <w:rFonts w:hint="eastAsia"/>
          <w:b/>
          <w:color w:val="auto"/>
          <w:highlight w:val="none"/>
          <w:u w:val="none"/>
        </w:rPr>
        <w:t>投</w:t>
      </w:r>
      <w:r>
        <w:rPr>
          <w:rFonts w:ascii="仿宋_GB2312" w:hAnsi="宋体" w:cs="宋体"/>
          <w:b/>
          <w:color w:val="auto"/>
          <w:kern w:val="0"/>
          <w:szCs w:val="24"/>
          <w:highlight w:val="none"/>
          <w:u w:val="none"/>
        </w:rPr>
        <w:t>资者通过销售机构电子渠道购买本理财产品，成功提交认购/申购申请后视同为投资者已完全知悉并接受本理财产品销售文件载明的风险揭示、重要提示以及其他约定，与浙银理财已完成理财产品销售</w:t>
      </w:r>
      <w:r>
        <w:rPr>
          <w:rFonts w:hint="eastAsia" w:ascii="仿宋_GB2312" w:hAnsi="宋体" w:cs="宋体"/>
          <w:b/>
          <w:color w:val="auto"/>
          <w:kern w:val="0"/>
          <w:szCs w:val="24"/>
          <w:highlight w:val="none"/>
          <w:u w:val="none"/>
        </w:rPr>
        <w:t>文件</w:t>
      </w:r>
      <w:r>
        <w:rPr>
          <w:rFonts w:ascii="仿宋_GB2312" w:hAnsi="宋体" w:cs="宋体"/>
          <w:b/>
          <w:color w:val="auto"/>
          <w:kern w:val="0"/>
          <w:szCs w:val="24"/>
          <w:highlight w:val="none"/>
          <w:u w:val="none"/>
        </w:rPr>
        <w:t>的签订。</w:t>
      </w:r>
    </w:p>
    <w:p w14:paraId="28DC3983">
      <w:pPr>
        <w:tabs>
          <w:tab w:val="left" w:pos="709"/>
        </w:tabs>
        <w:snapToGrid w:val="0"/>
        <w:spacing w:line="360" w:lineRule="auto"/>
        <w:rPr>
          <w:rFonts w:ascii="仿宋_GB2312" w:hAnsi="宋体" w:cs="宋体"/>
          <w:bCs/>
          <w:color w:val="auto"/>
          <w:kern w:val="0"/>
          <w:szCs w:val="24"/>
          <w:highlight w:val="none"/>
          <w:u w:val="none"/>
        </w:rPr>
      </w:pPr>
      <w:r>
        <w:rPr>
          <w:rFonts w:hint="eastAsia" w:ascii="仿宋_GB2312" w:hAnsi="宋体" w:cs="宋体"/>
          <w:b/>
          <w:bCs/>
          <w:color w:val="auto"/>
          <w:kern w:val="0"/>
          <w:szCs w:val="24"/>
          <w:highlight w:val="none"/>
          <w:u w:val="none"/>
        </w:rPr>
        <w:t>●</w:t>
      </w:r>
      <w:r>
        <w:rPr>
          <w:rFonts w:hint="eastAsia" w:ascii="仿宋_GB2312" w:hAnsi="宋体" w:cs="宋体"/>
          <w:bCs/>
          <w:color w:val="auto"/>
          <w:kern w:val="0"/>
          <w:szCs w:val="24"/>
          <w:highlight w:val="none"/>
          <w:u w:val="none"/>
        </w:rPr>
        <w:t>投资本理财产品后，投资者应随时关注本理财产品的信息披露情况，及时获取相关信息</w:t>
      </w: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rPr>
        <w:t>相关信息以销售文件约定的信息披露方式进行披露。</w:t>
      </w:r>
    </w:p>
    <w:p w14:paraId="7C3DD469">
      <w:pPr>
        <w:tabs>
          <w:tab w:val="left" w:pos="709"/>
        </w:tabs>
        <w:snapToGrid w:val="0"/>
        <w:spacing w:line="360" w:lineRule="auto"/>
        <w:rPr>
          <w:rFonts w:ascii="仿宋_GB2312" w:hAnsi="宋体" w:cs="宋体"/>
          <w:bCs/>
          <w:color w:val="auto"/>
          <w:kern w:val="0"/>
          <w:szCs w:val="24"/>
          <w:highlight w:val="none"/>
          <w:u w:val="none"/>
        </w:rPr>
      </w:pPr>
      <w:r>
        <w:rPr>
          <w:rFonts w:hint="eastAsia" w:ascii="仿宋_GB2312" w:hAnsi="宋体" w:cs="宋体"/>
          <w:b/>
          <w:bCs/>
          <w:color w:val="auto"/>
          <w:kern w:val="0"/>
          <w:szCs w:val="24"/>
          <w:highlight w:val="none"/>
          <w:u w:val="none"/>
        </w:rPr>
        <w:t>●</w:t>
      </w:r>
      <w:r>
        <w:rPr>
          <w:rFonts w:hint="eastAsia" w:ascii="仿宋_GB2312" w:hAnsi="宋体" w:cs="宋体"/>
          <w:bCs/>
          <w:color w:val="auto"/>
          <w:kern w:val="0"/>
          <w:szCs w:val="24"/>
          <w:highlight w:val="none"/>
          <w:u w:val="none"/>
        </w:rPr>
        <w:t>投资者承诺其用于购买本理财产品的资金来源合法合规，并且其系为合法之目的投资本理财产品，而非为洗钱等违法犯罪目的；投资者应确保用于投资本理财产品的资金不来源于贷款、发行债券等筹集的非自有资金。（受托管理的资产管理产品除外）</w:t>
      </w:r>
    </w:p>
    <w:p w14:paraId="3DA2E1E1">
      <w:pPr>
        <w:tabs>
          <w:tab w:val="left" w:pos="709"/>
        </w:tabs>
        <w:snapToGrid w:val="0"/>
        <w:spacing w:line="360" w:lineRule="auto"/>
        <w:rPr>
          <w:rFonts w:ascii="仿宋_GB2312" w:hAnsi="宋体" w:cs="宋体"/>
          <w:bCs/>
          <w:color w:val="auto"/>
          <w:kern w:val="0"/>
          <w:szCs w:val="24"/>
          <w:highlight w:val="none"/>
          <w:u w:val="none"/>
        </w:rPr>
      </w:pPr>
      <w:r>
        <w:rPr>
          <w:rFonts w:hint="eastAsia" w:ascii="仿宋_GB2312" w:hAnsi="宋体" w:cs="宋体"/>
          <w:b/>
          <w:bCs/>
          <w:color w:val="auto"/>
          <w:kern w:val="0"/>
          <w:szCs w:val="24"/>
          <w:highlight w:val="none"/>
          <w:u w:val="none"/>
        </w:rPr>
        <w:t>●</w:t>
      </w:r>
      <w:r>
        <w:rPr>
          <w:rFonts w:ascii="仿宋_GB2312" w:hAnsi="宋体" w:cs="宋体"/>
          <w:b/>
          <w:color w:val="auto"/>
          <w:kern w:val="0"/>
          <w:szCs w:val="24"/>
          <w:highlight w:val="none"/>
          <w:u w:val="none"/>
        </w:rPr>
        <w:t>在本理财产品存续期内，</w:t>
      </w:r>
      <w:r>
        <w:rPr>
          <w:rFonts w:ascii="仿宋_GB2312" w:cs="宋体" w:hAnsiTheme="minorEastAsia"/>
          <w:b/>
          <w:color w:val="auto"/>
          <w:kern w:val="0"/>
          <w:szCs w:val="32"/>
          <w:highlight w:val="none"/>
          <w:u w:val="none"/>
        </w:rPr>
        <w:t>如因维持本理财产品正常运营的需要且在不损害投资者利益的前提下，或因监管政策、法律法规发生变化</w:t>
      </w:r>
      <w:r>
        <w:rPr>
          <w:rFonts w:ascii="仿宋_GB2312" w:hAnsi="宋体" w:cs="宋体"/>
          <w:b/>
          <w:color w:val="auto"/>
          <w:kern w:val="0"/>
          <w:szCs w:val="24"/>
          <w:highlight w:val="none"/>
          <w:u w:val="none"/>
        </w:rPr>
        <w:t>，浙银理财有权单方对本理财产品销售文件条款进行修订，并按本理财产品说明书约定的披露方式向投资者进行信息披露。浙银理财按照前述规则发布该信息披露即视为该修订通知已送达投资者并对投资者具有法律约束力。</w:t>
      </w:r>
    </w:p>
    <w:p w14:paraId="47151CFF">
      <w:pPr>
        <w:tabs>
          <w:tab w:val="left" w:pos="709"/>
        </w:tabs>
        <w:snapToGrid w:val="0"/>
        <w:spacing w:line="360" w:lineRule="auto"/>
        <w:rPr>
          <w:color w:val="auto"/>
          <w:highlight w:val="none"/>
          <w:u w:val="none"/>
        </w:rPr>
      </w:pPr>
      <w:r>
        <w:rPr>
          <w:rFonts w:hint="eastAsia" w:ascii="仿宋_GB2312" w:cs="宋体" w:hAnsiTheme="minorEastAsia"/>
          <w:bCs/>
          <w:color w:val="auto"/>
          <w:kern w:val="0"/>
          <w:szCs w:val="32"/>
          <w:highlight w:val="none"/>
          <w:u w:val="none"/>
        </w:rPr>
        <w:t>●如对本理财产品、服务有任何疑问、意见或建议，敬请联系您的销售服务机构，具体联系方式以《产品说明书》等销售文件的披露为准；或反馈至浙银理财服务电话：0571-57192881。</w:t>
      </w:r>
    </w:p>
    <w:p w14:paraId="50BC97DE">
      <w:pPr>
        <w:rPr>
          <w:color w:val="auto"/>
          <w:highlight w:val="none"/>
          <w:u w:val="none"/>
        </w:rPr>
      </w:pPr>
      <w:r>
        <w:rPr>
          <w:color w:val="auto"/>
          <w:highlight w:val="none"/>
          <w:u w:val="none"/>
        </w:rPr>
        <w:br w:type="page"/>
      </w:r>
    </w:p>
    <w:p w14:paraId="37DFBF34">
      <w:pPr>
        <w:pStyle w:val="2"/>
        <w:numPr>
          <w:ilvl w:val="0"/>
          <w:numId w:val="11"/>
        </w:numPr>
        <w:rPr>
          <w:color w:val="auto"/>
          <w:highlight w:val="none"/>
          <w:u w:val="none"/>
        </w:rPr>
      </w:pPr>
      <w:r>
        <w:rPr>
          <w:rFonts w:hint="eastAsia"/>
          <w:color w:val="auto"/>
          <w:highlight w:val="none"/>
          <w:u w:val="none"/>
        </w:rPr>
        <w:t>释义</w:t>
      </w:r>
    </w:p>
    <w:p w14:paraId="44C29E60">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本说明书中，除非另有明确说明，否则下列词语或简称具有如下含义：</w:t>
      </w:r>
    </w:p>
    <w:p w14:paraId="26272028">
      <w:pPr>
        <w:pStyle w:val="3"/>
        <w:numPr>
          <w:ilvl w:val="1"/>
          <w:numId w:val="11"/>
        </w:numPr>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产品参与主体用语</w:t>
      </w:r>
    </w:p>
    <w:p w14:paraId="169713C6">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ascii="仿宋_GB2312" w:hAnsi="宋体" w:cs="宋体"/>
          <w:bCs/>
          <w:color w:val="auto"/>
          <w:kern w:val="0"/>
          <w:szCs w:val="24"/>
          <w:highlight w:val="none"/>
          <w:u w:val="none"/>
        </w:rPr>
        <w:t>管理人/产品管理人/理财产品管理人</w:t>
      </w:r>
      <w:r>
        <w:rPr>
          <w:rFonts w:hint="eastAsia" w:ascii="仿宋_GB2312" w:hAnsi="宋体" w:cs="宋体"/>
          <w:bCs/>
          <w:color w:val="auto"/>
          <w:kern w:val="0"/>
          <w:szCs w:val="24"/>
          <w:highlight w:val="none"/>
          <w:u w:val="none"/>
          <w:lang w:val="en-US" w:eastAsia="zh-CN"/>
        </w:rPr>
        <w:t>/发行机构</w:t>
      </w:r>
      <w:r>
        <w:rPr>
          <w:rFonts w:ascii="仿宋_GB2312" w:hAnsi="宋体" w:cs="宋体"/>
          <w:bCs/>
          <w:color w:val="auto"/>
          <w:kern w:val="0"/>
          <w:szCs w:val="24"/>
          <w:highlight w:val="none"/>
          <w:u w:val="none"/>
        </w:rPr>
        <w:t>：指浙银理财有限责任公司（简称“浙银理财”）。</w:t>
      </w:r>
    </w:p>
    <w:p w14:paraId="0DEA8F71">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w:t>
      </w:r>
      <w:r>
        <w:rPr>
          <w:rFonts w:hint="eastAsia" w:ascii="仿宋_GB2312" w:hAnsi="宋体" w:cs="宋体"/>
          <w:bCs/>
          <w:color w:val="auto"/>
          <w:kern w:val="0"/>
          <w:szCs w:val="24"/>
          <w:highlight w:val="none"/>
          <w:u w:val="none"/>
        </w:rPr>
        <w:t>销售机构/理财产品销售机构：指符合</w:t>
      </w:r>
      <w:r>
        <w:rPr>
          <w:rFonts w:ascii="仿宋_GB2312" w:hAnsi="宋体" w:cs="宋体"/>
          <w:bCs/>
          <w:color w:val="auto"/>
          <w:kern w:val="0"/>
          <w:szCs w:val="24"/>
          <w:highlight w:val="none"/>
          <w:u w:val="none"/>
        </w:rPr>
        <w:t>监管</w:t>
      </w:r>
      <w:r>
        <w:rPr>
          <w:rFonts w:hint="eastAsia" w:ascii="仿宋_GB2312" w:hAnsi="宋体" w:cs="宋体"/>
          <w:bCs/>
          <w:color w:val="auto"/>
          <w:kern w:val="0"/>
          <w:szCs w:val="24"/>
          <w:highlight w:val="none"/>
          <w:u w:val="none"/>
        </w:rPr>
        <w:t>规定</w:t>
      </w:r>
      <w:r>
        <w:rPr>
          <w:rFonts w:ascii="仿宋_GB2312" w:hAnsi="宋体" w:cs="宋体"/>
          <w:bCs/>
          <w:color w:val="auto"/>
          <w:kern w:val="0"/>
          <w:szCs w:val="24"/>
          <w:highlight w:val="none"/>
          <w:u w:val="none"/>
        </w:rPr>
        <w:t>具备理财产品销售资格</w:t>
      </w:r>
      <w:r>
        <w:rPr>
          <w:rFonts w:hint="eastAsia" w:ascii="仿宋_GB2312" w:hAnsi="宋体" w:cs="宋体"/>
          <w:bCs/>
          <w:color w:val="auto"/>
          <w:kern w:val="0"/>
          <w:szCs w:val="24"/>
          <w:highlight w:val="none"/>
          <w:u w:val="none"/>
        </w:rPr>
        <w:t>的</w:t>
      </w:r>
      <w:r>
        <w:rPr>
          <w:rFonts w:ascii="仿宋_GB2312" w:hAnsi="宋体" w:cs="宋体"/>
          <w:bCs/>
          <w:color w:val="auto"/>
          <w:kern w:val="0"/>
          <w:szCs w:val="24"/>
          <w:highlight w:val="none"/>
          <w:u w:val="none"/>
        </w:rPr>
        <w:t>机构</w:t>
      </w:r>
      <w:r>
        <w:rPr>
          <w:rFonts w:hint="eastAsia" w:ascii="仿宋_GB2312" w:hAnsi="宋体" w:cs="宋体"/>
          <w:bCs/>
          <w:color w:val="auto"/>
          <w:kern w:val="0"/>
          <w:szCs w:val="24"/>
          <w:highlight w:val="none"/>
          <w:u w:val="none"/>
        </w:rPr>
        <w:t>，</w:t>
      </w:r>
      <w:r>
        <w:rPr>
          <w:rFonts w:ascii="仿宋_GB2312" w:hAnsi="宋体" w:cs="宋体"/>
          <w:bCs/>
          <w:color w:val="auto"/>
          <w:kern w:val="0"/>
          <w:szCs w:val="24"/>
          <w:highlight w:val="none"/>
          <w:u w:val="none"/>
        </w:rPr>
        <w:t>销售机构在其渠道开展向投资者</w:t>
      </w:r>
      <w:r>
        <w:rPr>
          <w:rFonts w:hint="eastAsia" w:ascii="仿宋_GB2312" w:hAnsi="宋体" w:cs="宋体"/>
          <w:bCs/>
          <w:color w:val="auto"/>
          <w:kern w:val="0"/>
          <w:szCs w:val="24"/>
          <w:highlight w:val="none"/>
          <w:u w:val="none"/>
        </w:rPr>
        <w:t>进行</w:t>
      </w:r>
      <w:r>
        <w:rPr>
          <w:rFonts w:ascii="仿宋_GB2312" w:hAnsi="宋体" w:cs="宋体"/>
          <w:bCs/>
          <w:color w:val="auto"/>
          <w:kern w:val="0"/>
          <w:szCs w:val="24"/>
          <w:highlight w:val="none"/>
          <w:u w:val="none"/>
        </w:rPr>
        <w:t>宣传推介</w:t>
      </w:r>
      <w:r>
        <w:rPr>
          <w:rFonts w:hint="eastAsia" w:ascii="仿宋_GB2312" w:hAnsi="宋体" w:cs="宋体"/>
          <w:bCs/>
          <w:color w:val="auto"/>
          <w:kern w:val="0"/>
          <w:szCs w:val="24"/>
          <w:highlight w:val="none"/>
          <w:u w:val="none"/>
        </w:rPr>
        <w:t>，为</w:t>
      </w:r>
      <w:r>
        <w:rPr>
          <w:rFonts w:ascii="仿宋_GB2312" w:hAnsi="宋体" w:cs="宋体"/>
          <w:bCs/>
          <w:color w:val="auto"/>
          <w:kern w:val="0"/>
          <w:szCs w:val="24"/>
          <w:highlight w:val="none"/>
          <w:u w:val="none"/>
        </w:rPr>
        <w:t>投资者</w:t>
      </w:r>
      <w:r>
        <w:rPr>
          <w:rFonts w:hint="eastAsia" w:ascii="仿宋_GB2312" w:hAnsi="宋体" w:cs="宋体"/>
          <w:bCs/>
          <w:color w:val="auto"/>
          <w:kern w:val="0"/>
          <w:szCs w:val="24"/>
          <w:highlight w:val="none"/>
          <w:u w:val="none"/>
        </w:rPr>
        <w:t>办理理财产品认购、申购和赎回，以及监管许可的其他销售活动。理财</w:t>
      </w:r>
      <w:r>
        <w:rPr>
          <w:rFonts w:ascii="仿宋_GB2312" w:hAnsi="宋体" w:cs="宋体"/>
          <w:bCs/>
          <w:color w:val="auto"/>
          <w:kern w:val="0"/>
          <w:szCs w:val="24"/>
          <w:highlight w:val="none"/>
          <w:u w:val="none"/>
        </w:rPr>
        <w:t>产品</w:t>
      </w:r>
      <w:r>
        <w:rPr>
          <w:rFonts w:hint="eastAsia" w:ascii="仿宋_GB2312" w:hAnsi="宋体" w:cs="宋体"/>
          <w:bCs/>
          <w:color w:val="auto"/>
          <w:kern w:val="0"/>
          <w:szCs w:val="24"/>
          <w:highlight w:val="none"/>
          <w:u w:val="none"/>
        </w:rPr>
        <w:t>销售可分为直销和代理</w:t>
      </w:r>
      <w:r>
        <w:rPr>
          <w:rFonts w:ascii="仿宋_GB2312" w:hAnsi="宋体" w:cs="宋体"/>
          <w:bCs/>
          <w:color w:val="auto"/>
          <w:kern w:val="0"/>
          <w:szCs w:val="24"/>
          <w:highlight w:val="none"/>
          <w:u w:val="none"/>
        </w:rPr>
        <w:t>销售</w:t>
      </w:r>
      <w:r>
        <w:rPr>
          <w:rFonts w:hint="eastAsia" w:ascii="仿宋_GB2312" w:hAnsi="宋体" w:cs="宋体"/>
          <w:bCs/>
          <w:color w:val="auto"/>
          <w:kern w:val="0"/>
          <w:szCs w:val="24"/>
          <w:highlight w:val="none"/>
          <w:u w:val="none"/>
        </w:rPr>
        <w:t>，直销机构指销售本公司发行理财产品的理财公司，代销机构指接受理财公司委托销售发行理财产品的代理销售机构。销售机构在其渠道开展向投资者宣传推介、销售产品管理人依法发行的资产管理产品的活动。</w:t>
      </w:r>
    </w:p>
    <w:p w14:paraId="5DF0BC14">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3.</w:t>
      </w:r>
      <w:r>
        <w:rPr>
          <w:rFonts w:hint="eastAsia" w:ascii="仿宋_GB2312" w:hAnsi="宋体" w:cs="宋体"/>
          <w:bCs/>
          <w:color w:val="auto"/>
          <w:kern w:val="0"/>
          <w:szCs w:val="24"/>
          <w:highlight w:val="none"/>
          <w:u w:val="none"/>
        </w:rPr>
        <w:t>托管人</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产品托管人</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理财产品托管人</w:t>
      </w:r>
      <w:r>
        <w:rPr>
          <w:rFonts w:hint="eastAsia" w:ascii="仿宋_GB2312" w:hAnsi="宋体" w:cs="宋体"/>
          <w:bCs/>
          <w:color w:val="auto"/>
          <w:kern w:val="0"/>
          <w:szCs w:val="24"/>
          <w:highlight w:val="none"/>
          <w:u w:val="none"/>
          <w:lang w:val="en-US" w:eastAsia="zh-CN"/>
        </w:rPr>
        <w:t>/托管机构</w:t>
      </w:r>
      <w:r>
        <w:rPr>
          <w:rFonts w:hint="eastAsia" w:ascii="仿宋_GB2312" w:hAnsi="宋体" w:cs="宋体"/>
          <w:bCs/>
          <w:color w:val="auto"/>
          <w:kern w:val="0"/>
          <w:szCs w:val="24"/>
          <w:highlight w:val="none"/>
          <w:u w:val="none"/>
        </w:rPr>
        <w:t>：</w:t>
      </w:r>
      <w:r>
        <w:rPr>
          <w:rFonts w:ascii="仿宋_GB2312" w:hAnsi="宋体" w:cs="宋体"/>
          <w:bCs/>
          <w:color w:val="auto"/>
          <w:kern w:val="0"/>
          <w:szCs w:val="24"/>
          <w:highlight w:val="none"/>
          <w:u w:val="none"/>
        </w:rPr>
        <w:t>指</w:t>
      </w:r>
      <w:r>
        <w:rPr>
          <w:rFonts w:hint="eastAsia" w:ascii="仿宋_GB2312" w:hAnsi="宋体" w:cs="宋体"/>
          <w:bCs/>
          <w:color w:val="auto"/>
          <w:kern w:val="0"/>
          <w:szCs w:val="24"/>
          <w:highlight w:val="none"/>
          <w:u w:val="none"/>
        </w:rPr>
        <w:t>根据管理人委托对理财产品财产进行托管的机构。本理财</w:t>
      </w:r>
      <w:r>
        <w:rPr>
          <w:rFonts w:ascii="仿宋_GB2312" w:hAnsi="宋体" w:cs="宋体"/>
          <w:bCs/>
          <w:color w:val="auto"/>
          <w:kern w:val="0"/>
          <w:szCs w:val="24"/>
          <w:highlight w:val="none"/>
          <w:u w:val="none"/>
        </w:rPr>
        <w:t>产品托管人</w:t>
      </w:r>
      <w:r>
        <w:rPr>
          <w:rFonts w:hint="eastAsia" w:ascii="仿宋_GB2312" w:hAnsi="宋体" w:cs="宋体"/>
          <w:bCs/>
          <w:color w:val="auto"/>
          <w:kern w:val="0"/>
          <w:szCs w:val="24"/>
          <w:highlight w:val="none"/>
          <w:u w:val="none"/>
        </w:rPr>
        <w:t>指</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rPr>
        <w:t>（简称</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rPr>
        <w:t>）。</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具备理财产品托管资格。</w:t>
      </w:r>
    </w:p>
    <w:p w14:paraId="01B02E53">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4.投资者：指符合相关法律法规、监管规定要求的，可以购买理财产品份额的自然人、法人及</w:t>
      </w:r>
      <w:r>
        <w:rPr>
          <w:rFonts w:ascii="仿宋_GB2312" w:hAnsi="宋体" w:cs="宋体"/>
          <w:bCs/>
          <w:color w:val="auto"/>
          <w:kern w:val="0"/>
          <w:szCs w:val="24"/>
          <w:highlight w:val="none"/>
          <w:u w:val="none"/>
        </w:rPr>
        <w:t>依法成立的</w:t>
      </w:r>
      <w:r>
        <w:rPr>
          <w:rFonts w:hint="eastAsia" w:ascii="仿宋_GB2312" w:hAnsi="宋体" w:cs="宋体"/>
          <w:bCs/>
          <w:color w:val="auto"/>
          <w:kern w:val="0"/>
          <w:szCs w:val="24"/>
          <w:highlight w:val="none"/>
          <w:u w:val="none"/>
        </w:rPr>
        <w:t>其他</w:t>
      </w:r>
      <w:r>
        <w:rPr>
          <w:rFonts w:ascii="仿宋_GB2312" w:hAnsi="宋体" w:cs="宋体"/>
          <w:bCs/>
          <w:color w:val="auto"/>
          <w:kern w:val="0"/>
          <w:szCs w:val="24"/>
          <w:highlight w:val="none"/>
          <w:u w:val="none"/>
        </w:rPr>
        <w:t>组织</w:t>
      </w:r>
      <w:r>
        <w:rPr>
          <w:rFonts w:hint="eastAsia" w:ascii="仿宋_GB2312" w:hAnsi="宋体" w:cs="宋体"/>
          <w:bCs/>
          <w:color w:val="auto"/>
          <w:kern w:val="0"/>
          <w:szCs w:val="24"/>
          <w:highlight w:val="none"/>
          <w:u w:val="none"/>
        </w:rPr>
        <w:t xml:space="preserve">。 </w:t>
      </w:r>
    </w:p>
    <w:p w14:paraId="5FC7AE2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5.合格投资者：合格投资者是指具备相应风险识别能力和风险承受能力，投资于单只理财产品不低于一定金额且符合下列条件的自然人、法人或者依法成立的其他组织：</w:t>
      </w:r>
    </w:p>
    <w:p w14:paraId="7904D5FD">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lang w:val="en-US" w:eastAsia="zh-CN"/>
        </w:rPr>
        <w:t>1</w:t>
      </w: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rPr>
        <w:t>具有2年以上投资经历，且满足家庭金融净资产不低于300万元人民币，或者家庭金融资产不低于500万元人民币，或者近3年本人年均收入不低于40万元人民币；</w:t>
      </w:r>
    </w:p>
    <w:p w14:paraId="7498665F">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lang w:val="en-US" w:eastAsia="zh-CN"/>
        </w:rPr>
        <w:t>2</w:t>
      </w: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rPr>
        <w:t>最近1年末净资产不低于1000万元人民币的法人或者依法成立的其他组织；</w:t>
      </w:r>
    </w:p>
    <w:p w14:paraId="387A8DA5">
      <w:pPr>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lang w:val="en-US" w:eastAsia="zh-CN"/>
        </w:rPr>
        <w:t>3</w:t>
      </w: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rPr>
        <w:t>国务院银行业监督管理机构规定的其他情形。</w:t>
      </w:r>
    </w:p>
    <w:p w14:paraId="3BA3C750">
      <w:pPr>
        <w:tabs>
          <w:tab w:val="left" w:pos="709"/>
        </w:tabs>
        <w:snapToGrid w:val="0"/>
        <w:spacing w:line="360" w:lineRule="auto"/>
        <w:ind w:firstLine="420" w:firstLineChars="200"/>
        <w:rPr>
          <w:rFonts w:hint="eastAsia" w:ascii="仿宋_GB2312" w:hAnsi="宋体" w:cs="宋体"/>
          <w:bCs/>
          <w:color w:val="auto"/>
          <w:kern w:val="0"/>
          <w:szCs w:val="24"/>
          <w:highlight w:val="none"/>
          <w:u w:val="none"/>
          <w:lang w:val="en-US" w:eastAsia="zh-CN"/>
        </w:rPr>
      </w:pPr>
      <w:r>
        <w:rPr>
          <w:rFonts w:hint="eastAsia" w:ascii="仿宋_GB2312" w:hAnsi="宋体" w:cs="宋体"/>
          <w:bCs/>
          <w:color w:val="auto"/>
          <w:kern w:val="0"/>
          <w:szCs w:val="24"/>
          <w:highlight w:val="none"/>
          <w:u w:val="none"/>
          <w:lang w:val="en-US" w:eastAsia="zh-CN"/>
        </w:rPr>
        <w:t>6.专业投资者：符合下列条件之一的是专业投资者：</w:t>
      </w:r>
    </w:p>
    <w:p w14:paraId="1910C47A">
      <w:pPr>
        <w:tabs>
          <w:tab w:val="left" w:pos="709"/>
        </w:tabs>
        <w:snapToGrid w:val="0"/>
        <w:spacing w:line="360" w:lineRule="auto"/>
        <w:ind w:firstLine="420" w:firstLineChars="200"/>
        <w:rPr>
          <w:rFonts w:hint="eastAsia" w:ascii="仿宋_GB2312" w:hAnsi="宋体" w:cs="宋体"/>
          <w:bCs/>
          <w:color w:val="auto"/>
          <w:kern w:val="0"/>
          <w:szCs w:val="24"/>
          <w:highlight w:val="none"/>
          <w:u w:val="none"/>
          <w:lang w:val="en-US" w:eastAsia="zh-CN"/>
        </w:rPr>
      </w:pPr>
      <w:r>
        <w:rPr>
          <w:rFonts w:hint="eastAsia" w:ascii="仿宋_GB2312" w:hAnsi="宋体" w:cs="宋体"/>
          <w:bCs/>
          <w:color w:val="auto"/>
          <w:kern w:val="0"/>
          <w:szCs w:val="24"/>
          <w:highlight w:val="none"/>
          <w:u w:val="none"/>
          <w:lang w:val="en-US" w:eastAsia="zh-CN"/>
        </w:rPr>
        <w:t>（1）银行业金融机构、保险业金融机构、金融控股公司、证券基金期货经营机构、私募基金管理人；</w:t>
      </w:r>
    </w:p>
    <w:p w14:paraId="271D0FCA">
      <w:pPr>
        <w:tabs>
          <w:tab w:val="left" w:pos="709"/>
        </w:tabs>
        <w:snapToGrid w:val="0"/>
        <w:spacing w:line="360" w:lineRule="auto"/>
        <w:ind w:firstLine="420" w:firstLineChars="200"/>
        <w:rPr>
          <w:rFonts w:hint="eastAsia" w:ascii="仿宋_GB2312" w:hAnsi="宋体" w:cs="宋体"/>
          <w:bCs/>
          <w:color w:val="auto"/>
          <w:kern w:val="0"/>
          <w:szCs w:val="24"/>
          <w:highlight w:val="none"/>
          <w:u w:val="none"/>
          <w:lang w:val="en-US" w:eastAsia="zh-CN"/>
        </w:rPr>
      </w:pPr>
      <w:r>
        <w:rPr>
          <w:rFonts w:hint="eastAsia" w:ascii="仿宋_GB2312" w:hAnsi="宋体" w:cs="宋体"/>
          <w:bCs/>
          <w:color w:val="auto"/>
          <w:kern w:val="0"/>
          <w:szCs w:val="24"/>
          <w:highlight w:val="none"/>
          <w:u w:val="none"/>
          <w:lang w:val="en-US" w:eastAsia="zh-CN"/>
        </w:rPr>
        <w:t>（2）上述机构面向投资者发行的金融产品，信托公司管理的资产服务信托、公益慈善信托；</w:t>
      </w:r>
    </w:p>
    <w:p w14:paraId="5B4F61DC">
      <w:pPr>
        <w:tabs>
          <w:tab w:val="left" w:pos="709"/>
        </w:tabs>
        <w:snapToGrid w:val="0"/>
        <w:spacing w:line="360" w:lineRule="auto"/>
        <w:ind w:firstLine="420" w:firstLineChars="200"/>
        <w:rPr>
          <w:rFonts w:hint="eastAsia" w:ascii="仿宋_GB2312" w:hAnsi="宋体" w:cs="宋体"/>
          <w:bCs/>
          <w:color w:val="auto"/>
          <w:kern w:val="0"/>
          <w:szCs w:val="24"/>
          <w:highlight w:val="none"/>
          <w:u w:val="none"/>
          <w:lang w:val="en-US" w:eastAsia="zh-CN"/>
        </w:rPr>
      </w:pPr>
      <w:r>
        <w:rPr>
          <w:rFonts w:hint="eastAsia" w:ascii="仿宋_GB2312" w:hAnsi="宋体" w:cs="宋体"/>
          <w:bCs/>
          <w:color w:val="auto"/>
          <w:kern w:val="0"/>
          <w:szCs w:val="24"/>
          <w:highlight w:val="none"/>
          <w:u w:val="none"/>
          <w:lang w:val="en-US" w:eastAsia="zh-CN"/>
        </w:rPr>
        <w:t>（3）社会保障基金、企业年金、职业年金等养老基金，慈善基金等社会公益基金，合格境外机构投资者（QFII）、人民币合格境外机构投资者（RQFII）。</w:t>
      </w:r>
    </w:p>
    <w:p w14:paraId="5172B93F">
      <w:pPr>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7.普通投资者：专业投资者之外的投资者为普通投资者。</w:t>
      </w:r>
    </w:p>
    <w:p w14:paraId="10202048">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8</w:t>
      </w:r>
      <w:r>
        <w:rPr>
          <w:rFonts w:hint="eastAsia" w:ascii="仿宋_GB2312" w:hAnsi="宋体" w:cs="宋体"/>
          <w:bCs/>
          <w:color w:val="auto"/>
          <w:kern w:val="0"/>
          <w:szCs w:val="24"/>
          <w:highlight w:val="none"/>
          <w:u w:val="none"/>
        </w:rPr>
        <w:t>.全国银行业理财信息登记系统：指供商业银行及商业银行理财公司进行理财产品电子化报告和信息登记的电子信息系统。</w:t>
      </w:r>
    </w:p>
    <w:p w14:paraId="31473A34">
      <w:pPr>
        <w:pStyle w:val="3"/>
        <w:numPr>
          <w:ilvl w:val="1"/>
          <w:numId w:val="11"/>
        </w:numPr>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法律文件用语 </w:t>
      </w:r>
    </w:p>
    <w:p w14:paraId="27CEFBEC">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1.理财产品销售文件/销售文件：指产品管理人向投资者提供的，用于描述产品特征，约定权利义务的文件。具体指浙银理财</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理财产品全套销售文件，包括《投资协议书》、《产品说明书》、《（代理）销售协议书》、《风险揭示书》、《投资者权益须知》以及对该文件的有效修改或补充。上述文件共同构成一份完整且不可分割的理财产品销售文件。经产品管理人委托，代理销售机构可以编制《（代理）销售协议书》、《风险揭示书》、《投资者权益须知》。</w:t>
      </w:r>
    </w:p>
    <w:p w14:paraId="26C513B1">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2.《投资协议书》：指管理人统一编制的《浙银理财理财产品投资协议书》，以及对该文件的有效修改或补充。</w:t>
      </w:r>
    </w:p>
    <w:p w14:paraId="49A6106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3.《产品说明书》：指管理人统一编制的《浙银理财</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理财产品说明书》，以及对该文件的有效修改或补充。</w:t>
      </w:r>
    </w:p>
    <w:p w14:paraId="069B5166">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代理）销售协议书》：指管理人统一编制的《浙银理财理财产品（代理）销售协议书》或代理销售机构接受产品管理人委托自行编制的《理财产品（代理）销售协议书》（文件名称以代理销售机构实际编制为准），以及对该文件的有效修改或补充。</w:t>
      </w:r>
    </w:p>
    <w:p w14:paraId="2424DA54">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5.《风险揭示书》：指管理人统一编制的《浙银理财</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理财产品风险揭示书》或代理销售机构接受产品管理人委托自行编制的《浙银理财</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理财产品风险揭示书》（文件名称以代理销售机构实际编制为准），以及对该文件的有效修改或补充。</w:t>
      </w:r>
    </w:p>
    <w:p w14:paraId="2DCA5966">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投资者权益须知》：指管理人统一编制的《理财产品投资者权益须知》或代理销售机构接受产品管理人委托自行编制的《理财产品投资者权益须知》（文件名称以代理销售机构实际编制为准），以及对该文件的有效修改或补充。</w:t>
      </w:r>
    </w:p>
    <w:p w14:paraId="46684C59">
      <w:pPr>
        <w:pStyle w:val="3"/>
        <w:numPr>
          <w:ilvl w:val="1"/>
          <w:numId w:val="11"/>
        </w:numPr>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理财产品用语 </w:t>
      </w:r>
    </w:p>
    <w:p w14:paraId="53DB8F92">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1.理财产品登记编码</w:t>
      </w:r>
      <w:r>
        <w:rPr>
          <w:rFonts w:hint="eastAsia" w:ascii="仿宋_GB2312" w:hAnsi="宋体" w:cs="宋体"/>
          <w:bCs/>
          <w:color w:val="auto"/>
          <w:kern w:val="0"/>
          <w:szCs w:val="24"/>
          <w:highlight w:val="none"/>
          <w:u w:val="none"/>
          <w:lang w:val="en-US" w:eastAsia="zh-CN"/>
        </w:rPr>
        <w:t>/产品登记编码</w:t>
      </w:r>
      <w:r>
        <w:rPr>
          <w:rFonts w:hint="eastAsia" w:ascii="仿宋_GB2312" w:hAnsi="宋体" w:cs="宋体"/>
          <w:bCs/>
          <w:color w:val="auto"/>
          <w:kern w:val="0"/>
          <w:szCs w:val="24"/>
          <w:highlight w:val="none"/>
          <w:u w:val="none"/>
        </w:rPr>
        <w:t>：指本款理财产品在全国银行业理财信息登记系统对理财产品进行信息登记后，由全国银行业理财信息登记系统发放的唯一性的理财产品编码。投资者可依据登记编码在中国理财网（www.chinawealth.com.cn）查询产品信息。</w:t>
      </w:r>
    </w:p>
    <w:p w14:paraId="2BA7046F">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2.理财产品代码/产品代码：指产品管理人在全国银行业理财信息登记系统中为理财产品设置的内部识别码。</w:t>
      </w:r>
    </w:p>
    <w:p w14:paraId="4BC00EB1">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3.理财产品销售代码/销售代码</w:t>
      </w:r>
      <w:r>
        <w:rPr>
          <w:rFonts w:hint="eastAsia" w:ascii="仿宋_GB2312" w:hAnsi="宋体" w:cs="宋体"/>
          <w:bCs/>
          <w:color w:val="auto"/>
          <w:kern w:val="0"/>
          <w:szCs w:val="24"/>
          <w:highlight w:val="none"/>
          <w:u w:val="none"/>
          <w:lang w:val="en-US" w:eastAsia="zh-CN"/>
        </w:rPr>
        <w:t>/份额代码</w:t>
      </w:r>
      <w:r>
        <w:rPr>
          <w:rFonts w:hint="eastAsia" w:ascii="仿宋_GB2312" w:hAnsi="宋体" w:cs="宋体"/>
          <w:bCs/>
          <w:color w:val="auto"/>
          <w:kern w:val="0"/>
          <w:szCs w:val="24"/>
          <w:highlight w:val="none"/>
          <w:u w:val="none"/>
        </w:rPr>
        <w:t>：指本款理财产品若设置不同产品份额类别，为在理财产品销售管理过程中区分不同产品份额类别，管理人在同一理财产品代码项下，为每类份额类别设置的唯一性内部识别码。</w:t>
      </w:r>
    </w:p>
    <w:p w14:paraId="7969D041">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理财产品风险等级：理财产品风险等级为产品管理人和销售机构经过审慎评估后确定的产品风险等级。若本产品通过代理销售机构销售的，理财产品风险等级以代理销售机构最终披露的风险等级结果为准。产品管理人和代理销售机构对理财产品的风险等级评估结果不一致时，代理销售机构应采用对应较高风险的评级结果。</w:t>
      </w:r>
      <w:r>
        <w:rPr>
          <w:rFonts w:hint="eastAsia" w:ascii="宋体" w:hAnsi="宋体"/>
          <w:b/>
          <w:bCs/>
          <w:color w:val="auto"/>
          <w:szCs w:val="24"/>
          <w:highlight w:val="none"/>
          <w:u w:val="none"/>
        </w:rPr>
        <w:t>产品管理人在符合监管政策的前提下可对产品风险评级进行动态管理，如产品风险等级发生调整，将提前通过本《产品说明书》“信息披露”约定的方式通知投资者。</w:t>
      </w:r>
    </w:p>
    <w:p w14:paraId="29F025F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5.投资者风险承受能力评估：指销售机构对理财投资者的风险承受能力进行评价的过程。</w:t>
      </w:r>
    </w:p>
    <w:p w14:paraId="4D913104">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6.理财产品份额：指投资者持有本理财产品的单位数额。投资者基于其所持有的理财产品单位数额享有理财产品利益、承担理财产品风险。理财产品份额四舍五入保留2位小数。</w:t>
      </w:r>
    </w:p>
    <w:p w14:paraId="21111E8E">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7.理财产品资产净值/理财资产净值/产品资产净值：理财产品资产净值=理财产品资产总值-理财产品负债总值。</w:t>
      </w:r>
    </w:p>
    <w:p w14:paraId="3B4271E1">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理财产品资产总值是指理财产品拥有的各类有价证券、银行存款、应收款项及其他资产的价值总和。</w:t>
      </w:r>
    </w:p>
    <w:p w14:paraId="036F4C02">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理财产品负债总值是指理财产品运作及融资时形成的负债价值总和，包括融资资金本息、</w:t>
      </w:r>
      <w:r>
        <w:rPr>
          <w:rFonts w:hint="eastAsia" w:ascii="仿宋_GB2312" w:hAnsi="宋体" w:cs="宋体"/>
          <w:bCs/>
          <w:color w:val="auto"/>
          <w:kern w:val="0"/>
          <w:sz w:val="22"/>
          <w:highlight w:val="none"/>
          <w:u w:val="none"/>
        </w:rPr>
        <w:t>应付各项费用</w:t>
      </w:r>
      <w:r>
        <w:rPr>
          <w:rFonts w:hint="eastAsia" w:ascii="仿宋_GB2312" w:hAnsi="宋体" w:cs="宋体"/>
          <w:bCs/>
          <w:color w:val="auto"/>
          <w:kern w:val="0"/>
          <w:szCs w:val="24"/>
          <w:highlight w:val="none"/>
          <w:u w:val="none"/>
        </w:rPr>
        <w:t>（包括</w:t>
      </w:r>
      <w:r>
        <w:rPr>
          <w:rFonts w:hint="eastAsia" w:ascii="仿宋_GB2312" w:hAnsi="宋体" w:cs="宋体"/>
          <w:bCs/>
          <w:color w:val="auto"/>
          <w:kern w:val="0"/>
          <w:szCs w:val="24"/>
          <w:highlight w:val="none"/>
          <w:u w:val="none"/>
          <w:lang w:eastAsia="zh-CN"/>
        </w:rPr>
        <w:t>托管费</w:t>
      </w:r>
      <w:r>
        <w:rPr>
          <w:rFonts w:hint="eastAsia" w:ascii="仿宋_GB2312" w:hAnsi="宋体" w:cs="宋体"/>
          <w:bCs/>
          <w:color w:val="auto"/>
          <w:kern w:val="0"/>
          <w:szCs w:val="24"/>
          <w:highlight w:val="none"/>
          <w:u w:val="none"/>
        </w:rPr>
        <w:t>、认购费、</w:t>
      </w:r>
      <w:r>
        <w:rPr>
          <w:rFonts w:hint="eastAsia" w:ascii="仿宋_GB2312" w:hAnsi="宋体" w:cs="宋体"/>
          <w:bCs/>
          <w:color w:val="auto"/>
          <w:kern w:val="0"/>
          <w:szCs w:val="24"/>
          <w:highlight w:val="none"/>
          <w:u w:val="none"/>
          <w:lang w:eastAsia="zh-CN"/>
        </w:rPr>
        <w:t>固定管理费</w:t>
      </w:r>
      <w:r>
        <w:rPr>
          <w:rFonts w:hint="eastAsia"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lang w:eastAsia="zh-CN"/>
        </w:rPr>
        <w:t>浮动管理费</w:t>
      </w:r>
      <w:r>
        <w:rPr>
          <w:rFonts w:hint="eastAsia" w:ascii="仿宋_GB2312" w:hAnsi="宋体" w:cs="宋体"/>
          <w:bCs/>
          <w:color w:val="auto"/>
          <w:kern w:val="0"/>
          <w:szCs w:val="24"/>
          <w:highlight w:val="none"/>
          <w:u w:val="none"/>
        </w:rPr>
        <w:t>、其他费用等）、应付税金及其他应付款项等。</w:t>
      </w:r>
    </w:p>
    <w:p w14:paraId="25B9B171">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8.理财产品份额净值/理财份额净值/产品份额净值：指理财产品份额的单位净值，即每1份理财产品份额以人民币计价的价格。理财产品份额净值=理财资产净值/产品总份额。投资者按该份额净值进行理财产品申购、赎回时分配。理财产品份额净值四舍五入保留</w:t>
      </w:r>
      <w:r>
        <w:rPr>
          <w:rFonts w:hint="eastAsia" w:ascii="仿宋_GB2312" w:hAnsi="宋体" w:cs="宋体"/>
          <w:b/>
          <w:bCs w:val="0"/>
          <w:color w:val="auto"/>
          <w:kern w:val="0"/>
          <w:szCs w:val="24"/>
          <w:highlight w:val="yellow"/>
          <w:u w:val="none"/>
          <w:lang w:eastAsia="zh-CN"/>
        </w:rPr>
        <w:t>【</w:t>
      </w:r>
      <w:r>
        <w:rPr>
          <w:rFonts w:hint="eastAsia" w:ascii="仿宋_GB2312" w:hAnsi="宋体" w:cs="宋体"/>
          <w:b/>
          <w:bCs w:val="0"/>
          <w:color w:val="auto"/>
          <w:kern w:val="0"/>
          <w:szCs w:val="24"/>
          <w:highlight w:val="yellow"/>
          <w:u w:val="none"/>
          <w:lang w:val="en-US" w:eastAsia="zh-CN"/>
        </w:rPr>
        <w:t>6位</w:t>
      </w:r>
      <w:r>
        <w:rPr>
          <w:rFonts w:hint="eastAsia" w:ascii="仿宋_GB2312" w:hAnsi="宋体" w:cs="宋体"/>
          <w:b/>
          <w:bCs w:val="0"/>
          <w:color w:val="auto"/>
          <w:kern w:val="0"/>
          <w:szCs w:val="24"/>
          <w:highlight w:val="yellow"/>
          <w:u w:val="none"/>
          <w:lang w:eastAsia="zh-CN"/>
        </w:rPr>
        <w:t>】</w:t>
      </w:r>
      <w:r>
        <w:rPr>
          <w:rFonts w:hint="eastAsia" w:ascii="仿宋_GB2312" w:hAnsi="宋体" w:cs="宋体"/>
          <w:bCs/>
          <w:color w:val="auto"/>
          <w:kern w:val="0"/>
          <w:szCs w:val="24"/>
          <w:highlight w:val="none"/>
          <w:u w:val="none"/>
        </w:rPr>
        <w:t>小数。</w:t>
      </w:r>
    </w:p>
    <w:p w14:paraId="7CA86AA4">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理财产品份额净值可以展示为</w:t>
      </w:r>
      <w:r>
        <w:rPr>
          <w:rFonts w:ascii="仿宋_GB2312" w:hAnsi="宋体" w:cs="宋体"/>
          <w:b/>
          <w:color w:val="auto"/>
          <w:kern w:val="0"/>
          <w:szCs w:val="24"/>
          <w:highlight w:val="none"/>
          <w:u w:val="none"/>
        </w:rPr>
        <w:t>当前理财产品份额净值</w:t>
      </w:r>
      <w:r>
        <w:rPr>
          <w:rFonts w:hint="eastAsia" w:ascii="仿宋_GB2312" w:hAnsi="宋体" w:cs="宋体"/>
          <w:bCs/>
          <w:color w:val="auto"/>
          <w:kern w:val="0"/>
          <w:szCs w:val="24"/>
          <w:highlight w:val="none"/>
          <w:u w:val="none"/>
        </w:rPr>
        <w:t>和</w:t>
      </w:r>
      <w:r>
        <w:rPr>
          <w:rFonts w:ascii="仿宋_GB2312" w:hAnsi="宋体" w:cs="宋体"/>
          <w:b/>
          <w:color w:val="auto"/>
          <w:kern w:val="0"/>
          <w:szCs w:val="24"/>
          <w:highlight w:val="none"/>
          <w:u w:val="none"/>
        </w:rPr>
        <w:t>累计理财产品份额净值</w:t>
      </w:r>
      <w:r>
        <w:rPr>
          <w:rFonts w:hint="eastAsia" w:ascii="仿宋_GB2312" w:hAnsi="宋体" w:cs="宋体"/>
          <w:bCs/>
          <w:color w:val="auto"/>
          <w:kern w:val="0"/>
          <w:szCs w:val="24"/>
          <w:highlight w:val="none"/>
          <w:u w:val="none"/>
        </w:rPr>
        <w:t>。</w:t>
      </w:r>
    </w:p>
    <w:p w14:paraId="0E8DADEE">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当前理财产品份额净值，指产品当前的份额净值。</w:t>
      </w:r>
    </w:p>
    <w:p w14:paraId="35F016CD">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累计理财产品份额净值，指产品当前份额净值及产品成立到现在单位理财产品份额分红之和。</w:t>
      </w:r>
    </w:p>
    <w:p w14:paraId="0609415A">
      <w:pPr>
        <w:tabs>
          <w:tab w:val="left" w:pos="709"/>
        </w:tabs>
        <w:snapToGrid w:val="0"/>
        <w:spacing w:line="360" w:lineRule="auto"/>
        <w:ind w:firstLine="422" w:firstLineChars="200"/>
        <w:rPr>
          <w:rFonts w:ascii="仿宋_GB2312" w:hAnsi="宋体" w:cs="宋体"/>
          <w:b/>
          <w:color w:val="auto"/>
          <w:kern w:val="0"/>
          <w:szCs w:val="24"/>
          <w:highlight w:val="none"/>
          <w:u w:val="none"/>
        </w:rPr>
      </w:pPr>
      <w:r>
        <w:rPr>
          <w:rFonts w:ascii="仿宋_GB2312" w:hAnsi="宋体" w:cs="宋体"/>
          <w:b/>
          <w:color w:val="auto"/>
          <w:kern w:val="0"/>
          <w:szCs w:val="24"/>
          <w:highlight w:val="none"/>
          <w:u w:val="none"/>
        </w:rPr>
        <w:t>（注：若无特别说明，理财产品份额净值通常指当前理财产品份额净值）</w:t>
      </w:r>
    </w:p>
    <w:p w14:paraId="24D4274E">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9.理财产品估值：指计算评估理财产品资产和理财产品负债的价值，以确定理财产品份额净值的过程。</w:t>
      </w:r>
    </w:p>
    <w:p w14:paraId="7DB14611">
      <w:pPr>
        <w:tabs>
          <w:tab w:val="left" w:pos="709"/>
        </w:tabs>
        <w:snapToGrid w:val="0"/>
        <w:spacing w:line="360" w:lineRule="auto"/>
        <w:ind w:firstLine="420" w:firstLineChars="200"/>
        <w:rPr>
          <w:rFonts w:ascii="仿宋_GB2312" w:hAnsi="宋体" w:cs="宋体"/>
          <w:b/>
          <w:color w:val="auto"/>
          <w:kern w:val="0"/>
          <w:szCs w:val="24"/>
          <w:highlight w:val="none"/>
          <w:u w:val="none"/>
        </w:rPr>
      </w:pPr>
      <w:r>
        <w:rPr>
          <w:rFonts w:hint="eastAsia" w:ascii="仿宋_GB2312" w:hAnsi="宋体" w:cs="宋体"/>
          <w:bCs/>
          <w:color w:val="auto"/>
          <w:kern w:val="0"/>
          <w:szCs w:val="24"/>
          <w:highlight w:val="none"/>
          <w:u w:val="none"/>
        </w:rPr>
        <w:t>10.业绩比较基准：指管理人基于过往投资经验及对产品存续期投资市场波动的预判而对本产品所设定的投资目标。</w:t>
      </w:r>
      <w:r>
        <w:rPr>
          <w:rFonts w:ascii="仿宋_GB2312" w:hAnsi="宋体" w:cs="宋体"/>
          <w:b/>
          <w:color w:val="auto"/>
          <w:kern w:val="0"/>
          <w:szCs w:val="24"/>
          <w:highlight w:val="none"/>
          <w:u w:val="none"/>
        </w:rPr>
        <w:t>业绩比较基准不代表理财产品未来表现，不等于理财产品实际收益，不作为产品收益的业绩保证，投资须谨慎。</w:t>
      </w:r>
    </w:p>
    <w:p w14:paraId="33440091">
      <w:pPr>
        <w:tabs>
          <w:tab w:val="left" w:pos="709"/>
        </w:tabs>
        <w:snapToGrid w:val="0"/>
        <w:spacing w:line="360" w:lineRule="auto"/>
        <w:ind w:firstLine="420" w:firstLineChars="200"/>
        <w:rPr>
          <w:rFonts w:ascii="仿宋_GB2312" w:hAnsi="宋体" w:cs="宋体"/>
          <w:b/>
          <w:color w:val="auto"/>
          <w:kern w:val="0"/>
          <w:szCs w:val="24"/>
          <w:highlight w:val="none"/>
          <w:u w:val="none"/>
        </w:rPr>
      </w:pPr>
      <w:r>
        <w:rPr>
          <w:rFonts w:ascii="仿宋_GB2312" w:hAnsi="宋体" w:cs="宋体"/>
          <w:bCs/>
          <w:color w:val="auto"/>
          <w:kern w:val="0"/>
          <w:szCs w:val="24"/>
          <w:highlight w:val="none"/>
          <w:u w:val="none"/>
        </w:rPr>
        <w:t>11.</w:t>
      </w:r>
      <w:r>
        <w:rPr>
          <w:rFonts w:hint="eastAsia" w:ascii="仿宋_GB2312" w:hAnsi="宋体" w:cs="宋体"/>
          <w:bCs/>
          <w:color w:val="auto"/>
          <w:kern w:val="0"/>
          <w:szCs w:val="24"/>
          <w:highlight w:val="none"/>
          <w:u w:val="none"/>
          <w:lang w:eastAsia="zh-CN"/>
        </w:rPr>
        <w:t>浮动管理费</w:t>
      </w:r>
      <w:r>
        <w:rPr>
          <w:rFonts w:ascii="仿宋_GB2312" w:hAnsi="宋体" w:cs="宋体"/>
          <w:bCs/>
          <w:color w:val="auto"/>
          <w:kern w:val="0"/>
          <w:szCs w:val="24"/>
          <w:highlight w:val="none"/>
          <w:u w:val="none"/>
        </w:rPr>
        <w:t>计提基准：指管理人收取</w:t>
      </w:r>
      <w:r>
        <w:rPr>
          <w:rFonts w:hint="eastAsia" w:ascii="仿宋_GB2312" w:hAnsi="宋体" w:cs="宋体"/>
          <w:bCs/>
          <w:color w:val="auto"/>
          <w:kern w:val="0"/>
          <w:szCs w:val="24"/>
          <w:highlight w:val="none"/>
          <w:u w:val="none"/>
          <w:lang w:eastAsia="zh-CN"/>
        </w:rPr>
        <w:t>浮动管理费</w:t>
      </w:r>
      <w:r>
        <w:rPr>
          <w:rFonts w:ascii="仿宋_GB2312" w:hAnsi="宋体" w:cs="宋体"/>
          <w:bCs/>
          <w:color w:val="auto"/>
          <w:kern w:val="0"/>
          <w:szCs w:val="24"/>
          <w:highlight w:val="none"/>
          <w:u w:val="none"/>
        </w:rPr>
        <w:t>的参照相关数值标准。</w:t>
      </w:r>
      <w:r>
        <w:rPr>
          <w:rFonts w:hint="eastAsia" w:ascii="仿宋_GB2312" w:hAnsi="宋体" w:cs="宋体"/>
          <w:b/>
          <w:color w:val="auto"/>
          <w:kern w:val="0"/>
          <w:szCs w:val="24"/>
          <w:highlight w:val="none"/>
          <w:u w:val="none"/>
          <w:lang w:eastAsia="zh-CN"/>
        </w:rPr>
        <w:t>浮动管理费</w:t>
      </w:r>
      <w:r>
        <w:rPr>
          <w:rFonts w:ascii="仿宋_GB2312" w:hAnsi="宋体" w:cs="宋体"/>
          <w:b/>
          <w:color w:val="auto"/>
          <w:kern w:val="0"/>
          <w:szCs w:val="24"/>
          <w:highlight w:val="none"/>
          <w:u w:val="none"/>
        </w:rPr>
        <w:t>计提基准不代表理财产品未来表现，不等于理财产品实际收益，不作为产品收益的业绩保证，投资须谨慎。</w:t>
      </w:r>
    </w:p>
    <w:p w14:paraId="10A9E201">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12.理财产品利益/理财利益</w:t>
      </w:r>
      <w:r>
        <w:rPr>
          <w:rFonts w:hint="eastAsia" w:ascii="仿宋_GB2312" w:hAnsi="宋体" w:cs="宋体"/>
          <w:bCs/>
          <w:color w:val="auto"/>
          <w:kern w:val="0"/>
          <w:szCs w:val="24"/>
          <w:highlight w:val="none"/>
          <w:u w:val="none"/>
          <w:lang w:val="en-US" w:eastAsia="zh-CN"/>
        </w:rPr>
        <w:t>/理财产品收益/理财收益</w:t>
      </w:r>
      <w:r>
        <w:rPr>
          <w:rFonts w:hint="eastAsia" w:ascii="仿宋_GB2312" w:hAnsi="宋体" w:cs="宋体"/>
          <w:bCs/>
          <w:color w:val="auto"/>
          <w:kern w:val="0"/>
          <w:szCs w:val="24"/>
          <w:highlight w:val="none"/>
          <w:u w:val="none"/>
        </w:rPr>
        <w:t>：指投资者因持有理财产品份额，按照销售文件约定取得或有权取得的理财产品管理人分配的理财产品资产。</w:t>
      </w:r>
    </w:p>
    <w:p w14:paraId="0A835DC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13.</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分配：指产品管理人向投资者进行理财产品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 xml:space="preserve">分配。 </w:t>
      </w:r>
    </w:p>
    <w:p w14:paraId="25D85F8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14.期间分配：指在理财产品终止日（不含当日）前的理财产品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 xml:space="preserve">分配。 </w:t>
      </w:r>
    </w:p>
    <w:p w14:paraId="3D3DFC33">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15.终止分配：指在理财产品终止日当日及之后的理财产品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w:t>
      </w:r>
    </w:p>
    <w:p w14:paraId="605EE20C">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16.认购：指投资者根据本协议约定在认购期/募集期内申请购买本产品理财产品份额的行为。 </w:t>
      </w:r>
    </w:p>
    <w:p w14:paraId="4C5637C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17.申购：指理财产品成立后，在理财产品申购期内，投资者申请购买理财产品份额的行为。</w:t>
      </w:r>
    </w:p>
    <w:p w14:paraId="020CF399">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首次申购，指未进行认购的投资者，在理财产品成立后申请购买理财产品份额的行为。投资者全额赎回不再持有理财产品份额后再次申购的，视同首次申购处理。</w:t>
      </w:r>
    </w:p>
    <w:p w14:paraId="10BA0F9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追加申购，指已经完成认购或首次申购的投资者，在理财产品成立后申请购买理财产品份额的行为。</w:t>
      </w:r>
    </w:p>
    <w:p w14:paraId="5CAEB9BC">
      <w:pPr>
        <w:tabs>
          <w:tab w:val="left" w:pos="709"/>
        </w:tabs>
        <w:snapToGrid w:val="0"/>
        <w:spacing w:line="360" w:lineRule="auto"/>
        <w:ind w:firstLine="420" w:firstLineChars="200"/>
        <w:rPr>
          <w:rFonts w:hint="eastAsia" w:ascii="仿宋_GB2312" w:hAnsi="宋体" w:cs="宋体"/>
          <w:bCs/>
          <w:kern w:val="0"/>
          <w:szCs w:val="24"/>
          <w:highlight w:val="none"/>
        </w:rPr>
      </w:pPr>
      <w:r>
        <w:rPr>
          <w:rFonts w:hint="eastAsia" w:ascii="仿宋_GB2312" w:hAnsi="宋体" w:cs="宋体"/>
          <w:bCs/>
          <w:kern w:val="0"/>
          <w:szCs w:val="24"/>
          <w:highlight w:val="none"/>
        </w:rPr>
        <w:t>18.赎回：指理财产品成立后，在投资者持有的产品份额于投资周期结束日的下一工作日赎回的行为，即投资者持有的理财产品份额兑换为现金。</w:t>
      </w:r>
    </w:p>
    <w:p w14:paraId="4C3830E7">
      <w:pPr>
        <w:tabs>
          <w:tab w:val="left" w:pos="709"/>
        </w:tabs>
        <w:snapToGrid w:val="0"/>
        <w:spacing w:line="360" w:lineRule="auto"/>
        <w:ind w:firstLine="420" w:firstLineChars="200"/>
        <w:rPr>
          <w:rFonts w:hint="eastAsia" w:ascii="仿宋_GB2312" w:hAnsi="宋体" w:cs="宋体"/>
          <w:bCs/>
          <w:kern w:val="0"/>
          <w:szCs w:val="24"/>
        </w:rPr>
      </w:pPr>
      <w:r>
        <w:rPr>
          <w:rFonts w:ascii="仿宋_GB2312" w:hAnsi="宋体" w:cs="宋体"/>
          <w:bCs/>
          <w:kern w:val="0"/>
          <w:szCs w:val="24"/>
          <w:highlight w:val="none"/>
        </w:rPr>
        <w:t>19.巨额赎回：</w:t>
      </w:r>
      <w:r>
        <w:rPr>
          <w:rFonts w:hint="eastAsia" w:ascii="仿宋_GB2312" w:hAnsi="宋体" w:cs="宋体"/>
          <w:bCs/>
          <w:kern w:val="0"/>
          <w:szCs w:val="24"/>
          <w:highlight w:val="none"/>
        </w:rPr>
        <w:t>指</w:t>
      </w:r>
      <w:r>
        <w:rPr>
          <w:rFonts w:ascii="仿宋_GB2312" w:hAnsi="宋体" w:cs="宋体"/>
          <w:bCs/>
          <w:kern w:val="0"/>
          <w:szCs w:val="24"/>
          <w:highlight w:val="none"/>
        </w:rPr>
        <w:t>在理财产品存续期</w:t>
      </w:r>
      <w:r>
        <w:rPr>
          <w:rFonts w:ascii="仿宋_GB2312" w:hAnsi="宋体" w:cs="宋体"/>
          <w:bCs/>
          <w:kern w:val="0"/>
          <w:szCs w:val="24"/>
        </w:rPr>
        <w:t>内，单个开放日内产品</w:t>
      </w:r>
      <w:r>
        <w:rPr>
          <w:rFonts w:hint="eastAsia" w:ascii="仿宋_GB2312" w:hAnsi="宋体" w:cs="宋体"/>
          <w:bCs/>
          <w:kern w:val="0"/>
          <w:szCs w:val="24"/>
        </w:rPr>
        <w:t>净赎回申请（</w:t>
      </w:r>
      <w:r>
        <w:rPr>
          <w:rFonts w:ascii="仿宋_GB2312" w:hAnsi="宋体" w:cs="宋体"/>
          <w:bCs/>
          <w:kern w:val="0"/>
          <w:szCs w:val="24"/>
        </w:rPr>
        <w:t>赎回</w:t>
      </w:r>
      <w:r>
        <w:rPr>
          <w:rFonts w:hint="eastAsia" w:ascii="仿宋_GB2312" w:hAnsi="宋体" w:cs="宋体"/>
          <w:bCs/>
          <w:kern w:val="0"/>
          <w:szCs w:val="24"/>
        </w:rPr>
        <w:t>申请总份额扣除申购总份额后的余额</w:t>
      </w:r>
      <w:r>
        <w:rPr>
          <w:rFonts w:ascii="仿宋_GB2312" w:hAnsi="宋体" w:cs="宋体"/>
          <w:bCs/>
          <w:kern w:val="0"/>
          <w:szCs w:val="24"/>
        </w:rPr>
        <w:t>,下同）</w:t>
      </w:r>
      <w:r>
        <w:rPr>
          <w:rFonts w:hint="eastAsia" w:ascii="仿宋_GB2312" w:hAnsi="宋体" w:cs="宋体"/>
          <w:bCs/>
          <w:kern w:val="0"/>
          <w:szCs w:val="24"/>
        </w:rPr>
        <w:t>超过前一日终理财产品总份额的</w:t>
      </w:r>
      <w:r>
        <w:rPr>
          <w:rFonts w:ascii="仿宋_GB2312" w:hAnsi="宋体" w:cs="宋体"/>
          <w:bCs/>
          <w:kern w:val="0"/>
          <w:szCs w:val="24"/>
        </w:rPr>
        <w:t>10</w:t>
      </w:r>
      <w:r>
        <w:rPr>
          <w:rFonts w:hint="eastAsia" w:ascii="仿宋_GB2312" w:hAnsi="宋体" w:cs="宋体"/>
          <w:bCs/>
          <w:kern w:val="0"/>
          <w:szCs w:val="24"/>
        </w:rPr>
        <w:t>％的赎回行为，国家金融监督管理总局另有规定的除外。</w:t>
      </w:r>
    </w:p>
    <w:p w14:paraId="3C98772F">
      <w:pPr>
        <w:tabs>
          <w:tab w:val="left" w:pos="709"/>
        </w:tabs>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20.流动性受限资产：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14:paraId="3C3A48C6">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21.7个工作日可变现资产：包括可在交易所、银行间市场正常交易的股票、债券、非金融企业债务融资工具、期货及期权合约以及同业存单，7个工作日内到期或可支取的买入返售、银行存款，7个工作日内能够确认收到的各类应收款项等。</w:t>
      </w:r>
    </w:p>
    <w:p w14:paraId="772BE9EB">
      <w:pPr>
        <w:numPr>
          <w:ilvl w:val="-1"/>
          <w:numId w:val="0"/>
        </w:numPr>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22.</w:t>
      </w:r>
      <w:r>
        <w:rPr>
          <w:rFonts w:hint="eastAsia" w:ascii="仿宋_GB2312" w:hAnsi="宋体" w:cs="宋体"/>
          <w:bCs/>
          <w:color w:val="auto"/>
          <w:kern w:val="0"/>
          <w:szCs w:val="24"/>
          <w:highlight w:val="none"/>
          <w:u w:val="none"/>
        </w:rPr>
        <w:t>摆动定价机制：指当开放式公募理财产品遭遇大额认/申购或赎回时，通过调整理财产品份额净值的方式，将理财产品调整投资组合的市场冲击成本分配给实际认/申购、赎回的投资者，从而减少对存量理财产品份额持有人利益的不利影响，确保投资者的合法权益不受损害并得到公平对待。</w:t>
      </w:r>
    </w:p>
    <w:p w14:paraId="273C173A">
      <w:pPr>
        <w:keepNext w:val="0"/>
        <w:keepLines w:val="0"/>
        <w:widowControl/>
        <w:numPr>
          <w:ilvl w:val="0"/>
          <w:numId w:val="0"/>
        </w:numPr>
        <w:suppressLineNumbers w:val="0"/>
        <w:tabs>
          <w:tab w:val="left" w:pos="709"/>
        </w:tabs>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23.</w:t>
      </w:r>
      <w:r>
        <w:rPr>
          <w:rFonts w:hint="eastAsia" w:ascii="仿宋_GB2312" w:hAnsi="宋体" w:eastAsia="仿宋_GB2312" w:cs="宋体"/>
          <w:b w:val="0"/>
          <w:bCs/>
          <w:color w:val="auto"/>
          <w:kern w:val="0"/>
          <w:sz w:val="24"/>
          <w:szCs w:val="24"/>
          <w:highlight w:val="none"/>
          <w:u w:val="none"/>
          <w:lang w:val="en-US" w:eastAsia="zh-CN" w:bidi="ar"/>
        </w:rPr>
        <w:t>短期赎回费机制：</w:t>
      </w:r>
      <w:r>
        <w:rPr>
          <w:rFonts w:hint="eastAsia" w:ascii="仿宋_GB2312" w:hAnsi="宋体" w:eastAsia="仿宋_GB2312" w:cs="宋体"/>
          <w:bCs/>
          <w:color w:val="auto"/>
          <w:kern w:val="0"/>
          <w:sz w:val="24"/>
          <w:szCs w:val="24"/>
          <w:highlight w:val="none"/>
          <w:u w:val="none"/>
          <w:lang w:val="en-US" w:eastAsia="zh-CN" w:bidi="ar"/>
        </w:rPr>
        <w:t>指当理财计划发生巨额赎回或管理人认为可能导致理财计划流动性风险的其他情形下，理财计划管理人可临时性收取短期赎回费以应对流动性风险事件，并将上述产生费用全额计入理财计划</w:t>
      </w:r>
      <w:r>
        <w:rPr>
          <w:rFonts w:hint="eastAsia" w:ascii="仿宋_GB2312" w:hAnsi="宋体" w:cs="宋体"/>
          <w:bCs/>
          <w:color w:val="auto"/>
          <w:kern w:val="0"/>
          <w:sz w:val="24"/>
          <w:szCs w:val="24"/>
          <w:highlight w:val="none"/>
          <w:u w:val="none"/>
          <w:lang w:val="en-US" w:eastAsia="zh-CN" w:bidi="ar"/>
        </w:rPr>
        <w:t>财产。</w:t>
      </w:r>
      <w:r>
        <w:rPr>
          <w:rFonts w:hint="eastAsia" w:ascii="仿宋_GB2312" w:hAnsi="宋体" w:eastAsia="仿宋_GB2312" w:cs="宋体"/>
          <w:bCs/>
          <w:color w:val="auto"/>
          <w:kern w:val="0"/>
          <w:sz w:val="24"/>
          <w:szCs w:val="24"/>
          <w:highlight w:val="none"/>
          <w:u w:val="none"/>
          <w:lang w:val="en-US" w:eastAsia="zh-CN" w:bidi="ar"/>
        </w:rPr>
        <w:t>在此情形下，投资者在提交赎回申请时，实际赎回金额可能少于按照赎回申请当日理财产品份额净值计算出的赎回金额。</w:t>
      </w:r>
    </w:p>
    <w:p w14:paraId="3AE2150C">
      <w:pPr>
        <w:pStyle w:val="3"/>
        <w:numPr>
          <w:ilvl w:val="1"/>
          <w:numId w:val="11"/>
        </w:numPr>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期间与日期 </w:t>
      </w:r>
    </w:p>
    <w:p w14:paraId="18B940D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1.日：指自然日。</w:t>
      </w:r>
    </w:p>
    <w:p w14:paraId="02F80A5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2.交易日：指证券交易所的正常开盘交易日。 </w:t>
      </w:r>
    </w:p>
    <w:p w14:paraId="6E662CE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3.工作日：指国家法定工作日。 </w:t>
      </w:r>
    </w:p>
    <w:p w14:paraId="2044D3FB">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4.成立日：指达到《产品说明书》约定的成立条件后本产品开始运作的日期。</w:t>
      </w:r>
    </w:p>
    <w:p w14:paraId="12A2EBC0">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到期日/终止日：指本产品终止的日期，包括理财产品正常到期之日、提前终止之日及延期终止之日。根据《产品说明书》的约定，本产品无固定期限，但管理人有权在发生终止事件时终止该理财产品。如管理人终止理财产品，将通过约定方式向投资者进行信息披露。</w:t>
      </w:r>
    </w:p>
    <w:p w14:paraId="2EC2AB4F">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分配基准日</w:t>
      </w:r>
      <w:r>
        <w:rPr>
          <w:rFonts w:hint="eastAsia" w:ascii="仿宋_GB2312" w:hAnsi="宋体" w:cs="宋体"/>
          <w:bCs/>
          <w:color w:val="auto"/>
          <w:kern w:val="0"/>
          <w:szCs w:val="24"/>
          <w:highlight w:val="none"/>
          <w:u w:val="none"/>
          <w:lang w:val="en-US" w:eastAsia="zh-CN"/>
        </w:rPr>
        <w:t>/</w:t>
      </w:r>
      <w:r>
        <w:rPr>
          <w:rFonts w:hint="eastAsia" w:ascii="仿宋_GB2312" w:hAnsi="宋体" w:cs="宋体"/>
          <w:bCs/>
          <w:color w:val="auto"/>
          <w:kern w:val="0"/>
          <w:szCs w:val="24"/>
          <w:highlight w:val="none"/>
          <w:u w:val="none"/>
        </w:rPr>
        <w:t>分配基准日：指本产品管理人以该日日终产品份额净值计算并确定可供分配的投资期间理财</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的日期。</w:t>
      </w:r>
    </w:p>
    <w:p w14:paraId="2ED2D395">
      <w:pPr>
        <w:tabs>
          <w:tab w:val="left" w:pos="709"/>
        </w:tabs>
        <w:snapToGrid w:val="0"/>
        <w:spacing w:line="360" w:lineRule="auto"/>
        <w:ind w:firstLine="420" w:firstLineChars="200"/>
        <w:rPr>
          <w:rFonts w:hint="eastAsia" w:ascii="仿宋_GB2312" w:hAnsi="宋体" w:eastAsia="仿宋_GB2312" w:cs="宋体"/>
          <w:bCs/>
          <w:color w:val="auto"/>
          <w:kern w:val="0"/>
          <w:szCs w:val="24"/>
          <w:highlight w:val="none"/>
          <w:u w:val="none"/>
          <w:lang w:eastAsia="zh-CN"/>
        </w:rPr>
      </w:pPr>
      <w:r>
        <w:rPr>
          <w:rFonts w:hint="eastAsia" w:ascii="仿宋_GB2312" w:hAnsi="宋体" w:cs="宋体"/>
          <w:bCs/>
          <w:color w:val="auto"/>
          <w:kern w:val="0"/>
          <w:szCs w:val="24"/>
          <w:highlight w:val="none"/>
          <w:u w:val="none"/>
          <w:lang w:val="en-US" w:eastAsia="zh-CN"/>
        </w:rPr>
        <w:t>7.</w:t>
      </w:r>
      <w:r>
        <w:rPr>
          <w:rFonts w:hint="eastAsia" w:ascii="仿宋_GB2312" w:hAnsi="宋体" w:cs="宋体"/>
          <w:bCs/>
          <w:color w:val="auto"/>
          <w:kern w:val="0"/>
          <w:szCs w:val="24"/>
          <w:highlight w:val="none"/>
          <w:u w:val="none"/>
        </w:rPr>
        <w:t>除权日</w:t>
      </w:r>
      <w:r>
        <w:rPr>
          <w:rFonts w:hint="eastAsia" w:ascii="仿宋_GB2312" w:hAnsi="宋体" w:cs="宋体"/>
          <w:bCs/>
          <w:color w:val="auto"/>
          <w:kern w:val="0"/>
          <w:szCs w:val="24"/>
          <w:highlight w:val="none"/>
          <w:u w:val="none"/>
          <w:lang w:eastAsia="zh-CN"/>
        </w:rPr>
        <w:t>：指本产品的份额净值扣除收益分配金额的日期。</w:t>
      </w:r>
    </w:p>
    <w:p w14:paraId="63D2BB60">
      <w:pPr>
        <w:tabs>
          <w:tab w:val="left" w:pos="709"/>
        </w:tabs>
        <w:snapToGrid w:val="0"/>
        <w:spacing w:line="360" w:lineRule="auto"/>
        <w:ind w:firstLine="420" w:firstLineChars="200"/>
        <w:rPr>
          <w:rFonts w:hint="eastAsia" w:ascii="仿宋_GB2312" w:hAnsi="宋体" w:eastAsia="仿宋_GB2312" w:cs="宋体"/>
          <w:bCs/>
          <w:color w:val="auto"/>
          <w:kern w:val="0"/>
          <w:szCs w:val="24"/>
          <w:highlight w:val="none"/>
          <w:u w:val="none"/>
          <w:lang w:eastAsia="zh-CN"/>
        </w:rPr>
      </w:pPr>
      <w:r>
        <w:rPr>
          <w:rFonts w:hint="eastAsia" w:ascii="仿宋_GB2312" w:hAnsi="宋体" w:cs="宋体"/>
          <w:bCs/>
          <w:color w:val="auto"/>
          <w:kern w:val="0"/>
          <w:szCs w:val="24"/>
          <w:highlight w:val="none"/>
          <w:u w:val="none"/>
          <w:lang w:val="en-US" w:eastAsia="zh-CN"/>
        </w:rPr>
        <w:t>8.</w:t>
      </w:r>
      <w:r>
        <w:rPr>
          <w:rFonts w:hint="eastAsia" w:ascii="仿宋_GB2312" w:hAnsi="宋体" w:cs="宋体"/>
          <w:bCs/>
          <w:color w:val="auto"/>
          <w:kern w:val="0"/>
          <w:szCs w:val="24"/>
          <w:highlight w:val="none"/>
          <w:u w:val="none"/>
          <w:lang w:eastAsia="zh-CN"/>
        </w:rPr>
        <w:t>权益登记日：指本产品理财产品收益分配时，权益登记日登记在册的理财产品份额持有人为分配对象。</w:t>
      </w:r>
    </w:p>
    <w:p w14:paraId="0FA276C5">
      <w:pPr>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9</w:t>
      </w:r>
      <w:r>
        <w:rPr>
          <w:rFonts w:hint="eastAsia" w:ascii="仿宋_GB2312" w:hAnsi="宋体" w:cs="宋体"/>
          <w:bCs/>
          <w:color w:val="auto"/>
          <w:kern w:val="0"/>
          <w:szCs w:val="24"/>
          <w:highlight w:val="none"/>
          <w:u w:val="none"/>
        </w:rPr>
        <w:t>.分配日：指产品管理人向投资者进行理财产品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分配的日期。</w:t>
      </w:r>
    </w:p>
    <w:p w14:paraId="0A5AFBE9">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10</w:t>
      </w:r>
      <w:r>
        <w:rPr>
          <w:rFonts w:hint="eastAsia" w:ascii="仿宋_GB2312" w:hAnsi="宋体" w:cs="宋体"/>
          <w:bCs/>
          <w:color w:val="auto"/>
          <w:kern w:val="0"/>
          <w:szCs w:val="24"/>
          <w:highlight w:val="none"/>
          <w:u w:val="none"/>
        </w:rPr>
        <w:t>.募集期/认购期：指理财产品成立前，理财产品管理人接受理财产品认购的时间。但在该期间内如认购人提交认购申请的认购份额提前达到《产品说明书》所载的发行规模上限的，管理人有权选择认购期提前结束并停止接受认购申请。该情形下，产品成立日维持《产品说明书》的约定，保持不变。</w:t>
      </w:r>
    </w:p>
    <w:p w14:paraId="207D5F7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11</w:t>
      </w:r>
      <w:r>
        <w:rPr>
          <w:rFonts w:hint="eastAsia" w:ascii="仿宋_GB2312" w:hAnsi="宋体" w:cs="宋体"/>
          <w:bCs/>
          <w:color w:val="auto"/>
          <w:kern w:val="0"/>
          <w:szCs w:val="24"/>
          <w:highlight w:val="none"/>
          <w:u w:val="none"/>
        </w:rPr>
        <w:t>.持有期：指自产品成立日/申购确认日起，投资者持有该产品份额的期间。</w:t>
      </w:r>
    </w:p>
    <w:p w14:paraId="1E477CBC">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lang w:val="en-US" w:eastAsia="zh-CN"/>
        </w:rPr>
        <w:t>2</w:t>
      </w:r>
      <w:r>
        <w:rPr>
          <w:rFonts w:hint="eastAsia" w:ascii="仿宋_GB2312" w:hAnsi="宋体" w:cs="宋体"/>
          <w:bCs/>
          <w:color w:val="auto"/>
          <w:kern w:val="0"/>
          <w:szCs w:val="24"/>
          <w:highlight w:val="none"/>
          <w:u w:val="none"/>
        </w:rPr>
        <w:t>.最短</w:t>
      </w:r>
      <w:r>
        <w:rPr>
          <w:rFonts w:ascii="仿宋_GB2312" w:hAnsi="宋体" w:cs="宋体"/>
          <w:bCs/>
          <w:color w:val="auto"/>
          <w:kern w:val="0"/>
          <w:szCs w:val="24"/>
          <w:highlight w:val="none"/>
          <w:u w:val="none"/>
        </w:rPr>
        <w:t>持有期：</w:t>
      </w:r>
      <w:r>
        <w:rPr>
          <w:rFonts w:hint="eastAsia" w:ascii="仿宋_GB2312" w:hAnsi="宋体" w:cs="宋体"/>
          <w:bCs/>
          <w:color w:val="auto"/>
          <w:kern w:val="0"/>
          <w:szCs w:val="24"/>
          <w:highlight w:val="none"/>
          <w:u w:val="none"/>
        </w:rPr>
        <w:t>指自产品成立日/申购确认日起，投资者持有的产品份额被锁定持有的最短期间。在最短持有期内，投资者不能提出赎回申请，最短持有期届满后，投资者可赎回该等份额。</w:t>
      </w:r>
    </w:p>
    <w:p w14:paraId="1E43C47E">
      <w:pPr>
        <w:tabs>
          <w:tab w:val="left" w:pos="709"/>
        </w:tabs>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1</w:t>
      </w:r>
      <w:r>
        <w:rPr>
          <w:rFonts w:hint="eastAsia" w:ascii="仿宋_GB2312" w:hAnsi="宋体" w:cs="宋体"/>
          <w:bCs/>
          <w:kern w:val="0"/>
          <w:szCs w:val="24"/>
          <w:lang w:val="en-US" w:eastAsia="zh-CN"/>
        </w:rPr>
        <w:t>3</w:t>
      </w:r>
      <w:r>
        <w:rPr>
          <w:rFonts w:ascii="仿宋_GB2312" w:hAnsi="宋体" w:cs="宋体"/>
          <w:bCs/>
          <w:kern w:val="0"/>
          <w:szCs w:val="24"/>
        </w:rPr>
        <w:t>.</w:t>
      </w:r>
      <w:r>
        <w:rPr>
          <w:rFonts w:hint="eastAsia" w:ascii="仿宋_GB2312" w:hAnsi="宋体" w:cs="宋体"/>
          <w:bCs/>
          <w:kern w:val="0"/>
          <w:szCs w:val="24"/>
        </w:rPr>
        <w:t>投资周期/周期：投资周期</w:t>
      </w:r>
      <w:r>
        <w:rPr>
          <w:rFonts w:ascii="仿宋_GB2312" w:hAnsi="宋体" w:cs="宋体"/>
          <w:bCs/>
          <w:kern w:val="0"/>
          <w:szCs w:val="24"/>
        </w:rPr>
        <w:t>/周期</w:t>
      </w:r>
      <w:r>
        <w:rPr>
          <w:rFonts w:hint="eastAsia" w:ascii="仿宋_GB2312" w:hAnsi="宋体" w:cs="宋体"/>
          <w:bCs/>
          <w:kern w:val="0"/>
          <w:szCs w:val="24"/>
        </w:rPr>
        <w:t>指投资者持有理财产品份额所对应的理财资金由产品管理人进行投资运作的一段完整期间，每一个投资周期</w:t>
      </w:r>
      <w:r>
        <w:rPr>
          <w:rFonts w:ascii="仿宋_GB2312" w:hAnsi="宋体" w:cs="宋体"/>
          <w:bCs/>
          <w:kern w:val="0"/>
          <w:szCs w:val="24"/>
        </w:rPr>
        <w:t>/周期</w:t>
      </w:r>
      <w:r>
        <w:rPr>
          <w:rFonts w:hint="eastAsia" w:ascii="仿宋_GB2312" w:hAnsi="宋体" w:cs="宋体"/>
          <w:bCs/>
          <w:kern w:val="0"/>
          <w:szCs w:val="24"/>
        </w:rPr>
        <w:t>为该投资周期起始日至该投资周期终止日的理财期间。</w:t>
      </w:r>
    </w:p>
    <w:p w14:paraId="7EFECEBB">
      <w:pPr>
        <w:tabs>
          <w:tab w:val="left" w:pos="709"/>
        </w:tabs>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投资周期</w:t>
      </w:r>
      <w:r>
        <w:rPr>
          <w:rFonts w:ascii="仿宋_GB2312" w:hAnsi="宋体" w:cs="宋体"/>
          <w:bCs/>
          <w:kern w:val="0"/>
          <w:szCs w:val="24"/>
        </w:rPr>
        <w:t>/周期</w:t>
      </w:r>
      <w:r>
        <w:rPr>
          <w:rFonts w:hint="eastAsia" w:ascii="仿宋_GB2312" w:hAnsi="宋体" w:cs="宋体"/>
          <w:bCs/>
          <w:kern w:val="0"/>
          <w:szCs w:val="24"/>
        </w:rPr>
        <w:t>起始日：指每一个投资周期开始的日期。</w:t>
      </w:r>
    </w:p>
    <w:p w14:paraId="6CA53649">
      <w:pPr>
        <w:tabs>
          <w:tab w:val="left" w:pos="709"/>
        </w:tabs>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投资周期</w:t>
      </w:r>
      <w:r>
        <w:rPr>
          <w:rFonts w:ascii="仿宋_GB2312" w:hAnsi="宋体" w:cs="宋体"/>
          <w:bCs/>
          <w:kern w:val="0"/>
          <w:szCs w:val="24"/>
        </w:rPr>
        <w:t>/周期结束日</w:t>
      </w:r>
      <w:r>
        <w:rPr>
          <w:rFonts w:hint="eastAsia" w:ascii="仿宋_GB2312" w:hAnsi="宋体" w:cs="宋体"/>
          <w:bCs/>
          <w:kern w:val="0"/>
          <w:szCs w:val="24"/>
        </w:rPr>
        <w:t>：指每一个投资周期结束的日期。</w:t>
      </w:r>
    </w:p>
    <w:p w14:paraId="547AA066">
      <w:pPr>
        <w:tabs>
          <w:tab w:val="left" w:pos="709"/>
        </w:tabs>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1</w:t>
      </w:r>
      <w:r>
        <w:rPr>
          <w:rFonts w:hint="eastAsia" w:ascii="仿宋_GB2312" w:hAnsi="宋体" w:cs="宋体"/>
          <w:bCs/>
          <w:kern w:val="0"/>
          <w:szCs w:val="24"/>
          <w:lang w:val="en-US" w:eastAsia="zh-CN"/>
        </w:rPr>
        <w:t>4</w:t>
      </w:r>
      <w:r>
        <w:rPr>
          <w:rFonts w:hint="eastAsia" w:ascii="仿宋_GB2312" w:hAnsi="宋体" w:cs="宋体"/>
          <w:bCs/>
          <w:kern w:val="0"/>
          <w:szCs w:val="24"/>
        </w:rPr>
        <w:t>.产品存续期：指自理财产品成立日起，至理财产品终止日的期间。</w:t>
      </w:r>
    </w:p>
    <w:p w14:paraId="1C012D82">
      <w:pPr>
        <w:tabs>
          <w:tab w:val="left" w:pos="709"/>
        </w:tabs>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1</w:t>
      </w:r>
      <w:r>
        <w:rPr>
          <w:rFonts w:hint="eastAsia" w:ascii="仿宋_GB2312" w:hAnsi="宋体" w:cs="宋体"/>
          <w:bCs/>
          <w:kern w:val="0"/>
          <w:szCs w:val="24"/>
          <w:lang w:val="en-US" w:eastAsia="zh-CN"/>
        </w:rPr>
        <w:t>5</w:t>
      </w:r>
      <w:r>
        <w:rPr>
          <w:rFonts w:hint="eastAsia" w:ascii="仿宋_GB2312" w:hAnsi="宋体" w:cs="宋体"/>
          <w:bCs/>
          <w:kern w:val="0"/>
          <w:szCs w:val="24"/>
        </w:rPr>
        <w:t>.清算期：指自本理财产品终止日至投资者理财利益到账日之间的期间。</w:t>
      </w:r>
    </w:p>
    <w:p w14:paraId="39317921">
      <w:pPr>
        <w:tabs>
          <w:tab w:val="left" w:pos="709"/>
        </w:tabs>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1</w:t>
      </w:r>
      <w:r>
        <w:rPr>
          <w:rFonts w:hint="eastAsia" w:ascii="仿宋_GB2312" w:hAnsi="宋体" w:cs="宋体"/>
          <w:bCs/>
          <w:kern w:val="0"/>
          <w:szCs w:val="24"/>
          <w:lang w:val="en-US" w:eastAsia="zh-CN"/>
        </w:rPr>
        <w:t>6</w:t>
      </w:r>
      <w:r>
        <w:rPr>
          <w:rFonts w:hint="eastAsia" w:ascii="仿宋_GB2312" w:hAnsi="宋体" w:cs="宋体"/>
          <w:bCs/>
          <w:kern w:val="0"/>
          <w:szCs w:val="24"/>
        </w:rPr>
        <w:t>.开放日：指</w:t>
      </w:r>
      <w:r>
        <w:rPr>
          <w:rFonts w:ascii="仿宋_GB2312" w:hAnsi="宋体" w:cs="宋体"/>
          <w:bCs/>
          <w:kern w:val="0"/>
          <w:szCs w:val="24"/>
        </w:rPr>
        <w:t>本产品成立后（不含产品成立日）的每个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lang w:eastAsia="zh-CN"/>
        </w:rPr>
        <w:sym w:font="Wingdings 2" w:char="00A3"/>
      </w:r>
      <w:r>
        <w:rPr>
          <w:rFonts w:hint="eastAsia" w:ascii="仿宋_GB2312" w:hAnsi="宋体" w:cs="宋体"/>
          <w:bCs/>
          <w:kern w:val="0"/>
          <w:szCs w:val="24"/>
          <w:highlight w:val="yellow"/>
          <w:lang w:eastAsia="zh-CN"/>
        </w:rPr>
        <w:t>工作日</w:t>
      </w:r>
      <w:r>
        <w:rPr>
          <w:rFonts w:hint="eastAsia" w:ascii="仿宋_GB2312" w:hAnsi="宋体" w:cs="宋体"/>
          <w:bCs/>
          <w:kern w:val="0"/>
          <w:szCs w:val="24"/>
          <w:highlight w:val="yellow"/>
          <w:lang w:val="en-US" w:eastAsia="zh-CN"/>
        </w:rPr>
        <w:t>/</w:t>
      </w:r>
      <w:r>
        <w:rPr>
          <w:rFonts w:hint="eastAsia" w:ascii="仿宋_GB2312" w:hAnsi="宋体" w:cs="宋体"/>
          <w:bCs/>
          <w:kern w:val="0"/>
          <w:szCs w:val="24"/>
          <w:highlight w:val="yellow"/>
          <w:lang w:val="en-US" w:eastAsia="zh-CN"/>
        </w:rPr>
        <w:sym w:font="Wingdings 2" w:char="00A3"/>
      </w:r>
      <w:r>
        <w:rPr>
          <w:rFonts w:hint="eastAsia" w:ascii="仿宋_GB2312" w:hAnsi="宋体" w:cs="宋体"/>
          <w:bCs/>
          <w:kern w:val="0"/>
          <w:szCs w:val="24"/>
          <w:highlight w:val="yellow"/>
          <w:lang w:val="en-US" w:eastAsia="zh-CN"/>
        </w:rPr>
        <w:t>交易日</w:t>
      </w:r>
      <w:r>
        <w:rPr>
          <w:rFonts w:hint="eastAsia" w:ascii="仿宋_GB2312" w:hAnsi="宋体" w:cs="宋体"/>
          <w:bCs/>
          <w:kern w:val="0"/>
          <w:szCs w:val="24"/>
          <w:highlight w:val="yellow"/>
          <w:lang w:eastAsia="zh-CN"/>
        </w:rPr>
        <w:t>】</w:t>
      </w:r>
      <w:r>
        <w:rPr>
          <w:rFonts w:ascii="仿宋_GB2312" w:hAnsi="宋体" w:cs="宋体"/>
          <w:bCs/>
          <w:kern w:val="0"/>
          <w:szCs w:val="24"/>
        </w:rPr>
        <w:t>（浙银理财公告暂停开放的日期除外）</w:t>
      </w:r>
      <w:r>
        <w:rPr>
          <w:rFonts w:hint="eastAsia" w:ascii="仿宋_GB2312" w:hAnsi="宋体" w:cs="宋体"/>
          <w:bCs/>
          <w:kern w:val="0"/>
          <w:szCs w:val="24"/>
        </w:rPr>
        <w:t>。</w:t>
      </w:r>
    </w:p>
    <w:p w14:paraId="6023AF85">
      <w:pPr>
        <w:tabs>
          <w:tab w:val="left" w:pos="709"/>
        </w:tabs>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1</w:t>
      </w:r>
      <w:r>
        <w:rPr>
          <w:rFonts w:hint="eastAsia" w:ascii="仿宋_GB2312" w:hAnsi="宋体" w:cs="宋体"/>
          <w:bCs/>
          <w:kern w:val="0"/>
          <w:szCs w:val="24"/>
          <w:lang w:val="en-US" w:eastAsia="zh-CN"/>
        </w:rPr>
        <w:t>7</w:t>
      </w:r>
      <w:r>
        <w:rPr>
          <w:rFonts w:hint="eastAsia" w:ascii="仿宋_GB2312" w:hAnsi="宋体" w:cs="宋体"/>
          <w:bCs/>
          <w:kern w:val="0"/>
          <w:szCs w:val="24"/>
        </w:rPr>
        <w:t>.申购日：指投资者提交申购申请的日期。</w:t>
      </w:r>
    </w:p>
    <w:p w14:paraId="3D6D5D83">
      <w:pPr>
        <w:tabs>
          <w:tab w:val="left" w:pos="709"/>
        </w:tabs>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1</w:t>
      </w:r>
      <w:r>
        <w:rPr>
          <w:rFonts w:hint="eastAsia" w:ascii="仿宋_GB2312" w:hAnsi="宋体" w:cs="宋体"/>
          <w:bCs/>
          <w:kern w:val="0"/>
          <w:szCs w:val="24"/>
          <w:lang w:val="en-US" w:eastAsia="zh-CN"/>
        </w:rPr>
        <w:t>8</w:t>
      </w:r>
      <w:r>
        <w:rPr>
          <w:rFonts w:hint="eastAsia" w:ascii="仿宋_GB2312" w:hAnsi="宋体" w:cs="宋体"/>
          <w:bCs/>
          <w:kern w:val="0"/>
          <w:szCs w:val="24"/>
        </w:rPr>
        <w:t>.预约赎回截止日：指投资者</w:t>
      </w:r>
      <w:r>
        <w:rPr>
          <w:rFonts w:hint="eastAsia" w:ascii="宋体" w:hAnsi="宋体"/>
          <w:color w:val="000000" w:themeColor="text1"/>
          <w:szCs w:val="24"/>
          <w14:textFill>
            <w14:solidFill>
              <w14:schemeClr w14:val="tx1"/>
            </w14:solidFill>
          </w14:textFill>
        </w:rPr>
        <w:t>持有本产品份额对应的周期结束日的前一个工作日</w:t>
      </w:r>
      <w:r>
        <w:rPr>
          <w:rFonts w:hint="eastAsia" w:ascii="仿宋_GB2312" w:hAnsi="宋体" w:cs="宋体"/>
          <w:bCs/>
          <w:kern w:val="0"/>
          <w:szCs w:val="24"/>
        </w:rPr>
        <w:t>。</w:t>
      </w:r>
    </w:p>
    <w:p w14:paraId="562205B2">
      <w:pPr>
        <w:tabs>
          <w:tab w:val="left" w:pos="709"/>
        </w:tabs>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1</w:t>
      </w:r>
      <w:r>
        <w:rPr>
          <w:rFonts w:hint="eastAsia" w:ascii="仿宋_GB2312" w:hAnsi="宋体" w:cs="宋体"/>
          <w:bCs/>
          <w:kern w:val="0"/>
          <w:szCs w:val="24"/>
          <w:lang w:val="en-US" w:eastAsia="zh-CN"/>
        </w:rPr>
        <w:t>9</w:t>
      </w:r>
      <w:r>
        <w:rPr>
          <w:rFonts w:hint="eastAsia" w:ascii="仿宋_GB2312" w:hAnsi="宋体" w:cs="宋体"/>
          <w:bCs/>
          <w:kern w:val="0"/>
          <w:szCs w:val="24"/>
        </w:rPr>
        <w:t>.申购/赎回确认日：指投资者提交申购、赎回申请（预约赎回）后，管理人对申购、赎回申请</w:t>
      </w:r>
      <w:r>
        <w:rPr>
          <w:rFonts w:ascii="仿宋_GB2312" w:hAnsi="宋体" w:cs="宋体"/>
          <w:bCs/>
          <w:kern w:val="0"/>
          <w:szCs w:val="24"/>
        </w:rPr>
        <w:t>（预约赎回）</w:t>
      </w:r>
      <w:r>
        <w:rPr>
          <w:rFonts w:hint="eastAsia" w:ascii="仿宋_GB2312" w:hAnsi="宋体" w:cs="宋体"/>
          <w:bCs/>
          <w:kern w:val="0"/>
          <w:szCs w:val="24"/>
        </w:rPr>
        <w:t>进行确认的日期。</w:t>
      </w:r>
    </w:p>
    <w:p w14:paraId="1A04F2E6">
      <w:pPr>
        <w:tabs>
          <w:tab w:val="left" w:pos="709"/>
        </w:tabs>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lang w:val="en-US" w:eastAsia="zh-CN"/>
        </w:rPr>
        <w:t>20</w:t>
      </w:r>
      <w:r>
        <w:rPr>
          <w:rFonts w:hint="eastAsia" w:ascii="仿宋_GB2312" w:hAnsi="宋体" w:cs="宋体"/>
          <w:bCs/>
          <w:kern w:val="0"/>
          <w:szCs w:val="24"/>
        </w:rPr>
        <w:t>.T日：指某一事件或行为发生的当日。</w:t>
      </w:r>
    </w:p>
    <w:p w14:paraId="3C861EFE">
      <w:pPr>
        <w:tabs>
          <w:tab w:val="left" w:pos="709"/>
        </w:tabs>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lang w:val="en-US" w:eastAsia="zh-CN"/>
        </w:rPr>
        <w:t>21</w:t>
      </w:r>
      <w:r>
        <w:rPr>
          <w:rFonts w:hint="eastAsia" w:ascii="仿宋_GB2312" w:hAnsi="宋体" w:cs="宋体"/>
          <w:bCs/>
          <w:kern w:val="0"/>
          <w:szCs w:val="24"/>
        </w:rPr>
        <w:t>.T+n日：指T日后（不包括T日）的第n个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lang w:eastAsia="zh-CN"/>
        </w:rPr>
        <w:sym w:font="Wingdings 2" w:char="00A3"/>
      </w:r>
      <w:r>
        <w:rPr>
          <w:rFonts w:hint="eastAsia" w:ascii="仿宋_GB2312" w:hAnsi="宋体" w:cs="宋体"/>
          <w:bCs/>
          <w:kern w:val="0"/>
          <w:szCs w:val="24"/>
          <w:highlight w:val="yellow"/>
          <w:lang w:eastAsia="zh-CN"/>
        </w:rPr>
        <w:t>工作日</w:t>
      </w:r>
      <w:r>
        <w:rPr>
          <w:rFonts w:hint="eastAsia" w:ascii="仿宋_GB2312" w:hAnsi="宋体" w:cs="宋体"/>
          <w:bCs/>
          <w:kern w:val="0"/>
          <w:szCs w:val="24"/>
          <w:highlight w:val="yellow"/>
          <w:lang w:val="en-US" w:eastAsia="zh-CN"/>
        </w:rPr>
        <w:t>/</w:t>
      </w:r>
      <w:r>
        <w:rPr>
          <w:rFonts w:hint="eastAsia" w:ascii="仿宋_GB2312" w:hAnsi="宋体" w:cs="宋体"/>
          <w:bCs/>
          <w:kern w:val="0"/>
          <w:szCs w:val="24"/>
          <w:highlight w:val="yellow"/>
          <w:lang w:val="en-US" w:eastAsia="zh-CN"/>
        </w:rPr>
        <w:sym w:font="Wingdings 2" w:char="00A3"/>
      </w:r>
      <w:r>
        <w:rPr>
          <w:rFonts w:hint="eastAsia" w:ascii="仿宋_GB2312" w:hAnsi="宋体" w:cs="宋体"/>
          <w:bCs/>
          <w:kern w:val="0"/>
          <w:szCs w:val="24"/>
          <w:highlight w:val="yellow"/>
          <w:lang w:val="en-US" w:eastAsia="zh-CN"/>
        </w:rPr>
        <w:t>交易日</w:t>
      </w:r>
      <w:r>
        <w:rPr>
          <w:rFonts w:hint="eastAsia" w:ascii="仿宋_GB2312" w:hAnsi="宋体" w:cs="宋体"/>
          <w:bCs/>
          <w:kern w:val="0"/>
          <w:szCs w:val="24"/>
          <w:highlight w:val="yellow"/>
          <w:lang w:eastAsia="zh-CN"/>
        </w:rPr>
        <w:t>】</w:t>
      </w:r>
      <w:r>
        <w:rPr>
          <w:rFonts w:hint="eastAsia" w:ascii="仿宋_GB2312" w:hAnsi="宋体" w:cs="宋体"/>
          <w:bCs/>
          <w:kern w:val="0"/>
          <w:szCs w:val="24"/>
        </w:rPr>
        <w:t>。</w:t>
      </w:r>
    </w:p>
    <w:p w14:paraId="33089E6C">
      <w:pPr>
        <w:tabs>
          <w:tab w:val="left" w:pos="709"/>
        </w:tabs>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2</w:t>
      </w:r>
      <w:r>
        <w:rPr>
          <w:rFonts w:hint="eastAsia" w:ascii="仿宋_GB2312" w:hAnsi="宋体" w:cs="宋体"/>
          <w:bCs/>
          <w:kern w:val="0"/>
          <w:szCs w:val="24"/>
          <w:lang w:val="en-US" w:eastAsia="zh-CN"/>
        </w:rPr>
        <w:t>2</w:t>
      </w:r>
      <w:r>
        <w:rPr>
          <w:rFonts w:hint="eastAsia" w:ascii="仿宋_GB2312" w:hAnsi="宋体" w:cs="宋体"/>
          <w:bCs/>
          <w:kern w:val="0"/>
          <w:szCs w:val="24"/>
        </w:rPr>
        <w:t>.T-n日：指T前（不包括T日）的第n个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lang w:eastAsia="zh-CN"/>
        </w:rPr>
        <w:sym w:font="Wingdings 2" w:char="00A3"/>
      </w:r>
      <w:r>
        <w:rPr>
          <w:rFonts w:hint="eastAsia" w:ascii="仿宋_GB2312" w:hAnsi="宋体" w:cs="宋体"/>
          <w:bCs/>
          <w:kern w:val="0"/>
          <w:szCs w:val="24"/>
          <w:highlight w:val="yellow"/>
          <w:lang w:eastAsia="zh-CN"/>
        </w:rPr>
        <w:t>工作日</w:t>
      </w:r>
      <w:r>
        <w:rPr>
          <w:rFonts w:hint="eastAsia" w:ascii="仿宋_GB2312" w:hAnsi="宋体" w:cs="宋体"/>
          <w:bCs/>
          <w:kern w:val="0"/>
          <w:szCs w:val="24"/>
          <w:highlight w:val="yellow"/>
          <w:lang w:val="en-US" w:eastAsia="zh-CN"/>
        </w:rPr>
        <w:t>/</w:t>
      </w:r>
      <w:r>
        <w:rPr>
          <w:rFonts w:hint="eastAsia" w:ascii="仿宋_GB2312" w:hAnsi="宋体" w:cs="宋体"/>
          <w:bCs/>
          <w:kern w:val="0"/>
          <w:szCs w:val="24"/>
          <w:highlight w:val="yellow"/>
          <w:lang w:val="en-US" w:eastAsia="zh-CN"/>
        </w:rPr>
        <w:sym w:font="Wingdings 2" w:char="00A3"/>
      </w:r>
      <w:r>
        <w:rPr>
          <w:rFonts w:hint="eastAsia" w:ascii="仿宋_GB2312" w:hAnsi="宋体" w:cs="宋体"/>
          <w:bCs/>
          <w:kern w:val="0"/>
          <w:szCs w:val="24"/>
          <w:highlight w:val="yellow"/>
          <w:lang w:val="en-US" w:eastAsia="zh-CN"/>
        </w:rPr>
        <w:t>交易日</w:t>
      </w:r>
      <w:r>
        <w:rPr>
          <w:rFonts w:hint="eastAsia" w:ascii="仿宋_GB2312" w:hAnsi="宋体" w:cs="宋体"/>
          <w:bCs/>
          <w:kern w:val="0"/>
          <w:szCs w:val="24"/>
          <w:highlight w:val="yellow"/>
          <w:lang w:eastAsia="zh-CN"/>
        </w:rPr>
        <w:t>】</w:t>
      </w:r>
      <w:r>
        <w:rPr>
          <w:rFonts w:hint="eastAsia" w:ascii="仿宋_GB2312" w:hAnsi="宋体" w:cs="宋体"/>
          <w:bCs/>
          <w:kern w:val="0"/>
          <w:szCs w:val="24"/>
        </w:rPr>
        <w:t>。</w:t>
      </w:r>
    </w:p>
    <w:p w14:paraId="2280277C">
      <w:pPr>
        <w:pStyle w:val="3"/>
        <w:numPr>
          <w:ilvl w:val="1"/>
          <w:numId w:val="11"/>
        </w:numPr>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费用</w:t>
      </w:r>
    </w:p>
    <w:p w14:paraId="15093F9B">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1.认购费：指投资者认购产品时需缴纳的费用。</w:t>
      </w:r>
    </w:p>
    <w:p w14:paraId="093213FD">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2.申购费：指投资者申购产品时需缴纳的费用。</w:t>
      </w:r>
    </w:p>
    <w:p w14:paraId="47D403FD">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3.赎回费：指投资者赎回产品时需缴纳的费用。</w:t>
      </w:r>
    </w:p>
    <w:p w14:paraId="26EE08D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4.销售服务费：指因理财产品销售行为产生，销售机构所收取的费用。</w:t>
      </w:r>
    </w:p>
    <w:p w14:paraId="39A93E8D">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w:t>
      </w:r>
      <w:r>
        <w:rPr>
          <w:rFonts w:hint="eastAsia" w:ascii="仿宋_GB2312" w:hAnsi="宋体" w:cs="宋体"/>
          <w:bCs/>
          <w:color w:val="auto"/>
          <w:kern w:val="0"/>
          <w:szCs w:val="24"/>
          <w:highlight w:val="none"/>
          <w:u w:val="none"/>
          <w:lang w:eastAsia="zh-CN"/>
        </w:rPr>
        <w:t>固定</w:t>
      </w:r>
      <w:r>
        <w:rPr>
          <w:rFonts w:hint="eastAsia" w:ascii="仿宋_GB2312" w:hAnsi="宋体" w:cs="宋体"/>
          <w:bCs/>
          <w:color w:val="auto"/>
          <w:kern w:val="0"/>
          <w:szCs w:val="24"/>
          <w:highlight w:val="none"/>
          <w:u w:val="none"/>
        </w:rPr>
        <w:t>管理费：指因理财产品投资管理产生，管理人所收取的费用。</w:t>
      </w:r>
    </w:p>
    <w:p w14:paraId="1656E8E3">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6.托管费：指因理财产品进行托管产生，托管人收取的费用。</w:t>
      </w:r>
    </w:p>
    <w:p w14:paraId="76A6CB9D">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7.</w:t>
      </w:r>
      <w:r>
        <w:rPr>
          <w:rFonts w:hint="eastAsia" w:ascii="仿宋_GB2312" w:hAnsi="宋体" w:cs="宋体"/>
          <w:bCs/>
          <w:color w:val="auto"/>
          <w:kern w:val="0"/>
          <w:szCs w:val="24"/>
          <w:highlight w:val="none"/>
          <w:u w:val="none"/>
          <w:lang w:eastAsia="zh-CN"/>
        </w:rPr>
        <w:t>浮动管理费</w:t>
      </w:r>
      <w:r>
        <w:rPr>
          <w:rFonts w:hint="eastAsia" w:ascii="仿宋_GB2312" w:hAnsi="宋体" w:cs="宋体"/>
          <w:bCs/>
          <w:color w:val="auto"/>
          <w:kern w:val="0"/>
          <w:szCs w:val="24"/>
          <w:highlight w:val="none"/>
          <w:u w:val="none"/>
        </w:rPr>
        <w:t>：指产品管理人依照理财产品销售文件约定规则收取的浮动性质的管理费用。</w:t>
      </w:r>
    </w:p>
    <w:p w14:paraId="601152CC">
      <w:pPr>
        <w:tabs>
          <w:tab w:val="left" w:pos="709"/>
        </w:tabs>
        <w:snapToGrid w:val="0"/>
        <w:spacing w:line="360" w:lineRule="auto"/>
        <w:ind w:firstLine="420" w:firstLineChars="200"/>
        <w:rPr>
          <w:color w:val="auto"/>
          <w:highlight w:val="none"/>
          <w:u w:val="none"/>
        </w:rPr>
      </w:pPr>
      <w:r>
        <w:rPr>
          <w:rFonts w:hint="eastAsia" w:ascii="仿宋_GB2312" w:hAnsi="宋体" w:cs="宋体"/>
          <w:bCs/>
          <w:color w:val="auto"/>
          <w:kern w:val="0"/>
          <w:szCs w:val="24"/>
          <w:highlight w:val="none"/>
          <w:u w:val="none"/>
        </w:rPr>
        <w:t>8.其他费用（如有）：</w:t>
      </w:r>
      <w:r>
        <w:rPr>
          <w:rFonts w:hint="eastAsia"/>
          <w:color w:val="auto"/>
          <w:highlight w:val="none"/>
          <w:u w:val="none"/>
        </w:rPr>
        <w:t>与理财</w:t>
      </w:r>
      <w:r>
        <w:rPr>
          <w:color w:val="auto"/>
          <w:highlight w:val="none"/>
          <w:u w:val="none"/>
        </w:rPr>
        <w:t>产品相关的</w:t>
      </w:r>
      <w:r>
        <w:rPr>
          <w:rFonts w:hint="eastAsia"/>
          <w:color w:val="auto"/>
          <w:highlight w:val="none"/>
          <w:u w:val="none"/>
        </w:rPr>
        <w:t>账户服务费用、资产服务费用、交易费用（包括但不限于交易佣金、撮合费用等）、注册登记费、验资费、审计费、信息披露费</w:t>
      </w:r>
      <w:r>
        <w:rPr>
          <w:rFonts w:hint="eastAsia"/>
          <w:color w:val="auto"/>
          <w:highlight w:val="none"/>
          <w:u w:val="none"/>
          <w:lang w:eastAsia="zh-CN"/>
        </w:rPr>
        <w:t>、</w:t>
      </w:r>
      <w:r>
        <w:rPr>
          <w:rFonts w:hint="eastAsia"/>
          <w:color w:val="auto"/>
          <w:highlight w:val="yellow"/>
          <w:u w:val="none"/>
          <w:lang w:eastAsia="zh-CN"/>
        </w:rPr>
        <w:t>【信息服务费用】、</w:t>
      </w:r>
      <w:r>
        <w:rPr>
          <w:rFonts w:hint="eastAsia"/>
          <w:color w:val="auto"/>
          <w:highlight w:val="none"/>
          <w:u w:val="none"/>
        </w:rPr>
        <w:t>清算费用、执行费用（包括但不限于律师费、诉讼费、仲裁费、公证费、保全费、执行费等）以及按照法律法规、监管规定和理财产品销售文件约定可以列入的其他费用，具体以实际发生为准。</w:t>
      </w:r>
    </w:p>
    <w:p w14:paraId="5A9737FA">
      <w:pPr>
        <w:tabs>
          <w:tab w:val="left" w:pos="709"/>
        </w:tabs>
        <w:snapToGrid w:val="0"/>
        <w:spacing w:line="360" w:lineRule="auto"/>
        <w:ind w:firstLine="422" w:firstLineChars="200"/>
        <w:rPr>
          <w:rFonts w:ascii="仿宋_GB2312" w:hAnsi="宋体" w:cs="宋体"/>
          <w:bCs/>
          <w:color w:val="auto"/>
          <w:kern w:val="0"/>
          <w:szCs w:val="24"/>
          <w:highlight w:val="none"/>
          <w:u w:val="none"/>
        </w:rPr>
      </w:pPr>
      <w:r>
        <w:rPr>
          <w:rFonts w:hint="eastAsia" w:ascii="仿宋_GB2312" w:hAnsi="宋体" w:cs="宋体"/>
          <w:b/>
          <w:bCs/>
          <w:color w:val="auto"/>
          <w:kern w:val="0"/>
          <w:szCs w:val="24"/>
          <w:highlight w:val="none"/>
          <w:u w:val="none"/>
        </w:rPr>
        <w:t>（六）其他</w:t>
      </w:r>
      <w:r>
        <w:rPr>
          <w:rFonts w:hint="eastAsia" w:ascii="仿宋_GB2312" w:hAnsi="宋体" w:cs="宋体"/>
          <w:bCs/>
          <w:color w:val="auto"/>
          <w:kern w:val="0"/>
          <w:szCs w:val="24"/>
          <w:highlight w:val="none"/>
          <w:u w:val="none"/>
        </w:rPr>
        <w:t xml:space="preserve"> </w:t>
      </w:r>
    </w:p>
    <w:p w14:paraId="7E8B3EBD">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1.不可抗力：指理财产品各方不能预见、不能避免且不能克服的客观情况，该事件妨碍、影响或延误任何一方依相关理财产品销售文件履行其全部或部分义务。该事件包括但不限于：</w:t>
      </w:r>
    </w:p>
    <w:p w14:paraId="36480BFB">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A、地震、台风、海啸、洪水、火灾、停电、瘟疫；</w:t>
      </w:r>
    </w:p>
    <w:p w14:paraId="4009FC2D">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B、战争、政变、恐怖主义行动、骚乱、罢工；</w:t>
      </w:r>
    </w:p>
    <w:p w14:paraId="36636ED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C、新的适用法律或国家政策的颁布或实施、对原适用法律或国家政策的修改；</w:t>
      </w:r>
    </w:p>
    <w:p w14:paraId="258ADE1F">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D、金融管理部门强制要求终止理财产品（该等强制要求不可归咎于任何一方）；</w:t>
      </w:r>
    </w:p>
    <w:p w14:paraId="0BFBD41F">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E、因理财产品各方和/或其关联方运营网络系统遭受黑客攻击、电信部门技术调整或故障等原因而造成的理财产品各方和/或其关联方之服务、营业的中断或者延迟。</w:t>
      </w:r>
    </w:p>
    <w:p w14:paraId="055DD449">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2.元：指人民币元。 </w:t>
      </w:r>
    </w:p>
    <w:p w14:paraId="517C37C7">
      <w:pPr>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适用法律：指在理财产品销售文件签署日和履行过程中，适用中华人民共和国法律（为本协议之目的，在此不包括香港、澳门特别行政区和台湾地区的法律），包括中国任何立法机构、政府部门、银行业理财登记托管中心、银行间交易商协会、证券交易所、证券登记结算机构、相关行业协会依法颁布的，适用于本理财产品相关事宜的法律、行政法规、地方法规、部委规章、地方政府规章、规范性文件、规则、通知、须知、业务指南、指引或操作规程，及其有效的修改、更新或补充。</w:t>
      </w:r>
    </w:p>
    <w:p w14:paraId="5ACFBFE2">
      <w:pPr>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br w:type="page"/>
      </w:r>
    </w:p>
    <w:p w14:paraId="493F7EDB">
      <w:pPr>
        <w:pStyle w:val="2"/>
        <w:numPr>
          <w:ilvl w:val="0"/>
          <w:numId w:val="11"/>
        </w:numPr>
        <w:rPr>
          <w:color w:val="auto"/>
          <w:highlight w:val="none"/>
          <w:u w:val="none"/>
        </w:rPr>
      </w:pPr>
      <w:r>
        <w:rPr>
          <w:rFonts w:hint="eastAsia"/>
          <w:color w:val="auto"/>
          <w:highlight w:val="none"/>
          <w:u w:val="none"/>
        </w:rPr>
        <w:t>理财产品的认购与成立</w:t>
      </w:r>
    </w:p>
    <w:p w14:paraId="4D52AAC7">
      <w:pPr>
        <w:pStyle w:val="3"/>
        <w:widowControl/>
        <w:numPr>
          <w:ilvl w:val="1"/>
          <w:numId w:val="11"/>
        </w:numPr>
        <w:tabs>
          <w:tab w:val="left" w:pos="709"/>
        </w:tabs>
        <w:adjustRightInd w:val="0"/>
        <w:snapToGrid w:val="0"/>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参与主体及主要职责</w:t>
      </w:r>
    </w:p>
    <w:p w14:paraId="78E938C0">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rPr>
        <w:t>产品管理人</w:t>
      </w:r>
    </w:p>
    <w:p w14:paraId="4B285F11">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名称：浙银理财有限责任公司</w:t>
      </w:r>
    </w:p>
    <w:p w14:paraId="2FEDBAE9">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注册地：浙江省杭州市萧山区宁围街道民和路939号浙江商会大厦2幢20-22楼</w:t>
      </w:r>
    </w:p>
    <w:p w14:paraId="3619E60D">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浙银理财负责本产品的投资运作和产品管理，</w:t>
      </w:r>
      <w:r>
        <w:rPr>
          <w:rFonts w:hint="eastAsia" w:ascii="仿宋_GB2312" w:hAnsi="宋体" w:cs="宋体"/>
          <w:b/>
          <w:color w:val="auto"/>
          <w:kern w:val="0"/>
          <w:szCs w:val="24"/>
          <w:highlight w:val="none"/>
          <w:u w:val="none"/>
        </w:rPr>
        <w:t>投资者在此授权并同意浙银理财享有以下权利</w:t>
      </w:r>
      <w:r>
        <w:rPr>
          <w:rFonts w:hint="eastAsia" w:ascii="仿宋_GB2312" w:hAnsi="宋体" w:cs="宋体"/>
          <w:bCs/>
          <w:color w:val="auto"/>
          <w:kern w:val="0"/>
          <w:szCs w:val="24"/>
          <w:highlight w:val="none"/>
          <w:u w:val="none"/>
        </w:rPr>
        <w:t>：</w:t>
      </w:r>
    </w:p>
    <w:p w14:paraId="584C2B27">
      <w:pPr>
        <w:widowControl/>
        <w:numPr>
          <w:ilvl w:val="0"/>
          <w:numId w:val="8"/>
        </w:numPr>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按照本产品销售文件的约定，管理、运用和处分理财产品资金；</w:t>
      </w:r>
    </w:p>
    <w:p w14:paraId="2F8314E7">
      <w:pPr>
        <w:widowControl/>
        <w:numPr>
          <w:ilvl w:val="0"/>
          <w:numId w:val="8"/>
        </w:numPr>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按照本产品销售文件的约定，及时、足额获得管理费和本产品说明书约定的其他费用（如有）；</w:t>
      </w:r>
    </w:p>
    <w:p w14:paraId="468AD67D">
      <w:pPr>
        <w:widowControl/>
        <w:numPr>
          <w:ilvl w:val="0"/>
          <w:numId w:val="8"/>
        </w:numPr>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管理人以其固有财产先行垫付因处理本产品相关事务所支出的理财产品费用及税费的，对理财产品资金享有优先受偿权；</w:t>
      </w:r>
    </w:p>
    <w:p w14:paraId="211A531B">
      <w:pPr>
        <w:widowControl/>
        <w:numPr>
          <w:ilvl w:val="0"/>
          <w:numId w:val="8"/>
        </w:numPr>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管理人有权根据本产品销售文件的约定提前终止或延长本理财产品的期限；</w:t>
      </w:r>
    </w:p>
    <w:p w14:paraId="7A0535D2">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（5）管理人有权单方调整本产品的发行规模上限、认/申购起点金额、投资者累计认/申购上限、赎回上限等要素；</w:t>
      </w:r>
    </w:p>
    <w:p w14:paraId="7A4200A9">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（6）管理人有权按照法律法规和监管机构的要求将投资者的信息向有权部门或相关机构披露；</w:t>
      </w:r>
    </w:p>
    <w:p w14:paraId="177BF225">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（7）以理财产品管理人的名义，依照法律法规相关规定以及为理财产品的利益，对被投资的各类资产行使出资人/投资者权利（包括但不限于表决投票的权利）；</w:t>
      </w:r>
    </w:p>
    <w:p w14:paraId="4C3767A5">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8）以理财产品管理人的名义，依照法律法规相关规定以及代表理财产品份额持有人的利益代为行使追索的权利（包括但不限于提起诉讼/仲裁、申请保全/执行的权利）或者实施其他风险处置、行使、放弃、变更相关权利义务的法律行为；</w:t>
      </w:r>
    </w:p>
    <w:p w14:paraId="75EEADB9">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（9）法律法规、监管政策及本产品销售文件约定的其他权利。</w:t>
      </w:r>
    </w:p>
    <w:p w14:paraId="1EF0FA02">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2.产品托管机构</w:t>
      </w:r>
    </w:p>
    <w:p w14:paraId="48818394">
      <w:pPr>
        <w:widowControl/>
        <w:tabs>
          <w:tab w:val="left" w:pos="709"/>
        </w:tabs>
        <w:adjustRightInd w:val="0"/>
        <w:snapToGrid w:val="0"/>
        <w:spacing w:line="360" w:lineRule="auto"/>
        <w:ind w:firstLine="420" w:firstLineChars="200"/>
        <w:rPr>
          <w:rFonts w:hint="eastAsia" w:ascii="仿宋_GB2312" w:hAnsi="宋体" w:eastAsia="仿宋_GB2312" w:cs="宋体"/>
          <w:bCs/>
          <w:kern w:val="0"/>
          <w:szCs w:val="24"/>
          <w:highlight w:val="none"/>
          <w:lang w:eastAsia="zh-CN"/>
        </w:rPr>
      </w:pPr>
      <w:r>
        <w:rPr>
          <w:rFonts w:hint="eastAsia" w:ascii="仿宋_GB2312" w:hAnsi="宋体" w:cs="宋体"/>
          <w:bCs/>
          <w:kern w:val="0"/>
          <w:szCs w:val="24"/>
          <w:highlight w:val="none"/>
        </w:rPr>
        <w:t>名称：</w:t>
      </w:r>
      <w:r>
        <w:rPr>
          <w:rFonts w:hint="eastAsia"/>
          <w:szCs w:val="24"/>
          <w:highlight w:val="yellow"/>
          <w:lang w:eastAsia="zh-CN"/>
        </w:rPr>
        <w:t>【】</w:t>
      </w:r>
    </w:p>
    <w:p w14:paraId="7D04BAFD">
      <w:pPr>
        <w:widowControl/>
        <w:tabs>
          <w:tab w:val="left" w:pos="709"/>
        </w:tabs>
        <w:adjustRightInd w:val="0"/>
        <w:snapToGrid w:val="0"/>
        <w:spacing w:line="360" w:lineRule="auto"/>
        <w:ind w:firstLine="420" w:firstLineChars="200"/>
        <w:rPr>
          <w:rFonts w:hint="eastAsia" w:ascii="仿宋_GB2312" w:hAnsi="宋体" w:eastAsia="仿宋_GB2312" w:cs="宋体"/>
          <w:bCs/>
          <w:kern w:val="0"/>
          <w:szCs w:val="24"/>
          <w:highlight w:val="none"/>
          <w:lang w:eastAsia="zh-CN"/>
        </w:rPr>
      </w:pPr>
      <w:r>
        <w:rPr>
          <w:rFonts w:hint="eastAsia" w:ascii="仿宋_GB2312" w:hAnsi="宋体" w:cs="宋体"/>
          <w:bCs/>
          <w:kern w:val="0"/>
          <w:szCs w:val="24"/>
          <w:highlight w:val="none"/>
        </w:rPr>
        <w:t>注册地：</w:t>
      </w:r>
      <w:r>
        <w:rPr>
          <w:rFonts w:hint="eastAsia" w:ascii="仿宋_GB2312" w:hAnsi="宋体" w:cs="宋体"/>
          <w:bCs/>
          <w:kern w:val="0"/>
          <w:szCs w:val="24"/>
          <w:highlight w:val="yellow"/>
          <w:lang w:eastAsia="zh-CN"/>
        </w:rPr>
        <w:t>【】</w:t>
      </w:r>
    </w:p>
    <w:p w14:paraId="548045E9">
      <w:pPr>
        <w:widowControl/>
        <w:tabs>
          <w:tab w:val="left" w:pos="709"/>
        </w:tabs>
        <w:adjustRightInd w:val="0"/>
        <w:snapToGrid w:val="0"/>
        <w:spacing w:line="360" w:lineRule="auto"/>
        <w:ind w:firstLine="420" w:firstLineChars="200"/>
        <w:rPr>
          <w:rFonts w:hint="default" w:ascii="仿宋_GB2312" w:hAnsi="宋体" w:eastAsia="仿宋_GB2312" w:cs="宋体"/>
          <w:bCs/>
          <w:kern w:val="0"/>
          <w:szCs w:val="24"/>
          <w:highlight w:val="none"/>
          <w:lang w:val="en-US" w:eastAsia="zh-CN"/>
        </w:rPr>
      </w:pPr>
      <w:r>
        <w:rPr>
          <w:rFonts w:hint="eastAsia" w:ascii="仿宋_GB2312" w:hAnsi="宋体" w:cs="宋体"/>
          <w:bCs/>
          <w:kern w:val="0"/>
          <w:szCs w:val="24"/>
          <w:highlight w:val="none"/>
        </w:rPr>
        <w:t>客户服务热线：</w:t>
      </w:r>
      <w:r>
        <w:rPr>
          <w:rFonts w:hint="eastAsia" w:ascii="仿宋_GB2312" w:hAnsi="宋体" w:cs="宋体"/>
          <w:bCs/>
          <w:kern w:val="0"/>
          <w:szCs w:val="24"/>
          <w:highlight w:val="yellow"/>
          <w:lang w:val="en-US" w:eastAsia="zh-CN"/>
        </w:rPr>
        <w:t>【】</w:t>
      </w:r>
    </w:p>
    <w:p w14:paraId="0DE4A39E">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托管机构主要职责：提供包括账户开立、资金保管、资金清算、估值核算、投资监督等理财产品托管服务。</w:t>
      </w:r>
    </w:p>
    <w:p w14:paraId="7C8C05DF">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产品管理人为理财产品资金管理之目的，以本产品的名义在托管人处单独开立资金账户，理财产品资金的一切收支活动，包括但不限于划付对外投资资金、缴纳理财产品税费、接收理财产品回收资金、支付理财产品费用，均必须通过该账户进行。</w:t>
      </w:r>
    </w:p>
    <w:p w14:paraId="4A9C00F5">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3.</w:t>
      </w:r>
      <w:r>
        <w:rPr>
          <w:rFonts w:hint="eastAsia" w:ascii="仿宋_GB2312" w:hAnsi="宋体" w:cs="宋体"/>
          <w:bCs/>
          <w:color w:val="auto"/>
          <w:kern w:val="0"/>
          <w:szCs w:val="24"/>
          <w:highlight w:val="none"/>
          <w:u w:val="none"/>
        </w:rPr>
        <w:t>产品销售机构</w:t>
      </w:r>
    </w:p>
    <w:p w14:paraId="459FC3FB">
      <w:pPr>
        <w:widowControl/>
        <w:tabs>
          <w:tab w:val="left" w:pos="709"/>
        </w:tabs>
        <w:adjustRightInd w:val="0"/>
        <w:snapToGrid w:val="0"/>
        <w:spacing w:line="360" w:lineRule="auto"/>
        <w:ind w:firstLine="420" w:firstLineChars="200"/>
        <w:rPr>
          <w:rFonts w:hint="eastAsia" w:ascii="仿宋_GB2312" w:hAnsi="宋体" w:eastAsia="仿宋_GB2312" w:cs="宋体"/>
          <w:bCs/>
          <w:kern w:val="0"/>
          <w:szCs w:val="24"/>
          <w:highlight w:val="none"/>
          <w:lang w:eastAsia="zh-CN"/>
        </w:rPr>
      </w:pPr>
      <w:r>
        <w:rPr>
          <w:rFonts w:hint="eastAsia" w:ascii="仿宋_GB2312" w:hAnsi="宋体" w:cs="宋体"/>
          <w:bCs/>
          <w:kern w:val="0"/>
          <w:szCs w:val="24"/>
          <w:highlight w:val="none"/>
        </w:rPr>
        <w:t>名称：</w:t>
      </w:r>
      <w:r>
        <w:rPr>
          <w:rFonts w:hint="eastAsia"/>
          <w:szCs w:val="24"/>
          <w:highlight w:val="yellow"/>
          <w:lang w:eastAsia="zh-CN"/>
        </w:rPr>
        <w:t>【】</w:t>
      </w:r>
    </w:p>
    <w:p w14:paraId="0F78FB5F">
      <w:pPr>
        <w:widowControl/>
        <w:tabs>
          <w:tab w:val="left" w:pos="709"/>
        </w:tabs>
        <w:adjustRightInd w:val="0"/>
        <w:snapToGrid w:val="0"/>
        <w:spacing w:line="360" w:lineRule="auto"/>
        <w:ind w:firstLine="420" w:firstLineChars="200"/>
        <w:rPr>
          <w:rFonts w:hint="eastAsia" w:ascii="仿宋_GB2312" w:hAnsi="宋体" w:eastAsia="仿宋_GB2312" w:cs="宋体"/>
          <w:bCs/>
          <w:kern w:val="0"/>
          <w:szCs w:val="24"/>
          <w:highlight w:val="none"/>
          <w:lang w:eastAsia="zh-CN"/>
        </w:rPr>
      </w:pPr>
      <w:r>
        <w:rPr>
          <w:rFonts w:hint="eastAsia" w:ascii="仿宋_GB2312" w:hAnsi="宋体" w:cs="宋体"/>
          <w:bCs/>
          <w:kern w:val="0"/>
          <w:szCs w:val="24"/>
          <w:highlight w:val="none"/>
        </w:rPr>
        <w:t>注册地：</w:t>
      </w:r>
      <w:r>
        <w:rPr>
          <w:rFonts w:hint="eastAsia" w:ascii="仿宋_GB2312" w:hAnsi="宋体" w:cs="宋体"/>
          <w:bCs/>
          <w:kern w:val="0"/>
          <w:szCs w:val="24"/>
          <w:highlight w:val="yellow"/>
          <w:lang w:eastAsia="zh-CN"/>
        </w:rPr>
        <w:t>【】</w:t>
      </w:r>
    </w:p>
    <w:p w14:paraId="054FF50F">
      <w:pPr>
        <w:widowControl/>
        <w:tabs>
          <w:tab w:val="left" w:pos="709"/>
        </w:tabs>
        <w:adjustRightInd w:val="0"/>
        <w:snapToGrid w:val="0"/>
        <w:spacing w:line="360" w:lineRule="auto"/>
        <w:ind w:firstLine="420" w:firstLineChars="200"/>
        <w:rPr>
          <w:rFonts w:hint="default" w:ascii="仿宋_GB2312" w:hAnsi="宋体" w:eastAsia="仿宋_GB2312" w:cs="宋体"/>
          <w:bCs/>
          <w:kern w:val="0"/>
          <w:szCs w:val="24"/>
          <w:highlight w:val="none"/>
          <w:lang w:val="en-US" w:eastAsia="zh-CN"/>
        </w:rPr>
      </w:pPr>
      <w:r>
        <w:rPr>
          <w:rFonts w:hint="eastAsia" w:ascii="仿宋_GB2312" w:hAnsi="宋体" w:cs="宋体"/>
          <w:bCs/>
          <w:kern w:val="0"/>
          <w:szCs w:val="24"/>
          <w:highlight w:val="none"/>
        </w:rPr>
        <w:t>客户服务热线：</w:t>
      </w:r>
      <w:r>
        <w:rPr>
          <w:rFonts w:hint="eastAsia" w:ascii="仿宋_GB2312" w:hAnsi="宋体" w:cs="宋体"/>
          <w:bCs/>
          <w:kern w:val="0"/>
          <w:szCs w:val="24"/>
          <w:highlight w:val="yellow"/>
          <w:lang w:val="en-US" w:eastAsia="zh-CN"/>
        </w:rPr>
        <w:t>【】</w:t>
      </w:r>
    </w:p>
    <w:p w14:paraId="71C68875">
      <w:pPr>
        <w:widowControl/>
        <w:tabs>
          <w:tab w:val="left" w:pos="709"/>
        </w:tabs>
        <w:adjustRightInd w:val="0"/>
        <w:snapToGrid w:val="0"/>
        <w:spacing w:line="360" w:lineRule="auto"/>
        <w:ind w:firstLine="420" w:firstLineChars="200"/>
        <w:rPr>
          <w:rFonts w:ascii="仿宋_GB2312" w:hAnsi="宋体" w:cs="宋体"/>
          <w:b/>
          <w:bCs/>
          <w:color w:val="auto"/>
          <w:kern w:val="0"/>
          <w:szCs w:val="24"/>
          <w:highlight w:val="none"/>
          <w:u w:val="none"/>
        </w:rPr>
      </w:pPr>
      <w:r>
        <w:rPr>
          <w:rFonts w:hint="eastAsia" w:ascii="仿宋_GB2312" w:hAnsi="宋体" w:cs="宋体"/>
          <w:bCs/>
          <w:color w:val="auto"/>
          <w:kern w:val="0"/>
          <w:szCs w:val="24"/>
          <w:highlight w:val="none"/>
          <w:u w:val="none"/>
        </w:rPr>
        <w:t>本产品的认购将通过销售机构的</w:t>
      </w:r>
      <w:r>
        <w:rPr>
          <w:rFonts w:ascii="仿宋_GB2312" w:hAnsi="宋体" w:cs="宋体"/>
          <w:bCs/>
          <w:color w:val="auto"/>
          <w:kern w:val="0"/>
          <w:szCs w:val="24"/>
          <w:highlight w:val="none"/>
          <w:u w:val="none"/>
        </w:rPr>
        <w:t>销售渠道</w:t>
      </w:r>
      <w:r>
        <w:rPr>
          <w:rFonts w:hint="eastAsia" w:ascii="仿宋_GB2312" w:hAnsi="宋体" w:cs="宋体"/>
          <w:bCs/>
          <w:color w:val="auto"/>
          <w:kern w:val="0"/>
          <w:szCs w:val="24"/>
          <w:highlight w:val="none"/>
          <w:u w:val="none"/>
        </w:rPr>
        <w:t>进行（</w:t>
      </w:r>
      <w:r>
        <w:rPr>
          <w:rFonts w:ascii="仿宋_GB2312" w:hAnsi="宋体" w:cs="宋体"/>
          <w:bCs/>
          <w:color w:val="auto"/>
          <w:kern w:val="0"/>
          <w:szCs w:val="24"/>
          <w:highlight w:val="none"/>
          <w:u w:val="none"/>
        </w:rPr>
        <w:t>具体以销售机构提供的方式为准)。本产品销售机构包括但不限于</w:t>
      </w:r>
      <w:r>
        <w:rPr>
          <w:rFonts w:hint="eastAsia" w:ascii="仿宋_GB2312" w:hAnsi="宋体" w:cs="宋体"/>
          <w:bCs/>
          <w:color w:val="000000" w:themeColor="text1"/>
          <w:kern w:val="0"/>
          <w:szCs w:val="24"/>
          <w:highlight w:val="yellow"/>
          <w:lang w:eastAsia="zh-CN"/>
          <w14:textFill>
            <w14:solidFill>
              <w14:schemeClr w14:val="tx1"/>
            </w14:solidFill>
          </w14:textFill>
        </w:rPr>
        <w:t>【】</w:t>
      </w:r>
      <w:r>
        <w:rPr>
          <w:rFonts w:hint="eastAsia" w:ascii="仿宋_GB2312" w:hAnsi="宋体" w:cs="宋体"/>
          <w:bCs/>
          <w:color w:val="auto"/>
          <w:kern w:val="0"/>
          <w:szCs w:val="24"/>
          <w:highlight w:val="none"/>
          <w:u w:val="none"/>
        </w:rPr>
        <w:t>等机构，如有</w:t>
      </w:r>
      <w:r>
        <w:rPr>
          <w:rFonts w:ascii="仿宋_GB2312" w:hAnsi="宋体" w:cs="宋体"/>
          <w:bCs/>
          <w:color w:val="auto"/>
          <w:kern w:val="0"/>
          <w:szCs w:val="24"/>
          <w:highlight w:val="none"/>
          <w:u w:val="none"/>
        </w:rPr>
        <w:t>变更以管理人</w:t>
      </w:r>
      <w:r>
        <w:rPr>
          <w:rFonts w:hint="eastAsia" w:ascii="仿宋_GB2312" w:hAnsi="宋体" w:cs="宋体"/>
          <w:bCs/>
          <w:color w:val="auto"/>
          <w:kern w:val="0"/>
          <w:szCs w:val="24"/>
          <w:highlight w:val="none"/>
          <w:u w:val="none"/>
        </w:rPr>
        <w:t>信息披露为准。</w:t>
      </w:r>
    </w:p>
    <w:p w14:paraId="039578F7">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销售</w:t>
      </w:r>
      <w:r>
        <w:rPr>
          <w:rFonts w:ascii="仿宋_GB2312" w:hAnsi="宋体" w:cs="宋体"/>
          <w:bCs/>
          <w:color w:val="auto"/>
          <w:kern w:val="0"/>
          <w:szCs w:val="24"/>
          <w:highlight w:val="none"/>
          <w:u w:val="none"/>
        </w:rPr>
        <w:t>机构</w:t>
      </w:r>
      <w:r>
        <w:rPr>
          <w:rFonts w:hint="eastAsia" w:ascii="仿宋_GB2312" w:hAnsi="宋体" w:cs="宋体"/>
          <w:bCs/>
          <w:color w:val="auto"/>
          <w:kern w:val="0"/>
          <w:szCs w:val="24"/>
          <w:highlight w:val="none"/>
          <w:u w:val="none"/>
        </w:rPr>
        <w:t>主要职责：理财产品宣传推介；为</w:t>
      </w:r>
      <w:r>
        <w:rPr>
          <w:rFonts w:ascii="仿宋_GB2312" w:hAnsi="宋体" w:cs="宋体"/>
          <w:bCs/>
          <w:color w:val="auto"/>
          <w:kern w:val="0"/>
          <w:szCs w:val="24"/>
          <w:highlight w:val="none"/>
          <w:u w:val="none"/>
        </w:rPr>
        <w:t>投资者办理</w:t>
      </w:r>
      <w:r>
        <w:rPr>
          <w:rFonts w:hint="eastAsia" w:ascii="仿宋_GB2312" w:hAnsi="宋体" w:cs="宋体"/>
          <w:bCs/>
          <w:color w:val="auto"/>
          <w:kern w:val="0"/>
          <w:szCs w:val="24"/>
          <w:highlight w:val="none"/>
          <w:u w:val="none"/>
        </w:rPr>
        <w:t>理财产品份额认购</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申购</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赎回服务；投资者风险承受能力评估和投资者适当性管理；</w:t>
      </w:r>
      <w:r>
        <w:rPr>
          <w:rFonts w:hint="eastAsia" w:ascii="仿宋_GB2312"/>
          <w:color w:val="auto"/>
          <w:highlight w:val="none"/>
          <w:u w:val="none"/>
        </w:rPr>
        <w:t>反洗钱、反恐怖融资、反扩散融资及非居民金融账户涉税信息尽职调查等</w:t>
      </w:r>
      <w:r>
        <w:rPr>
          <w:rFonts w:ascii="仿宋_GB2312"/>
          <w:color w:val="auto"/>
          <w:highlight w:val="none"/>
          <w:u w:val="none"/>
        </w:rPr>
        <w:t>；</w:t>
      </w:r>
      <w:r>
        <w:rPr>
          <w:rFonts w:hint="eastAsia" w:ascii="仿宋_GB2312"/>
          <w:color w:val="auto"/>
          <w:highlight w:val="none"/>
          <w:u w:val="none"/>
        </w:rPr>
        <w:t>协助投资者与管理人沟通</w:t>
      </w:r>
      <w:r>
        <w:rPr>
          <w:rFonts w:hint="eastAsia" w:ascii="仿宋_GB2312" w:hAnsi="宋体" w:cs="宋体"/>
          <w:bCs/>
          <w:color w:val="auto"/>
          <w:kern w:val="0"/>
          <w:szCs w:val="24"/>
          <w:highlight w:val="none"/>
          <w:u w:val="none"/>
        </w:rPr>
        <w:t>和客户维护等销售服务；国务院银行业监督管理机构规定的其他职责。</w:t>
      </w:r>
    </w:p>
    <w:p w14:paraId="62D0C9C4">
      <w:pPr>
        <w:widowControl/>
        <w:tabs>
          <w:tab w:val="left" w:pos="709"/>
        </w:tabs>
        <w:adjustRightInd w:val="0"/>
        <w:snapToGrid w:val="0"/>
        <w:spacing w:line="360" w:lineRule="auto"/>
        <w:ind w:firstLine="422" w:firstLineChars="20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★重要</w:t>
      </w:r>
      <w:r>
        <w:rPr>
          <w:rFonts w:ascii="仿宋_GB2312" w:hAnsi="宋体" w:cs="宋体"/>
          <w:b/>
          <w:bCs/>
          <w:color w:val="auto"/>
          <w:kern w:val="0"/>
          <w:szCs w:val="24"/>
          <w:highlight w:val="none"/>
          <w:u w:val="none"/>
        </w:rPr>
        <w:t>提示：</w:t>
      </w:r>
      <w:r>
        <w:rPr>
          <w:rFonts w:hint="eastAsia" w:ascii="仿宋_GB2312" w:hAnsi="宋体" w:cs="宋体"/>
          <w:b/>
          <w:bCs/>
          <w:color w:val="auto"/>
          <w:kern w:val="0"/>
          <w:szCs w:val="24"/>
          <w:highlight w:val="none"/>
          <w:u w:val="none"/>
        </w:rPr>
        <w:t>浙银理财委托托管机构托管理财产品或委托销售机构销售理财产品的，可能涉及委托浙商银行股份有限公司（以下简称“浙商银行”）担任理财产品的托管机构或销售机构。浙银理财是浙商银行控股的子公司，双方存在关联关系。如浙银理财委托浙商银行托管或销售本理财产品，将严格</w:t>
      </w:r>
      <w:r>
        <w:rPr>
          <w:rFonts w:ascii="仿宋_GB2312" w:hAnsi="宋体" w:cs="宋体"/>
          <w:b/>
          <w:bCs/>
          <w:color w:val="auto"/>
          <w:kern w:val="0"/>
          <w:szCs w:val="24"/>
          <w:highlight w:val="none"/>
          <w:u w:val="none"/>
        </w:rPr>
        <w:t>履行</w:t>
      </w:r>
      <w:r>
        <w:rPr>
          <w:rFonts w:hint="eastAsia" w:ascii="仿宋_GB2312" w:hAnsi="宋体" w:cs="宋体"/>
          <w:b/>
          <w:bCs/>
          <w:color w:val="auto"/>
          <w:kern w:val="0"/>
          <w:szCs w:val="24"/>
          <w:highlight w:val="none"/>
          <w:u w:val="none"/>
        </w:rPr>
        <w:t>现行法律</w:t>
      </w:r>
      <w:r>
        <w:rPr>
          <w:rFonts w:ascii="仿宋_GB2312" w:hAnsi="宋体" w:cs="宋体"/>
          <w:b/>
          <w:bCs/>
          <w:color w:val="auto"/>
          <w:kern w:val="0"/>
          <w:szCs w:val="24"/>
          <w:highlight w:val="none"/>
          <w:u w:val="none"/>
        </w:rPr>
        <w:t>法规和</w:t>
      </w:r>
      <w:r>
        <w:rPr>
          <w:rFonts w:hint="eastAsia" w:ascii="仿宋_GB2312" w:hAnsi="宋体" w:cs="宋体"/>
          <w:b/>
          <w:bCs/>
          <w:color w:val="auto"/>
          <w:kern w:val="0"/>
          <w:szCs w:val="24"/>
          <w:highlight w:val="none"/>
          <w:u w:val="none"/>
        </w:rPr>
        <w:t>监管</w:t>
      </w:r>
      <w:r>
        <w:rPr>
          <w:rFonts w:ascii="仿宋_GB2312" w:hAnsi="宋体" w:cs="宋体"/>
          <w:b/>
          <w:bCs/>
          <w:color w:val="auto"/>
          <w:kern w:val="0"/>
          <w:szCs w:val="24"/>
          <w:highlight w:val="none"/>
          <w:u w:val="none"/>
        </w:rPr>
        <w:t>规定</w:t>
      </w:r>
      <w:r>
        <w:rPr>
          <w:rFonts w:hint="eastAsia" w:ascii="仿宋_GB2312" w:hAnsi="宋体" w:cs="宋体"/>
          <w:b/>
          <w:bCs/>
          <w:color w:val="auto"/>
          <w:kern w:val="0"/>
          <w:szCs w:val="24"/>
          <w:highlight w:val="none"/>
          <w:u w:val="none"/>
        </w:rPr>
        <w:t>所</w:t>
      </w:r>
      <w:r>
        <w:rPr>
          <w:rFonts w:ascii="仿宋_GB2312" w:hAnsi="宋体" w:cs="宋体"/>
          <w:b/>
          <w:bCs/>
          <w:color w:val="auto"/>
          <w:kern w:val="0"/>
          <w:szCs w:val="24"/>
          <w:highlight w:val="none"/>
          <w:u w:val="none"/>
        </w:rPr>
        <w:t>规定</w:t>
      </w:r>
      <w:r>
        <w:rPr>
          <w:rFonts w:hint="eastAsia" w:ascii="仿宋_GB2312" w:hAnsi="宋体" w:cs="宋体"/>
          <w:b/>
          <w:bCs/>
          <w:color w:val="auto"/>
          <w:kern w:val="0"/>
          <w:szCs w:val="24"/>
          <w:highlight w:val="none"/>
          <w:u w:val="none"/>
        </w:rPr>
        <w:t>必须</w:t>
      </w:r>
      <w:r>
        <w:rPr>
          <w:rFonts w:ascii="仿宋_GB2312" w:hAnsi="宋体" w:cs="宋体"/>
          <w:b/>
          <w:bCs/>
          <w:color w:val="auto"/>
          <w:kern w:val="0"/>
          <w:szCs w:val="24"/>
          <w:highlight w:val="none"/>
          <w:u w:val="none"/>
        </w:rPr>
        <w:t>履行的</w:t>
      </w:r>
      <w:r>
        <w:rPr>
          <w:rFonts w:hint="eastAsia" w:ascii="仿宋_GB2312" w:hAnsi="宋体" w:cs="宋体"/>
          <w:b/>
          <w:bCs/>
          <w:color w:val="auto"/>
          <w:kern w:val="0"/>
          <w:szCs w:val="24"/>
          <w:highlight w:val="none"/>
          <w:u w:val="none"/>
        </w:rPr>
        <w:t>程序。前述关联</w:t>
      </w:r>
      <w:r>
        <w:rPr>
          <w:rFonts w:ascii="仿宋_GB2312" w:hAnsi="宋体" w:cs="宋体"/>
          <w:b/>
          <w:bCs/>
          <w:color w:val="auto"/>
          <w:kern w:val="0"/>
          <w:szCs w:val="24"/>
          <w:highlight w:val="none"/>
          <w:u w:val="none"/>
        </w:rPr>
        <w:t>关系</w:t>
      </w:r>
      <w:r>
        <w:rPr>
          <w:rFonts w:hint="eastAsia" w:ascii="仿宋_GB2312" w:hAnsi="宋体" w:cs="宋体"/>
          <w:b/>
          <w:bCs/>
          <w:color w:val="auto"/>
          <w:kern w:val="0"/>
          <w:szCs w:val="24"/>
          <w:highlight w:val="none"/>
          <w:u w:val="none"/>
        </w:rPr>
        <w:t>可能</w:t>
      </w:r>
      <w:r>
        <w:rPr>
          <w:rFonts w:ascii="仿宋_GB2312" w:hAnsi="宋体" w:cs="宋体"/>
          <w:b/>
          <w:bCs/>
          <w:color w:val="auto"/>
          <w:kern w:val="0"/>
          <w:szCs w:val="24"/>
          <w:highlight w:val="none"/>
          <w:u w:val="none"/>
        </w:rPr>
        <w:t>导致</w:t>
      </w:r>
      <w:r>
        <w:rPr>
          <w:rFonts w:hint="eastAsia" w:ascii="仿宋_GB2312" w:hAnsi="宋体" w:cs="宋体"/>
          <w:b/>
          <w:bCs/>
          <w:color w:val="auto"/>
          <w:kern w:val="0"/>
          <w:szCs w:val="24"/>
          <w:highlight w:val="none"/>
          <w:u w:val="none"/>
        </w:rPr>
        <w:t>影响</w:t>
      </w:r>
      <w:r>
        <w:rPr>
          <w:rFonts w:ascii="仿宋_GB2312" w:hAnsi="宋体" w:cs="宋体"/>
          <w:b/>
          <w:bCs/>
          <w:color w:val="auto"/>
          <w:kern w:val="0"/>
          <w:szCs w:val="24"/>
          <w:highlight w:val="none"/>
          <w:u w:val="none"/>
        </w:rPr>
        <w:t>管理人</w:t>
      </w:r>
      <w:r>
        <w:rPr>
          <w:rFonts w:hint="eastAsia" w:ascii="仿宋_GB2312" w:hAnsi="宋体" w:cs="宋体"/>
          <w:b/>
          <w:bCs/>
          <w:color w:val="auto"/>
          <w:kern w:val="0"/>
          <w:szCs w:val="24"/>
          <w:highlight w:val="none"/>
          <w:u w:val="none"/>
        </w:rPr>
        <w:t>独立</w:t>
      </w:r>
      <w:r>
        <w:rPr>
          <w:rFonts w:ascii="仿宋_GB2312" w:hAnsi="宋体" w:cs="宋体"/>
          <w:b/>
          <w:bCs/>
          <w:color w:val="auto"/>
          <w:kern w:val="0"/>
          <w:szCs w:val="24"/>
          <w:highlight w:val="none"/>
          <w:u w:val="none"/>
        </w:rPr>
        <w:t>决策的</w:t>
      </w:r>
      <w:r>
        <w:rPr>
          <w:rFonts w:hint="eastAsia" w:ascii="仿宋_GB2312" w:hAnsi="宋体" w:cs="宋体"/>
          <w:b/>
          <w:bCs/>
          <w:color w:val="auto"/>
          <w:kern w:val="0"/>
          <w:szCs w:val="24"/>
          <w:highlight w:val="none"/>
          <w:u w:val="none"/>
        </w:rPr>
        <w:t>潜在</w:t>
      </w:r>
      <w:r>
        <w:rPr>
          <w:rFonts w:ascii="仿宋_GB2312" w:hAnsi="宋体" w:cs="宋体"/>
          <w:b/>
          <w:bCs/>
          <w:color w:val="auto"/>
          <w:kern w:val="0"/>
          <w:szCs w:val="24"/>
          <w:highlight w:val="none"/>
          <w:u w:val="none"/>
        </w:rPr>
        <w:t>风险</w:t>
      </w:r>
      <w:r>
        <w:rPr>
          <w:rFonts w:hint="eastAsia" w:ascii="仿宋_GB2312" w:hAnsi="宋体" w:cs="宋体"/>
          <w:b/>
          <w:bCs/>
          <w:color w:val="auto"/>
          <w:kern w:val="0"/>
          <w:szCs w:val="24"/>
          <w:highlight w:val="none"/>
          <w:u w:val="none"/>
        </w:rPr>
        <w:t>。</w:t>
      </w:r>
      <w:r>
        <w:rPr>
          <w:rFonts w:ascii="仿宋_GB2312" w:hAnsi="宋体" w:cs="宋体"/>
          <w:b/>
          <w:bCs/>
          <w:color w:val="auto"/>
          <w:kern w:val="0"/>
          <w:szCs w:val="24"/>
          <w:highlight w:val="none"/>
          <w:u w:val="none"/>
        </w:rPr>
        <w:t>投资者</w:t>
      </w:r>
      <w:r>
        <w:rPr>
          <w:rFonts w:hint="eastAsia" w:ascii="仿宋_GB2312" w:hAnsi="宋体" w:cs="宋体"/>
          <w:b/>
          <w:bCs/>
          <w:color w:val="auto"/>
          <w:kern w:val="0"/>
          <w:szCs w:val="24"/>
          <w:highlight w:val="none"/>
          <w:u w:val="none"/>
        </w:rPr>
        <w:t>确认已充分</w:t>
      </w:r>
      <w:r>
        <w:rPr>
          <w:rFonts w:ascii="仿宋_GB2312" w:hAnsi="宋体" w:cs="宋体"/>
          <w:b/>
          <w:bCs/>
          <w:color w:val="auto"/>
          <w:kern w:val="0"/>
          <w:szCs w:val="24"/>
          <w:highlight w:val="none"/>
          <w:u w:val="none"/>
        </w:rPr>
        <w:t>知悉前述</w:t>
      </w:r>
      <w:r>
        <w:rPr>
          <w:rFonts w:hint="eastAsia" w:ascii="仿宋_GB2312" w:hAnsi="宋体" w:cs="宋体"/>
          <w:b/>
          <w:bCs/>
          <w:color w:val="auto"/>
          <w:kern w:val="0"/>
          <w:szCs w:val="24"/>
          <w:highlight w:val="none"/>
          <w:u w:val="none"/>
        </w:rPr>
        <w:t>关联关系</w:t>
      </w:r>
      <w:r>
        <w:rPr>
          <w:rFonts w:ascii="仿宋_GB2312" w:hAnsi="宋体" w:cs="宋体"/>
          <w:b/>
          <w:bCs/>
          <w:color w:val="auto"/>
          <w:kern w:val="0"/>
          <w:szCs w:val="24"/>
          <w:highlight w:val="none"/>
          <w:u w:val="none"/>
        </w:rPr>
        <w:t>，</w:t>
      </w:r>
      <w:r>
        <w:rPr>
          <w:rFonts w:hint="eastAsia" w:ascii="仿宋_GB2312" w:hAnsi="宋体" w:cs="宋体"/>
          <w:b/>
          <w:bCs/>
          <w:color w:val="auto"/>
          <w:kern w:val="0"/>
          <w:szCs w:val="24"/>
          <w:highlight w:val="none"/>
          <w:u w:val="none"/>
        </w:rPr>
        <w:t>并</w:t>
      </w:r>
      <w:r>
        <w:rPr>
          <w:rFonts w:ascii="仿宋_GB2312" w:hAnsi="宋体" w:cs="宋体"/>
          <w:b/>
          <w:bCs/>
          <w:color w:val="auto"/>
          <w:kern w:val="0"/>
          <w:szCs w:val="24"/>
          <w:highlight w:val="none"/>
          <w:u w:val="none"/>
        </w:rPr>
        <w:t>接受</w:t>
      </w:r>
      <w:r>
        <w:rPr>
          <w:rFonts w:hint="eastAsia" w:ascii="仿宋_GB2312" w:hAnsi="宋体" w:cs="宋体"/>
          <w:b/>
          <w:bCs/>
          <w:color w:val="auto"/>
          <w:kern w:val="0"/>
          <w:szCs w:val="24"/>
          <w:highlight w:val="none"/>
          <w:u w:val="none"/>
        </w:rPr>
        <w:t>理财</w:t>
      </w:r>
      <w:r>
        <w:rPr>
          <w:rFonts w:ascii="仿宋_GB2312" w:hAnsi="宋体" w:cs="宋体"/>
          <w:b/>
          <w:bCs/>
          <w:color w:val="auto"/>
          <w:kern w:val="0"/>
          <w:szCs w:val="24"/>
          <w:highlight w:val="none"/>
          <w:u w:val="none"/>
        </w:rPr>
        <w:t>产品由</w:t>
      </w:r>
      <w:r>
        <w:rPr>
          <w:rFonts w:hint="eastAsia" w:ascii="仿宋_GB2312" w:hAnsi="宋体" w:cs="宋体"/>
          <w:b/>
          <w:bCs/>
          <w:color w:val="auto"/>
          <w:kern w:val="0"/>
          <w:szCs w:val="24"/>
          <w:highlight w:val="none"/>
          <w:u w:val="none"/>
        </w:rPr>
        <w:t>销售</w:t>
      </w:r>
      <w:r>
        <w:rPr>
          <w:rFonts w:ascii="仿宋_GB2312" w:hAnsi="宋体" w:cs="宋体"/>
          <w:b/>
          <w:bCs/>
          <w:color w:val="auto"/>
          <w:kern w:val="0"/>
          <w:szCs w:val="24"/>
          <w:highlight w:val="none"/>
          <w:u w:val="none"/>
        </w:rPr>
        <w:t>机构</w:t>
      </w:r>
      <w:r>
        <w:rPr>
          <w:rFonts w:hint="eastAsia" w:ascii="仿宋_GB2312" w:hAnsi="宋体" w:cs="宋体"/>
          <w:b/>
          <w:bCs/>
          <w:color w:val="auto"/>
          <w:kern w:val="0"/>
          <w:szCs w:val="24"/>
          <w:highlight w:val="none"/>
          <w:u w:val="none"/>
        </w:rPr>
        <w:t>代理</w:t>
      </w:r>
      <w:r>
        <w:rPr>
          <w:rFonts w:ascii="仿宋_GB2312" w:hAnsi="宋体" w:cs="宋体"/>
          <w:b/>
          <w:bCs/>
          <w:color w:val="auto"/>
          <w:kern w:val="0"/>
          <w:szCs w:val="24"/>
          <w:highlight w:val="none"/>
          <w:u w:val="none"/>
        </w:rPr>
        <w:t>销售</w:t>
      </w:r>
      <w:r>
        <w:rPr>
          <w:rFonts w:hint="eastAsia" w:ascii="仿宋_GB2312" w:hAnsi="宋体" w:cs="宋体"/>
          <w:b/>
          <w:bCs/>
          <w:color w:val="auto"/>
          <w:kern w:val="0"/>
          <w:szCs w:val="24"/>
          <w:highlight w:val="none"/>
          <w:u w:val="none"/>
        </w:rPr>
        <w:t>、托管机构</w:t>
      </w:r>
      <w:r>
        <w:rPr>
          <w:rFonts w:ascii="仿宋_GB2312" w:hAnsi="宋体" w:cs="宋体"/>
          <w:b/>
          <w:bCs/>
          <w:color w:val="auto"/>
          <w:kern w:val="0"/>
          <w:szCs w:val="24"/>
          <w:highlight w:val="none"/>
          <w:u w:val="none"/>
        </w:rPr>
        <w:t>托管。</w:t>
      </w:r>
    </w:p>
    <w:p w14:paraId="6283BA56">
      <w:pPr>
        <w:pStyle w:val="3"/>
        <w:widowControl/>
        <w:numPr>
          <w:ilvl w:val="1"/>
          <w:numId w:val="11"/>
        </w:numPr>
        <w:tabs>
          <w:tab w:val="left" w:pos="709"/>
        </w:tabs>
        <w:adjustRightInd w:val="0"/>
        <w:snapToGrid w:val="0"/>
        <w:ind w:firstLine="482"/>
        <w:rPr>
          <w:color w:val="auto"/>
          <w:highlight w:val="none"/>
          <w:u w:val="none"/>
        </w:rPr>
      </w:pPr>
      <w:r>
        <w:rPr>
          <w:color w:val="auto"/>
          <w:highlight w:val="none"/>
          <w:u w:val="none"/>
        </w:rPr>
        <w:t>募集期</w:t>
      </w:r>
    </w:p>
    <w:p w14:paraId="1CA811B0">
      <w:pPr>
        <w:widowControl/>
        <w:tabs>
          <w:tab w:val="left" w:pos="709"/>
        </w:tabs>
        <w:adjustRightInd w:val="0"/>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产品募集期内，投资者可多次对本产品认购或</w:t>
      </w:r>
      <w:r>
        <w:rPr>
          <w:rFonts w:hint="eastAsia"/>
        </w:rPr>
        <w:t>撤单</w:t>
      </w:r>
      <w:r>
        <w:rPr>
          <w:rFonts w:hint="eastAsia" w:ascii="仿宋_GB2312" w:hAnsi="宋体" w:cs="宋体"/>
          <w:bCs/>
          <w:kern w:val="0"/>
          <w:szCs w:val="24"/>
        </w:rPr>
        <w:t>。如投资者认购成功，销售机构有权冻结投资者认购资金，</w:t>
      </w:r>
      <w:r>
        <w:rPr>
          <w:rFonts w:hint="eastAsia" w:ascii="仿宋_GB2312" w:hAnsi="宋体" w:cs="宋体"/>
          <w:b/>
          <w:kern w:val="0"/>
          <w:szCs w:val="24"/>
        </w:rPr>
        <w:t>但募集期内认购资金是否计息以销售机构规则为准，利息不计入认购本金份额。</w:t>
      </w:r>
      <w:r>
        <w:rPr>
          <w:rFonts w:hint="eastAsia" w:ascii="仿宋_GB2312" w:hAnsi="宋体" w:cs="宋体"/>
          <w:bCs/>
          <w:kern w:val="0"/>
          <w:szCs w:val="24"/>
        </w:rPr>
        <w:t>销售机构实际受理投资者成功提交的认购申请时间可能与说明书不一致，具体以销售机构信息为准。</w:t>
      </w:r>
    </w:p>
    <w:p w14:paraId="191AF759">
      <w:pPr>
        <w:widowControl/>
        <w:tabs>
          <w:tab w:val="left" w:pos="709"/>
        </w:tabs>
        <w:adjustRightInd w:val="0"/>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本理财产品累计认购份额达到发行规模上限时，销售机构有权停止接受认购申请。管理人有权根据募集情况提前终止或延长产品募集期，</w:t>
      </w:r>
      <w:r>
        <w:rPr>
          <w:rFonts w:ascii="仿宋_GB2312" w:hAnsi="宋体" w:cs="宋体"/>
          <w:bCs/>
          <w:kern w:val="0"/>
          <w:szCs w:val="24"/>
        </w:rPr>
        <w:t>如有变动</w:t>
      </w:r>
      <w:r>
        <w:rPr>
          <w:rFonts w:hint="eastAsia" w:ascii="仿宋_GB2312" w:hAnsi="宋体" w:cs="宋体"/>
          <w:bCs/>
          <w:kern w:val="0"/>
          <w:szCs w:val="24"/>
        </w:rPr>
        <w:t>以管理人或销售机构公告为准。</w:t>
      </w:r>
    </w:p>
    <w:p w14:paraId="441BAD7E">
      <w:pPr>
        <w:pStyle w:val="3"/>
        <w:widowControl/>
        <w:numPr>
          <w:ilvl w:val="1"/>
          <w:numId w:val="11"/>
        </w:numPr>
        <w:tabs>
          <w:tab w:val="left" w:pos="709"/>
        </w:tabs>
        <w:snapToGrid w:val="0"/>
        <w:ind w:firstLine="482"/>
        <w:rPr>
          <w:rStyle w:val="15"/>
          <w:rFonts w:ascii="仿宋_GB2312" w:hAnsi="宋体"/>
          <w:b w:val="0"/>
          <w:color w:val="auto"/>
          <w:highlight w:val="none"/>
          <w:u w:val="none"/>
        </w:rPr>
      </w:pPr>
      <w:r>
        <w:rPr>
          <w:rFonts w:hint="eastAsia" w:ascii="仿宋_GB2312" w:hAnsi="宋体" w:cs="宋体"/>
          <w:bCs/>
          <w:color w:val="auto"/>
          <w:kern w:val="0"/>
          <w:szCs w:val="24"/>
          <w:highlight w:val="none"/>
          <w:u w:val="none"/>
        </w:rPr>
        <w:t>投资者</w:t>
      </w:r>
      <w:r>
        <w:rPr>
          <w:rFonts w:ascii="仿宋_GB2312" w:hAnsi="宋体" w:cs="宋体"/>
          <w:bCs/>
          <w:color w:val="auto"/>
          <w:kern w:val="0"/>
          <w:szCs w:val="24"/>
          <w:highlight w:val="none"/>
          <w:u w:val="none"/>
        </w:rPr>
        <w:t>范围</w:t>
      </w:r>
    </w:p>
    <w:p w14:paraId="7A3444C4">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02BCFFD1">
      <w:pPr>
        <w:pStyle w:val="3"/>
        <w:numPr>
          <w:ilvl w:val="1"/>
          <w:numId w:val="11"/>
        </w:numPr>
        <w:ind w:firstLine="482"/>
        <w:rPr>
          <w:color w:val="auto"/>
          <w:highlight w:val="none"/>
          <w:u w:val="none"/>
        </w:rPr>
      </w:pPr>
      <w:r>
        <w:rPr>
          <w:rFonts w:hint="eastAsia"/>
          <w:color w:val="auto"/>
          <w:highlight w:val="none"/>
          <w:u w:val="none"/>
        </w:rPr>
        <w:t>认购的</w:t>
      </w:r>
      <w:r>
        <w:rPr>
          <w:color w:val="auto"/>
          <w:highlight w:val="none"/>
          <w:u w:val="none"/>
        </w:rPr>
        <w:t>价格</w:t>
      </w:r>
    </w:p>
    <w:p w14:paraId="4A60E094">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本产品的认购价格为每份理财份额人民币1.00</w:t>
      </w:r>
      <w:r>
        <w:rPr>
          <w:rFonts w:ascii="仿宋_GB2312" w:hAnsi="宋体" w:cs="宋体"/>
          <w:bCs/>
          <w:color w:val="auto"/>
          <w:kern w:val="0"/>
          <w:szCs w:val="24"/>
          <w:highlight w:val="none"/>
          <w:u w:val="none"/>
        </w:rPr>
        <w:t>00</w:t>
      </w:r>
      <w:r>
        <w:rPr>
          <w:rFonts w:hint="eastAsia" w:ascii="仿宋_GB2312" w:hAnsi="宋体" w:cs="宋体"/>
          <w:bCs/>
          <w:color w:val="auto"/>
          <w:kern w:val="0"/>
          <w:szCs w:val="24"/>
          <w:highlight w:val="none"/>
          <w:u w:val="none"/>
          <w:lang w:val="en-US" w:eastAsia="zh-CN"/>
        </w:rPr>
        <w:t>00</w:t>
      </w:r>
      <w:r>
        <w:rPr>
          <w:rFonts w:hint="eastAsia" w:ascii="仿宋_GB2312" w:hAnsi="宋体" w:cs="宋体"/>
          <w:bCs/>
          <w:color w:val="auto"/>
          <w:kern w:val="0"/>
          <w:szCs w:val="24"/>
          <w:highlight w:val="none"/>
          <w:u w:val="none"/>
        </w:rPr>
        <w:t>元。</w:t>
      </w:r>
    </w:p>
    <w:p w14:paraId="352D8BDA">
      <w:pPr>
        <w:pStyle w:val="3"/>
        <w:widowControl/>
        <w:numPr>
          <w:ilvl w:val="1"/>
          <w:numId w:val="11"/>
        </w:numPr>
        <w:tabs>
          <w:tab w:val="left" w:pos="709"/>
        </w:tabs>
        <w:snapToGrid w:val="0"/>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认购</w:t>
      </w:r>
      <w:r>
        <w:rPr>
          <w:rFonts w:ascii="仿宋_GB2312" w:hAnsi="宋体" w:cs="宋体"/>
          <w:bCs/>
          <w:color w:val="auto"/>
          <w:kern w:val="0"/>
          <w:szCs w:val="24"/>
          <w:highlight w:val="none"/>
          <w:u w:val="none"/>
        </w:rPr>
        <w:t>份额</w:t>
      </w:r>
      <w:r>
        <w:rPr>
          <w:rFonts w:hint="eastAsia" w:ascii="仿宋_GB2312" w:hAnsi="宋体" w:cs="宋体"/>
          <w:bCs/>
          <w:color w:val="auto"/>
          <w:kern w:val="0"/>
          <w:szCs w:val="24"/>
          <w:highlight w:val="none"/>
          <w:u w:val="none"/>
        </w:rPr>
        <w:t>的</w:t>
      </w:r>
      <w:r>
        <w:rPr>
          <w:rFonts w:ascii="仿宋_GB2312" w:hAnsi="宋体" w:cs="宋体"/>
          <w:bCs/>
          <w:color w:val="auto"/>
          <w:kern w:val="0"/>
          <w:szCs w:val="24"/>
          <w:highlight w:val="none"/>
          <w:u w:val="none"/>
        </w:rPr>
        <w:t>计算</w:t>
      </w:r>
    </w:p>
    <w:p w14:paraId="5F35D287">
      <w:pPr>
        <w:widowControl/>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本产品采用金额认购方法，认购金额包括认购费用和净认购金额，认购时计算方法如下： </w:t>
      </w:r>
    </w:p>
    <w:p w14:paraId="48A87C7D">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净认购金额=认购金额/（1+认购费率）（认购费率详见产品说明书关于费用的说明）</w:t>
      </w:r>
    </w:p>
    <w:p w14:paraId="6FE09DBE">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认购费用=认购金额-净认购金额</w:t>
      </w:r>
    </w:p>
    <w:p w14:paraId="415E2BA8">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rPr>
        <w:t>认购份额=净认购金额/理财产品单位份额净值</w:t>
      </w:r>
      <w:r>
        <w:rPr>
          <w:rFonts w:hint="eastAsia" w:ascii="仿宋_GB2312" w:hAnsi="宋体" w:cs="宋体"/>
          <w:bCs/>
          <w:color w:val="auto"/>
          <w:kern w:val="0"/>
          <w:szCs w:val="24"/>
          <w:highlight w:val="yellow"/>
          <w:u w:val="none"/>
          <w:lang w:eastAsia="zh-CN"/>
        </w:rPr>
        <w:t>】</w:t>
      </w:r>
    </w:p>
    <w:p w14:paraId="499D48C4">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认购份额以四舍五入的方法保留到小数点后两位。</w:t>
      </w:r>
    </w:p>
    <w:p w14:paraId="40AF78C2">
      <w:pPr>
        <w:pStyle w:val="3"/>
        <w:numPr>
          <w:ilvl w:val="1"/>
          <w:numId w:val="11"/>
        </w:numPr>
        <w:ind w:firstLine="482"/>
        <w:rPr>
          <w:color w:val="auto"/>
          <w:highlight w:val="none"/>
          <w:u w:val="none"/>
        </w:rPr>
      </w:pPr>
      <w:r>
        <w:rPr>
          <w:rFonts w:hint="eastAsia"/>
          <w:color w:val="auto"/>
          <w:highlight w:val="none"/>
          <w:u w:val="none"/>
        </w:rPr>
        <w:t>认购</w:t>
      </w:r>
      <w:r>
        <w:rPr>
          <w:rFonts w:hint="eastAsia"/>
          <w:color w:val="auto"/>
          <w:highlight w:val="none"/>
          <w:u w:val="none"/>
          <w:lang w:eastAsia="zh-CN"/>
        </w:rPr>
        <w:t>的</w:t>
      </w:r>
      <w:r>
        <w:rPr>
          <w:rFonts w:hint="eastAsia"/>
          <w:color w:val="auto"/>
          <w:highlight w:val="none"/>
          <w:u w:val="none"/>
        </w:rPr>
        <w:t>起点</w:t>
      </w:r>
      <w:r>
        <w:rPr>
          <w:rFonts w:hint="eastAsia"/>
          <w:color w:val="auto"/>
          <w:highlight w:val="none"/>
          <w:u w:val="none"/>
          <w:lang w:eastAsia="zh-CN"/>
        </w:rPr>
        <w:t>销售金额</w:t>
      </w:r>
      <w:r>
        <w:rPr>
          <w:rFonts w:hint="eastAsia"/>
          <w:color w:val="auto"/>
          <w:highlight w:val="none"/>
          <w:u w:val="none"/>
        </w:rPr>
        <w:t>和</w:t>
      </w:r>
      <w:r>
        <w:rPr>
          <w:rFonts w:hint="eastAsia"/>
          <w:color w:val="auto"/>
          <w:highlight w:val="none"/>
          <w:u w:val="none"/>
          <w:lang w:eastAsia="zh-CN"/>
        </w:rPr>
        <w:t>追加</w:t>
      </w:r>
      <w:r>
        <w:rPr>
          <w:rFonts w:hint="eastAsia"/>
          <w:color w:val="auto"/>
          <w:highlight w:val="none"/>
          <w:u w:val="none"/>
        </w:rPr>
        <w:t>递增</w:t>
      </w:r>
      <w:r>
        <w:rPr>
          <w:color w:val="auto"/>
          <w:highlight w:val="none"/>
          <w:u w:val="none"/>
        </w:rPr>
        <w:t>金额</w:t>
      </w:r>
    </w:p>
    <w:p w14:paraId="2A97AA75">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579714F9">
      <w:pPr>
        <w:pStyle w:val="3"/>
        <w:widowControl/>
        <w:numPr>
          <w:ilvl w:val="1"/>
          <w:numId w:val="11"/>
        </w:numPr>
        <w:tabs>
          <w:tab w:val="left" w:pos="709"/>
        </w:tabs>
        <w:snapToGrid w:val="0"/>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认购确认</w:t>
      </w:r>
    </w:p>
    <w:p w14:paraId="1A754DB0">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投资者提交认购申请后，如管理人在认购</w:t>
      </w:r>
      <w:r>
        <w:rPr>
          <w:rFonts w:ascii="仿宋_GB2312" w:hAnsi="宋体" w:cs="宋体"/>
          <w:bCs/>
          <w:color w:val="auto"/>
          <w:kern w:val="0"/>
          <w:szCs w:val="24"/>
          <w:highlight w:val="none"/>
          <w:u w:val="none"/>
        </w:rPr>
        <w:t>确认日</w:t>
      </w:r>
      <w:r>
        <w:rPr>
          <w:rFonts w:hint="eastAsia" w:ascii="仿宋_GB2312" w:hAnsi="宋体" w:cs="宋体"/>
          <w:bCs/>
          <w:color w:val="auto"/>
          <w:kern w:val="0"/>
          <w:szCs w:val="24"/>
          <w:highlight w:val="none"/>
          <w:u w:val="none"/>
        </w:rPr>
        <w:t>成功登记投资者认购份额，则视为投资者的认购申请生效。销售机构成功登记投资者认购份额、投资者认购申请生效并不代表销售机构对该认购申请结果的成功确认或承诺，而仅代表其收到认购申请，认购申请结果是否成功以管理人确认为准。本产品认购确认日为本产品成立日。</w:t>
      </w:r>
    </w:p>
    <w:p w14:paraId="22987364">
      <w:pPr>
        <w:pStyle w:val="3"/>
        <w:widowControl/>
        <w:numPr>
          <w:ilvl w:val="1"/>
          <w:numId w:val="11"/>
        </w:numPr>
        <w:tabs>
          <w:tab w:val="left" w:pos="709"/>
        </w:tabs>
        <w:snapToGrid w:val="0"/>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认购撤销</w:t>
      </w:r>
    </w:p>
    <w:p w14:paraId="2A16CED6">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募集期内投资者可以撤销已提交的认购申请，具体请以销售机构规定为准。</w:t>
      </w:r>
    </w:p>
    <w:p w14:paraId="68637C32">
      <w:pPr>
        <w:pStyle w:val="3"/>
        <w:widowControl/>
        <w:numPr>
          <w:ilvl w:val="1"/>
          <w:numId w:val="11"/>
        </w:numPr>
        <w:tabs>
          <w:tab w:val="left" w:pos="709"/>
        </w:tabs>
        <w:snapToGrid w:val="0"/>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认购数量</w:t>
      </w:r>
      <w:r>
        <w:rPr>
          <w:rFonts w:ascii="仿宋_GB2312" w:hAnsi="宋体" w:cs="宋体"/>
          <w:bCs/>
          <w:color w:val="auto"/>
          <w:kern w:val="0"/>
          <w:szCs w:val="24"/>
          <w:highlight w:val="none"/>
          <w:u w:val="none"/>
        </w:rPr>
        <w:t>限制</w:t>
      </w:r>
    </w:p>
    <w:p w14:paraId="67A33938">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6BA4BE4C">
      <w:pPr>
        <w:pStyle w:val="3"/>
        <w:numPr>
          <w:ilvl w:val="1"/>
          <w:numId w:val="11"/>
        </w:numPr>
        <w:ind w:firstLine="482"/>
        <w:rPr>
          <w:color w:val="auto"/>
          <w:highlight w:val="none"/>
          <w:u w:val="none"/>
        </w:rPr>
      </w:pPr>
      <w:r>
        <w:rPr>
          <w:rFonts w:hint="eastAsia"/>
          <w:color w:val="auto"/>
          <w:highlight w:val="none"/>
          <w:u w:val="none"/>
        </w:rPr>
        <w:t>产品成立</w:t>
      </w:r>
    </w:p>
    <w:p w14:paraId="667C8BDF">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1.募集期届满，募集总资金累计金额不低于产品最低成立规模时，产品成立。</w:t>
      </w:r>
    </w:p>
    <w:p w14:paraId="1852A7D8">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w:t>
      </w:r>
      <w:r>
        <w:rPr>
          <w:rFonts w:hint="eastAsia" w:ascii="仿宋_GB2312" w:hAnsi="宋体" w:cs="宋体"/>
          <w:b/>
          <w:bCs/>
          <w:color w:val="auto"/>
          <w:kern w:val="0"/>
          <w:szCs w:val="24"/>
          <w:highlight w:val="none"/>
          <w:u w:val="none"/>
        </w:rPr>
        <w:t>本产品募集期限内，如募集总金额未达到产品最低成立规模，或国家宏观政策以及市场相关法规政策发生变化，或市场发生剧烈波动，或发生其他经管理人合理判断难以履行本理财产品说明书约定或可能导致投资者权益受损的情形，管理人有权利但无义务宣布本理财产品不成立</w:t>
      </w:r>
      <w:r>
        <w:rPr>
          <w:rFonts w:hint="eastAsia" w:ascii="仿宋_GB2312" w:hAnsi="宋体"/>
          <w:b/>
          <w:color w:val="auto"/>
          <w:kern w:val="0"/>
          <w:szCs w:val="24"/>
          <w:highlight w:val="none"/>
          <w:u w:val="none"/>
        </w:rPr>
        <w:t>，亦有权延长募集期或调整募集规模</w:t>
      </w:r>
      <w:r>
        <w:rPr>
          <w:rFonts w:hint="eastAsia" w:ascii="仿宋_GB2312" w:hAnsi="宋体" w:cs="宋体"/>
          <w:b/>
          <w:bCs/>
          <w:color w:val="auto"/>
          <w:kern w:val="0"/>
          <w:szCs w:val="24"/>
          <w:highlight w:val="none"/>
          <w:u w:val="none"/>
        </w:rPr>
        <w:t>。</w:t>
      </w:r>
    </w:p>
    <w:p w14:paraId="2E1D1CF4">
      <w:pPr>
        <w:widowControl/>
        <w:tabs>
          <w:tab w:val="left" w:pos="709"/>
        </w:tabs>
        <w:snapToGrid w:val="0"/>
        <w:spacing w:line="360" w:lineRule="auto"/>
        <w:ind w:firstLine="420" w:firstLineChars="200"/>
        <w:rPr>
          <w:rFonts w:ascii="仿宋_GB2312" w:hAnsi="宋体" w:cs="宋体"/>
          <w:b/>
          <w:bCs/>
          <w:color w:val="auto"/>
          <w:kern w:val="0"/>
          <w:szCs w:val="24"/>
          <w:highlight w:val="none"/>
          <w:u w:val="none"/>
        </w:rPr>
      </w:pPr>
      <w:r>
        <w:rPr>
          <w:rFonts w:hint="eastAsia" w:ascii="仿宋_GB2312" w:hAnsi="宋体" w:cs="宋体"/>
          <w:bCs/>
          <w:color w:val="auto"/>
          <w:kern w:val="0"/>
          <w:szCs w:val="24"/>
          <w:highlight w:val="none"/>
          <w:u w:val="none"/>
        </w:rPr>
        <w:t>（1）产品不成立：管理人决定理财产品不成立，将及时通过本产品说明书约定的</w:t>
      </w:r>
      <w:r>
        <w:rPr>
          <w:rFonts w:ascii="仿宋_GB2312" w:hAnsi="宋体" w:cs="宋体"/>
          <w:bCs/>
          <w:color w:val="auto"/>
          <w:kern w:val="0"/>
          <w:szCs w:val="24"/>
          <w:highlight w:val="none"/>
          <w:u w:val="none"/>
        </w:rPr>
        <w:t>方式</w:t>
      </w:r>
      <w:r>
        <w:rPr>
          <w:rFonts w:hint="eastAsia" w:ascii="仿宋_GB2312" w:hAnsi="宋体" w:cs="宋体"/>
          <w:bCs/>
          <w:color w:val="auto"/>
          <w:kern w:val="0"/>
          <w:szCs w:val="24"/>
          <w:highlight w:val="none"/>
          <w:u w:val="none"/>
        </w:rPr>
        <w:t>披露产品不成立相关信息，并在不晚于产品原计划成立日后的</w:t>
      </w: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lang w:eastAsia="zh-CN"/>
        </w:rPr>
        <w:sym w:font="Wingdings 2" w:char="00A3"/>
      </w:r>
      <w:r>
        <w:rPr>
          <w:rFonts w:hint="eastAsia" w:ascii="仿宋_GB2312" w:hAnsi="宋体" w:cs="宋体"/>
          <w:bCs/>
          <w:kern w:val="0"/>
          <w:szCs w:val="24"/>
          <w:highlight w:val="yellow"/>
          <w:lang w:eastAsia="zh-CN"/>
        </w:rPr>
        <w:t>工作日</w:t>
      </w:r>
      <w:r>
        <w:rPr>
          <w:rFonts w:hint="eastAsia" w:ascii="仿宋_GB2312" w:hAnsi="宋体" w:cs="宋体"/>
          <w:bCs/>
          <w:kern w:val="0"/>
          <w:szCs w:val="24"/>
          <w:highlight w:val="yellow"/>
          <w:lang w:val="en-US" w:eastAsia="zh-CN"/>
        </w:rPr>
        <w:t>/</w:t>
      </w:r>
      <w:r>
        <w:rPr>
          <w:rFonts w:hint="eastAsia" w:ascii="仿宋_GB2312" w:hAnsi="宋体" w:cs="宋体"/>
          <w:bCs/>
          <w:kern w:val="0"/>
          <w:szCs w:val="24"/>
          <w:highlight w:val="yellow"/>
          <w:lang w:val="en-US" w:eastAsia="zh-CN"/>
        </w:rPr>
        <w:sym w:font="Wingdings 2" w:char="00A3"/>
      </w:r>
      <w:r>
        <w:rPr>
          <w:rFonts w:hint="eastAsia" w:ascii="仿宋_GB2312" w:hAnsi="宋体" w:cs="宋体"/>
          <w:bCs/>
          <w:kern w:val="0"/>
          <w:szCs w:val="24"/>
          <w:highlight w:val="yellow"/>
          <w:lang w:val="en-US" w:eastAsia="zh-CN"/>
        </w:rPr>
        <w:t>交易日</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通过销售机构将理财投资本金退回投资者指定账户。</w:t>
      </w:r>
    </w:p>
    <w:p w14:paraId="42153005">
      <w:pPr>
        <w:widowControl/>
        <w:tabs>
          <w:tab w:val="left" w:pos="709"/>
        </w:tabs>
        <w:snapToGrid w:val="0"/>
        <w:spacing w:line="360" w:lineRule="auto"/>
        <w:ind w:firstLine="420" w:firstLineChars="200"/>
        <w:rPr>
          <w:rFonts w:ascii="仿宋_GB2312" w:hAnsi="宋体"/>
          <w:color w:val="auto"/>
          <w:kern w:val="0"/>
          <w:szCs w:val="24"/>
          <w:highlight w:val="none"/>
          <w:u w:val="none"/>
        </w:rPr>
      </w:pPr>
      <w:r>
        <w:rPr>
          <w:rFonts w:hint="eastAsia" w:ascii="仿宋_GB2312" w:hAnsi="宋体" w:cs="宋体"/>
          <w:bCs/>
          <w:color w:val="auto"/>
          <w:kern w:val="0"/>
          <w:szCs w:val="24"/>
          <w:highlight w:val="none"/>
          <w:u w:val="none"/>
        </w:rPr>
        <w:t>（2）</w:t>
      </w:r>
      <w:r>
        <w:rPr>
          <w:rFonts w:hint="eastAsia" w:ascii="仿宋_GB2312" w:hAnsi="宋体"/>
          <w:color w:val="auto"/>
          <w:kern w:val="0"/>
          <w:szCs w:val="24"/>
          <w:highlight w:val="none"/>
          <w:u w:val="none"/>
        </w:rPr>
        <w:t>延长产品募集期:</w:t>
      </w:r>
      <w:r>
        <w:rPr>
          <w:rFonts w:hint="eastAsia" w:ascii="仿宋_GB2312" w:hAnsi="宋体" w:cs="宋体"/>
          <w:bCs/>
          <w:color w:val="auto"/>
          <w:kern w:val="0"/>
          <w:szCs w:val="24"/>
          <w:highlight w:val="none"/>
          <w:u w:val="none"/>
        </w:rPr>
        <w:t>管理人决定延长产品募集期，</w:t>
      </w:r>
      <w:r>
        <w:rPr>
          <w:rFonts w:hint="eastAsia" w:ascii="仿宋_GB2312" w:hAnsi="宋体"/>
          <w:color w:val="auto"/>
          <w:kern w:val="0"/>
          <w:szCs w:val="24"/>
          <w:highlight w:val="none"/>
          <w:u w:val="none"/>
        </w:rPr>
        <w:t>将在理财</w:t>
      </w:r>
      <w:r>
        <w:rPr>
          <w:rFonts w:ascii="仿宋_GB2312" w:hAnsi="宋体"/>
          <w:color w:val="auto"/>
          <w:kern w:val="0"/>
          <w:szCs w:val="24"/>
          <w:highlight w:val="none"/>
          <w:u w:val="none"/>
        </w:rPr>
        <w:t>产品</w:t>
      </w:r>
      <w:r>
        <w:rPr>
          <w:rFonts w:hint="eastAsia" w:ascii="仿宋_GB2312" w:hAnsi="宋体"/>
          <w:color w:val="auto"/>
          <w:kern w:val="0"/>
          <w:szCs w:val="24"/>
          <w:highlight w:val="none"/>
          <w:u w:val="none"/>
        </w:rPr>
        <w:t>原定成立日前</w:t>
      </w:r>
      <w:r>
        <w:rPr>
          <w:rFonts w:hint="eastAsia" w:ascii="仿宋_GB2312" w:hAnsi="宋体" w:cs="宋体"/>
          <w:bCs/>
          <w:color w:val="auto"/>
          <w:kern w:val="0"/>
          <w:szCs w:val="24"/>
          <w:highlight w:val="none"/>
          <w:u w:val="none"/>
        </w:rPr>
        <w:t>通过本产品说明书约定</w:t>
      </w:r>
      <w:r>
        <w:rPr>
          <w:rFonts w:ascii="仿宋_GB2312" w:hAnsi="宋体" w:cs="宋体"/>
          <w:bCs/>
          <w:color w:val="auto"/>
          <w:kern w:val="0"/>
          <w:szCs w:val="24"/>
          <w:highlight w:val="none"/>
          <w:u w:val="none"/>
        </w:rPr>
        <w:t>方式</w:t>
      </w:r>
      <w:r>
        <w:rPr>
          <w:rFonts w:hint="eastAsia" w:ascii="仿宋_GB2312" w:hAnsi="宋体"/>
          <w:color w:val="auto"/>
          <w:kern w:val="0"/>
          <w:szCs w:val="24"/>
          <w:highlight w:val="none"/>
          <w:u w:val="none"/>
        </w:rPr>
        <w:t>发布募集期延长公告。</w:t>
      </w:r>
    </w:p>
    <w:p w14:paraId="76658698">
      <w:pPr>
        <w:widowControl/>
        <w:tabs>
          <w:tab w:val="left" w:pos="709"/>
        </w:tabs>
        <w:snapToGrid w:val="0"/>
        <w:spacing w:line="360" w:lineRule="auto"/>
        <w:ind w:firstLine="420" w:firstLineChars="200"/>
        <w:rPr>
          <w:rFonts w:ascii="仿宋_GB2312" w:hAnsi="宋体"/>
          <w:color w:val="auto"/>
          <w:kern w:val="0"/>
          <w:szCs w:val="24"/>
          <w:highlight w:val="none"/>
          <w:u w:val="none"/>
        </w:rPr>
      </w:pPr>
      <w:r>
        <w:rPr>
          <w:rFonts w:hint="eastAsia" w:ascii="仿宋_GB2312" w:hAnsi="宋体" w:cs="宋体"/>
          <w:bCs/>
          <w:color w:val="auto"/>
          <w:kern w:val="0"/>
          <w:szCs w:val="24"/>
          <w:highlight w:val="none"/>
          <w:u w:val="none"/>
        </w:rPr>
        <w:t>（3）</w:t>
      </w:r>
      <w:r>
        <w:rPr>
          <w:rFonts w:hint="eastAsia" w:ascii="仿宋_GB2312" w:hAnsi="宋体"/>
          <w:color w:val="auto"/>
          <w:kern w:val="0"/>
          <w:szCs w:val="24"/>
          <w:highlight w:val="none"/>
          <w:u w:val="none"/>
        </w:rPr>
        <w:t>调整产品募集规模：</w:t>
      </w:r>
      <w:r>
        <w:rPr>
          <w:rFonts w:hint="eastAsia" w:ascii="仿宋_GB2312" w:hAnsi="宋体" w:cs="宋体"/>
          <w:bCs/>
          <w:color w:val="auto"/>
          <w:kern w:val="0"/>
          <w:szCs w:val="24"/>
          <w:highlight w:val="none"/>
          <w:u w:val="none"/>
        </w:rPr>
        <w:t>管理人决定调整产品募集规模，</w:t>
      </w:r>
      <w:r>
        <w:rPr>
          <w:rFonts w:hint="eastAsia" w:ascii="仿宋_GB2312" w:hAnsi="宋体"/>
          <w:color w:val="auto"/>
          <w:kern w:val="0"/>
          <w:szCs w:val="24"/>
          <w:highlight w:val="none"/>
          <w:u w:val="none"/>
        </w:rPr>
        <w:t>将及时通过</w:t>
      </w:r>
      <w:r>
        <w:rPr>
          <w:rFonts w:hint="eastAsia" w:ascii="仿宋_GB2312" w:hAnsi="宋体" w:cs="宋体"/>
          <w:bCs/>
          <w:color w:val="auto"/>
          <w:kern w:val="0"/>
          <w:szCs w:val="24"/>
          <w:highlight w:val="none"/>
          <w:u w:val="none"/>
        </w:rPr>
        <w:t>本产品说明书约定</w:t>
      </w:r>
      <w:r>
        <w:rPr>
          <w:rFonts w:ascii="仿宋_GB2312" w:hAnsi="宋体" w:cs="宋体"/>
          <w:bCs/>
          <w:color w:val="auto"/>
          <w:kern w:val="0"/>
          <w:szCs w:val="24"/>
          <w:highlight w:val="none"/>
          <w:u w:val="none"/>
        </w:rPr>
        <w:t>方式</w:t>
      </w:r>
      <w:r>
        <w:rPr>
          <w:rFonts w:hint="eastAsia" w:ascii="仿宋_GB2312" w:hAnsi="宋体"/>
          <w:color w:val="auto"/>
          <w:kern w:val="0"/>
          <w:szCs w:val="24"/>
          <w:highlight w:val="none"/>
          <w:u w:val="none"/>
        </w:rPr>
        <w:t>发布产品募集规模调整公告。</w:t>
      </w:r>
    </w:p>
    <w:p w14:paraId="64F766FA">
      <w:pPr>
        <w:widowControl/>
        <w:rPr>
          <w:rFonts w:ascii="仿宋_GB2312" w:hAnsi="宋体"/>
          <w:color w:val="auto"/>
          <w:kern w:val="0"/>
          <w:szCs w:val="24"/>
          <w:highlight w:val="none"/>
          <w:u w:val="none"/>
        </w:rPr>
      </w:pPr>
      <w:r>
        <w:rPr>
          <w:rFonts w:hint="eastAsia" w:ascii="仿宋_GB2312" w:hAnsi="宋体"/>
          <w:color w:val="auto"/>
          <w:kern w:val="0"/>
          <w:szCs w:val="24"/>
          <w:highlight w:val="none"/>
          <w:u w:val="none"/>
        </w:rPr>
        <w:br w:type="page"/>
      </w:r>
    </w:p>
    <w:p w14:paraId="21A837EA">
      <w:pPr>
        <w:pStyle w:val="2"/>
        <w:widowControl/>
        <w:numPr>
          <w:ilvl w:val="0"/>
          <w:numId w:val="11"/>
        </w:numPr>
        <w:tabs>
          <w:tab w:val="left" w:pos="709"/>
        </w:tabs>
        <w:snapToGrid w:val="0"/>
        <w:ind w:firstLine="560"/>
        <w:rPr>
          <w:rFonts w:ascii="仿宋_GB2312" w:hAnsi="宋体"/>
          <w:color w:val="auto"/>
          <w:kern w:val="0"/>
          <w:szCs w:val="24"/>
          <w:highlight w:val="none"/>
          <w:u w:val="none"/>
        </w:rPr>
      </w:pPr>
      <w:r>
        <w:rPr>
          <w:rFonts w:hint="eastAsia"/>
          <w:color w:val="auto"/>
          <w:highlight w:val="none"/>
          <w:u w:val="none"/>
        </w:rPr>
        <w:t>理财产品的申购与赎回</w:t>
      </w:r>
    </w:p>
    <w:p w14:paraId="646F7791">
      <w:pPr>
        <w:pStyle w:val="3"/>
        <w:numPr>
          <w:ilvl w:val="1"/>
          <w:numId w:val="11"/>
        </w:numPr>
        <w:adjustRightInd w:val="0"/>
        <w:snapToGrid w:val="0"/>
        <w:ind w:firstLine="482"/>
        <w:rPr>
          <w:color w:val="auto"/>
          <w:highlight w:val="none"/>
          <w:u w:val="none"/>
        </w:rPr>
      </w:pPr>
      <w:r>
        <w:rPr>
          <w:rFonts w:hint="eastAsia"/>
          <w:color w:val="auto"/>
          <w:highlight w:val="none"/>
          <w:u w:val="none"/>
        </w:rPr>
        <w:t>申购、赎回原则</w:t>
      </w:r>
    </w:p>
    <w:p w14:paraId="18A5DD9E">
      <w:pPr>
        <w:tabs>
          <w:tab w:val="left" w:pos="312"/>
        </w:tabs>
        <w:adjustRightInd w:val="0"/>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1.“金额申购、份额赎回”原则，即申购以金额申请，赎回</w:t>
      </w:r>
      <w:r>
        <w:rPr>
          <w:rFonts w:ascii="仿宋_GB2312" w:hAnsi="宋体" w:cs="宋体"/>
          <w:bCs/>
          <w:kern w:val="0"/>
          <w:szCs w:val="24"/>
        </w:rPr>
        <w:t>以</w:t>
      </w:r>
      <w:r>
        <w:rPr>
          <w:rFonts w:hint="eastAsia" w:ascii="仿宋_GB2312" w:hAnsi="宋体" w:cs="宋体"/>
          <w:bCs/>
          <w:kern w:val="0"/>
          <w:szCs w:val="24"/>
        </w:rPr>
        <w:t>份额</w:t>
      </w:r>
      <w:r>
        <w:rPr>
          <w:rFonts w:ascii="仿宋_GB2312" w:hAnsi="宋体" w:cs="宋体"/>
          <w:bCs/>
          <w:kern w:val="0"/>
          <w:szCs w:val="24"/>
        </w:rPr>
        <w:t>申请</w:t>
      </w:r>
      <w:r>
        <w:rPr>
          <w:rFonts w:hint="eastAsia" w:ascii="仿宋_GB2312" w:hAnsi="宋体" w:cs="宋体"/>
          <w:bCs/>
          <w:kern w:val="0"/>
          <w:szCs w:val="24"/>
        </w:rPr>
        <w:t>。</w:t>
      </w:r>
    </w:p>
    <w:p w14:paraId="36405559">
      <w:pPr>
        <w:tabs>
          <w:tab w:val="left" w:pos="312"/>
        </w:tabs>
        <w:adjustRightInd w:val="0"/>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2.申购和赎回采用“未知价”原则，即本产品申购申请、赎回申请（预约赎回）提交时，适用的产品份额净值都是未知的。</w:t>
      </w:r>
    </w:p>
    <w:p w14:paraId="55E9D417">
      <w:pPr>
        <w:tabs>
          <w:tab w:val="left" w:pos="312"/>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3.申购申请可以在对应申购日交易时间截止前撤销，预约赎回可以在对应</w:t>
      </w:r>
      <w:r>
        <w:rPr>
          <w:rFonts w:ascii="仿宋_GB2312" w:hAnsi="宋体" w:cs="宋体"/>
          <w:bCs/>
          <w:kern w:val="0"/>
          <w:szCs w:val="24"/>
        </w:rPr>
        <w:t>预约赎回</w:t>
      </w:r>
      <w:r>
        <w:rPr>
          <w:rFonts w:hint="eastAsia" w:ascii="仿宋_GB2312" w:hAnsi="宋体" w:cs="宋体"/>
          <w:bCs/>
          <w:kern w:val="0"/>
          <w:szCs w:val="24"/>
        </w:rPr>
        <w:t>时间截止前撤销，最终申请确认情况以投资者在销售机构线下渠道或线上渠道确认的结果为准。</w:t>
      </w:r>
    </w:p>
    <w:p w14:paraId="7CC1C846">
      <w:pPr>
        <w:tabs>
          <w:tab w:val="left" w:pos="312"/>
        </w:tabs>
        <w:adjustRightInd w:val="0"/>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4.赎回原则遵循“先进先出”原则或“指定赎回”原则，投资者赎回理财计划份额时适用的赎回原则以对应的销售服务机构提供的赎回服务为准。</w:t>
      </w:r>
    </w:p>
    <w:p w14:paraId="111F54E8">
      <w:pPr>
        <w:tabs>
          <w:tab w:val="left" w:pos="3119"/>
        </w:tabs>
        <w:autoSpaceDE w:val="0"/>
        <w:autoSpaceDN w:val="0"/>
        <w:adjustRightInd/>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kern w:val="0"/>
          <w:szCs w:val="24"/>
          <w:lang w:val="en-US" w:eastAsia="zh-CN"/>
        </w:rPr>
        <w:t>5</w:t>
      </w:r>
      <w:r>
        <w:rPr>
          <w:rFonts w:hint="eastAsia" w:ascii="仿宋_GB2312" w:hAnsi="宋体" w:cs="宋体"/>
          <w:bCs/>
          <w:kern w:val="0"/>
          <w:szCs w:val="24"/>
        </w:rPr>
        <w:t>.当开放式公募理财产品（现金管理类理财产品除外）遭遇大额申购或赎回时，产品管理人有权采用摆动定价机制，以确保估值的公平性。具体处理原则与操作方法遵循法律法规以及监管部门、自律规则的相关规定，产品管理人将提前发布相关公告。</w:t>
      </w:r>
    </w:p>
    <w:p w14:paraId="18B69EF7">
      <w:pPr>
        <w:widowControl/>
        <w:tabs>
          <w:tab w:val="left" w:pos="709"/>
        </w:tabs>
        <w:snapToGrid w:val="0"/>
        <w:spacing w:line="360" w:lineRule="auto"/>
        <w:ind w:firstLine="420" w:firstLineChars="200"/>
        <w:rPr>
          <w:rFonts w:hint="eastAsia" w:ascii="仿宋_GB2312" w:hAnsi="宋体"/>
          <w:kern w:val="0"/>
          <w:szCs w:val="24"/>
        </w:rPr>
      </w:pPr>
      <w:r>
        <w:rPr>
          <w:rFonts w:hint="eastAsia" w:ascii="仿宋_GB2312" w:hAnsi="宋体"/>
          <w:kern w:val="0"/>
          <w:szCs w:val="24"/>
        </w:rPr>
        <w:t>1.申购时间：本产品</w:t>
      </w:r>
      <w:r>
        <w:rPr>
          <w:rFonts w:hint="eastAsia" w:ascii="仿宋_GB2312" w:hAnsi="宋体"/>
          <w:color w:val="000000" w:themeColor="text1"/>
          <w:kern w:val="0"/>
          <w:szCs w:val="24"/>
          <w14:textFill>
            <w14:solidFill>
              <w14:schemeClr w14:val="tx1"/>
            </w14:solidFill>
          </w14:textFill>
        </w:rPr>
        <w:t>于开放期内开放投资者申购（浙银理财公告暂停开放的日期除外）</w:t>
      </w:r>
      <w:r>
        <w:rPr>
          <w:rFonts w:hint="eastAsia" w:ascii="仿宋_GB2312" w:hAnsi="宋体"/>
          <w:kern w:val="0"/>
          <w:szCs w:val="24"/>
        </w:rPr>
        <w:t>。</w:t>
      </w:r>
    </w:p>
    <w:p w14:paraId="3AE1E036">
      <w:pPr>
        <w:widowControl/>
        <w:tabs>
          <w:tab w:val="left" w:pos="709"/>
        </w:tabs>
        <w:snapToGrid w:val="0"/>
        <w:spacing w:line="360" w:lineRule="auto"/>
        <w:ind w:firstLine="422" w:firstLineChars="200"/>
        <w:rPr>
          <w:rFonts w:hint="eastAsia" w:ascii="仿宋_GB2312" w:hAnsi="宋体"/>
          <w:b/>
          <w:bCs/>
          <w:color w:val="000000" w:themeColor="text1"/>
          <w:kern w:val="0"/>
          <w:szCs w:val="24"/>
          <w14:textFill>
            <w14:solidFill>
              <w14:schemeClr w14:val="tx1"/>
            </w14:solidFill>
          </w14:textFill>
        </w:rPr>
      </w:pPr>
      <w:r>
        <w:rPr>
          <w:rFonts w:hint="eastAsia" w:ascii="仿宋_GB2312" w:hAnsi="宋体"/>
          <w:b/>
          <w:bCs/>
          <w:color w:val="000000" w:themeColor="text1"/>
          <w:kern w:val="0"/>
          <w:szCs w:val="24"/>
          <w14:textFill>
            <w14:solidFill>
              <w14:schemeClr w14:val="tx1"/>
            </w14:solidFill>
          </w14:textFill>
        </w:rPr>
        <w:t>2.申购/撤销申购：投资者可于本产品开放日</w:t>
      </w:r>
      <w:r>
        <w:rPr>
          <w:rFonts w:hint="eastAsia" w:ascii="仿宋_GB2312" w:hAnsi="宋体"/>
          <w:b/>
          <w:bCs/>
          <w:color w:val="000000" w:themeColor="text1"/>
          <w:kern w:val="0"/>
          <w:szCs w:val="24"/>
          <w:highlight w:val="yellow"/>
          <w:lang w:eastAsia="zh-CN"/>
          <w14:textFill>
            <w14:solidFill>
              <w14:schemeClr w14:val="tx1"/>
            </w14:solidFill>
          </w14:textFill>
        </w:rPr>
        <w:t>【】</w:t>
      </w:r>
      <w:r>
        <w:rPr>
          <w:rFonts w:hint="eastAsia" w:ascii="仿宋_GB2312" w:hAnsi="宋体"/>
          <w:b/>
          <w:bCs/>
          <w:color w:val="000000" w:themeColor="text1"/>
          <w:kern w:val="0"/>
          <w:szCs w:val="24"/>
          <w14:textFill>
            <w14:solidFill>
              <w14:schemeClr w14:val="tx1"/>
            </w14:solidFill>
          </w14:textFill>
        </w:rPr>
        <w:t>（不含）前多次提交、撤销申购申请，但</w:t>
      </w:r>
      <w:r>
        <w:rPr>
          <w:rFonts w:hint="eastAsia" w:ascii="仿宋_GB2312" w:hAnsi="宋体"/>
          <w:b/>
          <w:bCs/>
          <w:color w:val="000000" w:themeColor="text1"/>
          <w:kern w:val="0"/>
          <w:szCs w:val="24"/>
          <w:highlight w:val="yellow"/>
          <w:lang w:eastAsia="zh-CN"/>
          <w14:textFill>
            <w14:solidFill>
              <w14:schemeClr w14:val="tx1"/>
            </w14:solidFill>
          </w14:textFill>
        </w:rPr>
        <w:t>【】</w:t>
      </w:r>
      <w:r>
        <w:rPr>
          <w:rFonts w:hint="eastAsia" w:ascii="仿宋_GB2312" w:hAnsi="宋体"/>
          <w:b/>
          <w:bCs/>
          <w:color w:val="000000" w:themeColor="text1"/>
          <w:kern w:val="0"/>
          <w:szCs w:val="24"/>
          <w14:textFill>
            <w14:solidFill>
              <w14:schemeClr w14:val="tx1"/>
            </w14:solidFill>
          </w14:textFill>
        </w:rPr>
        <w:t>（不含）前已提交且未撤销的申购申请，</w:t>
      </w:r>
      <w:r>
        <w:rPr>
          <w:rFonts w:hint="eastAsia" w:ascii="仿宋_GB2312" w:hAnsi="宋体"/>
          <w:b/>
          <w:bCs/>
          <w:color w:val="000000" w:themeColor="text1"/>
          <w:kern w:val="0"/>
          <w:szCs w:val="24"/>
          <w:highlight w:val="yellow"/>
          <w:lang w:eastAsia="zh-CN"/>
          <w14:textFill>
            <w14:solidFill>
              <w14:schemeClr w14:val="tx1"/>
            </w14:solidFill>
          </w14:textFill>
        </w:rPr>
        <w:t>【】</w:t>
      </w:r>
      <w:r>
        <w:rPr>
          <w:rFonts w:hint="eastAsia" w:ascii="仿宋_GB2312" w:hAnsi="宋体"/>
          <w:b/>
          <w:bCs/>
          <w:color w:val="000000" w:themeColor="text1"/>
          <w:kern w:val="0"/>
          <w:szCs w:val="24"/>
          <w:highlight w:val="none"/>
          <w:lang w:eastAsia="zh-CN"/>
          <w14:textFill>
            <w14:solidFill>
              <w14:schemeClr w14:val="tx1"/>
            </w14:solidFill>
          </w14:textFill>
        </w:rPr>
        <w:t>（</w:t>
      </w:r>
      <w:r>
        <w:rPr>
          <w:rFonts w:hint="eastAsia" w:ascii="仿宋_GB2312" w:hAnsi="宋体"/>
          <w:b/>
          <w:bCs/>
          <w:color w:val="000000" w:themeColor="text1"/>
          <w:kern w:val="0"/>
          <w:szCs w:val="24"/>
          <w:highlight w:val="none"/>
          <w14:textFill>
            <w14:solidFill>
              <w14:schemeClr w14:val="tx1"/>
            </w14:solidFill>
          </w14:textFill>
        </w:rPr>
        <w:t>含</w:t>
      </w:r>
      <w:r>
        <w:rPr>
          <w:rFonts w:hint="eastAsia" w:ascii="仿宋_GB2312" w:hAnsi="宋体"/>
          <w:b/>
          <w:bCs/>
          <w:color w:val="000000" w:themeColor="text1"/>
          <w:kern w:val="0"/>
          <w:szCs w:val="24"/>
          <w14:textFill>
            <w14:solidFill>
              <w14:schemeClr w14:val="tx1"/>
            </w14:solidFill>
          </w14:textFill>
        </w:rPr>
        <w:t>）后不可撤销。</w:t>
      </w:r>
    </w:p>
    <w:p w14:paraId="70FF1A33">
      <w:pPr>
        <w:widowControl/>
        <w:tabs>
          <w:tab w:val="left" w:pos="709"/>
        </w:tabs>
        <w:snapToGrid w:val="0"/>
        <w:spacing w:line="360" w:lineRule="auto"/>
        <w:ind w:firstLine="422" w:firstLineChars="200"/>
        <w:rPr>
          <w:rFonts w:hint="eastAsia" w:ascii="仿宋_GB2312" w:hAnsi="宋体"/>
          <w:b/>
          <w:bCs/>
          <w:color w:val="000000" w:themeColor="text1"/>
          <w:kern w:val="0"/>
          <w:szCs w:val="24"/>
          <w14:textFill>
            <w14:solidFill>
              <w14:schemeClr w14:val="tx1"/>
            </w14:solidFill>
          </w14:textFill>
        </w:rPr>
      </w:pPr>
      <w:r>
        <w:rPr>
          <w:rFonts w:hint="eastAsia" w:ascii="仿宋_GB2312" w:hAnsi="宋体"/>
          <w:b/>
          <w:bCs/>
          <w:color w:val="000000" w:themeColor="text1"/>
          <w:kern w:val="0"/>
          <w:szCs w:val="24"/>
          <w14:textFill>
            <w14:solidFill>
              <w14:schemeClr w14:val="tx1"/>
            </w14:solidFill>
          </w14:textFill>
        </w:rPr>
        <w:t>3.申购确认：投资者于本产品开放日</w:t>
      </w:r>
      <w:r>
        <w:rPr>
          <w:rFonts w:hint="eastAsia" w:ascii="仿宋_GB2312" w:hAnsi="宋体"/>
          <w:b/>
          <w:bCs/>
          <w:color w:val="000000" w:themeColor="text1"/>
          <w:kern w:val="0"/>
          <w:szCs w:val="24"/>
          <w:highlight w:val="yellow"/>
          <w:lang w:eastAsia="zh-CN"/>
          <w14:textFill>
            <w14:solidFill>
              <w14:schemeClr w14:val="tx1"/>
            </w14:solidFill>
          </w14:textFill>
        </w:rPr>
        <w:t>【】</w:t>
      </w:r>
      <w:r>
        <w:rPr>
          <w:rFonts w:hint="eastAsia" w:ascii="仿宋_GB2312" w:hAnsi="宋体"/>
          <w:b/>
          <w:bCs/>
          <w:color w:val="000000" w:themeColor="text1"/>
          <w:kern w:val="0"/>
          <w:szCs w:val="24"/>
          <w14:textFill>
            <w14:solidFill>
              <w14:schemeClr w14:val="tx1"/>
            </w14:solidFill>
          </w14:textFill>
        </w:rPr>
        <w:t>前（不含）已提交且未撤销的申购申请，将于下一个工作日确认份额。</w:t>
      </w:r>
    </w:p>
    <w:p w14:paraId="3E3C2673">
      <w:pPr>
        <w:widowControl/>
        <w:tabs>
          <w:tab w:val="left" w:pos="709"/>
        </w:tabs>
        <w:snapToGrid w:val="0"/>
        <w:spacing w:line="360" w:lineRule="auto"/>
        <w:ind w:firstLine="420" w:firstLineChars="200"/>
        <w:rPr>
          <w:rFonts w:hint="eastAsia" w:ascii="仿宋_GB2312" w:hAnsi="宋体" w:eastAsia="仿宋_GB2312"/>
          <w:color w:val="000000" w:themeColor="text1"/>
          <w:kern w:val="0"/>
          <w:szCs w:val="24"/>
          <w:highlight w:val="yellow"/>
          <w:lang w:eastAsia="zh-CN"/>
          <w14:textFill>
            <w14:solidFill>
              <w14:schemeClr w14:val="tx1"/>
            </w14:solidFill>
          </w14:textFill>
        </w:rPr>
      </w:pPr>
      <w:r>
        <w:rPr>
          <w:rFonts w:hint="eastAsia" w:ascii="仿宋_GB2312" w:hAnsi="宋体"/>
          <w:color w:val="000000" w:themeColor="text1"/>
          <w:kern w:val="0"/>
          <w:szCs w:val="24"/>
          <w:highlight w:val="none"/>
          <w14:textFill>
            <w14:solidFill>
              <w14:schemeClr w14:val="tx1"/>
            </w14:solidFill>
          </w14:textFill>
        </w:rPr>
        <w:t>4.申购份额计算：</w:t>
      </w:r>
      <w:r>
        <w:rPr>
          <w:rFonts w:hint="eastAsia" w:ascii="仿宋_GB2312" w:hAnsi="宋体"/>
          <w:color w:val="000000" w:themeColor="text1"/>
          <w:kern w:val="0"/>
          <w:szCs w:val="24"/>
          <w:highlight w:val="yellow"/>
          <w:lang w:eastAsia="zh-CN"/>
          <w14:textFill>
            <w14:solidFill>
              <w14:schemeClr w14:val="tx1"/>
            </w14:solidFill>
          </w14:textFill>
        </w:rPr>
        <w:t>【</w:t>
      </w:r>
      <w:r>
        <w:rPr>
          <w:rFonts w:hint="eastAsia" w:ascii="仿宋_GB2312" w:hAnsi="宋体"/>
          <w:b/>
          <w:bCs/>
          <w:color w:val="000000" w:themeColor="text1"/>
          <w:kern w:val="0"/>
          <w:szCs w:val="24"/>
          <w:highlight w:val="yellow"/>
          <w14:textFill>
            <w14:solidFill>
              <w14:schemeClr w14:val="tx1"/>
            </w14:solidFill>
          </w14:textFill>
        </w:rPr>
        <w:t>本产品按金额申购，</w:t>
      </w:r>
      <w:r>
        <w:rPr>
          <w:rFonts w:hint="eastAsia" w:ascii="仿宋_GB2312" w:hAnsi="宋体" w:cs="宋体"/>
          <w:b/>
          <w:bCs/>
          <w:color w:val="000000" w:themeColor="text1"/>
          <w:kern w:val="0"/>
          <w:szCs w:val="24"/>
          <w:highlight w:val="yellow"/>
          <w14:textFill>
            <w14:solidFill>
              <w14:schemeClr w14:val="tx1"/>
            </w14:solidFill>
          </w14:textFill>
        </w:rPr>
        <w:t>并根据申购确认日公告份额净值即前一工作日的产品份额净值计算、确认本次申购份额，份额数值四舍五入后保留2位小数。</w:t>
      </w:r>
      <w:r>
        <w:rPr>
          <w:rFonts w:hint="eastAsia" w:ascii="仿宋_GB2312" w:hAnsi="宋体" w:cs="宋体"/>
          <w:b/>
          <w:bCs/>
          <w:color w:val="000000" w:themeColor="text1"/>
          <w:kern w:val="0"/>
          <w:szCs w:val="24"/>
          <w:highlight w:val="yellow"/>
          <w:lang w:eastAsia="zh-CN"/>
          <w14:textFill>
            <w14:solidFill>
              <w14:schemeClr w14:val="tx1"/>
            </w14:solidFill>
          </w14:textFill>
        </w:rPr>
        <w:t>】</w:t>
      </w:r>
    </w:p>
    <w:p w14:paraId="18597193">
      <w:pPr>
        <w:widowControl/>
        <w:tabs>
          <w:tab w:val="left" w:pos="709"/>
        </w:tabs>
        <w:snapToGrid w:val="0"/>
        <w:spacing w:line="360" w:lineRule="auto"/>
        <w:ind w:firstLine="420" w:firstLineChars="200"/>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申购份额=投资者申购金额/申购确认日前一工作日产品份额净值</w:t>
      </w:r>
    </w:p>
    <w:p w14:paraId="5031DA86">
      <w:pPr>
        <w:widowControl/>
        <w:tabs>
          <w:tab w:val="left" w:pos="709"/>
        </w:tabs>
        <w:snapToGrid w:val="0"/>
        <w:spacing w:line="360" w:lineRule="auto"/>
        <w:ind w:firstLine="420" w:firstLineChars="200"/>
        <w:rPr>
          <w:rFonts w:hint="eastAsia" w:ascii="仿宋_GB2312" w:hAnsi="宋体"/>
          <w:kern w:val="0"/>
          <w:szCs w:val="24"/>
        </w:rPr>
      </w:pPr>
      <w:r>
        <w:rPr>
          <w:rFonts w:hint="eastAsia" w:ascii="仿宋_GB2312" w:hAnsi="宋体" w:cs="宋体"/>
          <w:bCs/>
          <w:kern w:val="0"/>
          <w:szCs w:val="24"/>
        </w:rPr>
        <w:t>5.首次申购起点</w:t>
      </w:r>
      <w:r>
        <w:rPr>
          <w:rFonts w:hint="eastAsia" w:ascii="仿宋_GB2312" w:hAnsi="宋体" w:cs="宋体"/>
          <w:bCs/>
          <w:kern w:val="0"/>
          <w:szCs w:val="24"/>
          <w:lang w:eastAsia="zh-CN"/>
        </w:rPr>
        <w:t>销售</w:t>
      </w:r>
      <w:r>
        <w:rPr>
          <w:rFonts w:hint="eastAsia" w:ascii="仿宋_GB2312" w:hAnsi="宋体" w:cs="宋体"/>
          <w:bCs/>
          <w:kern w:val="0"/>
          <w:szCs w:val="24"/>
        </w:rPr>
        <w:t>金额</w:t>
      </w:r>
      <w:r>
        <w:rPr>
          <w:rFonts w:hint="eastAsia" w:ascii="仿宋_GB2312" w:hAnsi="宋体"/>
          <w:kern w:val="0"/>
          <w:szCs w:val="24"/>
        </w:rPr>
        <w:t>：</w:t>
      </w:r>
      <w:r>
        <w:rPr>
          <w:rFonts w:hint="eastAsia" w:ascii="仿宋_GB2312" w:hAnsi="宋体"/>
          <w:kern w:val="0"/>
          <w:szCs w:val="24"/>
          <w:highlight w:val="yellow"/>
          <w:lang w:eastAsia="zh-CN"/>
        </w:rPr>
        <w:t>【</w:t>
      </w:r>
      <w:r>
        <w:rPr>
          <w:rFonts w:hint="eastAsia" w:ascii="仿宋_GB2312" w:hAnsi="宋体"/>
          <w:kern w:val="0"/>
          <w:szCs w:val="24"/>
          <w:highlight w:val="yellow"/>
          <w:lang w:val="en-US" w:eastAsia="zh-CN"/>
        </w:rPr>
        <w:t>GK2002】</w:t>
      </w:r>
      <w:r>
        <w:rPr>
          <w:rFonts w:hint="eastAsia" w:ascii="仿宋_GB2312" w:hAnsi="宋体"/>
          <w:kern w:val="0"/>
          <w:szCs w:val="24"/>
          <w:lang w:val="en-US" w:eastAsia="zh-CN"/>
        </w:rPr>
        <w:t>：</w:t>
      </w:r>
      <w:r>
        <w:rPr>
          <w:rFonts w:hint="eastAsia" w:ascii="仿宋_GB2312" w:hAnsi="宋体"/>
          <w:kern w:val="0"/>
          <w:szCs w:val="24"/>
          <w:highlight w:val="yellow"/>
          <w:lang w:eastAsia="zh-CN"/>
        </w:rPr>
        <w:t>【</w:t>
      </w:r>
      <w:r>
        <w:rPr>
          <w:rFonts w:hint="eastAsia" w:ascii="仿宋_GB2312" w:hAnsi="宋体"/>
          <w:kern w:val="0"/>
          <w:szCs w:val="24"/>
          <w:highlight w:val="yellow"/>
        </w:rPr>
        <w:t>1</w:t>
      </w:r>
      <w:r>
        <w:rPr>
          <w:rFonts w:hint="eastAsia" w:ascii="仿宋_GB2312" w:hAnsi="宋体"/>
          <w:kern w:val="0"/>
          <w:szCs w:val="24"/>
          <w:highlight w:val="yellow"/>
          <w:lang w:eastAsia="zh-CN"/>
        </w:rPr>
        <w:t>】</w:t>
      </w:r>
      <w:r>
        <w:rPr>
          <w:rFonts w:hint="eastAsia" w:ascii="仿宋_GB2312" w:hAnsi="宋体"/>
          <w:kern w:val="0"/>
          <w:szCs w:val="24"/>
        </w:rPr>
        <w:t>元，</w:t>
      </w:r>
      <w:r>
        <w:rPr>
          <w:rFonts w:hint="eastAsia" w:ascii="仿宋_GB2312" w:hAnsi="宋体" w:cs="宋体"/>
          <w:bCs/>
          <w:kern w:val="0"/>
          <w:szCs w:val="24"/>
        </w:rPr>
        <w:t>超过起点</w:t>
      </w:r>
      <w:r>
        <w:rPr>
          <w:rFonts w:hint="eastAsia" w:ascii="仿宋_GB2312" w:hAnsi="宋体" w:cs="宋体"/>
          <w:bCs/>
          <w:kern w:val="0"/>
          <w:szCs w:val="24"/>
          <w:lang w:eastAsia="zh-CN"/>
        </w:rPr>
        <w:t>销售</w:t>
      </w:r>
      <w:r>
        <w:rPr>
          <w:rFonts w:hint="eastAsia" w:ascii="仿宋_GB2312" w:hAnsi="宋体" w:cs="宋体"/>
          <w:bCs/>
          <w:kern w:val="0"/>
          <w:szCs w:val="24"/>
        </w:rPr>
        <w:t>金额部分，以</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rPr>
        <w:t>1</w:t>
      </w:r>
      <w:r>
        <w:rPr>
          <w:rFonts w:hint="eastAsia" w:ascii="仿宋_GB2312" w:hAnsi="宋体" w:cs="宋体"/>
          <w:bCs/>
          <w:kern w:val="0"/>
          <w:szCs w:val="24"/>
          <w:highlight w:val="yellow"/>
          <w:lang w:eastAsia="zh-CN"/>
        </w:rPr>
        <w:t>】</w:t>
      </w:r>
      <w:r>
        <w:rPr>
          <w:rFonts w:hint="eastAsia" w:ascii="仿宋_GB2312" w:hAnsi="宋体" w:cs="宋体"/>
          <w:bCs/>
          <w:kern w:val="0"/>
          <w:szCs w:val="24"/>
        </w:rPr>
        <w:t>元的整数倍增加。</w:t>
      </w:r>
    </w:p>
    <w:p w14:paraId="36431822">
      <w:pPr>
        <w:widowControl/>
        <w:tabs>
          <w:tab w:val="left" w:pos="709"/>
        </w:tabs>
        <w:snapToGrid w:val="0"/>
        <w:spacing w:line="360" w:lineRule="auto"/>
        <w:ind w:firstLine="420" w:firstLineChars="200"/>
        <w:rPr>
          <w:rFonts w:hint="eastAsia" w:ascii="仿宋_GB2312" w:hAnsi="宋体" w:cs="宋体"/>
          <w:b/>
          <w:bCs/>
          <w:kern w:val="0"/>
          <w:szCs w:val="24"/>
        </w:rPr>
      </w:pPr>
      <w:r>
        <w:rPr>
          <w:rFonts w:hint="eastAsia" w:ascii="仿宋_GB2312" w:hAnsi="宋体"/>
          <w:kern w:val="0"/>
          <w:szCs w:val="24"/>
        </w:rPr>
        <w:t>6.认/申购数量限制：</w:t>
      </w:r>
      <w:r>
        <w:rPr>
          <w:rFonts w:hint="eastAsia" w:ascii="仿宋_GB2312" w:hAnsi="宋体" w:cs="宋体"/>
          <w:b/>
          <w:bCs/>
          <w:kern w:val="0"/>
          <w:szCs w:val="24"/>
        </w:rPr>
        <w:t>如果单一投资者认购或申购申请确认后将导致其持有份额超过产品总份额50%的，管理人有权拒绝或暂停接受超出部分的认购、申购申请。非因管理人主观因素导致突破该比例限制的，在单一投资者持有比例降至50%以下之前，管理人不再接受该投资者对本产品的认购、申购申请。如投资者认/申购超过上述限额，管理人有权根据实际情况接受、拒绝或确认失败。管理人有权以公告形式调整投资者累计认/申购上限。</w:t>
      </w:r>
    </w:p>
    <w:p w14:paraId="1206FF6A">
      <w:pPr>
        <w:adjustRightInd w:val="0"/>
        <w:snapToGrid w:val="0"/>
        <w:spacing w:line="360" w:lineRule="auto"/>
        <w:ind w:firstLine="420" w:firstLineChars="200"/>
        <w:rPr>
          <w:rFonts w:hint="eastAsia" w:ascii="仿宋_GB2312" w:hAnsi="宋体"/>
          <w:kern w:val="0"/>
          <w:szCs w:val="24"/>
        </w:rPr>
      </w:pPr>
      <w:r>
        <w:rPr>
          <w:rFonts w:hint="eastAsia" w:ascii="仿宋_GB2312" w:hAnsi="宋体"/>
          <w:kern w:val="0"/>
          <w:szCs w:val="24"/>
        </w:rPr>
        <w:t>7.拒绝或暂停申购</w:t>
      </w:r>
    </w:p>
    <w:p w14:paraId="358E0976">
      <w:pPr>
        <w:adjustRightInd w:val="0"/>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除本理财产品说明书另有规定外，当出现以下情形之一时，管理人有权拒绝投资者提交的理财产品申购申请并确认投资者申购失败，或通知销售机构暂停投资者申购并关闭系统申购交易功能，并在3个工作日内公告。在拒绝、暂停申购的情况消除后，管理人应及时通知销售机构恢复理财产品申购业务的办理。</w:t>
      </w:r>
    </w:p>
    <w:p w14:paraId="01D8FAA6">
      <w:pPr>
        <w:adjustRightInd w:val="0"/>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（1）因不可抗力导致管理人无法接受投资者的申购申请；</w:t>
      </w:r>
    </w:p>
    <w:p w14:paraId="6C933F74">
      <w:pPr>
        <w:adjustRightInd w:val="0"/>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（2）证券交易场所依法决定临时停市，导致管理人无法计算当日产品资产净值；</w:t>
      </w:r>
    </w:p>
    <w:p w14:paraId="000124F9">
      <w:pPr>
        <w:adjustRightInd w:val="0"/>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（3）当管理人认为某笔申购申请会有损于其他产品份额持有人利益时，可拒绝该笔申购申请；</w:t>
      </w:r>
    </w:p>
    <w:p w14:paraId="16B44B5B">
      <w:pPr>
        <w:adjustRightInd w:val="0"/>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（4）法律、法规规定认定的其他情形。</w:t>
      </w:r>
    </w:p>
    <w:p w14:paraId="2B07DA2A">
      <w:pPr>
        <w:widowControl/>
        <w:tabs>
          <w:tab w:val="left" w:pos="709"/>
        </w:tabs>
        <w:snapToGrid w:val="0"/>
        <w:spacing w:line="360" w:lineRule="auto"/>
        <w:ind w:firstLine="420" w:firstLineChars="200"/>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8.申购规则示例（</w:t>
      </w:r>
      <w:r>
        <w:rPr>
          <w:rFonts w:hint="eastAsia" w:ascii="仿宋_GB2312" w:hAnsi="宋体"/>
          <w:b/>
          <w:bCs/>
          <w:color w:val="000000" w:themeColor="text1"/>
          <w:kern w:val="0"/>
          <w:szCs w:val="24"/>
          <w14:textFill>
            <w14:solidFill>
              <w14:schemeClr w14:val="tx1"/>
            </w14:solidFill>
          </w14:textFill>
        </w:rPr>
        <w:t>周六、周日为法定假日，其余为工作日，不考虑节假日调休情况</w:t>
      </w:r>
      <w:r>
        <w:rPr>
          <w:rFonts w:hint="eastAsia" w:ascii="仿宋_GB2312" w:hAnsi="宋体"/>
          <w:color w:val="000000" w:themeColor="text1"/>
          <w:kern w:val="0"/>
          <w:szCs w:val="24"/>
          <w14:textFill>
            <w14:solidFill>
              <w14:schemeClr w14:val="tx1"/>
            </w14:solidFill>
          </w14:textFill>
        </w:rPr>
        <w:t>）</w:t>
      </w:r>
    </w:p>
    <w:tbl>
      <w:tblPr>
        <w:tblStyle w:val="8"/>
        <w:tblW w:w="0" w:type="auto"/>
        <w:tblInd w:w="4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93"/>
        <w:gridCol w:w="1312"/>
        <w:gridCol w:w="1563"/>
        <w:gridCol w:w="1874"/>
      </w:tblGrid>
      <w:tr w14:paraId="4F232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4200" w:type="dxa"/>
            <w:vAlign w:val="center"/>
          </w:tcPr>
          <w:p w14:paraId="20AAB267">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申购申请发起时间</w:t>
            </w:r>
          </w:p>
        </w:tc>
        <w:tc>
          <w:tcPr>
            <w:tcW w:w="1524" w:type="dxa"/>
            <w:vAlign w:val="center"/>
          </w:tcPr>
          <w:p w14:paraId="0090023A">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申购申请生效</w:t>
            </w:r>
          </w:p>
        </w:tc>
        <w:tc>
          <w:tcPr>
            <w:tcW w:w="1984" w:type="dxa"/>
            <w:vAlign w:val="center"/>
          </w:tcPr>
          <w:p w14:paraId="20FA773B">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申购确认</w:t>
            </w:r>
          </w:p>
        </w:tc>
        <w:tc>
          <w:tcPr>
            <w:tcW w:w="2410" w:type="dxa"/>
            <w:vAlign w:val="center"/>
          </w:tcPr>
          <w:p w14:paraId="387D2709">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确认净值</w:t>
            </w:r>
          </w:p>
        </w:tc>
      </w:tr>
      <w:tr w14:paraId="5A854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0" w:type="dxa"/>
            <w:vAlign w:val="center"/>
          </w:tcPr>
          <w:p w14:paraId="002D5371">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周五</w:t>
            </w:r>
            <w:r>
              <w:rPr>
                <w:rFonts w:ascii="仿宋_GB2312" w:hAnsi="宋体"/>
                <w:color w:val="000000" w:themeColor="text1"/>
                <w:kern w:val="0"/>
                <w:szCs w:val="24"/>
                <w14:textFill>
                  <w14:solidFill>
                    <w14:schemeClr w14:val="tx1"/>
                  </w14:solidFill>
                </w14:textFill>
              </w:rPr>
              <w:t>15:30（含）</w:t>
            </w:r>
            <w:r>
              <w:rPr>
                <w:rFonts w:hint="eastAsia" w:ascii="仿宋_GB2312" w:hAnsi="宋体"/>
                <w:color w:val="000000" w:themeColor="text1"/>
                <w:kern w:val="0"/>
                <w:szCs w:val="24"/>
                <w14:textFill>
                  <w14:solidFill>
                    <w14:schemeClr w14:val="tx1"/>
                  </w14:solidFill>
                </w14:textFill>
              </w:rPr>
              <w:t>至周一</w:t>
            </w:r>
            <w:r>
              <w:rPr>
                <w:rFonts w:ascii="仿宋_GB2312" w:hAnsi="宋体"/>
                <w:color w:val="000000" w:themeColor="text1"/>
                <w:kern w:val="0"/>
                <w:szCs w:val="24"/>
                <w14:textFill>
                  <w14:solidFill>
                    <w14:schemeClr w14:val="tx1"/>
                  </w14:solidFill>
                </w14:textFill>
              </w:rPr>
              <w:t>15:30（不含）</w:t>
            </w:r>
          </w:p>
        </w:tc>
        <w:tc>
          <w:tcPr>
            <w:tcW w:w="1524" w:type="dxa"/>
            <w:vAlign w:val="center"/>
          </w:tcPr>
          <w:p w14:paraId="6E7A3280">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周一</w:t>
            </w:r>
            <w:r>
              <w:rPr>
                <w:rFonts w:ascii="仿宋_GB2312" w:hAnsi="宋体"/>
                <w:color w:val="000000" w:themeColor="text1"/>
                <w:kern w:val="0"/>
                <w:szCs w:val="24"/>
                <w14:textFill>
                  <w14:solidFill>
                    <w14:schemeClr w14:val="tx1"/>
                  </w14:solidFill>
                </w14:textFill>
              </w:rPr>
              <w:t xml:space="preserve">15:30 </w:t>
            </w:r>
          </w:p>
        </w:tc>
        <w:tc>
          <w:tcPr>
            <w:tcW w:w="1984" w:type="dxa"/>
            <w:vAlign w:val="center"/>
          </w:tcPr>
          <w:p w14:paraId="5F187479">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周二</w:t>
            </w:r>
          </w:p>
        </w:tc>
        <w:tc>
          <w:tcPr>
            <w:tcW w:w="2410" w:type="dxa"/>
            <w:vAlign w:val="center"/>
          </w:tcPr>
          <w:p w14:paraId="6A743A2B">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周一产品份额净值</w:t>
            </w:r>
          </w:p>
        </w:tc>
      </w:tr>
      <w:tr w14:paraId="57E70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0" w:type="dxa"/>
            <w:vAlign w:val="center"/>
          </w:tcPr>
          <w:p w14:paraId="30A2A6C9">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周一</w:t>
            </w:r>
            <w:r>
              <w:rPr>
                <w:rFonts w:ascii="仿宋_GB2312" w:hAnsi="宋体"/>
                <w:color w:val="000000" w:themeColor="text1"/>
                <w:kern w:val="0"/>
                <w:szCs w:val="24"/>
                <w14:textFill>
                  <w14:solidFill>
                    <w14:schemeClr w14:val="tx1"/>
                  </w14:solidFill>
                </w14:textFill>
              </w:rPr>
              <w:t>15:30</w:t>
            </w:r>
            <w:r>
              <w:rPr>
                <w:rFonts w:hint="eastAsia" w:ascii="仿宋_GB2312" w:hAnsi="宋体"/>
                <w:color w:val="000000" w:themeColor="text1"/>
                <w:kern w:val="0"/>
                <w:szCs w:val="24"/>
                <w14:textFill>
                  <w14:solidFill>
                    <w14:schemeClr w14:val="tx1"/>
                  </w14:solidFill>
                </w14:textFill>
              </w:rPr>
              <w:t>（含）至周二</w:t>
            </w:r>
            <w:r>
              <w:rPr>
                <w:rFonts w:ascii="仿宋_GB2312" w:hAnsi="宋体"/>
                <w:color w:val="000000" w:themeColor="text1"/>
                <w:kern w:val="0"/>
                <w:szCs w:val="24"/>
                <w14:textFill>
                  <w14:solidFill>
                    <w14:schemeClr w14:val="tx1"/>
                  </w14:solidFill>
                </w14:textFill>
              </w:rPr>
              <w:t>15:30（不含）</w:t>
            </w:r>
          </w:p>
        </w:tc>
        <w:tc>
          <w:tcPr>
            <w:tcW w:w="1524" w:type="dxa"/>
            <w:vAlign w:val="center"/>
          </w:tcPr>
          <w:p w14:paraId="3CAE2D50">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周二</w:t>
            </w:r>
            <w:r>
              <w:rPr>
                <w:rFonts w:ascii="仿宋_GB2312" w:hAnsi="宋体"/>
                <w:color w:val="000000" w:themeColor="text1"/>
                <w:kern w:val="0"/>
                <w:szCs w:val="24"/>
                <w14:textFill>
                  <w14:solidFill>
                    <w14:schemeClr w14:val="tx1"/>
                  </w14:solidFill>
                </w14:textFill>
              </w:rPr>
              <w:t>15:30</w:t>
            </w:r>
          </w:p>
        </w:tc>
        <w:tc>
          <w:tcPr>
            <w:tcW w:w="1984" w:type="dxa"/>
            <w:vAlign w:val="center"/>
          </w:tcPr>
          <w:p w14:paraId="38AC2E9B">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周三</w:t>
            </w:r>
          </w:p>
        </w:tc>
        <w:tc>
          <w:tcPr>
            <w:tcW w:w="2410" w:type="dxa"/>
            <w:vAlign w:val="center"/>
          </w:tcPr>
          <w:p w14:paraId="0E6A47F3">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周二产品份额净值</w:t>
            </w:r>
          </w:p>
        </w:tc>
      </w:tr>
      <w:tr w14:paraId="107A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0" w:type="dxa"/>
            <w:vAlign w:val="center"/>
          </w:tcPr>
          <w:p w14:paraId="3FCCBE61">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周二</w:t>
            </w:r>
            <w:r>
              <w:rPr>
                <w:rFonts w:ascii="仿宋_GB2312" w:hAnsi="宋体"/>
                <w:color w:val="000000" w:themeColor="text1"/>
                <w:kern w:val="0"/>
                <w:szCs w:val="24"/>
                <w14:textFill>
                  <w14:solidFill>
                    <w14:schemeClr w14:val="tx1"/>
                  </w14:solidFill>
                </w14:textFill>
              </w:rPr>
              <w:t>15:30（含）至周三15:30（不含）</w:t>
            </w:r>
          </w:p>
        </w:tc>
        <w:tc>
          <w:tcPr>
            <w:tcW w:w="1524" w:type="dxa"/>
            <w:vAlign w:val="center"/>
          </w:tcPr>
          <w:p w14:paraId="655EB161">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周三</w:t>
            </w:r>
            <w:r>
              <w:rPr>
                <w:rFonts w:ascii="仿宋_GB2312" w:hAnsi="宋体"/>
                <w:color w:val="000000" w:themeColor="text1"/>
                <w:kern w:val="0"/>
                <w:szCs w:val="24"/>
                <w14:textFill>
                  <w14:solidFill>
                    <w14:schemeClr w14:val="tx1"/>
                  </w14:solidFill>
                </w14:textFill>
              </w:rPr>
              <w:t>15:30</w:t>
            </w:r>
          </w:p>
        </w:tc>
        <w:tc>
          <w:tcPr>
            <w:tcW w:w="1984" w:type="dxa"/>
            <w:vAlign w:val="center"/>
          </w:tcPr>
          <w:p w14:paraId="2DDE3B8D">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周四</w:t>
            </w:r>
          </w:p>
        </w:tc>
        <w:tc>
          <w:tcPr>
            <w:tcW w:w="2410" w:type="dxa"/>
            <w:vAlign w:val="center"/>
          </w:tcPr>
          <w:p w14:paraId="3BB16BF7">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周三产品份额净值</w:t>
            </w:r>
          </w:p>
        </w:tc>
      </w:tr>
      <w:tr w14:paraId="15CB3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0" w:type="dxa"/>
            <w:vAlign w:val="center"/>
          </w:tcPr>
          <w:p w14:paraId="03FDE4A2">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周三15:30（含）至周四15:30（不含）</w:t>
            </w:r>
          </w:p>
        </w:tc>
        <w:tc>
          <w:tcPr>
            <w:tcW w:w="1524" w:type="dxa"/>
            <w:vAlign w:val="center"/>
          </w:tcPr>
          <w:p w14:paraId="0EC43BDF">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周四15:30</w:t>
            </w:r>
          </w:p>
        </w:tc>
        <w:tc>
          <w:tcPr>
            <w:tcW w:w="1984" w:type="dxa"/>
            <w:vAlign w:val="center"/>
          </w:tcPr>
          <w:p w14:paraId="6E93B045">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周五</w:t>
            </w:r>
          </w:p>
        </w:tc>
        <w:tc>
          <w:tcPr>
            <w:tcW w:w="2410" w:type="dxa"/>
            <w:vAlign w:val="center"/>
          </w:tcPr>
          <w:p w14:paraId="7D90AA8B">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周四产品份额净值</w:t>
            </w:r>
          </w:p>
        </w:tc>
      </w:tr>
      <w:tr w14:paraId="03741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00" w:type="dxa"/>
            <w:vAlign w:val="center"/>
          </w:tcPr>
          <w:p w14:paraId="00AB7451">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周四</w:t>
            </w:r>
            <w:r>
              <w:rPr>
                <w:rFonts w:ascii="仿宋_GB2312" w:hAnsi="宋体"/>
                <w:color w:val="000000" w:themeColor="text1"/>
                <w:kern w:val="0"/>
                <w:szCs w:val="24"/>
                <w14:textFill>
                  <w14:solidFill>
                    <w14:schemeClr w14:val="tx1"/>
                  </w14:solidFill>
                </w14:textFill>
              </w:rPr>
              <w:t>15:30（含）至周五15:30（不含）</w:t>
            </w:r>
          </w:p>
        </w:tc>
        <w:tc>
          <w:tcPr>
            <w:tcW w:w="1524" w:type="dxa"/>
            <w:vAlign w:val="center"/>
          </w:tcPr>
          <w:p w14:paraId="34B97DFF">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周五</w:t>
            </w:r>
            <w:r>
              <w:rPr>
                <w:rFonts w:ascii="仿宋_GB2312" w:hAnsi="宋体"/>
                <w:color w:val="000000" w:themeColor="text1"/>
                <w:kern w:val="0"/>
                <w:szCs w:val="24"/>
                <w14:textFill>
                  <w14:solidFill>
                    <w14:schemeClr w14:val="tx1"/>
                  </w14:solidFill>
                </w14:textFill>
              </w:rPr>
              <w:t>15:30</w:t>
            </w:r>
          </w:p>
        </w:tc>
        <w:tc>
          <w:tcPr>
            <w:tcW w:w="1984" w:type="dxa"/>
            <w:vAlign w:val="center"/>
          </w:tcPr>
          <w:p w14:paraId="6D08A262">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下周一</w:t>
            </w:r>
          </w:p>
        </w:tc>
        <w:tc>
          <w:tcPr>
            <w:tcW w:w="2410" w:type="dxa"/>
            <w:vAlign w:val="center"/>
          </w:tcPr>
          <w:p w14:paraId="4A0F840C">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周五产品份额净值</w:t>
            </w:r>
          </w:p>
        </w:tc>
      </w:tr>
    </w:tbl>
    <w:p w14:paraId="6F41EEA1">
      <w:pPr>
        <w:widowControl/>
        <w:tabs>
          <w:tab w:val="left" w:pos="709"/>
        </w:tabs>
        <w:snapToGrid w:val="0"/>
        <w:spacing w:before="240" w:line="360" w:lineRule="auto"/>
        <w:ind w:firstLine="422" w:firstLineChars="200"/>
        <w:rPr>
          <w:rFonts w:hint="eastAsia" w:ascii="仿宋_GB2312" w:hAnsi="宋体" w:cs="宋体"/>
          <w:b/>
          <w:bCs/>
          <w:color w:val="000000" w:themeColor="text1"/>
          <w:kern w:val="0"/>
          <w:szCs w:val="24"/>
          <w14:textFill>
            <w14:solidFill>
              <w14:schemeClr w14:val="tx1"/>
            </w14:solidFill>
          </w14:textFill>
        </w:rPr>
      </w:pPr>
      <w:r>
        <w:rPr>
          <w:rFonts w:hint="eastAsia" w:ascii="仿宋_GB2312" w:hAnsi="宋体" w:cs="宋体"/>
          <w:b/>
          <w:bCs/>
          <w:color w:val="000000" w:themeColor="text1"/>
          <w:kern w:val="0"/>
          <w:szCs w:val="24"/>
          <w14:textFill>
            <w14:solidFill>
              <w14:schemeClr w14:val="tx1"/>
            </w14:solidFill>
          </w14:textFill>
        </w:rPr>
        <w:t>9.浙银理财受理投资者发起的申购申请不代表投资者已成功申购本理财产品。申购是否成功以申购确认结果为准。</w:t>
      </w:r>
    </w:p>
    <w:p w14:paraId="19054575">
      <w:pPr>
        <w:pStyle w:val="3"/>
        <w:widowControl/>
        <w:numPr>
          <w:ilvl w:val="-1"/>
          <w:numId w:val="0"/>
        </w:numPr>
        <w:tabs>
          <w:tab w:val="left" w:pos="0"/>
          <w:tab w:val="left" w:pos="3261"/>
          <w:tab w:val="left" w:pos="6947"/>
        </w:tabs>
        <w:adjustRightInd w:val="0"/>
        <w:snapToGrid w:val="0"/>
        <w:ind w:left="0" w:firstLine="422" w:firstLineChars="200"/>
      </w:pPr>
      <w:r>
        <w:rPr>
          <w:rFonts w:hint="eastAsia"/>
          <w:lang w:eastAsia="zh-CN"/>
        </w:rPr>
        <w:t>（三）</w:t>
      </w:r>
      <w:r>
        <w:rPr>
          <w:rFonts w:hint="eastAsia"/>
        </w:rPr>
        <w:t>理财产品投资周期</w:t>
      </w:r>
    </w:p>
    <w:p w14:paraId="53BBA7CF">
      <w:pPr>
        <w:snapToGrid w:val="0"/>
        <w:spacing w:line="360" w:lineRule="auto"/>
        <w:ind w:firstLine="482"/>
        <w:rPr>
          <w:rFonts w:hint="eastAsia" w:ascii="仿宋_GB2312" w:hAnsi="宋体" w:cs="宋体"/>
          <w:b/>
          <w:color w:val="000000" w:themeColor="text1"/>
          <w:kern w:val="0"/>
          <w:szCs w:val="24"/>
          <w14:textFill>
            <w14:solidFill>
              <w14:schemeClr w14:val="tx1"/>
            </w14:solidFill>
          </w14:textFill>
        </w:rPr>
      </w:pPr>
      <w:r>
        <w:rPr>
          <w:rFonts w:hint="eastAsia" w:ascii="仿宋_GB2312" w:hAnsi="宋体" w:cs="宋体"/>
          <w:b/>
          <w:color w:val="000000" w:themeColor="text1"/>
          <w:kern w:val="0"/>
          <w:szCs w:val="24"/>
          <w14:textFill>
            <w14:solidFill>
              <w14:schemeClr w14:val="tx1"/>
            </w14:solidFill>
          </w14:textFill>
        </w:rPr>
        <w:t>本产品根据投资者单笔认购</w:t>
      </w:r>
      <w:r>
        <w:rPr>
          <w:rFonts w:ascii="仿宋_GB2312" w:hAnsi="宋体" w:cs="宋体"/>
          <w:b/>
          <w:color w:val="000000" w:themeColor="text1"/>
          <w:kern w:val="0"/>
          <w:szCs w:val="24"/>
          <w14:textFill>
            <w14:solidFill>
              <w14:schemeClr w14:val="tx1"/>
            </w14:solidFill>
          </w14:textFill>
        </w:rPr>
        <w:t>/申购资金确认产品份额的日期，逐笔对应投资周期、投资</w:t>
      </w:r>
      <w:r>
        <w:rPr>
          <w:rFonts w:hint="eastAsia" w:ascii="仿宋_GB2312" w:hAnsi="宋体" w:cs="宋体"/>
          <w:b/>
          <w:color w:val="000000" w:themeColor="text1"/>
          <w:kern w:val="0"/>
          <w:szCs w:val="24"/>
          <w14:textFill>
            <w14:solidFill>
              <w14:schemeClr w14:val="tx1"/>
            </w14:solidFill>
          </w14:textFill>
        </w:rPr>
        <w:t>周期</w:t>
      </w:r>
      <w:r>
        <w:rPr>
          <w:rFonts w:ascii="仿宋_GB2312" w:hAnsi="宋体" w:cs="宋体"/>
          <w:b/>
          <w:color w:val="000000" w:themeColor="text1"/>
          <w:kern w:val="0"/>
          <w:szCs w:val="24"/>
          <w14:textFill>
            <w14:solidFill>
              <w14:schemeClr w14:val="tx1"/>
            </w14:solidFill>
          </w14:textFill>
        </w:rPr>
        <w:t>起始日、投资</w:t>
      </w:r>
      <w:r>
        <w:rPr>
          <w:rFonts w:hint="eastAsia" w:ascii="仿宋_GB2312" w:hAnsi="宋体" w:cs="宋体"/>
          <w:b/>
          <w:color w:val="000000" w:themeColor="text1"/>
          <w:kern w:val="0"/>
          <w:szCs w:val="24"/>
          <w14:textFill>
            <w14:solidFill>
              <w14:schemeClr w14:val="tx1"/>
            </w14:solidFill>
          </w14:textFill>
        </w:rPr>
        <w:t>周期</w:t>
      </w:r>
      <w:r>
        <w:rPr>
          <w:rFonts w:ascii="仿宋_GB2312" w:hAnsi="宋体" w:cs="宋体"/>
          <w:b/>
          <w:color w:val="000000" w:themeColor="text1"/>
          <w:kern w:val="0"/>
          <w:szCs w:val="24"/>
          <w14:textFill>
            <w14:solidFill>
              <w14:schemeClr w14:val="tx1"/>
            </w14:solidFill>
          </w14:textFill>
        </w:rPr>
        <w:t>结束日。</w:t>
      </w:r>
    </w:p>
    <w:p w14:paraId="6E762032">
      <w:pPr>
        <w:widowControl/>
        <w:tabs>
          <w:tab w:val="left" w:pos="709"/>
        </w:tabs>
        <w:snapToGrid w:val="0"/>
        <w:spacing w:line="360" w:lineRule="auto"/>
        <w:ind w:firstLine="422" w:firstLineChars="200"/>
        <w:rPr>
          <w:rFonts w:hint="eastAsia" w:ascii="仿宋_GB2312" w:hAnsi="宋体" w:cs="宋体"/>
          <w:b/>
          <w:color w:val="000000" w:themeColor="text1"/>
          <w:kern w:val="0"/>
          <w:szCs w:val="24"/>
          <w14:textFill>
            <w14:solidFill>
              <w14:schemeClr w14:val="tx1"/>
            </w14:solidFill>
          </w14:textFill>
        </w:rPr>
      </w:pPr>
      <w:r>
        <w:rPr>
          <w:rFonts w:ascii="仿宋_GB2312" w:hAnsi="宋体" w:cs="宋体"/>
          <w:b/>
          <w:bCs/>
          <w:color w:val="000000" w:themeColor="text1"/>
          <w:kern w:val="0"/>
          <w:szCs w:val="24"/>
          <w14:textFill>
            <w14:solidFill>
              <w14:schemeClr w14:val="tx1"/>
            </w14:solidFill>
          </w14:textFill>
        </w:rPr>
        <w:t>1.</w:t>
      </w:r>
      <w:r>
        <w:rPr>
          <w:rFonts w:hint="eastAsia" w:ascii="仿宋_GB2312" w:hAnsi="宋体" w:cs="宋体"/>
          <w:b/>
          <w:color w:val="000000" w:themeColor="text1"/>
          <w:kern w:val="0"/>
          <w:szCs w:val="24"/>
          <w14:textFill>
            <w14:solidFill>
              <w14:schemeClr w14:val="tx1"/>
            </w14:solidFill>
          </w14:textFill>
        </w:rPr>
        <w:t>投资周期：</w:t>
      </w:r>
      <w:r>
        <w:rPr>
          <w:rFonts w:hint="eastAsia" w:ascii="仿宋_GB2312" w:hAnsi="宋体" w:cs="宋体"/>
          <w:b/>
          <w:color w:val="000000" w:themeColor="text1"/>
          <w:kern w:val="0"/>
          <w:szCs w:val="24"/>
          <w:highlight w:val="yellow"/>
          <w:lang w:eastAsia="zh-CN"/>
          <w14:textFill>
            <w14:solidFill>
              <w14:schemeClr w14:val="tx1"/>
            </w14:solidFill>
          </w14:textFill>
        </w:rPr>
        <w:t>【】</w:t>
      </w:r>
      <w:r>
        <w:rPr>
          <w:rFonts w:hint="eastAsia" w:ascii="仿宋_GB2312" w:hAnsi="宋体" w:cs="宋体"/>
          <w:b/>
          <w:color w:val="000000" w:themeColor="text1"/>
          <w:kern w:val="0"/>
          <w:szCs w:val="24"/>
          <w14:textFill>
            <w14:solidFill>
              <w14:schemeClr w14:val="tx1"/>
            </w14:solidFill>
          </w14:textFill>
        </w:rPr>
        <w:t>个自然日为1个投资周期（遇周期结束日为非工作日则可能超过</w:t>
      </w:r>
      <w:r>
        <w:rPr>
          <w:rFonts w:hint="eastAsia" w:ascii="仿宋_GB2312" w:hAnsi="宋体" w:cs="宋体"/>
          <w:b/>
          <w:color w:val="000000" w:themeColor="text1"/>
          <w:kern w:val="0"/>
          <w:szCs w:val="24"/>
          <w:highlight w:val="yellow"/>
          <w:lang w:eastAsia="zh-CN"/>
          <w14:textFill>
            <w14:solidFill>
              <w14:schemeClr w14:val="tx1"/>
            </w14:solidFill>
          </w14:textFill>
        </w:rPr>
        <w:t>【】</w:t>
      </w:r>
      <w:r>
        <w:rPr>
          <w:rFonts w:hint="eastAsia" w:ascii="仿宋_GB2312" w:hAnsi="宋体" w:cs="宋体"/>
          <w:b/>
          <w:color w:val="000000" w:themeColor="text1"/>
          <w:kern w:val="0"/>
          <w:szCs w:val="24"/>
          <w14:textFill>
            <w14:solidFill>
              <w14:schemeClr w14:val="tx1"/>
            </w14:solidFill>
          </w14:textFill>
        </w:rPr>
        <w:t>个自然日）；投资者单笔资金可连续持有多个投资周期，或多笔资金同时持有多个投资周期。</w:t>
      </w:r>
    </w:p>
    <w:p w14:paraId="6448FFC8">
      <w:pPr>
        <w:widowControl/>
        <w:tabs>
          <w:tab w:val="left" w:pos="709"/>
        </w:tabs>
        <w:snapToGrid w:val="0"/>
        <w:spacing w:line="360" w:lineRule="auto"/>
        <w:ind w:firstLine="420" w:firstLineChars="200"/>
        <w:rPr>
          <w:rFonts w:hint="eastAsia" w:ascii="仿宋_GB2312" w:hAnsi="宋体" w:cs="宋体"/>
          <w:bCs/>
          <w:color w:val="000000" w:themeColor="text1"/>
          <w:kern w:val="0"/>
          <w:szCs w:val="24"/>
          <w14:textFill>
            <w14:solidFill>
              <w14:schemeClr w14:val="tx1"/>
            </w14:solidFill>
          </w14:textFill>
        </w:rPr>
      </w:pPr>
      <w:r>
        <w:rPr>
          <w:rFonts w:hint="eastAsia" w:ascii="仿宋_GB2312" w:hAnsi="宋体" w:cs="宋体"/>
          <w:bCs/>
          <w:color w:val="000000" w:themeColor="text1"/>
          <w:kern w:val="0"/>
          <w:szCs w:val="24"/>
          <w14:textFill>
            <w14:solidFill>
              <w14:schemeClr w14:val="tx1"/>
            </w14:solidFill>
          </w14:textFill>
        </w:rPr>
        <w:t>2.投资周期起始日：</w:t>
      </w:r>
    </w:p>
    <w:p w14:paraId="72FD828E">
      <w:pPr>
        <w:widowControl/>
        <w:tabs>
          <w:tab w:val="left" w:pos="709"/>
        </w:tabs>
        <w:snapToGrid w:val="0"/>
        <w:spacing w:line="360" w:lineRule="auto"/>
        <w:ind w:firstLine="420" w:firstLineChars="200"/>
        <w:rPr>
          <w:rFonts w:hint="eastAsia" w:ascii="仿宋_GB2312" w:hAnsi="宋体" w:cs="宋体"/>
          <w:bCs/>
          <w:color w:val="000000" w:themeColor="text1"/>
          <w:kern w:val="0"/>
          <w:szCs w:val="24"/>
          <w14:textFill>
            <w14:solidFill>
              <w14:schemeClr w14:val="tx1"/>
            </w14:solidFill>
          </w14:textFill>
        </w:rPr>
      </w:pPr>
      <w:r>
        <w:rPr>
          <w:rFonts w:hint="eastAsia" w:ascii="仿宋_GB2312" w:hAnsi="宋体" w:cs="宋体"/>
          <w:bCs/>
          <w:color w:val="000000" w:themeColor="text1"/>
          <w:kern w:val="0"/>
          <w:szCs w:val="24"/>
          <w14:textFill>
            <w14:solidFill>
              <w14:schemeClr w14:val="tx1"/>
            </w14:solidFill>
          </w14:textFill>
        </w:rPr>
        <w:t>（</w:t>
      </w:r>
      <w:r>
        <w:rPr>
          <w:rFonts w:ascii="仿宋_GB2312" w:hAnsi="宋体" w:cs="宋体"/>
          <w:bCs/>
          <w:color w:val="000000" w:themeColor="text1"/>
          <w:kern w:val="0"/>
          <w:szCs w:val="24"/>
          <w14:textFill>
            <w14:solidFill>
              <w14:schemeClr w14:val="tx1"/>
            </w14:solidFill>
          </w14:textFill>
        </w:rPr>
        <w:t>1）募集期认购资金以产品成立日为投资周期起始日；</w:t>
      </w:r>
    </w:p>
    <w:p w14:paraId="75F9E398">
      <w:pPr>
        <w:widowControl/>
        <w:tabs>
          <w:tab w:val="left" w:pos="709"/>
        </w:tabs>
        <w:snapToGrid w:val="0"/>
        <w:spacing w:line="360" w:lineRule="auto"/>
        <w:ind w:firstLine="420" w:firstLineChars="200"/>
        <w:rPr>
          <w:rFonts w:hint="eastAsia" w:ascii="仿宋_GB2312" w:hAnsi="宋体" w:cs="宋体"/>
          <w:bCs/>
          <w:color w:val="000000" w:themeColor="text1"/>
          <w:kern w:val="0"/>
          <w:szCs w:val="24"/>
          <w14:textFill>
            <w14:solidFill>
              <w14:schemeClr w14:val="tx1"/>
            </w14:solidFill>
          </w14:textFill>
        </w:rPr>
      </w:pPr>
      <w:r>
        <w:rPr>
          <w:rFonts w:ascii="仿宋_GB2312" w:hAnsi="宋体" w:cs="宋体"/>
          <w:bCs/>
          <w:color w:val="000000" w:themeColor="text1"/>
          <w:kern w:val="0"/>
          <w:szCs w:val="24"/>
          <w14:textFill>
            <w14:solidFill>
              <w14:schemeClr w14:val="tx1"/>
            </w14:solidFill>
          </w14:textFill>
        </w:rPr>
        <w:t>（2）产品存续期申购资金以单笔资金申购确认日为投资周期起始日。</w:t>
      </w:r>
    </w:p>
    <w:p w14:paraId="7974536D">
      <w:pPr>
        <w:widowControl/>
        <w:tabs>
          <w:tab w:val="left" w:pos="709"/>
        </w:tabs>
        <w:snapToGrid w:val="0"/>
        <w:spacing w:line="360" w:lineRule="auto"/>
        <w:ind w:firstLine="420" w:firstLineChars="200"/>
        <w:rPr>
          <w:rFonts w:hint="eastAsia" w:ascii="仿宋_GB2312" w:hAnsi="宋体" w:cs="宋体"/>
          <w:bCs/>
          <w:color w:val="000000" w:themeColor="text1"/>
          <w:kern w:val="0"/>
          <w:szCs w:val="24"/>
          <w14:textFill>
            <w14:solidFill>
              <w14:schemeClr w14:val="tx1"/>
            </w14:solidFill>
          </w14:textFill>
        </w:rPr>
      </w:pPr>
      <w:r>
        <w:rPr>
          <w:rFonts w:hint="eastAsia" w:ascii="仿宋_GB2312" w:hAnsi="宋体" w:cs="宋体"/>
          <w:bCs/>
          <w:color w:val="000000" w:themeColor="text1"/>
          <w:kern w:val="0"/>
          <w:szCs w:val="24"/>
          <w14:textFill>
            <w14:solidFill>
              <w14:schemeClr w14:val="tx1"/>
            </w14:solidFill>
          </w14:textFill>
        </w:rPr>
        <w:t>3.周期结束日：投资周期最后一日为周期结束日，如遇节假日则自动顺延至下一工作日。</w:t>
      </w:r>
    </w:p>
    <w:p w14:paraId="4B9B328F">
      <w:pPr>
        <w:widowControl/>
        <w:tabs>
          <w:tab w:val="left" w:pos="709"/>
        </w:tabs>
        <w:snapToGrid w:val="0"/>
        <w:spacing w:line="360" w:lineRule="auto"/>
        <w:ind w:firstLine="422" w:firstLineChars="200"/>
        <w:rPr>
          <w:rFonts w:hint="eastAsia" w:ascii="仿宋_GB2312" w:hAnsi="宋体" w:cs="宋体"/>
          <w:b/>
          <w:bCs/>
          <w:color w:val="000000" w:themeColor="text1"/>
          <w:kern w:val="0"/>
          <w:szCs w:val="24"/>
          <w14:textFill>
            <w14:solidFill>
              <w14:schemeClr w14:val="tx1"/>
            </w14:solidFill>
          </w14:textFill>
        </w:rPr>
      </w:pPr>
      <w:r>
        <w:rPr>
          <w:rFonts w:ascii="仿宋_GB2312" w:hAnsi="宋体" w:cs="宋体"/>
          <w:b/>
          <w:bCs/>
          <w:color w:val="000000" w:themeColor="text1"/>
          <w:kern w:val="0"/>
          <w:szCs w:val="24"/>
          <w14:textFill>
            <w14:solidFill>
              <w14:schemeClr w14:val="tx1"/>
            </w14:solidFill>
          </w14:textFill>
        </w:rPr>
        <w:t>4.</w:t>
      </w:r>
      <w:r>
        <w:rPr>
          <w:rFonts w:hint="eastAsia" w:ascii="仿宋_GB2312" w:hAnsi="宋体" w:cs="宋体"/>
          <w:b/>
          <w:bCs/>
          <w:color w:val="000000" w:themeColor="text1"/>
          <w:kern w:val="0"/>
          <w:szCs w:val="24"/>
          <w14:textFill>
            <w14:solidFill>
              <w14:schemeClr w14:val="tx1"/>
            </w14:solidFill>
          </w14:textFill>
        </w:rPr>
        <w:t>续投规则：</w:t>
      </w:r>
      <w:r>
        <w:rPr>
          <w:rFonts w:ascii="仿宋_GB2312" w:hAnsi="宋体" w:cs="宋体"/>
          <w:b/>
          <w:bCs/>
          <w:color w:val="000000" w:themeColor="text1"/>
          <w:kern w:val="0"/>
          <w:szCs w:val="24"/>
          <w14:textFill>
            <w14:solidFill>
              <w14:schemeClr w14:val="tx1"/>
            </w14:solidFill>
          </w14:textFill>
        </w:rPr>
        <w:t>在投资者持有的产品份额对应的投资周期内，</w:t>
      </w:r>
      <w:r>
        <w:rPr>
          <w:rFonts w:hint="eastAsia" w:ascii="仿宋_GB2312" w:hAnsi="宋体" w:cs="宋体"/>
          <w:b/>
          <w:bCs/>
          <w:color w:val="000000" w:themeColor="text1"/>
          <w:kern w:val="0"/>
          <w:szCs w:val="24"/>
          <w14:textFill>
            <w14:solidFill>
              <w14:schemeClr w14:val="tx1"/>
            </w14:solidFill>
          </w14:textFill>
        </w:rPr>
        <w:t>投资者如未就所持有的产品份额</w:t>
      </w:r>
      <w:r>
        <w:rPr>
          <w:rFonts w:ascii="仿宋_GB2312" w:hAnsi="宋体" w:cs="宋体"/>
          <w:b/>
          <w:bCs/>
          <w:color w:val="000000" w:themeColor="text1"/>
          <w:kern w:val="0"/>
          <w:szCs w:val="24"/>
          <w14:textFill>
            <w14:solidFill>
              <w14:schemeClr w14:val="tx1"/>
            </w14:solidFill>
          </w14:textFill>
        </w:rPr>
        <w:t>于预约赎回截止日</w:t>
      </w:r>
      <w:r>
        <w:rPr>
          <w:rFonts w:hint="eastAsia" w:ascii="仿宋_GB2312" w:hAnsi="宋体" w:cs="宋体"/>
          <w:b/>
          <w:color w:val="000000" w:themeColor="text1"/>
          <w:kern w:val="0"/>
          <w:szCs w:val="24"/>
          <w:highlight w:val="yellow"/>
          <w:lang w:eastAsia="zh-CN"/>
          <w14:textFill>
            <w14:solidFill>
              <w14:schemeClr w14:val="tx1"/>
            </w14:solidFill>
          </w14:textFill>
        </w:rPr>
        <w:t>【】</w:t>
      </w:r>
      <w:r>
        <w:rPr>
          <w:rFonts w:ascii="仿宋_GB2312" w:hAnsi="宋体" w:cs="宋体"/>
          <w:b/>
          <w:bCs/>
          <w:color w:val="000000" w:themeColor="text1"/>
          <w:kern w:val="0"/>
          <w:szCs w:val="24"/>
          <w14:textFill>
            <w14:solidFill>
              <w14:schemeClr w14:val="tx1"/>
            </w14:solidFill>
          </w14:textFill>
        </w:rPr>
        <w:t>（不含）前</w:t>
      </w:r>
      <w:r>
        <w:rPr>
          <w:rFonts w:hint="eastAsia" w:ascii="仿宋_GB2312" w:hAnsi="宋体" w:cs="宋体"/>
          <w:b/>
          <w:bCs/>
          <w:color w:val="000000" w:themeColor="text1"/>
          <w:kern w:val="0"/>
          <w:szCs w:val="24"/>
          <w14:textFill>
            <w14:solidFill>
              <w14:schemeClr w14:val="tx1"/>
            </w14:solidFill>
          </w14:textFill>
        </w:rPr>
        <w:t>发起预约赎回或已发起但赎回确认失败，相应产品份额在当前周期结束后自动续投至下一投资周期。</w:t>
      </w:r>
    </w:p>
    <w:p w14:paraId="53563432">
      <w:pPr>
        <w:widowControl/>
        <w:tabs>
          <w:tab w:val="left" w:pos="709"/>
        </w:tabs>
        <w:snapToGrid w:val="0"/>
        <w:spacing w:line="360" w:lineRule="auto"/>
        <w:ind w:firstLine="422" w:firstLineChars="200"/>
        <w:rPr>
          <w:rFonts w:hint="eastAsia" w:ascii="仿宋_GB2312" w:hAnsi="宋体" w:cs="宋体"/>
          <w:b/>
          <w:bCs/>
          <w:color w:val="000000" w:themeColor="text1"/>
          <w:kern w:val="0"/>
          <w:szCs w:val="24"/>
          <w14:textFill>
            <w14:solidFill>
              <w14:schemeClr w14:val="tx1"/>
            </w14:solidFill>
          </w14:textFill>
        </w:rPr>
      </w:pPr>
      <w:r>
        <w:rPr>
          <w:rFonts w:hint="eastAsia" w:ascii="仿宋_GB2312" w:hAnsi="宋体"/>
          <w:b/>
          <w:color w:val="000000" w:themeColor="text1"/>
          <w:kern w:val="0"/>
          <w:szCs w:val="24"/>
          <w14:textFill>
            <w14:solidFill>
              <w14:schemeClr w14:val="tx1"/>
            </w14:solidFill>
          </w14:textFill>
        </w:rPr>
        <w:t>5.</w:t>
      </w:r>
      <w:r>
        <w:rPr>
          <w:rFonts w:ascii="仿宋_GB2312" w:hAnsi="宋体" w:cs="宋体"/>
          <w:b/>
          <w:bCs/>
          <w:color w:val="000000" w:themeColor="text1"/>
          <w:kern w:val="0"/>
          <w:szCs w:val="24"/>
          <w14:textFill>
            <w14:solidFill>
              <w14:schemeClr w14:val="tx1"/>
            </w14:solidFill>
          </w14:textFill>
        </w:rPr>
        <w:t>以上规则如有调整，</w:t>
      </w:r>
      <w:r>
        <w:rPr>
          <w:rFonts w:hint="eastAsia" w:ascii="仿宋_GB2312" w:hAnsi="宋体" w:cs="宋体"/>
          <w:b/>
          <w:bCs/>
          <w:color w:val="000000" w:themeColor="text1"/>
          <w:kern w:val="0"/>
          <w:szCs w:val="24"/>
          <w14:textFill>
            <w14:solidFill>
              <w14:schemeClr w14:val="tx1"/>
            </w14:solidFill>
          </w14:textFill>
        </w:rPr>
        <w:t>以浙银理财公告为准。</w:t>
      </w:r>
    </w:p>
    <w:p w14:paraId="5224368F">
      <w:pPr>
        <w:pStyle w:val="3"/>
        <w:numPr>
          <w:ilvl w:val="-1"/>
          <w:numId w:val="0"/>
        </w:numPr>
        <w:tabs>
          <w:tab w:val="left" w:pos="0"/>
          <w:tab w:val="left" w:pos="3261"/>
          <w:tab w:val="left" w:pos="6947"/>
        </w:tabs>
        <w:adjustRightInd w:val="0"/>
        <w:snapToGrid w:val="0"/>
        <w:ind w:left="0" w:firstLine="422" w:firstLineChars="200"/>
        <w:rPr>
          <w:rFonts w:hint="eastAsia" w:ascii="仿宋_GB2312" w:hAnsi="仿宋_GB2312" w:cs="仿宋_GB2312"/>
          <w:bCs/>
          <w:kern w:val="0"/>
          <w:szCs w:val="24"/>
        </w:rPr>
      </w:pPr>
      <w:r>
        <w:rPr>
          <w:rFonts w:hint="eastAsia" w:ascii="仿宋_GB2312" w:hAnsi="仿宋_GB2312" w:eastAsia="仿宋_GB2312" w:cs="仿宋_GB2312"/>
          <w:bCs/>
          <w:kern w:val="0"/>
          <w:szCs w:val="24"/>
          <w:lang w:eastAsia="zh-CN"/>
        </w:rPr>
        <w:t>（</w:t>
      </w:r>
      <w:r>
        <w:rPr>
          <w:rFonts w:hint="eastAsia" w:ascii="仿宋_GB2312" w:hAnsi="仿宋_GB2312" w:cs="仿宋_GB2312"/>
          <w:bCs/>
          <w:kern w:val="0"/>
          <w:szCs w:val="24"/>
          <w:lang w:eastAsia="zh-CN"/>
        </w:rPr>
        <w:t>四</w:t>
      </w:r>
      <w:r>
        <w:rPr>
          <w:rFonts w:hint="eastAsia" w:ascii="仿宋_GB2312" w:hAnsi="仿宋_GB2312" w:eastAsia="仿宋_GB2312" w:cs="仿宋_GB2312"/>
          <w:bCs/>
          <w:kern w:val="0"/>
          <w:szCs w:val="24"/>
          <w:lang w:eastAsia="zh-CN"/>
        </w:rPr>
        <w:t>）</w:t>
      </w:r>
      <w:r>
        <w:rPr>
          <w:rFonts w:hint="eastAsia" w:ascii="仿宋_GB2312" w:hAnsi="仿宋_GB2312" w:eastAsia="仿宋_GB2312" w:cs="仿宋_GB2312"/>
          <w:bCs/>
          <w:kern w:val="0"/>
          <w:szCs w:val="24"/>
        </w:rPr>
        <w:t>理财产品赎回</w:t>
      </w:r>
      <w:r>
        <w:rPr>
          <w:rFonts w:hint="eastAsia" w:ascii="仿宋_GB2312" w:hAnsi="仿宋_GB2312" w:cs="仿宋_GB2312"/>
          <w:bCs/>
          <w:kern w:val="0"/>
          <w:szCs w:val="24"/>
        </w:rPr>
        <w:t xml:space="preserve"> </w:t>
      </w:r>
    </w:p>
    <w:p w14:paraId="21531ACF">
      <w:pPr>
        <w:widowControl/>
        <w:tabs>
          <w:tab w:val="left" w:pos="709"/>
        </w:tabs>
        <w:snapToGrid w:val="0"/>
        <w:spacing w:line="360" w:lineRule="auto"/>
        <w:ind w:firstLine="420" w:firstLineChars="200"/>
        <w:rPr>
          <w:rFonts w:ascii="仿宋_GB2312" w:hAnsi="宋体" w:cs="宋体"/>
          <w:bCs/>
          <w:color w:val="000000" w:themeColor="text1"/>
          <w:kern w:val="0"/>
          <w:szCs w:val="24"/>
          <w14:textFill>
            <w14:solidFill>
              <w14:schemeClr w14:val="tx1"/>
            </w14:solidFill>
          </w14:textFill>
        </w:rPr>
      </w:pPr>
      <w:r>
        <w:rPr>
          <w:rFonts w:ascii="仿宋_GB2312" w:hAnsi="宋体" w:cs="宋体"/>
          <w:bCs/>
          <w:color w:val="000000" w:themeColor="text1"/>
          <w:kern w:val="0"/>
          <w:szCs w:val="24"/>
          <w14:textFill>
            <w14:solidFill>
              <w14:schemeClr w14:val="tx1"/>
            </w14:solidFill>
          </w14:textFill>
        </w:rPr>
        <w:t>1.预约赎回截止日</w:t>
      </w:r>
    </w:p>
    <w:p w14:paraId="3728D57B">
      <w:pPr>
        <w:widowControl/>
        <w:tabs>
          <w:tab w:val="left" w:pos="709"/>
        </w:tabs>
        <w:snapToGrid w:val="0"/>
        <w:spacing w:line="360" w:lineRule="auto"/>
        <w:ind w:firstLine="422" w:firstLineChars="200"/>
        <w:rPr>
          <w:rFonts w:hint="eastAsia" w:ascii="仿宋_GB2312" w:hAnsi="宋体" w:cs="宋体"/>
          <w:b/>
          <w:bCs w:val="0"/>
          <w:kern w:val="0"/>
          <w:szCs w:val="24"/>
        </w:rPr>
      </w:pPr>
      <w:r>
        <w:rPr>
          <w:rFonts w:ascii="仿宋_GB2312" w:hAnsi="宋体" w:cs="宋体"/>
          <w:b/>
          <w:bCs w:val="0"/>
          <w:kern w:val="0"/>
          <w:szCs w:val="24"/>
        </w:rPr>
        <w:t>投资者持有本产品份额对应的周期结束日前一个工作日为该份额对应的预约赎回截止日。</w:t>
      </w:r>
    </w:p>
    <w:p w14:paraId="309BF5A5">
      <w:pPr>
        <w:widowControl/>
        <w:tabs>
          <w:tab w:val="left" w:pos="709"/>
        </w:tabs>
        <w:snapToGrid w:val="0"/>
        <w:spacing w:line="360" w:lineRule="auto"/>
        <w:ind w:firstLine="420" w:firstLineChars="200"/>
        <w:rPr>
          <w:rFonts w:ascii="仿宋_GB2312" w:hAnsi="宋体" w:cs="宋体"/>
          <w:bCs/>
          <w:kern w:val="0"/>
          <w:szCs w:val="24"/>
        </w:rPr>
      </w:pPr>
      <w:r>
        <w:rPr>
          <w:rFonts w:ascii="仿宋_GB2312" w:hAnsi="宋体" w:cs="宋体"/>
          <w:bCs/>
          <w:kern w:val="0"/>
          <w:szCs w:val="24"/>
        </w:rPr>
        <w:t>2.预约赎回</w:t>
      </w:r>
    </w:p>
    <w:p w14:paraId="6ED75347">
      <w:pPr>
        <w:widowControl/>
        <w:tabs>
          <w:tab w:val="left" w:pos="709"/>
        </w:tabs>
        <w:snapToGrid w:val="0"/>
        <w:spacing w:line="360" w:lineRule="auto"/>
        <w:ind w:firstLine="420" w:firstLineChars="200"/>
        <w:rPr>
          <w:rFonts w:ascii="仿宋_GB2312" w:hAnsi="宋体" w:cs="宋体"/>
          <w:bCs/>
          <w:kern w:val="0"/>
          <w:szCs w:val="24"/>
        </w:rPr>
      </w:pPr>
      <w:r>
        <w:rPr>
          <w:rFonts w:ascii="仿宋_GB2312" w:hAnsi="宋体" w:cs="宋体"/>
          <w:bCs/>
          <w:kern w:val="0"/>
          <w:szCs w:val="24"/>
        </w:rPr>
        <w:t xml:space="preserve">投资者持有本产品份额的投资周期内，可于对应的预约赎回截止日 </w:t>
      </w:r>
      <w:r>
        <w:rPr>
          <w:rFonts w:hint="eastAsia" w:ascii="仿宋_GB2312" w:hAnsi="宋体" w:cs="宋体"/>
          <w:b/>
          <w:color w:val="000000" w:themeColor="text1"/>
          <w:kern w:val="0"/>
          <w:szCs w:val="24"/>
          <w:highlight w:val="yellow"/>
          <w:lang w:eastAsia="zh-CN"/>
          <w14:textFill>
            <w14:solidFill>
              <w14:schemeClr w14:val="tx1"/>
            </w14:solidFill>
          </w14:textFill>
        </w:rPr>
        <w:t>【】</w:t>
      </w:r>
      <w:r>
        <w:rPr>
          <w:rFonts w:ascii="仿宋_GB2312" w:hAnsi="宋体" w:cs="宋体"/>
          <w:bCs/>
          <w:kern w:val="0"/>
          <w:szCs w:val="24"/>
        </w:rPr>
        <w:t xml:space="preserve">（不含）前预约赎回/撤销预约赎回本产品，预约赎回截止日 </w:t>
      </w:r>
      <w:r>
        <w:rPr>
          <w:rFonts w:hint="eastAsia" w:ascii="仿宋_GB2312" w:hAnsi="宋体" w:cs="宋体"/>
          <w:b/>
          <w:color w:val="000000" w:themeColor="text1"/>
          <w:kern w:val="0"/>
          <w:szCs w:val="24"/>
          <w:highlight w:val="yellow"/>
          <w:lang w:eastAsia="zh-CN"/>
          <w14:textFill>
            <w14:solidFill>
              <w14:schemeClr w14:val="tx1"/>
            </w14:solidFill>
          </w14:textFill>
        </w:rPr>
        <w:t>【】</w:t>
      </w:r>
      <w:r>
        <w:rPr>
          <w:rFonts w:ascii="仿宋_GB2312" w:hAnsi="宋体" w:cs="宋体"/>
          <w:bCs/>
          <w:kern w:val="0"/>
          <w:szCs w:val="24"/>
        </w:rPr>
        <w:t>（含）之后不可操作。</w:t>
      </w:r>
    </w:p>
    <w:p w14:paraId="2A30E33C">
      <w:pPr>
        <w:widowControl/>
        <w:tabs>
          <w:tab w:val="left" w:pos="709"/>
        </w:tabs>
        <w:snapToGrid w:val="0"/>
        <w:spacing w:line="360" w:lineRule="auto"/>
        <w:ind w:firstLine="422" w:firstLineChars="200"/>
        <w:rPr>
          <w:rFonts w:ascii="仿宋_GB2312"/>
          <w:b/>
          <w:bCs/>
          <w:color w:val="000000"/>
        </w:rPr>
      </w:pPr>
      <w:r>
        <w:rPr>
          <w:rFonts w:hint="eastAsia" w:ascii="仿宋_GB2312"/>
          <w:b/>
          <w:bCs/>
          <w:color w:val="000000"/>
        </w:rPr>
        <w:t>已提交且未撤销的预约赎回申请将于最近一个周期结束日的下一个工作日确认。</w:t>
      </w:r>
    </w:p>
    <w:p w14:paraId="10D81EE4">
      <w:pPr>
        <w:widowControl/>
        <w:tabs>
          <w:tab w:val="left" w:pos="709"/>
        </w:tabs>
        <w:snapToGrid w:val="0"/>
        <w:spacing w:line="360" w:lineRule="auto"/>
        <w:ind w:firstLine="420" w:firstLineChars="200"/>
        <w:rPr>
          <w:rFonts w:ascii="仿宋_GB2312"/>
          <w:b/>
          <w:bCs/>
          <w:color w:val="000000"/>
        </w:rPr>
      </w:pPr>
      <w:r>
        <w:rPr>
          <w:rFonts w:ascii="仿宋_GB2312"/>
          <w:b w:val="0"/>
          <w:bCs w:val="0"/>
          <w:color w:val="000000"/>
        </w:rPr>
        <w:t>如投资者持有本产品涉及多笔投资的，须分别发起预约赎回申请。</w:t>
      </w:r>
      <w:r>
        <w:rPr>
          <w:rFonts w:hint="eastAsia" w:ascii="仿宋_GB2312"/>
          <w:b/>
          <w:bCs/>
          <w:color w:val="000000"/>
        </w:rPr>
        <w:t>销售机构</w:t>
      </w:r>
      <w:r>
        <w:rPr>
          <w:rFonts w:ascii="仿宋_GB2312"/>
          <w:b/>
          <w:bCs/>
          <w:color w:val="000000"/>
        </w:rPr>
        <w:t>受理投资者发起的预 约赎回申请不代表投资者已成功赎回所持有的产品份额。预约赎回是否成功以赎回确认结果为准，投资者应及时查看本产品赎回确认情况。</w:t>
      </w:r>
    </w:p>
    <w:p w14:paraId="0ED1F598">
      <w:pPr>
        <w:pStyle w:val="13"/>
        <w:widowControl/>
        <w:tabs>
          <w:tab w:val="left" w:pos="312"/>
          <w:tab w:val="left" w:pos="709"/>
        </w:tabs>
        <w:snapToGrid w:val="0"/>
        <w:spacing w:line="360" w:lineRule="auto"/>
        <w:ind w:left="480" w:firstLine="0" w:firstLineChars="0"/>
        <w:rPr>
          <w:rFonts w:ascii="仿宋_GB2312"/>
          <w:color w:val="000000"/>
        </w:rPr>
      </w:pPr>
      <w:r>
        <w:rPr>
          <w:rFonts w:hint="eastAsia" w:ascii="仿宋_GB2312"/>
          <w:color w:val="000000"/>
        </w:rPr>
        <w:t xml:space="preserve">3.赎回净值 </w:t>
      </w:r>
    </w:p>
    <w:p w14:paraId="30D3D8A7">
      <w:pPr>
        <w:widowControl/>
        <w:tabs>
          <w:tab w:val="left" w:pos="709"/>
        </w:tabs>
        <w:snapToGrid w:val="0"/>
        <w:spacing w:line="360" w:lineRule="auto"/>
        <w:ind w:firstLine="420" w:firstLineChars="200"/>
        <w:rPr>
          <w:rFonts w:hint="eastAsia" w:ascii="仿宋_GB2312" w:hAnsi="宋体" w:cs="宋体"/>
          <w:b/>
          <w:kern w:val="0"/>
          <w:szCs w:val="24"/>
          <w:highlight w:val="yellow"/>
        </w:rPr>
      </w:pP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rPr>
        <w:t xml:space="preserve">本产品按份额赎回，赎回净值采用产品赎回确认日公告份额净值即前一工作日的产品份额净值。 </w:t>
      </w:r>
      <w:r>
        <w:rPr>
          <w:rFonts w:hint="eastAsia" w:ascii="仿宋_GB2312" w:hAnsi="宋体" w:cs="宋体"/>
          <w:b/>
          <w:kern w:val="0"/>
          <w:szCs w:val="24"/>
          <w:highlight w:val="yellow"/>
        </w:rPr>
        <w:t>赎回确认金额四舍五入后保留 2 位小数，以浙银理财确认结果为准。由此误差产生的损失由理财财 产承担，产生的收益归理财财产所有。</w:t>
      </w:r>
    </w:p>
    <w:p w14:paraId="13B3FA04">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lang w:eastAsia="zh-CN"/>
        </w:rPr>
      </w:pPr>
      <w:r>
        <w:rPr>
          <w:rFonts w:hint="eastAsia" w:ascii="仿宋_GB2312" w:hAnsi="宋体" w:cs="宋体"/>
          <w:bCs/>
          <w:color w:val="auto"/>
          <w:kern w:val="0"/>
          <w:szCs w:val="24"/>
          <w:highlight w:val="yellow"/>
          <w:lang w:eastAsia="zh-CN"/>
        </w:rPr>
        <w:t>若本理财产品设置不同的产品份额类别，当某一份额类别因投资者赎回致使该份额类别剩余份额归零，产品管理人将以</w:t>
      </w:r>
      <w:r>
        <w:rPr>
          <w:rFonts w:hint="eastAsia" w:ascii="仿宋_GB2312" w:hAnsi="宋体" w:cs="宋体"/>
          <w:bCs/>
          <w:kern w:val="0"/>
          <w:szCs w:val="24"/>
          <w:highlight w:val="yellow"/>
        </w:rPr>
        <w:t>赎回确认日前一工作日</w:t>
      </w:r>
      <w:r>
        <w:rPr>
          <w:rFonts w:hint="eastAsia" w:ascii="仿宋_GB2312" w:hAnsi="宋体" w:cs="宋体"/>
          <w:bCs/>
          <w:color w:val="auto"/>
          <w:kern w:val="0"/>
          <w:szCs w:val="24"/>
          <w:highlight w:val="yellow"/>
          <w:lang w:eastAsia="zh-CN"/>
        </w:rPr>
        <w:t>该份额类别对应的总资产净值，向持有该份额类别的投资者进行兑付。</w:t>
      </w:r>
    </w:p>
    <w:p w14:paraId="2B0D9C29">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lang w:eastAsia="zh-CN"/>
        </w:rPr>
      </w:pPr>
      <w:r>
        <w:rPr>
          <w:rFonts w:hint="eastAsia" w:ascii="仿宋_GB2312" w:hAnsi="宋体" w:cs="宋体"/>
          <w:bCs/>
          <w:color w:val="auto"/>
          <w:kern w:val="0"/>
          <w:szCs w:val="24"/>
          <w:highlight w:val="yellow"/>
          <w:lang w:eastAsia="zh-CN"/>
        </w:rPr>
        <w:t>该情形下投资者赎回金额计算公式如下：</w:t>
      </w:r>
    </w:p>
    <w:p w14:paraId="419136E9">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lang w:eastAsia="zh-CN"/>
        </w:rPr>
      </w:pPr>
      <w:r>
        <w:rPr>
          <w:rFonts w:hint="eastAsia" w:ascii="仿宋_GB2312" w:hAnsi="宋体" w:cs="宋体"/>
          <w:bCs/>
          <w:color w:val="auto"/>
          <w:kern w:val="0"/>
          <w:szCs w:val="24"/>
          <w:highlight w:val="yellow"/>
          <w:lang w:eastAsia="zh-CN"/>
        </w:rPr>
        <w:t>赎回总金额=投资者在</w:t>
      </w:r>
      <w:r>
        <w:rPr>
          <w:rFonts w:hint="eastAsia" w:ascii="仿宋_GB2312" w:hAnsi="宋体" w:cs="宋体"/>
          <w:bCs/>
          <w:kern w:val="0"/>
          <w:szCs w:val="24"/>
          <w:highlight w:val="yellow"/>
        </w:rPr>
        <w:t>赎回确认日前一工作日</w:t>
      </w:r>
      <w:r>
        <w:rPr>
          <w:rFonts w:hint="eastAsia" w:ascii="仿宋_GB2312" w:hAnsi="宋体" w:cs="宋体"/>
          <w:bCs/>
          <w:color w:val="auto"/>
          <w:kern w:val="0"/>
          <w:szCs w:val="24"/>
          <w:highlight w:val="yellow"/>
          <w:lang w:eastAsia="zh-CN"/>
        </w:rPr>
        <w:t>持有的该份额类别份额/该份额类别总份额*该份额</w:t>
      </w:r>
      <w:r>
        <w:rPr>
          <w:rFonts w:hint="eastAsia" w:ascii="仿宋_GB2312" w:hAnsi="宋体" w:cs="宋体"/>
          <w:bCs/>
          <w:kern w:val="0"/>
          <w:szCs w:val="24"/>
          <w:highlight w:val="yellow"/>
        </w:rPr>
        <w:t>赎回确认日前一工作日</w:t>
      </w:r>
      <w:r>
        <w:rPr>
          <w:rFonts w:hint="eastAsia" w:ascii="仿宋_GB2312" w:hAnsi="宋体" w:cs="宋体"/>
          <w:bCs/>
          <w:color w:val="auto"/>
          <w:kern w:val="0"/>
          <w:szCs w:val="24"/>
          <w:highlight w:val="yellow"/>
          <w:lang w:eastAsia="zh-CN"/>
        </w:rPr>
        <w:t>总资产净值</w:t>
      </w:r>
    </w:p>
    <w:p w14:paraId="104F26A2">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lang w:eastAsia="zh-CN"/>
        </w:rPr>
      </w:pPr>
      <w:r>
        <w:rPr>
          <w:rFonts w:hint="eastAsia" w:ascii="仿宋_GB2312" w:hAnsi="宋体" w:cs="宋体"/>
          <w:bCs/>
          <w:color w:val="auto"/>
          <w:kern w:val="0"/>
          <w:szCs w:val="24"/>
          <w:highlight w:val="yellow"/>
          <w:lang w:eastAsia="zh-CN"/>
        </w:rPr>
        <w:t>赎回费用=赎回总金额×该产品份额赎回费率</w:t>
      </w:r>
    </w:p>
    <w:p w14:paraId="68BC0D0F">
      <w:pPr>
        <w:widowControl/>
        <w:tabs>
          <w:tab w:val="left" w:pos="709"/>
        </w:tabs>
        <w:snapToGrid w:val="0"/>
        <w:spacing w:line="360" w:lineRule="auto"/>
        <w:ind w:firstLine="420" w:firstLineChars="200"/>
        <w:rPr>
          <w:rFonts w:hint="eastAsia" w:ascii="仿宋_GB2312" w:hAnsi="宋体" w:eastAsia="仿宋_GB2312" w:cs="宋体"/>
          <w:bCs/>
          <w:kern w:val="0"/>
          <w:szCs w:val="24"/>
          <w:highlight w:val="yellow"/>
          <w:lang w:eastAsia="zh-CN"/>
        </w:rPr>
      </w:pPr>
      <w:r>
        <w:rPr>
          <w:rFonts w:hint="eastAsia" w:ascii="仿宋_GB2312" w:hAnsi="宋体" w:cs="宋体"/>
          <w:bCs/>
          <w:color w:val="auto"/>
          <w:kern w:val="0"/>
          <w:szCs w:val="24"/>
          <w:highlight w:val="yellow"/>
          <w:lang w:eastAsia="zh-CN"/>
        </w:rPr>
        <w:t>净赎回金额=赎回总金额-赎回费用</w:t>
      </w:r>
      <w:r>
        <w:rPr>
          <w:rFonts w:hint="eastAsia" w:ascii="仿宋_GB2312" w:hAnsi="宋体" w:cs="宋体"/>
          <w:b/>
          <w:kern w:val="0"/>
          <w:szCs w:val="24"/>
          <w:highlight w:val="yellow"/>
          <w:lang w:eastAsia="zh-CN"/>
        </w:rPr>
        <w:t>】</w:t>
      </w:r>
    </w:p>
    <w:p w14:paraId="329510D7">
      <w:pPr>
        <w:widowControl/>
        <w:tabs>
          <w:tab w:val="left" w:pos="709"/>
        </w:tabs>
        <w:snapToGrid w:val="0"/>
        <w:spacing w:line="360" w:lineRule="auto"/>
        <w:ind w:firstLine="420" w:firstLineChars="200"/>
        <w:rPr>
          <w:rFonts w:ascii="仿宋_GB2312" w:hAnsi="宋体" w:cs="宋体"/>
          <w:bCs/>
          <w:kern w:val="0"/>
          <w:szCs w:val="24"/>
        </w:rPr>
      </w:pPr>
      <w:r>
        <w:rPr>
          <w:rFonts w:hint="eastAsia" w:ascii="仿宋_GB2312" w:hAnsi="宋体" w:cs="宋体"/>
          <w:bCs/>
          <w:color w:val="auto"/>
          <w:kern w:val="0"/>
          <w:szCs w:val="24"/>
        </w:rPr>
        <w:t>4.</w:t>
      </w:r>
      <w:r>
        <w:rPr>
          <w:rFonts w:hint="eastAsia" w:ascii="仿宋_GB2312" w:hAnsi="宋体" w:cs="宋体"/>
          <w:bCs/>
          <w:kern w:val="0"/>
          <w:szCs w:val="24"/>
        </w:rPr>
        <w:t>赎回规则示例（</w:t>
      </w:r>
      <w:r>
        <w:rPr>
          <w:rFonts w:hint="eastAsia" w:ascii="仿宋_GB2312" w:hAnsi="宋体" w:cs="宋体"/>
          <w:b/>
          <w:kern w:val="0"/>
          <w:szCs w:val="24"/>
        </w:rPr>
        <w:t>若该笔认/申购份额的周期结束日为非工作日则自动顺延至下一工作日；周一 至周五为工作日，不考虑节假日调休情况</w:t>
      </w:r>
      <w:r>
        <w:rPr>
          <w:rFonts w:hint="eastAsia" w:ascii="仿宋_GB2312" w:hAnsi="宋体" w:cs="宋体"/>
          <w:bCs/>
          <w:kern w:val="0"/>
          <w:szCs w:val="24"/>
        </w:rPr>
        <w:t>）</w:t>
      </w:r>
    </w:p>
    <w:tbl>
      <w:tblPr>
        <w:tblStyle w:val="8"/>
        <w:tblW w:w="0" w:type="auto"/>
        <w:tblInd w:w="4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2"/>
        <w:gridCol w:w="2673"/>
        <w:gridCol w:w="1585"/>
        <w:gridCol w:w="1902"/>
      </w:tblGrid>
      <w:tr w14:paraId="762D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2350" w:type="dxa"/>
            <w:vAlign w:val="center"/>
          </w:tcPr>
          <w:p w14:paraId="6316C872">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ascii="仿宋_GB2312" w:hAnsi="宋体"/>
                <w:color w:val="000000" w:themeColor="text1"/>
                <w:kern w:val="0"/>
                <w:szCs w:val="24"/>
                <w14:textFill>
                  <w14:solidFill>
                    <w14:schemeClr w14:val="tx1"/>
                  </w14:solidFill>
                </w14:textFill>
              </w:rPr>
              <w:t>周期结束日</w:t>
            </w:r>
          </w:p>
        </w:tc>
        <w:tc>
          <w:tcPr>
            <w:tcW w:w="3294" w:type="dxa"/>
            <w:vAlign w:val="center"/>
          </w:tcPr>
          <w:p w14:paraId="6CB5B997">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ascii="仿宋_GB2312" w:hAnsi="宋体"/>
                <w:color w:val="000000" w:themeColor="text1"/>
                <w:kern w:val="0"/>
                <w:szCs w:val="24"/>
                <w14:textFill>
                  <w14:solidFill>
                    <w14:schemeClr w14:val="tx1"/>
                  </w14:solidFill>
                </w14:textFill>
              </w:rPr>
              <w:t>预约赎回截止日时间</w:t>
            </w:r>
          </w:p>
        </w:tc>
        <w:tc>
          <w:tcPr>
            <w:tcW w:w="1957" w:type="dxa"/>
            <w:vAlign w:val="center"/>
          </w:tcPr>
          <w:p w14:paraId="09968C46">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ascii="仿宋_GB2312" w:hAnsi="宋体"/>
                <w:color w:val="000000" w:themeColor="text1"/>
                <w:kern w:val="0"/>
                <w:szCs w:val="24"/>
                <w14:textFill>
                  <w14:solidFill>
                    <w14:schemeClr w14:val="tx1"/>
                  </w14:solidFill>
                </w14:textFill>
              </w:rPr>
              <w:t>赎回确认日</w:t>
            </w:r>
          </w:p>
        </w:tc>
        <w:tc>
          <w:tcPr>
            <w:tcW w:w="2375" w:type="dxa"/>
            <w:vAlign w:val="center"/>
          </w:tcPr>
          <w:p w14:paraId="48918DD8">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确认净值</w:t>
            </w:r>
          </w:p>
        </w:tc>
      </w:tr>
      <w:tr w14:paraId="27595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vAlign w:val="center"/>
          </w:tcPr>
          <w:p w14:paraId="03D2C0DC">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ascii="仿宋_GB2312" w:hAnsi="宋体"/>
                <w:color w:val="000000" w:themeColor="text1"/>
                <w:kern w:val="0"/>
                <w:szCs w:val="24"/>
                <w14:textFill>
                  <w14:solidFill>
                    <w14:schemeClr w14:val="tx1"/>
                  </w14:solidFill>
                </w14:textFill>
              </w:rPr>
              <w:t>周一</w:t>
            </w:r>
          </w:p>
        </w:tc>
        <w:tc>
          <w:tcPr>
            <w:tcW w:w="3294" w:type="dxa"/>
            <w:vAlign w:val="center"/>
          </w:tcPr>
          <w:p w14:paraId="2521F8DD">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ascii="仿宋_GB2312" w:hAnsi="宋体"/>
                <w:color w:val="000000" w:themeColor="text1"/>
                <w:kern w:val="0"/>
                <w:szCs w:val="24"/>
                <w14:textFill>
                  <w14:solidFill>
                    <w14:schemeClr w14:val="tx1"/>
                  </w14:solidFill>
                </w14:textFill>
              </w:rPr>
              <w:t>上周五 15:30（不含）</w:t>
            </w:r>
          </w:p>
        </w:tc>
        <w:tc>
          <w:tcPr>
            <w:tcW w:w="1957" w:type="dxa"/>
            <w:vAlign w:val="center"/>
          </w:tcPr>
          <w:p w14:paraId="081012B0">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周二</w:t>
            </w:r>
          </w:p>
        </w:tc>
        <w:tc>
          <w:tcPr>
            <w:tcW w:w="2375" w:type="dxa"/>
            <w:vAlign w:val="center"/>
          </w:tcPr>
          <w:p w14:paraId="5A0103E3">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周一产品份额净值</w:t>
            </w:r>
          </w:p>
        </w:tc>
      </w:tr>
      <w:tr w14:paraId="35125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vAlign w:val="center"/>
          </w:tcPr>
          <w:p w14:paraId="6084AE59">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ascii="仿宋_GB2312" w:hAnsi="宋体"/>
                <w:color w:val="000000" w:themeColor="text1"/>
                <w:kern w:val="0"/>
                <w:szCs w:val="24"/>
                <w14:textFill>
                  <w14:solidFill>
                    <w14:schemeClr w14:val="tx1"/>
                  </w14:solidFill>
                </w14:textFill>
              </w:rPr>
              <w:t>周二</w:t>
            </w:r>
          </w:p>
        </w:tc>
        <w:tc>
          <w:tcPr>
            <w:tcW w:w="3294" w:type="dxa"/>
            <w:vAlign w:val="center"/>
          </w:tcPr>
          <w:p w14:paraId="1BC75018">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ascii="仿宋_GB2312" w:hAnsi="宋体"/>
                <w:color w:val="000000" w:themeColor="text1"/>
                <w:kern w:val="0"/>
                <w:szCs w:val="24"/>
                <w14:textFill>
                  <w14:solidFill>
                    <w14:schemeClr w14:val="tx1"/>
                  </w14:solidFill>
                </w14:textFill>
              </w:rPr>
              <w:t>周一 15:30（不含）</w:t>
            </w:r>
          </w:p>
        </w:tc>
        <w:tc>
          <w:tcPr>
            <w:tcW w:w="1957" w:type="dxa"/>
            <w:vAlign w:val="center"/>
          </w:tcPr>
          <w:p w14:paraId="75F15E14">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周三</w:t>
            </w:r>
          </w:p>
        </w:tc>
        <w:tc>
          <w:tcPr>
            <w:tcW w:w="2375" w:type="dxa"/>
            <w:vAlign w:val="center"/>
          </w:tcPr>
          <w:p w14:paraId="094802FC">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周二产品份额净值</w:t>
            </w:r>
          </w:p>
        </w:tc>
      </w:tr>
      <w:tr w14:paraId="39374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vAlign w:val="center"/>
          </w:tcPr>
          <w:p w14:paraId="79FCAEB5">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ascii="仿宋_GB2312" w:hAnsi="宋体"/>
                <w:color w:val="000000" w:themeColor="text1"/>
                <w:kern w:val="0"/>
                <w:szCs w:val="24"/>
                <w14:textFill>
                  <w14:solidFill>
                    <w14:schemeClr w14:val="tx1"/>
                  </w14:solidFill>
                </w14:textFill>
              </w:rPr>
              <w:t>周三</w:t>
            </w:r>
          </w:p>
        </w:tc>
        <w:tc>
          <w:tcPr>
            <w:tcW w:w="3294" w:type="dxa"/>
            <w:vAlign w:val="center"/>
          </w:tcPr>
          <w:p w14:paraId="4F94B3FB">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ascii="仿宋_GB2312" w:hAnsi="宋体"/>
                <w:color w:val="000000" w:themeColor="text1"/>
                <w:kern w:val="0"/>
                <w:szCs w:val="24"/>
                <w14:textFill>
                  <w14:solidFill>
                    <w14:schemeClr w14:val="tx1"/>
                  </w14:solidFill>
                </w14:textFill>
              </w:rPr>
              <w:t>周二 15:30（不含）</w:t>
            </w:r>
          </w:p>
        </w:tc>
        <w:tc>
          <w:tcPr>
            <w:tcW w:w="1957" w:type="dxa"/>
            <w:vAlign w:val="center"/>
          </w:tcPr>
          <w:p w14:paraId="74E2D4B1">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周四</w:t>
            </w:r>
          </w:p>
        </w:tc>
        <w:tc>
          <w:tcPr>
            <w:tcW w:w="2375" w:type="dxa"/>
            <w:vAlign w:val="center"/>
          </w:tcPr>
          <w:p w14:paraId="289F9344">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周三产品份额净值</w:t>
            </w:r>
          </w:p>
        </w:tc>
      </w:tr>
      <w:tr w14:paraId="7A29C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vAlign w:val="center"/>
          </w:tcPr>
          <w:p w14:paraId="6F64DCF3">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ascii="仿宋_GB2312" w:hAnsi="宋体"/>
                <w:color w:val="000000" w:themeColor="text1"/>
                <w:kern w:val="0"/>
                <w:szCs w:val="24"/>
                <w14:textFill>
                  <w14:solidFill>
                    <w14:schemeClr w14:val="tx1"/>
                  </w14:solidFill>
                </w14:textFill>
              </w:rPr>
              <w:t>周四</w:t>
            </w:r>
          </w:p>
        </w:tc>
        <w:tc>
          <w:tcPr>
            <w:tcW w:w="3294" w:type="dxa"/>
            <w:vAlign w:val="center"/>
          </w:tcPr>
          <w:p w14:paraId="4F84357C">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ascii="仿宋_GB2312" w:hAnsi="宋体"/>
                <w:color w:val="000000" w:themeColor="text1"/>
                <w:kern w:val="0"/>
                <w:szCs w:val="24"/>
                <w14:textFill>
                  <w14:solidFill>
                    <w14:schemeClr w14:val="tx1"/>
                  </w14:solidFill>
                </w14:textFill>
              </w:rPr>
              <w:t>周三 15:30（不含）</w:t>
            </w:r>
          </w:p>
        </w:tc>
        <w:tc>
          <w:tcPr>
            <w:tcW w:w="1957" w:type="dxa"/>
            <w:vAlign w:val="center"/>
          </w:tcPr>
          <w:p w14:paraId="0FDF294C">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周五</w:t>
            </w:r>
          </w:p>
        </w:tc>
        <w:tc>
          <w:tcPr>
            <w:tcW w:w="2375" w:type="dxa"/>
            <w:vAlign w:val="center"/>
          </w:tcPr>
          <w:p w14:paraId="6BAEF8C8">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周四产品份额净值</w:t>
            </w:r>
          </w:p>
        </w:tc>
      </w:tr>
      <w:tr w14:paraId="66D06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vAlign w:val="center"/>
          </w:tcPr>
          <w:p w14:paraId="55593793">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ascii="仿宋_GB2312" w:hAnsi="宋体"/>
                <w:color w:val="000000" w:themeColor="text1"/>
                <w:kern w:val="0"/>
                <w:szCs w:val="24"/>
                <w14:textFill>
                  <w14:solidFill>
                    <w14:schemeClr w14:val="tx1"/>
                  </w14:solidFill>
                </w14:textFill>
              </w:rPr>
              <w:t>周五</w:t>
            </w:r>
          </w:p>
        </w:tc>
        <w:tc>
          <w:tcPr>
            <w:tcW w:w="3294" w:type="dxa"/>
            <w:vAlign w:val="center"/>
          </w:tcPr>
          <w:p w14:paraId="1B9EA7EA">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ascii="仿宋_GB2312" w:hAnsi="宋体"/>
                <w:color w:val="000000" w:themeColor="text1"/>
                <w:kern w:val="0"/>
                <w:szCs w:val="24"/>
                <w14:textFill>
                  <w14:solidFill>
                    <w14:schemeClr w14:val="tx1"/>
                  </w14:solidFill>
                </w14:textFill>
              </w:rPr>
              <w:t>周四 15:30（不含）</w:t>
            </w:r>
          </w:p>
        </w:tc>
        <w:tc>
          <w:tcPr>
            <w:tcW w:w="1957" w:type="dxa"/>
            <w:vAlign w:val="center"/>
          </w:tcPr>
          <w:p w14:paraId="05E29473">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下周一</w:t>
            </w:r>
          </w:p>
        </w:tc>
        <w:tc>
          <w:tcPr>
            <w:tcW w:w="2375" w:type="dxa"/>
            <w:vAlign w:val="center"/>
          </w:tcPr>
          <w:p w14:paraId="5A3A27C1">
            <w:pPr>
              <w:widowControl/>
              <w:tabs>
                <w:tab w:val="left" w:pos="709"/>
              </w:tabs>
              <w:snapToGrid w:val="0"/>
              <w:jc w:val="center"/>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周五产品份额净值</w:t>
            </w:r>
          </w:p>
        </w:tc>
      </w:tr>
    </w:tbl>
    <w:p w14:paraId="24344089">
      <w:pPr>
        <w:pStyle w:val="13"/>
        <w:widowControl/>
        <w:tabs>
          <w:tab w:val="left" w:pos="312"/>
          <w:tab w:val="left" w:pos="709"/>
        </w:tabs>
        <w:snapToGrid w:val="0"/>
        <w:spacing w:line="360" w:lineRule="auto"/>
        <w:ind w:left="480" w:firstLine="0" w:firstLineChars="0"/>
        <w:rPr>
          <w:rFonts w:hint="eastAsia" w:ascii="仿宋_GB2312" w:hAnsi="宋体" w:cs="宋体"/>
          <w:bCs/>
          <w:kern w:val="0"/>
          <w:szCs w:val="24"/>
        </w:rPr>
      </w:pPr>
    </w:p>
    <w:p w14:paraId="6F879BEC">
      <w:pPr>
        <w:pStyle w:val="3"/>
        <w:numPr>
          <w:ilvl w:val="1"/>
          <w:numId w:val="0"/>
        </w:numPr>
        <w:adjustRightInd w:val="0"/>
        <w:snapToGrid w:val="0"/>
        <w:ind w:left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eastAsia="zh-CN"/>
        </w:rPr>
        <w:t>（五）</w:t>
      </w:r>
      <w:r>
        <w:rPr>
          <w:rFonts w:hint="eastAsia" w:ascii="仿宋_GB2312" w:hAnsi="宋体" w:cs="宋体"/>
          <w:bCs/>
          <w:color w:val="auto"/>
          <w:kern w:val="0"/>
          <w:szCs w:val="24"/>
          <w:highlight w:val="none"/>
          <w:u w:val="none"/>
        </w:rPr>
        <w:t>巨额赎回的情形及处理方式</w:t>
      </w:r>
      <w:r>
        <w:rPr>
          <w:rFonts w:ascii="仿宋_GB2312" w:hAnsi="宋体" w:cs="宋体"/>
          <w:bCs/>
          <w:color w:val="auto"/>
          <w:kern w:val="0"/>
          <w:szCs w:val="24"/>
          <w:highlight w:val="none"/>
          <w:u w:val="none"/>
        </w:rPr>
        <w:t xml:space="preserve"> </w:t>
      </w:r>
    </w:p>
    <w:p w14:paraId="5A278812">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1.巨额赎回的认定</w:t>
      </w:r>
    </w:p>
    <w:p w14:paraId="7624EF47">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1A8B6553">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2.巨额赎回的处理方式</w:t>
      </w:r>
    </w:p>
    <w:p w14:paraId="1F8071B8">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205DA0DA">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3.巨额赎回的公告</w:t>
      </w:r>
    </w:p>
    <w:p w14:paraId="07BA6B49">
      <w:pPr>
        <w:autoSpaceDE w:val="0"/>
        <w:autoSpaceDN w:val="0"/>
        <w:adjustRightInd w:val="0"/>
        <w:snapToGrid w:val="0"/>
        <w:spacing w:line="360" w:lineRule="auto"/>
        <w:ind w:firstLine="420" w:firstLineChars="200"/>
        <w:rPr>
          <w:rFonts w:hint="eastAsia" w:ascii="仿宋_GB2312" w:hAnsi="宋体" w:cs="宋体"/>
          <w:bCs/>
          <w:kern w:val="0"/>
          <w:szCs w:val="24"/>
        </w:rPr>
      </w:pPr>
      <w:r>
        <w:rPr>
          <w:rFonts w:hint="eastAsia" w:ascii="仿宋_GB2312" w:hAnsi="宋体" w:cs="宋体"/>
          <w:bCs/>
          <w:color w:val="auto"/>
          <w:kern w:val="0"/>
          <w:szCs w:val="24"/>
          <w:highlight w:val="none"/>
          <w:u w:val="none"/>
        </w:rPr>
        <w:t>在发生巨额赎回产品管理人</w:t>
      </w:r>
      <w:r>
        <w:rPr>
          <w:rFonts w:hint="eastAsia" w:asciiTheme="minorEastAsia" w:hAnsiTheme="minorEastAsia"/>
          <w:color w:val="auto"/>
          <w:szCs w:val="24"/>
          <w:highlight w:val="none"/>
          <w:u w:val="none"/>
        </w:rPr>
        <w:t>暂停接受或延期办理</w:t>
      </w:r>
      <w:r>
        <w:rPr>
          <w:rFonts w:hint="eastAsia" w:ascii="仿宋_GB2312" w:hAnsi="宋体" w:cs="宋体"/>
          <w:bCs/>
          <w:color w:val="auto"/>
          <w:kern w:val="0"/>
          <w:szCs w:val="24"/>
          <w:highlight w:val="none"/>
          <w:u w:val="none"/>
        </w:rPr>
        <w:t>投资者赎回申请时，产品管理人将依约定发布相关公告信息。</w:t>
      </w:r>
    </w:p>
    <w:p w14:paraId="33FC76B8">
      <w:pPr>
        <w:pStyle w:val="3"/>
        <w:numPr>
          <w:ilvl w:val="255"/>
          <w:numId w:val="0"/>
        </w:numPr>
        <w:tabs>
          <w:tab w:val="left" w:pos="0"/>
          <w:tab w:val="left" w:pos="3261"/>
          <w:tab w:val="left" w:pos="6947"/>
        </w:tabs>
        <w:adjustRightInd w:val="0"/>
        <w:snapToGrid w:val="0"/>
        <w:ind w:left="420" w:leftChars="200"/>
        <w:jc w:val="both"/>
        <w:rPr>
          <w:rFonts w:hint="eastAsia" w:ascii="仿宋_GB2312" w:hAnsi="宋体" w:eastAsia="仿宋_GB2312" w:cs="宋体"/>
          <w:bCs/>
          <w:kern w:val="0"/>
          <w:szCs w:val="24"/>
        </w:rPr>
      </w:pPr>
      <w:r>
        <w:rPr>
          <w:rFonts w:hint="eastAsia" w:ascii="仿宋_GB2312" w:hAnsi="宋体" w:eastAsia="仿宋_GB2312" w:cs="宋体"/>
          <w:bCs/>
          <w:kern w:val="0"/>
          <w:szCs w:val="24"/>
        </w:rPr>
        <w:t>（六）拒绝赎回、暂停赎回、延缓支付</w:t>
      </w:r>
    </w:p>
    <w:p w14:paraId="09FAA74D">
      <w:pPr>
        <w:adjustRightInd w:val="0"/>
        <w:snapToGrid w:val="0"/>
        <w:spacing w:line="360" w:lineRule="auto"/>
        <w:ind w:firstLine="422" w:firstLineChars="200"/>
        <w:rPr>
          <w:rFonts w:hint="eastAsia" w:ascii="仿宋_GB2312" w:hAnsi="宋体"/>
          <w:b/>
          <w:color w:val="000000" w:themeColor="text1"/>
          <w:kern w:val="0"/>
          <w:szCs w:val="24"/>
          <w14:textFill>
            <w14:solidFill>
              <w14:schemeClr w14:val="tx1"/>
            </w14:solidFill>
          </w14:textFill>
        </w:rPr>
      </w:pPr>
      <w:r>
        <w:rPr>
          <w:rFonts w:hint="eastAsia" w:ascii="仿宋_GB2312" w:hAnsi="宋体"/>
          <w:b/>
          <w:color w:val="000000" w:themeColor="text1"/>
          <w:kern w:val="0"/>
          <w:szCs w:val="24"/>
          <w14:textFill>
            <w14:solidFill>
              <w14:schemeClr w14:val="tx1"/>
            </w14:solidFill>
          </w14:textFill>
        </w:rPr>
        <w:t>当出现以下情形之一时，浙银理财有权拒绝投资者提交的理财产品全部或部分赎回申请并确认投资者赎回失败，或暂停投资者赎回并关闭系统赎回交易功能，或延缓支付已受理并成功确认的投资者赎回款项，并在</w:t>
      </w:r>
      <w:r>
        <w:rPr>
          <w:rFonts w:ascii="仿宋_GB2312" w:hAnsi="宋体"/>
          <w:b/>
          <w:color w:val="000000" w:themeColor="text1"/>
          <w:kern w:val="0"/>
          <w:szCs w:val="24"/>
          <w14:textFill>
            <w14:solidFill>
              <w14:schemeClr w14:val="tx1"/>
            </w14:solidFill>
          </w14:textFill>
        </w:rPr>
        <w:t>3个工作日内公告。</w:t>
      </w:r>
    </w:p>
    <w:p w14:paraId="6AD8CF9D">
      <w:pPr>
        <w:widowControl/>
        <w:tabs>
          <w:tab w:val="left" w:pos="709"/>
        </w:tabs>
        <w:snapToGrid w:val="0"/>
        <w:spacing w:line="360" w:lineRule="auto"/>
        <w:ind w:firstLine="420" w:firstLineChars="200"/>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w:t>
      </w:r>
      <w:r>
        <w:rPr>
          <w:rFonts w:ascii="仿宋_GB2312" w:hAnsi="宋体"/>
          <w:color w:val="000000" w:themeColor="text1"/>
          <w:kern w:val="0"/>
          <w:szCs w:val="24"/>
          <w14:textFill>
            <w14:solidFill>
              <w14:schemeClr w14:val="tx1"/>
            </w14:solidFill>
          </w14:textFill>
        </w:rPr>
        <w:t>1）因不可抗力导致产品</w:t>
      </w:r>
      <w:r>
        <w:rPr>
          <w:rFonts w:hint="eastAsia" w:ascii="仿宋_GB2312" w:hAnsi="宋体"/>
          <w:color w:val="000000" w:themeColor="text1"/>
          <w:kern w:val="0"/>
          <w:szCs w:val="24"/>
          <w14:textFill>
            <w14:solidFill>
              <w14:schemeClr w14:val="tx1"/>
            </w14:solidFill>
          </w14:textFill>
        </w:rPr>
        <w:t>管理</w:t>
      </w:r>
      <w:r>
        <w:rPr>
          <w:rFonts w:ascii="仿宋_GB2312" w:hAnsi="宋体"/>
          <w:color w:val="000000" w:themeColor="text1"/>
          <w:kern w:val="0"/>
          <w:szCs w:val="24"/>
          <w14:textFill>
            <w14:solidFill>
              <w14:schemeClr w14:val="tx1"/>
            </w14:solidFill>
          </w14:textFill>
        </w:rPr>
        <w:t>机构无法接受投资者赎回申请或产品管理人不能支付赎回款项；</w:t>
      </w:r>
    </w:p>
    <w:p w14:paraId="2F570386">
      <w:pPr>
        <w:widowControl/>
        <w:tabs>
          <w:tab w:val="left" w:pos="709"/>
        </w:tabs>
        <w:snapToGrid w:val="0"/>
        <w:spacing w:line="360" w:lineRule="auto"/>
        <w:ind w:firstLine="420" w:firstLineChars="200"/>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w:t>
      </w:r>
      <w:r>
        <w:rPr>
          <w:rFonts w:ascii="仿宋_GB2312" w:hAnsi="宋体"/>
          <w:color w:val="000000" w:themeColor="text1"/>
          <w:kern w:val="0"/>
          <w:szCs w:val="24"/>
          <w14:textFill>
            <w14:solidFill>
              <w14:schemeClr w14:val="tx1"/>
            </w14:solidFill>
          </w14:textFill>
        </w:rPr>
        <w:t>2）证券交易场所依法决定临时停市，导致产品管理人无法计算当日产品资产净值；</w:t>
      </w:r>
    </w:p>
    <w:p w14:paraId="188B51AF">
      <w:pPr>
        <w:widowControl/>
        <w:tabs>
          <w:tab w:val="left" w:pos="709"/>
        </w:tabs>
        <w:snapToGrid w:val="0"/>
        <w:spacing w:line="360" w:lineRule="auto"/>
        <w:ind w:firstLine="420" w:firstLineChars="200"/>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w:t>
      </w:r>
      <w:r>
        <w:rPr>
          <w:rFonts w:ascii="仿宋_GB2312" w:hAnsi="宋体"/>
          <w:color w:val="000000" w:themeColor="text1"/>
          <w:kern w:val="0"/>
          <w:szCs w:val="24"/>
          <w14:textFill>
            <w14:solidFill>
              <w14:schemeClr w14:val="tx1"/>
            </w14:solidFill>
          </w14:textFill>
        </w:rPr>
        <w:t>3）产品所投资资产无法及时、足额变现；</w:t>
      </w:r>
    </w:p>
    <w:p w14:paraId="4AA188A7">
      <w:pPr>
        <w:widowControl/>
        <w:tabs>
          <w:tab w:val="left" w:pos="709"/>
        </w:tabs>
        <w:snapToGrid w:val="0"/>
        <w:spacing w:line="360" w:lineRule="auto"/>
        <w:ind w:firstLine="420" w:firstLineChars="200"/>
        <w:rPr>
          <w:rFonts w:hint="eastAsia" w:ascii="仿宋_GB2312" w:hAnsi="宋体"/>
          <w:color w:val="000000" w:themeColor="text1"/>
          <w:kern w:val="0"/>
          <w:szCs w:val="24"/>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w:t>
      </w:r>
      <w:r>
        <w:rPr>
          <w:rFonts w:ascii="仿宋_GB2312" w:hAnsi="宋体"/>
          <w:color w:val="000000" w:themeColor="text1"/>
          <w:kern w:val="0"/>
          <w:szCs w:val="24"/>
          <w14:textFill>
            <w14:solidFill>
              <w14:schemeClr w14:val="tx1"/>
            </w14:solidFill>
          </w14:textFill>
        </w:rPr>
        <w:t>4）触发巨额赎回情形（详见本节第</w:t>
      </w:r>
      <w:r>
        <w:rPr>
          <w:rFonts w:hint="eastAsia" w:ascii="仿宋_GB2312" w:hAnsi="宋体"/>
          <w:color w:val="000000" w:themeColor="text1"/>
          <w:kern w:val="0"/>
          <w:szCs w:val="24"/>
          <w14:textFill>
            <w14:solidFill>
              <w14:schemeClr w14:val="tx1"/>
            </w14:solidFill>
          </w14:textFill>
        </w:rPr>
        <w:t>（五）部分）；</w:t>
      </w:r>
    </w:p>
    <w:p w14:paraId="1894B5AA">
      <w:pPr>
        <w:widowControl/>
        <w:tabs>
          <w:tab w:val="left" w:pos="709"/>
        </w:tabs>
        <w:snapToGrid w:val="0"/>
        <w:spacing w:line="360" w:lineRule="auto"/>
        <w:ind w:firstLine="420" w:firstLineChars="200"/>
        <w:rPr>
          <w:rFonts w:hint="eastAsia" w:ascii="仿宋_GB2312" w:hAnsi="宋体"/>
          <w:color w:val="000000" w:themeColor="text1"/>
          <w:kern w:val="0"/>
          <w:szCs w:val="24"/>
          <w:highlight w:val="none"/>
          <w14:textFill>
            <w14:solidFill>
              <w14:schemeClr w14:val="tx1"/>
            </w14:solidFill>
          </w14:textFill>
        </w:rPr>
      </w:pPr>
      <w:r>
        <w:rPr>
          <w:rFonts w:hint="eastAsia" w:ascii="仿宋_GB2312" w:hAnsi="宋体"/>
          <w:color w:val="000000" w:themeColor="text1"/>
          <w:kern w:val="0"/>
          <w:szCs w:val="24"/>
          <w14:textFill>
            <w14:solidFill>
              <w14:schemeClr w14:val="tx1"/>
            </w14:solidFill>
          </w14:textFill>
        </w:rPr>
        <w:t>（5）</w:t>
      </w:r>
      <w:r>
        <w:rPr>
          <w:rFonts w:ascii="仿宋_GB2312" w:hAnsi="宋体"/>
          <w:color w:val="000000" w:themeColor="text1"/>
          <w:kern w:val="0"/>
          <w:szCs w:val="24"/>
          <w:highlight w:val="none"/>
          <w14:textFill>
            <w14:solidFill>
              <w14:schemeClr w14:val="tx1"/>
            </w14:solidFill>
          </w14:textFill>
        </w:rPr>
        <w:t>法律、法规或相关监管认定的其他情形。</w:t>
      </w:r>
    </w:p>
    <w:p w14:paraId="70D33892">
      <w:pPr>
        <w:autoSpaceDE w:val="0"/>
        <w:autoSpaceDN w:val="0"/>
        <w:adjustRightInd w:val="0"/>
        <w:snapToGrid w:val="0"/>
        <w:spacing w:line="360" w:lineRule="auto"/>
        <w:ind w:firstLine="422" w:firstLineChars="200"/>
        <w:rPr>
          <w:rFonts w:hint="eastAsia" w:ascii="仿宋_GB2312" w:hAnsi="宋体"/>
          <w:b/>
          <w:color w:val="000000" w:themeColor="text1"/>
          <w:kern w:val="0"/>
          <w:szCs w:val="24"/>
          <w14:textFill>
            <w14:solidFill>
              <w14:schemeClr w14:val="tx1"/>
            </w14:solidFill>
          </w14:textFill>
        </w:rPr>
      </w:pPr>
      <w:r>
        <w:rPr>
          <w:rFonts w:hint="eastAsia" w:ascii="仿宋_GB2312" w:hAnsi="宋体"/>
          <w:b/>
          <w:color w:val="000000" w:themeColor="text1"/>
          <w:kern w:val="0"/>
          <w:szCs w:val="24"/>
          <w:highlight w:val="none"/>
          <w14:textFill>
            <w14:solidFill>
              <w14:schemeClr w14:val="tx1"/>
            </w14:solidFill>
          </w14:textFill>
        </w:rPr>
        <w:t>如浙银理财延缓支付投资者理财产品赎回款项，实际到账日应不晚于产品说明书约定的赎回到账日后</w:t>
      </w:r>
      <w:r>
        <w:rPr>
          <w:rFonts w:ascii="仿宋_GB2312" w:hAnsi="宋体"/>
          <w:b/>
          <w:color w:val="000000" w:themeColor="text1"/>
          <w:kern w:val="0"/>
          <w:szCs w:val="24"/>
          <w:highlight w:val="none"/>
          <w14:textFill>
            <w14:solidFill>
              <w14:schemeClr w14:val="tx1"/>
            </w14:solidFill>
          </w14:textFill>
        </w:rPr>
        <w:t>5个工作日</w:t>
      </w:r>
      <w:r>
        <w:rPr>
          <w:rFonts w:ascii="仿宋_GB2312" w:hAnsi="宋体"/>
          <w:b/>
          <w:color w:val="000000" w:themeColor="text1"/>
          <w:kern w:val="0"/>
          <w:szCs w:val="24"/>
          <w14:textFill>
            <w14:solidFill>
              <w14:schemeClr w14:val="tx1"/>
            </w14:solidFill>
          </w14:textFill>
        </w:rPr>
        <w:t>，否则应提前披露。</w:t>
      </w:r>
    </w:p>
    <w:p w14:paraId="66E16C4E">
      <w:pPr>
        <w:widowControl/>
        <w:tabs>
          <w:tab w:val="left" w:pos="709"/>
        </w:tabs>
        <w:snapToGrid w:val="0"/>
        <w:spacing w:line="360" w:lineRule="auto"/>
        <w:ind w:firstLine="422" w:firstLineChars="200"/>
        <w:rPr>
          <w:rFonts w:hint="eastAsia" w:ascii="仿宋_GB2312" w:hAnsi="宋体"/>
          <w:b/>
          <w:color w:val="000000" w:themeColor="text1"/>
          <w:kern w:val="0"/>
          <w:szCs w:val="24"/>
          <w14:textFill>
            <w14:solidFill>
              <w14:schemeClr w14:val="tx1"/>
            </w14:solidFill>
          </w14:textFill>
        </w:rPr>
      </w:pPr>
      <w:r>
        <w:rPr>
          <w:rFonts w:hint="eastAsia" w:ascii="仿宋_GB2312" w:hAnsi="宋体"/>
          <w:b/>
          <w:color w:val="000000" w:themeColor="text1"/>
          <w:kern w:val="0"/>
          <w:szCs w:val="24"/>
          <w14:textFill>
            <w14:solidFill>
              <w14:schemeClr w14:val="tx1"/>
            </w14:solidFill>
          </w14:textFill>
        </w:rPr>
        <w:t>在拒绝、暂停赎回的情况消除后，浙银理财应及时恢复理财产品赎回业务的办理。</w:t>
      </w:r>
    </w:p>
    <w:p w14:paraId="30D14E66">
      <w:pPr>
        <w:widowControl/>
        <w:jc w:val="left"/>
        <w:rPr>
          <w:rFonts w:eastAsia="黑体"/>
          <w:color w:val="auto"/>
          <w:kern w:val="44"/>
          <w:sz w:val="28"/>
          <w:highlight w:val="none"/>
          <w:u w:val="none"/>
        </w:rPr>
      </w:pPr>
      <w:r>
        <w:rPr>
          <w:color w:val="auto"/>
          <w:highlight w:val="none"/>
          <w:u w:val="none"/>
        </w:rPr>
        <w:br w:type="page"/>
      </w:r>
    </w:p>
    <w:p w14:paraId="7FB7E9D5">
      <w:pPr>
        <w:pStyle w:val="2"/>
        <w:numPr>
          <w:ilvl w:val="0"/>
          <w:numId w:val="11"/>
        </w:numPr>
        <w:rPr>
          <w:color w:val="auto"/>
          <w:highlight w:val="none"/>
          <w:u w:val="none"/>
        </w:rPr>
      </w:pPr>
      <w:r>
        <w:rPr>
          <w:rFonts w:hint="eastAsia"/>
          <w:color w:val="auto"/>
          <w:highlight w:val="none"/>
          <w:u w:val="none"/>
        </w:rPr>
        <w:t>理财产品的投资</w:t>
      </w:r>
    </w:p>
    <w:p w14:paraId="40823A7C">
      <w:pPr>
        <w:pStyle w:val="3"/>
        <w:numPr>
          <w:ilvl w:val="1"/>
          <w:numId w:val="11"/>
        </w:numPr>
        <w:ind w:firstLine="482"/>
        <w:rPr>
          <w:color w:val="auto"/>
          <w:highlight w:val="none"/>
          <w:u w:val="none"/>
        </w:rPr>
      </w:pPr>
      <w:r>
        <w:rPr>
          <w:rFonts w:hint="eastAsia"/>
          <w:color w:val="auto"/>
          <w:highlight w:val="none"/>
          <w:u w:val="none"/>
        </w:rPr>
        <w:t>投资范围</w:t>
      </w:r>
    </w:p>
    <w:p w14:paraId="64860F7D">
      <w:pPr>
        <w:tabs>
          <w:tab w:val="left" w:pos="3119"/>
        </w:tabs>
        <w:autoSpaceDE w:val="0"/>
        <w:autoSpaceDN w:val="0"/>
        <w:spacing w:line="360" w:lineRule="auto"/>
        <w:ind w:right="31" w:rightChars="15" w:firstLine="420" w:firstLineChars="200"/>
        <w:rPr>
          <w:rFonts w:hint="default" w:ascii="仿宋_GB2312" w:hAnsi="宋体" w:cs="宋体"/>
          <w:bCs/>
          <w:color w:val="000000" w:themeColor="text1"/>
          <w:kern w:val="0"/>
          <w:szCs w:val="24"/>
          <w:highlight w:val="none"/>
          <w:lang w:val="en-US" w:eastAsia="zh-CN"/>
          <w14:textFill>
            <w14:solidFill>
              <w14:schemeClr w14:val="tx1"/>
            </w14:solidFill>
          </w14:textFill>
        </w:rPr>
      </w:pPr>
      <w:r>
        <w:rPr>
          <w:rFonts w:hint="eastAsia" w:ascii="仿宋_GB2312" w:hAnsi="宋体" w:cs="宋体"/>
          <w:bCs/>
          <w:color w:val="000000" w:themeColor="text1"/>
          <w:kern w:val="0"/>
          <w:szCs w:val="24"/>
          <w:highlight w:val="yellow"/>
          <w:lang w:eastAsia="zh-CN"/>
          <w14:textFill>
            <w14:solidFill>
              <w14:schemeClr w14:val="tx1"/>
            </w14:solidFill>
          </w14:textFill>
        </w:rPr>
        <w:t>【</w:t>
      </w:r>
      <w:r>
        <w:rPr>
          <w:rFonts w:hint="eastAsia" w:ascii="仿宋_GB2312" w:hAnsi="宋体" w:cs="宋体"/>
          <w:bCs/>
          <w:color w:val="000000" w:themeColor="text1"/>
          <w:kern w:val="0"/>
          <w:szCs w:val="24"/>
          <w:highlight w:val="none"/>
          <w:lang w:eastAsia="zh-CN"/>
          <w14:textFill>
            <w14:solidFill>
              <w14:schemeClr w14:val="tx1"/>
            </w14:solidFill>
          </w14:textFill>
        </w:rPr>
        <w:t>……</w:t>
      </w:r>
    </w:p>
    <w:p w14:paraId="739CE457">
      <w:pPr>
        <w:tabs>
          <w:tab w:val="left" w:pos="3119"/>
        </w:tabs>
        <w:autoSpaceDE w:val="0"/>
        <w:autoSpaceDN w:val="0"/>
        <w:spacing w:line="360" w:lineRule="auto"/>
        <w:ind w:right="31" w:rightChars="15" w:firstLine="420" w:firstLineChars="200"/>
        <w:rPr>
          <w:rFonts w:hint="eastAsia" w:ascii="仿宋_GB2312" w:hAnsi="宋体" w:cs="宋体"/>
          <w:bCs/>
          <w:color w:val="000000" w:themeColor="text1"/>
          <w:kern w:val="0"/>
          <w:szCs w:val="24"/>
          <w:highlight w:val="none"/>
          <w14:textFill>
            <w14:solidFill>
              <w14:schemeClr w14:val="tx1"/>
            </w14:solidFill>
          </w14:textFill>
        </w:rPr>
      </w:pPr>
      <w:r>
        <w:rPr>
          <w:rFonts w:hint="eastAsia" w:ascii="仿宋_GB2312" w:hAnsi="宋体" w:cs="宋体"/>
          <w:bCs/>
          <w:color w:val="000000" w:themeColor="text1"/>
          <w:kern w:val="0"/>
          <w:szCs w:val="24"/>
          <w:highlight w:val="none"/>
          <w14:textFill>
            <w14:solidFill>
              <w14:schemeClr w14:val="tx1"/>
            </w14:solidFill>
          </w14:textFill>
        </w:rPr>
        <w:t>本理财产品在投资于商品及金融衍生品类资产之前，管理人应获得相应的业务经营范围或投资交易资格。</w:t>
      </w:r>
    </w:p>
    <w:p w14:paraId="4AF3F587">
      <w:pPr>
        <w:tabs>
          <w:tab w:val="left" w:pos="3119"/>
        </w:tabs>
        <w:autoSpaceDE w:val="0"/>
        <w:autoSpaceDN w:val="0"/>
        <w:spacing w:line="360" w:lineRule="auto"/>
        <w:ind w:right="31" w:rightChars="15" w:firstLine="480" w:firstLineChars="200"/>
        <w:rPr>
          <w:rFonts w:ascii="仿宋_GB2312" w:hAnsi="宋体" w:cs="宋体"/>
          <w:bCs/>
          <w:color w:val="000000" w:themeColor="text1"/>
          <w:kern w:val="0"/>
          <w:szCs w:val="24"/>
          <w:highlight w:val="none"/>
          <w:u w:val="single"/>
          <w14:textFill>
            <w14:solidFill>
              <w14:schemeClr w14:val="tx1"/>
            </w14:solidFill>
          </w14:textFill>
        </w:rPr>
      </w:pPr>
      <w:r>
        <w:rPr>
          <w:rFonts w:hint="eastAsia" w:ascii="仿宋_GB2312" w:hAnsi="宋体" w:eastAsia="仿宋_GB2312" w:cs="宋体"/>
          <w:bCs/>
          <w:color w:val="000000" w:themeColor="text1"/>
          <w:kern w:val="0"/>
          <w:sz w:val="24"/>
          <w:szCs w:val="24"/>
          <w:highlight w:val="none"/>
          <w14:textFill>
            <w14:solidFill>
              <w14:schemeClr w14:val="tx1"/>
            </w14:solidFill>
          </w14:textFill>
        </w:rPr>
        <w:t>本理财产品在投资于境外资产之前，管理人应获得相应的业务经营范围或投资交易资格。</w:t>
      </w:r>
      <w:r>
        <w:rPr>
          <w:rFonts w:hint="eastAsia" w:ascii="仿宋_GB2312" w:hAnsi="宋体" w:cs="宋体"/>
          <w:bCs/>
          <w:color w:val="000000" w:themeColor="text1"/>
          <w:kern w:val="0"/>
          <w:szCs w:val="24"/>
          <w:highlight w:val="yellow"/>
          <w:lang w:eastAsia="zh-CN"/>
          <w14:textFill>
            <w14:solidFill>
              <w14:schemeClr w14:val="tx1"/>
            </w14:solidFill>
          </w14:textFill>
        </w:rPr>
        <w:t>】</w:t>
      </w:r>
    </w:p>
    <w:p w14:paraId="5B82CD4C">
      <w:pPr>
        <w:tabs>
          <w:tab w:val="left" w:pos="3119"/>
        </w:tabs>
        <w:autoSpaceDE w:val="0"/>
        <w:autoSpaceDN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本理财产品投资的资产范围须完全符合法律法规或监管规定，如因法律法规或监管规定的变更、修订或更新导致本理财产品投资某类资产受到限制或禁止的，该类资产将被视为从上述资产范围中自动剔除。</w:t>
      </w:r>
    </w:p>
    <w:p w14:paraId="31E8AFB9">
      <w:pPr>
        <w:pStyle w:val="3"/>
        <w:numPr>
          <w:ilvl w:val="1"/>
          <w:numId w:val="11"/>
        </w:numPr>
        <w:ind w:firstLine="482"/>
        <w:rPr>
          <w:color w:val="auto"/>
          <w:highlight w:val="none"/>
          <w:u w:val="none"/>
        </w:rPr>
      </w:pPr>
      <w:r>
        <w:rPr>
          <w:rFonts w:hint="eastAsia"/>
          <w:color w:val="auto"/>
          <w:highlight w:val="none"/>
          <w:u w:val="none"/>
        </w:rPr>
        <w:t>投资比例</w:t>
      </w:r>
    </w:p>
    <w:p w14:paraId="21A8C1C7">
      <w:pPr>
        <w:tabs>
          <w:tab w:val="left" w:pos="3119"/>
        </w:tabs>
        <w:autoSpaceDE w:val="0"/>
        <w:autoSpaceDN w:val="0"/>
        <w:adjustRightInd w:val="0"/>
        <w:spacing w:line="360" w:lineRule="auto"/>
        <w:ind w:right="31" w:rightChars="15" w:firstLine="420" w:firstLineChars="200"/>
        <w:contextualSpacing/>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1.本产品各投资资产占比如下：</w:t>
      </w:r>
    </w:p>
    <w:tbl>
      <w:tblPr>
        <w:tblStyle w:val="8"/>
        <w:tblW w:w="0" w:type="auto"/>
        <w:tblInd w:w="18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89"/>
        <w:gridCol w:w="1325"/>
      </w:tblGrid>
      <w:tr w14:paraId="243B2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9" w:type="dxa"/>
          </w:tcPr>
          <w:p w14:paraId="046400B3">
            <w:pPr>
              <w:widowControl/>
              <w:spacing w:line="360" w:lineRule="auto"/>
              <w:jc w:val="center"/>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投资资产</w:t>
            </w:r>
          </w:p>
        </w:tc>
        <w:tc>
          <w:tcPr>
            <w:tcW w:w="1325" w:type="dxa"/>
          </w:tcPr>
          <w:p w14:paraId="78AD41B2">
            <w:pPr>
              <w:widowControl/>
              <w:spacing w:line="360" w:lineRule="auto"/>
              <w:jc w:val="center"/>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投资比例</w:t>
            </w:r>
          </w:p>
        </w:tc>
      </w:tr>
      <w:tr w14:paraId="0A5BB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9" w:type="dxa"/>
            <w:vAlign w:val="top"/>
          </w:tcPr>
          <w:p w14:paraId="2E6C7D5A">
            <w:pPr>
              <w:widowControl/>
              <w:spacing w:line="360" w:lineRule="auto"/>
              <w:jc w:val="center"/>
              <w:rPr>
                <w:rFonts w:ascii="仿宋_GB2312" w:hAnsi="宋体" w:cs="宋体"/>
                <w:bCs/>
                <w:color w:val="auto"/>
                <w:kern w:val="0"/>
                <w:szCs w:val="24"/>
                <w:highlight w:val="none"/>
                <w:u w:val="none"/>
              </w:rPr>
            </w:pP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rPr>
              <w:t>债权类资产</w:t>
            </w:r>
            <w:r>
              <w:rPr>
                <w:rFonts w:hint="eastAsia" w:ascii="仿宋_GB2312" w:hAnsi="宋体" w:cs="宋体"/>
                <w:bCs/>
                <w:kern w:val="0"/>
                <w:szCs w:val="24"/>
                <w:highlight w:val="yellow"/>
                <w:lang w:eastAsia="zh-CN"/>
              </w:rPr>
              <w:t>】</w:t>
            </w:r>
          </w:p>
        </w:tc>
        <w:tc>
          <w:tcPr>
            <w:tcW w:w="1325" w:type="dxa"/>
            <w:vAlign w:val="top"/>
          </w:tcPr>
          <w:p w14:paraId="67470743">
            <w:pPr>
              <w:widowControl/>
              <w:spacing w:line="360" w:lineRule="auto"/>
              <w:jc w:val="center"/>
              <w:rPr>
                <w:rFonts w:ascii="仿宋_GB2312" w:hAnsi="宋体" w:cs="宋体"/>
                <w:bCs/>
                <w:color w:val="auto"/>
                <w:kern w:val="0"/>
                <w:szCs w:val="24"/>
                <w:highlight w:val="none"/>
                <w:u w:val="none"/>
              </w:rPr>
            </w:pPr>
            <w:r>
              <w:rPr>
                <w:rFonts w:hint="eastAsia" w:ascii="仿宋_GB2312" w:hAnsi="宋体" w:cs="宋体"/>
                <w:bCs/>
                <w:kern w:val="0"/>
                <w:szCs w:val="24"/>
                <w:highlight w:val="yellow"/>
                <w:lang w:eastAsia="zh-CN"/>
              </w:rPr>
              <w:t>【】</w:t>
            </w:r>
          </w:p>
        </w:tc>
      </w:tr>
      <w:tr w14:paraId="58F6F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9" w:type="dxa"/>
            <w:vAlign w:val="top"/>
          </w:tcPr>
          <w:p w14:paraId="2090A158">
            <w:pPr>
              <w:widowControl/>
              <w:spacing w:line="360" w:lineRule="auto"/>
              <w:jc w:val="center"/>
              <w:rPr>
                <w:rFonts w:ascii="仿宋_GB2312" w:hAnsi="宋体" w:cs="宋体"/>
                <w:bCs/>
                <w:color w:val="auto"/>
                <w:kern w:val="0"/>
                <w:szCs w:val="24"/>
                <w:highlight w:val="none"/>
                <w:u w:val="none"/>
              </w:rPr>
            </w:pPr>
            <w:r>
              <w:rPr>
                <w:rFonts w:hint="eastAsia" w:ascii="仿宋_GB2312" w:hAnsi="宋体" w:cs="宋体"/>
                <w:bCs/>
                <w:kern w:val="0"/>
                <w:szCs w:val="24"/>
                <w:highlight w:val="yellow"/>
                <w:u w:val="none"/>
                <w:lang w:eastAsia="zh-CN"/>
              </w:rPr>
              <w:t>【</w:t>
            </w:r>
            <w:r>
              <w:rPr>
                <w:rFonts w:hint="eastAsia" w:ascii="仿宋_GB2312" w:hAnsi="宋体" w:cs="宋体"/>
                <w:bCs/>
                <w:color w:val="auto"/>
                <w:kern w:val="0"/>
                <w:szCs w:val="24"/>
                <w:highlight w:val="none"/>
                <w:u w:val="none"/>
              </w:rPr>
              <w:t>权益类资产</w:t>
            </w:r>
            <w:r>
              <w:rPr>
                <w:rFonts w:hint="eastAsia" w:ascii="仿宋_GB2312" w:hAnsi="宋体" w:cs="宋体"/>
                <w:bCs/>
                <w:kern w:val="0"/>
                <w:szCs w:val="24"/>
                <w:highlight w:val="yellow"/>
                <w:u w:val="none"/>
                <w:lang w:eastAsia="zh-CN"/>
              </w:rPr>
              <w:t>】</w:t>
            </w:r>
          </w:p>
        </w:tc>
        <w:tc>
          <w:tcPr>
            <w:tcW w:w="1325" w:type="dxa"/>
            <w:vAlign w:val="top"/>
          </w:tcPr>
          <w:p w14:paraId="0CEC00A5">
            <w:pPr>
              <w:widowControl/>
              <w:spacing w:line="360" w:lineRule="auto"/>
              <w:jc w:val="center"/>
              <w:rPr>
                <w:rFonts w:ascii="仿宋_GB2312" w:hAnsi="宋体" w:cs="宋体"/>
                <w:bCs/>
                <w:color w:val="auto"/>
                <w:kern w:val="0"/>
                <w:szCs w:val="24"/>
                <w:highlight w:val="none"/>
                <w:u w:val="none"/>
              </w:rPr>
            </w:pPr>
            <w:r>
              <w:rPr>
                <w:rFonts w:hint="eastAsia" w:ascii="仿宋_GB2312" w:hAnsi="宋体" w:cs="宋体"/>
                <w:bCs/>
                <w:kern w:val="0"/>
                <w:szCs w:val="24"/>
                <w:highlight w:val="yellow"/>
                <w:lang w:eastAsia="zh-CN"/>
              </w:rPr>
              <w:t>【】</w:t>
            </w:r>
          </w:p>
        </w:tc>
      </w:tr>
      <w:tr w14:paraId="62268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9" w:type="dxa"/>
            <w:shd w:val="clear" w:color="auto" w:fill="auto"/>
            <w:vAlign w:val="top"/>
          </w:tcPr>
          <w:p w14:paraId="410133FE">
            <w:pPr>
              <w:widowControl/>
              <w:spacing w:line="360" w:lineRule="auto"/>
              <w:jc w:val="center"/>
              <w:rPr>
                <w:rFonts w:hint="eastAsia" w:ascii="仿宋_GB2312" w:hAnsi="宋体" w:eastAsia="仿宋_GB2312" w:cs="宋体"/>
                <w:bCs/>
                <w:color w:val="auto"/>
                <w:kern w:val="0"/>
                <w:sz w:val="24"/>
                <w:szCs w:val="24"/>
                <w:highlight w:val="none"/>
                <w:u w:val="none"/>
                <w:lang w:val="en-US" w:eastAsia="zh-CN" w:bidi="ar-SA"/>
              </w:rPr>
            </w:pPr>
            <w:r>
              <w:rPr>
                <w:rFonts w:hint="eastAsia" w:ascii="仿宋_GB2312" w:hAnsi="宋体" w:cs="宋体"/>
                <w:bCs/>
                <w:kern w:val="0"/>
                <w:szCs w:val="24"/>
                <w:highlight w:val="yellow"/>
                <w:u w:val="none"/>
                <w:lang w:eastAsia="zh-CN"/>
              </w:rPr>
              <w:t>【</w:t>
            </w:r>
            <w:r>
              <w:rPr>
                <w:rFonts w:hint="eastAsia" w:ascii="仿宋_GB2312" w:hAnsi="宋体" w:cs="宋体"/>
                <w:bCs/>
                <w:color w:val="auto"/>
                <w:kern w:val="0"/>
                <w:szCs w:val="24"/>
                <w:highlight w:val="none"/>
                <w:u w:val="none"/>
              </w:rPr>
              <w:t>商品及金融衍生品类</w:t>
            </w:r>
            <w:r>
              <w:rPr>
                <w:rFonts w:hint="eastAsia" w:ascii="仿宋_GB2312" w:hAnsi="宋体" w:cs="宋体"/>
                <w:bCs/>
                <w:color w:val="auto"/>
                <w:kern w:val="0"/>
                <w:szCs w:val="24"/>
                <w:highlight w:val="none"/>
                <w:u w:val="none"/>
                <w:lang w:eastAsia="zh-CN"/>
              </w:rPr>
              <w:t>资产</w:t>
            </w:r>
            <w:r>
              <w:rPr>
                <w:rFonts w:hint="eastAsia" w:ascii="仿宋_GB2312" w:hAnsi="宋体" w:cs="宋体"/>
                <w:bCs/>
                <w:kern w:val="0"/>
                <w:szCs w:val="24"/>
                <w:highlight w:val="yellow"/>
                <w:u w:val="none"/>
                <w:lang w:eastAsia="zh-CN"/>
              </w:rPr>
              <w:t>】</w:t>
            </w:r>
          </w:p>
        </w:tc>
        <w:tc>
          <w:tcPr>
            <w:tcW w:w="1325" w:type="dxa"/>
            <w:shd w:val="clear" w:color="auto" w:fill="auto"/>
            <w:vAlign w:val="top"/>
          </w:tcPr>
          <w:p w14:paraId="74BF3D03">
            <w:pPr>
              <w:widowControl/>
              <w:spacing w:line="360" w:lineRule="auto"/>
              <w:jc w:val="center"/>
              <w:rPr>
                <w:rFonts w:hint="eastAsia" w:ascii="仿宋_GB2312" w:hAnsi="宋体" w:eastAsia="仿宋_GB2312" w:cs="宋体"/>
                <w:bCs/>
                <w:color w:val="auto"/>
                <w:kern w:val="0"/>
                <w:sz w:val="24"/>
                <w:szCs w:val="24"/>
                <w:highlight w:val="none"/>
                <w:u w:val="none"/>
                <w:lang w:val="en-US" w:eastAsia="zh-CN" w:bidi="ar-SA"/>
              </w:rPr>
            </w:pPr>
            <w:r>
              <w:rPr>
                <w:rFonts w:hint="eastAsia" w:ascii="仿宋_GB2312" w:hAnsi="宋体" w:cs="宋体"/>
                <w:bCs/>
                <w:kern w:val="0"/>
                <w:szCs w:val="24"/>
                <w:highlight w:val="yellow"/>
                <w:lang w:eastAsia="zh-CN"/>
              </w:rPr>
              <w:t>【】</w:t>
            </w:r>
          </w:p>
        </w:tc>
      </w:tr>
    </w:tbl>
    <w:p w14:paraId="13F96529">
      <w:pPr>
        <w:autoSpaceDE w:val="0"/>
        <w:autoSpaceDN w:val="0"/>
        <w:adjustRightInd w:val="0"/>
        <w:snapToGrid w:val="0"/>
        <w:spacing w:line="360" w:lineRule="auto"/>
        <w:jc w:val="left"/>
        <w:rPr>
          <w:rFonts w:ascii="仿宋_GB2312" w:hAnsi="宋体" w:cs="宋体"/>
          <w:bCs/>
          <w:color w:val="auto"/>
          <w:kern w:val="0"/>
          <w:szCs w:val="24"/>
          <w:highlight w:val="none"/>
          <w:u w:val="none"/>
        </w:rPr>
      </w:pPr>
    </w:p>
    <w:p w14:paraId="705908D1">
      <w:pPr>
        <w:autoSpaceDE w:val="0"/>
        <w:autoSpaceDN w:val="0"/>
        <w:adjustRightInd w:val="0"/>
        <w:snapToGrid w:val="0"/>
        <w:spacing w:line="360" w:lineRule="auto"/>
        <w:ind w:firstLine="420" w:firstLineChars="200"/>
        <w:jc w:val="left"/>
        <w:rPr>
          <w:rFonts w:hint="eastAsia" w:ascii="仿宋_GB2312" w:hAnsi="宋体" w:cs="宋体"/>
          <w:bCs/>
          <w:kern w:val="0"/>
          <w:szCs w:val="24"/>
        </w:rPr>
      </w:pPr>
      <w:r>
        <w:rPr>
          <w:rFonts w:hint="eastAsia" w:ascii="仿宋_GB2312" w:hAnsi="宋体" w:cs="宋体"/>
          <w:bCs/>
          <w:kern w:val="0"/>
          <w:szCs w:val="24"/>
        </w:rPr>
        <w:t>管理人将在产品成立后一个月内使资产配置比例符合上述规定。</w:t>
      </w:r>
    </w:p>
    <w:p w14:paraId="1B187222">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相关法律法规和监管部门对以上投资范围和配置比例有另行规定的，按照监管最新规定执行。如监管对投资比例无其他明确规定和要求的，由产品管理人与托管人协商确定计算方法。本产品存续期内非</w:t>
      </w:r>
      <w:r>
        <w:rPr>
          <w:rFonts w:ascii="仿宋_GB2312" w:hAnsi="宋体" w:cs="宋体"/>
          <w:bCs/>
          <w:kern w:val="0"/>
          <w:szCs w:val="24"/>
        </w:rPr>
        <w:t>因</w:t>
      </w:r>
      <w:r>
        <w:rPr>
          <w:rFonts w:hint="eastAsia" w:ascii="仿宋_GB2312" w:hAnsi="宋体" w:cs="宋体"/>
          <w:bCs/>
          <w:kern w:val="0"/>
          <w:szCs w:val="24"/>
        </w:rPr>
        <w:t>产品</w:t>
      </w:r>
      <w:r>
        <w:rPr>
          <w:rFonts w:ascii="仿宋_GB2312" w:hAnsi="宋体" w:cs="宋体"/>
          <w:bCs/>
          <w:kern w:val="0"/>
          <w:szCs w:val="24"/>
        </w:rPr>
        <w:t>管理人主</w:t>
      </w:r>
      <w:r>
        <w:rPr>
          <w:rFonts w:hint="eastAsia" w:ascii="仿宋_GB2312" w:hAnsi="宋体" w:cs="宋体"/>
          <w:bCs/>
          <w:kern w:val="0"/>
          <w:szCs w:val="24"/>
        </w:rPr>
        <w:t>观</w:t>
      </w:r>
      <w:r>
        <w:rPr>
          <w:rFonts w:ascii="仿宋_GB2312" w:hAnsi="宋体" w:cs="宋体"/>
          <w:bCs/>
          <w:kern w:val="0"/>
          <w:szCs w:val="24"/>
        </w:rPr>
        <w:t>因素</w:t>
      </w:r>
      <w:r>
        <w:rPr>
          <w:rFonts w:hint="eastAsia" w:ascii="仿宋_GB2312" w:hAnsi="宋体" w:cs="宋体"/>
          <w:bCs/>
          <w:kern w:val="0"/>
          <w:szCs w:val="24"/>
        </w:rPr>
        <w:t>导致产品投资突破上述比例限制，管理人将尽合理努力，在流动性受限资产可出售、可转让或者恢复交易的15个交易日内调整至规定区间。</w:t>
      </w:r>
    </w:p>
    <w:p w14:paraId="7775199C">
      <w:pPr>
        <w:pStyle w:val="3"/>
        <w:numPr>
          <w:ilvl w:val="1"/>
          <w:numId w:val="11"/>
        </w:numPr>
        <w:ind w:firstLine="482"/>
        <w:rPr>
          <w:color w:val="auto"/>
          <w:highlight w:val="none"/>
          <w:u w:val="none"/>
        </w:rPr>
      </w:pPr>
      <w:r>
        <w:rPr>
          <w:rFonts w:hint="eastAsia"/>
          <w:color w:val="auto"/>
          <w:highlight w:val="none"/>
          <w:u w:val="none"/>
        </w:rPr>
        <w:t>投资限制</w:t>
      </w:r>
    </w:p>
    <w:p w14:paraId="6E3E0854">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none"/>
          <w:u w:val="none"/>
        </w:rPr>
        <w:t>投资限制中列示的资产品种不代表管理人的实际投向，本理财计划投资范围以“投资范围”章节表述为准。</w:t>
      </w:r>
    </w:p>
    <w:p w14:paraId="1AF7E5CC">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1．投资集中度限制</w:t>
      </w:r>
    </w:p>
    <w:p w14:paraId="444C586A">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（1）本理财计划持有单只证券或单只公募证券投资基金的市值不得超过该理财计划净资产的10%。</w:t>
      </w:r>
    </w:p>
    <w:p w14:paraId="7F65F311">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（2）管理人发行的全部公募理财计划持有单只证券或单只公募证券投资基金的市值，不得超过该证券市值或该公募证券投资基金市值的30%。</w:t>
      </w:r>
    </w:p>
    <w:p w14:paraId="36071107">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（3）管理人发行的全部理财计划持有单一上市公司发行的股票，不得超过该上市公司可流通股票的30%。</w:t>
      </w:r>
    </w:p>
    <w:p w14:paraId="63835CD6">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（4）管理人发行的全部开放式公募理财计划投资单一上市公司发行的股票,不得超过该上市公司可流通股票的15%。国务院银行业监督管理机构另有规定的除外。</w:t>
      </w:r>
    </w:p>
    <w:p w14:paraId="66FE295E">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非因管理人主观因素导致突破前述比例限制的，管理人应当在流动性受限资产可出售、可转让或者恢复交易的10个交易日内调整至符合要求，国务院银行业监督管理机构规定的特殊情形除外。</w:t>
      </w:r>
    </w:p>
    <w:p w14:paraId="0E8AE9FE">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2．投资期限限制</w:t>
      </w:r>
    </w:p>
    <w:p w14:paraId="6F9AAE98">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本理财计划投资的非标准化债权类资产到期日不得晚于理财计划最近一次开放日。</w:t>
      </w:r>
    </w:p>
    <w:p w14:paraId="09F891D8">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3．投资杠杆率限制</w:t>
      </w:r>
    </w:p>
    <w:p w14:paraId="5C1173D9">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本理财计划的总资产不得超过净资产的</w:t>
      </w:r>
      <w:r>
        <w:rPr>
          <w:rFonts w:hint="eastAsia" w:ascii="仿宋_GB2312" w:hAnsi="宋体" w:cs="宋体"/>
          <w:bCs/>
          <w:color w:val="auto"/>
          <w:kern w:val="0"/>
          <w:szCs w:val="24"/>
          <w:highlight w:val="yellow"/>
          <w:u w:val="none"/>
        </w:rPr>
        <w:t>【140%】</w:t>
      </w:r>
      <w:r>
        <w:rPr>
          <w:rFonts w:hint="eastAsia" w:ascii="仿宋_GB2312" w:hAnsi="宋体" w:cs="宋体"/>
          <w:bCs/>
          <w:color w:val="auto"/>
          <w:kern w:val="0"/>
          <w:szCs w:val="24"/>
          <w:highlight w:val="none"/>
          <w:u w:val="none"/>
        </w:rPr>
        <w:t>。</w:t>
      </w:r>
    </w:p>
    <w:p w14:paraId="6964041C">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4．流动性限制</w:t>
      </w:r>
    </w:p>
    <w:p w14:paraId="67EDF38B">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（1）本理财计划直接投资于流动性受限资产的市值在开放日不得超过该理财计划资产净值的15%。</w:t>
      </w:r>
    </w:p>
    <w:p w14:paraId="59C0374D">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（2）本理财计划还应满足以下限制</w:t>
      </w:r>
      <w:r>
        <w:rPr>
          <w:rFonts w:hint="eastAsia" w:ascii="仿宋_GB2312" w:hAnsi="宋体" w:cs="宋体"/>
          <w:bCs/>
          <w:color w:val="auto"/>
          <w:kern w:val="0"/>
          <w:szCs w:val="24"/>
          <w:highlight w:val="yellow"/>
          <w:u w:val="none"/>
        </w:rPr>
        <w:t>【</w:t>
      </w:r>
      <w:r>
        <w:rPr>
          <w:rFonts w:hint="eastAsia" w:ascii="仿宋_GB2312" w:hAnsi="宋体" w:cs="宋体"/>
          <w:bCs/>
          <w:color w:val="auto"/>
          <w:kern w:val="0"/>
          <w:szCs w:val="24"/>
          <w:highlight w:val="yellow"/>
          <w:u w:val="none"/>
          <w:lang w:val="en-US" w:eastAsia="zh-CN"/>
        </w:rPr>
        <w:t>a</w:t>
      </w:r>
      <w:r>
        <w:rPr>
          <w:rFonts w:hint="eastAsia" w:ascii="仿宋_GB2312" w:hAnsi="宋体" w:cs="宋体"/>
          <w:bCs/>
          <w:color w:val="auto"/>
          <w:kern w:val="0"/>
          <w:szCs w:val="24"/>
          <w:highlight w:val="yellow"/>
          <w:u w:val="none"/>
        </w:rPr>
        <w:t>】</w:t>
      </w:r>
    </w:p>
    <w:p w14:paraId="4E59F6F0">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a. 本理财计划应当持有不低于该理财计划资产净值5%的现金或者到期日在一年以内的国债、中央银行票据和政策性金融债券。</w:t>
      </w:r>
    </w:p>
    <w:p w14:paraId="34FD0E5A">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b. 本理财计划应当在开放日及开放日前7个工作日内持有不低于该理财计划资产净值5%的现金或者到期日在一年以内的国债、中央银行票据和政策性金融债券。</w:t>
      </w:r>
    </w:p>
    <w:p w14:paraId="07FF2C66">
      <w:pPr>
        <w:tabs>
          <w:tab w:val="left" w:pos="3119"/>
        </w:tabs>
        <w:autoSpaceDE w:val="0"/>
        <w:autoSpaceDN w:val="0"/>
        <w:adjustRightInd w:val="0"/>
        <w:snapToGrid w:val="0"/>
        <w:spacing w:line="360" w:lineRule="auto"/>
        <w:ind w:firstLine="422" w:firstLineChars="200"/>
        <w:rPr>
          <w:rFonts w:hint="eastAsia" w:ascii="仿宋_GB2312" w:hAnsi="宋体" w:cs="宋体"/>
          <w:bCs/>
          <w:color w:val="auto"/>
          <w:kern w:val="0"/>
          <w:szCs w:val="24"/>
          <w:highlight w:val="none"/>
          <w:u w:val="none"/>
        </w:rPr>
      </w:pPr>
      <w:r>
        <w:rPr>
          <w:rFonts w:hint="eastAsia" w:ascii="仿宋_GB2312" w:hAnsi="宋体" w:cs="宋体"/>
          <w:b/>
          <w:bCs w:val="0"/>
          <w:color w:val="auto"/>
          <w:kern w:val="0"/>
          <w:szCs w:val="24"/>
          <w:highlight w:val="none"/>
          <w:u w:val="none"/>
        </w:rPr>
        <w:t>c. 本理财计划</w:t>
      </w:r>
      <w:r>
        <w:rPr>
          <w:rFonts w:hint="eastAsia" w:ascii="仿宋_GB2312" w:hAnsi="宋体" w:cs="宋体"/>
          <w:b/>
          <w:bCs w:val="0"/>
          <w:color w:val="auto"/>
          <w:kern w:val="0"/>
          <w:szCs w:val="24"/>
          <w:highlight w:val="none"/>
          <w:u w:val="none"/>
          <w:lang w:eastAsia="zh-CN"/>
        </w:rPr>
        <w:t>投资</w:t>
      </w:r>
      <w:r>
        <w:rPr>
          <w:rFonts w:hint="eastAsia" w:ascii="仿宋_GB2312" w:hAnsi="宋体" w:cs="宋体"/>
          <w:b/>
          <w:bCs w:val="0"/>
          <w:color w:val="auto"/>
          <w:kern w:val="0"/>
          <w:szCs w:val="24"/>
          <w:highlight w:val="none"/>
          <w:u w:val="none"/>
        </w:rPr>
        <w:t>不存在活跃交易市场，并且需要采用估值技术确定公允价值的资产比例</w:t>
      </w:r>
      <w:r>
        <w:rPr>
          <w:rFonts w:hint="eastAsia" w:ascii="仿宋_GB2312" w:hAnsi="宋体" w:cs="宋体"/>
          <w:b/>
          <w:bCs w:val="0"/>
          <w:color w:val="auto"/>
          <w:kern w:val="0"/>
          <w:szCs w:val="24"/>
          <w:highlight w:val="none"/>
          <w:u w:val="none"/>
          <w:lang w:eastAsia="zh-CN"/>
        </w:rPr>
        <w:t>可达到</w:t>
      </w:r>
      <w:r>
        <w:rPr>
          <w:rFonts w:hint="eastAsia" w:ascii="仿宋_GB2312" w:hAnsi="宋体" w:cs="宋体"/>
          <w:b/>
          <w:bCs w:val="0"/>
          <w:color w:val="auto"/>
          <w:kern w:val="0"/>
          <w:szCs w:val="24"/>
          <w:highlight w:val="none"/>
          <w:u w:val="none"/>
        </w:rPr>
        <w:t xml:space="preserve">理财产品净资产50%以上。     </w:t>
      </w:r>
      <w:r>
        <w:rPr>
          <w:rFonts w:hint="eastAsia" w:ascii="仿宋_GB2312" w:hAnsi="宋体" w:cs="宋体"/>
          <w:bCs/>
          <w:color w:val="auto"/>
          <w:kern w:val="0"/>
          <w:szCs w:val="24"/>
          <w:highlight w:val="none"/>
          <w:u w:val="none"/>
        </w:rPr>
        <w:t xml:space="preserve">                </w:t>
      </w:r>
    </w:p>
    <w:p w14:paraId="5336B95C">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（3）在开放日前一工作日内，本理财计划7个工作日可变现资产的可变现价值应当不低于该理财计划资产净值的10%。</w:t>
      </w:r>
    </w:p>
    <w:p w14:paraId="60105DAA">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5．其他投资限制</w:t>
      </w:r>
    </w:p>
    <w:p w14:paraId="54875AAD">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理财计划不得直接投资于信贷资产，不得直接或间接投资于浙商银行信贷资产，不得直接或间接投资于浙商银行或其他银行业金融机构发行的理财产品，不得直接或间接投资于浙商银行发行的次级档信贷资产支持证券，不得直接或间接投资于未上市公司股权及其受（收）益权。</w:t>
      </w:r>
    </w:p>
    <w:p w14:paraId="10925B22">
      <w:pPr>
        <w:tabs>
          <w:tab w:val="left" w:pos="3119"/>
        </w:tabs>
        <w:autoSpaceDE w:val="0"/>
        <w:autoSpaceDN w:val="0"/>
        <w:adjustRightInd w:val="0"/>
        <w:snapToGrid w:val="0"/>
        <w:spacing w:line="360" w:lineRule="auto"/>
        <w:ind w:firstLine="420" w:firstLineChars="200"/>
        <w:rPr>
          <w:rFonts w:hint="eastAsia" w:ascii="仿宋_GB2312" w:hAnsi="宋体" w:eastAsia="仿宋_GB2312" w:cs="宋体"/>
          <w:bCs/>
          <w:color w:val="auto"/>
          <w:kern w:val="0"/>
          <w:szCs w:val="24"/>
          <w:highlight w:val="none"/>
          <w:u w:val="none"/>
          <w:lang w:eastAsia="zh-CN"/>
        </w:rPr>
      </w:pPr>
      <w:r>
        <w:rPr>
          <w:rFonts w:hint="eastAsia" w:ascii="仿宋_GB2312" w:hAnsi="宋体" w:cs="宋体"/>
          <w:bCs/>
          <w:color w:val="auto"/>
          <w:kern w:val="0"/>
          <w:szCs w:val="24"/>
          <w:highlight w:val="none"/>
          <w:u w:val="none"/>
        </w:rPr>
        <w:t>以上限制，如监管有最新规定的，将参照监管规定调整。</w:t>
      </w:r>
      <w:r>
        <w:rPr>
          <w:rFonts w:hint="eastAsia" w:ascii="仿宋_GB2312" w:hAnsi="宋体" w:cs="宋体"/>
          <w:bCs/>
          <w:color w:val="auto"/>
          <w:kern w:val="0"/>
          <w:szCs w:val="24"/>
          <w:highlight w:val="yellow"/>
          <w:u w:val="none"/>
          <w:lang w:eastAsia="zh-CN"/>
        </w:rPr>
        <w:t>】</w:t>
      </w:r>
    </w:p>
    <w:p w14:paraId="7D52C9E7">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本产品存续期内非因产品管理人主观因素导致产品投资突破上述限制的，管理人将尽合理努力，在15个交易日内调整至符合要求。</w:t>
      </w:r>
    </w:p>
    <w:p w14:paraId="32AF074D">
      <w:pPr>
        <w:pStyle w:val="3"/>
        <w:numPr>
          <w:ilvl w:val="1"/>
          <w:numId w:val="11"/>
        </w:numPr>
        <w:autoSpaceDE w:val="0"/>
        <w:autoSpaceDN w:val="0"/>
        <w:adjustRightInd w:val="0"/>
        <w:snapToGrid w:val="0"/>
        <w:ind w:right="31" w:rightChars="15" w:firstLine="482"/>
        <w:rPr>
          <w:color w:val="auto"/>
          <w:highlight w:val="none"/>
          <w:u w:val="none"/>
        </w:rPr>
      </w:pPr>
      <w:r>
        <w:rPr>
          <w:rFonts w:hint="eastAsia"/>
          <w:color w:val="auto"/>
          <w:highlight w:val="none"/>
          <w:u w:val="none"/>
        </w:rPr>
        <w:t>投资范围调整</w:t>
      </w:r>
    </w:p>
    <w:p w14:paraId="335AE556">
      <w:pPr>
        <w:tabs>
          <w:tab w:val="left" w:pos="3119"/>
        </w:tabs>
        <w:autoSpaceDE w:val="0"/>
        <w:autoSpaceDN w:val="0"/>
        <w:adjustRightInd w:val="0"/>
        <w:snapToGrid w:val="0"/>
        <w:spacing w:line="360" w:lineRule="auto"/>
        <w:ind w:firstLine="422" w:firstLineChars="200"/>
        <w:rPr>
          <w:rFonts w:ascii="仿宋_GB2312" w:hAnsi="宋体" w:cs="宋体"/>
          <w:color w:val="auto"/>
          <w:kern w:val="0"/>
          <w:szCs w:val="24"/>
          <w:highlight w:val="none"/>
          <w:u w:val="none"/>
        </w:rPr>
      </w:pPr>
      <w:r>
        <w:rPr>
          <w:rFonts w:hint="eastAsia" w:ascii="仿宋_GB2312" w:hAnsi="宋体" w:cs="宋体"/>
          <w:b/>
          <w:bCs/>
          <w:color w:val="auto"/>
          <w:kern w:val="0"/>
          <w:szCs w:val="24"/>
          <w:highlight w:val="none"/>
          <w:u w:val="none"/>
        </w:rPr>
        <w:t>在不违反法律、法规、规章和监管规定的强制性规范的前提下，管理人有权根据市场情况，对本产品的投资范围、投资资产种类或投资比例等进行调整，在调整前将通过本产品说明书约定的信息披露渠道进行信息披露。</w:t>
      </w:r>
      <w:r>
        <w:rPr>
          <w:rFonts w:hint="eastAsia" w:ascii="仿宋_GB2312" w:hAnsi="宋体" w:cs="宋体"/>
          <w:color w:val="auto"/>
          <w:kern w:val="0"/>
          <w:szCs w:val="24"/>
          <w:highlight w:val="none"/>
          <w:u w:val="none"/>
        </w:rPr>
        <w:t>上述情况下管理人可能开放赎回，具体以信息披露内容为准。投资者不同意信息披露内容的，可在信息披露中约定的时间内赎回本产品。如投资者未在上述约定时间内赎回本产品，则视为投资者对上述调整无异议并同意继续持有本产品。除高风险类型的理财产品超出比例范围投资较低风险资产的情况外，管理人应提前取得投资者书面同意，并履行登记备案等法律法规以及金融监督管理部门规定的程序。</w:t>
      </w:r>
    </w:p>
    <w:p w14:paraId="3EC2A681">
      <w:pPr>
        <w:pStyle w:val="3"/>
        <w:numPr>
          <w:ilvl w:val="1"/>
          <w:numId w:val="11"/>
        </w:numPr>
        <w:autoSpaceDE w:val="0"/>
        <w:autoSpaceDN w:val="0"/>
        <w:adjustRightInd w:val="0"/>
        <w:snapToGrid w:val="0"/>
        <w:ind w:right="31" w:rightChars="15" w:firstLine="482"/>
        <w:rPr>
          <w:color w:val="auto"/>
          <w:highlight w:val="none"/>
          <w:u w:val="none"/>
        </w:rPr>
      </w:pPr>
      <w:r>
        <w:rPr>
          <w:rFonts w:hint="eastAsia"/>
          <w:color w:val="auto"/>
          <w:highlight w:val="none"/>
          <w:u w:val="none"/>
        </w:rPr>
        <w:t>投资策略</w:t>
      </w:r>
    </w:p>
    <w:p w14:paraId="35CF52E6">
      <w:pPr>
        <w:tabs>
          <w:tab w:val="left" w:pos="3119"/>
        </w:tabs>
        <w:autoSpaceDE w:val="0"/>
        <w:autoSpaceDN w:val="0"/>
        <w:adjustRightInd w:val="0"/>
        <w:snapToGrid w:val="0"/>
        <w:spacing w:line="360" w:lineRule="auto"/>
        <w:ind w:firstLine="482" w:firstLineChars="200"/>
        <w:rPr>
          <w:rFonts w:hint="eastAsia" w:ascii="仿宋_GB2312" w:hAnsi="宋体" w:eastAsia="仿宋_GB2312" w:cs="宋体"/>
          <w:b/>
          <w:bCs/>
          <w:color w:val="auto"/>
          <w:kern w:val="0"/>
          <w:sz w:val="24"/>
          <w:szCs w:val="24"/>
          <w:highlight w:val="yellow"/>
          <w:u w:val="none"/>
        </w:rPr>
      </w:pPr>
      <w:r>
        <w:rPr>
          <w:rFonts w:hint="eastAsia" w:ascii="仿宋_GB2312" w:hAnsi="宋体" w:cs="宋体"/>
          <w:b/>
          <w:bCs/>
          <w:color w:val="auto"/>
          <w:kern w:val="0"/>
          <w:sz w:val="24"/>
          <w:szCs w:val="24"/>
          <w:highlight w:val="yellow"/>
          <w:u w:val="none"/>
          <w:lang w:eastAsia="zh-CN"/>
        </w:rPr>
        <w:t>【</w:t>
      </w:r>
      <w:r>
        <w:rPr>
          <w:rFonts w:hint="eastAsia" w:ascii="仿宋_GB2312" w:hAnsi="宋体" w:eastAsia="仿宋_GB2312" w:cs="宋体"/>
          <w:b/>
          <w:bCs/>
          <w:color w:val="auto"/>
          <w:kern w:val="0"/>
          <w:sz w:val="24"/>
          <w:szCs w:val="24"/>
          <w:highlight w:val="yellow"/>
          <w:u w:val="none"/>
        </w:rPr>
        <w:t>本理财产品本着稳健投资的理念，通过对宏观经济的研究，在较低风险资产间进行合理配置，在有效控制信用风险的基础上尽可能提高投资组合收益。理财产品主要投资于各类银行存款、同业存单、债券回购等货币市场工具以及债券等标准化债权类资产，同时根据宏观经济、货币政策和信用环境等因素，制定多种投资策略，并适当运用金融衍生工具对冲市场波动风险。在投资组合构建和调整的过程中，根据投资品种的变化，如收益率、流动性状况变化或品种到期等，不定期的对组合进行优化调整。</w:t>
      </w:r>
    </w:p>
    <w:p w14:paraId="08A4C41B">
      <w:pPr>
        <w:tabs>
          <w:tab w:val="left" w:pos="3119"/>
        </w:tabs>
        <w:autoSpaceDE w:val="0"/>
        <w:autoSpaceDN w:val="0"/>
        <w:adjustRightInd w:val="0"/>
        <w:snapToGrid w:val="0"/>
        <w:spacing w:line="360" w:lineRule="auto"/>
        <w:ind w:firstLine="422" w:firstLineChars="200"/>
        <w:rPr>
          <w:rFonts w:hint="eastAsia" w:ascii="仿宋_GB2312" w:hAnsi="宋体" w:eastAsia="仿宋_GB2312" w:cs="宋体"/>
          <w:b/>
          <w:bCs/>
          <w:color w:val="auto"/>
          <w:kern w:val="0"/>
          <w:szCs w:val="24"/>
          <w:highlight w:val="yellow"/>
          <w:u w:val="none"/>
          <w:lang w:eastAsia="zh-CN"/>
        </w:rPr>
      </w:pPr>
      <w:r>
        <w:rPr>
          <w:rFonts w:hint="eastAsia" w:ascii="仿宋_GB2312" w:hAnsi="宋体" w:cs="宋体"/>
          <w:b/>
          <w:bCs/>
          <w:color w:val="auto"/>
          <w:kern w:val="0"/>
          <w:szCs w:val="24"/>
          <w:highlight w:val="yellow"/>
          <w:u w:val="none"/>
        </w:rPr>
        <w:t>本产品可在符合监管规定的前提下适当运用杠杆原理，通过回购操作，增强投资组合的收益水平,但本理财产品总资产不超过净资产的【</w:t>
      </w:r>
      <w:r>
        <w:rPr>
          <w:rFonts w:hint="eastAsia" w:ascii="仿宋_GB2312" w:hAnsi="宋体" w:cs="宋体"/>
          <w:b/>
          <w:bCs/>
          <w:color w:val="auto"/>
          <w:kern w:val="0"/>
          <w:szCs w:val="24"/>
          <w:highlight w:val="yellow"/>
          <w:u w:val="none"/>
          <w:lang w:val="en-US" w:eastAsia="zh-CN"/>
        </w:rPr>
        <w:t>140%</w:t>
      </w:r>
      <w:r>
        <w:rPr>
          <w:rFonts w:ascii="仿宋_GB2312" w:hAnsi="宋体" w:cs="宋体"/>
          <w:b/>
          <w:bCs/>
          <w:color w:val="auto"/>
          <w:kern w:val="0"/>
          <w:szCs w:val="24"/>
          <w:highlight w:val="yellow"/>
          <w:u w:val="none"/>
        </w:rPr>
        <w:t>】</w:t>
      </w:r>
      <w:r>
        <w:rPr>
          <w:rFonts w:hint="eastAsia" w:ascii="仿宋_GB2312" w:hAnsi="宋体" w:cs="宋体"/>
          <w:b/>
          <w:bCs/>
          <w:color w:val="auto"/>
          <w:kern w:val="0"/>
          <w:szCs w:val="24"/>
          <w:highlight w:val="yellow"/>
          <w:u w:val="none"/>
        </w:rPr>
        <w:t>。</w:t>
      </w:r>
      <w:r>
        <w:rPr>
          <w:rFonts w:hint="eastAsia" w:ascii="仿宋_GB2312" w:hAnsi="宋体" w:cs="宋体"/>
          <w:b/>
          <w:bCs/>
          <w:color w:val="auto"/>
          <w:kern w:val="0"/>
          <w:szCs w:val="24"/>
          <w:highlight w:val="yellow"/>
          <w:u w:val="none"/>
          <w:lang w:eastAsia="zh-CN"/>
        </w:rPr>
        <w:t>】</w:t>
      </w:r>
    </w:p>
    <w:p w14:paraId="537FE7E5">
      <w:pPr>
        <w:pStyle w:val="3"/>
        <w:numPr>
          <w:ilvl w:val="1"/>
          <w:numId w:val="11"/>
        </w:numPr>
        <w:ind w:firstLine="482"/>
        <w:rPr>
          <w:color w:val="auto"/>
          <w:highlight w:val="none"/>
          <w:u w:val="none"/>
        </w:rPr>
      </w:pPr>
      <w:r>
        <w:rPr>
          <w:rFonts w:hint="eastAsia"/>
          <w:color w:val="auto"/>
          <w:highlight w:val="none"/>
          <w:u w:val="none"/>
        </w:rPr>
        <w:t>投资</w:t>
      </w:r>
      <w:r>
        <w:rPr>
          <w:color w:val="auto"/>
          <w:highlight w:val="none"/>
          <w:u w:val="none"/>
        </w:rPr>
        <w:t>合作机构</w:t>
      </w:r>
    </w:p>
    <w:p w14:paraId="7EE6AF7B">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合作机构包括但不限于理财产品所投资资产管理产品的发行机构、根据合同约定从事理财产品受托投资的机构、与理财产品投资管理相关的投资顾问等。本理财产品的投资合作机构主要职责为对受托资金进行投资和管理，根据合同约定从事受托投资或提供投资顾问等服务，具体职责以管理人与投资合作机构签署的合同为准。</w:t>
      </w:r>
    </w:p>
    <w:p w14:paraId="4E034AEE">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本理财产品的投资合作机构均为具有专业资质并受国家金融监督管理总局监管的金融机构或国务院银行业监督管理机构认可的其他机构。本理财产品成立时暂无特定投资合作机构，具体以后续信息披露为准。</w:t>
      </w:r>
    </w:p>
    <w:p w14:paraId="4BBD1872">
      <w:pPr>
        <w:pStyle w:val="2"/>
        <w:numPr>
          <w:ilvl w:val="255"/>
          <w:numId w:val="0"/>
        </w:numPr>
        <w:jc w:val="both"/>
        <w:rPr>
          <w:color w:val="auto"/>
          <w:highlight w:val="none"/>
          <w:u w:val="none"/>
        </w:rPr>
      </w:pPr>
      <w:r>
        <w:rPr>
          <w:rFonts w:hint="eastAsia" w:ascii="仿宋_GB2312" w:hAnsi="宋体" w:eastAsia="仿宋_GB2312" w:cs="宋体"/>
          <w:bCs/>
          <w:color w:val="auto"/>
          <w:kern w:val="0"/>
          <w:sz w:val="24"/>
          <w:szCs w:val="24"/>
          <w:highlight w:val="none"/>
          <w:u w:val="none"/>
        </w:rPr>
        <w:br w:type="page"/>
      </w:r>
    </w:p>
    <w:p w14:paraId="00645D3D">
      <w:pPr>
        <w:pStyle w:val="2"/>
        <w:numPr>
          <w:ilvl w:val="0"/>
          <w:numId w:val="11"/>
        </w:numPr>
        <w:tabs>
          <w:tab w:val="left" w:pos="3119"/>
          <w:tab w:val="clear" w:pos="0"/>
        </w:tabs>
        <w:autoSpaceDE w:val="0"/>
        <w:autoSpaceDN w:val="0"/>
        <w:adjustRightInd w:val="0"/>
        <w:spacing w:before="240"/>
        <w:ind w:right="31" w:rightChars="15" w:firstLine="560"/>
        <w:contextualSpacing/>
        <w:rPr>
          <w:color w:val="auto"/>
          <w:highlight w:val="none"/>
          <w:u w:val="none"/>
        </w:rPr>
      </w:pPr>
      <w:r>
        <w:rPr>
          <w:rFonts w:hint="eastAsia"/>
          <w:color w:val="auto"/>
          <w:highlight w:val="none"/>
          <w:u w:val="none"/>
        </w:rPr>
        <w:t>理财产品的托管</w:t>
      </w:r>
    </w:p>
    <w:p w14:paraId="0CEF2281">
      <w:pPr>
        <w:tabs>
          <w:tab w:val="left" w:pos="3119"/>
        </w:tabs>
        <w:autoSpaceDE w:val="0"/>
        <w:autoSpaceDN w:val="0"/>
        <w:adjustRightInd w:val="0"/>
        <w:spacing w:before="240" w:line="360" w:lineRule="auto"/>
        <w:ind w:right="31" w:rightChars="15" w:firstLine="422" w:firstLineChars="200"/>
        <w:contextualSpacing/>
        <w:rPr>
          <w:rFonts w:ascii="仿宋_GB2312" w:hAnsi="宋体" w:cs="宋体"/>
          <w:bCs/>
          <w:color w:val="auto"/>
          <w:kern w:val="0"/>
          <w:szCs w:val="24"/>
          <w:highlight w:val="none"/>
          <w:u w:val="none"/>
        </w:rPr>
      </w:pPr>
      <w:r>
        <w:rPr>
          <w:rFonts w:hint="eastAsia" w:ascii="仿宋_GB2312" w:hAnsi="宋体" w:cs="宋体"/>
          <w:b/>
          <w:color w:val="auto"/>
          <w:kern w:val="0"/>
          <w:szCs w:val="24"/>
          <w:highlight w:val="none"/>
          <w:u w:val="none"/>
        </w:rPr>
        <w:t>本理财产品托管人为</w:t>
      </w:r>
      <w:r>
        <w:rPr>
          <w:rFonts w:hint="eastAsia" w:ascii="仿宋_GB2312" w:hAnsi="宋体" w:cs="宋体"/>
          <w:b/>
          <w:kern w:val="0"/>
          <w:szCs w:val="24"/>
          <w:highlight w:val="yellow"/>
          <w:lang w:eastAsia="zh-CN"/>
        </w:rPr>
        <w:t>【】</w:t>
      </w:r>
      <w:r>
        <w:rPr>
          <w:rFonts w:hint="eastAsia" w:ascii="仿宋_GB2312" w:hAnsi="宋体" w:cs="宋体"/>
          <w:b/>
          <w:color w:val="auto"/>
          <w:kern w:val="0"/>
          <w:szCs w:val="24"/>
          <w:highlight w:val="none"/>
          <w:u w:val="none"/>
        </w:rPr>
        <w:t>。托管</w:t>
      </w:r>
      <w:r>
        <w:rPr>
          <w:rFonts w:hint="eastAsia" w:ascii="仿宋_GB2312" w:hAnsi="宋体" w:cs="宋体"/>
          <w:b/>
          <w:bCs w:val="0"/>
          <w:color w:val="auto"/>
          <w:kern w:val="0"/>
          <w:szCs w:val="24"/>
          <w:highlight w:val="none"/>
          <w:u w:val="none"/>
        </w:rPr>
        <w:t>人</w:t>
      </w:r>
      <w:r>
        <w:rPr>
          <w:rFonts w:hint="eastAsia" w:ascii="仿宋_GB2312" w:hAnsi="宋体" w:cs="宋体"/>
          <w:b/>
          <w:kern w:val="0"/>
          <w:szCs w:val="24"/>
          <w:highlight w:val="yellow"/>
          <w:lang w:eastAsia="zh-CN"/>
        </w:rPr>
        <w:t>【</w:t>
      </w:r>
      <w:r>
        <w:rPr>
          <w:rFonts w:hint="eastAsia" w:ascii="仿宋_GB2312" w:hAnsi="宋体" w:cs="宋体"/>
          <w:b/>
          <w:kern w:val="0"/>
          <w:szCs w:val="24"/>
          <w:highlight w:val="none"/>
        </w:rPr>
        <w:t>是</w:t>
      </w:r>
      <w:r>
        <w:rPr>
          <w:rFonts w:hint="eastAsia" w:ascii="仿宋_GB2312" w:hAnsi="宋体" w:cs="宋体"/>
          <w:b/>
          <w:kern w:val="0"/>
          <w:szCs w:val="24"/>
          <w:highlight w:val="none"/>
          <w:lang w:val="en-US" w:eastAsia="zh-CN"/>
        </w:rPr>
        <w:t>/</w:t>
      </w:r>
      <w:r>
        <w:rPr>
          <w:rFonts w:hint="eastAsia" w:ascii="仿宋_GB2312" w:hAnsi="宋体"/>
          <w:b/>
          <w:szCs w:val="24"/>
          <w:highlight w:val="none"/>
        </w:rPr>
        <w:t>非</w:t>
      </w:r>
      <w:r>
        <w:rPr>
          <w:rFonts w:hint="eastAsia" w:ascii="仿宋_GB2312" w:hAnsi="宋体" w:cs="宋体"/>
          <w:b/>
          <w:kern w:val="0"/>
          <w:szCs w:val="24"/>
          <w:highlight w:val="yellow"/>
          <w:lang w:eastAsia="zh-CN"/>
        </w:rPr>
        <w:t>】</w:t>
      </w:r>
      <w:r>
        <w:rPr>
          <w:rFonts w:hint="eastAsia" w:ascii="仿宋_GB2312" w:hAnsi="宋体" w:cs="宋体"/>
          <w:b/>
          <w:bCs w:val="0"/>
          <w:color w:val="auto"/>
          <w:kern w:val="0"/>
          <w:szCs w:val="24"/>
          <w:highlight w:val="none"/>
          <w:u w:val="none"/>
        </w:rPr>
        <w:t>产品管理人</w:t>
      </w:r>
      <w:r>
        <w:rPr>
          <w:rFonts w:hint="eastAsia" w:ascii="仿宋_GB2312" w:hAnsi="宋体" w:cs="宋体"/>
          <w:b/>
          <w:color w:val="auto"/>
          <w:kern w:val="0"/>
          <w:szCs w:val="24"/>
          <w:highlight w:val="none"/>
          <w:u w:val="none"/>
        </w:rPr>
        <w:t>的关联方。</w:t>
      </w:r>
    </w:p>
    <w:p w14:paraId="6212CADB">
      <w:pPr>
        <w:tabs>
          <w:tab w:val="left" w:pos="3119"/>
        </w:tabs>
        <w:autoSpaceDE w:val="0"/>
        <w:autoSpaceDN w:val="0"/>
        <w:adjustRightInd w:val="0"/>
        <w:spacing w:before="240" w:line="360" w:lineRule="auto"/>
        <w:ind w:right="31" w:rightChars="15" w:firstLine="422" w:firstLineChars="200"/>
        <w:contextualSpacing/>
        <w:rPr>
          <w:rFonts w:ascii="仿宋_GB2312" w:hAnsi="宋体" w:cs="宋体"/>
          <w:bCs/>
          <w:color w:val="auto"/>
          <w:kern w:val="0"/>
          <w:szCs w:val="24"/>
          <w:highlight w:val="none"/>
          <w:u w:val="none"/>
        </w:rPr>
      </w:pPr>
      <w:r>
        <w:rPr>
          <w:rFonts w:hint="eastAsia" w:ascii="仿宋_GB2312" w:hAnsi="宋体" w:cs="宋体"/>
          <w:b/>
          <w:kern w:val="0"/>
          <w:szCs w:val="24"/>
          <w:highlight w:val="yellow"/>
          <w:lang w:eastAsia="zh-CN"/>
        </w:rPr>
        <w:t>【】</w:t>
      </w:r>
      <w:r>
        <w:rPr>
          <w:rFonts w:hint="eastAsia" w:ascii="仿宋_GB2312" w:hAnsi="宋体" w:cs="宋体"/>
          <w:bCs/>
          <w:color w:val="auto"/>
          <w:kern w:val="0"/>
          <w:szCs w:val="24"/>
          <w:highlight w:val="none"/>
          <w:u w:val="none"/>
        </w:rPr>
        <w:t>具备监管机构认可的理财产品托管资格，主要履行职责包括：</w:t>
      </w:r>
    </w:p>
    <w:p w14:paraId="0E2DD7BD">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（一）安全保管理财产品财产；</w:t>
      </w:r>
    </w:p>
    <w:p w14:paraId="1005871D">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（二）确保托管资金安全，保证其托管的理财产品财产与其自有资产相互独立；为每只理财产品开设独立的托管账户，不同托管账户中的资产应当相互独立；</w:t>
      </w:r>
    </w:p>
    <w:p w14:paraId="6E5C1E13">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（三）按照托管协议约定和管理人的投资指令，及时办理清算、交割事宜；</w:t>
      </w:r>
    </w:p>
    <w:p w14:paraId="50659683">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（四）建立与管理人的对账机制，复核、审查理财产品资金头寸、资产账目、资产净值、认购和赎回价格等数据，及时核查认购、赎回以及投资资金的支付和到账情况；</w:t>
      </w:r>
    </w:p>
    <w:p w14:paraId="17BEC892">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（五）监督理财产品投资运作，发现理财产品违反法律、行政法规、规章规定或合同约定进行投资的，应当拒绝执行，及时通知管理人并报告银行业监督管理机构；</w:t>
      </w:r>
    </w:p>
    <w:p w14:paraId="7C4202E6">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六）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2CF7CFD0">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（七）理财托管业务活动的记录、账册、报表和其他相关资料保存</w:t>
      </w:r>
      <w:r>
        <w:rPr>
          <w:rFonts w:ascii="仿宋_GB2312" w:hAnsi="宋体" w:cs="宋体"/>
          <w:bCs/>
          <w:color w:val="auto"/>
          <w:kern w:val="0"/>
          <w:szCs w:val="24"/>
          <w:highlight w:val="none"/>
          <w:u w:val="none"/>
        </w:rPr>
        <w:t>15年以上；</w:t>
      </w:r>
    </w:p>
    <w:p w14:paraId="49B00B82">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（八）对理财产品投资信息和相关资料承担保密责任，除法律、行政法规、规章规定、审计要求或者合同约定外，不得向任何机构或者个人提供相关信息和资料；</w:t>
      </w:r>
    </w:p>
    <w:p w14:paraId="10246D38">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（九）托管人的董事、监事、高级管理人员和其他托管业务人员不得有《商业银行理财业务监督管理办法》第二十四条第二款所列行为；</w:t>
      </w:r>
    </w:p>
    <w:p w14:paraId="38EA07B2">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（十</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配合提供托管人相应关联方信息；</w:t>
      </w:r>
    </w:p>
    <w:p w14:paraId="62C92B9E">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（十</w:t>
      </w:r>
      <w:r>
        <w:rPr>
          <w:rFonts w:ascii="仿宋_GB2312" w:hAnsi="宋体" w:cs="宋体"/>
          <w:bCs/>
          <w:color w:val="auto"/>
          <w:kern w:val="0"/>
          <w:szCs w:val="24"/>
          <w:highlight w:val="none"/>
          <w:u w:val="none"/>
        </w:rPr>
        <w:t>一）</w:t>
      </w:r>
      <w:r>
        <w:rPr>
          <w:rFonts w:hint="eastAsia" w:ascii="仿宋_GB2312" w:hAnsi="宋体" w:cs="宋体"/>
          <w:bCs/>
          <w:color w:val="auto"/>
          <w:kern w:val="0"/>
          <w:szCs w:val="24"/>
          <w:highlight w:val="none"/>
          <w:u w:val="none"/>
        </w:rPr>
        <w:t>国务院银行业监督管理机构规定的其他职责。</w:t>
      </w:r>
    </w:p>
    <w:p w14:paraId="03E3973A">
      <w:pPr>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br w:type="page"/>
      </w:r>
    </w:p>
    <w:p w14:paraId="5A5F1B6A">
      <w:pPr>
        <w:pStyle w:val="2"/>
        <w:numPr>
          <w:ilvl w:val="0"/>
          <w:numId w:val="11"/>
        </w:numPr>
        <w:rPr>
          <w:color w:val="auto"/>
          <w:highlight w:val="none"/>
          <w:u w:val="none"/>
        </w:rPr>
      </w:pPr>
      <w:r>
        <w:rPr>
          <w:rFonts w:hint="eastAsia"/>
          <w:color w:val="auto"/>
          <w:highlight w:val="none"/>
          <w:u w:val="none"/>
        </w:rPr>
        <w:t>理财产品资产估值</w:t>
      </w:r>
    </w:p>
    <w:p w14:paraId="2A3627BF">
      <w:pPr>
        <w:pStyle w:val="3"/>
        <w:numPr>
          <w:ilvl w:val="1"/>
          <w:numId w:val="11"/>
        </w:numPr>
        <w:ind w:firstLine="482"/>
        <w:rPr>
          <w:rFonts w:hint="eastAsia"/>
          <w:color w:val="auto"/>
          <w:highlight w:val="none"/>
          <w:u w:val="none"/>
        </w:rPr>
      </w:pPr>
      <w:r>
        <w:rPr>
          <w:rFonts w:hint="eastAsia"/>
          <w:color w:val="auto"/>
          <w:highlight w:val="none"/>
          <w:u w:val="none"/>
        </w:rPr>
        <w:t>估值日</w:t>
      </w:r>
    </w:p>
    <w:p w14:paraId="0F593F4C">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highlight w:val="yellow"/>
          <w:lang w:eastAsia="zh-CN"/>
        </w:rPr>
        <w:t>【</w:t>
      </w:r>
      <w:r>
        <w:rPr>
          <w:rFonts w:hint="eastAsia"/>
          <w:color w:val="auto"/>
          <w:highlight w:val="none"/>
          <w:u w:val="none"/>
        </w:rPr>
        <w:t>本产品的估值日为</w:t>
      </w:r>
      <w:r>
        <w:rPr>
          <w:rFonts w:hint="eastAsia"/>
          <w:highlight w:val="yellow"/>
          <w:lang w:eastAsia="zh-CN"/>
        </w:rPr>
        <w:t>】</w:t>
      </w:r>
      <w:r>
        <w:rPr>
          <w:rFonts w:hint="eastAsia"/>
          <w:color w:val="auto"/>
          <w:highlight w:val="none"/>
          <w:u w:val="none"/>
        </w:rPr>
        <w:t>。</w:t>
      </w:r>
    </w:p>
    <w:p w14:paraId="0ACA5091">
      <w:pPr>
        <w:pStyle w:val="3"/>
        <w:numPr>
          <w:ilvl w:val="1"/>
          <w:numId w:val="11"/>
        </w:numPr>
        <w:ind w:firstLine="482"/>
        <w:rPr>
          <w:color w:val="auto"/>
          <w:highlight w:val="none"/>
          <w:u w:val="none"/>
        </w:rPr>
      </w:pPr>
      <w:r>
        <w:rPr>
          <w:rFonts w:hint="eastAsia"/>
          <w:color w:val="auto"/>
          <w:highlight w:val="none"/>
          <w:u w:val="none"/>
        </w:rPr>
        <w:t>估值对象</w:t>
      </w:r>
    </w:p>
    <w:p w14:paraId="7F1AD2AB">
      <w:pPr>
        <w:autoSpaceDE w:val="0"/>
        <w:autoSpaceDN w:val="0"/>
        <w:adjustRightInd w:val="0"/>
        <w:snapToGrid w:val="0"/>
        <w:spacing w:line="360" w:lineRule="auto"/>
        <w:ind w:firstLine="404" w:firstLineChars="200"/>
        <w:jc w:val="left"/>
        <w:rPr>
          <w:rFonts w:ascii="仿宋_GB2312" w:hAnsi="宋体" w:cs="宋体"/>
          <w:bCs/>
          <w:color w:val="auto"/>
          <w:spacing w:val="-4"/>
          <w:kern w:val="0"/>
          <w:szCs w:val="24"/>
          <w:highlight w:val="none"/>
          <w:u w:val="none"/>
        </w:rPr>
      </w:pPr>
      <w:r>
        <w:rPr>
          <w:rFonts w:hint="eastAsia" w:ascii="仿宋_GB2312" w:hAnsi="宋体" w:cs="宋体"/>
          <w:bCs/>
          <w:color w:val="auto"/>
          <w:spacing w:val="-4"/>
          <w:kern w:val="0"/>
          <w:szCs w:val="24"/>
          <w:highlight w:val="none"/>
          <w:u w:val="none"/>
        </w:rPr>
        <w:t>本理财产品估值的对象为本理财产品所持有的一切资产和负债。</w:t>
      </w:r>
    </w:p>
    <w:p w14:paraId="2707008B">
      <w:pPr>
        <w:pStyle w:val="3"/>
        <w:numPr>
          <w:ilvl w:val="1"/>
          <w:numId w:val="11"/>
        </w:numPr>
        <w:ind w:firstLine="482"/>
        <w:rPr>
          <w:color w:val="auto"/>
          <w:highlight w:val="none"/>
          <w:u w:val="none"/>
        </w:rPr>
      </w:pPr>
      <w:r>
        <w:rPr>
          <w:rFonts w:hint="eastAsia"/>
          <w:color w:val="auto"/>
          <w:highlight w:val="none"/>
          <w:u w:val="none"/>
        </w:rPr>
        <w:t>估值方法</w:t>
      </w:r>
    </w:p>
    <w:p w14:paraId="4782B6A3">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1.货币市场工具类资产的估值</w:t>
      </w:r>
    </w:p>
    <w:p w14:paraId="49938865">
      <w:pPr>
        <w:tabs>
          <w:tab w:val="left" w:pos="3119"/>
        </w:tabs>
        <w:autoSpaceDE w:val="0"/>
        <w:autoSpaceDN w:val="0"/>
        <w:snapToGrid w:val="0"/>
        <w:spacing w:line="360" w:lineRule="auto"/>
        <w:ind w:firstLine="404" w:firstLineChars="200"/>
        <w:rPr>
          <w:rFonts w:hint="eastAsia" w:ascii="仿宋_GB2312" w:hAnsi="宋体" w:cs="宋体"/>
          <w:bCs/>
          <w:spacing w:val="-4"/>
          <w:kern w:val="0"/>
          <w:szCs w:val="24"/>
        </w:rPr>
      </w:pPr>
      <w:r>
        <w:rPr>
          <w:rFonts w:hint="eastAsia" w:ascii="仿宋_GB2312" w:hAnsi="宋体" w:cs="宋体"/>
          <w:bCs/>
          <w:spacing w:val="-4"/>
          <w:kern w:val="0"/>
          <w:szCs w:val="24"/>
          <w:lang w:eastAsia="zh-CN"/>
        </w:rPr>
        <w:t>（</w:t>
      </w:r>
      <w:r>
        <w:rPr>
          <w:rFonts w:hint="eastAsia" w:ascii="仿宋_GB2312" w:hAnsi="宋体" w:cs="宋体"/>
          <w:bCs/>
          <w:spacing w:val="-4"/>
          <w:kern w:val="0"/>
          <w:szCs w:val="24"/>
          <w:lang w:val="en-US" w:eastAsia="zh-CN"/>
        </w:rPr>
        <w:t>1</w:t>
      </w:r>
      <w:r>
        <w:rPr>
          <w:rFonts w:hint="eastAsia" w:ascii="仿宋_GB2312" w:hAnsi="宋体" w:cs="宋体"/>
          <w:bCs/>
          <w:spacing w:val="-4"/>
          <w:kern w:val="0"/>
          <w:szCs w:val="24"/>
          <w:lang w:eastAsia="zh-CN"/>
        </w:rPr>
        <w:t>）</w:t>
      </w:r>
      <w:r>
        <w:rPr>
          <w:rFonts w:ascii="仿宋_GB2312" w:hAnsi="宋体" w:cs="宋体"/>
          <w:bCs/>
          <w:spacing w:val="-4"/>
          <w:kern w:val="0"/>
          <w:szCs w:val="24"/>
        </w:rPr>
        <w:t>银行存款及债券回购</w:t>
      </w:r>
      <w:r>
        <w:rPr>
          <w:rFonts w:hint="eastAsia" w:ascii="仿宋_GB2312" w:hAnsi="宋体" w:cs="宋体"/>
          <w:bCs/>
          <w:spacing w:val="-4"/>
          <w:kern w:val="0"/>
          <w:szCs w:val="24"/>
        </w:rPr>
        <w:t>等货币市场工具</w:t>
      </w:r>
      <w:r>
        <w:rPr>
          <w:rFonts w:ascii="仿宋_GB2312" w:hAnsi="宋体" w:cs="宋体"/>
          <w:bCs/>
          <w:spacing w:val="-4"/>
          <w:kern w:val="0"/>
          <w:szCs w:val="24"/>
        </w:rPr>
        <w:t>按商定利率或协议利率在实际持有期内逐日计提收益。</w:t>
      </w:r>
    </w:p>
    <w:p w14:paraId="6243C8F7">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（2）货币基金按最近披露的基金份额净值进行估值，并依据该基金公布的前一日每万份收益计提收益。</w:t>
      </w:r>
    </w:p>
    <w:p w14:paraId="622C7618">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2.在证券交易所和银行间市场交易的债券的估值</w:t>
      </w:r>
    </w:p>
    <w:p w14:paraId="53D67C87">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（1）不含转股权的债券，按照第三方估值机构（中债、中证等）提供的估值数据对本理财产品所持有债券进行估值，具体的第三方估值机构有管理人与托管人协商确定；</w:t>
      </w:r>
    </w:p>
    <w:p w14:paraId="7098D802">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（2）含转股权的债券（如可转债券等），实行全价交易的，选取估值日收盘价进行估值；实行净价交易的，选取估值日收盘价并加计债券应计利息后的全价进行估值；</w:t>
      </w:r>
    </w:p>
    <w:p w14:paraId="4DA8D173">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对于暂不具备活跃交易市场，或者在活跃市场中没有公允报价的资产，采用估值技术确定其公允价值。在估值技术难以可靠计量公允价值的情况下，可按照监管机构认可的符合企业会计准则的其他方法进行估值；</w:t>
      </w:r>
    </w:p>
    <w:p w14:paraId="519C85D0">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（4）如监管对债券估值另有规定，按照监管的最新规定进行调整。</w:t>
      </w:r>
    </w:p>
    <w:p w14:paraId="32AC5BFC">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3.优先股按第三方估值机构（中证、中债等）提供的估值数据进行估值；无第三方估值数据的，由管理人与托管人根据合理判断按反映产品公允价值的计量方案进行估值。</w:t>
      </w:r>
    </w:p>
    <w:p w14:paraId="0B6A48C4">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交易所上市的有价证券（包括股票、权证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693A241C">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5.投资非货币证券投资基金的估值</w:t>
      </w:r>
    </w:p>
    <w:p w14:paraId="46CDB0EB">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（1）未上市非货币基金，按所投资基金管理人估值日披露的最新份额净值进行估值；</w:t>
      </w:r>
    </w:p>
    <w:p w14:paraId="08F4334E">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（2）上市基金估值</w:t>
      </w:r>
    </w:p>
    <w:p w14:paraId="37767F7B">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交易所上市流通的基金（含公募REITs），以估值日其所在证券交易所的收盘价估值；境内上市的开放式基金（LOF），以所投资基金披露的最新份额净值进行估值。</w:t>
      </w:r>
    </w:p>
    <w:p w14:paraId="7A05B487">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（3）如遇所投资基金不公布基金份额净值、进行折算或拆分、估值日无交易等特殊情况，则按以下原则进行估值：</w:t>
      </w:r>
    </w:p>
    <w:p w14:paraId="4C77EE96">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①以所投资基金的基金份额净值估值的，若所投资基金管理人未公布估值日基金份额净值，则按最近公布的基金份额净值为基础估值。</w:t>
      </w:r>
    </w:p>
    <w:p w14:paraId="0B03F4BE">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②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场及重大变化因素调整最近交易市场，确定公允价值。</w:t>
      </w:r>
    </w:p>
    <w:p w14:paraId="4067C265">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③如果所投资基金前一估值日至估值日期间发生分红除权、折算或拆分，理财产品管理人应根据基金份额净值或收盘价、单位基金份额分红金额、折算拆分比例、持仓份额等因素合理确定公允价值。</w:t>
      </w:r>
    </w:p>
    <w:p w14:paraId="7F088957">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投资符合投资范围内的其他各类资产管理产品的估值，以估值日截止时点获得的、由所投资资产管理人披露的最新份额净值或者投资收益情况进行估值；或由产品管理人和托管人根据合理判断按反映产品公允价值的估值方案进行估值。</w:t>
      </w:r>
    </w:p>
    <w:p w14:paraId="13972816">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7.商品与金融衍生品类资产的估值</w:t>
      </w:r>
    </w:p>
    <w:p w14:paraId="12CBA502">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（1）场内交易的商品与金融衍生品类资产，以交易所最近交易日的结算价或者收盘价进行估值；</w:t>
      </w:r>
    </w:p>
    <w:p w14:paraId="105CC988">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（2）场外交易的商品与金融衍生品类资产，采用估值技术确定其公允价值，按照外部机构提供的价格数据或管理人与托管人认可的估值方案进行估值。</w:t>
      </w:r>
    </w:p>
    <w:p w14:paraId="69C04022">
      <w:pPr>
        <w:tabs>
          <w:tab w:val="left" w:pos="3119"/>
        </w:tabs>
        <w:autoSpaceDE w:val="0"/>
        <w:autoSpaceDN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８</w:t>
      </w:r>
      <w:r>
        <w:rPr>
          <w:rFonts w:ascii="仿宋_GB2312" w:hAnsi="宋体" w:cs="宋体"/>
          <w:bCs/>
          <w:color w:val="auto"/>
          <w:kern w:val="0"/>
          <w:szCs w:val="24"/>
          <w:highlight w:val="none"/>
          <w:u w:val="none"/>
        </w:rPr>
        <w:t>.若理财产品存续期间持有其他投资品种，以理财产品管理人与托管人共同认可的估值方法估值。</w:t>
      </w:r>
    </w:p>
    <w:p w14:paraId="19570E44">
      <w:pPr>
        <w:tabs>
          <w:tab w:val="left" w:pos="3119"/>
        </w:tabs>
        <w:autoSpaceDE w:val="0"/>
        <w:autoSpaceDN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９</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在任何情况下，如采用以上规定的方法对资产进行估值，均应被认为采用了适当的估值方法。如管理人有证据表明上述规定不能客观反映理财产品资产公允价值的，管理人可根据具体情况，在综合考虑市场成交价、市场报价、流动性、收益率曲线与标的信用风险等多种因素基础上，按最能反映理财产品资产公允价值的方法进行估值。</w:t>
      </w:r>
    </w:p>
    <w:p w14:paraId="121D69CE">
      <w:pPr>
        <w:pStyle w:val="3"/>
        <w:numPr>
          <w:ilvl w:val="1"/>
          <w:numId w:val="11"/>
        </w:numPr>
        <w:ind w:firstLine="482"/>
        <w:rPr>
          <w:color w:val="auto"/>
          <w:highlight w:val="none"/>
          <w:u w:val="none"/>
        </w:rPr>
      </w:pPr>
      <w:r>
        <w:rPr>
          <w:rFonts w:hint="eastAsia"/>
          <w:color w:val="auto"/>
          <w:highlight w:val="none"/>
          <w:u w:val="none"/>
        </w:rPr>
        <w:t>估值错误处理</w:t>
      </w:r>
    </w:p>
    <w:p w14:paraId="2CBD9CB4">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理财</w:t>
      </w:r>
      <w:r>
        <w:rPr>
          <w:rFonts w:ascii="仿宋_GB2312" w:hAnsi="宋体" w:cs="宋体"/>
          <w:bCs/>
          <w:color w:val="auto"/>
          <w:kern w:val="0"/>
          <w:szCs w:val="24"/>
          <w:highlight w:val="none"/>
          <w:u w:val="none"/>
        </w:rPr>
        <w:t>产品</w:t>
      </w:r>
      <w:r>
        <w:rPr>
          <w:rFonts w:hint="eastAsia" w:ascii="仿宋_GB2312" w:hAnsi="宋体" w:cs="宋体"/>
          <w:bCs/>
          <w:color w:val="auto"/>
          <w:kern w:val="0"/>
          <w:szCs w:val="24"/>
          <w:highlight w:val="none"/>
          <w:u w:val="none"/>
        </w:rPr>
        <w:t>管理人和</w:t>
      </w:r>
      <w:r>
        <w:rPr>
          <w:rFonts w:ascii="仿宋_GB2312" w:hAnsi="宋体" w:cs="宋体"/>
          <w:bCs/>
          <w:color w:val="auto"/>
          <w:kern w:val="0"/>
          <w:szCs w:val="24"/>
          <w:highlight w:val="none"/>
          <w:u w:val="none"/>
        </w:rPr>
        <w:t>理财产品托管人</w:t>
      </w:r>
      <w:r>
        <w:rPr>
          <w:rFonts w:hint="eastAsia" w:ascii="仿宋_GB2312" w:hAnsi="宋体" w:cs="宋体"/>
          <w:bCs/>
          <w:color w:val="auto"/>
          <w:kern w:val="0"/>
          <w:szCs w:val="24"/>
          <w:highlight w:val="none"/>
          <w:u w:val="none"/>
        </w:rPr>
        <w:t>将采取必要、适当、合理的措施确保产品资产估值的准确性、及时性。</w:t>
      </w:r>
    </w:p>
    <w:p w14:paraId="3D8EA357">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1.估值错误处理原则</w:t>
      </w:r>
    </w:p>
    <w:p w14:paraId="7B1F6B32">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（1）由于理财产品管理人或理财产品托管人自身过错造成的估值错误，导致投资者遭受损失的，由估值错误责任方按照各自过错程度对该估值错误导致投资者遭受的直接损失给予赔偿，承担赔偿责任。</w:t>
      </w:r>
    </w:p>
    <w:p w14:paraId="217E229A">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对因技术原因引起的差错，若系同行业现有技术水平无法预见、无法避免、无法抗拒，属不可抗力。由于不可抗力原因，或由于证券交易所、期货交易所、第三方估值机构、信托公司、基金公司等发送数据错误等非管理人和托管人原因，管理人和托管人虽然已经采取必要、适当、合理的措施进行检查，但未能发现错误的，由此造成的估值错误，管理人和托管人免除赔偿责任。但管理人、托管人应当积极采取必要的措施减轻或消除由此造成的影响。但因该差错取得不当得利的投资者仍应负有返还不当得利的义务。</w:t>
      </w:r>
    </w:p>
    <w:p w14:paraId="66ABE851">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若因理财产品托管人估值错误造成财产损失，理财产品管理人应向托管人追偿；若因理财产品管理人与理财产品托管人之外的第三方估值差错造成财产的损失，并拒绝进行赔偿时，由理财产品管理人负责向差错方追偿，追偿过程中产生的有关费用，应当列入理财产品费用，由理财产品承担。</w:t>
      </w:r>
    </w:p>
    <w:p w14:paraId="7E1D17CC">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（4）因估值错误而获得不当得利的投资者负有及时返还不当得利的义务。</w:t>
      </w:r>
    </w:p>
    <w:p w14:paraId="7E6B33C7">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（5）按法律法规规定的其他原则处理估值错误。</w:t>
      </w:r>
    </w:p>
    <w:p w14:paraId="04FB20B0">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2.估值错误处理程序</w:t>
      </w:r>
    </w:p>
    <w:p w14:paraId="519EE022">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估值错误被发现后，理财产品管理人与理财产品托管人应当及时进行处理，处理的程序如下：</w:t>
      </w:r>
    </w:p>
    <w:p w14:paraId="74ADAADC">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（1）查明估值差错发生的原因，根据估值错误发生的原因确定估值错误的责任方；</w:t>
      </w:r>
    </w:p>
    <w:p w14:paraId="27642B4B">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（2）根据估值错误处理原则对因估值错误造成的损失进行评估；</w:t>
      </w:r>
    </w:p>
    <w:p w14:paraId="789B535E">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（3）根据估值错误处理原则或理财产品管理人与托管人协商的方法，由理财产品管理人与托管人共同进行更正，由估值错误的责任方进行赔偿损失。</w:t>
      </w:r>
    </w:p>
    <w:p w14:paraId="1D08FF9F">
      <w:pPr>
        <w:pStyle w:val="3"/>
        <w:numPr>
          <w:ilvl w:val="1"/>
          <w:numId w:val="11"/>
        </w:numPr>
        <w:ind w:firstLine="482"/>
        <w:rPr>
          <w:color w:val="auto"/>
          <w:highlight w:val="none"/>
          <w:u w:val="none"/>
        </w:rPr>
      </w:pPr>
      <w:r>
        <w:rPr>
          <w:rFonts w:hint="eastAsia"/>
          <w:color w:val="auto"/>
          <w:highlight w:val="none"/>
          <w:u w:val="none"/>
        </w:rPr>
        <w:t>暂停估值的情形</w:t>
      </w:r>
    </w:p>
    <w:p w14:paraId="279A2CC7">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1.当资产估值因不可抗力或其他情形致使本产品管理人和托管人无法准确评估资产价值时；</w:t>
      </w:r>
    </w:p>
    <w:p w14:paraId="63AE3551">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2．理财产品投资所涉及的交易市场遇法定节假日或因其他原因暂停营业时；</w:t>
      </w:r>
    </w:p>
    <w:p w14:paraId="6B62E61B">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3.理财产品投资的其他资产产品合同约定暂停估值或无法估值的情形发生，导致理财产品无法估值时；</w:t>
      </w:r>
    </w:p>
    <w:p w14:paraId="2BDB8EBA">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当前一估值日理财产品资产净值5</w:t>
      </w:r>
      <w:r>
        <w:rPr>
          <w:rFonts w:ascii="仿宋_GB2312" w:hAnsi="宋体" w:cs="宋体"/>
          <w:bCs/>
          <w:color w:val="auto"/>
          <w:kern w:val="0"/>
          <w:szCs w:val="24"/>
          <w:highlight w:val="none"/>
          <w:u w:val="none"/>
        </w:rPr>
        <w:t>0</w:t>
      </w:r>
      <w:r>
        <w:rPr>
          <w:rFonts w:hint="eastAsia" w:ascii="仿宋_GB2312" w:hAnsi="宋体" w:cs="宋体"/>
          <w:bCs/>
          <w:color w:val="auto"/>
          <w:kern w:val="0"/>
          <w:szCs w:val="24"/>
          <w:highlight w:val="none"/>
          <w:u w:val="none"/>
        </w:rPr>
        <w:t>%以上的资产不具备活跃市场或在活跃市场中无报价，且采用估值技术不能可靠计量公允价值时；</w:t>
      </w:r>
    </w:p>
    <w:p w14:paraId="34B828BF">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5</w:t>
      </w:r>
      <w:r>
        <w:rPr>
          <w:rFonts w:hint="eastAsia" w:ascii="仿宋_GB2312" w:hAnsi="宋体" w:cs="宋体"/>
          <w:bCs/>
          <w:color w:val="auto"/>
          <w:kern w:val="0"/>
          <w:szCs w:val="24"/>
          <w:highlight w:val="none"/>
          <w:u w:val="none"/>
        </w:rPr>
        <w:t>.国家金融监督管理总局认定的其他情形或理财产品管理人、托管人有合理理由认为将影响本理财产品估值的其他情形。</w:t>
      </w:r>
    </w:p>
    <w:p w14:paraId="57B1A827">
      <w:pPr>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br w:type="page"/>
      </w:r>
    </w:p>
    <w:p w14:paraId="18062C67">
      <w:pPr>
        <w:pStyle w:val="2"/>
        <w:numPr>
          <w:ilvl w:val="0"/>
          <w:numId w:val="11"/>
        </w:numPr>
        <w:rPr>
          <w:color w:val="auto"/>
          <w:highlight w:val="none"/>
          <w:u w:val="none"/>
        </w:rPr>
      </w:pPr>
      <w:r>
        <w:rPr>
          <w:rFonts w:hint="eastAsia"/>
          <w:color w:val="auto"/>
          <w:highlight w:val="none"/>
          <w:u w:val="none"/>
        </w:rPr>
        <w:t>理财产品的</w:t>
      </w:r>
      <w:r>
        <w:rPr>
          <w:rFonts w:hint="eastAsia"/>
          <w:color w:val="auto"/>
          <w:highlight w:val="none"/>
          <w:u w:val="none"/>
          <w:lang w:eastAsia="zh-CN"/>
        </w:rPr>
        <w:t>收益</w:t>
      </w:r>
      <w:r>
        <w:rPr>
          <w:rFonts w:hint="eastAsia"/>
          <w:color w:val="auto"/>
          <w:highlight w:val="none"/>
          <w:u w:val="none"/>
        </w:rPr>
        <w:t>分配</w:t>
      </w:r>
    </w:p>
    <w:p w14:paraId="13F5DC72">
      <w:pPr>
        <w:pStyle w:val="3"/>
        <w:numPr>
          <w:ilvl w:val="1"/>
          <w:numId w:val="11"/>
        </w:numPr>
        <w:tabs>
          <w:tab w:val="left" w:pos="709"/>
          <w:tab w:val="left" w:pos="3261"/>
        </w:tabs>
        <w:ind w:firstLine="482"/>
        <w:rPr>
          <w:rFonts w:hint="eastAsia"/>
          <w:color w:val="auto"/>
          <w:highlight w:val="none"/>
          <w:u w:val="none"/>
        </w:rPr>
      </w:pPr>
      <w:r>
        <w:rPr>
          <w:rFonts w:hint="eastAsia"/>
          <w:color w:val="auto"/>
          <w:highlight w:val="none"/>
          <w:u w:val="none"/>
        </w:rPr>
        <w:t>理财产品的收益构成</w:t>
      </w:r>
    </w:p>
    <w:p w14:paraId="6DD8B82B">
      <w:pPr>
        <w:pStyle w:val="3"/>
        <w:numPr>
          <w:ilvl w:val="0"/>
          <w:numId w:val="0"/>
        </w:numPr>
        <w:tabs>
          <w:tab w:val="left" w:pos="709"/>
          <w:tab w:val="left" w:pos="3261"/>
        </w:tabs>
        <w:ind w:firstLine="482"/>
        <w:rPr>
          <w:color w:val="auto"/>
          <w:highlight w:val="none"/>
          <w:u w:val="none"/>
        </w:rPr>
      </w:pPr>
      <w:r>
        <w:rPr>
          <w:rFonts w:hint="eastAsia"/>
          <w:color w:val="auto"/>
          <w:highlight w:val="none"/>
          <w:u w:val="none"/>
        </w:rPr>
        <w:t>本理财产品的收益包括：投资债券、货币市场工具等</w:t>
      </w:r>
      <w:r>
        <w:rPr>
          <w:rFonts w:hint="eastAsia"/>
          <w:color w:val="auto"/>
          <w:highlight w:val="none"/>
          <w:u w:val="none"/>
          <w:lang w:eastAsia="zh-CN"/>
        </w:rPr>
        <w:t>投资范围内的资产和</w:t>
      </w:r>
      <w:r>
        <w:rPr>
          <w:rFonts w:hint="eastAsia"/>
          <w:color w:val="auto"/>
          <w:highlight w:val="none"/>
          <w:u w:val="none"/>
        </w:rPr>
        <w:t>监管机构认可的资产或资产管理产品所产生的利息收入、买卖证券差价收入、银行存款利息以及其他合法收入。该收益构成不代表投资者一定可以获得的收益。</w:t>
      </w:r>
    </w:p>
    <w:p w14:paraId="183CCF5E">
      <w:pPr>
        <w:pStyle w:val="3"/>
        <w:numPr>
          <w:ilvl w:val="1"/>
          <w:numId w:val="11"/>
        </w:numPr>
        <w:ind w:firstLine="482"/>
        <w:rPr>
          <w:color w:val="auto"/>
          <w:highlight w:val="none"/>
          <w:u w:val="none"/>
        </w:rPr>
      </w:pPr>
      <w:r>
        <w:rPr>
          <w:rFonts w:hint="eastAsia"/>
          <w:color w:val="auto"/>
          <w:highlight w:val="none"/>
          <w:u w:val="none"/>
        </w:rPr>
        <w:t>理财</w:t>
      </w:r>
      <w:r>
        <w:rPr>
          <w:rFonts w:hint="eastAsia"/>
          <w:color w:val="auto"/>
          <w:highlight w:val="none"/>
          <w:u w:val="none"/>
          <w:lang w:eastAsia="zh-CN"/>
        </w:rPr>
        <w:t>收益</w:t>
      </w:r>
      <w:r>
        <w:rPr>
          <w:rFonts w:hint="eastAsia"/>
          <w:color w:val="auto"/>
          <w:highlight w:val="none"/>
          <w:u w:val="none"/>
        </w:rPr>
        <w:t>的分配类型</w:t>
      </w:r>
    </w:p>
    <w:p w14:paraId="70AA4637">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1.依据分配时点，理财</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的分配可分为“期间分配”与“终止分配”。</w:t>
      </w:r>
    </w:p>
    <w:p w14:paraId="51A470B2">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2.依据分配方式，理财</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的分配可分为“现金分配”与“非现金分配”。</w:t>
      </w:r>
    </w:p>
    <w:p w14:paraId="7FC9889A">
      <w:pPr>
        <w:pStyle w:val="3"/>
        <w:numPr>
          <w:ilvl w:val="1"/>
          <w:numId w:val="11"/>
        </w:numPr>
        <w:ind w:firstLine="482"/>
        <w:rPr>
          <w:color w:val="auto"/>
          <w:highlight w:val="none"/>
          <w:u w:val="none"/>
        </w:rPr>
      </w:pPr>
      <w:r>
        <w:rPr>
          <w:rFonts w:hint="eastAsia"/>
          <w:color w:val="auto"/>
          <w:highlight w:val="none"/>
          <w:u w:val="none"/>
        </w:rPr>
        <w:t>理财</w:t>
      </w:r>
      <w:r>
        <w:rPr>
          <w:rFonts w:hint="eastAsia"/>
          <w:color w:val="auto"/>
          <w:highlight w:val="none"/>
          <w:u w:val="none"/>
          <w:lang w:eastAsia="zh-CN"/>
        </w:rPr>
        <w:t>收益</w:t>
      </w:r>
      <w:r>
        <w:rPr>
          <w:rFonts w:hint="eastAsia"/>
          <w:color w:val="auto"/>
          <w:highlight w:val="none"/>
          <w:u w:val="none"/>
        </w:rPr>
        <w:t>的分配原则</w:t>
      </w:r>
    </w:p>
    <w:p w14:paraId="537D3345">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1.本产品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分配应遵循下列原则：</w:t>
      </w:r>
    </w:p>
    <w:p w14:paraId="4E6B73CE">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（1）每一产品份额享有同等分配权。</w:t>
      </w:r>
    </w:p>
    <w:p w14:paraId="6010956A">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（2）在不</w:t>
      </w:r>
      <w:r>
        <w:rPr>
          <w:rFonts w:ascii="仿宋_GB2312" w:hAnsi="宋体" w:cs="宋体"/>
          <w:bCs/>
          <w:color w:val="auto"/>
          <w:kern w:val="0"/>
          <w:szCs w:val="24"/>
          <w:highlight w:val="none"/>
          <w:u w:val="none"/>
        </w:rPr>
        <w:t>违反法律法规、理财产品销售文件约定以及对份额持有人权益无实质性不利影响的情况下，产品管理人可</w:t>
      </w:r>
      <w:r>
        <w:rPr>
          <w:rFonts w:hint="eastAsia" w:ascii="仿宋_GB2312" w:hAnsi="宋体" w:cs="宋体"/>
          <w:bCs/>
          <w:color w:val="auto"/>
          <w:kern w:val="0"/>
          <w:szCs w:val="24"/>
          <w:highlight w:val="none"/>
          <w:u w:val="none"/>
        </w:rPr>
        <w:t>调整</w:t>
      </w:r>
      <w:r>
        <w:rPr>
          <w:rFonts w:ascii="仿宋_GB2312" w:hAnsi="宋体" w:cs="宋体"/>
          <w:bCs/>
          <w:color w:val="auto"/>
          <w:kern w:val="0"/>
          <w:szCs w:val="24"/>
          <w:highlight w:val="none"/>
          <w:u w:val="none"/>
        </w:rPr>
        <w:t>本理财产品</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的分配原则与支付方式。法律</w:t>
      </w:r>
      <w:r>
        <w:rPr>
          <w:rFonts w:hint="eastAsia" w:ascii="仿宋_GB2312" w:hAnsi="宋体" w:cs="宋体"/>
          <w:bCs/>
          <w:color w:val="auto"/>
          <w:kern w:val="0"/>
          <w:szCs w:val="24"/>
          <w:highlight w:val="none"/>
          <w:u w:val="none"/>
        </w:rPr>
        <w:t>法规</w:t>
      </w:r>
      <w:r>
        <w:rPr>
          <w:rFonts w:ascii="仿宋_GB2312" w:hAnsi="宋体" w:cs="宋体"/>
          <w:bCs/>
          <w:color w:val="auto"/>
          <w:kern w:val="0"/>
          <w:szCs w:val="24"/>
          <w:highlight w:val="none"/>
          <w:u w:val="none"/>
        </w:rPr>
        <w:t>或监管机构另有规定的从其规定。</w:t>
      </w:r>
    </w:p>
    <w:p w14:paraId="01DBE6A0">
      <w:pPr>
        <w:pStyle w:val="3"/>
        <w:numPr>
          <w:ilvl w:val="1"/>
          <w:numId w:val="11"/>
        </w:numPr>
        <w:autoSpaceDE w:val="0"/>
        <w:autoSpaceDN w:val="0"/>
        <w:adjustRightInd w:val="0"/>
        <w:snapToGrid w:val="0"/>
        <w:ind w:firstLine="482"/>
        <w:rPr>
          <w:color w:val="auto"/>
          <w:highlight w:val="none"/>
          <w:u w:val="none"/>
        </w:rPr>
      </w:pPr>
      <w:r>
        <w:rPr>
          <w:rFonts w:hint="eastAsia"/>
          <w:color w:val="auto"/>
          <w:highlight w:val="none"/>
          <w:u w:val="none"/>
        </w:rPr>
        <w:t>理财</w:t>
      </w:r>
      <w:r>
        <w:rPr>
          <w:rFonts w:hint="eastAsia"/>
          <w:color w:val="auto"/>
          <w:highlight w:val="none"/>
          <w:u w:val="none"/>
          <w:lang w:eastAsia="zh-CN"/>
        </w:rPr>
        <w:t>收益</w:t>
      </w:r>
      <w:r>
        <w:rPr>
          <w:rFonts w:hint="eastAsia"/>
          <w:color w:val="auto"/>
          <w:highlight w:val="none"/>
          <w:u w:val="none"/>
        </w:rPr>
        <w:t xml:space="preserve">的分配方案 </w:t>
      </w:r>
    </w:p>
    <w:p w14:paraId="5DEE9007">
      <w:pPr>
        <w:autoSpaceDE w:val="0"/>
        <w:autoSpaceDN w:val="0"/>
        <w:adjustRightInd w:val="0"/>
        <w:snapToGrid w:val="0"/>
        <w:spacing w:line="360" w:lineRule="auto"/>
        <w:ind w:firstLine="420" w:firstLineChars="200"/>
        <w:jc w:val="left"/>
        <w:rPr>
          <w:color w:val="auto"/>
          <w:highlight w:val="none"/>
          <w:u w:val="none"/>
        </w:rPr>
      </w:pPr>
      <w:r>
        <w:rPr>
          <w:rFonts w:hint="eastAsia" w:ascii="仿宋_GB2312" w:hAnsi="宋体" w:cs="宋体"/>
          <w:bCs/>
          <w:color w:val="auto"/>
          <w:kern w:val="0"/>
          <w:szCs w:val="24"/>
          <w:highlight w:val="none"/>
          <w:u w:val="none"/>
        </w:rPr>
        <w:t>1.</w:t>
      </w:r>
      <w:r>
        <w:rPr>
          <w:rFonts w:hint="eastAsia"/>
          <w:color w:val="auto"/>
          <w:highlight w:val="none"/>
          <w:u w:val="none"/>
        </w:rPr>
        <w:t>分配方案要点：</w:t>
      </w:r>
    </w:p>
    <w:p w14:paraId="5DF55B05">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w:t>
      </w:r>
      <w:r>
        <w:rPr>
          <w:rFonts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rPr>
        <w:t>本</w:t>
      </w:r>
      <w:r>
        <w:rPr>
          <w:rFonts w:ascii="仿宋_GB2312" w:hAnsi="宋体" w:cs="宋体"/>
          <w:bCs/>
          <w:color w:val="auto"/>
          <w:kern w:val="0"/>
          <w:szCs w:val="24"/>
          <w:highlight w:val="none"/>
          <w:u w:val="none"/>
        </w:rPr>
        <w:t>理财产品的分配时点包括</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rPr>
        <w:t>“期间分配”</w:t>
      </w:r>
      <w:r>
        <w:rPr>
          <w:rFonts w:hint="eastAsia" w:ascii="仿宋_GB2312" w:hAnsi="宋体" w:cs="宋体"/>
          <w:bCs/>
          <w:kern w:val="0"/>
          <w:szCs w:val="24"/>
          <w:highlight w:val="none"/>
        </w:rPr>
        <w:sym w:font="Wingdings 2" w:char="00A3"/>
      </w:r>
      <w:r>
        <w:rPr>
          <w:rFonts w:hint="eastAsia" w:ascii="仿宋_GB2312" w:hAnsi="宋体" w:cs="宋体"/>
          <w:bCs/>
          <w:kern w:val="0"/>
          <w:szCs w:val="24"/>
          <w:highlight w:val="none"/>
        </w:rPr>
        <w:t>“终止分配”</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w:t>
      </w:r>
    </w:p>
    <w:p w14:paraId="710044A9">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本</w:t>
      </w:r>
      <w:r>
        <w:rPr>
          <w:rFonts w:ascii="仿宋_GB2312" w:hAnsi="宋体" w:cs="宋体"/>
          <w:bCs/>
          <w:color w:val="auto"/>
          <w:kern w:val="0"/>
          <w:szCs w:val="24"/>
          <w:highlight w:val="none"/>
          <w:u w:val="none"/>
        </w:rPr>
        <w:t>理财产品的分配</w:t>
      </w:r>
      <w:r>
        <w:rPr>
          <w:rFonts w:hint="eastAsia" w:ascii="仿宋_GB2312" w:hAnsi="宋体" w:cs="宋体"/>
          <w:bCs/>
          <w:color w:val="auto"/>
          <w:kern w:val="0"/>
          <w:szCs w:val="24"/>
          <w:highlight w:val="none"/>
          <w:u w:val="none"/>
        </w:rPr>
        <w:t>方式</w:t>
      </w:r>
      <w:r>
        <w:rPr>
          <w:rFonts w:ascii="仿宋_GB2312" w:hAnsi="宋体" w:cs="宋体"/>
          <w:bCs/>
          <w:color w:val="auto"/>
          <w:kern w:val="0"/>
          <w:szCs w:val="24"/>
          <w:highlight w:val="none"/>
          <w:u w:val="none"/>
        </w:rPr>
        <w:t>采取</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rPr>
        <w:t>“现金分配”</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rPr>
        <w:t>“</w:t>
      </w:r>
      <w:r>
        <w:rPr>
          <w:rFonts w:hint="eastAsia" w:ascii="仿宋_GB2312" w:hAnsi="宋体" w:cs="宋体"/>
          <w:bCs/>
          <w:kern w:val="0"/>
          <w:szCs w:val="24"/>
          <w:highlight w:val="none"/>
          <w:lang w:eastAsia="zh-CN"/>
        </w:rPr>
        <w:t>非</w:t>
      </w:r>
      <w:r>
        <w:rPr>
          <w:rFonts w:hint="eastAsia" w:ascii="仿宋_GB2312" w:hAnsi="宋体" w:cs="宋体"/>
          <w:bCs/>
          <w:kern w:val="0"/>
          <w:szCs w:val="24"/>
          <w:highlight w:val="none"/>
        </w:rPr>
        <w:t>现金分配”</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w:t>
      </w:r>
    </w:p>
    <w:p w14:paraId="1F1B31A2">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w:t>
      </w:r>
      <w:r>
        <w:rPr>
          <w:rFonts w:hint="eastAsia" w:ascii="仿宋_GB2312" w:hAnsi="宋体" w:cs="宋体"/>
          <w:bCs/>
          <w:color w:val="auto"/>
          <w:kern w:val="0"/>
          <w:szCs w:val="24"/>
          <w:highlight w:val="none"/>
          <w:u w:val="none"/>
        </w:rPr>
        <w:t>具体</w:t>
      </w:r>
      <w:r>
        <w:rPr>
          <w:rFonts w:ascii="仿宋_GB2312" w:hAnsi="宋体" w:cs="宋体"/>
          <w:bCs/>
          <w:color w:val="auto"/>
          <w:kern w:val="0"/>
          <w:szCs w:val="24"/>
          <w:highlight w:val="none"/>
          <w:u w:val="none"/>
        </w:rPr>
        <w:t>理财产品</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分配方案由产品管理人拟定，并由产品托管人复核后确定。</w:t>
      </w:r>
    </w:p>
    <w:p w14:paraId="38DF8C51">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3.理财</w:t>
      </w:r>
      <w:r>
        <w:rPr>
          <w:rFonts w:ascii="仿宋_GB2312" w:hAnsi="宋体" w:cs="宋体"/>
          <w:bCs/>
          <w:color w:val="auto"/>
          <w:kern w:val="0"/>
          <w:szCs w:val="24"/>
          <w:highlight w:val="none"/>
          <w:u w:val="none"/>
        </w:rPr>
        <w:t>产品存续期间，产品管理人有权</w:t>
      </w:r>
      <w:r>
        <w:rPr>
          <w:rFonts w:hint="eastAsia" w:ascii="仿宋_GB2312" w:hAnsi="宋体" w:cs="宋体"/>
          <w:bCs/>
          <w:color w:val="auto"/>
          <w:kern w:val="0"/>
          <w:szCs w:val="24"/>
          <w:highlight w:val="none"/>
          <w:u w:val="none"/>
        </w:rPr>
        <w:t>视</w:t>
      </w:r>
      <w:r>
        <w:rPr>
          <w:rFonts w:ascii="仿宋_GB2312" w:hAnsi="宋体" w:cs="宋体"/>
          <w:bCs/>
          <w:color w:val="auto"/>
          <w:kern w:val="0"/>
          <w:szCs w:val="24"/>
          <w:highlight w:val="none"/>
          <w:u w:val="none"/>
        </w:rPr>
        <w:t>理财产品收益情况进行主动分配，相应</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分配基准日、分配方案由管理人及时披露。</w:t>
      </w:r>
    </w:p>
    <w:p w14:paraId="18B87EA7">
      <w:pPr>
        <w:pStyle w:val="3"/>
        <w:numPr>
          <w:ilvl w:val="1"/>
          <w:numId w:val="11"/>
        </w:numPr>
        <w:tabs>
          <w:tab w:val="left" w:pos="0"/>
          <w:tab w:val="left" w:pos="709"/>
        </w:tabs>
        <w:ind w:firstLine="482" w:firstLineChars="0"/>
        <w:rPr>
          <w:color w:val="auto"/>
          <w:highlight w:val="none"/>
          <w:u w:val="none"/>
        </w:rPr>
      </w:pPr>
      <w:r>
        <w:rPr>
          <w:rFonts w:hint="eastAsia"/>
          <w:color w:val="auto"/>
          <w:highlight w:val="none"/>
          <w:u w:val="none"/>
        </w:rPr>
        <w:t>理财</w:t>
      </w:r>
      <w:r>
        <w:rPr>
          <w:rFonts w:hint="eastAsia"/>
          <w:color w:val="auto"/>
          <w:highlight w:val="none"/>
          <w:u w:val="none"/>
          <w:lang w:eastAsia="zh-CN"/>
        </w:rPr>
        <w:t>收益</w:t>
      </w:r>
      <w:r>
        <w:rPr>
          <w:rFonts w:hint="eastAsia"/>
          <w:color w:val="auto"/>
          <w:highlight w:val="none"/>
          <w:u w:val="none"/>
        </w:rPr>
        <w:t>的分配</w:t>
      </w:r>
    </w:p>
    <w:p w14:paraId="71EE6351">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1.理财</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的分配日</w:t>
      </w:r>
    </w:p>
    <w:p w14:paraId="3505E7EF">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若</w:t>
      </w:r>
      <w:r>
        <w:rPr>
          <w:rFonts w:ascii="仿宋_GB2312" w:hAnsi="宋体" w:cs="宋体"/>
          <w:bCs/>
          <w:color w:val="auto"/>
          <w:kern w:val="0"/>
          <w:szCs w:val="24"/>
          <w:highlight w:val="none"/>
          <w:u w:val="none"/>
        </w:rPr>
        <w:t>为期间分配的，原则上产品管理人应于分配基准日后</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lang w:val="en-US" w:eastAsia="zh-CN"/>
        </w:rPr>
        <w:t>5</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rPr>
        <w:t>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ascii="仿宋_GB2312" w:hAnsi="宋体" w:cs="宋体"/>
          <w:bCs/>
          <w:color w:val="auto"/>
          <w:kern w:val="0"/>
          <w:szCs w:val="24"/>
          <w:highlight w:val="none"/>
          <w:u w:val="none"/>
        </w:rPr>
        <w:t>内分配理财</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如有</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w:t>
      </w:r>
    </w:p>
    <w:p w14:paraId="7555B3C2">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若为</w:t>
      </w:r>
      <w:r>
        <w:rPr>
          <w:rFonts w:ascii="仿宋_GB2312" w:hAnsi="宋体" w:cs="宋体"/>
          <w:bCs/>
          <w:color w:val="auto"/>
          <w:kern w:val="0"/>
          <w:szCs w:val="24"/>
          <w:highlight w:val="none"/>
          <w:u w:val="none"/>
        </w:rPr>
        <w:t>终止分配的，</w:t>
      </w:r>
      <w:r>
        <w:rPr>
          <w:rFonts w:hint="eastAsia" w:ascii="仿宋_GB2312" w:hAnsi="宋体" w:cs="宋体"/>
          <w:bCs/>
          <w:color w:val="auto"/>
          <w:kern w:val="0"/>
          <w:szCs w:val="24"/>
          <w:highlight w:val="none"/>
          <w:u w:val="none"/>
        </w:rPr>
        <w:t>产品</w:t>
      </w:r>
      <w:r>
        <w:rPr>
          <w:rFonts w:ascii="仿宋_GB2312" w:hAnsi="宋体" w:cs="宋体"/>
          <w:bCs/>
          <w:color w:val="auto"/>
          <w:kern w:val="0"/>
          <w:szCs w:val="24"/>
          <w:highlight w:val="none"/>
          <w:u w:val="none"/>
        </w:rPr>
        <w:t>管理人应按“</w:t>
      </w:r>
      <w:r>
        <w:rPr>
          <w:rFonts w:hint="eastAsia" w:ascii="仿宋_GB2312" w:hAnsi="宋体" w:cs="宋体"/>
          <w:bCs/>
          <w:color w:val="auto"/>
          <w:kern w:val="0"/>
          <w:szCs w:val="24"/>
          <w:highlight w:val="none"/>
          <w:u w:val="none"/>
        </w:rPr>
        <w:t>第十</w:t>
      </w:r>
      <w:r>
        <w:rPr>
          <w:rFonts w:hint="eastAsia" w:ascii="仿宋_GB2312" w:hAnsi="宋体" w:cs="宋体"/>
          <w:bCs/>
          <w:color w:val="auto"/>
          <w:kern w:val="0"/>
          <w:szCs w:val="24"/>
          <w:highlight w:val="none"/>
          <w:u w:val="none"/>
          <w:lang w:eastAsia="zh-CN"/>
        </w:rPr>
        <w:t>一</w:t>
      </w:r>
      <w:r>
        <w:rPr>
          <w:rFonts w:hint="eastAsia" w:ascii="仿宋_GB2312" w:hAnsi="宋体" w:cs="宋体"/>
          <w:bCs/>
          <w:color w:val="auto"/>
          <w:kern w:val="0"/>
          <w:szCs w:val="24"/>
          <w:highlight w:val="none"/>
          <w:u w:val="none"/>
        </w:rPr>
        <w:t>节 理财</w:t>
      </w:r>
      <w:r>
        <w:rPr>
          <w:rFonts w:ascii="仿宋_GB2312" w:hAnsi="宋体" w:cs="宋体"/>
          <w:bCs/>
          <w:color w:val="auto"/>
          <w:kern w:val="0"/>
          <w:szCs w:val="24"/>
          <w:highlight w:val="none"/>
          <w:u w:val="none"/>
        </w:rPr>
        <w:t>产品</w:t>
      </w:r>
      <w:r>
        <w:rPr>
          <w:rFonts w:hint="eastAsia" w:ascii="仿宋_GB2312" w:hAnsi="宋体" w:cs="宋体"/>
          <w:bCs/>
          <w:color w:val="auto"/>
          <w:kern w:val="0"/>
          <w:szCs w:val="24"/>
          <w:highlight w:val="none"/>
          <w:u w:val="none"/>
          <w:lang w:eastAsia="zh-CN"/>
        </w:rPr>
        <w:t>的</w:t>
      </w:r>
      <w:r>
        <w:rPr>
          <w:rFonts w:ascii="仿宋_GB2312" w:hAnsi="宋体" w:cs="宋体"/>
          <w:bCs/>
          <w:color w:val="auto"/>
          <w:kern w:val="0"/>
          <w:szCs w:val="24"/>
          <w:highlight w:val="none"/>
          <w:u w:val="none"/>
        </w:rPr>
        <w:t>终止与清算”</w:t>
      </w:r>
      <w:r>
        <w:rPr>
          <w:rFonts w:hint="eastAsia" w:ascii="仿宋_GB2312" w:hAnsi="宋体" w:cs="宋体"/>
          <w:bCs/>
          <w:color w:val="auto"/>
          <w:kern w:val="0"/>
          <w:szCs w:val="24"/>
          <w:highlight w:val="none"/>
          <w:u w:val="none"/>
        </w:rPr>
        <w:t>中</w:t>
      </w:r>
      <w:r>
        <w:rPr>
          <w:rFonts w:ascii="仿宋_GB2312" w:hAnsi="宋体" w:cs="宋体"/>
          <w:bCs/>
          <w:color w:val="auto"/>
          <w:kern w:val="0"/>
          <w:szCs w:val="24"/>
          <w:highlight w:val="none"/>
          <w:u w:val="none"/>
        </w:rPr>
        <w:t>产品清算期的相关约定向投资者分配</w:t>
      </w:r>
      <w:r>
        <w:rPr>
          <w:rFonts w:hint="eastAsia" w:ascii="仿宋_GB2312" w:hAnsi="宋体" w:cs="宋体"/>
          <w:bCs/>
          <w:color w:val="auto"/>
          <w:kern w:val="0"/>
          <w:szCs w:val="24"/>
          <w:highlight w:val="none"/>
          <w:u w:val="none"/>
        </w:rPr>
        <w:t>理财</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如有</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w:t>
      </w:r>
    </w:p>
    <w:p w14:paraId="6FA6A058">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w:t>
      </w:r>
      <w:r>
        <w:rPr>
          <w:rFonts w:hint="eastAsia" w:ascii="仿宋_GB2312" w:hAnsi="宋体" w:cs="宋体"/>
          <w:bCs/>
          <w:color w:val="auto"/>
          <w:kern w:val="0"/>
          <w:szCs w:val="24"/>
          <w:highlight w:val="none"/>
          <w:u w:val="none"/>
        </w:rPr>
        <w:t>具体</w:t>
      </w:r>
      <w:r>
        <w:rPr>
          <w:rFonts w:ascii="仿宋_GB2312" w:hAnsi="宋体" w:cs="宋体"/>
          <w:bCs/>
          <w:color w:val="auto"/>
          <w:kern w:val="0"/>
          <w:szCs w:val="24"/>
          <w:highlight w:val="none"/>
          <w:u w:val="none"/>
        </w:rPr>
        <w:t>的理财产品分配</w:t>
      </w:r>
      <w:r>
        <w:rPr>
          <w:rFonts w:hint="eastAsia" w:ascii="仿宋_GB2312" w:hAnsi="宋体" w:cs="宋体"/>
          <w:bCs/>
          <w:color w:val="auto"/>
          <w:kern w:val="0"/>
          <w:szCs w:val="24"/>
          <w:highlight w:val="none"/>
          <w:u w:val="none"/>
        </w:rPr>
        <w:t>以</w:t>
      </w:r>
      <w:r>
        <w:rPr>
          <w:rFonts w:ascii="仿宋_GB2312" w:hAnsi="宋体" w:cs="宋体"/>
          <w:bCs/>
          <w:color w:val="auto"/>
          <w:kern w:val="0"/>
          <w:szCs w:val="24"/>
          <w:highlight w:val="none"/>
          <w:u w:val="none"/>
        </w:rPr>
        <w:t>管理人实际分配的为准。</w:t>
      </w:r>
    </w:p>
    <w:p w14:paraId="5BA4BA83">
      <w:pPr>
        <w:pStyle w:val="14"/>
        <w:widowControl/>
        <w:snapToGrid w:val="0"/>
        <w:spacing w:line="360" w:lineRule="auto"/>
        <w:ind w:firstLine="480" w:firstLineChars="200"/>
        <w:rPr>
          <w:color w:val="auto"/>
          <w:highlight w:val="none"/>
          <w:u w:val="none"/>
        </w:rPr>
      </w:pPr>
      <w:r>
        <w:rPr>
          <w:rFonts w:hint="eastAsia" w:ascii="仿宋_GB2312" w:hAnsi="宋体" w:eastAsia="仿宋_GB2312"/>
          <w:bCs/>
          <w:color w:val="auto"/>
          <w:highlight w:val="none"/>
          <w:u w:val="none"/>
        </w:rPr>
        <w:br w:type="page"/>
      </w:r>
    </w:p>
    <w:p w14:paraId="56885E9A">
      <w:pPr>
        <w:pStyle w:val="2"/>
        <w:numPr>
          <w:ilvl w:val="0"/>
          <w:numId w:val="11"/>
        </w:numPr>
        <w:rPr>
          <w:color w:val="auto"/>
          <w:highlight w:val="none"/>
          <w:u w:val="none"/>
        </w:rPr>
      </w:pPr>
      <w:r>
        <w:rPr>
          <w:rFonts w:hint="eastAsia"/>
          <w:color w:val="auto"/>
          <w:highlight w:val="none"/>
          <w:u w:val="none"/>
        </w:rPr>
        <w:t>理财产品的费用与税收</w:t>
      </w:r>
    </w:p>
    <w:p w14:paraId="61171D00">
      <w:pPr>
        <w:pStyle w:val="3"/>
        <w:numPr>
          <w:ilvl w:val="1"/>
          <w:numId w:val="11"/>
        </w:numPr>
        <w:tabs>
          <w:tab w:val="left" w:pos="0"/>
          <w:tab w:val="left" w:pos="709"/>
        </w:tabs>
        <w:ind w:firstLine="482" w:firstLineChars="0"/>
        <w:rPr>
          <w:color w:val="auto"/>
          <w:highlight w:val="none"/>
          <w:u w:val="none"/>
        </w:rPr>
      </w:pPr>
      <w:r>
        <w:rPr>
          <w:rFonts w:hint="eastAsia"/>
          <w:color w:val="auto"/>
          <w:highlight w:val="none"/>
          <w:u w:val="none"/>
        </w:rPr>
        <w:t>理财费用</w:t>
      </w:r>
    </w:p>
    <w:p w14:paraId="5070B9C1">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1.理财产品费用的种类</w:t>
      </w:r>
    </w:p>
    <w:p w14:paraId="273D211E">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（1）理财产品的认购费、申购费、赎回费；</w:t>
      </w:r>
    </w:p>
    <w:p w14:paraId="4C11835C">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（2）理财产品的销售服务费；</w:t>
      </w:r>
    </w:p>
    <w:p w14:paraId="375F3EB3">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（3）理财产品的</w:t>
      </w:r>
      <w:r>
        <w:rPr>
          <w:rFonts w:hint="eastAsia" w:ascii="仿宋_GB2312" w:hAnsi="宋体" w:cs="宋体"/>
          <w:bCs/>
          <w:color w:val="auto"/>
          <w:kern w:val="0"/>
          <w:szCs w:val="24"/>
          <w:highlight w:val="none"/>
          <w:u w:val="none"/>
          <w:lang w:eastAsia="zh-CN"/>
        </w:rPr>
        <w:t>固定</w:t>
      </w:r>
      <w:r>
        <w:rPr>
          <w:rFonts w:hint="eastAsia" w:ascii="仿宋_GB2312" w:hAnsi="宋体" w:cs="宋体"/>
          <w:bCs/>
          <w:color w:val="auto"/>
          <w:kern w:val="0"/>
          <w:szCs w:val="24"/>
          <w:highlight w:val="none"/>
          <w:u w:val="none"/>
        </w:rPr>
        <w:t>管理费</w:t>
      </w:r>
      <w:r>
        <w:rPr>
          <w:rFonts w:ascii="仿宋_GB2312" w:hAnsi="宋体" w:cs="宋体"/>
          <w:bCs/>
          <w:color w:val="auto"/>
          <w:kern w:val="0"/>
          <w:szCs w:val="24"/>
          <w:highlight w:val="none"/>
          <w:u w:val="none"/>
        </w:rPr>
        <w:t>及</w:t>
      </w:r>
      <w:r>
        <w:rPr>
          <w:rFonts w:hint="eastAsia" w:ascii="仿宋_GB2312" w:hAnsi="宋体" w:cs="宋体"/>
          <w:bCs/>
          <w:color w:val="auto"/>
          <w:kern w:val="0"/>
          <w:szCs w:val="24"/>
          <w:highlight w:val="none"/>
          <w:u w:val="none"/>
          <w:lang w:eastAsia="zh-CN"/>
        </w:rPr>
        <w:t>浮动管理费</w:t>
      </w:r>
      <w:r>
        <w:rPr>
          <w:rFonts w:ascii="仿宋_GB2312" w:hAnsi="宋体" w:cs="宋体"/>
          <w:bCs/>
          <w:color w:val="auto"/>
          <w:kern w:val="0"/>
          <w:szCs w:val="24"/>
          <w:highlight w:val="none"/>
          <w:u w:val="none"/>
        </w:rPr>
        <w:t>；</w:t>
      </w:r>
    </w:p>
    <w:p w14:paraId="1D717A06">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（4）理财产品的托管费；</w:t>
      </w:r>
    </w:p>
    <w:p w14:paraId="3A72F7A8">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（5）</w:t>
      </w:r>
      <w:r>
        <w:rPr>
          <w:rFonts w:hint="eastAsia" w:ascii="仿宋_GB2312" w:hAnsi="宋体" w:cs="宋体"/>
          <w:bCs/>
          <w:color w:val="auto"/>
          <w:kern w:val="0"/>
          <w:szCs w:val="24"/>
          <w:highlight w:val="none"/>
          <w:u w:val="none"/>
        </w:rPr>
        <w:t>其他费用，包括但不限于：与</w:t>
      </w:r>
      <w:r>
        <w:rPr>
          <w:rFonts w:ascii="仿宋_GB2312" w:hAnsi="宋体" w:cs="宋体"/>
          <w:bCs/>
          <w:color w:val="auto"/>
          <w:kern w:val="0"/>
          <w:szCs w:val="24"/>
          <w:highlight w:val="none"/>
          <w:u w:val="none"/>
        </w:rPr>
        <w:t>理财产品相关的</w:t>
      </w:r>
      <w:r>
        <w:rPr>
          <w:rFonts w:hint="eastAsia" w:ascii="仿宋_GB2312" w:hAnsi="宋体" w:cs="宋体"/>
          <w:bCs/>
          <w:color w:val="auto"/>
          <w:kern w:val="0"/>
          <w:szCs w:val="24"/>
          <w:highlight w:val="none"/>
          <w:u w:val="none"/>
        </w:rPr>
        <w:t>账户服务费用、资产服务费用、交易费用（包括但不限于交易佣金、撮合费用等）、注册登记费、验资费、审计费、信息披露费、</w:t>
      </w:r>
      <w:r>
        <w:rPr>
          <w:rFonts w:hint="eastAsia" w:ascii="仿宋_GB2312" w:hAnsi="宋体" w:cs="宋体"/>
          <w:bCs/>
          <w:color w:val="auto"/>
          <w:kern w:val="0"/>
          <w:szCs w:val="24"/>
          <w:highlight w:val="yellow"/>
          <w:lang w:eastAsia="zh-CN"/>
        </w:rPr>
        <w:t>【信息服务费用】</w:t>
      </w: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rPr>
        <w:t>清算费用、执行费用（包括但不限于律师费、诉讼费、仲裁费、公证费、保全费、执行费等）以及按照法律法规、监管规定和理财产品销售文件约定可以列入的其他费用，具体以实际发生为准。</w:t>
      </w:r>
    </w:p>
    <w:p w14:paraId="2690FC5C">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宋体" w:hAnsi="宋体" w:cs="宋体"/>
          <w:color w:val="auto"/>
          <w:kern w:val="0"/>
          <w:szCs w:val="24"/>
          <w:highlight w:val="none"/>
          <w:u w:val="none"/>
        </w:rPr>
        <w:t>本产品可能根据投资者购买理财产品的</w:t>
      </w:r>
      <w:r>
        <w:rPr>
          <w:rFonts w:hint="eastAsia" w:ascii="仿宋_GB2312" w:hAnsi="宋体" w:cs="宋体"/>
          <w:bCs/>
          <w:color w:val="auto"/>
          <w:kern w:val="0"/>
          <w:szCs w:val="24"/>
          <w:highlight w:val="none"/>
          <w:u w:val="none"/>
        </w:rPr>
        <w:t>金额、销售渠道、客户类型</w:t>
      </w:r>
      <w:r>
        <w:rPr>
          <w:rFonts w:hint="eastAsia" w:ascii="宋体" w:hAnsi="宋体" w:cs="宋体"/>
          <w:color w:val="auto"/>
          <w:kern w:val="0"/>
          <w:szCs w:val="24"/>
          <w:highlight w:val="none"/>
          <w:u w:val="none"/>
        </w:rPr>
        <w:t>等因素设置不同产品份额</w:t>
      </w:r>
      <w:r>
        <w:rPr>
          <w:rFonts w:hint="eastAsia" w:ascii="仿宋_GB2312" w:hAnsi="宋体" w:cs="宋体"/>
          <w:bCs/>
          <w:color w:val="auto"/>
          <w:kern w:val="0"/>
          <w:szCs w:val="24"/>
          <w:highlight w:val="none"/>
          <w:u w:val="none"/>
        </w:rPr>
        <w:t>类别</w:t>
      </w:r>
      <w:r>
        <w:rPr>
          <w:rFonts w:hint="eastAsia" w:ascii="宋体" w:hAnsi="宋体" w:cs="宋体"/>
          <w:color w:val="auto"/>
          <w:kern w:val="0"/>
          <w:szCs w:val="24"/>
          <w:highlight w:val="none"/>
          <w:u w:val="none"/>
        </w:rPr>
        <w:t>，各类产品份额</w:t>
      </w:r>
      <w:r>
        <w:rPr>
          <w:rFonts w:hint="eastAsia" w:ascii="仿宋_GB2312" w:hAnsi="宋体" w:cs="宋体"/>
          <w:bCs/>
          <w:color w:val="auto"/>
          <w:kern w:val="0"/>
          <w:szCs w:val="24"/>
          <w:highlight w:val="none"/>
          <w:u w:val="none"/>
        </w:rPr>
        <w:t>可能分别设置不同的</w:t>
      </w:r>
      <w:r>
        <w:rPr>
          <w:rFonts w:ascii="仿宋_GB2312" w:hAnsi="宋体" w:cs="宋体"/>
          <w:bCs/>
          <w:color w:val="auto"/>
          <w:kern w:val="0"/>
          <w:szCs w:val="24"/>
          <w:highlight w:val="none"/>
          <w:u w:val="none"/>
        </w:rPr>
        <w:t>销售服务</w:t>
      </w:r>
      <w:r>
        <w:rPr>
          <w:rFonts w:ascii="宋体" w:hAnsi="宋体" w:cs="宋体"/>
          <w:color w:val="auto"/>
          <w:kern w:val="0"/>
          <w:szCs w:val="24"/>
          <w:highlight w:val="none"/>
          <w:u w:val="none"/>
        </w:rPr>
        <w:t>费率，</w:t>
      </w:r>
      <w:r>
        <w:rPr>
          <w:rFonts w:ascii="仿宋_GB2312" w:hAnsi="宋体" w:cs="宋体"/>
          <w:bCs/>
          <w:color w:val="auto"/>
          <w:kern w:val="0"/>
          <w:szCs w:val="24"/>
          <w:highlight w:val="none"/>
          <w:u w:val="none"/>
        </w:rPr>
        <w:t>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ascii="仿宋_GB2312" w:hAnsi="宋体" w:cs="宋体"/>
          <w:bCs/>
          <w:color w:val="auto"/>
          <w:kern w:val="0"/>
          <w:szCs w:val="24"/>
          <w:highlight w:val="none"/>
          <w:u w:val="none"/>
        </w:rPr>
        <w:t>”为准。</w:t>
      </w:r>
    </w:p>
    <w:p w14:paraId="6EF383F5">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2.理财产品费用计提方法、计提标准和支付方式</w:t>
      </w:r>
    </w:p>
    <w:p w14:paraId="67C59AB9">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（1）理财产品的认购费、申购费、赎回费</w:t>
      </w:r>
    </w:p>
    <w:p w14:paraId="48368FA9">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1）认购费：费率具体数值以《产品说明书》“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ascii="仿宋_GB2312" w:hAnsi="宋体" w:cs="宋体"/>
          <w:bCs/>
          <w:color w:val="auto"/>
          <w:kern w:val="0"/>
          <w:szCs w:val="24"/>
          <w:highlight w:val="none"/>
          <w:u w:val="none"/>
        </w:rPr>
        <w:t>”为准。</w:t>
      </w:r>
    </w:p>
    <w:p w14:paraId="43EC9E98">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2）申购费：费率具体数值以《产品说明书》“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ascii="仿宋_GB2312" w:hAnsi="宋体" w:cs="宋体"/>
          <w:bCs/>
          <w:color w:val="auto"/>
          <w:kern w:val="0"/>
          <w:szCs w:val="24"/>
          <w:highlight w:val="none"/>
          <w:u w:val="none"/>
        </w:rPr>
        <w:t>”为准。</w:t>
      </w:r>
    </w:p>
    <w:p w14:paraId="0A1273D9">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3）赎回费：费率具体数值以《产品说明书》“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”为准。</w:t>
      </w:r>
    </w:p>
    <w:p w14:paraId="67C53428">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（2）理财产品的销售服务费</w:t>
      </w:r>
    </w:p>
    <w:p w14:paraId="0769CE6E">
      <w:pPr>
        <w:tabs>
          <w:tab w:val="left" w:pos="3119"/>
        </w:tabs>
        <w:autoSpaceDE w:val="0"/>
        <w:autoSpaceDN w:val="0"/>
        <w:snapToGrid w:val="0"/>
        <w:spacing w:line="360" w:lineRule="auto"/>
        <w:ind w:firstLine="420" w:firstLineChars="200"/>
        <w:rPr>
          <w:rFonts w:ascii="仿宋_GB2312" w:hAnsi="宋体" w:cs="宋体"/>
          <w:bCs/>
          <w:color w:val="auto"/>
          <w:spacing w:val="-4"/>
          <w:kern w:val="0"/>
          <w:szCs w:val="24"/>
          <w:highlight w:val="yellow"/>
          <w:u w:val="none"/>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本产品的销售服务费按</w:t>
      </w:r>
      <w:r>
        <w:rPr>
          <w:rFonts w:hint="eastAsia" w:ascii="仿宋_GB2312" w:hAnsi="宋体" w:cs="宋体"/>
          <w:bCs/>
          <w:color w:val="auto"/>
          <w:kern w:val="0"/>
          <w:szCs w:val="24"/>
          <w:highlight w:val="yellow"/>
          <w:u w:val="none"/>
          <w:lang w:eastAsia="zh-CN"/>
        </w:rPr>
        <w:t>当日日终份额</w:t>
      </w:r>
      <w:r>
        <w:rPr>
          <w:rFonts w:hint="eastAsia" w:ascii="仿宋_GB2312" w:hAnsi="宋体" w:cs="宋体"/>
          <w:bCs/>
          <w:color w:val="auto"/>
          <w:kern w:val="0"/>
          <w:szCs w:val="24"/>
          <w:highlight w:val="yellow"/>
          <w:u w:val="none"/>
        </w:rPr>
        <w:t>与销售服务费费率每日计提。</w:t>
      </w:r>
      <w:r>
        <w:rPr>
          <w:rFonts w:hint="eastAsia" w:ascii="仿宋_GB2312" w:hAnsi="宋体" w:cs="宋体"/>
          <w:bCs/>
          <w:color w:val="auto"/>
          <w:spacing w:val="-4"/>
          <w:kern w:val="0"/>
          <w:szCs w:val="24"/>
          <w:highlight w:val="yellow"/>
          <w:u w:val="none"/>
        </w:rPr>
        <w:t>管理人可按季或产品开放周期（如有）收取，或与后续季度、开放周期（如有）合并收取</w:t>
      </w:r>
      <w:r>
        <w:rPr>
          <w:rFonts w:hint="eastAsia" w:ascii="仿宋_GB2312" w:hAnsi="宋体" w:cs="宋体"/>
          <w:bCs/>
          <w:color w:val="auto"/>
          <w:kern w:val="0"/>
          <w:szCs w:val="24"/>
          <w:highlight w:val="yellow"/>
          <w:u w:val="none"/>
        </w:rPr>
        <w:t>。销售服务费</w:t>
      </w:r>
      <w:r>
        <w:rPr>
          <w:rFonts w:hint="eastAsia" w:ascii="仿宋_GB2312" w:hAnsi="宋体" w:cs="宋体"/>
          <w:bCs/>
          <w:color w:val="auto"/>
          <w:spacing w:val="-4"/>
          <w:kern w:val="0"/>
          <w:szCs w:val="24"/>
          <w:highlight w:val="yellow"/>
          <w:u w:val="none"/>
        </w:rPr>
        <w:t>精确到小数点后2位，小数点2位以后四舍五入。</w:t>
      </w:r>
    </w:p>
    <w:p w14:paraId="00F3FF7E">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销售服务费的计算方法如下：</w:t>
      </w:r>
    </w:p>
    <w:p w14:paraId="37942BAD">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H＝E×销售服务费年费率÷365</w:t>
      </w:r>
    </w:p>
    <w:p w14:paraId="39714D8B">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H为每日应计提的销售服务费</w:t>
      </w:r>
    </w:p>
    <w:p w14:paraId="2F5F995D">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E为</w:t>
      </w:r>
      <w:r>
        <w:rPr>
          <w:rFonts w:hint="eastAsia" w:ascii="仿宋_GB2312" w:hAnsi="宋体" w:cs="宋体"/>
          <w:bCs/>
          <w:color w:val="auto"/>
          <w:kern w:val="0"/>
          <w:szCs w:val="24"/>
          <w:highlight w:val="yellow"/>
          <w:u w:val="none"/>
          <w:lang w:eastAsia="zh-CN"/>
        </w:rPr>
        <w:t>当日日终份额】</w:t>
      </w:r>
    </w:p>
    <w:p w14:paraId="7EC59C7D">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销售服务费依照上述约定，从理财财产中支付。费率具体数值以《产品说明书》“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”为准。</w:t>
      </w:r>
    </w:p>
    <w:p w14:paraId="438A66B1">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none"/>
          <w:u w:val="none"/>
          <w:lang w:eastAsia="zh-CN"/>
        </w:rPr>
      </w:pPr>
      <w:r>
        <w:rPr>
          <w:rFonts w:hint="eastAsia" w:ascii="仿宋_GB2312" w:hAnsi="宋体" w:cs="宋体"/>
          <w:bCs/>
          <w:color w:val="auto"/>
          <w:kern w:val="0"/>
          <w:szCs w:val="24"/>
          <w:highlight w:val="none"/>
          <w:u w:val="none"/>
        </w:rPr>
        <w:t>（3）理财产品的</w:t>
      </w:r>
      <w:r>
        <w:rPr>
          <w:rFonts w:hint="eastAsia" w:ascii="仿宋_GB2312" w:hAnsi="宋体" w:cs="宋体"/>
          <w:bCs/>
          <w:color w:val="auto"/>
          <w:kern w:val="0"/>
          <w:szCs w:val="24"/>
          <w:highlight w:val="none"/>
          <w:u w:val="none"/>
          <w:lang w:eastAsia="zh-CN"/>
        </w:rPr>
        <w:t>固定管理费</w:t>
      </w:r>
    </w:p>
    <w:p w14:paraId="2B5F9D43">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本产品的</w:t>
      </w:r>
      <w:r>
        <w:rPr>
          <w:rFonts w:hint="eastAsia" w:ascii="仿宋_GB2312" w:hAnsi="宋体" w:cs="宋体"/>
          <w:bCs/>
          <w:color w:val="auto"/>
          <w:kern w:val="0"/>
          <w:szCs w:val="24"/>
          <w:highlight w:val="yellow"/>
          <w:u w:val="none"/>
          <w:lang w:eastAsia="zh-CN"/>
        </w:rPr>
        <w:t>固定管理费</w:t>
      </w:r>
      <w:r>
        <w:rPr>
          <w:rFonts w:hint="eastAsia" w:ascii="仿宋_GB2312" w:hAnsi="宋体" w:cs="宋体"/>
          <w:bCs/>
          <w:color w:val="auto"/>
          <w:kern w:val="0"/>
          <w:szCs w:val="24"/>
          <w:highlight w:val="yellow"/>
          <w:u w:val="none"/>
        </w:rPr>
        <w:t>按</w:t>
      </w:r>
      <w:r>
        <w:rPr>
          <w:rFonts w:hint="eastAsia" w:ascii="仿宋_GB2312" w:hAnsi="宋体" w:cs="宋体"/>
          <w:bCs/>
          <w:color w:val="auto"/>
          <w:kern w:val="0"/>
          <w:szCs w:val="24"/>
          <w:highlight w:val="yellow"/>
          <w:u w:val="none"/>
          <w:lang w:eastAsia="zh-CN"/>
        </w:rPr>
        <w:t>当日日终份额</w:t>
      </w:r>
      <w:r>
        <w:rPr>
          <w:rFonts w:hint="eastAsia" w:ascii="仿宋_GB2312" w:hAnsi="宋体" w:cs="宋体"/>
          <w:bCs/>
          <w:color w:val="auto"/>
          <w:kern w:val="0"/>
          <w:szCs w:val="24"/>
          <w:highlight w:val="yellow"/>
          <w:u w:val="none"/>
        </w:rPr>
        <w:t>与</w:t>
      </w:r>
      <w:r>
        <w:rPr>
          <w:rFonts w:hint="eastAsia" w:ascii="仿宋_GB2312" w:hAnsi="宋体" w:cs="宋体"/>
          <w:bCs/>
          <w:color w:val="auto"/>
          <w:kern w:val="0"/>
          <w:szCs w:val="24"/>
          <w:highlight w:val="yellow"/>
          <w:u w:val="none"/>
          <w:lang w:eastAsia="zh-CN"/>
        </w:rPr>
        <w:t>固定管理费</w:t>
      </w:r>
      <w:r>
        <w:rPr>
          <w:rFonts w:hint="eastAsia" w:ascii="仿宋_GB2312" w:hAnsi="宋体" w:cs="宋体"/>
          <w:bCs/>
          <w:color w:val="auto"/>
          <w:kern w:val="0"/>
          <w:szCs w:val="24"/>
          <w:highlight w:val="yellow"/>
          <w:u w:val="none"/>
        </w:rPr>
        <w:t>费率每日计提，</w:t>
      </w:r>
      <w:r>
        <w:rPr>
          <w:rFonts w:hint="eastAsia" w:ascii="仿宋_GB2312" w:hAnsi="宋体" w:cs="宋体"/>
          <w:bCs/>
          <w:color w:val="auto"/>
          <w:spacing w:val="-4"/>
          <w:kern w:val="0"/>
          <w:szCs w:val="24"/>
          <w:highlight w:val="yellow"/>
          <w:u w:val="none"/>
        </w:rPr>
        <w:t>管理人可按季或产品开放周期（如有）收取，或与后续季度、开放周期（如有）合并收取。</w:t>
      </w:r>
      <w:r>
        <w:rPr>
          <w:rFonts w:hint="eastAsia" w:ascii="仿宋_GB2312" w:hAnsi="宋体" w:cs="宋体"/>
          <w:bCs/>
          <w:color w:val="auto"/>
          <w:kern w:val="0"/>
          <w:szCs w:val="24"/>
          <w:highlight w:val="yellow"/>
          <w:u w:val="none"/>
          <w:lang w:eastAsia="zh-CN"/>
        </w:rPr>
        <w:t>固定管理费</w:t>
      </w:r>
      <w:r>
        <w:rPr>
          <w:rFonts w:hint="eastAsia" w:ascii="仿宋_GB2312" w:hAnsi="宋体" w:cs="宋体"/>
          <w:bCs/>
          <w:color w:val="auto"/>
          <w:spacing w:val="-4"/>
          <w:kern w:val="0"/>
          <w:szCs w:val="24"/>
          <w:highlight w:val="yellow"/>
          <w:u w:val="none"/>
        </w:rPr>
        <w:t>精确到小数点后2位，小数点2位以后四舍五入</w:t>
      </w:r>
      <w:r>
        <w:rPr>
          <w:rFonts w:hint="eastAsia" w:ascii="仿宋_GB2312" w:hAnsi="宋体" w:cs="宋体"/>
          <w:bCs/>
          <w:color w:val="auto"/>
          <w:kern w:val="0"/>
          <w:szCs w:val="24"/>
          <w:highlight w:val="yellow"/>
          <w:u w:val="none"/>
        </w:rPr>
        <w:t>。</w:t>
      </w:r>
    </w:p>
    <w:p w14:paraId="09F9DB94">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lang w:eastAsia="zh-CN"/>
        </w:rPr>
        <w:t>固定管理费</w:t>
      </w:r>
      <w:r>
        <w:rPr>
          <w:rFonts w:hint="eastAsia" w:ascii="仿宋_GB2312" w:hAnsi="宋体" w:cs="宋体"/>
          <w:bCs/>
          <w:color w:val="auto"/>
          <w:kern w:val="0"/>
          <w:szCs w:val="24"/>
          <w:highlight w:val="yellow"/>
          <w:u w:val="none"/>
        </w:rPr>
        <w:t>的计算方法如下：</w:t>
      </w:r>
    </w:p>
    <w:p w14:paraId="50DF17A4">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H＝E×</w:t>
      </w:r>
      <w:r>
        <w:rPr>
          <w:rFonts w:hint="eastAsia" w:ascii="仿宋_GB2312" w:hAnsi="宋体" w:cs="宋体"/>
          <w:bCs/>
          <w:color w:val="auto"/>
          <w:kern w:val="0"/>
          <w:szCs w:val="24"/>
          <w:highlight w:val="yellow"/>
          <w:u w:val="none"/>
          <w:lang w:eastAsia="zh-CN"/>
        </w:rPr>
        <w:t>固定管理费</w:t>
      </w:r>
      <w:r>
        <w:rPr>
          <w:rFonts w:hint="eastAsia" w:ascii="仿宋_GB2312" w:hAnsi="宋体" w:cs="宋体"/>
          <w:bCs/>
          <w:color w:val="auto"/>
          <w:kern w:val="0"/>
          <w:szCs w:val="24"/>
          <w:highlight w:val="yellow"/>
          <w:u w:val="none"/>
        </w:rPr>
        <w:t>年费率÷365</w:t>
      </w:r>
    </w:p>
    <w:p w14:paraId="58048B64">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rPr>
        <w:t>H为每日应计提的产品</w:t>
      </w:r>
      <w:r>
        <w:rPr>
          <w:rFonts w:hint="eastAsia" w:ascii="仿宋_GB2312" w:hAnsi="宋体" w:cs="宋体"/>
          <w:bCs/>
          <w:color w:val="auto"/>
          <w:kern w:val="0"/>
          <w:szCs w:val="24"/>
          <w:highlight w:val="yellow"/>
          <w:u w:val="none"/>
          <w:lang w:eastAsia="zh-CN"/>
        </w:rPr>
        <w:t>固定管理费</w:t>
      </w:r>
    </w:p>
    <w:p w14:paraId="2D4CF925">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E为</w:t>
      </w:r>
      <w:r>
        <w:rPr>
          <w:rFonts w:hint="eastAsia" w:ascii="仿宋_GB2312" w:hAnsi="宋体" w:cs="宋体"/>
          <w:bCs/>
          <w:color w:val="auto"/>
          <w:kern w:val="0"/>
          <w:szCs w:val="24"/>
          <w:highlight w:val="yellow"/>
          <w:u w:val="none"/>
          <w:lang w:eastAsia="zh-CN"/>
        </w:rPr>
        <w:t>当日日终份额】</w:t>
      </w:r>
    </w:p>
    <w:p w14:paraId="5335C8D2">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eastAsia="zh-CN"/>
        </w:rPr>
        <w:t>固定管理费</w:t>
      </w:r>
      <w:r>
        <w:rPr>
          <w:rFonts w:hint="eastAsia" w:ascii="仿宋_GB2312" w:hAnsi="宋体" w:cs="宋体"/>
          <w:bCs/>
          <w:color w:val="auto"/>
          <w:kern w:val="0"/>
          <w:szCs w:val="24"/>
          <w:highlight w:val="none"/>
          <w:u w:val="none"/>
        </w:rPr>
        <w:t>依照上述约定，从理财财产中支付。费率具体数值以《产品说明书》“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”为准。</w:t>
      </w:r>
    </w:p>
    <w:p w14:paraId="73F9B886">
      <w:pPr>
        <w:pStyle w:val="13"/>
        <w:widowControl/>
        <w:numPr>
          <w:ilvl w:val="255"/>
          <w:numId w:val="0"/>
        </w:numPr>
        <w:snapToGrid w:val="0"/>
        <w:spacing w:line="360" w:lineRule="auto"/>
        <w:ind w:firstLine="420" w:firstLineChars="200"/>
        <w:rPr>
          <w:rFonts w:hint="eastAsia" w:eastAsia="仿宋_GB2312"/>
          <w:color w:val="auto"/>
          <w:highlight w:val="none"/>
          <w:u w:val="none"/>
          <w:lang w:eastAsia="zh-CN"/>
        </w:rPr>
      </w:pPr>
      <w:r>
        <w:rPr>
          <w:rFonts w:hint="eastAsia" w:ascii="仿宋_GB2312" w:hAnsi="宋体" w:cs="宋体"/>
          <w:bCs/>
          <w:color w:val="auto"/>
          <w:kern w:val="0"/>
          <w:szCs w:val="24"/>
          <w:highlight w:val="none"/>
          <w:u w:val="none"/>
        </w:rPr>
        <w:t>（4）</w:t>
      </w:r>
      <w:r>
        <w:rPr>
          <w:rFonts w:hint="eastAsia" w:ascii="仿宋_GB2312" w:hAnsi="宋体" w:cs="宋体"/>
          <w:bCs/>
          <w:color w:val="auto"/>
          <w:kern w:val="0"/>
          <w:szCs w:val="24"/>
          <w:highlight w:val="none"/>
          <w:u w:val="none"/>
          <w:lang w:eastAsia="zh-CN"/>
        </w:rPr>
        <w:t>浮动管理费</w:t>
      </w:r>
    </w:p>
    <w:p w14:paraId="7F1D889C">
      <w:pPr>
        <w:pStyle w:val="13"/>
        <w:widowControl/>
        <w:snapToGrid w:val="0"/>
        <w:spacing w:line="360" w:lineRule="auto"/>
        <w:ind w:left="420" w:firstLine="0" w:firstLineChars="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rPr>
        <w:t>【</w:t>
      </w: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本产品</w:t>
      </w:r>
      <w:r>
        <w:rPr>
          <w:rFonts w:ascii="仿宋_GB2312" w:hAnsi="宋体" w:cs="宋体"/>
          <w:bCs/>
          <w:color w:val="auto"/>
          <w:kern w:val="0"/>
          <w:szCs w:val="24"/>
          <w:highlight w:val="yellow"/>
          <w:u w:val="none"/>
        </w:rPr>
        <w:t>无</w:t>
      </w:r>
      <w:r>
        <w:rPr>
          <w:rFonts w:hint="eastAsia" w:ascii="仿宋_GB2312" w:hAnsi="宋体" w:cs="宋体"/>
          <w:bCs/>
          <w:color w:val="auto"/>
          <w:kern w:val="0"/>
          <w:szCs w:val="24"/>
          <w:highlight w:val="yellow"/>
          <w:u w:val="none"/>
          <w:lang w:eastAsia="zh-CN"/>
        </w:rPr>
        <w:t>浮动管理费</w:t>
      </w:r>
      <w:r>
        <w:rPr>
          <w:rFonts w:ascii="仿宋_GB2312" w:hAnsi="宋体" w:cs="宋体"/>
          <w:bCs/>
          <w:color w:val="auto"/>
          <w:kern w:val="0"/>
          <w:szCs w:val="24"/>
          <w:highlight w:val="yellow"/>
          <w:u w:val="none"/>
        </w:rPr>
        <w:t>。</w:t>
      </w:r>
      <w:r>
        <w:rPr>
          <w:rFonts w:hint="eastAsia" w:ascii="仿宋_GB2312" w:hAnsi="宋体" w:cs="宋体"/>
          <w:bCs/>
          <w:color w:val="auto"/>
          <w:kern w:val="0"/>
          <w:szCs w:val="24"/>
          <w:highlight w:val="yellow"/>
          <w:u w:val="none"/>
          <w:lang w:eastAsia="zh-CN"/>
        </w:rPr>
        <w:t>】</w:t>
      </w:r>
    </w:p>
    <w:p w14:paraId="34BFBD48">
      <w:pPr>
        <w:widowControl/>
        <w:tabs>
          <w:tab w:val="left" w:pos="709"/>
        </w:tabs>
        <w:snapToGrid w:val="0"/>
        <w:spacing w:line="360" w:lineRule="auto"/>
        <w:ind w:firstLine="420" w:firstLineChars="200"/>
        <w:rPr>
          <w:color w:val="auto"/>
          <w:highlight w:val="yellow"/>
          <w:u w:val="none"/>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□理财产品管理人收取理财产品</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每日计提，在产品到期日收取（如有）。在理财产品到期日时</w:t>
      </w:r>
      <w:r>
        <w:rPr>
          <w:rFonts w:hint="eastAsia"/>
          <w:color w:val="auto"/>
          <w:highlight w:val="yellow"/>
          <w:u w:val="none"/>
        </w:rPr>
        <w:t>，若理财资产扣除销售服务费、</w:t>
      </w:r>
      <w:r>
        <w:rPr>
          <w:rFonts w:hint="eastAsia"/>
          <w:color w:val="auto"/>
          <w:highlight w:val="yellow"/>
          <w:u w:val="none"/>
          <w:lang w:eastAsia="zh-CN"/>
        </w:rPr>
        <w:t>托管费</w:t>
      </w:r>
      <w:r>
        <w:rPr>
          <w:rFonts w:hint="eastAsia"/>
          <w:color w:val="auto"/>
          <w:highlight w:val="yellow"/>
          <w:u w:val="none"/>
        </w:rPr>
        <w:t>和</w:t>
      </w:r>
      <w:r>
        <w:rPr>
          <w:rFonts w:hint="eastAsia"/>
          <w:color w:val="auto"/>
          <w:highlight w:val="yellow"/>
          <w:u w:val="none"/>
          <w:lang w:eastAsia="zh-CN"/>
        </w:rPr>
        <w:t>固定管理费</w:t>
      </w:r>
      <w:r>
        <w:rPr>
          <w:rFonts w:hint="eastAsia"/>
          <w:color w:val="auto"/>
          <w:highlight w:val="yellow"/>
          <w:u w:val="none"/>
        </w:rPr>
        <w:t>等相关费用和税收后，产品年化收益率超过</w:t>
      </w:r>
      <w:r>
        <w:rPr>
          <w:rFonts w:hint="eastAsia"/>
          <w:color w:val="auto"/>
          <w:highlight w:val="yellow"/>
          <w:u w:val="none"/>
          <w:lang w:eastAsia="zh-CN"/>
        </w:rPr>
        <w:t>浮动管理费</w:t>
      </w:r>
      <w:r>
        <w:rPr>
          <w:rFonts w:hint="eastAsia"/>
          <w:color w:val="auto"/>
          <w:highlight w:val="yellow"/>
          <w:u w:val="none"/>
        </w:rPr>
        <w:t>计提基准，则产品管理人收取超出部分的一定比例作为</w:t>
      </w:r>
      <w:r>
        <w:rPr>
          <w:rFonts w:hint="eastAsia"/>
          <w:color w:val="auto"/>
          <w:highlight w:val="yellow"/>
          <w:u w:val="none"/>
          <w:lang w:eastAsia="zh-CN"/>
        </w:rPr>
        <w:t>浮动管理费</w:t>
      </w:r>
      <w:r>
        <w:rPr>
          <w:rFonts w:hint="eastAsia"/>
          <w:color w:val="auto"/>
          <w:highlight w:val="yellow"/>
          <w:u w:val="none"/>
        </w:rPr>
        <w:t>。</w:t>
      </w:r>
    </w:p>
    <w:p w14:paraId="0CE3AE48">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计提基准的设置、</w:t>
      </w:r>
      <w:r>
        <w:rPr>
          <w:rFonts w:hint="eastAsia"/>
          <w:color w:val="auto"/>
          <w:highlight w:val="yellow"/>
          <w:u w:val="none"/>
          <w:lang w:eastAsia="zh-CN"/>
        </w:rPr>
        <w:t>浮动管理费</w:t>
      </w:r>
      <w:r>
        <w:rPr>
          <w:rFonts w:hint="eastAsia" w:ascii="仿宋_GB2312" w:hAnsi="宋体" w:cs="宋体"/>
          <w:bCs/>
          <w:color w:val="auto"/>
          <w:kern w:val="0"/>
          <w:szCs w:val="24"/>
          <w:highlight w:val="yellow"/>
          <w:u w:val="none"/>
        </w:rPr>
        <w:t>的具体比例数值以《产品说明书》“</w:t>
      </w:r>
      <w:r>
        <w:rPr>
          <w:rFonts w:hint="eastAsia" w:ascii="仿宋_GB2312" w:hAnsi="宋体" w:cs="宋体"/>
          <w:bCs/>
          <w:color w:val="auto"/>
          <w:kern w:val="0"/>
          <w:szCs w:val="24"/>
          <w:highlight w:val="yellow"/>
          <w:u w:val="none"/>
          <w:lang w:eastAsia="zh-CN"/>
        </w:rPr>
        <w:t>第一节 理财产品说明书关键要素</w:t>
      </w:r>
      <w:r>
        <w:rPr>
          <w:rFonts w:hint="eastAsia" w:ascii="仿宋_GB2312" w:hAnsi="宋体" w:cs="宋体"/>
          <w:bCs/>
          <w:color w:val="auto"/>
          <w:kern w:val="0"/>
          <w:szCs w:val="24"/>
          <w:highlight w:val="yellow"/>
          <w:u w:val="none"/>
        </w:rPr>
        <w:t>”为准。</w:t>
      </w:r>
    </w:p>
    <w:p w14:paraId="01EF0643">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color w:val="auto"/>
          <w:highlight w:val="yellow"/>
          <w:u w:val="none"/>
          <w:lang w:eastAsia="zh-CN"/>
        </w:rPr>
        <w:t>浮动管理费</w:t>
      </w:r>
      <w:r>
        <w:rPr>
          <w:rFonts w:hint="eastAsia" w:ascii="仿宋_GB2312" w:hAnsi="宋体" w:cs="宋体"/>
          <w:bCs/>
          <w:color w:val="auto"/>
          <w:kern w:val="0"/>
          <w:szCs w:val="24"/>
          <w:highlight w:val="yellow"/>
          <w:u w:val="none"/>
        </w:rPr>
        <w:t xml:space="preserve">的计提/收取如下： </w:t>
      </w:r>
    </w:p>
    <w:p w14:paraId="7C5944D5">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产品年化收益率</w:t>
      </w:r>
      <w:r>
        <w:rPr>
          <w:rFonts w:ascii="仿宋_GB2312" w:hAnsi="宋体" w:cs="宋体"/>
          <w:bCs/>
          <w:color w:val="auto"/>
          <w:kern w:val="0"/>
          <w:szCs w:val="24"/>
          <w:highlight w:val="yellow"/>
          <w:u w:val="none"/>
        </w:rPr>
        <w:t>R</w:t>
      </w:r>
      <w:r>
        <w:rPr>
          <w:rFonts w:hint="eastAsia" w:ascii="仿宋_GB2312" w:hAnsi="宋体" w:cs="宋体"/>
          <w:bCs/>
          <w:color w:val="auto"/>
          <w:kern w:val="0"/>
          <w:szCs w:val="24"/>
          <w:highlight w:val="yellow"/>
          <w:u w:val="none"/>
        </w:rPr>
        <w:t>的计算公式，R=（</w:t>
      </w:r>
      <w:r>
        <w:rPr>
          <w:rFonts w:ascii="仿宋_GB2312" w:hAnsi="宋体" w:cs="宋体"/>
          <w:bCs/>
          <w:color w:val="auto"/>
          <w:kern w:val="0"/>
          <w:szCs w:val="24"/>
          <w:highlight w:val="yellow"/>
          <w:u w:val="none"/>
        </w:rPr>
        <w:t>V</w:t>
      </w:r>
      <w:r>
        <w:rPr>
          <w:rFonts w:hint="eastAsia" w:ascii="仿宋_GB2312" w:hAnsi="宋体" w:cs="宋体"/>
          <w:bCs/>
          <w:color w:val="auto"/>
          <w:kern w:val="0"/>
          <w:sz w:val="13"/>
          <w:szCs w:val="24"/>
          <w:highlight w:val="yellow"/>
          <w:u w:val="none"/>
        </w:rPr>
        <w:t>计提/到期日产品份额累计净值</w:t>
      </w:r>
      <w:r>
        <w:rPr>
          <w:rFonts w:hint="eastAsia" w:ascii="仿宋_GB2312" w:hAnsi="宋体" w:cs="宋体"/>
          <w:bCs/>
          <w:color w:val="auto"/>
          <w:kern w:val="0"/>
          <w:szCs w:val="24"/>
          <w:highlight w:val="yellow"/>
          <w:u w:val="none"/>
        </w:rPr>
        <w:t>-V</w:t>
      </w:r>
      <w:r>
        <w:rPr>
          <w:rFonts w:hint="eastAsia" w:ascii="仿宋_GB2312" w:hAnsi="宋体" w:cs="宋体"/>
          <w:bCs/>
          <w:color w:val="auto"/>
          <w:kern w:val="0"/>
          <w:sz w:val="13"/>
          <w:szCs w:val="24"/>
          <w:highlight w:val="yellow"/>
          <w:u w:val="none"/>
        </w:rPr>
        <w:t>期初份额净值</w:t>
      </w:r>
      <w:r>
        <w:rPr>
          <w:rFonts w:hint="eastAsia" w:ascii="仿宋_GB2312" w:hAnsi="宋体" w:cs="宋体"/>
          <w:bCs/>
          <w:color w:val="auto"/>
          <w:kern w:val="0"/>
          <w:szCs w:val="24"/>
          <w:highlight w:val="yellow"/>
          <w:u w:val="none"/>
        </w:rPr>
        <w:t>）/V</w:t>
      </w:r>
      <w:r>
        <w:rPr>
          <w:rFonts w:hint="eastAsia" w:ascii="仿宋_GB2312" w:hAnsi="宋体" w:cs="宋体"/>
          <w:bCs/>
          <w:color w:val="auto"/>
          <w:kern w:val="0"/>
          <w:sz w:val="13"/>
          <w:szCs w:val="24"/>
          <w:highlight w:val="yellow"/>
          <w:u w:val="none"/>
        </w:rPr>
        <w:t>期初份额净值</w:t>
      </w:r>
      <w:r>
        <w:rPr>
          <w:rFonts w:hint="eastAsia" w:ascii="仿宋_GB2312" w:hAnsi="宋体" w:cs="宋体"/>
          <w:bCs/>
          <w:color w:val="auto"/>
          <w:kern w:val="0"/>
          <w:szCs w:val="24"/>
          <w:highlight w:val="yellow"/>
          <w:u w:val="none"/>
        </w:rPr>
        <w:t>/（</w:t>
      </w:r>
      <w:r>
        <w:rPr>
          <w:rFonts w:ascii="仿宋_GB2312" w:hAnsi="宋体" w:cs="宋体"/>
          <w:bCs/>
          <w:color w:val="auto"/>
          <w:kern w:val="0"/>
          <w:szCs w:val="24"/>
          <w:highlight w:val="yellow"/>
          <w:u w:val="none"/>
        </w:rPr>
        <w:t>D+1</w:t>
      </w:r>
      <w:r>
        <w:rPr>
          <w:rFonts w:hint="eastAsia" w:ascii="仿宋_GB2312" w:hAnsi="宋体" w:cs="宋体"/>
          <w:bCs/>
          <w:color w:val="auto"/>
          <w:kern w:val="0"/>
          <w:szCs w:val="24"/>
          <w:highlight w:val="yellow"/>
          <w:u w:val="none"/>
        </w:rPr>
        <w:t>）</w:t>
      </w:r>
      <w:r>
        <w:rPr>
          <w:rFonts w:ascii="仿宋_GB2312" w:hAnsi="宋体" w:cs="宋体"/>
          <w:bCs/>
          <w:color w:val="auto"/>
          <w:kern w:val="0"/>
          <w:szCs w:val="24"/>
          <w:highlight w:val="yellow"/>
          <w:u w:val="none"/>
        </w:rPr>
        <w:t>*365*100</w:t>
      </w:r>
      <w:r>
        <w:rPr>
          <w:rFonts w:hint="eastAsia" w:ascii="仿宋_GB2312" w:hAnsi="宋体" w:cs="宋体"/>
          <w:bCs/>
          <w:color w:val="auto"/>
          <w:kern w:val="0"/>
          <w:szCs w:val="24"/>
          <w:highlight w:val="yellow"/>
          <w:u w:val="none"/>
        </w:rPr>
        <w:t>%</w:t>
      </w:r>
    </w:p>
    <w:p w14:paraId="344F1038">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产品管理人对产品年化收益率</w:t>
      </w:r>
      <w:r>
        <w:rPr>
          <w:rFonts w:ascii="仿宋_GB2312" w:hAnsi="宋体" w:cs="宋体"/>
          <w:bCs/>
          <w:color w:val="auto"/>
          <w:kern w:val="0"/>
          <w:szCs w:val="24"/>
          <w:highlight w:val="yellow"/>
          <w:u w:val="none"/>
        </w:rPr>
        <w:t>超过</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计提基准的部分，按</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分成比例</w:t>
      </w:r>
      <w:r>
        <w:rPr>
          <w:rFonts w:ascii="仿宋_GB2312" w:hAnsi="宋体" w:cs="宋体"/>
          <w:bCs/>
          <w:color w:val="auto"/>
          <w:kern w:val="0"/>
          <w:szCs w:val="24"/>
          <w:highlight w:val="yellow"/>
          <w:u w:val="none"/>
        </w:rPr>
        <w:t>以及产品份额持有天数</w:t>
      </w:r>
      <w:r>
        <w:rPr>
          <w:rFonts w:hint="eastAsia" w:ascii="仿宋_GB2312" w:hAnsi="宋体" w:cs="宋体"/>
          <w:bCs/>
          <w:color w:val="auto"/>
          <w:kern w:val="0"/>
          <w:szCs w:val="24"/>
          <w:highlight w:val="yellow"/>
          <w:u w:val="none"/>
        </w:rPr>
        <w:t>计提/收取</w:t>
      </w:r>
      <w:r>
        <w:rPr>
          <w:rFonts w:hint="eastAsia"/>
          <w:color w:val="auto"/>
          <w:highlight w:val="yellow"/>
          <w:u w:val="none"/>
          <w:lang w:eastAsia="zh-CN"/>
        </w:rPr>
        <w:t>浮动管理费</w:t>
      </w:r>
      <w:r>
        <w:rPr>
          <w:rFonts w:hint="eastAsia" w:ascii="仿宋_GB2312" w:hAnsi="宋体" w:cs="宋体"/>
          <w:bCs/>
          <w:color w:val="auto"/>
          <w:kern w:val="0"/>
          <w:szCs w:val="24"/>
          <w:highlight w:val="yellow"/>
          <w:u w:val="none"/>
        </w:rPr>
        <w:t>，计算方法如下：</w:t>
      </w:r>
    </w:p>
    <w:p w14:paraId="2922786F">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当</w:t>
      </w:r>
      <w:r>
        <w:rPr>
          <w:rFonts w:ascii="仿宋_GB2312" w:hAnsi="宋体" w:cs="宋体"/>
          <w:bCs/>
          <w:color w:val="auto"/>
          <w:kern w:val="0"/>
          <w:szCs w:val="24"/>
          <w:highlight w:val="yellow"/>
          <w:u w:val="none"/>
        </w:rPr>
        <w:t>R≤</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计提基准，可计提/收取</w:t>
      </w:r>
      <w:r>
        <w:rPr>
          <w:rFonts w:hint="eastAsia"/>
          <w:color w:val="auto"/>
          <w:highlight w:val="yellow"/>
          <w:u w:val="none"/>
          <w:lang w:eastAsia="zh-CN"/>
        </w:rPr>
        <w:t>浮动管理费</w:t>
      </w:r>
      <w:r>
        <w:rPr>
          <w:rFonts w:ascii="仿宋_GB2312" w:hAnsi="宋体" w:cs="宋体"/>
          <w:bCs/>
          <w:color w:val="auto"/>
          <w:kern w:val="0"/>
          <w:szCs w:val="24"/>
          <w:highlight w:val="yellow"/>
          <w:u w:val="none"/>
        </w:rPr>
        <w:t>=0；</w:t>
      </w:r>
    </w:p>
    <w:p w14:paraId="38323E41">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当</w:t>
      </w:r>
      <w:r>
        <w:rPr>
          <w:rFonts w:ascii="仿宋_GB2312" w:hAnsi="宋体" w:cs="宋体"/>
          <w:bCs/>
          <w:color w:val="auto"/>
          <w:kern w:val="0"/>
          <w:szCs w:val="24"/>
          <w:highlight w:val="yellow"/>
          <w:u w:val="none"/>
        </w:rPr>
        <w:t>R＞</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计提基准，可计提/收取</w:t>
      </w:r>
      <w:r>
        <w:rPr>
          <w:rFonts w:hint="eastAsia"/>
          <w:color w:val="auto"/>
          <w:highlight w:val="yellow"/>
          <w:u w:val="none"/>
          <w:lang w:eastAsia="zh-CN"/>
        </w:rPr>
        <w:t>浮动管理费</w:t>
      </w:r>
      <w:r>
        <w:rPr>
          <w:rFonts w:ascii="仿宋_GB2312" w:hAnsi="宋体" w:cs="宋体"/>
          <w:bCs/>
          <w:color w:val="auto"/>
          <w:kern w:val="0"/>
          <w:szCs w:val="24"/>
          <w:highlight w:val="yellow"/>
          <w:u w:val="none"/>
        </w:rPr>
        <w:t>=</w:t>
      </w:r>
      <w:r>
        <w:rPr>
          <w:rFonts w:hint="eastAsia" w:ascii="仿宋_GB2312" w:hAnsi="宋体" w:cs="宋体"/>
          <w:bCs/>
          <w:color w:val="auto"/>
          <w:kern w:val="0"/>
          <w:szCs w:val="24"/>
          <w:highlight w:val="yellow"/>
          <w:u w:val="none"/>
        </w:rPr>
        <w:t>产品计提/到期日投资者持有的产品份额×V</w:t>
      </w:r>
      <w:r>
        <w:rPr>
          <w:rFonts w:hint="eastAsia" w:ascii="仿宋_GB2312" w:hAnsi="宋体" w:cs="宋体"/>
          <w:bCs/>
          <w:color w:val="auto"/>
          <w:kern w:val="0"/>
          <w:sz w:val="13"/>
          <w:szCs w:val="24"/>
          <w:highlight w:val="yellow"/>
          <w:u w:val="none"/>
        </w:rPr>
        <w:t>期初份额净值</w:t>
      </w:r>
      <w:r>
        <w:rPr>
          <w:rFonts w:hint="eastAsia" w:ascii="仿宋_GB2312" w:hAnsi="宋体" w:cs="宋体"/>
          <w:bCs/>
          <w:color w:val="auto"/>
          <w:kern w:val="0"/>
          <w:szCs w:val="24"/>
          <w:highlight w:val="yellow"/>
          <w:u w:val="none"/>
        </w:rPr>
        <w:t>×（</w:t>
      </w:r>
      <w:r>
        <w:rPr>
          <w:rFonts w:ascii="仿宋_GB2312" w:hAnsi="宋体" w:cs="宋体"/>
          <w:bCs/>
          <w:color w:val="auto"/>
          <w:kern w:val="0"/>
          <w:szCs w:val="24"/>
          <w:highlight w:val="yellow"/>
          <w:u w:val="none"/>
        </w:rPr>
        <w:t>R-</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计提基准）×</w:t>
      </w:r>
      <w:r>
        <w:rPr>
          <w:rFonts w:ascii="仿宋_GB2312" w:hAnsi="宋体" w:cs="宋体"/>
          <w:bCs/>
          <w:color w:val="auto"/>
          <w:kern w:val="0"/>
          <w:szCs w:val="24"/>
          <w:highlight w:val="yellow"/>
          <w:u w:val="none"/>
        </w:rPr>
        <w:t>N×</w:t>
      </w:r>
      <w:r>
        <w:rPr>
          <w:rFonts w:hint="eastAsia" w:ascii="仿宋_GB2312" w:hAnsi="宋体" w:cs="宋体"/>
          <w:bCs/>
          <w:color w:val="auto"/>
          <w:kern w:val="0"/>
          <w:szCs w:val="24"/>
          <w:highlight w:val="yellow"/>
          <w:u w:val="none"/>
        </w:rPr>
        <w:t>（D</w:t>
      </w:r>
      <w:r>
        <w:rPr>
          <w:rFonts w:ascii="仿宋_GB2312" w:hAnsi="宋体" w:cs="宋体"/>
          <w:bCs/>
          <w:color w:val="auto"/>
          <w:kern w:val="0"/>
          <w:szCs w:val="24"/>
          <w:highlight w:val="yellow"/>
          <w:u w:val="none"/>
        </w:rPr>
        <w:t>+1</w:t>
      </w:r>
      <w:r>
        <w:rPr>
          <w:rFonts w:hint="eastAsia" w:ascii="仿宋_GB2312" w:hAnsi="宋体" w:cs="宋体"/>
          <w:bCs/>
          <w:color w:val="auto"/>
          <w:kern w:val="0"/>
          <w:szCs w:val="24"/>
          <w:highlight w:val="yellow"/>
          <w:u w:val="none"/>
        </w:rPr>
        <w:t>）</w:t>
      </w:r>
      <w:r>
        <w:rPr>
          <w:rFonts w:ascii="仿宋_GB2312" w:hAnsi="宋体" w:cs="宋体"/>
          <w:bCs/>
          <w:color w:val="auto"/>
          <w:kern w:val="0"/>
          <w:szCs w:val="24"/>
          <w:highlight w:val="yellow"/>
          <w:u w:val="none"/>
        </w:rPr>
        <w:t>/365。</w:t>
      </w:r>
    </w:p>
    <w:p w14:paraId="6C672615">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rPr>
        <w:t>其中，</w:t>
      </w:r>
      <w:r>
        <w:rPr>
          <w:rFonts w:ascii="仿宋_GB2312" w:hAnsi="宋体" w:cs="宋体"/>
          <w:bCs/>
          <w:color w:val="auto"/>
          <w:kern w:val="0"/>
          <w:szCs w:val="24"/>
          <w:highlight w:val="yellow"/>
          <w:u w:val="none"/>
        </w:rPr>
        <w:t>V</w:t>
      </w:r>
      <w:r>
        <w:rPr>
          <w:rFonts w:hint="eastAsia" w:ascii="仿宋_GB2312" w:hAnsi="宋体" w:cs="宋体"/>
          <w:bCs/>
          <w:color w:val="auto"/>
          <w:kern w:val="0"/>
          <w:sz w:val="13"/>
          <w:szCs w:val="24"/>
          <w:highlight w:val="yellow"/>
          <w:u w:val="none"/>
        </w:rPr>
        <w:t>计提/到期日产品份额累计净值</w:t>
      </w:r>
      <w:r>
        <w:rPr>
          <w:rFonts w:hint="eastAsia" w:ascii="仿宋_GB2312" w:hAnsi="宋体" w:cs="宋体"/>
          <w:bCs/>
          <w:color w:val="auto"/>
          <w:kern w:val="0"/>
          <w:szCs w:val="24"/>
          <w:highlight w:val="yellow"/>
          <w:u w:val="none"/>
        </w:rPr>
        <w:t>表示产品计提/到期日的产品份额累计净值（未扣除</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），V</w:t>
      </w:r>
      <w:r>
        <w:rPr>
          <w:rFonts w:hint="eastAsia" w:ascii="仿宋_GB2312" w:hAnsi="宋体" w:cs="宋体"/>
          <w:bCs/>
          <w:color w:val="auto"/>
          <w:kern w:val="0"/>
          <w:sz w:val="13"/>
          <w:szCs w:val="24"/>
          <w:highlight w:val="yellow"/>
          <w:u w:val="none"/>
        </w:rPr>
        <w:t>期初份额净值</w:t>
      </w:r>
      <w:r>
        <w:rPr>
          <w:rFonts w:hint="eastAsia" w:ascii="仿宋_GB2312" w:hAnsi="宋体" w:cs="宋体"/>
          <w:bCs/>
          <w:color w:val="auto"/>
          <w:kern w:val="0"/>
          <w:szCs w:val="24"/>
          <w:highlight w:val="yellow"/>
          <w:u w:val="none"/>
        </w:rPr>
        <w:t>表示产品成立日的产品份额净值，D表示产品到期日-产品成立日，N表示</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分成比例。</w:t>
      </w:r>
      <w:r>
        <w:rPr>
          <w:rFonts w:hint="eastAsia" w:ascii="仿宋_GB2312" w:hAnsi="宋体" w:cs="宋体"/>
          <w:bCs/>
          <w:color w:val="auto"/>
          <w:kern w:val="0"/>
          <w:szCs w:val="24"/>
          <w:highlight w:val="yellow"/>
          <w:u w:val="none"/>
          <w:lang w:eastAsia="zh-CN"/>
        </w:rPr>
        <w:t>】</w:t>
      </w:r>
    </w:p>
    <w:p w14:paraId="323325CB">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（5）理财产品的托管费</w:t>
      </w:r>
    </w:p>
    <w:p w14:paraId="7E10E986">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本产品的托管费按</w:t>
      </w:r>
      <w:r>
        <w:rPr>
          <w:rFonts w:hint="eastAsia" w:ascii="仿宋_GB2312" w:hAnsi="宋体" w:cs="宋体"/>
          <w:bCs/>
          <w:color w:val="auto"/>
          <w:kern w:val="0"/>
          <w:szCs w:val="24"/>
          <w:highlight w:val="yellow"/>
          <w:u w:val="none"/>
          <w:lang w:eastAsia="zh-CN"/>
        </w:rPr>
        <w:t>当日日终份额</w:t>
      </w:r>
      <w:r>
        <w:rPr>
          <w:rFonts w:hint="eastAsia" w:ascii="仿宋_GB2312" w:hAnsi="宋体" w:cs="宋体"/>
          <w:bCs/>
          <w:color w:val="auto"/>
          <w:kern w:val="0"/>
          <w:szCs w:val="24"/>
          <w:highlight w:val="yellow"/>
          <w:u w:val="none"/>
        </w:rPr>
        <w:t>与</w:t>
      </w:r>
      <w:r>
        <w:rPr>
          <w:rFonts w:hint="eastAsia" w:ascii="仿宋_GB2312" w:hAnsi="宋体" w:cs="宋体"/>
          <w:bCs/>
          <w:color w:val="auto"/>
          <w:kern w:val="0"/>
          <w:szCs w:val="24"/>
          <w:highlight w:val="yellow"/>
          <w:u w:val="none"/>
          <w:lang w:eastAsia="zh-CN"/>
        </w:rPr>
        <w:t>托管费</w:t>
      </w:r>
      <w:r>
        <w:rPr>
          <w:rFonts w:hint="eastAsia" w:ascii="仿宋_GB2312" w:hAnsi="宋体" w:cs="宋体"/>
          <w:bCs/>
          <w:color w:val="auto"/>
          <w:kern w:val="0"/>
          <w:szCs w:val="24"/>
          <w:highlight w:val="yellow"/>
          <w:u w:val="none"/>
        </w:rPr>
        <w:t>费率每日计提，</w:t>
      </w:r>
      <w:r>
        <w:rPr>
          <w:rFonts w:hint="eastAsia" w:ascii="仿宋_GB2312" w:hAnsi="宋体" w:cs="宋体"/>
          <w:bCs/>
          <w:color w:val="auto"/>
          <w:spacing w:val="-4"/>
          <w:kern w:val="0"/>
          <w:szCs w:val="24"/>
          <w:highlight w:val="yellow"/>
          <w:u w:val="none"/>
        </w:rPr>
        <w:t>管理人可按季或产品开放周期（如有）收取，或与后续季度、开放周期（如有）合并收取。</w:t>
      </w:r>
      <w:r>
        <w:rPr>
          <w:rFonts w:hint="eastAsia" w:ascii="仿宋_GB2312" w:hAnsi="宋体" w:cs="宋体"/>
          <w:bCs/>
          <w:color w:val="auto"/>
          <w:kern w:val="0"/>
          <w:szCs w:val="24"/>
          <w:highlight w:val="yellow"/>
          <w:u w:val="none"/>
          <w:lang w:eastAsia="zh-CN"/>
        </w:rPr>
        <w:t>托管费</w:t>
      </w:r>
      <w:r>
        <w:rPr>
          <w:rFonts w:hint="eastAsia" w:ascii="仿宋_GB2312" w:hAnsi="宋体" w:cs="宋体"/>
          <w:bCs/>
          <w:color w:val="auto"/>
          <w:spacing w:val="-4"/>
          <w:kern w:val="0"/>
          <w:szCs w:val="24"/>
          <w:highlight w:val="yellow"/>
          <w:u w:val="none"/>
        </w:rPr>
        <w:t>精确到小数点后2位，小数点2位以后四舍五入</w:t>
      </w:r>
      <w:r>
        <w:rPr>
          <w:rFonts w:hint="eastAsia" w:ascii="仿宋_GB2312" w:hAnsi="宋体" w:cs="宋体"/>
          <w:bCs/>
          <w:color w:val="auto"/>
          <w:kern w:val="0"/>
          <w:szCs w:val="24"/>
          <w:highlight w:val="yellow"/>
          <w:u w:val="none"/>
        </w:rPr>
        <w:t>。</w:t>
      </w:r>
    </w:p>
    <w:p w14:paraId="5C52A55D">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lang w:eastAsia="zh-CN"/>
        </w:rPr>
        <w:t>托管费</w:t>
      </w:r>
      <w:r>
        <w:rPr>
          <w:rFonts w:hint="eastAsia" w:ascii="仿宋_GB2312" w:hAnsi="宋体" w:cs="宋体"/>
          <w:bCs/>
          <w:color w:val="auto"/>
          <w:kern w:val="0"/>
          <w:szCs w:val="24"/>
          <w:highlight w:val="yellow"/>
          <w:u w:val="none"/>
        </w:rPr>
        <w:t>的计算方法如下：</w:t>
      </w:r>
    </w:p>
    <w:p w14:paraId="13BC3272">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H＝E×</w:t>
      </w:r>
      <w:r>
        <w:rPr>
          <w:rFonts w:hint="eastAsia" w:ascii="仿宋_GB2312" w:hAnsi="宋体" w:cs="宋体"/>
          <w:bCs/>
          <w:color w:val="auto"/>
          <w:kern w:val="0"/>
          <w:szCs w:val="24"/>
          <w:highlight w:val="yellow"/>
          <w:u w:val="none"/>
          <w:lang w:eastAsia="zh-CN"/>
        </w:rPr>
        <w:t>托管费</w:t>
      </w:r>
      <w:r>
        <w:rPr>
          <w:rFonts w:hint="eastAsia" w:ascii="仿宋_GB2312" w:hAnsi="宋体" w:cs="宋体"/>
          <w:bCs/>
          <w:color w:val="auto"/>
          <w:kern w:val="0"/>
          <w:szCs w:val="24"/>
          <w:highlight w:val="yellow"/>
          <w:u w:val="none"/>
        </w:rPr>
        <w:t>年费率÷365</w:t>
      </w:r>
    </w:p>
    <w:p w14:paraId="52B34C34">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rPr>
        <w:t>H为每日应计提的</w:t>
      </w:r>
      <w:r>
        <w:rPr>
          <w:rFonts w:hint="eastAsia" w:ascii="仿宋_GB2312" w:hAnsi="宋体" w:cs="宋体"/>
          <w:bCs/>
          <w:color w:val="auto"/>
          <w:kern w:val="0"/>
          <w:szCs w:val="24"/>
          <w:highlight w:val="yellow"/>
          <w:u w:val="none"/>
          <w:lang w:eastAsia="zh-CN"/>
        </w:rPr>
        <w:t>托管费</w:t>
      </w:r>
    </w:p>
    <w:p w14:paraId="0D1299A3">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E为</w:t>
      </w:r>
      <w:r>
        <w:rPr>
          <w:rFonts w:hint="eastAsia" w:ascii="仿宋_GB2312" w:hAnsi="宋体" w:cs="宋体"/>
          <w:bCs/>
          <w:color w:val="auto"/>
          <w:kern w:val="0"/>
          <w:szCs w:val="24"/>
          <w:highlight w:val="yellow"/>
          <w:u w:val="none"/>
          <w:lang w:eastAsia="zh-CN"/>
        </w:rPr>
        <w:t>当日日终份额】</w:t>
      </w:r>
    </w:p>
    <w:p w14:paraId="360EB522">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eastAsia="zh-CN"/>
        </w:rPr>
        <w:t>托管费</w:t>
      </w:r>
      <w:r>
        <w:rPr>
          <w:rFonts w:hint="eastAsia" w:ascii="仿宋_GB2312" w:hAnsi="宋体" w:cs="宋体"/>
          <w:bCs/>
          <w:color w:val="auto"/>
          <w:kern w:val="0"/>
          <w:szCs w:val="24"/>
          <w:highlight w:val="none"/>
          <w:u w:val="none"/>
        </w:rPr>
        <w:t>依照上述约定，从理财财产中支付。费率具体数值以《产品说明书》“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”为准。</w:t>
      </w:r>
    </w:p>
    <w:p w14:paraId="5372C4C5">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（6）其他费用</w:t>
      </w:r>
    </w:p>
    <w:p w14:paraId="518BABC1">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与理财产品相关的其他费用，按照实际发生金额从产品资产中列支。若产品管理人先行垫付其他费用的，管理人有权从理财产品资产中优先受偿。</w:t>
      </w:r>
    </w:p>
    <w:p w14:paraId="7E7470FC">
      <w:pPr>
        <w:widowControl/>
        <w:tabs>
          <w:tab w:val="left" w:pos="709"/>
        </w:tabs>
        <w:snapToGrid w:val="0"/>
        <w:spacing w:line="360" w:lineRule="auto"/>
        <w:ind w:firstLine="422" w:firstLineChars="200"/>
        <w:rPr>
          <w:rFonts w:ascii="仿宋_GB2312" w:hAnsi="宋体" w:cs="宋体"/>
          <w:b/>
          <w:bCs/>
          <w:color w:val="auto"/>
          <w:kern w:val="0"/>
          <w:szCs w:val="24"/>
          <w:highlight w:val="none"/>
          <w:u w:val="none"/>
        </w:rPr>
      </w:pPr>
      <w:r>
        <w:rPr>
          <w:rFonts w:ascii="仿宋_GB2312" w:hAnsi="宋体" w:cs="宋体"/>
          <w:b/>
          <w:bCs/>
          <w:color w:val="auto"/>
          <w:kern w:val="0"/>
          <w:szCs w:val="24"/>
          <w:highlight w:val="none"/>
          <w:u w:val="none"/>
        </w:rPr>
        <w:t>3</w:t>
      </w:r>
      <w:r>
        <w:rPr>
          <w:rFonts w:hint="eastAsia" w:ascii="仿宋_GB2312" w:hAnsi="宋体" w:cs="宋体"/>
          <w:b/>
          <w:bCs/>
          <w:color w:val="auto"/>
          <w:kern w:val="0"/>
          <w:szCs w:val="24"/>
          <w:highlight w:val="none"/>
          <w:u w:val="none"/>
        </w:rPr>
        <w:t>.费用调整</w:t>
      </w:r>
    </w:p>
    <w:p w14:paraId="5EDA894A">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产品管理人有权根据相关法律和国家政策规定，对理财产品费用的收费项目、收费条件、收费标准和收费方式等进行调整。产品管理人对费用的调整按本说明书约定的方式进行信息披露。投资者有权不接受调整，并按照信息披露内容中约定的方式提前赎回理财产品。</w:t>
      </w:r>
    </w:p>
    <w:p w14:paraId="4EE5B533">
      <w:pPr>
        <w:pStyle w:val="3"/>
        <w:numPr>
          <w:ilvl w:val="1"/>
          <w:numId w:val="11"/>
        </w:numPr>
        <w:ind w:firstLine="482"/>
        <w:rPr>
          <w:color w:val="auto"/>
          <w:highlight w:val="none"/>
          <w:u w:val="none"/>
        </w:rPr>
      </w:pPr>
      <w:r>
        <w:rPr>
          <w:rFonts w:hint="eastAsia"/>
          <w:color w:val="auto"/>
          <w:highlight w:val="none"/>
          <w:u w:val="none"/>
        </w:rPr>
        <w:t>税收说明</w:t>
      </w:r>
    </w:p>
    <w:p w14:paraId="7225AA27">
      <w:pPr>
        <w:tabs>
          <w:tab w:val="left" w:pos="709"/>
        </w:tabs>
        <w:snapToGrid w:val="0"/>
        <w:spacing w:line="360" w:lineRule="auto"/>
        <w:ind w:firstLine="420" w:firstLineChars="200"/>
        <w:rPr>
          <w:color w:val="auto"/>
          <w:highlight w:val="none"/>
          <w:u w:val="none"/>
        </w:rPr>
      </w:pPr>
      <w:r>
        <w:rPr>
          <w:rFonts w:hint="eastAsia" w:ascii="仿宋_GB2312" w:hAnsi="宋体" w:cs="宋体"/>
          <w:bCs/>
          <w:color w:val="auto"/>
          <w:kern w:val="0"/>
          <w:szCs w:val="24"/>
          <w:highlight w:val="none"/>
          <w:u w:val="none"/>
        </w:rPr>
        <w:t>本理财产品运作过程中涉及的各纳税主体的纳税义务按国家税收法律、法规执行。除法律法规特别要求外，理财产品运营过程中发生的增值税应税行为，由理财产品承担增值税及附加税费，并由理财产品管理人进行计算、申报和缴纳，该等税费将直接从理财产品财产中支付。后续国家法律法规如对相关税收政策进行调整，管理人有权根据税收政策相应调整理财产品运营过程中发生的税费的承担方式。理财收益的应纳税款以及其他的投资者应纳税款由投资者自行申报及缴纳，管理人不承担代扣代缴或纳税的义务。</w:t>
      </w:r>
    </w:p>
    <w:p w14:paraId="78C22F46">
      <w:pPr>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br w:type="page"/>
      </w:r>
    </w:p>
    <w:p w14:paraId="6831AAB5">
      <w:pPr>
        <w:pStyle w:val="2"/>
        <w:numPr>
          <w:ilvl w:val="0"/>
          <w:numId w:val="11"/>
        </w:numPr>
        <w:rPr>
          <w:color w:val="auto"/>
          <w:highlight w:val="none"/>
          <w:u w:val="none"/>
        </w:rPr>
      </w:pPr>
      <w:r>
        <w:rPr>
          <w:rFonts w:hint="eastAsia"/>
          <w:color w:val="auto"/>
          <w:highlight w:val="none"/>
          <w:u w:val="none"/>
        </w:rPr>
        <w:t>理财产品的终止与清算</w:t>
      </w:r>
    </w:p>
    <w:p w14:paraId="64CA2A2A">
      <w:pPr>
        <w:pStyle w:val="3"/>
        <w:numPr>
          <w:ilvl w:val="1"/>
          <w:numId w:val="11"/>
        </w:numPr>
        <w:ind w:firstLine="482"/>
        <w:rPr>
          <w:color w:val="auto"/>
          <w:highlight w:val="none"/>
          <w:u w:val="none"/>
        </w:rPr>
      </w:pPr>
      <w:r>
        <w:rPr>
          <w:rFonts w:hint="eastAsia"/>
          <w:color w:val="auto"/>
          <w:highlight w:val="none"/>
          <w:u w:val="none"/>
        </w:rPr>
        <w:t>理财产品到期</w:t>
      </w:r>
    </w:p>
    <w:p w14:paraId="1F7782F7">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rPr>
        <w:t>本理财产品到期日为2073年5月6日</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w:t>
      </w:r>
      <w:r>
        <w:rPr>
          <w:rFonts w:hint="eastAsia" w:ascii="仿宋_GB2312" w:hAnsi="宋体" w:cs="宋体"/>
          <w:bCs/>
          <w:kern w:val="0"/>
          <w:szCs w:val="24"/>
        </w:rPr>
        <w:t>如遇非工作日则顺延至下一工</w:t>
      </w:r>
      <w:r>
        <w:rPr>
          <w:rFonts w:hint="eastAsia" w:ascii="仿宋_GB2312" w:hAnsi="宋体" w:cs="宋体"/>
          <w:bCs/>
          <w:kern w:val="0"/>
          <w:szCs w:val="24"/>
          <w:highlight w:val="none"/>
        </w:rPr>
        <w:t>作日，</w:t>
      </w:r>
      <w:r>
        <w:rPr>
          <w:rFonts w:hint="eastAsia" w:ascii="宋体" w:hAnsi="宋体"/>
          <w:color w:val="auto"/>
          <w:szCs w:val="24"/>
          <w:highlight w:val="none"/>
          <w:u w:val="none"/>
        </w:rPr>
        <w:t>如产品提前终止</w:t>
      </w:r>
      <w:r>
        <w:rPr>
          <w:rFonts w:hint="eastAsia" w:ascii="宋体" w:hAnsi="宋体"/>
          <w:szCs w:val="24"/>
          <w:lang w:val="en-US" w:eastAsia="zh-CN"/>
        </w:rPr>
        <w:t>或延期</w:t>
      </w:r>
      <w:r>
        <w:rPr>
          <w:rFonts w:hint="eastAsia" w:ascii="宋体" w:hAnsi="宋体"/>
          <w:szCs w:val="24"/>
        </w:rPr>
        <w:t>终止</w:t>
      </w:r>
      <w:r>
        <w:rPr>
          <w:rFonts w:hint="eastAsia" w:ascii="宋体" w:hAnsi="宋体"/>
          <w:color w:val="auto"/>
          <w:szCs w:val="24"/>
          <w:highlight w:val="none"/>
          <w:u w:val="none"/>
        </w:rPr>
        <w:t>，除有特别约定外，实际终止日为到期日。</w:t>
      </w:r>
    </w:p>
    <w:p w14:paraId="1BF3505A">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理财产品不因投资者死亡、丧失民事行为能力、破产而终止；投资者的法定继承人、承继人或指定受益人以及继任管理人承担本理财产品销售文件项下的相应权利和义务，产品管理人以及代销机构有权要求投资者的继承人或者指定受益人等相关主体配合办理相关变更手续。</w:t>
      </w:r>
    </w:p>
    <w:p w14:paraId="001B2082">
      <w:pPr>
        <w:pStyle w:val="3"/>
        <w:numPr>
          <w:ilvl w:val="1"/>
          <w:numId w:val="11"/>
        </w:numPr>
        <w:ind w:firstLine="482"/>
        <w:rPr>
          <w:color w:val="auto"/>
          <w:highlight w:val="none"/>
          <w:u w:val="none"/>
        </w:rPr>
      </w:pPr>
      <w:r>
        <w:rPr>
          <w:rFonts w:hint="eastAsia"/>
          <w:color w:val="auto"/>
          <w:highlight w:val="none"/>
          <w:u w:val="none"/>
        </w:rPr>
        <w:t>理财产品提前终止</w:t>
      </w:r>
    </w:p>
    <w:p w14:paraId="7CD51FD1">
      <w:pPr>
        <w:widowControl/>
        <w:tabs>
          <w:tab w:val="left" w:pos="709"/>
        </w:tabs>
        <w:snapToGrid w:val="0"/>
        <w:spacing w:line="360" w:lineRule="auto"/>
        <w:ind w:firstLine="422" w:firstLineChars="20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本理财产品存续期间，投资者无提前终止权。如出现以下情形，管理人有权但无义务提前终止本产品：</w:t>
      </w:r>
      <w:r>
        <w:rPr>
          <w:rFonts w:ascii="仿宋_GB2312" w:hAnsi="宋体" w:cs="宋体"/>
          <w:b/>
          <w:bCs/>
          <w:color w:val="auto"/>
          <w:kern w:val="0"/>
          <w:szCs w:val="24"/>
          <w:highlight w:val="none"/>
          <w:u w:val="none"/>
        </w:rPr>
        <w:t xml:space="preserve"> </w:t>
      </w:r>
    </w:p>
    <w:p w14:paraId="5E8EFF24">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1.自然灾害、疫情、金融市场危机、战争等不可抗力因素及/或意外事件导致理财产品无法继续运作。</w:t>
      </w:r>
    </w:p>
    <w:p w14:paraId="6569C807">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2.遇有市场出现剧烈波动、异常风险事件等情形导致理财产品收益出现大幅波动或严重影响理财产品的资产安全。</w:t>
      </w:r>
    </w:p>
    <w:p w14:paraId="75E6708E">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3.因投资者理财资金被有权机关扣划等原因导致理财产品剩余资产无法满足相关法律法规规定、所投资市场要求或协议等相关法律文件约定，或者继续存续无法实现投资目标。</w:t>
      </w:r>
    </w:p>
    <w:p w14:paraId="3200E440">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4.因相关投资管理机构解散、破产、撤销、被取消业务资格等原因无法继续履行相应职责导致产品无法继续运作。</w:t>
      </w:r>
    </w:p>
    <w:p w14:paraId="596FA77D">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5.相关投资管理机构或运用理财资金的第三方主体实施符合法律法规规定或协议等相关文件约定的行为导致理财产品被动提前终止。</w:t>
      </w:r>
    </w:p>
    <w:p w14:paraId="242B3560">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6.因法律法规变化或国家金融政策调整、紧急措施出台影响产品继续正常运作。</w:t>
      </w:r>
    </w:p>
    <w:p w14:paraId="22D4CC7E">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7.提前终止产品比维持产品运作更有利于保护产品持有人的权益。</w:t>
      </w:r>
    </w:p>
    <w:p w14:paraId="216A0906">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8</w:t>
      </w:r>
      <w:r>
        <w:rPr>
          <w:rFonts w:hint="eastAsia" w:ascii="仿宋_GB2312" w:hAnsi="宋体" w:cs="宋体"/>
          <w:bCs/>
          <w:color w:val="auto"/>
          <w:kern w:val="0"/>
          <w:szCs w:val="24"/>
          <w:highlight w:val="none"/>
          <w:u w:val="none"/>
        </w:rPr>
        <w:t>.遇国家政策出现重大调整并影响到本产品的正常运行。</w:t>
      </w:r>
    </w:p>
    <w:p w14:paraId="482C2DBF">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9</w:t>
      </w:r>
      <w:r>
        <w:rPr>
          <w:rFonts w:hint="eastAsia" w:ascii="仿宋_GB2312" w:hAnsi="宋体" w:cs="宋体"/>
          <w:bCs/>
          <w:color w:val="auto"/>
          <w:kern w:val="0"/>
          <w:szCs w:val="24"/>
          <w:highlight w:val="none"/>
          <w:u w:val="none"/>
        </w:rPr>
        <w:t>.因本产品投资的资产部分或全部提前终止或发生其他影响本产品正常投资运作的重大事件。</w:t>
      </w:r>
    </w:p>
    <w:p w14:paraId="068D542D">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10</w:t>
      </w:r>
      <w:r>
        <w:rPr>
          <w:rFonts w:hint="eastAsia" w:ascii="仿宋_GB2312" w:hAnsi="宋体" w:cs="宋体"/>
          <w:bCs/>
          <w:color w:val="auto"/>
          <w:kern w:val="0"/>
          <w:szCs w:val="24"/>
          <w:highlight w:val="none"/>
          <w:u w:val="none"/>
        </w:rPr>
        <w:t>.本产品存续期内，所投资资产种类已全部调整为现金资产且无其他投资安排。</w:t>
      </w:r>
    </w:p>
    <w:p w14:paraId="03819B37">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11</w:t>
      </w:r>
      <w:r>
        <w:rPr>
          <w:rFonts w:hint="eastAsia" w:ascii="仿宋_GB2312" w:hAnsi="宋体" w:cs="宋体"/>
          <w:bCs/>
          <w:color w:val="auto"/>
          <w:kern w:val="0"/>
          <w:szCs w:val="24"/>
          <w:highlight w:val="none"/>
          <w:u w:val="none"/>
        </w:rPr>
        <w:t>.管理人认为有必要提前终止本产品的其他情形。</w:t>
      </w:r>
    </w:p>
    <w:p w14:paraId="65A7F3CD">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管理人将至少于提前终止日前</w:t>
      </w:r>
      <w:r>
        <w:rPr>
          <w:rFonts w:hint="eastAsia" w:ascii="仿宋_GB2312" w:hAnsi="宋体" w:cs="宋体"/>
          <w:bCs/>
          <w:color w:val="auto"/>
          <w:kern w:val="0"/>
          <w:szCs w:val="24"/>
          <w:highlight w:val="none"/>
          <w:u w:val="none"/>
          <w:lang w:val="en-US" w:eastAsia="zh-CN"/>
        </w:rPr>
        <w:t>1</w:t>
      </w:r>
      <w:r>
        <w:rPr>
          <w:rFonts w:hint="eastAsia" w:ascii="仿宋_GB2312" w:hAnsi="宋体" w:cs="宋体"/>
          <w:bCs/>
          <w:color w:val="auto"/>
          <w:kern w:val="0"/>
          <w:szCs w:val="24"/>
          <w:highlight w:val="none"/>
          <w:u w:val="none"/>
        </w:rPr>
        <w:t>个工作日通过本产品说明书约定</w:t>
      </w:r>
      <w:r>
        <w:rPr>
          <w:rFonts w:ascii="仿宋_GB2312" w:hAnsi="宋体" w:cs="宋体"/>
          <w:bCs/>
          <w:color w:val="auto"/>
          <w:kern w:val="0"/>
          <w:szCs w:val="24"/>
          <w:highlight w:val="none"/>
          <w:u w:val="none"/>
        </w:rPr>
        <w:t>方式</w:t>
      </w:r>
      <w:r>
        <w:rPr>
          <w:rFonts w:hint="eastAsia" w:ascii="仿宋_GB2312" w:hAnsi="宋体" w:cs="宋体"/>
          <w:bCs/>
          <w:color w:val="auto"/>
          <w:kern w:val="0"/>
          <w:szCs w:val="24"/>
          <w:highlight w:val="none"/>
          <w:u w:val="none"/>
        </w:rPr>
        <w:t>发布本产品提前终止公告，并于提前终止日后</w:t>
      </w:r>
      <w:r>
        <w:rPr>
          <w:rFonts w:hint="eastAsia" w:ascii="仿宋_GB2312" w:hAnsi="宋体" w:cs="宋体"/>
          <w:color w:val="auto"/>
          <w:kern w:val="0"/>
          <w:szCs w:val="24"/>
          <w:highlight w:val="yellow"/>
          <w:u w:val="none"/>
          <w:lang w:val="en-US" w:eastAsia="zh-CN"/>
        </w:rPr>
        <w:t>【3】</w:t>
      </w:r>
      <w:r>
        <w:rPr>
          <w:rFonts w:hint="eastAsia" w:ascii="仿宋_GB2312" w:hAnsi="宋体" w:cs="宋体"/>
          <w:bCs/>
          <w:color w:val="auto"/>
          <w:kern w:val="0"/>
          <w:szCs w:val="24"/>
          <w:highlight w:val="none"/>
          <w:u w:val="none"/>
        </w:rPr>
        <w:t>个</w:t>
      </w:r>
      <w:r>
        <w:rPr>
          <w:rFonts w:hint="eastAsia" w:ascii="仿宋_GB2312" w:hAnsi="宋体" w:cs="宋体"/>
          <w:bCs/>
          <w:color w:val="auto"/>
          <w:kern w:val="0"/>
          <w:szCs w:val="24"/>
          <w:highlight w:val="none"/>
          <w:u w:val="none"/>
          <w:lang w:eastAsia="zh-CN"/>
        </w:rPr>
        <w:t>工作日</w:t>
      </w:r>
      <w:r>
        <w:rPr>
          <w:rFonts w:hint="eastAsia" w:ascii="仿宋_GB2312" w:hAnsi="宋体" w:cs="宋体"/>
          <w:bCs/>
          <w:color w:val="auto"/>
          <w:kern w:val="0"/>
          <w:szCs w:val="24"/>
          <w:highlight w:val="none"/>
          <w:u w:val="none"/>
        </w:rPr>
        <w:t>内通过销售机构将兑付理财资金划至投资者指定账户。</w:t>
      </w:r>
    </w:p>
    <w:p w14:paraId="784CA472">
      <w:pPr>
        <w:pStyle w:val="3"/>
        <w:numPr>
          <w:ilvl w:val="1"/>
          <w:numId w:val="11"/>
        </w:numPr>
        <w:ind w:firstLine="482"/>
        <w:rPr>
          <w:color w:val="auto"/>
          <w:highlight w:val="none"/>
          <w:u w:val="none"/>
        </w:rPr>
      </w:pPr>
      <w:r>
        <w:rPr>
          <w:rFonts w:hint="eastAsia" w:ascii="楷体_GB2312" w:hAnsi="宋体" w:eastAsia="楷体_GB2312" w:cs="宋体"/>
          <w:bCs/>
          <w:color w:val="auto"/>
          <w:kern w:val="0"/>
          <w:szCs w:val="24"/>
          <w:highlight w:val="none"/>
          <w:u w:val="none"/>
        </w:rPr>
        <w:t>理财产品到期清算</w:t>
      </w:r>
    </w:p>
    <w:p w14:paraId="30B47871">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1.清算程序</w:t>
      </w:r>
    </w:p>
    <w:p w14:paraId="30C099D0">
      <w:pPr>
        <w:widowControl/>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产品到期（含提前终止）后，理财产品终止运作，本理财产品</w:t>
      </w:r>
      <w:r>
        <w:rPr>
          <w:color w:val="auto"/>
          <w:highlight w:val="none"/>
          <w:u w:val="none"/>
        </w:rPr>
        <w:t>管</w:t>
      </w:r>
      <w:r>
        <w:rPr>
          <w:rFonts w:hint="eastAsia" w:ascii="仿宋_GB2312" w:hAnsi="宋体" w:cs="宋体"/>
          <w:bCs/>
          <w:color w:val="auto"/>
          <w:kern w:val="0"/>
          <w:szCs w:val="24"/>
          <w:highlight w:val="none"/>
          <w:u w:val="none"/>
        </w:rPr>
        <w:t>理人启动产品清算，理财资产清</w:t>
      </w:r>
      <w:r>
        <w:rPr>
          <w:rFonts w:ascii="仿宋_GB2312" w:hAnsi="宋体" w:cs="宋体"/>
          <w:bCs/>
          <w:color w:val="auto"/>
          <w:kern w:val="0"/>
          <w:szCs w:val="24"/>
          <w:highlight w:val="none"/>
          <w:u w:val="none"/>
        </w:rPr>
        <w:t>算后扣除理财相关费用、缴纳所欠税款并清偿理财产品负债后，</w:t>
      </w:r>
      <w:r>
        <w:rPr>
          <w:color w:val="auto"/>
          <w:highlight w:val="none"/>
          <w:u w:val="none"/>
        </w:rPr>
        <w:t>管</w:t>
      </w:r>
      <w:r>
        <w:rPr>
          <w:rFonts w:hint="eastAsia" w:ascii="仿宋_GB2312" w:hAnsi="宋体" w:cs="宋体"/>
          <w:bCs/>
          <w:color w:val="auto"/>
          <w:kern w:val="0"/>
          <w:szCs w:val="24"/>
          <w:highlight w:val="none"/>
          <w:u w:val="none"/>
        </w:rPr>
        <w:t>理人通过销售机构将投资者应得资金（如有，下同）划至投资者指定账户。本产品到期（含提前终止）时，如本产品项下财产全部变现，管理人将在产品到期后</w:t>
      </w:r>
      <w:r>
        <w:rPr>
          <w:rFonts w:hint="eastAsia" w:ascii="仿宋_GB2312" w:hAnsi="宋体" w:cs="宋体"/>
          <w:color w:val="auto"/>
          <w:kern w:val="0"/>
          <w:szCs w:val="24"/>
          <w:highlight w:val="yellow"/>
          <w:u w:val="none"/>
          <w:lang w:val="en-US" w:eastAsia="zh-CN"/>
        </w:rPr>
        <w:t>【3】</w:t>
      </w:r>
      <w:r>
        <w:rPr>
          <w:rFonts w:hint="eastAsia" w:ascii="仿宋_GB2312" w:hAnsi="宋体" w:cs="宋体"/>
          <w:bCs/>
          <w:color w:val="auto"/>
          <w:kern w:val="0"/>
          <w:szCs w:val="24"/>
          <w:highlight w:val="none"/>
          <w:u w:val="none"/>
        </w:rPr>
        <w:t>个</w:t>
      </w:r>
      <w:r>
        <w:rPr>
          <w:rFonts w:hint="eastAsia" w:ascii="仿宋_GB2312" w:hAnsi="宋体" w:cs="宋体"/>
          <w:bCs/>
          <w:color w:val="auto"/>
          <w:kern w:val="0"/>
          <w:szCs w:val="24"/>
          <w:highlight w:val="none"/>
          <w:u w:val="none"/>
          <w:lang w:eastAsia="zh-CN"/>
        </w:rPr>
        <w:t>工作日</w:t>
      </w:r>
      <w:r>
        <w:rPr>
          <w:rFonts w:hint="eastAsia" w:ascii="仿宋_GB2312" w:hAnsi="宋体" w:cs="宋体"/>
          <w:bCs/>
          <w:color w:val="auto"/>
          <w:kern w:val="0"/>
          <w:szCs w:val="24"/>
          <w:highlight w:val="none"/>
          <w:u w:val="none"/>
        </w:rPr>
        <w:t>内向投资者完成</w:t>
      </w:r>
      <w:r>
        <w:rPr>
          <w:rFonts w:ascii="仿宋_GB2312" w:hAnsi="宋体" w:cs="宋体"/>
          <w:bCs/>
          <w:color w:val="auto"/>
          <w:kern w:val="0"/>
          <w:szCs w:val="24"/>
          <w:highlight w:val="none"/>
          <w:u w:val="none"/>
        </w:rPr>
        <w:t>分配</w:t>
      </w:r>
      <w:r>
        <w:rPr>
          <w:rFonts w:hint="eastAsia" w:ascii="仿宋_GB2312" w:hAnsi="宋体" w:cs="宋体"/>
          <w:bCs/>
          <w:color w:val="auto"/>
          <w:kern w:val="0"/>
          <w:szCs w:val="24"/>
          <w:highlight w:val="none"/>
          <w:u w:val="none"/>
        </w:rPr>
        <w:t>。本产品到期日（或提前/延期终止日）至资金到账日期间，投资者理财资金如因清算安排实际产生利息的，相关利息归投资者所有。</w:t>
      </w:r>
    </w:p>
    <w:p w14:paraId="442DC2BD">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如因清算需要，本产品无法在到期后</w:t>
      </w:r>
      <w:r>
        <w:rPr>
          <w:rFonts w:hint="eastAsia" w:ascii="仿宋_GB2312" w:hAnsi="宋体" w:cs="宋体"/>
          <w:color w:val="auto"/>
          <w:kern w:val="0"/>
          <w:szCs w:val="24"/>
          <w:highlight w:val="yellow"/>
          <w:u w:val="none"/>
          <w:lang w:val="en-US" w:eastAsia="zh-CN"/>
        </w:rPr>
        <w:t>【3】</w:t>
      </w:r>
      <w:r>
        <w:rPr>
          <w:rFonts w:hint="eastAsia" w:ascii="仿宋_GB2312" w:hAnsi="宋体" w:cs="宋体"/>
          <w:bCs/>
          <w:color w:val="auto"/>
          <w:kern w:val="0"/>
          <w:szCs w:val="24"/>
          <w:highlight w:val="none"/>
          <w:u w:val="none"/>
        </w:rPr>
        <w:t>个</w:t>
      </w:r>
      <w:r>
        <w:rPr>
          <w:rFonts w:hint="eastAsia" w:ascii="仿宋_GB2312" w:hAnsi="宋体" w:cs="宋体"/>
          <w:bCs/>
          <w:color w:val="auto"/>
          <w:kern w:val="0"/>
          <w:szCs w:val="24"/>
          <w:highlight w:val="none"/>
          <w:u w:val="none"/>
          <w:lang w:eastAsia="zh-CN"/>
        </w:rPr>
        <w:t>工作日</w:t>
      </w:r>
      <w:r>
        <w:rPr>
          <w:rFonts w:hint="eastAsia" w:ascii="仿宋_GB2312" w:hAnsi="宋体" w:cs="宋体"/>
          <w:bCs/>
          <w:color w:val="auto"/>
          <w:kern w:val="0"/>
          <w:szCs w:val="24"/>
          <w:highlight w:val="none"/>
          <w:u w:val="none"/>
        </w:rPr>
        <w:t>内向投资者完成</w:t>
      </w:r>
      <w:r>
        <w:rPr>
          <w:rFonts w:ascii="仿宋_GB2312" w:hAnsi="宋体" w:cs="宋体"/>
          <w:bCs/>
          <w:color w:val="auto"/>
          <w:kern w:val="0"/>
          <w:szCs w:val="24"/>
          <w:highlight w:val="none"/>
          <w:u w:val="none"/>
        </w:rPr>
        <w:t>分配</w:t>
      </w:r>
      <w:r>
        <w:rPr>
          <w:rFonts w:hint="eastAsia" w:ascii="仿宋_GB2312" w:hAnsi="宋体" w:cs="宋体"/>
          <w:bCs/>
          <w:color w:val="auto"/>
          <w:kern w:val="0"/>
          <w:szCs w:val="24"/>
          <w:highlight w:val="none"/>
          <w:u w:val="none"/>
        </w:rPr>
        <w:t>的，管理人有权延后产品可得资金分配并于产品到期日前公告。</w:t>
      </w:r>
    </w:p>
    <w:p w14:paraId="50C5F464">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2.清算费用分别按照实际发生费用从产品资产中列支。</w:t>
      </w:r>
    </w:p>
    <w:p w14:paraId="57D23B0B">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3.产品资产清算剩余资产的分配</w:t>
      </w:r>
    </w:p>
    <w:p w14:paraId="100E4A8C">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产品资产按下列顺序清偿：</w:t>
      </w:r>
    </w:p>
    <w:p w14:paraId="070B18D9">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（1）支付清算费用和交纳所欠税款；</w:t>
      </w:r>
    </w:p>
    <w:p w14:paraId="233DB944">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（2）清偿产品债务；</w:t>
      </w:r>
    </w:p>
    <w:p w14:paraId="4CADD912">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（3）按产品份额持有人持有的产品份额比例进行分配。</w:t>
      </w:r>
    </w:p>
    <w:p w14:paraId="5D2FE165">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4.产品终止投资者到账资金计算</w:t>
      </w:r>
    </w:p>
    <w:p w14:paraId="20682F5B">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若产品终止或提前终止时本理财产品项下资产全部变现，产品管理人将</w:t>
      </w:r>
      <w:r>
        <w:rPr>
          <w:rFonts w:hint="eastAsia" w:ascii="仿宋_GB2312" w:hAnsi="宋体" w:cs="宋体"/>
          <w:bCs/>
          <w:color w:val="auto"/>
          <w:kern w:val="0"/>
          <w:szCs w:val="24"/>
          <w:highlight w:val="none"/>
          <w:u w:val="none"/>
        </w:rPr>
        <w:t>扣除理财产品财产清算费用、缴纳所欠税款并清偿理财产品债务后，按照各投资者持有理财产品份额占理财产品总份额的比例于</w:t>
      </w:r>
      <w:r>
        <w:rPr>
          <w:rFonts w:ascii="仿宋_GB2312" w:hAnsi="宋体" w:cs="宋体"/>
          <w:bCs/>
          <w:color w:val="auto"/>
          <w:kern w:val="0"/>
          <w:szCs w:val="24"/>
          <w:highlight w:val="none"/>
          <w:u w:val="none"/>
        </w:rPr>
        <w:t>产品到期日后</w:t>
      </w:r>
      <w:r>
        <w:rPr>
          <w:rFonts w:hint="eastAsia" w:ascii="仿宋_GB2312" w:hAnsi="宋体" w:cs="宋体"/>
          <w:color w:val="auto"/>
          <w:kern w:val="0"/>
          <w:szCs w:val="24"/>
          <w:highlight w:val="yellow"/>
          <w:u w:val="none"/>
          <w:lang w:val="en-US" w:eastAsia="zh-CN"/>
        </w:rPr>
        <w:t>【3】</w:t>
      </w:r>
      <w:r>
        <w:rPr>
          <w:rFonts w:ascii="仿宋_GB2312" w:hAnsi="宋体" w:cs="宋体"/>
          <w:bCs/>
          <w:color w:val="auto"/>
          <w:kern w:val="0"/>
          <w:szCs w:val="24"/>
          <w:highlight w:val="none"/>
          <w:u w:val="none"/>
        </w:rPr>
        <w:t>个</w:t>
      </w:r>
      <w:r>
        <w:rPr>
          <w:rFonts w:hint="eastAsia" w:ascii="仿宋_GB2312" w:hAnsi="宋体" w:cs="宋体"/>
          <w:bCs/>
          <w:color w:val="auto"/>
          <w:kern w:val="0"/>
          <w:szCs w:val="24"/>
          <w:highlight w:val="none"/>
          <w:u w:val="none"/>
          <w:lang w:eastAsia="zh-CN"/>
        </w:rPr>
        <w:t>工作日</w:t>
      </w:r>
      <w:r>
        <w:rPr>
          <w:rFonts w:ascii="仿宋_GB2312" w:hAnsi="宋体" w:cs="宋体"/>
          <w:bCs/>
          <w:color w:val="auto"/>
          <w:kern w:val="0"/>
          <w:szCs w:val="24"/>
          <w:highlight w:val="none"/>
          <w:u w:val="none"/>
        </w:rPr>
        <w:t>内或提前终止日后</w:t>
      </w:r>
      <w:r>
        <w:rPr>
          <w:rFonts w:hint="eastAsia" w:ascii="仿宋_GB2312" w:hAnsi="宋体" w:cs="宋体"/>
          <w:color w:val="auto"/>
          <w:kern w:val="0"/>
          <w:szCs w:val="24"/>
          <w:highlight w:val="yellow"/>
          <w:u w:val="none"/>
          <w:lang w:val="en-US" w:eastAsia="zh-CN"/>
        </w:rPr>
        <w:t>【3】</w:t>
      </w:r>
      <w:r>
        <w:rPr>
          <w:rFonts w:ascii="仿宋_GB2312" w:hAnsi="宋体" w:cs="宋体"/>
          <w:bCs/>
          <w:color w:val="auto"/>
          <w:kern w:val="0"/>
          <w:szCs w:val="24"/>
          <w:highlight w:val="none"/>
          <w:u w:val="none"/>
        </w:rPr>
        <w:t>个</w:t>
      </w:r>
      <w:r>
        <w:rPr>
          <w:rFonts w:hint="eastAsia" w:ascii="仿宋_GB2312" w:hAnsi="宋体" w:cs="宋体"/>
          <w:bCs/>
          <w:color w:val="auto"/>
          <w:kern w:val="0"/>
          <w:szCs w:val="24"/>
          <w:highlight w:val="none"/>
          <w:u w:val="none"/>
          <w:lang w:eastAsia="zh-CN"/>
        </w:rPr>
        <w:t>工作日</w:t>
      </w:r>
      <w:r>
        <w:rPr>
          <w:rFonts w:hint="eastAsia" w:ascii="仿宋_GB2312" w:hAnsi="宋体" w:cs="宋体"/>
          <w:bCs/>
          <w:color w:val="auto"/>
          <w:kern w:val="0"/>
          <w:szCs w:val="24"/>
          <w:highlight w:val="none"/>
          <w:u w:val="none"/>
        </w:rPr>
        <w:t>通过销售机构</w:t>
      </w:r>
      <w:r>
        <w:rPr>
          <w:rFonts w:ascii="仿宋_GB2312" w:hAnsi="宋体" w:cs="宋体"/>
          <w:bCs/>
          <w:color w:val="auto"/>
          <w:kern w:val="0"/>
          <w:szCs w:val="24"/>
          <w:highlight w:val="none"/>
          <w:u w:val="none"/>
        </w:rPr>
        <w:t>内将投资者应得资金划转投资者指定账户。计算公式如下：</w:t>
      </w:r>
    </w:p>
    <w:p w14:paraId="581FE349">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本产品兑付金额(理财产品总资产净值)=理财产品资产总值-理财产品负债总值</w:t>
      </w:r>
    </w:p>
    <w:p w14:paraId="08AC7D41">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其中，投资者到账金额计算公式如下：</w:t>
      </w:r>
    </w:p>
    <w:p w14:paraId="10AF5523">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本产品投资者到账金额=投资者在到期日持有理财产品份额/理财产品总份额*理财产品总资产净值，</w:t>
      </w:r>
      <w:r>
        <w:rPr>
          <w:rFonts w:ascii="仿宋_GB2312" w:hAnsi="宋体" w:cs="宋体"/>
          <w:bCs/>
          <w:color w:val="auto"/>
          <w:kern w:val="0"/>
          <w:szCs w:val="24"/>
          <w:highlight w:val="none"/>
          <w:u w:val="none"/>
        </w:rPr>
        <w:t>最终资金以实际到账为准。</w:t>
      </w:r>
    </w:p>
    <w:p w14:paraId="68CD035E">
      <w:pPr>
        <w:widowControl/>
        <w:tabs>
          <w:tab w:val="left" w:pos="709"/>
        </w:tabs>
        <w:snapToGrid w:val="0"/>
        <w:spacing w:line="360" w:lineRule="auto"/>
        <w:ind w:firstLine="420" w:firstLineChars="200"/>
        <w:rPr>
          <w:rFonts w:hint="eastAsia" w:ascii="仿宋_GB2312" w:hAnsi="宋体" w:cs="宋体"/>
          <w:bCs/>
          <w:kern w:val="0"/>
          <w:szCs w:val="24"/>
        </w:rPr>
      </w:pPr>
      <w:r>
        <w:rPr>
          <w:rFonts w:ascii="仿宋_GB2312" w:hAnsi="宋体" w:cs="宋体"/>
          <w:bCs/>
          <w:kern w:val="0"/>
          <w:szCs w:val="24"/>
        </w:rPr>
        <w:t>产品终止日，如产品投资资产因市场风险、信用风险以及监管风险等原因不能全部变现且产品管理人未对本产品进行延期则本产品进入延期清算程序。产品延期清算时，产品管理人将提前发布相关公告。产品管理人将产品持有的现金类资产在扣除支付清算费用和交纳所欠税款、清偿产品债务后，如仍有剩余资金</w:t>
      </w:r>
      <w:r>
        <w:rPr>
          <w:rFonts w:hint="eastAsia" w:ascii="仿宋_GB2312" w:hAnsi="宋体" w:cs="宋体"/>
          <w:bCs/>
          <w:kern w:val="0"/>
          <w:szCs w:val="24"/>
        </w:rPr>
        <w:t>，</w:t>
      </w:r>
      <w:r>
        <w:rPr>
          <w:rFonts w:ascii="仿宋_GB2312" w:hAnsi="宋体" w:cs="宋体"/>
          <w:bCs/>
          <w:kern w:val="0"/>
          <w:szCs w:val="24"/>
        </w:rPr>
        <w:t>可</w:t>
      </w:r>
      <w:r>
        <w:rPr>
          <w:rFonts w:hint="eastAsia" w:ascii="仿宋_GB2312" w:hAnsi="宋体" w:cs="宋体"/>
          <w:bCs/>
          <w:kern w:val="0"/>
          <w:szCs w:val="24"/>
        </w:rPr>
        <w:t>按照各投资者持有理财产品份额占理财产品总份额的比例</w:t>
      </w:r>
      <w:r>
        <w:rPr>
          <w:rFonts w:ascii="仿宋_GB2312" w:hAnsi="宋体" w:cs="宋体"/>
          <w:bCs/>
          <w:kern w:val="0"/>
          <w:szCs w:val="24"/>
        </w:rPr>
        <w:t>分配给</w:t>
      </w:r>
      <w:r>
        <w:rPr>
          <w:rFonts w:hint="eastAsia" w:ascii="仿宋_GB2312" w:hAnsi="宋体" w:cs="宋体"/>
          <w:bCs/>
          <w:kern w:val="0"/>
          <w:szCs w:val="24"/>
        </w:rPr>
        <w:t>投资者</w:t>
      </w:r>
      <w:r>
        <w:rPr>
          <w:rFonts w:ascii="仿宋_GB2312" w:hAnsi="宋体" w:cs="宋体"/>
          <w:bCs/>
          <w:kern w:val="0"/>
          <w:szCs w:val="24"/>
        </w:rPr>
        <w:t>。对于未变现资产部分，产品管理人以投资者利益最大化的原则，寻求未变现资产变现方式，在资产变现后，产品持有的现金类资产在扣除剩余未支付的清算费用和交纳所欠税款、清偿产品债务后，</w:t>
      </w:r>
      <w:r>
        <w:rPr>
          <w:rFonts w:hint="eastAsia" w:ascii="仿宋_GB2312" w:hAnsi="宋体" w:cs="宋体"/>
          <w:bCs/>
          <w:kern w:val="0"/>
          <w:szCs w:val="24"/>
        </w:rPr>
        <w:t>按照各投资者持有理财产品份额占理财产品总份额的比例</w:t>
      </w:r>
      <w:r>
        <w:rPr>
          <w:rFonts w:ascii="仿宋_GB2312" w:hAnsi="宋体" w:cs="宋体"/>
          <w:bCs/>
          <w:kern w:val="0"/>
          <w:szCs w:val="24"/>
        </w:rPr>
        <w:t>于产品清算完毕后的</w:t>
      </w:r>
      <w:r>
        <w:rPr>
          <w:rFonts w:hint="eastAsia" w:ascii="仿宋_GB2312" w:hAnsi="宋体" w:cs="宋体"/>
          <w:bCs/>
          <w:kern w:val="0"/>
          <w:szCs w:val="24"/>
          <w:highlight w:val="yellow"/>
        </w:rPr>
        <w:t>3</w:t>
      </w:r>
      <w:r>
        <w:rPr>
          <w:rFonts w:ascii="仿宋_GB2312" w:hAnsi="宋体" w:cs="宋体"/>
          <w:bCs/>
          <w:kern w:val="0"/>
          <w:szCs w:val="24"/>
          <w:highlight w:val="yellow"/>
        </w:rPr>
        <w:t>个</w:t>
      </w:r>
      <w:r>
        <w:rPr>
          <w:rFonts w:hint="eastAsia" w:ascii="仿宋_GB2312" w:hAnsi="宋体" w:cs="宋体"/>
          <w:bCs/>
          <w:kern w:val="0"/>
          <w:szCs w:val="24"/>
          <w:highlight w:val="yellow"/>
        </w:rPr>
        <w:t>工作日</w:t>
      </w:r>
      <w:r>
        <w:rPr>
          <w:rFonts w:ascii="仿宋_GB2312" w:hAnsi="宋体" w:cs="宋体"/>
          <w:bCs/>
          <w:kern w:val="0"/>
          <w:szCs w:val="24"/>
        </w:rPr>
        <w:t>内分配给</w:t>
      </w:r>
      <w:r>
        <w:rPr>
          <w:rFonts w:hint="eastAsia" w:ascii="仿宋_GB2312" w:hAnsi="宋体" w:cs="宋体"/>
          <w:bCs/>
          <w:kern w:val="0"/>
          <w:szCs w:val="24"/>
        </w:rPr>
        <w:t>投资者</w:t>
      </w:r>
      <w:r>
        <w:rPr>
          <w:rFonts w:ascii="仿宋_GB2312" w:hAnsi="宋体" w:cs="宋体"/>
          <w:bCs/>
          <w:kern w:val="0"/>
          <w:szCs w:val="24"/>
        </w:rPr>
        <w:t>。</w:t>
      </w:r>
    </w:p>
    <w:p w14:paraId="21CF4C33">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产品管理人拟进行二次或多次清算的，管理人应向投资者及时披露。</w:t>
      </w:r>
    </w:p>
    <w:p w14:paraId="73D9811D">
      <w:pPr>
        <w:jc w:val="left"/>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br w:type="page"/>
      </w:r>
    </w:p>
    <w:p w14:paraId="67C08EDB">
      <w:pPr>
        <w:pStyle w:val="2"/>
        <w:numPr>
          <w:ilvl w:val="0"/>
          <w:numId w:val="11"/>
        </w:numPr>
        <w:rPr>
          <w:color w:val="auto"/>
          <w:highlight w:val="none"/>
          <w:u w:val="none"/>
        </w:rPr>
      </w:pPr>
      <w:r>
        <w:rPr>
          <w:rFonts w:hint="eastAsia"/>
          <w:color w:val="auto"/>
          <w:highlight w:val="none"/>
          <w:u w:val="none"/>
        </w:rPr>
        <w:t>理财产品的信息披露</w:t>
      </w:r>
    </w:p>
    <w:p w14:paraId="03554D4F">
      <w:pPr>
        <w:pStyle w:val="3"/>
        <w:numPr>
          <w:ilvl w:val="1"/>
          <w:numId w:val="11"/>
        </w:numPr>
        <w:ind w:firstLine="482"/>
        <w:rPr>
          <w:color w:val="auto"/>
          <w:highlight w:val="none"/>
          <w:u w:val="none"/>
        </w:rPr>
      </w:pPr>
      <w:r>
        <w:rPr>
          <w:rFonts w:hint="eastAsia"/>
          <w:color w:val="auto"/>
          <w:highlight w:val="none"/>
          <w:u w:val="none"/>
        </w:rPr>
        <w:t>信息披露方式</w:t>
      </w:r>
    </w:p>
    <w:p w14:paraId="491380FF">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本理财产品将通过</w:t>
      </w:r>
      <w:r>
        <w:rPr>
          <w:rFonts w:hint="eastAsia" w:ascii="仿宋_GB2312" w:hAnsi="宋体" w:cs="宋体"/>
          <w:b/>
          <w:color w:val="auto"/>
          <w:kern w:val="0"/>
          <w:szCs w:val="24"/>
          <w:highlight w:val="yellow"/>
          <w:u w:val="none"/>
          <w:lang w:eastAsia="zh-CN"/>
        </w:rPr>
        <w:t>【中国理财网】</w:t>
      </w:r>
      <w:r>
        <w:rPr>
          <w:rFonts w:hint="eastAsia" w:ascii="仿宋_GB2312" w:hAnsi="宋体" w:cs="宋体"/>
          <w:b/>
          <w:color w:val="auto"/>
          <w:kern w:val="0"/>
          <w:szCs w:val="24"/>
          <w:highlight w:val="none"/>
          <w:u w:val="none"/>
          <w:lang w:eastAsia="zh-CN"/>
        </w:rPr>
        <w:t>、</w:t>
      </w:r>
      <w:r>
        <w:rPr>
          <w:rFonts w:hint="eastAsia" w:ascii="仿宋_GB2312" w:hAnsi="宋体" w:cs="宋体"/>
          <w:b/>
          <w:color w:val="auto"/>
          <w:kern w:val="0"/>
          <w:szCs w:val="24"/>
          <w:highlight w:val="none"/>
          <w:u w:val="none"/>
        </w:rPr>
        <w:t>产品管理人官方网站</w:t>
      </w:r>
      <w:r>
        <w:rPr>
          <w:rFonts w:hint="eastAsia" w:ascii="仿宋_GB2312" w:hAnsi="宋体" w:cs="宋体"/>
          <w:b/>
          <w:color w:val="auto"/>
          <w:kern w:val="0"/>
          <w:szCs w:val="24"/>
          <w:highlight w:val="yellow"/>
          <w:u w:val="none"/>
        </w:rPr>
        <w:t>【</w:t>
      </w:r>
      <w:r>
        <w:rPr>
          <w:rFonts w:ascii="仿宋_GB2312" w:hAnsi="宋体" w:cs="宋体"/>
          <w:b/>
          <w:color w:val="auto"/>
          <w:kern w:val="0"/>
          <w:szCs w:val="24"/>
          <w:highlight w:val="yellow"/>
          <w:u w:val="none"/>
        </w:rPr>
        <w:t>www.czbank-wm.com</w:t>
      </w:r>
      <w:r>
        <w:rPr>
          <w:rFonts w:hint="eastAsia" w:ascii="仿宋_GB2312" w:hAnsi="宋体" w:cs="宋体"/>
          <w:b/>
          <w:color w:val="auto"/>
          <w:kern w:val="0"/>
          <w:szCs w:val="24"/>
          <w:highlight w:val="yellow"/>
          <w:u w:val="none"/>
        </w:rPr>
        <w:t>】</w:t>
      </w:r>
      <w:r>
        <w:rPr>
          <w:rFonts w:hint="eastAsia"/>
          <w:color w:val="auto"/>
          <w:highlight w:val="none"/>
          <w:u w:val="none"/>
        </w:rPr>
        <w:t>、</w:t>
      </w:r>
      <w:r>
        <w:rPr>
          <w:rFonts w:hint="eastAsia" w:ascii="仿宋_GB2312" w:hAnsi="宋体" w:cs="宋体"/>
          <w:b/>
          <w:color w:val="auto"/>
          <w:kern w:val="0"/>
          <w:szCs w:val="24"/>
          <w:highlight w:val="none"/>
          <w:u w:val="none"/>
        </w:rPr>
        <w:t>销售机构官方网站、个人手机银行或其他约定的方式等</w:t>
      </w:r>
      <w:r>
        <w:rPr>
          <w:rFonts w:hint="eastAsia" w:cs="宋体" w:asciiTheme="minorEastAsia" w:hAnsiTheme="minorEastAsia"/>
          <w:b/>
          <w:color w:val="auto"/>
          <w:kern w:val="0"/>
          <w:szCs w:val="24"/>
          <w:highlight w:val="none"/>
          <w:u w:val="none"/>
        </w:rPr>
        <w:t>一种或多种渠道</w:t>
      </w:r>
      <w:r>
        <w:rPr>
          <w:rFonts w:hint="eastAsia" w:ascii="仿宋_GB2312" w:hAnsi="宋体" w:cs="宋体"/>
          <w:b/>
          <w:color w:val="auto"/>
          <w:kern w:val="0"/>
          <w:szCs w:val="24"/>
          <w:highlight w:val="none"/>
          <w:u w:val="none"/>
        </w:rPr>
        <w:t>进行信息披露。相关信息自披露之日即视为已送达投资者，也视为产品管理人已适当披露理财产品相关信息。投资者应及时查看，以免因未及时获知信息而错过资金使用和再投资的机会。若由于投资者原因未能及时登陆产品管理人官方网站、销售机构信息披露渠道获取披露信息，所造成的后果将由投资者自行承担，产品管理人不承担相应责任。</w:t>
      </w:r>
    </w:p>
    <w:p w14:paraId="495E7DCC">
      <w:pPr>
        <w:pStyle w:val="3"/>
        <w:numPr>
          <w:ilvl w:val="1"/>
          <w:numId w:val="11"/>
        </w:numPr>
        <w:ind w:firstLine="482"/>
        <w:rPr>
          <w:color w:val="auto"/>
          <w:highlight w:val="none"/>
          <w:u w:val="none"/>
        </w:rPr>
      </w:pPr>
      <w:r>
        <w:rPr>
          <w:rFonts w:hint="eastAsia"/>
          <w:color w:val="auto"/>
          <w:highlight w:val="none"/>
          <w:u w:val="none"/>
        </w:rPr>
        <w:t>信息披露内容</w:t>
      </w:r>
    </w:p>
    <w:p w14:paraId="48EB9451">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1.产品类型、募集信息、产品净值、产品规模、收益情况；</w:t>
      </w:r>
    </w:p>
    <w:p w14:paraId="5B526495">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2.产品直接和间接投资的资产种类、投资比例、</w:t>
      </w:r>
      <w:r>
        <w:rPr>
          <w:rFonts w:hint="eastAsia" w:ascii="仿宋_GB2312" w:hAnsi="宋体" w:cs="宋体"/>
          <w:b/>
          <w:color w:val="auto"/>
          <w:kern w:val="0"/>
          <w:szCs w:val="24"/>
          <w:highlight w:val="none"/>
          <w:u w:val="none"/>
          <w:lang w:val="zh-CN"/>
        </w:rPr>
        <w:t>前十项资产具体名称、规模和比例等信息、</w:t>
      </w:r>
      <w:r>
        <w:rPr>
          <w:rFonts w:hint="eastAsia" w:ascii="仿宋_GB2312" w:hAnsi="宋体" w:cs="宋体"/>
          <w:b/>
          <w:color w:val="auto"/>
          <w:kern w:val="0"/>
          <w:szCs w:val="24"/>
          <w:highlight w:val="none"/>
          <w:u w:val="none"/>
        </w:rPr>
        <w:t>杠杆水平以及流动性风险分析；</w:t>
      </w:r>
    </w:p>
    <w:p w14:paraId="671AB212">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3.产品估值方法、托管安排；</w:t>
      </w:r>
    </w:p>
    <w:p w14:paraId="6C8E73B2">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4.产品收益分配、各项费用情况及主要投资风险；</w:t>
      </w:r>
    </w:p>
    <w:p w14:paraId="17A893D8">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5.如本理财产品投资于理财产品管理人或托管机构的主要股东、实际控制人、一致行动人、最终受益人，托管机构，同一股东或托管机构控股的机构，或者与理财产品管理人或托管机构有重大利害关系的机构，以及国家金融监督管理机构关于关联交易管理相关规定中涉及的其他关联方发行或承销的证券、发行的资产管理产品，或者从事其他关联交易的，应当在理财产品管理人官方网站或者行业统一渠道披露关联交易信息，在理财产品管理人年报中披露当年关联交易总体情况，并应向投资者充分披露。</w:t>
      </w:r>
    </w:p>
    <w:p w14:paraId="18E6ED75">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6.其他影响本产品投资运作的重大事项、突发事件、临时性信息披露等。</w:t>
      </w:r>
    </w:p>
    <w:p w14:paraId="07537C6D">
      <w:pPr>
        <w:pStyle w:val="3"/>
        <w:numPr>
          <w:ilvl w:val="1"/>
          <w:numId w:val="11"/>
        </w:numPr>
        <w:tabs>
          <w:tab w:val="left" w:pos="0"/>
          <w:tab w:val="left" w:pos="709"/>
        </w:tabs>
        <w:ind w:firstLine="480" w:firstLineChars="0"/>
        <w:rPr>
          <w:color w:val="auto"/>
          <w:highlight w:val="none"/>
          <w:u w:val="none"/>
        </w:rPr>
      </w:pPr>
      <w:r>
        <w:rPr>
          <w:rFonts w:hint="eastAsia"/>
          <w:color w:val="auto"/>
          <w:highlight w:val="none"/>
          <w:u w:val="none"/>
        </w:rPr>
        <w:t>信息披露频率</w:t>
      </w:r>
    </w:p>
    <w:p w14:paraId="3EF13327">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ascii="仿宋_GB2312" w:hAnsi="宋体" w:cs="宋体"/>
          <w:color w:val="auto"/>
          <w:kern w:val="0"/>
          <w:szCs w:val="24"/>
          <w:highlight w:val="none"/>
          <w:u w:val="none"/>
        </w:rPr>
        <w:t>1.发行公告：本产品成立后5个工作日（含）内，将发布本理财产品成立公告；如</w:t>
      </w:r>
      <w:r>
        <w:rPr>
          <w:rFonts w:hint="eastAsia" w:ascii="仿宋_GB2312" w:hAnsi="宋体" w:cs="宋体"/>
          <w:color w:val="auto"/>
          <w:kern w:val="0"/>
          <w:szCs w:val="24"/>
          <w:highlight w:val="none"/>
          <w:u w:val="none"/>
        </w:rPr>
        <w:t>产品</w:t>
      </w:r>
      <w:r>
        <w:rPr>
          <w:rFonts w:ascii="仿宋_GB2312" w:hAnsi="宋体" w:cs="宋体"/>
          <w:color w:val="auto"/>
          <w:kern w:val="0"/>
          <w:szCs w:val="24"/>
          <w:highlight w:val="none"/>
          <w:u w:val="none"/>
        </w:rPr>
        <w:t>管理人决定本理财产品募集期延长，将于原定成立日前发布理财产品募集期延长公告；</w:t>
      </w:r>
      <w:r>
        <w:rPr>
          <w:rFonts w:hint="eastAsia" w:ascii="仿宋_GB2312" w:hAnsi="宋体" w:cs="宋体"/>
          <w:color w:val="auto"/>
          <w:kern w:val="0"/>
          <w:szCs w:val="24"/>
          <w:highlight w:val="none"/>
          <w:u w:val="none"/>
        </w:rPr>
        <w:t>产品</w:t>
      </w:r>
      <w:r>
        <w:rPr>
          <w:rFonts w:ascii="仿宋_GB2312" w:hAnsi="宋体" w:cs="宋体"/>
          <w:color w:val="auto"/>
          <w:kern w:val="0"/>
          <w:szCs w:val="24"/>
          <w:highlight w:val="none"/>
          <w:u w:val="none"/>
        </w:rPr>
        <w:t>管理人决定本理财产品不成立，将在理财产品原定成立日后的2个工作日（含）内发布理财产品不成立公告。</w:t>
      </w:r>
    </w:p>
    <w:p w14:paraId="40035D41">
      <w:pPr>
        <w:widowControl/>
        <w:numPr>
          <w:ilvl w:val="0"/>
          <w:numId w:val="0"/>
        </w:numPr>
        <w:tabs>
          <w:tab w:val="left" w:pos="1261"/>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ascii="仿宋_GB2312" w:hAnsi="宋体" w:cs="宋体"/>
          <w:color w:val="auto"/>
          <w:kern w:val="0"/>
          <w:szCs w:val="24"/>
          <w:highlight w:val="none"/>
          <w:u w:val="none"/>
        </w:rPr>
        <w:t>2.定期公告：本产品在</w:t>
      </w:r>
      <w:r>
        <w:rPr>
          <w:rFonts w:hint="eastAsia" w:ascii="仿宋_GB2312" w:hAnsi="宋体" w:cs="宋体"/>
          <w:color w:val="auto"/>
          <w:kern w:val="0"/>
          <w:szCs w:val="24"/>
          <w:highlight w:val="none"/>
          <w:u w:val="none"/>
        </w:rPr>
        <w:t>每个季度结束之日起十五个工作日内披露产品的季度报告，每年8月31日前披露产品的半年度报告，每年4月30日前披露产品上一年度的年度报告。产品成立不足</w:t>
      </w:r>
      <w:r>
        <w:rPr>
          <w:rFonts w:ascii="仿宋_GB2312" w:hAnsi="宋体" w:cs="宋体"/>
          <w:color w:val="auto"/>
          <w:kern w:val="0"/>
          <w:szCs w:val="24"/>
          <w:highlight w:val="none"/>
          <w:u w:val="none"/>
        </w:rPr>
        <w:t>90</w:t>
      </w:r>
      <w:r>
        <w:rPr>
          <w:rFonts w:hint="eastAsia" w:ascii="仿宋_GB2312" w:hAnsi="宋体" w:cs="宋体"/>
          <w:color w:val="auto"/>
          <w:kern w:val="0"/>
          <w:szCs w:val="24"/>
          <w:highlight w:val="none"/>
          <w:u w:val="none"/>
        </w:rPr>
        <w:t>个</w:t>
      </w:r>
      <w:r>
        <w:rPr>
          <w:rFonts w:hint="eastAsia" w:ascii="仿宋_GB2312" w:hAnsi="宋体" w:cs="宋体"/>
          <w:color w:val="auto"/>
          <w:kern w:val="0"/>
          <w:szCs w:val="24"/>
          <w:highlight w:val="none"/>
          <w:u w:val="none"/>
          <w:lang w:eastAsia="zh-CN"/>
        </w:rPr>
        <w:t>自然日</w:t>
      </w:r>
      <w:r>
        <w:rPr>
          <w:rFonts w:hint="eastAsia" w:ascii="仿宋_GB2312" w:hAnsi="宋体" w:cs="宋体"/>
          <w:color w:val="auto"/>
          <w:kern w:val="0"/>
          <w:szCs w:val="24"/>
          <w:highlight w:val="none"/>
          <w:u w:val="none"/>
        </w:rPr>
        <w:t>或者</w:t>
      </w:r>
      <w:r>
        <w:rPr>
          <w:rFonts w:hint="eastAsia" w:ascii="仿宋_GB2312"/>
          <w:color w:val="auto"/>
          <w:szCs w:val="32"/>
          <w:highlight w:val="none"/>
        </w:rPr>
        <w:t>理财产品剩余存续期不足完整报告期，且到期公告或清算报告包括对应定期报告内容的</w:t>
      </w:r>
      <w:r>
        <w:rPr>
          <w:rFonts w:hint="eastAsia" w:ascii="仿宋_GB2312" w:hAnsi="宋体" w:cs="宋体"/>
          <w:color w:val="auto"/>
          <w:kern w:val="0"/>
          <w:szCs w:val="24"/>
          <w:highlight w:val="none"/>
          <w:u w:val="none"/>
        </w:rPr>
        <w:t>，将不编制本产品当期的季度、半年和年度报告。</w:t>
      </w:r>
    </w:p>
    <w:p w14:paraId="25594263">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ascii="仿宋_GB2312" w:hAnsi="宋体" w:cs="宋体"/>
          <w:color w:val="auto"/>
          <w:kern w:val="0"/>
          <w:szCs w:val="24"/>
          <w:highlight w:val="none"/>
          <w:u w:val="none"/>
        </w:rPr>
        <w:t>3.到期公告：本产品在终止后5</w:t>
      </w:r>
      <w:r>
        <w:rPr>
          <w:rFonts w:hint="eastAsia" w:ascii="仿宋_GB2312" w:hAnsi="宋体" w:cs="宋体"/>
          <w:color w:val="auto"/>
          <w:kern w:val="0"/>
          <w:szCs w:val="24"/>
          <w:highlight w:val="none"/>
          <w:u w:val="none"/>
        </w:rPr>
        <w:t>个工作日内，披露本产品到期公告，包括理财产品的存续期限、终止日期、收费情况和收益分配情况等信息。本产品终止后5个工作日内，产品管理人发布产品到期公告。</w:t>
      </w:r>
    </w:p>
    <w:p w14:paraId="1ECB62D9">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如果产品管理人提前或</w:t>
      </w:r>
      <w:r>
        <w:rPr>
          <w:rFonts w:ascii="仿宋_GB2312" w:hAnsi="宋体" w:cs="宋体"/>
          <w:color w:val="auto"/>
          <w:kern w:val="0"/>
          <w:szCs w:val="24"/>
          <w:highlight w:val="none"/>
          <w:u w:val="none"/>
        </w:rPr>
        <w:t>延后</w:t>
      </w:r>
      <w:r>
        <w:rPr>
          <w:rFonts w:hint="eastAsia" w:ascii="仿宋_GB2312" w:hAnsi="宋体" w:cs="宋体"/>
          <w:color w:val="auto"/>
          <w:kern w:val="0"/>
          <w:szCs w:val="24"/>
          <w:highlight w:val="none"/>
          <w:u w:val="none"/>
        </w:rPr>
        <w:t>终止本产品，产品管理人将提前</w:t>
      </w: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个工作日进行公告。</w:t>
      </w:r>
    </w:p>
    <w:p w14:paraId="7C2AD771">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ascii="仿宋_GB2312" w:hAnsi="宋体" w:cs="宋体"/>
          <w:color w:val="auto"/>
          <w:kern w:val="0"/>
          <w:szCs w:val="24"/>
          <w:highlight w:val="none"/>
          <w:u w:val="none"/>
        </w:rPr>
        <w:t>4.开放日</w:t>
      </w:r>
      <w:r>
        <w:rPr>
          <w:rFonts w:hint="eastAsia" w:ascii="仿宋_GB2312" w:hAnsi="宋体" w:cs="宋体"/>
          <w:color w:val="auto"/>
          <w:kern w:val="0"/>
          <w:szCs w:val="24"/>
          <w:highlight w:val="none"/>
          <w:u w:val="none"/>
        </w:rPr>
        <w:t>（估值日</w:t>
      </w:r>
      <w:r>
        <w:rPr>
          <w:rFonts w:ascii="仿宋_GB2312" w:hAnsi="宋体" w:cs="宋体"/>
          <w:color w:val="auto"/>
          <w:kern w:val="0"/>
          <w:szCs w:val="24"/>
          <w:highlight w:val="none"/>
          <w:u w:val="none"/>
        </w:rPr>
        <w:t>）公告：</w:t>
      </w:r>
      <w:r>
        <w:rPr>
          <w:rFonts w:hint="eastAsia" w:ascii="仿宋_GB2312" w:hAnsi="宋体" w:cs="宋体"/>
          <w:color w:val="auto"/>
          <w:kern w:val="0"/>
          <w:szCs w:val="24"/>
          <w:highlight w:val="none"/>
          <w:u w:val="none"/>
        </w:rPr>
        <w:t>产品管理人在申购日</w:t>
      </w:r>
      <w:r>
        <w:rPr>
          <w:rFonts w:ascii="仿宋_GB2312" w:hAnsi="宋体" w:cs="宋体"/>
          <w:color w:val="auto"/>
          <w:kern w:val="0"/>
          <w:szCs w:val="24"/>
          <w:highlight w:val="none"/>
          <w:u w:val="none"/>
        </w:rPr>
        <w:t>/赎回日结束后2</w:t>
      </w:r>
      <w:r>
        <w:rPr>
          <w:rFonts w:hint="eastAsia" w:ascii="仿宋_GB2312" w:hAnsi="宋体" w:cs="宋体"/>
          <w:color w:val="auto"/>
          <w:kern w:val="0"/>
          <w:szCs w:val="24"/>
          <w:highlight w:val="none"/>
          <w:u w:val="none"/>
        </w:rPr>
        <w:t>个工作日内披露开放日公告，公告内容包括申购日</w:t>
      </w:r>
      <w:r>
        <w:rPr>
          <w:rFonts w:ascii="仿宋_GB2312" w:hAnsi="宋体" w:cs="宋体"/>
          <w:color w:val="auto"/>
          <w:kern w:val="0"/>
          <w:szCs w:val="24"/>
          <w:highlight w:val="none"/>
          <w:u w:val="none"/>
        </w:rPr>
        <w:t>/赎回日的产品份额净值、产品份额累计净值、</w:t>
      </w:r>
      <w:r>
        <w:rPr>
          <w:rFonts w:hint="eastAsia" w:ascii="仿宋_GB2312" w:hAnsi="宋体" w:cs="宋体"/>
          <w:color w:val="auto"/>
          <w:kern w:val="0"/>
          <w:szCs w:val="24"/>
          <w:highlight w:val="none"/>
          <w:u w:val="none"/>
        </w:rPr>
        <w:t>申购/赎回</w:t>
      </w:r>
      <w:r>
        <w:rPr>
          <w:rFonts w:ascii="仿宋_GB2312" w:hAnsi="宋体" w:cs="宋体"/>
          <w:color w:val="auto"/>
          <w:kern w:val="0"/>
          <w:szCs w:val="24"/>
          <w:highlight w:val="none"/>
          <w:u w:val="none"/>
        </w:rPr>
        <w:t>价格</w:t>
      </w:r>
      <w:r>
        <w:rPr>
          <w:rFonts w:hint="eastAsia" w:ascii="仿宋_GB2312" w:hAnsi="宋体" w:cs="宋体"/>
          <w:color w:val="auto"/>
          <w:kern w:val="0"/>
          <w:szCs w:val="24"/>
          <w:highlight w:val="none"/>
          <w:u w:val="none"/>
        </w:rPr>
        <w:t>。如遇法定节假日顺延。如遇产品到期日、季度末、半年度末、年度末等时间节点，产品管理人将增加估值日。此外，如遇其他特殊情况，以产品管理人信息披露为准。</w:t>
      </w:r>
    </w:p>
    <w:p w14:paraId="21901B9E">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5</w:t>
      </w:r>
      <w:r>
        <w:rPr>
          <w:rFonts w:ascii="仿宋_GB2312" w:hAnsi="宋体" w:cs="宋体"/>
          <w:color w:val="auto"/>
          <w:kern w:val="0"/>
          <w:szCs w:val="24"/>
          <w:highlight w:val="none"/>
          <w:u w:val="none"/>
        </w:rPr>
        <w:t>.</w:t>
      </w:r>
      <w:r>
        <w:rPr>
          <w:rFonts w:hint="eastAsia" w:ascii="仿宋_GB2312" w:hAnsi="宋体" w:cs="宋体"/>
          <w:color w:val="auto"/>
          <w:kern w:val="0"/>
          <w:szCs w:val="24"/>
          <w:highlight w:val="none"/>
          <w:u w:val="none"/>
        </w:rPr>
        <w:t>产品临时公告</w:t>
      </w:r>
    </w:p>
    <w:p w14:paraId="14EC0ED5">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1</w:t>
      </w:r>
      <w:r>
        <w:rPr>
          <w:rFonts w:hint="eastAsia" w:ascii="仿宋_GB2312" w:hAnsi="宋体" w:cs="宋体"/>
          <w:color w:val="auto"/>
          <w:kern w:val="0"/>
          <w:szCs w:val="24"/>
          <w:highlight w:val="none"/>
          <w:u w:val="none"/>
        </w:rPr>
        <w:t>）产品管理人对产品类型、投资范围、资产种类、投资比例、风险等级、产品期限、运作方式、认（申）购和赎回安排（包含认购或申购赎回时间、金额上下限等）、估值方法、收益分配安排</w:t>
      </w:r>
      <w:r>
        <w:rPr>
          <w:rFonts w:hint="eastAsia" w:ascii="仿宋_GB2312" w:hAnsi="宋体" w:cs="宋体"/>
          <w:color w:val="auto"/>
          <w:kern w:val="0"/>
          <w:szCs w:val="24"/>
          <w:highlight w:val="none"/>
          <w:u w:val="none"/>
          <w:lang w:eastAsia="zh-CN"/>
        </w:rPr>
        <w:t>、</w:t>
      </w:r>
      <w:r>
        <w:rPr>
          <w:rFonts w:hint="eastAsia" w:ascii="仿宋_GB2312"/>
          <w:color w:val="auto"/>
          <w:szCs w:val="32"/>
          <w:highlight w:val="none"/>
        </w:rPr>
        <w:t>份额类别</w:t>
      </w:r>
      <w:r>
        <w:rPr>
          <w:rFonts w:hint="eastAsia" w:ascii="仿宋_GB2312"/>
          <w:color w:val="auto"/>
          <w:szCs w:val="32"/>
          <w:highlight w:val="none"/>
          <w:lang w:eastAsia="zh-CN"/>
        </w:rPr>
        <w:t>、</w:t>
      </w:r>
      <w:r>
        <w:rPr>
          <w:rFonts w:hint="eastAsia" w:ascii="仿宋_GB2312" w:hAnsi="宋体" w:cs="宋体"/>
          <w:color w:val="auto"/>
          <w:kern w:val="0"/>
          <w:szCs w:val="24"/>
          <w:highlight w:val="none"/>
          <w:u w:val="none"/>
        </w:rPr>
        <w:t>收费项目、收费条件、收费标准、收费方式</w:t>
      </w:r>
      <w:r>
        <w:rPr>
          <w:rFonts w:hint="eastAsia" w:ascii="仿宋_GB2312" w:hAnsi="宋体" w:cs="宋体"/>
          <w:color w:val="auto"/>
          <w:kern w:val="0"/>
          <w:szCs w:val="24"/>
          <w:highlight w:val="none"/>
          <w:u w:val="none"/>
          <w:lang w:eastAsia="zh-CN"/>
        </w:rPr>
        <w:t>、费用优惠措施</w:t>
      </w:r>
      <w:r>
        <w:rPr>
          <w:rFonts w:hint="eastAsia" w:ascii="仿宋_GB2312" w:hAnsi="宋体" w:cs="宋体"/>
          <w:color w:val="auto"/>
          <w:kern w:val="0"/>
          <w:szCs w:val="24"/>
          <w:highlight w:val="none"/>
          <w:u w:val="none"/>
        </w:rPr>
        <w:t>等保留调整的权利，如发生调整，调整后的要素以产品管理人发布的公告中所载明的内容为准。产品管理人将提前</w:t>
      </w: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个工作日发布公告。</w:t>
      </w:r>
    </w:p>
    <w:p w14:paraId="2F3C288C">
      <w:pPr>
        <w:widowControl/>
        <w:tabs>
          <w:tab w:val="left" w:pos="709"/>
        </w:tabs>
        <w:adjustRightInd w:val="0"/>
        <w:snapToGrid w:val="0"/>
        <w:spacing w:line="360" w:lineRule="auto"/>
        <w:ind w:firstLine="422" w:firstLineChars="20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w:t>
      </w:r>
      <w:r>
        <w:rPr>
          <w:rFonts w:ascii="仿宋_GB2312" w:hAnsi="宋体" w:cs="宋体"/>
          <w:b/>
          <w:bCs/>
          <w:color w:val="auto"/>
          <w:kern w:val="0"/>
          <w:szCs w:val="24"/>
          <w:highlight w:val="none"/>
          <w:u w:val="none"/>
        </w:rPr>
        <w:t>2）在发生产品管理人拒绝或暂停接受投资者认购/申购申请、</w:t>
      </w:r>
      <w:r>
        <w:rPr>
          <w:rFonts w:hint="eastAsia" w:ascii="仿宋_GB2312" w:hAnsi="宋体" w:cs="宋体"/>
          <w:b/>
          <w:bCs/>
          <w:color w:val="auto"/>
          <w:kern w:val="0"/>
          <w:szCs w:val="24"/>
          <w:highlight w:val="none"/>
          <w:u w:val="none"/>
        </w:rPr>
        <w:t>延期办理巨额赎回申请、</w:t>
      </w:r>
      <w:r>
        <w:rPr>
          <w:rFonts w:ascii="仿宋_GB2312" w:hAnsi="宋体" w:cs="宋体"/>
          <w:b/>
          <w:bCs/>
          <w:color w:val="auto"/>
          <w:kern w:val="0"/>
          <w:szCs w:val="24"/>
          <w:highlight w:val="none"/>
          <w:u w:val="none"/>
        </w:rPr>
        <w:t>暂停接受投资者赎回申请、延缓支付赎回款项、暂停理财产品估值、</w:t>
      </w:r>
      <w:r>
        <w:rPr>
          <w:rFonts w:hint="eastAsia" w:ascii="仿宋_GB2312" w:hAnsi="宋体" w:cs="宋体"/>
          <w:b/>
          <w:bCs/>
          <w:color w:val="auto"/>
          <w:kern w:val="0"/>
          <w:szCs w:val="24"/>
          <w:highlight w:val="none"/>
          <w:u w:val="none"/>
          <w:lang w:eastAsia="zh-CN"/>
        </w:rPr>
        <w:t>收取短期赎回费、</w:t>
      </w:r>
      <w:r>
        <w:rPr>
          <w:rFonts w:ascii="仿宋_GB2312" w:hAnsi="宋体" w:cs="宋体"/>
          <w:b/>
          <w:bCs/>
          <w:color w:val="auto"/>
          <w:kern w:val="0"/>
          <w:szCs w:val="24"/>
          <w:highlight w:val="none"/>
          <w:u w:val="none"/>
        </w:rPr>
        <w:t>采用摆动定价等情形时，产品管理人将于</w:t>
      </w:r>
      <w:r>
        <w:rPr>
          <w:rFonts w:hint="eastAsia" w:ascii="仿宋_GB2312" w:hAnsi="宋体" w:cs="宋体"/>
          <w:b/>
          <w:bCs/>
          <w:color w:val="auto"/>
          <w:kern w:val="0"/>
          <w:szCs w:val="24"/>
          <w:highlight w:val="none"/>
          <w:u w:val="none"/>
        </w:rPr>
        <w:t>情形发生</w:t>
      </w:r>
      <w:r>
        <w:rPr>
          <w:rFonts w:hint="eastAsia" w:ascii="仿宋_GB2312" w:hAnsi="宋体" w:cs="宋体"/>
          <w:b/>
          <w:bCs/>
          <w:color w:val="auto"/>
          <w:kern w:val="0"/>
          <w:szCs w:val="24"/>
          <w:highlight w:val="none"/>
          <w:u w:val="none"/>
          <w:lang w:val="en-US" w:eastAsia="zh-CN"/>
        </w:rPr>
        <w:t>后</w:t>
      </w:r>
      <w:r>
        <w:rPr>
          <w:rFonts w:ascii="仿宋_GB2312" w:hAnsi="宋体" w:cs="宋体"/>
          <w:b/>
          <w:bCs/>
          <w:color w:val="auto"/>
          <w:kern w:val="0"/>
          <w:szCs w:val="24"/>
          <w:highlight w:val="none"/>
          <w:u w:val="none"/>
        </w:rPr>
        <w:t>3</w:t>
      </w:r>
      <w:r>
        <w:rPr>
          <w:rFonts w:hint="eastAsia" w:ascii="仿宋_GB2312" w:hAnsi="宋体" w:cs="宋体"/>
          <w:b/>
          <w:bCs/>
          <w:color w:val="auto"/>
          <w:kern w:val="0"/>
          <w:szCs w:val="24"/>
          <w:highlight w:val="none"/>
          <w:u w:val="none"/>
        </w:rPr>
        <w:t>个</w:t>
      </w:r>
      <w:r>
        <w:rPr>
          <w:rFonts w:hint="eastAsia" w:ascii="仿宋_GB2312" w:hAnsi="宋体" w:cs="宋体"/>
          <w:b/>
          <w:bCs/>
          <w:color w:val="auto"/>
          <w:kern w:val="0"/>
          <w:szCs w:val="24"/>
          <w:highlight w:val="none"/>
          <w:u w:val="none"/>
          <w:lang w:eastAsia="zh-CN"/>
        </w:rPr>
        <w:t>交易日</w:t>
      </w:r>
      <w:r>
        <w:rPr>
          <w:rFonts w:hint="eastAsia" w:ascii="仿宋_GB2312" w:hAnsi="宋体" w:cs="宋体"/>
          <w:b/>
          <w:bCs/>
          <w:color w:val="auto"/>
          <w:kern w:val="0"/>
          <w:szCs w:val="24"/>
          <w:highlight w:val="none"/>
          <w:u w:val="none"/>
        </w:rPr>
        <w:t>内告知投资者，并说明运用相关措施的原因和拟采取的应对安排等。在发生涉及产品认购、申购或赎回事项调整或潜在影响投资者赎回等事项时，管理人将发布临时公告。</w:t>
      </w:r>
    </w:p>
    <w:p w14:paraId="64767991">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3）理财产品清算期超过</w:t>
      </w:r>
      <w:r>
        <w:rPr>
          <w:rFonts w:hint="eastAsia" w:ascii="仿宋_GB2312" w:hAnsi="宋体" w:cs="宋体"/>
          <w:color w:val="auto"/>
          <w:kern w:val="0"/>
          <w:szCs w:val="24"/>
          <w:highlight w:val="yellow"/>
          <w:u w:val="none"/>
          <w:lang w:val="en-US" w:eastAsia="zh-CN"/>
        </w:rPr>
        <w:t>【3】</w:t>
      </w:r>
      <w:r>
        <w:rPr>
          <w:rFonts w:hint="eastAsia" w:ascii="仿宋_GB2312" w:hAnsi="宋体" w:cs="宋体"/>
          <w:color w:val="auto"/>
          <w:kern w:val="0"/>
          <w:szCs w:val="24"/>
          <w:highlight w:val="none"/>
          <w:u w:val="none"/>
        </w:rPr>
        <w:t>个工作日的，产品管理人应当在理财产品终止前</w:t>
      </w: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个</w:t>
      </w:r>
      <w:r>
        <w:rPr>
          <w:rFonts w:ascii="仿宋_GB2312" w:hAnsi="宋体" w:cs="宋体"/>
          <w:color w:val="auto"/>
          <w:kern w:val="0"/>
          <w:szCs w:val="24"/>
          <w:highlight w:val="none"/>
          <w:u w:val="none"/>
        </w:rPr>
        <w:t>工作日</w:t>
      </w:r>
      <w:r>
        <w:rPr>
          <w:rFonts w:hint="eastAsia" w:ascii="仿宋_GB2312" w:hAnsi="宋体" w:cs="宋体"/>
          <w:color w:val="auto"/>
          <w:kern w:val="0"/>
          <w:szCs w:val="24"/>
          <w:highlight w:val="none"/>
          <w:u w:val="none"/>
        </w:rPr>
        <w:t>，根据与投资者约定的渠道向投资者进行信息披露。</w:t>
      </w:r>
    </w:p>
    <w:p w14:paraId="701E77EB">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（4）在本产品存续期内，如因国家法律法规、监管规定发生变化，或是出于维护本产品正常运营的需要，在不损害投资者权益的前提下，产品管理人有权对理财产品销售文件进行修订，并提前</w:t>
      </w:r>
      <w:r>
        <w:rPr>
          <w:rFonts w:hint="eastAsia" w:ascii="仿宋_GB2312" w:hAnsi="宋体" w:cs="宋体"/>
          <w:b/>
          <w:color w:val="auto"/>
          <w:kern w:val="0"/>
          <w:szCs w:val="24"/>
          <w:highlight w:val="none"/>
          <w:u w:val="none"/>
          <w:lang w:val="en-US" w:eastAsia="zh-CN"/>
        </w:rPr>
        <w:t>1</w:t>
      </w:r>
      <w:r>
        <w:rPr>
          <w:rFonts w:hint="eastAsia" w:ascii="仿宋_GB2312" w:hAnsi="宋体" w:cs="宋体"/>
          <w:b/>
          <w:color w:val="auto"/>
          <w:kern w:val="0"/>
          <w:szCs w:val="24"/>
          <w:highlight w:val="none"/>
          <w:u w:val="none"/>
        </w:rPr>
        <w:t>个工作日进行公告。</w:t>
      </w:r>
    </w:p>
    <w:p w14:paraId="6A295A8B">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5）其他临时性公告</w:t>
      </w:r>
    </w:p>
    <w:p w14:paraId="01DED370">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除前述事项外，如出现产品</w:t>
      </w:r>
      <w:r>
        <w:rPr>
          <w:rFonts w:ascii="仿宋_GB2312" w:hAnsi="宋体" w:cs="宋体"/>
          <w:color w:val="auto"/>
          <w:kern w:val="0"/>
          <w:szCs w:val="24"/>
          <w:highlight w:val="none"/>
          <w:u w:val="none"/>
        </w:rPr>
        <w:t>二次清算</w:t>
      </w:r>
      <w:r>
        <w:rPr>
          <w:rFonts w:hint="eastAsia" w:ascii="仿宋_GB2312" w:hAnsi="宋体" w:cs="宋体"/>
          <w:color w:val="auto"/>
          <w:kern w:val="0"/>
          <w:szCs w:val="24"/>
          <w:highlight w:val="none"/>
          <w:u w:val="none"/>
        </w:rPr>
        <w:t>等其他突发事件，应在完成再次清算之日起两个工作日内，向投资者披露清算资金分配情况等信息。</w:t>
      </w:r>
    </w:p>
    <w:p w14:paraId="63492C60">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在本产品存续期内，当产品管理人对理财产品进行相应调整（包括调整投资范围、投资资产种类、投资比例或收费项目、收费条件、收费标准、收费方式等）时，若构成对投资者利益产生实质性不利影响或涉及当事人权利义务的重大变更的，投资者有权不接受调整，在符合法律法规及监管政策的前提下，可由产品管理人决定投资者提前赎回的方式，并通过公告进行披露。若投资者未选择赎回本产品的，则视为已理解并接受产品管理人的相应调整。</w:t>
      </w:r>
    </w:p>
    <w:p w14:paraId="1EEAD1D8">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lang w:eastAsia="zh-CN"/>
        </w:rPr>
      </w:pP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对于理财产品存续期间发生的以下事项，应于知晓或应当知晓相关事项后五个工作日内向投资者披露</w:t>
      </w:r>
      <w:r>
        <w:rPr>
          <w:rFonts w:hint="eastAsia" w:ascii="仿宋_GB2312" w:hAnsi="宋体" w:cs="宋体"/>
          <w:color w:val="auto"/>
          <w:kern w:val="0"/>
          <w:szCs w:val="24"/>
          <w:highlight w:val="none"/>
          <w:u w:val="none"/>
          <w:lang w:eastAsia="zh-CN"/>
        </w:rPr>
        <w:t>：</w:t>
      </w:r>
    </w:p>
    <w:p w14:paraId="6B9EBFBF">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更换理财产品管理人或</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变更实际控制人，更换托管机构，</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或托管</w:t>
      </w:r>
      <w:r>
        <w:rPr>
          <w:rFonts w:hint="eastAsia" w:ascii="仿宋_GB2312" w:hAnsi="宋体" w:cs="宋体"/>
          <w:color w:val="auto"/>
          <w:kern w:val="0"/>
          <w:szCs w:val="24"/>
          <w:highlight w:val="none"/>
          <w:u w:val="none"/>
          <w:lang w:eastAsia="zh-CN"/>
        </w:rPr>
        <w:t>人</w:t>
      </w:r>
      <w:r>
        <w:rPr>
          <w:rFonts w:hint="eastAsia" w:ascii="仿宋_GB2312" w:hAnsi="宋体" w:cs="宋体"/>
          <w:color w:val="auto"/>
          <w:kern w:val="0"/>
          <w:szCs w:val="24"/>
          <w:highlight w:val="none"/>
          <w:u w:val="none"/>
        </w:rPr>
        <w:t>的法定名称、住所发生变更。</w:t>
      </w:r>
    </w:p>
    <w:p w14:paraId="2D039E3D">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2）</w:t>
      </w:r>
      <w:r>
        <w:rPr>
          <w:rFonts w:hint="eastAsia" w:ascii="仿宋_GB2312" w:hAnsi="宋体" w:cs="宋体"/>
          <w:color w:val="auto"/>
          <w:kern w:val="0"/>
          <w:szCs w:val="24"/>
          <w:highlight w:val="none"/>
          <w:u w:val="none"/>
        </w:rPr>
        <w:t>涉及产品穿透后持仓百分之十及以上的单笔资产的诉讼或仲裁，并可能对产品或其投资者权益有重大影响的。</w:t>
      </w:r>
    </w:p>
    <w:p w14:paraId="2D07B65F">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3</w:t>
      </w:r>
      <w:r>
        <w:rPr>
          <w:rFonts w:hint="eastAsia" w:ascii="仿宋_GB2312" w:hAnsi="宋体" w:cs="宋体"/>
          <w:color w:val="auto"/>
          <w:kern w:val="0"/>
          <w:szCs w:val="24"/>
          <w:highlight w:val="none"/>
          <w:u w:val="none"/>
        </w:rPr>
        <w:t>）产品穿透后持仓百分之十及以上的非标准化债权类资产的融资主体、担保主体发生重大行政处罚、重大诉讼或仲裁，或破产、兼并、重组等重大事项，并对其还款能力或担保能力造成重大不利影响；或上述融资主体对其公开市场债务出现不能按时足额还本付息情况的。</w:t>
      </w:r>
    </w:p>
    <w:p w14:paraId="5B96B725">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理财产品投资的非标准化资产本身为不良资产及其收益权的，可以不进行临时披露，但应当在季度、半年度、年度报告中披露相关情况。</w:t>
      </w:r>
    </w:p>
    <w:p w14:paraId="7A508931">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4）</w:t>
      </w:r>
      <w:r>
        <w:rPr>
          <w:rFonts w:hint="eastAsia" w:ascii="仿宋_GB2312" w:hAnsi="宋体" w:cs="宋体"/>
          <w:color w:val="auto"/>
          <w:kern w:val="0"/>
          <w:szCs w:val="24"/>
          <w:highlight w:val="none"/>
          <w:u w:val="none"/>
        </w:rPr>
        <w:t>涉及产品穿透后持仓百分之十及以上的单笔资产的债券违约、股票停牌或退市的。</w:t>
      </w:r>
    </w:p>
    <w:p w14:paraId="6241EA78">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5）</w:t>
      </w:r>
      <w:r>
        <w:rPr>
          <w:rFonts w:hint="eastAsia" w:ascii="仿宋_GB2312" w:hAnsi="宋体" w:cs="宋体"/>
          <w:color w:val="auto"/>
          <w:kern w:val="0"/>
          <w:szCs w:val="24"/>
          <w:highlight w:val="none"/>
          <w:u w:val="none"/>
        </w:rPr>
        <w:t>理财产品份额净值计价错误达份额净值百分之零点五。</w:t>
      </w:r>
    </w:p>
    <w:p w14:paraId="3CFF4172">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6）</w:t>
      </w:r>
      <w:r>
        <w:rPr>
          <w:rFonts w:hint="eastAsia" w:ascii="仿宋_GB2312" w:hAnsi="宋体" w:cs="宋体"/>
          <w:color w:val="auto"/>
          <w:kern w:val="0"/>
          <w:szCs w:val="24"/>
          <w:highlight w:val="none"/>
          <w:u w:val="none"/>
        </w:rPr>
        <w:t>金融市场发生重大变化导致理财产品投资比例暂时超出浮动区间且可能对理财产品收益产生重大影响的。</w:t>
      </w:r>
    </w:p>
    <w:p w14:paraId="34FAC399">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7）</w:t>
      </w:r>
      <w:r>
        <w:rPr>
          <w:rFonts w:hint="eastAsia" w:ascii="仿宋_GB2312" w:hAnsi="宋体" w:cs="宋体"/>
          <w:color w:val="auto"/>
          <w:kern w:val="0"/>
          <w:szCs w:val="24"/>
          <w:highlight w:val="none"/>
          <w:u w:val="none"/>
        </w:rPr>
        <w:t>法律法规以及监管规定的其他内容，或者</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认为可能对投资者权益产生重大不利影响的其他事项。</w:t>
      </w:r>
    </w:p>
    <w:p w14:paraId="7AB1A154">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u w:val="none"/>
        </w:rPr>
      </w:pPr>
    </w:p>
    <w:p w14:paraId="667B7864">
      <w:pPr>
        <w:widowControl/>
        <w:jc w:val="left"/>
        <w:rPr>
          <w:rFonts w:eastAsia="黑体"/>
          <w:color w:val="auto"/>
          <w:kern w:val="44"/>
          <w:sz w:val="28"/>
          <w:highlight w:val="none"/>
          <w:u w:val="none"/>
        </w:rPr>
      </w:pPr>
      <w:r>
        <w:rPr>
          <w:color w:val="auto"/>
          <w:highlight w:val="none"/>
          <w:u w:val="none"/>
        </w:rPr>
        <w:br w:type="page"/>
      </w:r>
    </w:p>
    <w:p w14:paraId="6FD1735D">
      <w:pPr>
        <w:pStyle w:val="2"/>
        <w:numPr>
          <w:ilvl w:val="0"/>
          <w:numId w:val="11"/>
        </w:numPr>
        <w:rPr>
          <w:color w:val="auto"/>
          <w:highlight w:val="none"/>
          <w:u w:val="none"/>
        </w:rPr>
      </w:pPr>
      <w:r>
        <w:rPr>
          <w:rFonts w:hint="eastAsia"/>
          <w:color w:val="auto"/>
          <w:highlight w:val="none"/>
          <w:u w:val="none"/>
          <w:lang w:eastAsia="zh-CN"/>
        </w:rPr>
        <w:t>风险揭示</w:t>
      </w:r>
    </w:p>
    <w:p w14:paraId="48BD76B5">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lang w:eastAsia="zh-CN"/>
        </w:rPr>
        <w:t>【</w:t>
      </w:r>
      <w:r>
        <w:rPr>
          <w:rFonts w:hint="default" w:ascii="仿宋_GB2312" w:hAnsi="宋体" w:cs="宋体"/>
          <w:b w:val="0"/>
          <w:color w:val="auto"/>
          <w:kern w:val="0"/>
          <w:szCs w:val="24"/>
          <w:highlight w:val="yellow"/>
          <w:u w:val="none"/>
        </w:rPr>
        <w:t>本产品不保证本金和收益，投资者的本金有可能蒙受损失，极端情况下，可能全部或部分受损。投资者应充分认识投资风险，谨慎投资。</w:t>
      </w:r>
      <w:r>
        <w:rPr>
          <w:rFonts w:hint="eastAsia" w:ascii="仿宋_GB2312" w:hAnsi="宋体" w:cs="宋体"/>
          <w:b w:val="0"/>
          <w:color w:val="auto"/>
          <w:kern w:val="0"/>
          <w:szCs w:val="24"/>
          <w:highlight w:val="yellow"/>
          <w:u w:val="none"/>
          <w:lang w:eastAsia="zh-CN"/>
        </w:rPr>
        <w:t>风险列示</w:t>
      </w:r>
      <w:r>
        <w:rPr>
          <w:rFonts w:hint="default" w:ascii="仿宋_GB2312" w:hAnsi="宋体" w:cs="宋体"/>
          <w:b w:val="0"/>
          <w:color w:val="auto"/>
          <w:kern w:val="0"/>
          <w:szCs w:val="24"/>
          <w:highlight w:val="yellow"/>
          <w:u w:val="none"/>
        </w:rPr>
        <w:t>如下：</w:t>
      </w:r>
    </w:p>
    <w:p w14:paraId="52D47652">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（一）政策风险</w:t>
      </w:r>
    </w:p>
    <w:p w14:paraId="1BC06EC9">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是根据当前相关法律法规、监管规定和国家政策设计的。如国家宏观政策以及市场相关法律法规、监管规定发生变化，可能影响本理财产品的发行、交易、投资、兑付等工作流程的正常进行，从而影响本理财产品的投资运作，则投资者可能面临本金和收益遭受部分甚至全部损失的风险。</w:t>
      </w:r>
    </w:p>
    <w:p w14:paraId="5300042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（二）信用风险</w:t>
      </w:r>
    </w:p>
    <w:p w14:paraId="1B4FB57F">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本理财产品所投资的资产或资产组合项下义务人可能出现信用违约情形，无法如期偿付融资本金与利息，则投资者可能面临本金和收益遭受部分甚至全部损失的风险。</w:t>
      </w:r>
    </w:p>
    <w:p w14:paraId="2D8B1345">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（三）市场风险</w:t>
      </w:r>
    </w:p>
    <w:p w14:paraId="093C9A9E">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存续期内，由于市场利率、汇率变化，债券、股票等投资品市场价格波动，以及市场已出现或未来可能出现的其他重要因素影响，将导致本理财产品所投资的资产或资产组合出现估值波动，从而影响本理财产品的净值，投资者可能面临投资本金和收益遭受部分甚至全部损失的风险。</w:t>
      </w:r>
    </w:p>
    <w:p w14:paraId="677FCBE2">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（四）流动性风险</w:t>
      </w:r>
    </w:p>
    <w:p w14:paraId="4E7E3D2E">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当市场出现极端情况或开放式产品投资者集中、大额赎回等情形下，理财产品可能因持有现金头寸不足或所投资的资产无法及时变现，导致无法按约定向投资者及时兑付理财资金，投资者可能面临理财资金无法及时到账及/或持有的本理财产品整体损益出现不利情形的风险。</w:t>
      </w:r>
    </w:p>
    <w:p w14:paraId="2CBBAD7B">
      <w:pPr>
        <w:widowControl/>
        <w:tabs>
          <w:tab w:val="left" w:pos="709"/>
        </w:tabs>
        <w:adjustRightInd w:val="0"/>
        <w:snapToGrid w:val="0"/>
        <w:spacing w:line="360" w:lineRule="auto"/>
        <w:ind w:firstLine="422" w:firstLineChars="200"/>
        <w:rPr>
          <w:rFonts w:hint="default" w:ascii="仿宋_GB2312" w:hAnsi="宋体" w:cs="宋体"/>
          <w:b w:val="0"/>
          <w:color w:val="auto"/>
          <w:kern w:val="0"/>
          <w:szCs w:val="24"/>
          <w:highlight w:val="yellow"/>
          <w:u w:val="none"/>
        </w:rPr>
      </w:pPr>
      <w:r>
        <w:rPr>
          <w:rFonts w:hint="default" w:ascii="仿宋_GB2312" w:hAnsi="宋体" w:cs="宋体"/>
          <w:b/>
          <w:bCs/>
          <w:color w:val="auto"/>
          <w:kern w:val="0"/>
          <w:szCs w:val="24"/>
          <w:highlight w:val="yellow"/>
          <w:u w:val="none"/>
        </w:rPr>
        <w:t>投资者在本理财产品说明书约定的封闭期、最短持有期及/或其他不可赎回时段内不享有提前赎回权。</w:t>
      </w:r>
      <w:r>
        <w:rPr>
          <w:rFonts w:hint="default" w:ascii="仿宋_GB2312" w:hAnsi="宋体" w:cs="宋体"/>
          <w:b w:val="0"/>
          <w:color w:val="auto"/>
          <w:kern w:val="0"/>
          <w:szCs w:val="24"/>
          <w:highlight w:val="yellow"/>
          <w:u w:val="none"/>
        </w:rPr>
        <w:t>如果投资者面临用款需求与其他投资机会，可能因所持有的理财产品不能随时赎回或变现，存在用款需求无法满足或错过其他投资机会的风险。</w:t>
      </w:r>
    </w:p>
    <w:p w14:paraId="48882E76">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拟投资市场、资产的流动性风险评估：</w:t>
      </w:r>
    </w:p>
    <w:p w14:paraId="1C9D9F38">
      <w:pPr>
        <w:tabs>
          <w:tab w:val="left" w:pos="3119"/>
        </w:tabs>
        <w:autoSpaceDE w:val="0"/>
        <w:autoSpaceDN w:val="0"/>
        <w:spacing w:line="360" w:lineRule="auto"/>
        <w:ind w:right="31" w:rightChars="15"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本理财产品投资范围包括</w:t>
      </w:r>
      <w:r>
        <w:rPr>
          <w:rFonts w:hint="eastAsia" w:ascii="仿宋_GB2312" w:hAnsi="宋体" w:cs="宋体"/>
          <w:bCs/>
          <w:color w:val="auto"/>
          <w:kern w:val="0"/>
          <w:sz w:val="24"/>
          <w:szCs w:val="24"/>
          <w:highlight w:val="yellow"/>
          <w:u w:val="none"/>
          <w:lang w:eastAsia="zh-CN"/>
        </w:rPr>
        <w:t>【】。</w:t>
      </w:r>
      <w:r>
        <w:rPr>
          <w:rFonts w:hint="default" w:ascii="仿宋_GB2312" w:hAnsi="宋体" w:cs="宋体"/>
          <w:b w:val="0"/>
          <w:color w:val="auto"/>
          <w:kern w:val="0"/>
          <w:szCs w:val="24"/>
          <w:highlight w:val="yellow"/>
          <w:u w:val="none"/>
        </w:rPr>
        <w:t>标的资产主要为标准化债券金融工具，一般情况下具有较好的流动性，同时，本理财产品严格控制开放期内投资于流动性受限资产的投资品种比例。本理财产品管理人会进行标的的分散化投资并结合对各类标的资产的预期流动性状况进行合理配置，以防范流动性风险。</w:t>
      </w:r>
    </w:p>
    <w:p w14:paraId="2C8B951E">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流动性应对措施及对投资者的潜在影响：</w:t>
      </w:r>
    </w:p>
    <w:p w14:paraId="064625B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本理财产品管理人将合理安排组合流动性，统筹考虑产品期限、各类标的资产的预期流动性，合理进行资产配置，最大程度防范流动性风险。</w:t>
      </w:r>
    </w:p>
    <w:p w14:paraId="34261A82">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产品管理人可依照法律法规及理财产品销售文件的约定，综合运用各类流动性应对措施，作为特定情形下流动性风险管理的辅助手段，包括但不限于：</w:t>
      </w:r>
    </w:p>
    <w:p w14:paraId="473C8B36">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（1）认购/申购风险应对措施，包括:设定单一投资者认购/申购金额上限、设定本理财产品单日净认购/申购比例上限、拒绝大额认购/申购、暂停认购/申购，以及国家金融监督管理总局规定的其他措施。</w:t>
      </w:r>
    </w:p>
    <w:p w14:paraId="7EE287EF">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（2）赎回风险应对措施，包括：设置赎回上限、延期办理巨额赎回申请、暂停接受赎回申请、延缓支付赎回款项、收取短期赎回费、暂停理财产品估值、摆动定价，以及国家金融监督管理总局规定的其他措施。</w:t>
      </w:r>
    </w:p>
    <w:p w14:paraId="7EA0C92D">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1)延期办理巨额赎回申请</w:t>
      </w:r>
    </w:p>
    <w:p w14:paraId="40C5B801">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若理财产品管理人采用延期办理巨额赎回申请的流动性风险应对措施，投资者的赎回申请将无法按时全额获得确认，投资者自身的流动性可能受到影响，并将额外承担市场波动对本理财产品净值的影响。</w:t>
      </w:r>
    </w:p>
    <w:p w14:paraId="65F6921D">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2）暂停接受赎回申请或延缓支付赎回款项</w:t>
      </w:r>
    </w:p>
    <w:p w14:paraId="5629DDD9">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若理财产品管理人采用暂停接受赎回申请或延缓支付赎回款项的流动性风险应对措施，投资者面临在暂停赎回期间将无法赎回其持有的产品份额的风险，接收赎回款项的时间将可能比一般正常情形下有所延迟。</w:t>
      </w:r>
    </w:p>
    <w:p w14:paraId="4781147F">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3</w:t>
      </w:r>
      <w:r>
        <w:rPr>
          <w:rFonts w:hint="eastAsia" w:ascii="仿宋_GB2312" w:hAnsi="宋体" w:cs="宋体"/>
          <w:b/>
          <w:bCs/>
          <w:color w:val="auto"/>
          <w:kern w:val="0"/>
          <w:szCs w:val="24"/>
          <w:highlight w:val="yellow"/>
          <w:u w:val="none"/>
          <w:lang w:eastAsia="zh-CN"/>
        </w:rPr>
        <w:t>）</w:t>
      </w:r>
      <w:r>
        <w:rPr>
          <w:rFonts w:hint="default" w:ascii="仿宋_GB2312" w:hAnsi="宋体" w:cs="宋体"/>
          <w:b/>
          <w:bCs/>
          <w:color w:val="auto"/>
          <w:kern w:val="0"/>
          <w:szCs w:val="24"/>
          <w:highlight w:val="yellow"/>
          <w:u w:val="none"/>
        </w:rPr>
        <w:t>暂停理财产品估值</w:t>
      </w:r>
    </w:p>
    <w:p w14:paraId="151BC375">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若理财产品管理人采用暂停理财产品估值的流动性风险应对措施，投资人没有可供参考的产品份额净值，同时赎回申请可能被暂停接受，或被延缓支付赎回款项。</w:t>
      </w:r>
    </w:p>
    <w:p w14:paraId="32D88396">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4</w:t>
      </w:r>
      <w:r>
        <w:rPr>
          <w:rFonts w:hint="eastAsia" w:ascii="仿宋_GB2312" w:hAnsi="宋体" w:cs="宋体"/>
          <w:b/>
          <w:bCs/>
          <w:color w:val="auto"/>
          <w:kern w:val="0"/>
          <w:szCs w:val="24"/>
          <w:highlight w:val="yellow"/>
          <w:u w:val="none"/>
          <w:lang w:eastAsia="zh-CN"/>
        </w:rPr>
        <w:t>）</w:t>
      </w:r>
      <w:r>
        <w:rPr>
          <w:rFonts w:hint="default" w:ascii="仿宋_GB2312" w:hAnsi="宋体" w:cs="宋体"/>
          <w:b/>
          <w:bCs/>
          <w:color w:val="auto"/>
          <w:kern w:val="0"/>
          <w:szCs w:val="24"/>
          <w:highlight w:val="yellow"/>
          <w:u w:val="none"/>
        </w:rPr>
        <w:t>摆动定价</w:t>
      </w:r>
    </w:p>
    <w:p w14:paraId="49E5541D">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若理财产品管理人采用摆动定价机制的流动性风险应对措施，则通过调整理财产品份额净值的方式，将理财产品调整投资组合的市场冲击成本分配给实际申购、赎回的投资者，以期减少对存量投资者利益的不利影响。</w:t>
      </w:r>
    </w:p>
    <w:p w14:paraId="541A2673">
      <w:pPr>
        <w:widowControl/>
        <w:numPr>
          <w:ilvl w:val="0"/>
          <w:numId w:val="9"/>
        </w:numPr>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lang w:val="en-US" w:eastAsia="zh-CN"/>
        </w:rPr>
      </w:pPr>
      <w:r>
        <w:rPr>
          <w:rFonts w:hint="default" w:ascii="仿宋_GB2312" w:hAnsi="宋体" w:cs="宋体"/>
          <w:b/>
          <w:bCs/>
          <w:color w:val="auto"/>
          <w:kern w:val="0"/>
          <w:szCs w:val="24"/>
          <w:highlight w:val="yellow"/>
          <w:u w:val="none"/>
          <w:lang w:val="en-US" w:eastAsia="zh-CN"/>
        </w:rPr>
        <w:t>收取短期赎回费</w:t>
      </w:r>
    </w:p>
    <w:p w14:paraId="0ADF5C28">
      <w:pPr>
        <w:widowControl/>
        <w:numPr>
          <w:ilvl w:val="0"/>
          <w:numId w:val="0"/>
        </w:numPr>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lang w:val="en-US" w:eastAsia="zh-CN"/>
        </w:rPr>
        <w:t>对持续持有期少于7日的投资者收取一定比例的赎回费，并全额计入理财财产。在此情形下，投资者在提交赎回申请时，实际赎回金额可能少于按照赎回申请当日理财产品份额净值计算出的赎回金额。若实施收取短期赎回费措施，管理人应于3个交易日内告知本理财产品的相关投资者。</w:t>
      </w:r>
    </w:p>
    <w:p w14:paraId="59EA545E">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具体应对措施使用情形及程序详见</w:t>
      </w:r>
      <w:r>
        <w:rPr>
          <w:rFonts w:hint="eastAsia" w:ascii="仿宋_GB2312" w:hAnsi="宋体" w:cs="宋体"/>
          <w:b/>
          <w:bCs/>
          <w:color w:val="auto"/>
          <w:kern w:val="0"/>
          <w:szCs w:val="24"/>
          <w:highlight w:val="yellow"/>
          <w:u w:val="none"/>
          <w:lang w:eastAsia="zh-CN"/>
        </w:rPr>
        <w:t>“</w:t>
      </w:r>
      <w:r>
        <w:rPr>
          <w:rFonts w:hint="default" w:ascii="仿宋_GB2312" w:hAnsi="宋体" w:cs="宋体"/>
          <w:b/>
          <w:bCs/>
          <w:color w:val="auto"/>
          <w:kern w:val="0"/>
          <w:szCs w:val="24"/>
          <w:highlight w:val="yellow"/>
          <w:u w:val="none"/>
        </w:rPr>
        <w:t>第一节 理财产品说明书关键要素</w:t>
      </w:r>
      <w:r>
        <w:rPr>
          <w:rFonts w:hint="eastAsia" w:ascii="仿宋_GB2312" w:hAnsi="宋体" w:cs="宋体"/>
          <w:b/>
          <w:bCs/>
          <w:color w:val="auto"/>
          <w:kern w:val="0"/>
          <w:szCs w:val="24"/>
          <w:highlight w:val="yellow"/>
          <w:u w:val="none"/>
          <w:lang w:eastAsia="zh-CN"/>
        </w:rPr>
        <w:t>”“第四节 理财产品的认购与成立”“第五节 理财产品的申购与赎回”</w:t>
      </w:r>
      <w:r>
        <w:rPr>
          <w:rFonts w:hint="default" w:ascii="仿宋_GB2312" w:hAnsi="宋体" w:cs="宋体"/>
          <w:b/>
          <w:bCs/>
          <w:color w:val="auto"/>
          <w:kern w:val="0"/>
          <w:szCs w:val="24"/>
          <w:highlight w:val="yellow"/>
          <w:u w:val="none"/>
        </w:rPr>
        <w:t>。敬请投资者留意管理人运用上述流动性风险应对措施的相关风险。</w:t>
      </w:r>
    </w:p>
    <w:p w14:paraId="3BC4BE52">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（五）经营管理风险</w:t>
      </w:r>
    </w:p>
    <w:p w14:paraId="60310D7A">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在本理财产品运作过程中，投资管理各方受经验、技能、判断力、执行力等综合因素的限制，可能对本理财产品的运作与管理形成一定影响，投资者可能面临本金和收益遭受部分甚至全部损失的风险。</w:t>
      </w:r>
    </w:p>
    <w:p w14:paraId="17D309A8">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（六）交易对手风险</w:t>
      </w:r>
    </w:p>
    <w:p w14:paraId="71B3F13B">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由于交易对手受偿付能力、流动性管理能力以及及时履约意愿等因素影响，导致交易对手不履约，可能影响本理财产品的投资管理，则投资者可能面临本金和收益遭受部分甚至全部损失的风险。</w:t>
      </w:r>
    </w:p>
    <w:p w14:paraId="46D63B85">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（七）操作风险</w:t>
      </w:r>
    </w:p>
    <w:p w14:paraId="4CB3AAB3">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产品运作过程中，由于理财产品管理人及理财合作机构因技术系统故障、内部控制存在缺陷或人为因素，导致操作失误或违反操作规程等引起的风险，如内部作业、人员管理、系统操作及事务处理不当或失误等，则投资者可能面临本金和收益遭受部分甚至全部损失的风险。</w:t>
      </w:r>
    </w:p>
    <w:p w14:paraId="1E72F8DF">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（八）代销风险（如有）</w:t>
      </w:r>
    </w:p>
    <w:p w14:paraId="5B2E754B">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如本理财产品通过代理销售渠道销售，投资者购买理财产品的资金将由销售机构从投资者清算账户扣收并划付产品管理人，产品到期/终止/赎回时理财本金及收益相应款项由产品管理人按理财产品销售文件约定划付至销售机构清算账户，并由销售机构向投资者支付投资者应得理财本金及收益。如因销售机构清算账户余额不足，或销售机构未及时足额划付资金，或销售机构清算账户内资金被依法冻结或扣划、账户处于被挂失、冻结、注销或其他非正常状态等原因而导致交易失败，由销售机构与投资者依法协商解决，产品管理人对此不承担责任，但前述约定不免除因产品管理人过错依法应由产品管理人承担的责任。</w:t>
      </w:r>
    </w:p>
    <w:p w14:paraId="197866C0">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（九）募集期延长/缩短风险</w:t>
      </w:r>
    </w:p>
    <w:p w14:paraId="77029593">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在本理财产品募集期内，国家宏观政策以及市场相关法律法规政策发生变化、产品募集状况未达到/已达到产品说明书约定的成立条件，或其他经理财产品管理人合理判断需延长/缩短募集期的情形，产品管理人有权宣布本理财产品募集期延长/缩短，本理财产品可能延后/提前成立。</w:t>
      </w:r>
    </w:p>
    <w:p w14:paraId="74F6B47B">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（十）产品不成立风险</w:t>
      </w:r>
    </w:p>
    <w:p w14:paraId="693A4BF0">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如果本理财产品因募集规模低于《产品说明书》约定的本理财产品最低成立规模，或出现政策、法规、市场或其他因素导致本理财产品不能成立的情形，理财产品管理人有权宣布本理财产品不成立，投资者将面临再投资的风险。</w:t>
      </w:r>
    </w:p>
    <w:p w14:paraId="0F50816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（十一）提前终止风险</w:t>
      </w:r>
    </w:p>
    <w:p w14:paraId="43471173">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存续期间，由于国家宏观政策变化、市场相关法律法规及政策变化、本理财产品所投资资产提前结清、意外事件、不可抗力（包括但不限于政府行为、自然灾害、疫情等）以及其他可能导致理财产品管理人无法继续履行本理财产品投资管理义务或经理财产品管理人合理评估且审慎判断不适宜本理财产品继续存续运作的情形，为保护投资者权益，理财产品管理人有权按照理财产品销售文件的约定部分/全部提前终止本理财产品，投资者可能面临本理财产品部分/全部提前终止后再投资的风险。</w:t>
      </w:r>
    </w:p>
    <w:p w14:paraId="2FFF9426">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（十二）延期分配风险</w:t>
      </w:r>
    </w:p>
    <w:p w14:paraId="69371AF3">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因缺乏交易对手、市场成交量不足、资产限制赎回、暂停交易、所投资产发生风险或不能及时变现、发生不可抗力（包括但不限于政府行为、自然灾害、疫情等）及其他理财产品管理人认为需要延期分配的情形，可能导致理财产品管理人无法在理财产品销售文件约定的清算期内完成理财资金的清算与分配，投资者可能面临理财产品资金延期分配、分配方案调整等风险，投资者由此可能面临投资本金和收益遭受部分甚至全部损失的风险。</w:t>
      </w:r>
    </w:p>
    <w:p w14:paraId="419EB06A">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（十三）信息传递风险</w:t>
      </w:r>
    </w:p>
    <w:p w14:paraId="6C82FCE7">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理财产品管理人将按照理财产品销售文件中约定的信息披露方式、披露途径向投资者披露涉及本理财产品的各类信息和重大事件，投资者应及时查询了解。如投资者未及时查询相关信息或由于不可抗力（包括但不限于政府行为、自然灾害、疫情等）或意外事件的影响使得投资者无法及时了解本理财产品信息，进而影响投资者的投资决策行为，因此而产生的责任和风险由投资者承担。如投资者未及时告知理财产品管理人联系方式变更或理财产品管理人在其认为需要时无法及时联系到投资者，使得投资者无法及时获知本理财产品信息，进而影响投资者的投资决策行为，因此而产生的责任和风险由投资者承担。</w:t>
      </w:r>
    </w:p>
    <w:p w14:paraId="6549C17A">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（十四）关联关系及关联交易风险</w:t>
      </w:r>
    </w:p>
    <w:p w14:paraId="7C30E60C">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浙银理财作为本理财产品的发行人、管理人，独立履行产品管理职责；浙银理财委托托管机构托管理财产品或委托销售机构销售理财产品的，可能涉及委托浙商银行股份有限公司（以下简称“浙商银行”）担任理财产品的托管机构或销售机构，负责理财产品的托管或代理销售工作。浙银理财是浙商银行控股的子公司，双方存在关联关系。</w:t>
      </w:r>
    </w:p>
    <w:p w14:paraId="5765156B">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可能投资于管理人、个别销售机构或托管人的主要股东、实际控制人、一致行动人、最终受益人，托管人，同一股东或托管人控股的机构，或者与管理人或托管人有重大利害关系的机构发行或承销的证券，或者从事其他关联交易，本理财产品也可能由管理人的关联方进行托管或代理销售。上述各方在业务执行及实施上具有隔离机制，并符合相关法律法规要求，且上述各方将依照恪尽职守、诚实信用、谨慎勤勉的原则按照市场公允定价进行公平交易，但仍可能存在利益冲突。提请投资者充分知悉、关注本理财产品关联关系和关联交易风险，投资者签署本理财产品销售文件即代表投资者认可且同意上述可能发生的关联交易并自愿承担相关风险。</w:t>
      </w:r>
    </w:p>
    <w:p w14:paraId="31388A95">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（十五）再投资风险</w:t>
      </w:r>
    </w:p>
    <w:p w14:paraId="54E8C504">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由于浙银理财有权根据市场状况和产品余额情况提前终止本理财产品，因市场利率下滑，投资者可能面临本金和收益再投资收益率降低的风险。</w:t>
      </w:r>
    </w:p>
    <w:p w14:paraId="5D652356">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（十六）估值风险</w:t>
      </w:r>
    </w:p>
    <w:p w14:paraId="3EE754F7">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按《产品说明书》的估值方法进行估值，理财产品估值与实际变现价值可能发生偏离，投资者应知晓该风险。本理财产品管理人估值仅作为参考，本理财产品管理人不承担第三方再次使用该估值引发的其他风险。本理财产品所投资的资产管理产品以其估值日截止时点能够取得的最新份额净值进行估值。因此，在前述情况下可能会出现本理财产品净值不能完全反映所投资资产管理计划或基金等资产管理产品估值日当日净值的情形。</w:t>
      </w:r>
    </w:p>
    <w:p w14:paraId="451E77EE">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可能投资符合监管要求的资产管理产品（包括但不限于信托计划、公募基金、基金公司或子公司资产管理计划、证券公司资产管理计划、期货资产管理计划、保险资产管理计划等，具体以《产品说明书》或理财产品定期报告披露为准），前述资产管理产品的管理人可能收取业绩报酬，当前述资产管理产品计提业绩报酬时，本理财产品的产品份额净值存在下跌风险。</w:t>
      </w:r>
    </w:p>
    <w:p w14:paraId="16975DBE">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（十七）托管及清算风险</w:t>
      </w:r>
    </w:p>
    <w:p w14:paraId="08591A9A">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本理财产品存在托管人，若因托管人操作失误或因任何原因未能按约履行托管人职责，或丧失进行托管的能力或法定资格，均可能给本理财产品带来风险。</w:t>
      </w:r>
    </w:p>
    <w:p w14:paraId="339E2E7A">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（十八）税务风险</w:t>
      </w:r>
    </w:p>
    <w:p w14:paraId="55967B1A">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根据国家相关法律法规，理财产品运营过程中发生的应由理财产品承担的增值税应税行为，由产品管理人申报和缴纳增值税及附加税费。该等税款将直接从理财产品中扣付缴纳，本理财产品将因为前述增值税等税负承担导致税费支出增加、理财产品净值或实际收益降低，从而降低投资者的收益水平。</w:t>
      </w:r>
    </w:p>
    <w:p w14:paraId="30E4DF74">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（十九）不同理财产品份额类别存在差异的风险</w:t>
      </w:r>
    </w:p>
    <w:p w14:paraId="28B84159">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管理人有权根据投资者购买理财产品的金额、销售渠道、客户类型等因素，对投资者所持有的理财产品份额设置不同的理财产品份额类别。不同类别的理财产品份额可能在产品销售名称、产品</w:t>
      </w:r>
      <w:r>
        <w:rPr>
          <w:rFonts w:hint="eastAsia" w:ascii="仿宋_GB2312" w:hAnsi="宋体" w:cs="宋体"/>
          <w:b w:val="0"/>
          <w:color w:val="auto"/>
          <w:kern w:val="0"/>
          <w:szCs w:val="24"/>
          <w:highlight w:val="yellow"/>
          <w:u w:val="none"/>
          <w:lang w:eastAsia="zh-CN"/>
        </w:rPr>
        <w:t>份额</w:t>
      </w:r>
      <w:r>
        <w:rPr>
          <w:rFonts w:hint="default" w:ascii="仿宋_GB2312" w:hAnsi="宋体" w:cs="宋体"/>
          <w:b w:val="0"/>
          <w:color w:val="auto"/>
          <w:kern w:val="0"/>
          <w:szCs w:val="24"/>
          <w:highlight w:val="yellow"/>
          <w:u w:val="none"/>
        </w:rPr>
        <w:t>代码、销售渠道、销售</w:t>
      </w:r>
      <w:r>
        <w:rPr>
          <w:rFonts w:hint="eastAsia" w:ascii="仿宋_GB2312" w:hAnsi="宋体" w:cs="宋体"/>
          <w:b w:val="0"/>
          <w:color w:val="auto"/>
          <w:kern w:val="0"/>
          <w:szCs w:val="24"/>
          <w:highlight w:val="yellow"/>
          <w:u w:val="none"/>
          <w:lang w:eastAsia="zh-CN"/>
        </w:rPr>
        <w:t>对象</w:t>
      </w:r>
      <w:r>
        <w:rPr>
          <w:rFonts w:hint="default" w:ascii="仿宋_GB2312" w:hAnsi="宋体" w:cs="宋体"/>
          <w:b w:val="0"/>
          <w:color w:val="auto"/>
          <w:kern w:val="0"/>
          <w:szCs w:val="24"/>
          <w:highlight w:val="yellow"/>
          <w:u w:val="none"/>
        </w:rPr>
        <w:t>、销售服务费率、托管费率、收费方式、业绩比较基准、起点</w:t>
      </w:r>
      <w:r>
        <w:rPr>
          <w:rFonts w:hint="eastAsia" w:ascii="仿宋_GB2312" w:hAnsi="宋体" w:cs="宋体"/>
          <w:b w:val="0"/>
          <w:color w:val="auto"/>
          <w:kern w:val="0"/>
          <w:szCs w:val="24"/>
          <w:highlight w:val="yellow"/>
          <w:u w:val="none"/>
          <w:lang w:eastAsia="zh-CN"/>
        </w:rPr>
        <w:t>销售</w:t>
      </w:r>
      <w:r>
        <w:rPr>
          <w:rFonts w:hint="default" w:ascii="仿宋_GB2312" w:hAnsi="宋体" w:cs="宋体"/>
          <w:b w:val="0"/>
          <w:color w:val="auto"/>
          <w:kern w:val="0"/>
          <w:szCs w:val="24"/>
          <w:highlight w:val="yellow"/>
          <w:u w:val="none"/>
        </w:rPr>
        <w:t>金额及</w:t>
      </w:r>
      <w:r>
        <w:rPr>
          <w:rFonts w:hint="eastAsia" w:ascii="仿宋_GB2312" w:hAnsi="宋体" w:cs="宋体"/>
          <w:b w:val="0"/>
          <w:color w:val="auto"/>
          <w:kern w:val="0"/>
          <w:szCs w:val="24"/>
          <w:highlight w:val="yellow"/>
          <w:u w:val="none"/>
          <w:lang w:eastAsia="zh-CN"/>
        </w:rPr>
        <w:t>追加</w:t>
      </w:r>
      <w:r>
        <w:rPr>
          <w:rFonts w:hint="default" w:ascii="仿宋_GB2312" w:hAnsi="宋体" w:cs="宋体"/>
          <w:b w:val="0"/>
          <w:color w:val="auto"/>
          <w:kern w:val="0"/>
          <w:szCs w:val="24"/>
          <w:highlight w:val="yellow"/>
          <w:u w:val="none"/>
        </w:rPr>
        <w:t>递增金额、认/申购上限金额、认/申购和赎回数量限制、持有金额上/下限、单一投资者持有份额占比上限、产品规模上限、产品份额净值的计算结果及信息披露等方面存在差异。</w:t>
      </w:r>
    </w:p>
    <w:p w14:paraId="201373A5">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（二十）投资特定风险</w:t>
      </w:r>
    </w:p>
    <w:p w14:paraId="5C5018D8">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本理财产品因拟投资市场和资产类别可能面临的特定风险如下：</w:t>
      </w:r>
    </w:p>
    <w:p w14:paraId="09199B51">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1.投资于固定收益类资产</w:t>
      </w:r>
      <w:r>
        <w:rPr>
          <w:rFonts w:hint="eastAsia" w:ascii="仿宋_GB2312" w:hAnsi="宋体" w:cs="宋体"/>
          <w:b/>
          <w:bCs/>
          <w:color w:val="auto"/>
          <w:kern w:val="0"/>
          <w:szCs w:val="24"/>
          <w:highlight w:val="yellow"/>
          <w:u w:val="none"/>
          <w:lang w:eastAsia="zh-CN"/>
        </w:rPr>
        <w:t>（如有）</w:t>
      </w:r>
      <w:r>
        <w:rPr>
          <w:rFonts w:hint="default" w:ascii="仿宋_GB2312" w:hAnsi="宋体" w:cs="宋体"/>
          <w:b/>
          <w:bCs/>
          <w:color w:val="auto"/>
          <w:kern w:val="0"/>
          <w:szCs w:val="24"/>
          <w:highlight w:val="yellow"/>
          <w:u w:val="none"/>
        </w:rPr>
        <w:t>的可能风险：</w:t>
      </w:r>
    </w:p>
    <w:p w14:paraId="38632321">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1）国家政策、经济周期、利率、汇率等因素可能发生的变化导致的市场风险。（2）债券发行人、担保人的经营状况、信用质量降低等可能发生的变化导致的信用风险。（3）债券发行人、担保人信用等级降低导致债券价格下降，可能影响投资者收益，甚至使产品本金遭受损失。（4）非公开定向债务融资工具的流通和转让限制导致的流动性风险。（5）债券市场出现整体下跌，导致债券市场的系统性风险等。（6）可转/交换债券投资风险（如有）：可转/交换债券收益与对应标的股票股价直接挂钩，债券价格可能受之影响；转股期内，对应标的股票价格可能低于转股价格，若选择转股，产品将承受标的股票价格低于转股价格之间的价差；转股价格向下修正条款触发时，存在发行方不同意修正转股价格的风险；赎回条款可能导致债券提前兑付或转股期缩短而影响投资收益的风险；存在因政策限制导致无法转股的风险，可转/交换债券投资受到包括但不限于上述因素影响时，可能影响投资者收益，甚至使产品本金遭受损失。（7）永续债投资风险（如有）：永续债发行人可能延期支付利息，且永续债无到期日，可能因流动性差无法变现、无法收回本金，使产品出现流动性风险；永续债附加的回售或赎回权，可能会导致管理人以不利价格出售永续债，从而影响投资者收益。</w:t>
      </w:r>
    </w:p>
    <w:p w14:paraId="53E2E12B">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2.投资于股票等权益类资产（如有）的可能风险：</w:t>
      </w:r>
    </w:p>
    <w:p w14:paraId="14615976">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国家货币、财政、产业等政策变化对证券市场产生一定的影响，导致市场价格水平波动的风险；宏观经济运行周期性波动，对股票市场的收益水平产生影响的风险；上市公司的经营状况受多种因素影响，如市场、技术、竞争、管理、财务等都可能导致公司盈利发生变化，从而导致股票价格下跌，影响投资者收益，甚至使产品本金遭受损失；股票遭流通和转让限制导致的流动性风险；投资于不同板块、不同市场股票，如投资科创板、创业板、港股通股票等，可能面临因投资标的、市场制度、交易规则、监管法规等差异造成的风险等。</w:t>
      </w:r>
    </w:p>
    <w:p w14:paraId="4B6CDA34">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优先股具有固定收益证券的特征，但优先股发行方无到期归还本金的义务，可能发生发行人经营状况恶化、无法足额支付股息的风险，从而影响产品和投资者收益；优先股属于权益类资产，价格受国家各类政策、宏观经济、行业发展等多种因素影响，可能发生波动从而影响产品收益，甚至使产品本金遭受损失。</w:t>
      </w:r>
    </w:p>
    <w:p w14:paraId="76F0FCF5">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3.投资于商品及金融衍生品类资产（如有）的可能风险：</w:t>
      </w:r>
    </w:p>
    <w:p w14:paraId="569C82E0">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基础产品价格波动造成衍生品价格波动，高杠杆和跨期交易可能加剧衍生品价格波动的市场风险；衍生品发行方或交易对手方违约或不履行合约的导致的信用风险；缺乏交易对手导致无法平仓/变现、流动资金不足或无法追加保证金导致被迫平仓造成亏损的风险；因内部程序、人员、系统操作不当或因外部事件导致损失的操作风险；部分衍生品操作相关法律法规的滞后，交易合约在法律范围内无效而无法履约或交易合约订立不当产生的法律风险。由于期货与现货间的价差的波动，影响套期保值或套利效果，使之发生意外损益的基差风险。</w:t>
      </w:r>
    </w:p>
    <w:p w14:paraId="329EAAAA">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（二十一）其他风险</w:t>
      </w:r>
    </w:p>
    <w:p w14:paraId="4B585D8E">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自然灾害、疫情、战争、金融危机等不能预见、不能避免、不能克服的不可抗力因素的出现，或系统故障、通讯故障、投资市场停止交易等意外事件的发生，可能对本理财产品的受理、成立、投资运作、资金返还、信息披露等造成影响，甚至可能导致本理财产品本金和收益的降低或损失，以及本金和收益延迟支付。对于由不可抗力及意外事件风险导致的任何损失和延迟支付，须投资者承担。</w:t>
      </w:r>
    </w:p>
    <w:p w14:paraId="645256FE">
      <w:pPr>
        <w:widowControl/>
        <w:tabs>
          <w:tab w:val="left" w:pos="709"/>
        </w:tabs>
        <w:adjustRightInd w:val="0"/>
        <w:snapToGrid w:val="0"/>
        <w:spacing w:line="360" w:lineRule="auto"/>
        <w:ind w:firstLine="420" w:firstLineChars="200"/>
        <w:rPr>
          <w:rFonts w:hint="eastAsia" w:ascii="仿宋_GB2312" w:hAnsi="宋体" w:cs="宋体"/>
          <w:b w:val="0"/>
          <w:bCs w:val="0"/>
          <w:color w:val="auto"/>
          <w:kern w:val="0"/>
          <w:sz w:val="24"/>
          <w:szCs w:val="24"/>
          <w:highlight w:val="yellow"/>
          <w:u w:val="none"/>
          <w:lang w:eastAsia="zh-CN"/>
        </w:rPr>
      </w:pPr>
      <w:r>
        <w:rPr>
          <w:rFonts w:hint="default" w:ascii="仿宋_GB2312" w:hAnsi="宋体" w:cs="宋体"/>
          <w:b w:val="0"/>
          <w:color w:val="auto"/>
          <w:kern w:val="0"/>
          <w:szCs w:val="24"/>
          <w:highlight w:val="yellow"/>
          <w:u w:val="none"/>
        </w:rPr>
        <w:t>以上所揭示事项仅为列举性质，未能尽述列明投资者投资本理财产品所面临的全部风险和可能导致投资者资产损失的所有因素。投资者应充分认识投资风险，谨慎投资</w:t>
      </w:r>
      <w:r>
        <w:rPr>
          <w:rFonts w:hint="default" w:ascii="仿宋_GB2312" w:hAnsi="宋体" w:eastAsia="仿宋_GB2312" w:cs="宋体"/>
          <w:b w:val="0"/>
          <w:bCs w:val="0"/>
          <w:color w:val="auto"/>
          <w:kern w:val="0"/>
          <w:sz w:val="24"/>
          <w:szCs w:val="24"/>
          <w:highlight w:val="yellow"/>
          <w:u w:val="none"/>
        </w:rPr>
        <w:t>。</w:t>
      </w:r>
      <w:r>
        <w:rPr>
          <w:rFonts w:hint="eastAsia" w:ascii="仿宋_GB2312" w:hAnsi="宋体" w:cs="宋体"/>
          <w:b w:val="0"/>
          <w:bCs w:val="0"/>
          <w:color w:val="auto"/>
          <w:kern w:val="0"/>
          <w:sz w:val="24"/>
          <w:szCs w:val="24"/>
          <w:highlight w:val="yellow"/>
          <w:u w:val="none"/>
          <w:lang w:eastAsia="zh-CN"/>
        </w:rPr>
        <w:t>】</w:t>
      </w:r>
    </w:p>
    <w:p w14:paraId="4B7CB71C">
      <w:pPr>
        <w:rPr>
          <w:rFonts w:hint="eastAsia" w:ascii="仿宋_GB2312" w:hAnsi="宋体" w:cs="宋体"/>
          <w:b w:val="0"/>
          <w:bCs w:val="0"/>
          <w:color w:val="auto"/>
          <w:kern w:val="0"/>
          <w:sz w:val="24"/>
          <w:szCs w:val="24"/>
          <w:highlight w:val="yellow"/>
          <w:u w:val="none"/>
          <w:lang w:eastAsia="zh-CN"/>
        </w:rPr>
      </w:pPr>
      <w:r>
        <w:rPr>
          <w:rFonts w:hint="eastAsia" w:ascii="仿宋_GB2312" w:hAnsi="宋体" w:cs="宋体"/>
          <w:b w:val="0"/>
          <w:bCs w:val="0"/>
          <w:color w:val="auto"/>
          <w:kern w:val="0"/>
          <w:sz w:val="24"/>
          <w:szCs w:val="24"/>
          <w:highlight w:val="yellow"/>
          <w:u w:val="none"/>
          <w:lang w:eastAsia="zh-CN"/>
        </w:rPr>
        <w:br w:type="page"/>
      </w:r>
    </w:p>
    <w:p w14:paraId="57FD1874">
      <w:pPr>
        <w:pStyle w:val="2"/>
        <w:numPr>
          <w:ilvl w:val="0"/>
          <w:numId w:val="11"/>
        </w:numPr>
      </w:pPr>
      <w:r>
        <w:rPr>
          <w:rFonts w:hint="eastAsia"/>
          <w:color w:val="auto"/>
          <w:highlight w:val="none"/>
          <w:u w:val="none"/>
          <w:lang w:eastAsia="zh-CN"/>
        </w:rPr>
        <w:t>特别提示</w:t>
      </w:r>
    </w:p>
    <w:p w14:paraId="104545B6">
      <w:pPr>
        <w:widowControl/>
        <w:tabs>
          <w:tab w:val="left" w:pos="709"/>
        </w:tabs>
        <w:snapToGrid w:val="0"/>
        <w:spacing w:line="360" w:lineRule="auto"/>
        <w:ind w:firstLine="422" w:firstLineChars="20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若本理财产品所投资资产到期不能全部偿付导致资产减值甚至本金大幅损失，则浙银理财将以产品管理人名义，代表投资者利益行使诉讼权利或者实施其他法律行为。</w:t>
      </w:r>
    </w:p>
    <w:p w14:paraId="7A061922">
      <w:pPr>
        <w:widowControl/>
        <w:tabs>
          <w:tab w:val="left" w:pos="709"/>
        </w:tabs>
        <w:snapToGrid w:val="0"/>
        <w:spacing w:line="360" w:lineRule="auto"/>
        <w:ind w:firstLine="422" w:firstLineChars="20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产品管理人对投资者信息负有保密义务，不得无故向任何组织、个人提供或泄露与投资者有关的业务资料及信息。产品管理人向确有知悉必要的雇员提供投资者信息，或按照有关法律、法规、监管要求向司法机关、行政机关等有关政府部门、投资合作机构及第三方专业机构提供的，不视为对保密义务的违反。</w:t>
      </w:r>
    </w:p>
    <w:p w14:paraId="075B9DDD">
      <w:pPr>
        <w:widowControl/>
        <w:tabs>
          <w:tab w:val="left" w:pos="709"/>
        </w:tabs>
        <w:snapToGrid w:val="0"/>
        <w:spacing w:line="360" w:lineRule="auto"/>
        <w:ind w:firstLine="422" w:firstLineChars="20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产品管理人根据适用的法律法规和监管机构要求，向监管机构和/或其他有权机关（包括但不限于理财登记中心数据交换平台）报送投资者身份信息及投资者持有本产品份额及其变动情况等相关信息。产品管理人对向监管机构和/或监管机构指定机构报送的相关信息负有保密义务,并在报送信息过程中,采取有效措施确保信息安全与保密。</w:t>
      </w:r>
    </w:p>
    <w:p w14:paraId="57D03E5D">
      <w:pPr>
        <w:widowControl/>
        <w:tabs>
          <w:tab w:val="left" w:pos="709"/>
        </w:tabs>
        <w:snapToGrid w:val="0"/>
        <w:spacing w:line="360" w:lineRule="auto"/>
        <w:ind w:firstLine="420" w:firstLineChars="200"/>
        <w:rPr>
          <w:rFonts w:ascii="仿宋_GB2312" w:hAnsi="宋体" w:cs="宋体"/>
          <w:b/>
          <w:bCs/>
          <w:color w:val="auto"/>
          <w:kern w:val="0"/>
          <w:szCs w:val="24"/>
          <w:highlight w:val="none"/>
          <w:u w:val="none"/>
        </w:rPr>
      </w:pPr>
      <w:r>
        <w:rPr>
          <w:rFonts w:hint="eastAsia"/>
          <w:color w:val="auto"/>
          <w:highlight w:val="none"/>
          <w:u w:val="none"/>
        </w:rPr>
        <w:t>本产品的转让将依照理财产品销售文件及销售机构的业务政策执行。</w:t>
      </w:r>
    </w:p>
    <w:p w14:paraId="14EFE96B">
      <w:pPr>
        <w:tabs>
          <w:tab w:val="left" w:pos="709"/>
        </w:tabs>
        <w:snapToGrid w:val="0"/>
        <w:spacing w:line="360" w:lineRule="auto"/>
        <w:ind w:firstLine="420" w:firstLineChars="200"/>
        <w:rPr>
          <w:color w:val="auto"/>
          <w:highlight w:val="none"/>
          <w:u w:val="none"/>
        </w:rPr>
      </w:pPr>
      <w:r>
        <w:rPr>
          <w:rFonts w:hint="eastAsia" w:ascii="仿宋_GB2312" w:hAnsi="宋体" w:cs="宋体"/>
          <w:bCs/>
          <w:color w:val="auto"/>
          <w:kern w:val="0"/>
          <w:szCs w:val="24"/>
          <w:highlight w:val="none"/>
          <w:u w:val="none"/>
        </w:rPr>
        <w:t>投资者对本理财产品有任何意见或异议，</w:t>
      </w:r>
      <w:r>
        <w:rPr>
          <w:rFonts w:hint="eastAsia" w:ascii="仿宋_GB2312" w:cs="宋体" w:hAnsiTheme="minorEastAsia"/>
          <w:bCs/>
          <w:color w:val="auto"/>
          <w:kern w:val="0"/>
          <w:szCs w:val="32"/>
          <w:highlight w:val="none"/>
          <w:u w:val="none"/>
        </w:rPr>
        <w:t>敬请联系您的销售服务机构，具体联系方式以《产品说明书》等销售文件的披露为准</w:t>
      </w:r>
      <w:r>
        <w:rPr>
          <w:rFonts w:hint="eastAsia" w:ascii="仿宋_GB2312" w:cs="宋体" w:hAnsiTheme="minorEastAsia"/>
          <w:bCs/>
          <w:color w:val="auto"/>
          <w:kern w:val="0"/>
          <w:szCs w:val="32"/>
          <w:highlight w:val="none"/>
          <w:u w:val="none"/>
          <w:lang w:eastAsia="zh-CN"/>
        </w:rPr>
        <w:t>；</w:t>
      </w:r>
      <w:r>
        <w:rPr>
          <w:rFonts w:hint="eastAsia" w:ascii="仿宋_GB2312" w:cs="宋体" w:hAnsiTheme="minorEastAsia"/>
          <w:bCs/>
          <w:color w:val="auto"/>
          <w:kern w:val="0"/>
          <w:szCs w:val="32"/>
          <w:highlight w:val="none"/>
          <w:u w:val="none"/>
        </w:rPr>
        <w:t>或反馈至浙银理财，浙银理财服务电话：0571-57192881。</w:t>
      </w:r>
    </w:p>
    <w:p w14:paraId="5E4CC066">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212E6262">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6E9CBC31">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4D12A959">
      <w:pPr>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br w:type="page"/>
      </w:r>
    </w:p>
    <w:p w14:paraId="581CF0C8">
      <w:pPr>
        <w:widowControl/>
        <w:tabs>
          <w:tab w:val="left" w:pos="709"/>
        </w:tabs>
        <w:snapToGrid w:val="0"/>
        <w:spacing w:line="360" w:lineRule="auto"/>
        <w:ind w:firstLine="420" w:firstLineChars="200"/>
        <w:rPr>
          <w:rFonts w:hint="eastAsia"/>
          <w:color w:val="auto"/>
          <w:highlight w:val="none"/>
          <w:u w:val="none"/>
          <w:lang w:val="en-US" w:eastAsia="zh-CN"/>
        </w:rPr>
      </w:pPr>
      <w:r>
        <w:rPr>
          <w:rFonts w:hint="eastAsia"/>
          <w:color w:val="auto"/>
          <w:highlight w:val="none"/>
          <w:u w:val="none"/>
          <w:lang w:val="en-US" w:eastAsia="zh-CN"/>
        </w:rPr>
        <w:t xml:space="preserve">（本页为签署页，无正文） </w:t>
      </w:r>
    </w:p>
    <w:p w14:paraId="37180AFF">
      <w:pPr>
        <w:widowControl/>
        <w:tabs>
          <w:tab w:val="left" w:pos="709"/>
        </w:tabs>
        <w:snapToGrid w:val="0"/>
        <w:spacing w:line="360" w:lineRule="auto"/>
        <w:ind w:firstLine="420" w:firstLineChars="200"/>
        <w:rPr>
          <w:rFonts w:hint="eastAsia"/>
          <w:color w:val="auto"/>
          <w:highlight w:val="none"/>
          <w:u w:val="none"/>
          <w:lang w:val="en-US" w:eastAsia="zh-CN"/>
        </w:rPr>
      </w:pPr>
      <w:r>
        <w:rPr>
          <w:rFonts w:hint="eastAsia"/>
          <w:color w:val="auto"/>
          <w:highlight w:val="none"/>
          <w:u w:val="none"/>
          <w:lang w:val="en-US" w:eastAsia="zh-CN"/>
        </w:rPr>
        <w:t>投资者（个人客户签名） ：</w:t>
      </w:r>
    </w:p>
    <w:p w14:paraId="27C02464">
      <w:pPr>
        <w:widowControl/>
        <w:tabs>
          <w:tab w:val="left" w:pos="709"/>
        </w:tabs>
        <w:snapToGrid w:val="0"/>
        <w:spacing w:line="360" w:lineRule="auto"/>
        <w:ind w:firstLine="420" w:firstLineChars="200"/>
        <w:rPr>
          <w:rFonts w:hint="eastAsia"/>
          <w:color w:val="auto"/>
          <w:highlight w:val="none"/>
          <w:u w:val="none"/>
          <w:lang w:val="en-US" w:eastAsia="zh-CN"/>
        </w:rPr>
      </w:pPr>
    </w:p>
    <w:p w14:paraId="473B77FF">
      <w:pPr>
        <w:widowControl/>
        <w:tabs>
          <w:tab w:val="left" w:pos="709"/>
        </w:tabs>
        <w:snapToGrid w:val="0"/>
        <w:spacing w:line="360" w:lineRule="auto"/>
        <w:ind w:firstLine="420" w:firstLineChars="200"/>
        <w:rPr>
          <w:rFonts w:hint="eastAsia"/>
          <w:color w:val="auto"/>
          <w:highlight w:val="none"/>
          <w:u w:val="none"/>
        </w:rPr>
      </w:pPr>
      <w:r>
        <w:rPr>
          <w:rFonts w:hint="eastAsia"/>
          <w:color w:val="auto"/>
          <w:highlight w:val="none"/>
          <w:u w:val="none"/>
          <w:lang w:val="en-US" w:eastAsia="zh-CN"/>
        </w:rPr>
        <w:t>投资者（机构客户盖公章） ：</w:t>
      </w:r>
    </w:p>
    <w:p w14:paraId="2030DF2D">
      <w:pPr>
        <w:widowControl/>
        <w:tabs>
          <w:tab w:val="left" w:pos="709"/>
        </w:tabs>
        <w:snapToGrid w:val="0"/>
        <w:spacing w:line="360" w:lineRule="auto"/>
        <w:ind w:firstLine="420" w:firstLineChars="200"/>
        <w:rPr>
          <w:rFonts w:hint="eastAsia"/>
          <w:color w:val="auto"/>
          <w:highlight w:val="none"/>
          <w:u w:val="none"/>
        </w:rPr>
      </w:pPr>
      <w:r>
        <w:rPr>
          <w:rFonts w:hint="eastAsia"/>
          <w:color w:val="auto"/>
          <w:highlight w:val="none"/>
          <w:u w:val="none"/>
          <w:lang w:val="en-US" w:eastAsia="zh-CN"/>
        </w:rPr>
        <w:t xml:space="preserve">法定代表人或授权代理人（签名或盖个人名章）： </w:t>
      </w:r>
    </w:p>
    <w:p w14:paraId="6285A5AD">
      <w:pPr>
        <w:widowControl/>
        <w:tabs>
          <w:tab w:val="left" w:pos="709"/>
        </w:tabs>
        <w:snapToGrid w:val="0"/>
        <w:spacing w:line="360" w:lineRule="auto"/>
        <w:ind w:firstLine="420" w:firstLineChars="200"/>
        <w:rPr>
          <w:rFonts w:hint="eastAsia"/>
          <w:color w:val="auto"/>
          <w:highlight w:val="none"/>
          <w:u w:val="none"/>
          <w:lang w:val="en-US" w:eastAsia="zh-CN"/>
        </w:rPr>
      </w:pPr>
    </w:p>
    <w:p w14:paraId="1E95CA04">
      <w:pPr>
        <w:widowControl/>
        <w:tabs>
          <w:tab w:val="left" w:pos="709"/>
        </w:tabs>
        <w:snapToGrid w:val="0"/>
        <w:spacing w:line="360" w:lineRule="auto"/>
        <w:ind w:firstLine="420" w:firstLineChars="200"/>
        <w:rPr>
          <w:rFonts w:hint="eastAsia"/>
          <w:color w:val="auto"/>
          <w:highlight w:val="none"/>
          <w:u w:val="none"/>
        </w:rPr>
      </w:pPr>
      <w:r>
        <w:rPr>
          <w:rFonts w:hint="eastAsia"/>
          <w:color w:val="auto"/>
          <w:highlight w:val="none"/>
          <w:u w:val="none"/>
          <w:lang w:val="en-US" w:eastAsia="zh-CN"/>
        </w:rPr>
        <w:t>签约日期:_______年______月______日</w:t>
      </w:r>
    </w:p>
    <w:p w14:paraId="08B0DDA9"/>
    <w:p w14:paraId="6A057CC8">
      <w:pPr>
        <w:rPr>
          <w:rFonts w:hint="eastAsia"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br w:type="page"/>
      </w:r>
    </w:p>
    <w:p w14:paraId="5BC3BA18">
      <w:pPr>
        <w:jc w:val="left"/>
        <w:rPr>
          <w:rFonts w:hint="eastAsia"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t>附件8：</w:t>
      </w:r>
    </w:p>
    <w:p w14:paraId="3F2FEEE0">
      <w:pPr>
        <w:widowControl/>
        <w:snapToGrid w:val="0"/>
        <w:jc w:val="center"/>
        <w:rPr>
          <w:rFonts w:hint="eastAsia" w:ascii="方正小标宋简体" w:hAnsi="宋体" w:eastAsia="方正小标宋简体" w:cs="宋体"/>
          <w:bCs/>
          <w:kern w:val="0"/>
          <w:sz w:val="36"/>
          <w:szCs w:val="36"/>
        </w:rPr>
      </w:pPr>
      <w:r>
        <w:rPr>
          <w:rFonts w:hint="eastAsia" w:ascii="方正小标宋简体" w:hAnsi="宋体" w:eastAsia="方正小标宋简体" w:cs="宋体"/>
          <w:bCs/>
          <w:kern w:val="0"/>
          <w:sz w:val="36"/>
          <w:szCs w:val="36"/>
        </w:rPr>
        <w:t>浙银理财</w:t>
      </w:r>
      <w:r>
        <w:rPr>
          <w:rFonts w:hint="eastAsia" w:ascii="方正小标宋简体" w:hAnsi="宋体" w:eastAsia="方正小标宋简体" w:cs="宋体"/>
          <w:bCs/>
          <w:kern w:val="0"/>
          <w:sz w:val="36"/>
          <w:szCs w:val="36"/>
          <w:highlight w:val="yellow"/>
          <w:lang w:eastAsia="zh-CN"/>
        </w:rPr>
        <w:t>【】</w:t>
      </w:r>
      <w:r>
        <w:rPr>
          <w:rFonts w:hint="eastAsia" w:ascii="方正小标宋简体" w:hAnsi="宋体" w:eastAsia="方正小标宋简体" w:cs="宋体"/>
          <w:bCs/>
          <w:kern w:val="0"/>
          <w:sz w:val="36"/>
          <w:szCs w:val="36"/>
        </w:rPr>
        <w:t>理财产品说明书</w:t>
      </w:r>
    </w:p>
    <w:p w14:paraId="21A23415">
      <w:pPr>
        <w:keepNext w:val="0"/>
        <w:keepLines w:val="0"/>
        <w:widowControl/>
        <w:suppressLineNumbers w:val="0"/>
        <w:jc w:val="center"/>
        <w:rPr>
          <w:highlight w:val="none"/>
        </w:rPr>
      </w:pPr>
      <w:r>
        <w:rPr>
          <w:rFonts w:hint="eastAsia" w:ascii="宋体" w:hAnsi="宋体" w:eastAsia="宋体" w:cs="宋体"/>
          <w:b/>
          <w:bCs/>
          <w:color w:val="000000"/>
          <w:kern w:val="0"/>
          <w:sz w:val="28"/>
          <w:szCs w:val="28"/>
          <w:highlight w:val="none"/>
          <w:lang w:val="en-US" w:eastAsia="zh-CN" w:bidi="ar"/>
        </w:rPr>
        <w:t>（</w:t>
      </w:r>
      <w:r>
        <w:rPr>
          <w:rFonts w:ascii="宋体" w:hAnsi="宋体" w:eastAsia="宋体" w:cs="宋体"/>
          <w:b/>
          <w:bCs/>
          <w:color w:val="000000"/>
          <w:kern w:val="0"/>
          <w:sz w:val="28"/>
          <w:szCs w:val="28"/>
          <w:highlight w:val="none"/>
          <w:lang w:val="en-US" w:eastAsia="zh-CN" w:bidi="ar"/>
        </w:rPr>
        <w:t>全国银行业理财信息登记系统产品登记编码：</w:t>
      </w:r>
      <w:r>
        <w:rPr>
          <w:rFonts w:hint="eastAsia" w:ascii="宋体" w:hAnsi="宋体" w:eastAsia="宋体" w:cs="宋体"/>
          <w:b/>
          <w:bCs/>
          <w:color w:val="000000"/>
          <w:kern w:val="0"/>
          <w:sz w:val="28"/>
          <w:szCs w:val="28"/>
          <w:highlight w:val="yellow"/>
          <w:lang w:val="en-US" w:eastAsia="zh-CN" w:bidi="ar"/>
        </w:rPr>
        <w:t>【】</w:t>
      </w:r>
      <w:r>
        <w:rPr>
          <w:rFonts w:hint="eastAsia" w:ascii="宋体" w:hAnsi="宋体" w:eastAsia="宋体" w:cs="宋体"/>
          <w:b/>
          <w:bCs/>
          <w:color w:val="000000"/>
          <w:kern w:val="0"/>
          <w:sz w:val="28"/>
          <w:szCs w:val="28"/>
          <w:highlight w:val="none"/>
          <w:lang w:val="en-US" w:eastAsia="zh-CN" w:bidi="ar"/>
        </w:rPr>
        <w:t>）</w:t>
      </w:r>
    </w:p>
    <w:p w14:paraId="7C91538B">
      <w:pPr>
        <w:keepNext w:val="0"/>
        <w:keepLines w:val="0"/>
        <w:widowControl/>
        <w:suppressLineNumbers w:val="0"/>
        <w:jc w:val="center"/>
        <w:rPr>
          <w:rFonts w:ascii="宋体" w:hAnsi="宋体" w:eastAsia="宋体" w:cs="宋体"/>
          <w:b/>
          <w:bCs/>
          <w:color w:val="000000"/>
          <w:kern w:val="0"/>
          <w:sz w:val="20"/>
          <w:szCs w:val="20"/>
          <w:highlight w:val="none"/>
          <w:lang w:val="en-US" w:eastAsia="zh-CN" w:bidi="ar"/>
        </w:rPr>
      </w:pPr>
      <w:r>
        <w:rPr>
          <w:rFonts w:ascii="宋体" w:hAnsi="宋体" w:eastAsia="宋体" w:cs="宋体"/>
          <w:b/>
          <w:bCs/>
          <w:color w:val="000000"/>
          <w:kern w:val="0"/>
          <w:sz w:val="20"/>
          <w:szCs w:val="20"/>
          <w:highlight w:val="none"/>
          <w:lang w:val="en-US" w:eastAsia="zh-CN" w:bidi="ar"/>
        </w:rPr>
        <w:t xml:space="preserve">（投资者可依据该编码在中国理财网 </w:t>
      </w:r>
      <w:r>
        <w:rPr>
          <w:rFonts w:hint="default" w:ascii="Times New Roman" w:hAnsi="Times New Roman" w:eastAsia="宋体" w:cs="Times New Roman"/>
          <w:b/>
          <w:bCs/>
          <w:color w:val="000000"/>
          <w:kern w:val="0"/>
          <w:sz w:val="20"/>
          <w:szCs w:val="20"/>
          <w:highlight w:val="none"/>
          <w:lang w:val="en-US" w:eastAsia="zh-CN" w:bidi="ar"/>
        </w:rPr>
        <w:t xml:space="preserve">www.chinawealth.com.cn </w:t>
      </w:r>
      <w:r>
        <w:rPr>
          <w:rFonts w:ascii="宋体" w:hAnsi="宋体" w:eastAsia="宋体" w:cs="宋体"/>
          <w:b/>
          <w:bCs/>
          <w:color w:val="000000"/>
          <w:kern w:val="0"/>
          <w:sz w:val="20"/>
          <w:szCs w:val="20"/>
          <w:highlight w:val="none"/>
          <w:lang w:val="en-US" w:eastAsia="zh-CN" w:bidi="ar"/>
        </w:rPr>
        <w:t>查询产品信息）</w:t>
      </w:r>
    </w:p>
    <w:p w14:paraId="6750D4D1">
      <w:pPr>
        <w:keepNext w:val="0"/>
        <w:keepLines w:val="0"/>
        <w:widowControl/>
        <w:suppressLineNumbers w:val="0"/>
        <w:jc w:val="center"/>
        <w:rPr>
          <w:rFonts w:ascii="宋体" w:hAnsi="宋体" w:eastAsia="宋体" w:cs="宋体"/>
          <w:b/>
          <w:bCs/>
          <w:color w:val="000000"/>
          <w:kern w:val="0"/>
          <w:sz w:val="20"/>
          <w:szCs w:val="20"/>
          <w:highlight w:val="none"/>
          <w:lang w:val="en-US" w:eastAsia="zh-CN" w:bidi="ar"/>
        </w:rPr>
      </w:pPr>
    </w:p>
    <w:p w14:paraId="420EBC34">
      <w:pPr>
        <w:pStyle w:val="2"/>
        <w:numPr>
          <w:ilvl w:val="0"/>
          <w:numId w:val="12"/>
        </w:numPr>
        <w:rPr>
          <w:rFonts w:hint="eastAsia"/>
          <w:color w:val="auto"/>
          <w:highlight w:val="none"/>
          <w:u w:val="none"/>
        </w:rPr>
      </w:pPr>
      <w:r>
        <w:rPr>
          <w:rFonts w:hint="eastAsia"/>
          <w:color w:val="auto"/>
          <w:highlight w:val="none"/>
          <w:u w:val="none"/>
        </w:rPr>
        <w:t>理财产品</w:t>
      </w:r>
      <w:r>
        <w:rPr>
          <w:rFonts w:hint="eastAsia"/>
          <w:color w:val="auto"/>
          <w:highlight w:val="none"/>
          <w:u w:val="none"/>
          <w:lang w:eastAsia="zh-CN"/>
        </w:rPr>
        <w:t>说明书关键要素</w:t>
      </w:r>
    </w:p>
    <w:tbl>
      <w:tblPr>
        <w:tblStyle w:val="7"/>
        <w:tblW w:w="9425" w:type="dxa"/>
        <w:tblInd w:w="-355" w:type="dxa"/>
        <w:tblLayout w:type="fixed"/>
        <w:tblCellMar>
          <w:top w:w="0" w:type="dxa"/>
          <w:left w:w="108" w:type="dxa"/>
          <w:bottom w:w="0" w:type="dxa"/>
          <w:right w:w="108" w:type="dxa"/>
        </w:tblCellMar>
      </w:tblPr>
      <w:tblGrid>
        <w:gridCol w:w="2453"/>
        <w:gridCol w:w="6972"/>
      </w:tblGrid>
      <w:tr w14:paraId="2E1C05E4">
        <w:tblPrEx>
          <w:tblCellMar>
            <w:top w:w="0" w:type="dxa"/>
            <w:left w:w="108" w:type="dxa"/>
            <w:bottom w:w="0" w:type="dxa"/>
            <w:right w:w="108" w:type="dxa"/>
          </w:tblCellMar>
        </w:tblPrEx>
        <w:trPr>
          <w:trHeight w:val="1394" w:hRule="atLeast"/>
        </w:trPr>
        <w:tc>
          <w:tcPr>
            <w:tcW w:w="9425" w:type="dxa"/>
            <w:gridSpan w:val="2"/>
            <w:tcBorders>
              <w:top w:val="single" w:color="000000" w:sz="8" w:space="0"/>
              <w:left w:val="single" w:color="000000" w:sz="8" w:space="0"/>
              <w:bottom w:val="single" w:color="000000" w:sz="4" w:space="0"/>
              <w:right w:val="single" w:color="000000" w:sz="8" w:space="0"/>
            </w:tcBorders>
            <w:vAlign w:val="center"/>
          </w:tcPr>
          <w:p w14:paraId="42DABA3E">
            <w:pPr>
              <w:widowControl/>
              <w:spacing w:line="600" w:lineRule="exact"/>
              <w:jc w:val="center"/>
              <w:textAlignment w:val="center"/>
              <w:rPr>
                <w:rFonts w:hint="eastAsia" w:ascii="方正小标宋简体" w:hAnsi="方正小标宋简体" w:eastAsia="方正小标宋简体" w:cs="方正小标宋简体"/>
                <w:color w:val="000000"/>
                <w:sz w:val="40"/>
                <w:szCs w:val="40"/>
              </w:rPr>
            </w:pPr>
            <w:r>
              <w:rPr>
                <w:rFonts w:hint="eastAsia" w:ascii="方正小标宋简体" w:hAnsi="方正小标宋简体" w:eastAsia="方正小标宋简体" w:cs="方正小标宋简体"/>
                <w:color w:val="000000"/>
                <w:kern w:val="0"/>
                <w:sz w:val="40"/>
                <w:szCs w:val="40"/>
                <w:lang w:bidi="ar"/>
              </w:rPr>
              <w:t>理财产品说明书关键要素</w:t>
            </w:r>
          </w:p>
        </w:tc>
      </w:tr>
      <w:tr w14:paraId="028D1EC3">
        <w:tblPrEx>
          <w:tblCellMar>
            <w:top w:w="0" w:type="dxa"/>
            <w:left w:w="108" w:type="dxa"/>
            <w:bottom w:w="0" w:type="dxa"/>
            <w:right w:w="108" w:type="dxa"/>
          </w:tblCellMar>
        </w:tblPrEx>
        <w:trPr>
          <w:trHeight w:val="980" w:hRule="atLeast"/>
        </w:trPr>
        <w:tc>
          <w:tcPr>
            <w:tcW w:w="9425" w:type="dxa"/>
            <w:gridSpan w:val="2"/>
            <w:tcBorders>
              <w:top w:val="single" w:color="000000" w:sz="4" w:space="0"/>
              <w:left w:val="single" w:color="000000" w:sz="8" w:space="0"/>
              <w:bottom w:val="nil"/>
              <w:right w:val="single" w:color="000000" w:sz="8" w:space="0"/>
            </w:tcBorders>
            <w:vAlign w:val="center"/>
          </w:tcPr>
          <w:p w14:paraId="7940CC64">
            <w:pPr>
              <w:widowControl/>
              <w:spacing w:line="400" w:lineRule="exact"/>
              <w:jc w:val="center"/>
              <w:textAlignment w:val="center"/>
              <w:rPr>
                <w:rFonts w:hint="eastAsia" w:ascii="仿宋_GB2312" w:hAnsi="等线" w:eastAsia="仿宋_GB2312" w:cs="仿宋_GB2312"/>
                <w:color w:val="000000"/>
                <w:sz w:val="24"/>
              </w:rPr>
            </w:pPr>
            <w:r>
              <w:rPr>
                <w:rFonts w:hint="eastAsia" w:cs="仿宋_GB2312"/>
                <w:sz w:val="22"/>
                <w:szCs w:val="22"/>
                <w:lang w:bidi="ar"/>
              </w:rPr>
              <w:t>本表格提供本理财产品的重要信息，是理财产品说明书的一部分。</w:t>
            </w:r>
            <w:r>
              <w:rPr>
                <w:rFonts w:hint="eastAsia" w:cs="仿宋_GB2312"/>
                <w:sz w:val="22"/>
                <w:szCs w:val="22"/>
                <w:lang w:bidi="ar"/>
              </w:rPr>
              <w:br w:type="textWrapping"/>
            </w:r>
            <w:r>
              <w:rPr>
                <w:rFonts w:hint="eastAsia" w:cs="仿宋_GB2312"/>
                <w:sz w:val="22"/>
                <w:szCs w:val="22"/>
                <w:lang w:bidi="ar"/>
              </w:rPr>
              <w:t>作出投资决定前，请阅读完整的理财产品说明书等销售文件。</w:t>
            </w:r>
          </w:p>
        </w:tc>
      </w:tr>
      <w:tr w14:paraId="3D4D34FD">
        <w:tblPrEx>
          <w:tblCellMar>
            <w:top w:w="0" w:type="dxa"/>
            <w:left w:w="108" w:type="dxa"/>
            <w:bottom w:w="0" w:type="dxa"/>
            <w:right w:w="108" w:type="dxa"/>
          </w:tblCellMar>
        </w:tblPrEx>
        <w:trPr>
          <w:trHeight w:val="270" w:hRule="atLeast"/>
        </w:trPr>
        <w:tc>
          <w:tcPr>
            <w:tcW w:w="9425" w:type="dxa"/>
            <w:gridSpan w:val="2"/>
            <w:tcBorders>
              <w:top w:val="single" w:color="000000" w:sz="4" w:space="0"/>
              <w:left w:val="single" w:color="000000" w:sz="8" w:space="0"/>
              <w:bottom w:val="single" w:color="auto" w:sz="4" w:space="0"/>
              <w:right w:val="single" w:color="000000" w:sz="8" w:space="0"/>
            </w:tcBorders>
            <w:vAlign w:val="center"/>
          </w:tcPr>
          <w:p w14:paraId="164A0C84">
            <w:pPr>
              <w:widowControl/>
              <w:spacing w:line="400" w:lineRule="exact"/>
              <w:jc w:val="center"/>
              <w:textAlignment w:val="center"/>
              <w:rPr>
                <w:rFonts w:hint="eastAsia" w:ascii="楷体_GB2312" w:hAnsi="等线" w:eastAsia="楷体_GB2312" w:cs="楷体_GB2312"/>
                <w:b/>
                <w:bCs/>
                <w:color w:val="000000"/>
                <w:sz w:val="24"/>
              </w:rPr>
            </w:pPr>
            <w:r>
              <w:rPr>
                <w:rFonts w:hint="eastAsia" w:ascii="楷体_GB2312" w:hAnsi="等线" w:eastAsia="楷体_GB2312" w:cs="楷体_GB2312"/>
                <w:b/>
                <w:bCs/>
                <w:color w:val="000000"/>
                <w:kern w:val="0"/>
                <w:sz w:val="24"/>
                <w:lang w:bidi="ar"/>
              </w:rPr>
              <w:t>（一）理财产品基本信息</w:t>
            </w:r>
          </w:p>
        </w:tc>
      </w:tr>
      <w:tr w14:paraId="256060C5">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585123C7">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产品登记编码</w:t>
            </w:r>
          </w:p>
        </w:tc>
        <w:tc>
          <w:tcPr>
            <w:tcW w:w="6972" w:type="dxa"/>
            <w:tcBorders>
              <w:top w:val="single" w:color="auto" w:sz="4" w:space="0"/>
              <w:left w:val="single" w:color="auto" w:sz="4" w:space="0"/>
              <w:bottom w:val="single" w:color="auto" w:sz="4" w:space="0"/>
              <w:right w:val="single" w:color="auto" w:sz="4" w:space="0"/>
            </w:tcBorders>
            <w:vAlign w:val="center"/>
          </w:tcPr>
          <w:p w14:paraId="6402A42E">
            <w:pPr>
              <w:widowControl/>
              <w:spacing w:line="400" w:lineRule="exact"/>
              <w:jc w:val="left"/>
              <w:textAlignment w:val="center"/>
              <w:rPr>
                <w:rFonts w:hint="eastAsia" w:ascii="宋体" w:hAnsi="宋体"/>
                <w:color w:val="auto"/>
                <w:szCs w:val="24"/>
                <w:highlight w:val="yellow"/>
                <w:u w:val="none"/>
              </w:rPr>
            </w:pPr>
            <w:r>
              <w:rPr>
                <w:rFonts w:hint="eastAsia" w:ascii="宋体" w:hAnsi="宋体"/>
                <w:color w:val="auto"/>
                <w:szCs w:val="24"/>
                <w:highlight w:val="yellow"/>
                <w:u w:val="none"/>
              </w:rPr>
              <w:t>【】</w:t>
            </w:r>
          </w:p>
          <w:p w14:paraId="15DDAF71">
            <w:pPr>
              <w:widowControl/>
              <w:spacing w:line="400" w:lineRule="exact"/>
              <w:jc w:val="left"/>
              <w:textAlignment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仿宋_GB2312" w:hAnsi="仿宋_GB2312" w:cs="仿宋_GB2312"/>
                <w:sz w:val="22"/>
                <w:szCs w:val="22"/>
                <w:lang w:bidi="ar"/>
              </w:rPr>
              <w:t>（重要提示：可依据该登记编码在中国理财网www.chinawealth.com.cn查询产品信息）</w:t>
            </w:r>
          </w:p>
        </w:tc>
      </w:tr>
      <w:tr w14:paraId="255F4858">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2A0DB44">
            <w:pPr>
              <w:widowControl/>
              <w:spacing w:line="400" w:lineRule="exact"/>
              <w:jc w:val="center"/>
              <w:textAlignment w:val="center"/>
              <w:rPr>
                <w:rFonts w:hint="eastAsia" w:ascii="仿宋_GB2312" w:hAnsi="等线" w:cs="仿宋_GB2312"/>
                <w:color w:val="000000" w:themeColor="text1"/>
                <w:kern w:val="0"/>
                <w:sz w:val="24"/>
                <w:lang w:eastAsia="zh-CN" w:bidi="ar"/>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产品代码</w:t>
            </w:r>
          </w:p>
        </w:tc>
        <w:tc>
          <w:tcPr>
            <w:tcW w:w="6972" w:type="dxa"/>
            <w:tcBorders>
              <w:top w:val="single" w:color="auto" w:sz="4" w:space="0"/>
              <w:left w:val="single" w:color="auto" w:sz="4" w:space="0"/>
              <w:bottom w:val="single" w:color="auto" w:sz="4" w:space="0"/>
              <w:right w:val="single" w:color="auto" w:sz="4" w:space="0"/>
            </w:tcBorders>
            <w:vAlign w:val="center"/>
          </w:tcPr>
          <w:p w14:paraId="6B40FD6F">
            <w:pPr>
              <w:widowControl/>
              <w:spacing w:line="400" w:lineRule="exact"/>
              <w:jc w:val="left"/>
              <w:textAlignment w:val="center"/>
              <w:rPr>
                <w:rFonts w:hint="eastAsia" w:ascii="宋体" w:hAnsi="宋体"/>
                <w:szCs w:val="24"/>
                <w:highlight w:val="none"/>
              </w:rPr>
            </w:pPr>
            <w:r>
              <w:rPr>
                <w:rFonts w:hint="eastAsia" w:ascii="宋体" w:hAnsi="宋体"/>
                <w:szCs w:val="24"/>
                <w:highlight w:val="yellow"/>
              </w:rPr>
              <w:t>【】</w:t>
            </w:r>
          </w:p>
        </w:tc>
      </w:tr>
      <w:tr w14:paraId="2F085F2C">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BAA826D">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理财</w:t>
            </w:r>
            <w:r>
              <w:rPr>
                <w:rFonts w:hint="eastAsia" w:ascii="仿宋_GB2312" w:hAnsi="等线" w:eastAsia="仿宋_GB2312" w:cs="仿宋_GB2312"/>
                <w:color w:val="000000" w:themeColor="text1"/>
                <w:kern w:val="0"/>
                <w:sz w:val="24"/>
                <w:lang w:bidi="ar"/>
                <w14:textFill>
                  <w14:solidFill>
                    <w14:schemeClr w14:val="tx1"/>
                  </w14:solidFill>
                </w14:textFill>
              </w:rPr>
              <w:t>产品名称</w:t>
            </w:r>
          </w:p>
        </w:tc>
        <w:tc>
          <w:tcPr>
            <w:tcW w:w="6972" w:type="dxa"/>
            <w:tcBorders>
              <w:top w:val="single" w:color="auto" w:sz="4" w:space="0"/>
              <w:left w:val="single" w:color="auto" w:sz="4" w:space="0"/>
              <w:bottom w:val="single" w:color="auto" w:sz="4" w:space="0"/>
              <w:right w:val="single" w:color="auto" w:sz="4" w:space="0"/>
            </w:tcBorders>
            <w:vAlign w:val="center"/>
          </w:tcPr>
          <w:p w14:paraId="2C8BABDF">
            <w:pPr>
              <w:widowControl/>
              <w:spacing w:line="400" w:lineRule="exact"/>
              <w:jc w:val="left"/>
              <w:textAlignment w:val="center"/>
              <w:rPr>
                <w:rFonts w:hint="eastAsia" w:ascii="仿宋_GB2312" w:hAnsi="等线" w:eastAsia="仿宋_GB2312" w:cs="仿宋_GB2312"/>
                <w:bCs/>
                <w:color w:val="000000" w:themeColor="text1"/>
                <w:sz w:val="24"/>
                <w:lang w:eastAsia="zh-CN"/>
                <w14:textFill>
                  <w14:solidFill>
                    <w14:schemeClr w14:val="tx1"/>
                  </w14:solidFill>
                </w14:textFill>
              </w:rPr>
            </w:pPr>
            <w:r>
              <w:rPr>
                <w:rFonts w:hint="eastAsia" w:ascii="宋体" w:hAnsi="宋体"/>
                <w:szCs w:val="24"/>
                <w:highlight w:val="yellow"/>
                <w:lang w:eastAsia="zh-CN"/>
              </w:rPr>
              <w:t>【】</w:t>
            </w:r>
          </w:p>
        </w:tc>
      </w:tr>
      <w:tr w14:paraId="0C961A98">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646818C">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份额代码</w:t>
            </w:r>
          </w:p>
        </w:tc>
        <w:tc>
          <w:tcPr>
            <w:tcW w:w="6972" w:type="dxa"/>
            <w:tcBorders>
              <w:top w:val="single" w:color="auto" w:sz="4" w:space="0"/>
              <w:left w:val="single" w:color="auto" w:sz="4" w:space="0"/>
              <w:bottom w:val="single" w:color="auto" w:sz="4" w:space="0"/>
              <w:right w:val="single" w:color="auto" w:sz="4" w:space="0"/>
            </w:tcBorders>
            <w:vAlign w:val="center"/>
          </w:tcPr>
          <w:p w14:paraId="7791C800">
            <w:pPr>
              <w:snapToGrid w:val="0"/>
              <w:jc w:val="left"/>
              <w:rPr>
                <w:rFonts w:ascii="宋体" w:hAnsi="宋体" w:cs="宋体"/>
                <w:color w:val="auto"/>
                <w:kern w:val="0"/>
                <w:szCs w:val="24"/>
                <w:highlight w:val="none"/>
              </w:rPr>
            </w:pPr>
            <w:r>
              <w:rPr>
                <w:rFonts w:hint="eastAsia" w:ascii="宋体" w:hAnsi="宋体" w:cs="宋体"/>
                <w:color w:val="auto"/>
                <w:kern w:val="0"/>
                <w:szCs w:val="24"/>
                <w:highlight w:val="none"/>
              </w:rPr>
              <w:t>本产品根据投资者购买理财产品的金额、销售渠道、客户类型等因素设置不同的产品份额类别，各类产品份额可能分别设置不同的销售名称、</w:t>
            </w:r>
            <w:r>
              <w:rPr>
                <w:rFonts w:hint="eastAsia" w:ascii="宋体" w:hAnsi="宋体" w:cs="宋体"/>
                <w:color w:val="auto"/>
                <w:kern w:val="0"/>
                <w:szCs w:val="24"/>
                <w:highlight w:val="none"/>
                <w:lang w:eastAsia="zh-CN"/>
              </w:rPr>
              <w:t>份额</w:t>
            </w:r>
            <w:r>
              <w:rPr>
                <w:rFonts w:hint="eastAsia" w:ascii="宋体" w:hAnsi="宋体" w:cs="宋体"/>
                <w:color w:val="auto"/>
                <w:kern w:val="0"/>
                <w:szCs w:val="24"/>
                <w:highlight w:val="none"/>
              </w:rPr>
              <w:t>代码、销售渠道、销售</w:t>
            </w:r>
            <w:r>
              <w:rPr>
                <w:rFonts w:hint="eastAsia" w:ascii="宋体" w:hAnsi="宋体" w:cs="宋体"/>
                <w:color w:val="auto"/>
                <w:kern w:val="0"/>
                <w:szCs w:val="24"/>
                <w:highlight w:val="none"/>
                <w:lang w:eastAsia="zh-CN"/>
              </w:rPr>
              <w:t>对象</w:t>
            </w:r>
            <w:r>
              <w:rPr>
                <w:rFonts w:hint="eastAsia" w:ascii="宋体" w:hAnsi="宋体" w:cs="宋体"/>
                <w:color w:val="auto"/>
                <w:kern w:val="0"/>
                <w:szCs w:val="24"/>
                <w:highlight w:val="none"/>
              </w:rPr>
              <w:t>、销售服务费率、收费方式、业绩比较基准、</w:t>
            </w:r>
            <w:r>
              <w:rPr>
                <w:rFonts w:hint="eastAsia" w:ascii="宋体" w:hAnsi="宋体" w:cs="宋体"/>
                <w:color w:val="auto"/>
                <w:kern w:val="0"/>
                <w:szCs w:val="24"/>
                <w:highlight w:val="none"/>
                <w:lang w:eastAsia="zh-CN"/>
              </w:rPr>
              <w:t>起点销售</w:t>
            </w:r>
            <w:r>
              <w:rPr>
                <w:rFonts w:hint="eastAsia" w:ascii="宋体" w:hAnsi="宋体" w:cs="宋体"/>
                <w:color w:val="auto"/>
                <w:kern w:val="0"/>
                <w:szCs w:val="24"/>
                <w:highlight w:val="none"/>
              </w:rPr>
              <w:t>金额</w:t>
            </w:r>
            <w:r>
              <w:rPr>
                <w:rFonts w:hint="eastAsia" w:ascii="仿宋_GB2312" w:hAnsi="宋体" w:cs="宋体"/>
                <w:color w:val="auto"/>
                <w:kern w:val="0"/>
                <w:szCs w:val="24"/>
                <w:highlight w:val="none"/>
              </w:rPr>
              <w:t>及</w:t>
            </w:r>
            <w:r>
              <w:rPr>
                <w:rFonts w:hint="eastAsia" w:ascii="仿宋_GB2312" w:hAnsi="宋体" w:cs="宋体"/>
                <w:color w:val="auto"/>
                <w:kern w:val="0"/>
                <w:szCs w:val="24"/>
                <w:highlight w:val="none"/>
                <w:lang w:eastAsia="zh-CN"/>
              </w:rPr>
              <w:t>追加</w:t>
            </w:r>
            <w:r>
              <w:rPr>
                <w:rFonts w:hint="eastAsia" w:ascii="仿宋_GB2312" w:hAnsi="宋体" w:cs="宋体"/>
                <w:color w:val="auto"/>
                <w:kern w:val="0"/>
                <w:szCs w:val="24"/>
                <w:highlight w:val="none"/>
              </w:rPr>
              <w:t>递增金额</w:t>
            </w:r>
            <w:r>
              <w:rPr>
                <w:rFonts w:hint="eastAsia" w:ascii="宋体" w:hAnsi="宋体" w:cs="宋体"/>
                <w:color w:val="auto"/>
                <w:kern w:val="0"/>
                <w:szCs w:val="24"/>
                <w:highlight w:val="none"/>
              </w:rPr>
              <w:t>、认</w:t>
            </w:r>
            <w:r>
              <w:rPr>
                <w:rFonts w:ascii="宋体" w:hAnsi="宋体" w:cs="宋体"/>
                <w:color w:val="auto"/>
                <w:kern w:val="0"/>
                <w:szCs w:val="24"/>
                <w:highlight w:val="none"/>
              </w:rPr>
              <w:t>/</w:t>
            </w:r>
            <w:r>
              <w:rPr>
                <w:rFonts w:hint="eastAsia" w:ascii="宋体" w:hAnsi="宋体" w:cs="宋体"/>
                <w:color w:val="auto"/>
                <w:kern w:val="0"/>
                <w:szCs w:val="24"/>
                <w:highlight w:val="none"/>
              </w:rPr>
              <w:t>申购上限</w:t>
            </w:r>
            <w:r>
              <w:rPr>
                <w:rFonts w:ascii="宋体" w:hAnsi="宋体" w:cs="宋体"/>
                <w:color w:val="auto"/>
                <w:kern w:val="0"/>
                <w:szCs w:val="24"/>
                <w:highlight w:val="none"/>
              </w:rPr>
              <w:t>金额、</w:t>
            </w:r>
            <w:r>
              <w:rPr>
                <w:rFonts w:hint="eastAsia" w:ascii="宋体" w:hAnsi="宋体" w:cs="宋体"/>
                <w:color w:val="auto"/>
                <w:kern w:val="0"/>
                <w:szCs w:val="24"/>
                <w:highlight w:val="none"/>
              </w:rPr>
              <w:t>认</w:t>
            </w:r>
            <w:r>
              <w:rPr>
                <w:rFonts w:ascii="宋体" w:hAnsi="宋体" w:cs="宋体"/>
                <w:color w:val="auto"/>
                <w:kern w:val="0"/>
                <w:szCs w:val="24"/>
                <w:highlight w:val="none"/>
              </w:rPr>
              <w:t>/</w:t>
            </w:r>
            <w:r>
              <w:rPr>
                <w:rFonts w:hint="eastAsia" w:ascii="宋体" w:hAnsi="宋体" w:cs="宋体"/>
                <w:color w:val="auto"/>
                <w:kern w:val="0"/>
                <w:szCs w:val="24"/>
                <w:highlight w:val="none"/>
              </w:rPr>
              <w:t>申购和赎回数量限制、持有金额上/下限</w:t>
            </w:r>
            <w:r>
              <w:rPr>
                <w:rFonts w:hint="eastAsia"/>
                <w:color w:val="auto"/>
                <w:highlight w:val="none"/>
              </w:rPr>
              <w:t>、单一投资者持有份额占比上限、产品规模上限</w:t>
            </w:r>
            <w:r>
              <w:rPr>
                <w:rFonts w:hint="eastAsia" w:ascii="宋体" w:hAnsi="宋体" w:cs="宋体"/>
                <w:color w:val="auto"/>
                <w:kern w:val="0"/>
                <w:szCs w:val="24"/>
                <w:highlight w:val="none"/>
              </w:rPr>
              <w:t>等要素，并分别计算和公告各类产品份额单位净值，具体以对应的理财产品销售文件约定为准。</w:t>
            </w:r>
          </w:p>
          <w:p w14:paraId="4F64B4C7">
            <w:pPr>
              <w:snapToGrid w:val="0"/>
              <w:jc w:val="left"/>
              <w:rPr>
                <w:rFonts w:ascii="宋体" w:hAnsi="宋体" w:cs="宋体"/>
                <w:color w:val="auto"/>
                <w:kern w:val="0"/>
                <w:szCs w:val="24"/>
                <w:highlight w:val="none"/>
              </w:rPr>
            </w:pPr>
            <w:r>
              <w:rPr>
                <w:rFonts w:hint="eastAsia" w:ascii="宋体" w:hAnsi="宋体" w:cs="宋体"/>
                <w:color w:val="auto"/>
                <w:kern w:val="0"/>
                <w:szCs w:val="24"/>
                <w:highlight w:val="none"/>
              </w:rPr>
              <w:t>投资者可根据实际情况自行选择认/申购的产品份额类别。</w:t>
            </w:r>
          </w:p>
          <w:p w14:paraId="306DD07D">
            <w:pPr>
              <w:widowControl/>
              <w:spacing w:line="400" w:lineRule="exact"/>
              <w:jc w:val="left"/>
              <w:textAlignment w:val="center"/>
              <w:rPr>
                <w:rFonts w:hint="eastAsia" w:ascii="宋体" w:hAnsi="宋体" w:eastAsia="仿宋_GB2312" w:cstheme="minorBidi"/>
                <w:bCs w:val="0"/>
                <w:color w:val="auto"/>
                <w:kern w:val="2"/>
                <w:sz w:val="24"/>
                <w:szCs w:val="24"/>
                <w:highlight w:val="none"/>
                <w:u w:val="none"/>
                <w:lang w:bidi="ar"/>
              </w:rPr>
            </w:pPr>
            <w:r>
              <w:rPr>
                <w:rFonts w:hint="eastAsia" w:ascii="宋体" w:hAnsi="宋体" w:cs="宋体"/>
                <w:b/>
                <w:bCs/>
                <w:color w:val="auto"/>
                <w:kern w:val="0"/>
                <w:szCs w:val="24"/>
                <w:highlight w:val="none"/>
              </w:rPr>
              <w:t>产品管理人有权在本理财产品项下增设</w:t>
            </w:r>
            <w:r>
              <w:rPr>
                <w:rFonts w:hint="eastAsia" w:ascii="宋体" w:hAnsi="宋体" w:cs="宋体"/>
                <w:b/>
                <w:bCs/>
                <w:color w:val="auto"/>
                <w:kern w:val="0"/>
                <w:szCs w:val="24"/>
                <w:highlight w:val="none"/>
                <w:lang w:val="en-US" w:eastAsia="zh-CN"/>
              </w:rPr>
              <w:t>/终止</w:t>
            </w:r>
            <w:r>
              <w:rPr>
                <w:rFonts w:hint="eastAsia" w:ascii="宋体" w:hAnsi="宋体" w:cs="宋体"/>
                <w:b/>
                <w:bCs/>
                <w:color w:val="auto"/>
                <w:kern w:val="0"/>
                <w:szCs w:val="24"/>
                <w:highlight w:val="none"/>
              </w:rPr>
              <w:t>产品份额类别，届时，产品管理人将依据本理财产品销售文件的约定进行信息披露。</w:t>
            </w:r>
          </w:p>
          <w:p w14:paraId="49646201">
            <w:pPr>
              <w:widowControl/>
              <w:spacing w:line="400" w:lineRule="exact"/>
              <w:jc w:val="both"/>
              <w:textAlignment w:val="center"/>
              <w:rPr>
                <w:rFonts w:hint="eastAsia" w:ascii="宋体" w:hAnsi="宋体" w:eastAsia="仿宋_GB2312" w:cstheme="minorBidi"/>
                <w:bCs w:val="0"/>
                <w:color w:val="auto"/>
                <w:kern w:val="2"/>
                <w:sz w:val="24"/>
                <w:szCs w:val="24"/>
                <w:highlight w:val="none"/>
                <w:u w:val="none"/>
                <w:lang w:val="en-US" w:eastAsia="zh-CN" w:bidi="ar"/>
              </w:rPr>
            </w:pPr>
            <w:r>
              <w:rPr>
                <w:rFonts w:hint="eastAsia" w:ascii="宋体" w:hAnsi="宋体" w:cstheme="minorBidi"/>
                <w:bCs w:val="0"/>
                <w:color w:val="auto"/>
                <w:kern w:val="2"/>
                <w:sz w:val="24"/>
                <w:szCs w:val="24"/>
                <w:highlight w:val="yellow"/>
                <w:u w:val="none"/>
                <w:lang w:eastAsia="zh-CN" w:bidi="ar"/>
              </w:rPr>
              <w:t>【</w:t>
            </w:r>
            <w:r>
              <w:rPr>
                <w:rFonts w:hint="eastAsia" w:ascii="宋体" w:hAnsi="宋体" w:eastAsia="仿宋_GB2312" w:cstheme="minorBidi"/>
                <w:bCs w:val="0"/>
                <w:color w:val="auto"/>
                <w:kern w:val="2"/>
                <w:sz w:val="24"/>
                <w:szCs w:val="24"/>
                <w:highlight w:val="yellow"/>
                <w:u w:val="none"/>
                <w:lang w:bidi="ar"/>
              </w:rPr>
              <w:t>A类份额</w:t>
            </w:r>
            <w:r>
              <w:rPr>
                <w:rFonts w:hint="eastAsia" w:ascii="宋体" w:hAnsi="宋体" w:cstheme="minorBidi"/>
                <w:bCs w:val="0"/>
                <w:color w:val="auto"/>
                <w:kern w:val="2"/>
                <w:sz w:val="24"/>
                <w:szCs w:val="24"/>
                <w:highlight w:val="yellow"/>
                <w:u w:val="none"/>
                <w:lang w:eastAsia="zh-CN" w:bidi="ar"/>
              </w:rPr>
              <w:t>】</w:t>
            </w:r>
            <w:r>
              <w:rPr>
                <w:rFonts w:hint="eastAsia" w:ascii="宋体" w:hAnsi="宋体" w:eastAsia="仿宋_GB2312" w:cstheme="minorBidi"/>
                <w:bCs w:val="0"/>
                <w:color w:val="auto"/>
                <w:kern w:val="2"/>
                <w:sz w:val="24"/>
                <w:szCs w:val="24"/>
                <w:highlight w:val="none"/>
                <w:u w:val="none"/>
                <w:lang w:bidi="ar"/>
              </w:rPr>
              <w:t>：份额代码</w:t>
            </w:r>
            <w:r>
              <w:rPr>
                <w:rFonts w:hint="eastAsia" w:ascii="宋体" w:hAnsi="宋体"/>
                <w:color w:val="auto"/>
                <w:sz w:val="24"/>
                <w:szCs w:val="24"/>
                <w:highlight w:val="yellow"/>
                <w:lang w:eastAsia="zh-CN"/>
              </w:rPr>
              <w:t>【】</w:t>
            </w:r>
          </w:p>
        </w:tc>
      </w:tr>
      <w:tr w14:paraId="41F52144">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51D6E05">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发行机构名称</w:t>
            </w:r>
          </w:p>
        </w:tc>
        <w:tc>
          <w:tcPr>
            <w:tcW w:w="6972" w:type="dxa"/>
            <w:tcBorders>
              <w:top w:val="single" w:color="auto" w:sz="4" w:space="0"/>
              <w:left w:val="single" w:color="auto" w:sz="4" w:space="0"/>
              <w:bottom w:val="single" w:color="auto" w:sz="4" w:space="0"/>
              <w:right w:val="single" w:color="auto" w:sz="4" w:space="0"/>
            </w:tcBorders>
            <w:vAlign w:val="center"/>
          </w:tcPr>
          <w:p w14:paraId="12CC3A47">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宋体"/>
                <w:color w:val="auto"/>
                <w:kern w:val="0"/>
                <w:szCs w:val="24"/>
                <w:highlight w:val="none"/>
                <w:u w:val="none"/>
              </w:rPr>
              <w:t>浙银理财有限责任公司</w:t>
            </w:r>
          </w:p>
        </w:tc>
      </w:tr>
      <w:tr w14:paraId="03524475">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91CDA36">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销售机构名称</w:t>
            </w:r>
          </w:p>
        </w:tc>
        <w:tc>
          <w:tcPr>
            <w:tcW w:w="6972" w:type="dxa"/>
            <w:tcBorders>
              <w:top w:val="single" w:color="auto" w:sz="4" w:space="0"/>
              <w:left w:val="single" w:color="auto" w:sz="4" w:space="0"/>
              <w:bottom w:val="single" w:color="auto" w:sz="4" w:space="0"/>
              <w:right w:val="single" w:color="auto" w:sz="4" w:space="0"/>
            </w:tcBorders>
            <w:vAlign w:val="center"/>
          </w:tcPr>
          <w:p w14:paraId="7B67D90B">
            <w:pPr>
              <w:widowControl/>
              <w:spacing w:line="400" w:lineRule="exact"/>
              <w:jc w:val="left"/>
              <w:textAlignment w:val="center"/>
              <w:rPr>
                <w:rFonts w:hint="default" w:ascii="宋体" w:hAnsi="宋体"/>
                <w:color w:val="auto"/>
                <w:szCs w:val="24"/>
                <w:highlight w:val="none"/>
                <w:u w:val="none"/>
                <w:lang w:val="en-US" w:eastAsia="zh-CN"/>
              </w:rPr>
            </w:pPr>
            <w:r>
              <w:rPr>
                <w:rFonts w:hint="eastAsia" w:ascii="宋体" w:hAnsi="宋体" w:cs="宋体"/>
                <w:color w:val="auto"/>
                <w:kern w:val="0"/>
                <w:szCs w:val="24"/>
                <w:highlight w:val="yellow"/>
                <w:lang w:val="en-US" w:eastAsia="zh-CN"/>
              </w:rPr>
              <w:t>【浙商银行股份有限公司】：【份额代码】</w:t>
            </w:r>
          </w:p>
          <w:p w14:paraId="7B499E01">
            <w:pPr>
              <w:widowControl/>
              <w:spacing w:line="400" w:lineRule="exact"/>
              <w:jc w:val="left"/>
              <w:textAlignment w:val="center"/>
              <w:rPr>
                <w:rFonts w:hint="eastAsia" w:ascii="宋体" w:hAnsi="宋体"/>
                <w:color w:val="auto"/>
                <w:szCs w:val="24"/>
                <w:highlight w:val="none"/>
                <w:u w:val="none"/>
                <w:lang w:val="en-US" w:eastAsia="zh-CN"/>
              </w:rPr>
            </w:pPr>
            <w:r>
              <w:rPr>
                <w:rFonts w:hint="eastAsia" w:ascii="宋体" w:hAnsi="宋体" w:eastAsia="仿宋_GB2312" w:cs="宋体"/>
                <w:color w:val="auto"/>
                <w:kern w:val="0"/>
                <w:sz w:val="24"/>
                <w:szCs w:val="24"/>
                <w:highlight w:val="none"/>
                <w:lang w:val="en-US" w:eastAsia="zh-CN" w:bidi="ar"/>
              </w:rPr>
              <w:t>后续销售机构如有新增、减少和变更，以</w:t>
            </w:r>
            <w:r>
              <w:rPr>
                <w:rFonts w:hint="eastAsia" w:ascii="宋体" w:hAnsi="宋体" w:cs="宋体"/>
                <w:color w:val="auto"/>
                <w:kern w:val="0"/>
                <w:sz w:val="24"/>
                <w:szCs w:val="24"/>
                <w:highlight w:val="none"/>
                <w:lang w:val="en-US" w:eastAsia="zh-CN" w:bidi="ar"/>
              </w:rPr>
              <w:t>产品</w:t>
            </w:r>
            <w:r>
              <w:rPr>
                <w:rFonts w:hint="eastAsia" w:ascii="宋体" w:hAnsi="宋体" w:eastAsia="仿宋_GB2312" w:cs="宋体"/>
                <w:color w:val="auto"/>
                <w:kern w:val="0"/>
                <w:sz w:val="24"/>
                <w:szCs w:val="24"/>
                <w:highlight w:val="none"/>
                <w:lang w:val="en-US" w:eastAsia="zh-CN" w:bidi="ar"/>
              </w:rPr>
              <w:t>管理人信息披露为准。</w:t>
            </w:r>
          </w:p>
        </w:tc>
      </w:tr>
      <w:tr w14:paraId="671FA268">
        <w:tblPrEx>
          <w:tblCellMar>
            <w:top w:w="0" w:type="dxa"/>
            <w:left w:w="108" w:type="dxa"/>
            <w:bottom w:w="0" w:type="dxa"/>
            <w:right w:w="108" w:type="dxa"/>
          </w:tblCellMar>
        </w:tblPrEx>
        <w:trPr>
          <w:trHeight w:val="600" w:hRule="atLeast"/>
        </w:trPr>
        <w:tc>
          <w:tcPr>
            <w:tcW w:w="2453" w:type="dxa"/>
            <w:tcBorders>
              <w:top w:val="single" w:color="auto" w:sz="4" w:space="0"/>
              <w:left w:val="single" w:color="auto" w:sz="4" w:space="0"/>
              <w:bottom w:val="single" w:color="auto" w:sz="4" w:space="0"/>
              <w:right w:val="single" w:color="auto" w:sz="4" w:space="0"/>
            </w:tcBorders>
            <w:vAlign w:val="center"/>
          </w:tcPr>
          <w:p w14:paraId="153EE68C">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境内托管机构名称</w:t>
            </w:r>
          </w:p>
        </w:tc>
        <w:tc>
          <w:tcPr>
            <w:tcW w:w="6972" w:type="dxa"/>
            <w:tcBorders>
              <w:top w:val="single" w:color="auto" w:sz="4" w:space="0"/>
              <w:left w:val="single" w:color="auto" w:sz="4" w:space="0"/>
              <w:bottom w:val="single" w:color="auto" w:sz="4" w:space="0"/>
              <w:right w:val="single" w:color="auto" w:sz="4" w:space="0"/>
            </w:tcBorders>
            <w:vAlign w:val="center"/>
          </w:tcPr>
          <w:p w14:paraId="6844C550">
            <w:pPr>
              <w:widowControl/>
              <w:spacing w:line="400" w:lineRule="exact"/>
              <w:jc w:val="left"/>
              <w:textAlignment w:val="center"/>
              <w:rPr>
                <w:rFonts w:hint="eastAsia" w:ascii="仿宋_GB2312" w:hAnsi="等线" w:eastAsia="仿宋_GB2312" w:cs="仿宋_GB2312"/>
                <w:bCs/>
                <w:color w:val="000000" w:themeColor="text1"/>
                <w:sz w:val="24"/>
                <w:lang w:eastAsia="zh-CN"/>
                <w14:textFill>
                  <w14:solidFill>
                    <w14:schemeClr w14:val="tx1"/>
                  </w14:solidFill>
                </w14:textFill>
              </w:rPr>
            </w:pPr>
            <w:r>
              <w:rPr>
                <w:rFonts w:hint="eastAsia" w:ascii="宋体" w:hAnsi="宋体" w:cs="宋体"/>
                <w:color w:val="auto"/>
                <w:kern w:val="0"/>
                <w:szCs w:val="24"/>
                <w:highlight w:val="yellow"/>
                <w:lang w:val="en-US" w:eastAsia="zh-CN"/>
              </w:rPr>
              <w:t>【】</w:t>
            </w:r>
          </w:p>
        </w:tc>
      </w:tr>
      <w:tr w14:paraId="257FF9DC">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shd w:val="clear" w:color="auto" w:fill="auto"/>
            <w:vAlign w:val="center"/>
          </w:tcPr>
          <w:p w14:paraId="5F343CCB">
            <w:pPr>
              <w:widowControl/>
              <w:spacing w:line="400" w:lineRule="exact"/>
              <w:jc w:val="center"/>
              <w:textAlignment w:val="center"/>
              <w:rPr>
                <w:rFonts w:hint="eastAsia" w:ascii="仿宋_GB2312" w:hAnsi="等线" w:cs="仿宋_GB2312"/>
                <w:color w:val="000000" w:themeColor="text1"/>
                <w:kern w:val="0"/>
                <w:sz w:val="24"/>
                <w:lang w:eastAsia="zh-CN" w:bidi="ar"/>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w:t>
            </w:r>
            <w:r>
              <w:rPr>
                <w:rFonts w:hint="eastAsia" w:ascii="仿宋_GB2312" w:hAnsi="等线" w:eastAsia="仿宋_GB2312" w:cs="仿宋_GB2312"/>
                <w:color w:val="000000" w:themeColor="text1"/>
                <w:kern w:val="0"/>
                <w:sz w:val="24"/>
                <w:lang w:bidi="ar"/>
                <w14:textFill>
                  <w14:solidFill>
                    <w14:schemeClr w14:val="tx1"/>
                  </w14:solidFill>
                </w14:textFill>
              </w:rPr>
              <w:t>境外托管机构名称</w:t>
            </w:r>
            <w:r>
              <w:rPr>
                <w:rFonts w:hint="eastAsia" w:ascii="仿宋_GB2312" w:hAnsi="等线" w:cs="仿宋_GB2312"/>
                <w:color w:val="000000" w:themeColor="text1"/>
                <w:kern w:val="0"/>
                <w:sz w:val="24"/>
                <w:lang w:eastAsia="zh-CN" w:bidi="ar"/>
                <w14:textFill>
                  <w14:solidFill>
                    <w14:schemeClr w14:val="tx1"/>
                  </w14:solidFill>
                </w14:textFill>
              </w:rPr>
              <w:t>】</w:t>
            </w:r>
          </w:p>
        </w:tc>
        <w:tc>
          <w:tcPr>
            <w:tcW w:w="6972" w:type="dxa"/>
            <w:tcBorders>
              <w:top w:val="single" w:color="auto" w:sz="4" w:space="0"/>
              <w:left w:val="single" w:color="auto" w:sz="4" w:space="0"/>
              <w:bottom w:val="single" w:color="auto" w:sz="4" w:space="0"/>
              <w:right w:val="single" w:color="auto" w:sz="4" w:space="0"/>
            </w:tcBorders>
            <w:shd w:val="clear" w:color="auto" w:fill="auto"/>
            <w:vAlign w:val="center"/>
          </w:tcPr>
          <w:p w14:paraId="5C5584C7">
            <w:pPr>
              <w:widowControl/>
              <w:jc w:val="left"/>
              <w:rPr>
                <w:rFonts w:hint="eastAsia" w:ascii="宋体" w:hAnsi="宋体"/>
                <w:color w:val="auto"/>
                <w:szCs w:val="24"/>
                <w:highlight w:val="none"/>
                <w:u w:val="none"/>
              </w:rPr>
            </w:pPr>
            <w:r>
              <w:rPr>
                <w:rFonts w:hint="eastAsia" w:ascii="仿宋" w:hAnsi="仿宋" w:eastAsia="仿宋" w:cs="宋体"/>
                <w:bCs/>
                <w:color w:val="000000" w:themeColor="text1"/>
                <w:kern w:val="0"/>
                <w:sz w:val="24"/>
                <w:highlight w:val="yellow"/>
                <w:lang w:eastAsia="zh-CN" w:bidi="ar"/>
                <w14:textFill>
                  <w14:solidFill>
                    <w14:schemeClr w14:val="tx1"/>
                  </w14:solidFill>
                </w14:textFill>
              </w:rPr>
              <w:t>【】</w:t>
            </w:r>
          </w:p>
        </w:tc>
      </w:tr>
      <w:tr w14:paraId="3D64E41A">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shd w:val="clear" w:color="auto" w:fill="auto"/>
            <w:vAlign w:val="center"/>
          </w:tcPr>
          <w:p w14:paraId="0EFF097F">
            <w:pPr>
              <w:widowControl/>
              <w:spacing w:line="400" w:lineRule="exact"/>
              <w:jc w:val="center"/>
              <w:textAlignment w:val="center"/>
              <w:rPr>
                <w:rFonts w:hint="eastAsia" w:ascii="仿宋_GB2312" w:hAnsi="等线" w:eastAsia="仿宋_GB2312" w:cs="仿宋_GB2312"/>
                <w:color w:val="000000" w:themeColor="text1"/>
                <w:kern w:val="2"/>
                <w:sz w:val="24"/>
                <w:szCs w:val="22"/>
                <w:lang w:val="en-US" w:eastAsia="zh-CN" w:bidi="ar-SA"/>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投资者范围</w:t>
            </w:r>
          </w:p>
        </w:tc>
        <w:tc>
          <w:tcPr>
            <w:tcW w:w="6972" w:type="dxa"/>
            <w:tcBorders>
              <w:top w:val="single" w:color="auto" w:sz="4" w:space="0"/>
              <w:left w:val="single" w:color="auto" w:sz="4" w:space="0"/>
              <w:bottom w:val="single" w:color="auto" w:sz="4" w:space="0"/>
              <w:right w:val="single" w:color="auto" w:sz="4" w:space="0"/>
            </w:tcBorders>
            <w:shd w:val="clear" w:color="auto" w:fill="auto"/>
            <w:vAlign w:val="center"/>
          </w:tcPr>
          <w:p w14:paraId="14185535">
            <w:pPr>
              <w:snapToGrid w:val="0"/>
              <w:rPr>
                <w:rFonts w:ascii="宋体" w:hAnsi="宋体"/>
                <w:color w:val="auto"/>
                <w:szCs w:val="24"/>
                <w:highlight w:val="none"/>
                <w:u w:val="none"/>
              </w:rPr>
            </w:pPr>
            <w:r>
              <w:rPr>
                <w:rFonts w:hint="eastAsia" w:ascii="宋体" w:hAnsi="宋体"/>
                <w:color w:val="auto"/>
                <w:szCs w:val="24"/>
                <w:highlight w:val="none"/>
                <w:u w:val="none"/>
              </w:rPr>
              <w:t>不特定社会公众（个人、机构投资者）；其中，普通投资者应符合相关法律法规、监管规定，经销售机构评估评定投资者风险承受能力与本产品风险等级相适应。</w:t>
            </w:r>
          </w:p>
          <w:p w14:paraId="55621EA4">
            <w:pPr>
              <w:widowControl/>
              <w:spacing w:line="400" w:lineRule="exact"/>
              <w:jc w:val="left"/>
              <w:textAlignment w:val="center"/>
              <w:rPr>
                <w:rFonts w:hint="eastAsia" w:ascii="仿宋_GB2312" w:hAnsi="等线" w:eastAsia="仿宋_GB2312" w:cs="仿宋_GB2312"/>
                <w:bCs/>
                <w:color w:val="000000" w:themeColor="text1"/>
                <w:kern w:val="2"/>
                <w:sz w:val="24"/>
                <w:szCs w:val="22"/>
                <w:lang w:val="en-US" w:eastAsia="zh-CN" w:bidi="ar-SA"/>
                <w14:textFill>
                  <w14:solidFill>
                    <w14:schemeClr w14:val="tx1"/>
                  </w14:solidFill>
                </w14:textFill>
              </w:rPr>
            </w:pPr>
            <w:r>
              <w:rPr>
                <w:rFonts w:hint="eastAsia" w:ascii="宋体" w:hAnsi="宋体"/>
                <w:color w:val="auto"/>
                <w:szCs w:val="24"/>
                <w:highlight w:val="none"/>
                <w:u w:val="none"/>
              </w:rPr>
              <w:t>本产品通过销售机构销售的，产品风险等级应当以销售机构最终披露的评级结果为准。</w:t>
            </w:r>
          </w:p>
        </w:tc>
      </w:tr>
      <w:tr w14:paraId="5093B4E3">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F83A12A">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销售对象</w:t>
            </w:r>
          </w:p>
        </w:tc>
        <w:tc>
          <w:tcPr>
            <w:tcW w:w="6972" w:type="dxa"/>
            <w:tcBorders>
              <w:top w:val="single" w:color="auto" w:sz="4" w:space="0"/>
              <w:left w:val="single" w:color="auto" w:sz="4" w:space="0"/>
              <w:bottom w:val="single" w:color="auto" w:sz="4" w:space="0"/>
              <w:right w:val="single" w:color="auto" w:sz="4" w:space="0"/>
            </w:tcBorders>
            <w:vAlign w:val="center"/>
          </w:tcPr>
          <w:p w14:paraId="77AD54C2">
            <w:pPr>
              <w:widowControl/>
              <w:spacing w:line="400" w:lineRule="exact"/>
              <w:jc w:val="left"/>
              <w:textAlignment w:val="center"/>
              <w:rPr>
                <w:rFonts w:hint="eastAsia" w:ascii="宋体" w:hAnsi="宋体" w:cs="宋体"/>
                <w:kern w:val="0"/>
                <w:szCs w:val="24"/>
                <w:highlight w:val="none"/>
              </w:rPr>
            </w:pPr>
          </w:p>
          <w:tbl>
            <w:tblPr>
              <w:tblStyle w:val="8"/>
              <w:tblW w:w="6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9"/>
              <w:gridCol w:w="2386"/>
              <w:gridCol w:w="2721"/>
            </w:tblGrid>
            <w:tr w14:paraId="2A0F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9" w:type="dxa"/>
                </w:tcPr>
                <w:p w14:paraId="2E685BBD">
                  <w:pPr>
                    <w:widowControl/>
                    <w:spacing w:line="400" w:lineRule="exact"/>
                    <w:jc w:val="center"/>
                    <w:textAlignment w:val="center"/>
                    <w:rPr>
                      <w:rFonts w:hint="eastAsia" w:eastAsia="仿宋_GB2312"/>
                      <w:vertAlign w:val="baseline"/>
                      <w:lang w:eastAsia="zh-CN"/>
                    </w:rPr>
                  </w:pPr>
                  <w:r>
                    <w:rPr>
                      <w:rFonts w:hint="eastAsia"/>
                      <w:vertAlign w:val="baseline"/>
                      <w:lang w:eastAsia="zh-CN"/>
                    </w:rPr>
                    <w:t>份额代码</w:t>
                  </w:r>
                </w:p>
              </w:tc>
              <w:tc>
                <w:tcPr>
                  <w:tcW w:w="2386" w:type="dxa"/>
                </w:tcPr>
                <w:p w14:paraId="120E180A">
                  <w:pPr>
                    <w:widowControl/>
                    <w:spacing w:line="400" w:lineRule="exact"/>
                    <w:jc w:val="center"/>
                    <w:textAlignment w:val="center"/>
                    <w:rPr>
                      <w:rFonts w:hint="eastAsia" w:eastAsia="仿宋_GB2312"/>
                      <w:vertAlign w:val="baseline"/>
                      <w:lang w:eastAsia="zh-CN"/>
                    </w:rPr>
                  </w:pPr>
                  <w:r>
                    <w:rPr>
                      <w:rFonts w:hint="eastAsia"/>
                      <w:vertAlign w:val="baseline"/>
                      <w:lang w:eastAsia="zh-CN"/>
                    </w:rPr>
                    <w:t>销售对象</w:t>
                  </w:r>
                </w:p>
              </w:tc>
              <w:tc>
                <w:tcPr>
                  <w:tcW w:w="2721" w:type="dxa"/>
                </w:tcPr>
                <w:p w14:paraId="363F96EF">
                  <w:pPr>
                    <w:widowControl/>
                    <w:spacing w:line="400" w:lineRule="exact"/>
                    <w:jc w:val="center"/>
                    <w:textAlignment w:val="center"/>
                    <w:rPr>
                      <w:rFonts w:hint="eastAsia" w:eastAsia="仿宋_GB2312"/>
                      <w:vertAlign w:val="baseline"/>
                      <w:lang w:eastAsia="zh-CN"/>
                    </w:rPr>
                  </w:pPr>
                  <w:r>
                    <w:rPr>
                      <w:rFonts w:hint="eastAsia"/>
                      <w:vertAlign w:val="baseline"/>
                      <w:lang w:eastAsia="zh-CN"/>
                    </w:rPr>
                    <w:t>销售机构</w:t>
                  </w:r>
                </w:p>
              </w:tc>
            </w:tr>
            <w:tr w14:paraId="55E6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9" w:type="dxa"/>
                </w:tcPr>
                <w:p w14:paraId="71856F15">
                  <w:pPr>
                    <w:widowControl/>
                    <w:spacing w:line="400" w:lineRule="exact"/>
                    <w:jc w:val="center"/>
                    <w:textAlignment w:val="center"/>
                    <w:rPr>
                      <w:rFonts w:hint="eastAsia" w:ascii="宋体" w:hAnsi="宋体"/>
                      <w:color w:val="auto"/>
                      <w:sz w:val="24"/>
                      <w:szCs w:val="24"/>
                      <w:highlight w:val="none"/>
                    </w:rPr>
                  </w:pPr>
                </w:p>
              </w:tc>
              <w:tc>
                <w:tcPr>
                  <w:tcW w:w="2386" w:type="dxa"/>
                </w:tcPr>
                <w:p w14:paraId="7A58AD00">
                  <w:pPr>
                    <w:widowControl/>
                    <w:spacing w:line="400" w:lineRule="exact"/>
                    <w:jc w:val="center"/>
                    <w:textAlignment w:val="center"/>
                    <w:rPr>
                      <w:rFonts w:hint="eastAsia"/>
                      <w:vertAlign w:val="baseline"/>
                      <w:lang w:eastAsia="zh-CN"/>
                    </w:rPr>
                  </w:pPr>
                </w:p>
              </w:tc>
              <w:tc>
                <w:tcPr>
                  <w:tcW w:w="2721" w:type="dxa"/>
                </w:tcPr>
                <w:p w14:paraId="38B60945">
                  <w:pPr>
                    <w:widowControl/>
                    <w:spacing w:line="400" w:lineRule="exact"/>
                    <w:jc w:val="center"/>
                    <w:textAlignment w:val="center"/>
                    <w:rPr>
                      <w:rFonts w:hint="eastAsia" w:ascii="宋体" w:hAnsi="宋体" w:cs="宋体"/>
                      <w:color w:val="auto"/>
                      <w:kern w:val="0"/>
                      <w:szCs w:val="24"/>
                      <w:highlight w:val="none"/>
                      <w:lang w:val="en-US" w:eastAsia="zh-CN"/>
                    </w:rPr>
                  </w:pPr>
                </w:p>
              </w:tc>
            </w:tr>
            <w:tr w14:paraId="51F42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9" w:type="dxa"/>
                </w:tcPr>
                <w:p w14:paraId="06622247">
                  <w:pPr>
                    <w:widowControl/>
                    <w:spacing w:line="400" w:lineRule="exact"/>
                    <w:jc w:val="center"/>
                    <w:textAlignment w:val="center"/>
                    <w:rPr>
                      <w:rFonts w:hint="eastAsia" w:ascii="宋体" w:hAnsi="宋体"/>
                      <w:color w:val="auto"/>
                      <w:sz w:val="24"/>
                      <w:szCs w:val="24"/>
                      <w:highlight w:val="none"/>
                    </w:rPr>
                  </w:pPr>
                </w:p>
              </w:tc>
              <w:tc>
                <w:tcPr>
                  <w:tcW w:w="2386" w:type="dxa"/>
                </w:tcPr>
                <w:p w14:paraId="175436CB">
                  <w:pPr>
                    <w:widowControl/>
                    <w:spacing w:line="400" w:lineRule="exact"/>
                    <w:jc w:val="center"/>
                    <w:textAlignment w:val="center"/>
                    <w:rPr>
                      <w:rFonts w:hint="eastAsia"/>
                      <w:vertAlign w:val="baseline"/>
                      <w:lang w:eastAsia="zh-CN"/>
                    </w:rPr>
                  </w:pPr>
                </w:p>
              </w:tc>
              <w:tc>
                <w:tcPr>
                  <w:tcW w:w="2721" w:type="dxa"/>
                </w:tcPr>
                <w:p w14:paraId="6C8C66F0">
                  <w:pPr>
                    <w:widowControl/>
                    <w:spacing w:line="400" w:lineRule="exact"/>
                    <w:jc w:val="center"/>
                    <w:textAlignment w:val="center"/>
                    <w:rPr>
                      <w:rFonts w:hint="eastAsia" w:ascii="宋体" w:hAnsi="宋体" w:cs="宋体"/>
                      <w:color w:val="auto"/>
                      <w:kern w:val="0"/>
                      <w:szCs w:val="24"/>
                      <w:highlight w:val="none"/>
                      <w:lang w:val="en-US" w:eastAsia="zh-CN"/>
                    </w:rPr>
                  </w:pPr>
                </w:p>
              </w:tc>
            </w:tr>
            <w:tr w14:paraId="4454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9" w:type="dxa"/>
                </w:tcPr>
                <w:p w14:paraId="274B76F1">
                  <w:pPr>
                    <w:widowControl/>
                    <w:spacing w:line="400" w:lineRule="exact"/>
                    <w:jc w:val="center"/>
                    <w:textAlignment w:val="center"/>
                    <w:rPr>
                      <w:rFonts w:hint="eastAsia" w:ascii="宋体" w:hAnsi="宋体"/>
                      <w:color w:val="auto"/>
                      <w:sz w:val="24"/>
                      <w:szCs w:val="24"/>
                      <w:highlight w:val="none"/>
                    </w:rPr>
                  </w:pPr>
                </w:p>
              </w:tc>
              <w:tc>
                <w:tcPr>
                  <w:tcW w:w="2386" w:type="dxa"/>
                </w:tcPr>
                <w:p w14:paraId="446221E1">
                  <w:pPr>
                    <w:widowControl/>
                    <w:spacing w:line="400" w:lineRule="exact"/>
                    <w:jc w:val="center"/>
                    <w:textAlignment w:val="center"/>
                    <w:rPr>
                      <w:rFonts w:hint="eastAsia"/>
                      <w:vertAlign w:val="baseline"/>
                      <w:lang w:eastAsia="zh-CN"/>
                    </w:rPr>
                  </w:pPr>
                </w:p>
              </w:tc>
              <w:tc>
                <w:tcPr>
                  <w:tcW w:w="2721" w:type="dxa"/>
                </w:tcPr>
                <w:p w14:paraId="37E94DA0">
                  <w:pPr>
                    <w:widowControl/>
                    <w:spacing w:line="400" w:lineRule="exact"/>
                    <w:jc w:val="center"/>
                    <w:textAlignment w:val="center"/>
                    <w:rPr>
                      <w:rFonts w:hint="eastAsia" w:ascii="宋体" w:hAnsi="宋体" w:cs="宋体"/>
                      <w:color w:val="auto"/>
                      <w:kern w:val="0"/>
                      <w:szCs w:val="24"/>
                      <w:highlight w:val="none"/>
                      <w:lang w:val="en-US" w:eastAsia="zh-CN"/>
                    </w:rPr>
                  </w:pPr>
                </w:p>
              </w:tc>
            </w:tr>
          </w:tbl>
          <w:p w14:paraId="6A53E0E1">
            <w:pPr>
              <w:widowControl/>
              <w:spacing w:line="400" w:lineRule="exact"/>
              <w:jc w:val="left"/>
              <w:textAlignment w:val="center"/>
              <w:rPr>
                <w:rFonts w:hint="eastAsia" w:ascii="宋体" w:hAnsi="宋体" w:cs="宋体"/>
                <w:kern w:val="0"/>
                <w:szCs w:val="24"/>
                <w:highlight w:val="none"/>
                <w:lang w:eastAsia="zh-CN"/>
              </w:rPr>
            </w:pPr>
          </w:p>
        </w:tc>
      </w:tr>
      <w:tr w14:paraId="2EB8777F">
        <w:tblPrEx>
          <w:tblCellMar>
            <w:top w:w="0" w:type="dxa"/>
            <w:left w:w="108" w:type="dxa"/>
            <w:bottom w:w="0" w:type="dxa"/>
            <w:right w:w="108" w:type="dxa"/>
          </w:tblCellMar>
        </w:tblPrEx>
        <w:trPr>
          <w:trHeight w:val="38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5ADF2E88">
            <w:pPr>
              <w:widowControl/>
              <w:spacing w:line="400" w:lineRule="exact"/>
              <w:jc w:val="center"/>
              <w:textAlignment w:val="center"/>
              <w:rPr>
                <w:rFonts w:hint="eastAsia" w:ascii="楷体_GB2312" w:hAnsi="等线" w:eastAsia="楷体_GB2312" w:cs="楷体_GB2312"/>
                <w:b/>
                <w:bCs/>
                <w:color w:val="000000" w:themeColor="text1"/>
                <w:sz w:val="24"/>
                <w14:textFill>
                  <w14:solidFill>
                    <w14:schemeClr w14:val="tx1"/>
                  </w14:solidFill>
                </w14:textFill>
              </w:rPr>
            </w:pPr>
            <w:r>
              <w:rPr>
                <w:rFonts w:hint="eastAsia" w:ascii="楷体_GB2312" w:hAnsi="等线" w:eastAsia="楷体_GB2312" w:cs="楷体_GB2312"/>
                <w:b/>
                <w:bCs/>
                <w:color w:val="000000" w:themeColor="text1"/>
                <w:kern w:val="0"/>
                <w:sz w:val="24"/>
                <w:lang w:bidi="ar"/>
                <w14:textFill>
                  <w14:solidFill>
                    <w14:schemeClr w14:val="tx1"/>
                  </w14:solidFill>
                </w14:textFill>
              </w:rPr>
              <w:t>（二）交易规则</w:t>
            </w:r>
          </w:p>
        </w:tc>
      </w:tr>
      <w:tr w14:paraId="120BA508">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5699E4C">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募集币种</w:t>
            </w:r>
          </w:p>
        </w:tc>
        <w:tc>
          <w:tcPr>
            <w:tcW w:w="6972" w:type="dxa"/>
            <w:tcBorders>
              <w:top w:val="single" w:color="auto" w:sz="4" w:space="0"/>
              <w:left w:val="single" w:color="auto" w:sz="4" w:space="0"/>
              <w:bottom w:val="single" w:color="auto" w:sz="4" w:space="0"/>
              <w:right w:val="single" w:color="auto" w:sz="4" w:space="0"/>
            </w:tcBorders>
            <w:vAlign w:val="center"/>
          </w:tcPr>
          <w:p w14:paraId="2A4BECA9">
            <w:pPr>
              <w:widowControl/>
              <w:spacing w:line="400" w:lineRule="exact"/>
              <w:jc w:val="left"/>
              <w:textAlignment w:val="center"/>
              <w:rPr>
                <w:rFonts w:hint="eastAsia" w:ascii="仿宋_GB2312" w:hAnsi="等线" w:eastAsia="仿宋_GB2312" w:cs="仿宋_GB2312"/>
                <w:bCs/>
                <w:color w:val="000000" w:themeColor="text1"/>
                <w:sz w:val="24"/>
                <w:lang w:eastAsia="zh-CN"/>
                <w14:textFill>
                  <w14:solidFill>
                    <w14:schemeClr w14:val="tx1"/>
                  </w14:solidFill>
                </w14:textFill>
              </w:rPr>
            </w:pPr>
            <w:r>
              <w:rPr>
                <w:rFonts w:hint="eastAsia" w:ascii="宋体" w:hAnsi="宋体"/>
                <w:color w:val="auto"/>
                <w:szCs w:val="24"/>
                <w:highlight w:val="yellow"/>
                <w:u w:val="none"/>
              </w:rPr>
              <w:t>【</w:t>
            </w:r>
            <w:r>
              <w:rPr>
                <w:rFonts w:hint="eastAsia" w:ascii="宋体" w:hAnsi="宋体" w:eastAsia="仿宋_GB2312" w:cstheme="minorBidi"/>
                <w:bCs w:val="0"/>
                <w:color w:val="auto"/>
                <w:kern w:val="2"/>
                <w:sz w:val="24"/>
                <w:szCs w:val="24"/>
                <w:highlight w:val="none"/>
                <w:u w:val="none"/>
                <w:lang w:eastAsia="zh-CN" w:bidi="ar"/>
              </w:rPr>
              <w:t>人民币</w:t>
            </w:r>
            <w:r>
              <w:rPr>
                <w:rFonts w:hint="eastAsia" w:ascii="宋体" w:hAnsi="宋体"/>
                <w:color w:val="auto"/>
                <w:szCs w:val="24"/>
                <w:highlight w:val="yellow"/>
                <w:u w:val="none"/>
              </w:rPr>
              <w:t>】</w:t>
            </w:r>
          </w:p>
        </w:tc>
      </w:tr>
      <w:tr w14:paraId="76399095">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47A880E">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起点销售金额</w:t>
            </w:r>
          </w:p>
        </w:tc>
        <w:tc>
          <w:tcPr>
            <w:tcW w:w="6972" w:type="dxa"/>
            <w:tcBorders>
              <w:top w:val="single" w:color="auto" w:sz="4" w:space="0"/>
              <w:left w:val="single" w:color="auto" w:sz="4" w:space="0"/>
              <w:bottom w:val="single" w:color="auto" w:sz="4" w:space="0"/>
              <w:right w:val="single" w:color="auto" w:sz="4" w:space="0"/>
            </w:tcBorders>
            <w:vAlign w:val="center"/>
          </w:tcPr>
          <w:p w14:paraId="6DD93D36">
            <w:pPr>
              <w:widowControl/>
              <w:spacing w:line="400" w:lineRule="exact"/>
              <w:jc w:val="left"/>
              <w:textAlignment w:val="center"/>
              <w:rPr>
                <w:rFonts w:hint="default" w:ascii="宋体" w:hAnsi="宋体"/>
                <w:color w:val="auto"/>
                <w:szCs w:val="24"/>
                <w:highlight w:val="none"/>
                <w:u w:val="none"/>
                <w:lang w:val="en-US" w:eastAsia="zh-CN"/>
              </w:rPr>
            </w:pPr>
            <w:r>
              <w:rPr>
                <w:rFonts w:hint="eastAsia" w:ascii="宋体" w:hAnsi="宋体"/>
                <w:color w:val="auto"/>
                <w:szCs w:val="24"/>
                <w:highlight w:val="yellow"/>
                <w:u w:val="none"/>
              </w:rPr>
              <w:t>【</w:t>
            </w:r>
            <w:r>
              <w:rPr>
                <w:rFonts w:hint="eastAsia" w:ascii="宋体" w:hAnsi="宋体"/>
                <w:color w:val="auto"/>
                <w:szCs w:val="24"/>
                <w:highlight w:val="yellow"/>
                <w:u w:val="none"/>
                <w:lang w:eastAsia="zh-CN"/>
              </w:rPr>
              <w:t>份额代码</w:t>
            </w:r>
            <w:r>
              <w:rPr>
                <w:rFonts w:hint="eastAsia" w:ascii="宋体" w:hAnsi="宋体"/>
                <w:color w:val="auto"/>
                <w:szCs w:val="24"/>
                <w:highlight w:val="yellow"/>
                <w:u w:val="none"/>
              </w:rPr>
              <w:t>】</w:t>
            </w:r>
            <w:r>
              <w:rPr>
                <w:rFonts w:hint="eastAsia" w:ascii="宋体" w:hAnsi="宋体"/>
                <w:color w:val="auto"/>
                <w:szCs w:val="24"/>
                <w:highlight w:val="none"/>
                <w:u w:val="none"/>
                <w:lang w:val="en-US" w:eastAsia="zh-CN"/>
              </w:rPr>
              <w:t>：</w:t>
            </w:r>
            <w:r>
              <w:rPr>
                <w:rFonts w:hint="eastAsia" w:ascii="宋体" w:hAnsi="宋体"/>
                <w:color w:val="auto"/>
                <w:szCs w:val="24"/>
                <w:highlight w:val="yellow"/>
                <w:u w:val="none"/>
              </w:rPr>
              <w:t>【】</w:t>
            </w:r>
            <w:r>
              <w:rPr>
                <w:rFonts w:hint="eastAsia" w:ascii="宋体" w:hAnsi="宋体"/>
                <w:color w:val="auto"/>
                <w:szCs w:val="24"/>
                <w:highlight w:val="none"/>
                <w:u w:val="none"/>
                <w:lang w:val="en-US" w:eastAsia="zh-CN"/>
              </w:rPr>
              <w:t>元</w:t>
            </w:r>
          </w:p>
          <w:p w14:paraId="24C2CE78">
            <w:pPr>
              <w:widowControl/>
              <w:spacing w:line="400" w:lineRule="exact"/>
              <w:jc w:val="left"/>
              <w:textAlignment w:val="center"/>
              <w:rPr>
                <w:rFonts w:hint="default" w:ascii="宋体" w:hAnsi="宋体"/>
                <w:color w:val="auto"/>
                <w:szCs w:val="24"/>
                <w:highlight w:val="none"/>
                <w:u w:val="none"/>
                <w:lang w:val="en-US" w:eastAsia="zh-CN"/>
              </w:rPr>
            </w:pPr>
            <w:r>
              <w:rPr>
                <w:rFonts w:hint="eastAsia" w:ascii="宋体" w:hAnsi="宋体"/>
                <w:b/>
                <w:color w:val="auto"/>
                <w:szCs w:val="24"/>
                <w:highlight w:val="none"/>
                <w:u w:val="none"/>
              </w:rPr>
              <w:t>管理人有权以公告形式调整投资者起点</w:t>
            </w:r>
            <w:r>
              <w:rPr>
                <w:rFonts w:hint="eastAsia" w:ascii="宋体" w:hAnsi="宋体"/>
                <w:b/>
                <w:color w:val="auto"/>
                <w:szCs w:val="24"/>
                <w:highlight w:val="none"/>
                <w:u w:val="none"/>
                <w:lang w:eastAsia="zh-CN"/>
              </w:rPr>
              <w:t>销售</w:t>
            </w:r>
            <w:r>
              <w:rPr>
                <w:rFonts w:hint="eastAsia" w:ascii="宋体" w:hAnsi="宋体"/>
                <w:b/>
                <w:color w:val="auto"/>
                <w:szCs w:val="24"/>
                <w:highlight w:val="none"/>
                <w:u w:val="none"/>
              </w:rPr>
              <w:t>金额。销售机构的认购、申购起点</w:t>
            </w:r>
            <w:r>
              <w:rPr>
                <w:rFonts w:hint="eastAsia" w:ascii="宋体" w:hAnsi="宋体"/>
                <w:b/>
                <w:color w:val="auto"/>
                <w:szCs w:val="24"/>
                <w:highlight w:val="none"/>
                <w:u w:val="none"/>
                <w:lang w:eastAsia="zh-CN"/>
              </w:rPr>
              <w:t>销售</w:t>
            </w:r>
            <w:r>
              <w:rPr>
                <w:rFonts w:hint="eastAsia" w:ascii="宋体" w:hAnsi="宋体"/>
                <w:b/>
                <w:color w:val="auto"/>
                <w:szCs w:val="24"/>
                <w:highlight w:val="none"/>
                <w:u w:val="none"/>
              </w:rPr>
              <w:t>金额可能</w:t>
            </w:r>
            <w:r>
              <w:rPr>
                <w:rFonts w:ascii="宋体" w:hAnsi="宋体"/>
                <w:b/>
                <w:color w:val="auto"/>
                <w:szCs w:val="24"/>
                <w:highlight w:val="none"/>
                <w:u w:val="none"/>
              </w:rPr>
              <w:t>与本</w:t>
            </w:r>
            <w:r>
              <w:rPr>
                <w:rFonts w:hint="eastAsia" w:ascii="宋体" w:hAnsi="宋体"/>
                <w:b/>
                <w:color w:val="auto"/>
                <w:szCs w:val="24"/>
                <w:highlight w:val="none"/>
                <w:u w:val="none"/>
              </w:rPr>
              <w:t>产品</w:t>
            </w:r>
            <w:r>
              <w:rPr>
                <w:rFonts w:ascii="宋体" w:hAnsi="宋体"/>
                <w:b/>
                <w:color w:val="auto"/>
                <w:szCs w:val="24"/>
                <w:highlight w:val="none"/>
                <w:u w:val="none"/>
              </w:rPr>
              <w:t>说明书</w:t>
            </w:r>
            <w:r>
              <w:rPr>
                <w:rFonts w:hint="eastAsia" w:ascii="宋体" w:hAnsi="宋体"/>
                <w:b/>
                <w:color w:val="auto"/>
                <w:szCs w:val="24"/>
                <w:highlight w:val="none"/>
                <w:u w:val="none"/>
              </w:rPr>
              <w:t>不一致</w:t>
            </w:r>
            <w:r>
              <w:rPr>
                <w:rFonts w:ascii="宋体" w:hAnsi="宋体"/>
                <w:b/>
                <w:color w:val="auto"/>
                <w:szCs w:val="24"/>
                <w:highlight w:val="none"/>
                <w:u w:val="none"/>
              </w:rPr>
              <w:t>，</w:t>
            </w:r>
            <w:r>
              <w:rPr>
                <w:rFonts w:hint="eastAsia" w:ascii="宋体" w:hAnsi="宋体"/>
                <w:b/>
                <w:color w:val="auto"/>
                <w:szCs w:val="24"/>
                <w:highlight w:val="none"/>
                <w:u w:val="none"/>
              </w:rPr>
              <w:t>通过销售机构认购、申购</w:t>
            </w:r>
            <w:r>
              <w:rPr>
                <w:rFonts w:ascii="宋体" w:hAnsi="宋体"/>
                <w:b/>
                <w:color w:val="auto"/>
                <w:szCs w:val="24"/>
                <w:highlight w:val="none"/>
                <w:u w:val="none"/>
              </w:rPr>
              <w:t>的</w:t>
            </w:r>
            <w:r>
              <w:rPr>
                <w:rFonts w:hint="eastAsia" w:ascii="宋体" w:hAnsi="宋体"/>
                <w:b/>
                <w:color w:val="auto"/>
                <w:szCs w:val="24"/>
                <w:highlight w:val="none"/>
                <w:u w:val="none"/>
              </w:rPr>
              <w:t>具体以销售机构展示为准。销售机构的实际起点销售金额，不得低于本产品说明书约定的起点销售金额。</w:t>
            </w:r>
          </w:p>
        </w:tc>
      </w:tr>
      <w:tr w14:paraId="3D2C9C98">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D4DB2B7">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追加递增金额</w:t>
            </w:r>
          </w:p>
        </w:tc>
        <w:tc>
          <w:tcPr>
            <w:tcW w:w="6972" w:type="dxa"/>
            <w:tcBorders>
              <w:top w:val="single" w:color="auto" w:sz="4" w:space="0"/>
              <w:left w:val="single" w:color="auto" w:sz="4" w:space="0"/>
              <w:bottom w:val="single" w:color="auto" w:sz="4" w:space="0"/>
              <w:right w:val="single" w:color="auto" w:sz="4" w:space="0"/>
            </w:tcBorders>
            <w:vAlign w:val="center"/>
          </w:tcPr>
          <w:p w14:paraId="20A26CB3">
            <w:pPr>
              <w:widowControl/>
              <w:spacing w:line="400" w:lineRule="exact"/>
              <w:jc w:val="left"/>
              <w:textAlignment w:val="center"/>
              <w:rPr>
                <w:rFonts w:hint="eastAsia" w:ascii="仿宋_GB2312" w:hAnsi="等线" w:eastAsia="仿宋_GB2312" w:cs="仿宋_GB2312"/>
                <w:bCs/>
                <w:color w:val="000000" w:themeColor="text1"/>
                <w:sz w:val="24"/>
                <w:lang w:eastAsia="zh-CN"/>
                <w14:textFill>
                  <w14:solidFill>
                    <w14:schemeClr w14:val="tx1"/>
                  </w14:solidFill>
                </w14:textFill>
              </w:rPr>
            </w:pPr>
            <w:r>
              <w:rPr>
                <w:rFonts w:hint="eastAsia" w:ascii="宋体" w:hAnsi="宋体"/>
                <w:color w:val="auto"/>
                <w:szCs w:val="24"/>
                <w:highlight w:val="yellow"/>
                <w:u w:val="none"/>
              </w:rPr>
              <w:t>【</w:t>
            </w:r>
            <w:r>
              <w:rPr>
                <w:rFonts w:hint="eastAsia" w:ascii="宋体" w:hAnsi="宋体"/>
                <w:color w:val="auto"/>
                <w:szCs w:val="24"/>
                <w:highlight w:val="yellow"/>
                <w:u w:val="none"/>
                <w:lang w:eastAsia="zh-CN"/>
              </w:rPr>
              <w:t>份额代码</w:t>
            </w:r>
            <w:r>
              <w:rPr>
                <w:rFonts w:hint="eastAsia" w:ascii="宋体" w:hAnsi="宋体"/>
                <w:color w:val="auto"/>
                <w:szCs w:val="24"/>
                <w:highlight w:val="yellow"/>
                <w:u w:val="none"/>
              </w:rPr>
              <w:t>】</w:t>
            </w:r>
            <w:r>
              <w:rPr>
                <w:rFonts w:hint="eastAsia" w:ascii="宋体" w:hAnsi="宋体"/>
                <w:color w:val="auto"/>
                <w:szCs w:val="24"/>
                <w:highlight w:val="none"/>
                <w:u w:val="none"/>
                <w:lang w:val="en-US" w:eastAsia="zh-CN"/>
              </w:rPr>
              <w:t>：</w:t>
            </w:r>
            <w:r>
              <w:rPr>
                <w:rFonts w:hint="eastAsia" w:ascii="宋体" w:hAnsi="宋体"/>
                <w:color w:val="auto"/>
                <w:szCs w:val="24"/>
                <w:highlight w:val="yellow"/>
                <w:u w:val="none"/>
              </w:rPr>
              <w:t>【】</w:t>
            </w:r>
            <w:r>
              <w:rPr>
                <w:rFonts w:hint="eastAsia" w:ascii="宋体" w:hAnsi="宋体"/>
                <w:color w:val="auto"/>
                <w:szCs w:val="24"/>
                <w:highlight w:val="none"/>
                <w:u w:val="none"/>
                <w:lang w:val="en-US" w:eastAsia="zh-CN"/>
              </w:rPr>
              <w:t>元</w:t>
            </w:r>
          </w:p>
        </w:tc>
      </w:tr>
      <w:tr w14:paraId="57CBE08F">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8EAA931">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计划募集金额</w:t>
            </w:r>
          </w:p>
        </w:tc>
        <w:tc>
          <w:tcPr>
            <w:tcW w:w="6972" w:type="dxa"/>
            <w:tcBorders>
              <w:top w:val="single" w:color="auto" w:sz="4" w:space="0"/>
              <w:left w:val="single" w:color="auto" w:sz="4" w:space="0"/>
              <w:bottom w:val="single" w:color="auto" w:sz="4" w:space="0"/>
              <w:right w:val="single" w:color="auto" w:sz="4" w:space="0"/>
            </w:tcBorders>
            <w:vAlign w:val="center"/>
          </w:tcPr>
          <w:p w14:paraId="34FC7B83">
            <w:pPr>
              <w:widowControl/>
              <w:spacing w:line="400" w:lineRule="exact"/>
              <w:jc w:val="left"/>
              <w:textAlignment w:val="center"/>
              <w:rPr>
                <w:rFonts w:hint="eastAsia" w:ascii="宋体" w:hAnsi="宋体"/>
                <w:color w:val="auto"/>
                <w:szCs w:val="24"/>
                <w:highlight w:val="none"/>
                <w:u w:val="none"/>
                <w:lang w:val="en-US" w:eastAsia="zh-CN"/>
              </w:rPr>
            </w:pPr>
            <w:r>
              <w:rPr>
                <w:rFonts w:hint="eastAsia" w:ascii="宋体" w:hAnsi="宋体"/>
                <w:color w:val="auto"/>
                <w:szCs w:val="24"/>
                <w:highlight w:val="yellow"/>
                <w:u w:val="none"/>
              </w:rPr>
              <w:t>【</w:t>
            </w:r>
            <w:r>
              <w:rPr>
                <w:rFonts w:hint="eastAsia" w:ascii="宋体" w:hAnsi="宋体"/>
                <w:color w:val="auto"/>
                <w:szCs w:val="24"/>
                <w:highlight w:val="yellow"/>
                <w:u w:val="none"/>
                <w:lang w:val="en-US" w:eastAsia="zh-CN"/>
              </w:rPr>
              <w:t>亿</w:t>
            </w:r>
            <w:r>
              <w:rPr>
                <w:rFonts w:hint="eastAsia" w:ascii="宋体" w:hAnsi="宋体"/>
                <w:color w:val="auto"/>
                <w:szCs w:val="24"/>
                <w:highlight w:val="yellow"/>
                <w:u w:val="none"/>
              </w:rPr>
              <w:t>】</w:t>
            </w:r>
            <w:r>
              <w:rPr>
                <w:rFonts w:hint="eastAsia" w:ascii="宋体" w:hAnsi="宋体"/>
                <w:color w:val="auto"/>
                <w:szCs w:val="24"/>
                <w:highlight w:val="none"/>
                <w:u w:val="none"/>
                <w:lang w:val="en-US" w:eastAsia="zh-CN"/>
              </w:rPr>
              <w:t>元。</w:t>
            </w:r>
          </w:p>
          <w:p w14:paraId="37FB00D2">
            <w:pPr>
              <w:widowControl/>
              <w:spacing w:line="400" w:lineRule="exact"/>
              <w:jc w:val="left"/>
              <w:textAlignment w:val="center"/>
              <w:rPr>
                <w:rFonts w:hint="eastAsia" w:ascii="宋体" w:hAnsi="宋体"/>
                <w:color w:val="auto"/>
                <w:szCs w:val="24"/>
                <w:highlight w:val="none"/>
                <w:u w:val="none"/>
                <w:lang w:val="en-US" w:eastAsia="zh-CN"/>
              </w:rPr>
            </w:pPr>
            <w:r>
              <w:rPr>
                <w:rFonts w:hint="eastAsia"/>
                <w:b/>
                <w:bCs/>
                <w:color w:val="auto"/>
                <w:szCs w:val="24"/>
                <w:highlight w:val="none"/>
                <w:u w:val="none"/>
              </w:rPr>
              <w:t>管理人有权根据实际需要调整</w:t>
            </w:r>
            <w:r>
              <w:rPr>
                <w:rFonts w:hint="eastAsia"/>
                <w:b/>
                <w:bCs/>
                <w:color w:val="auto"/>
                <w:szCs w:val="24"/>
                <w:highlight w:val="none"/>
                <w:u w:val="none"/>
                <w:lang w:eastAsia="zh-CN"/>
              </w:rPr>
              <w:t>计划募集金额</w:t>
            </w:r>
            <w:r>
              <w:rPr>
                <w:rFonts w:hint="eastAsia"/>
                <w:b/>
                <w:bCs/>
                <w:color w:val="auto"/>
                <w:szCs w:val="24"/>
                <w:highlight w:val="none"/>
                <w:u w:val="none"/>
              </w:rPr>
              <w:t>上限。</w:t>
            </w:r>
          </w:p>
        </w:tc>
      </w:tr>
      <w:tr w14:paraId="705C08DF">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FF7B827">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color w:val="auto"/>
                <w:szCs w:val="24"/>
                <w:highlight w:val="none"/>
                <w:u w:val="none"/>
              </w:rPr>
              <w:t>产品最低成立规模</w:t>
            </w:r>
          </w:p>
        </w:tc>
        <w:tc>
          <w:tcPr>
            <w:tcW w:w="6972" w:type="dxa"/>
            <w:tcBorders>
              <w:top w:val="single" w:color="auto" w:sz="4" w:space="0"/>
              <w:left w:val="single" w:color="auto" w:sz="4" w:space="0"/>
              <w:bottom w:val="single" w:color="auto" w:sz="4" w:space="0"/>
              <w:right w:val="single" w:color="auto" w:sz="4" w:space="0"/>
            </w:tcBorders>
            <w:vAlign w:val="center"/>
          </w:tcPr>
          <w:p w14:paraId="6194F280">
            <w:pPr>
              <w:widowControl/>
              <w:jc w:val="left"/>
              <w:rPr>
                <w:rFonts w:ascii="宋体" w:hAnsi="宋体"/>
                <w:bCs/>
                <w:color w:val="auto"/>
                <w:szCs w:val="24"/>
                <w:highlight w:val="none"/>
                <w:u w:val="none"/>
              </w:rPr>
            </w:pPr>
            <w:r>
              <w:rPr>
                <w:rFonts w:hint="eastAsia" w:ascii="宋体" w:hAnsi="宋体"/>
                <w:color w:val="auto"/>
                <w:szCs w:val="24"/>
                <w:highlight w:val="yellow"/>
                <w:u w:val="none"/>
              </w:rPr>
              <w:t>【】</w:t>
            </w:r>
            <w:r>
              <w:rPr>
                <w:rFonts w:hint="eastAsia" w:ascii="宋体" w:hAnsi="宋体"/>
                <w:bCs/>
                <w:color w:val="auto"/>
                <w:szCs w:val="24"/>
                <w:highlight w:val="none"/>
                <w:u w:val="none"/>
              </w:rPr>
              <w:t>亿元。</w:t>
            </w:r>
          </w:p>
          <w:p w14:paraId="556BE7F5">
            <w:pPr>
              <w:widowControl/>
              <w:jc w:val="left"/>
              <w:rPr>
                <w:rFonts w:hint="eastAsia"/>
                <w:b/>
                <w:bCs/>
                <w:color w:val="auto"/>
                <w:szCs w:val="24"/>
                <w:highlight w:val="none"/>
                <w:u w:val="none"/>
              </w:rPr>
            </w:pPr>
            <w:r>
              <w:rPr>
                <w:rFonts w:hint="eastAsia"/>
                <w:color w:val="auto"/>
                <w:szCs w:val="24"/>
                <w:highlight w:val="none"/>
                <w:u w:val="none"/>
              </w:rPr>
              <w:t>若认购金额不足</w:t>
            </w:r>
            <w:r>
              <w:rPr>
                <w:rFonts w:hint="eastAsia" w:ascii="宋体" w:hAnsi="宋体"/>
                <w:color w:val="auto"/>
                <w:szCs w:val="24"/>
                <w:highlight w:val="yellow"/>
                <w:u w:val="none"/>
              </w:rPr>
              <w:t>【】</w:t>
            </w:r>
            <w:r>
              <w:rPr>
                <w:rFonts w:hint="eastAsia" w:ascii="宋体" w:hAnsi="宋体"/>
                <w:bCs/>
                <w:color w:val="auto"/>
                <w:szCs w:val="24"/>
                <w:highlight w:val="none"/>
                <w:u w:val="none"/>
              </w:rPr>
              <w:t>亿元</w:t>
            </w:r>
            <w:r>
              <w:rPr>
                <w:rFonts w:hint="eastAsia"/>
                <w:color w:val="auto"/>
                <w:szCs w:val="24"/>
                <w:highlight w:val="none"/>
                <w:u w:val="none"/>
              </w:rPr>
              <w:t>，</w:t>
            </w:r>
            <w:r>
              <w:rPr>
                <w:rFonts w:hint="eastAsia"/>
                <w:b/>
                <w:bCs/>
                <w:color w:val="auto"/>
                <w:szCs w:val="24"/>
                <w:highlight w:val="none"/>
                <w:u w:val="none"/>
              </w:rPr>
              <w:t>管理人有权宣布理财产品不成立，亦有权调整</w:t>
            </w:r>
            <w:r>
              <w:rPr>
                <w:rFonts w:hint="eastAsia" w:ascii="宋体" w:hAnsi="宋体"/>
                <w:b/>
                <w:bCs/>
                <w:color w:val="auto"/>
                <w:szCs w:val="24"/>
                <w:highlight w:val="none"/>
                <w:u w:val="none"/>
              </w:rPr>
              <w:t>产品最低成立规模，具体以管理人公告为准</w:t>
            </w:r>
            <w:r>
              <w:rPr>
                <w:rFonts w:hint="eastAsia"/>
                <w:color w:val="auto"/>
                <w:szCs w:val="24"/>
                <w:highlight w:val="none"/>
                <w:u w:val="none"/>
              </w:rPr>
              <w:t>。</w:t>
            </w:r>
          </w:p>
        </w:tc>
      </w:tr>
      <w:tr w14:paraId="77D01810">
        <w:tblPrEx>
          <w:tblCellMar>
            <w:top w:w="0" w:type="dxa"/>
            <w:left w:w="108" w:type="dxa"/>
            <w:bottom w:w="0" w:type="dxa"/>
            <w:right w:w="108" w:type="dxa"/>
          </w:tblCellMar>
        </w:tblPrEx>
        <w:trPr>
          <w:trHeight w:val="1280" w:hRule="atLeast"/>
        </w:trPr>
        <w:tc>
          <w:tcPr>
            <w:tcW w:w="2453" w:type="dxa"/>
            <w:tcBorders>
              <w:top w:val="single" w:color="auto" w:sz="4" w:space="0"/>
              <w:left w:val="single" w:color="auto" w:sz="4" w:space="0"/>
              <w:bottom w:val="single" w:color="auto" w:sz="4" w:space="0"/>
              <w:right w:val="single" w:color="auto" w:sz="4" w:space="0"/>
            </w:tcBorders>
            <w:vAlign w:val="center"/>
          </w:tcPr>
          <w:p w14:paraId="515285DB">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认购、申购、赎回安排</w:t>
            </w:r>
          </w:p>
        </w:tc>
        <w:tc>
          <w:tcPr>
            <w:tcW w:w="6972" w:type="dxa"/>
            <w:tcBorders>
              <w:top w:val="single" w:color="auto" w:sz="4" w:space="0"/>
              <w:left w:val="single" w:color="auto" w:sz="4" w:space="0"/>
              <w:bottom w:val="single" w:color="auto" w:sz="4" w:space="0"/>
              <w:right w:val="single" w:color="auto" w:sz="4" w:space="0"/>
            </w:tcBorders>
            <w:vAlign w:val="center"/>
          </w:tcPr>
          <w:p w14:paraId="5B87AE8D">
            <w:pPr>
              <w:snapToGrid w:val="0"/>
              <w:rPr>
                <w:rFonts w:ascii="宋体" w:hAnsi="宋体"/>
                <w:szCs w:val="24"/>
              </w:rPr>
            </w:pPr>
            <w:r>
              <w:rPr>
                <w:rFonts w:hint="eastAsia" w:ascii="宋体" w:hAnsi="宋体"/>
                <w:szCs w:val="24"/>
                <w:highlight w:val="yellow"/>
                <w:lang w:eastAsia="zh-CN"/>
              </w:rPr>
              <w:t>【</w:t>
            </w:r>
            <w:r>
              <w:rPr>
                <w:rFonts w:hint="eastAsia" w:ascii="宋体" w:hAnsi="宋体"/>
                <w:szCs w:val="24"/>
                <w:highlight w:val="yellow"/>
                <w:lang w:val="en-US" w:eastAsia="zh-CN"/>
              </w:rPr>
              <w:t>1</w:t>
            </w:r>
            <w:r>
              <w:rPr>
                <w:rFonts w:hint="eastAsia" w:ascii="仿宋_GB2312" w:hAnsi="宋体" w:cs="宋体"/>
                <w:bCs/>
                <w:color w:val="auto"/>
                <w:kern w:val="0"/>
                <w:szCs w:val="24"/>
                <w:highlight w:val="none"/>
                <w:lang w:val="en-US" w:eastAsia="zh-CN"/>
              </w:rPr>
              <w:t>.产品募集期为募集起始日期至募集结束日期，</w:t>
            </w:r>
            <w:r>
              <w:rPr>
                <w:rFonts w:hint="eastAsia" w:ascii="仿宋_GB2312" w:hAnsi="宋体" w:cs="宋体"/>
                <w:bCs/>
                <w:color w:val="auto"/>
                <w:kern w:val="0"/>
                <w:szCs w:val="24"/>
                <w:highlight w:val="none"/>
              </w:rPr>
              <w:t>产品募集期内，投资者可多次对本产品认购、追加、</w:t>
            </w:r>
            <w:r>
              <w:rPr>
                <w:rFonts w:hint="eastAsia"/>
                <w:color w:val="auto"/>
                <w:highlight w:val="none"/>
              </w:rPr>
              <w:t>撤单</w:t>
            </w:r>
            <w:r>
              <w:rPr>
                <w:rFonts w:hint="eastAsia" w:ascii="仿宋_GB2312" w:hAnsi="宋体" w:cs="宋体"/>
                <w:bCs/>
                <w:color w:val="auto"/>
                <w:kern w:val="0"/>
                <w:szCs w:val="24"/>
                <w:highlight w:val="none"/>
              </w:rPr>
              <w:t>。</w:t>
            </w:r>
          </w:p>
          <w:p w14:paraId="7F52B93B">
            <w:pPr>
              <w:snapToGrid w:val="0"/>
              <w:rPr>
                <w:rFonts w:ascii="宋体" w:hAnsi="宋体"/>
                <w:szCs w:val="24"/>
              </w:rPr>
            </w:pPr>
            <w:r>
              <w:rPr>
                <w:rFonts w:hint="eastAsia" w:ascii="宋体" w:hAnsi="宋体"/>
                <w:szCs w:val="24"/>
                <w:lang w:val="en-US" w:eastAsia="zh-CN"/>
              </w:rPr>
              <w:t>2</w:t>
            </w:r>
            <w:r>
              <w:rPr>
                <w:rFonts w:ascii="宋体" w:hAnsi="宋体"/>
                <w:szCs w:val="24"/>
              </w:rPr>
              <w:t>.</w:t>
            </w:r>
            <w:r>
              <w:rPr>
                <w:rFonts w:hint="eastAsia" w:ascii="宋体" w:hAnsi="宋体"/>
                <w:szCs w:val="24"/>
              </w:rPr>
              <w:t>本产品的封闭期</w:t>
            </w:r>
          </w:p>
          <w:p w14:paraId="328B8ACF">
            <w:pPr>
              <w:snapToGrid w:val="0"/>
              <w:rPr>
                <w:rFonts w:ascii="宋体" w:hAnsi="宋体"/>
                <w:szCs w:val="24"/>
              </w:rPr>
            </w:pPr>
            <w:r>
              <w:rPr>
                <w:rFonts w:hint="eastAsia" w:ascii="宋体" w:hAnsi="宋体"/>
                <w:szCs w:val="24"/>
              </w:rPr>
              <w:t>本产品成立后，产品</w:t>
            </w:r>
            <w:r>
              <w:rPr>
                <w:rFonts w:hint="eastAsia" w:ascii="宋体" w:hAnsi="宋体"/>
                <w:szCs w:val="24"/>
                <w:highlight w:val="none"/>
              </w:rPr>
              <w:t>封闭期为</w:t>
            </w:r>
            <w:r>
              <w:rPr>
                <w:rFonts w:hint="eastAsia" w:ascii="宋体" w:hAnsi="宋体"/>
                <w:szCs w:val="24"/>
                <w:highlight w:val="yellow"/>
                <w:lang w:eastAsia="zh-CN"/>
              </w:rPr>
              <w:t>【】</w:t>
            </w:r>
            <w:r>
              <w:rPr>
                <w:rFonts w:hint="eastAsia" w:ascii="宋体" w:hAnsi="宋体"/>
                <w:szCs w:val="24"/>
                <w:highlight w:val="none"/>
              </w:rPr>
              <w:t>年</w:t>
            </w:r>
            <w:r>
              <w:rPr>
                <w:rFonts w:hint="eastAsia" w:ascii="宋体" w:hAnsi="宋体"/>
                <w:szCs w:val="24"/>
                <w:highlight w:val="yellow"/>
                <w:lang w:eastAsia="zh-CN"/>
              </w:rPr>
              <w:t>【】</w:t>
            </w:r>
            <w:r>
              <w:rPr>
                <w:rFonts w:hint="eastAsia" w:ascii="宋体" w:hAnsi="宋体"/>
                <w:szCs w:val="24"/>
                <w:highlight w:val="none"/>
              </w:rPr>
              <w:t>月</w:t>
            </w:r>
            <w:r>
              <w:rPr>
                <w:rFonts w:hint="eastAsia" w:ascii="宋体" w:hAnsi="宋体"/>
                <w:szCs w:val="24"/>
                <w:highlight w:val="yellow"/>
                <w:lang w:eastAsia="zh-CN"/>
              </w:rPr>
              <w:t>【】</w:t>
            </w:r>
            <w:r>
              <w:rPr>
                <w:rFonts w:hint="eastAsia" w:ascii="宋体" w:hAnsi="宋体"/>
                <w:szCs w:val="24"/>
                <w:highlight w:val="none"/>
              </w:rPr>
              <w:t>日至</w:t>
            </w:r>
            <w:r>
              <w:rPr>
                <w:rFonts w:hint="eastAsia" w:ascii="宋体" w:hAnsi="宋体"/>
                <w:szCs w:val="24"/>
                <w:highlight w:val="yellow"/>
                <w:lang w:eastAsia="zh-CN"/>
              </w:rPr>
              <w:t>【】</w:t>
            </w:r>
            <w:r>
              <w:rPr>
                <w:rFonts w:hint="eastAsia" w:ascii="宋体" w:hAnsi="宋体"/>
                <w:szCs w:val="24"/>
                <w:highlight w:val="none"/>
              </w:rPr>
              <w:t>年</w:t>
            </w:r>
            <w:r>
              <w:rPr>
                <w:rFonts w:hint="eastAsia" w:ascii="宋体" w:hAnsi="宋体"/>
                <w:szCs w:val="24"/>
                <w:highlight w:val="yellow"/>
                <w:lang w:val="en-US" w:eastAsia="zh-CN"/>
              </w:rPr>
              <w:t>【】</w:t>
            </w:r>
            <w:r>
              <w:rPr>
                <w:rFonts w:hint="eastAsia" w:ascii="宋体" w:hAnsi="宋体"/>
                <w:szCs w:val="24"/>
                <w:highlight w:val="none"/>
              </w:rPr>
              <w:t>月</w:t>
            </w:r>
            <w:r>
              <w:rPr>
                <w:rFonts w:hint="eastAsia" w:ascii="宋体" w:hAnsi="宋体"/>
                <w:szCs w:val="24"/>
                <w:highlight w:val="yellow"/>
                <w:lang w:eastAsia="zh-CN"/>
              </w:rPr>
              <w:t>【】</w:t>
            </w:r>
            <w:r>
              <w:rPr>
                <w:rFonts w:hint="eastAsia" w:ascii="宋体" w:hAnsi="宋体"/>
                <w:szCs w:val="24"/>
                <w:highlight w:val="none"/>
              </w:rPr>
              <w:t>日，封闭期内不接受</w:t>
            </w:r>
            <w:r>
              <w:rPr>
                <w:rFonts w:hint="eastAsia" w:ascii="宋体" w:hAnsi="宋体"/>
                <w:szCs w:val="24"/>
              </w:rPr>
              <w:t>申购或赎回申请。</w:t>
            </w:r>
          </w:p>
          <w:p w14:paraId="0DB988FF">
            <w:pPr>
              <w:snapToGrid w:val="0"/>
              <w:rPr>
                <w:rFonts w:ascii="宋体" w:hAnsi="宋体"/>
                <w:szCs w:val="24"/>
              </w:rPr>
            </w:pPr>
            <w:r>
              <w:rPr>
                <w:rFonts w:hint="eastAsia" w:ascii="宋体" w:hAnsi="宋体"/>
                <w:szCs w:val="24"/>
                <w:lang w:val="en-US" w:eastAsia="zh-CN"/>
              </w:rPr>
              <w:t>3</w:t>
            </w:r>
            <w:r>
              <w:rPr>
                <w:rFonts w:ascii="宋体" w:hAnsi="宋体"/>
                <w:szCs w:val="24"/>
              </w:rPr>
              <w:t>.</w:t>
            </w:r>
            <w:r>
              <w:rPr>
                <w:rFonts w:hint="eastAsia" w:ascii="宋体" w:hAnsi="宋体"/>
                <w:szCs w:val="24"/>
              </w:rPr>
              <w:t>本产品的开放期</w:t>
            </w:r>
          </w:p>
          <w:p w14:paraId="01751B44">
            <w:pPr>
              <w:snapToGrid w:val="0"/>
              <w:rPr>
                <w:rFonts w:ascii="宋体" w:hAnsi="宋体"/>
                <w:szCs w:val="24"/>
                <w:highlight w:val="none"/>
              </w:rPr>
            </w:pPr>
            <w:r>
              <w:rPr>
                <w:rFonts w:hint="eastAsia" w:ascii="宋体" w:hAnsi="宋体"/>
                <w:szCs w:val="24"/>
              </w:rPr>
              <w:t>本产品封闭期结束后（不含</w:t>
            </w:r>
            <w:r>
              <w:rPr>
                <w:rFonts w:ascii="宋体" w:hAnsi="宋体"/>
                <w:szCs w:val="24"/>
              </w:rPr>
              <w:t>封闭期结束日</w:t>
            </w:r>
            <w:r>
              <w:rPr>
                <w:rFonts w:hint="eastAsia" w:ascii="宋体" w:hAnsi="宋体"/>
                <w:szCs w:val="24"/>
              </w:rPr>
              <w:t>、管理人公告暂停开放的日期</w:t>
            </w:r>
            <w:r>
              <w:rPr>
                <w:rFonts w:ascii="宋体" w:hAnsi="宋体"/>
                <w:szCs w:val="24"/>
              </w:rPr>
              <w:t>）</w:t>
            </w:r>
            <w:r>
              <w:rPr>
                <w:rFonts w:hint="eastAsia" w:ascii="宋体" w:hAnsi="宋体"/>
                <w:szCs w:val="24"/>
              </w:rPr>
              <w:t>的每</w:t>
            </w:r>
            <w:r>
              <w:rPr>
                <w:rFonts w:hint="eastAsia" w:ascii="宋体" w:hAnsi="宋体"/>
                <w:szCs w:val="24"/>
                <w:highlight w:val="none"/>
              </w:rPr>
              <w:t>个</w:t>
            </w:r>
            <w:r>
              <w:rPr>
                <w:rFonts w:hint="eastAsia" w:ascii="宋体" w:hAnsi="宋体"/>
                <w:szCs w:val="24"/>
                <w:highlight w:val="yellow"/>
              </w:rPr>
              <w:t>【□工作日/</w:t>
            </w:r>
            <w:r>
              <w:rPr>
                <w:rFonts w:hint="eastAsia" w:ascii="宋体" w:hAnsi="宋体"/>
                <w:szCs w:val="24"/>
                <w:highlight w:val="yellow"/>
                <w:lang w:eastAsia="zh-CN"/>
              </w:rPr>
              <w:t>□</w:t>
            </w:r>
            <w:r>
              <w:rPr>
                <w:rFonts w:hint="eastAsia" w:ascii="宋体" w:hAnsi="宋体"/>
                <w:szCs w:val="24"/>
                <w:highlight w:val="yellow"/>
              </w:rPr>
              <w:t>交易日】</w:t>
            </w:r>
            <w:r>
              <w:rPr>
                <w:rFonts w:hint="eastAsia" w:ascii="宋体" w:hAnsi="宋体"/>
                <w:szCs w:val="24"/>
                <w:highlight w:val="none"/>
                <w:lang w:eastAsia="zh-CN"/>
              </w:rPr>
              <w:t>为开放日</w:t>
            </w:r>
            <w:r>
              <w:rPr>
                <w:rFonts w:hint="eastAsia" w:ascii="宋体" w:hAnsi="宋体"/>
                <w:szCs w:val="24"/>
                <w:highlight w:val="none"/>
              </w:rPr>
              <w:t>，首次开放日为</w:t>
            </w:r>
            <w:r>
              <w:rPr>
                <w:rFonts w:hint="eastAsia" w:ascii="宋体" w:hAnsi="宋体"/>
                <w:szCs w:val="24"/>
                <w:highlight w:val="yellow"/>
                <w:lang w:eastAsia="zh-CN"/>
              </w:rPr>
              <w:t>【】</w:t>
            </w:r>
            <w:r>
              <w:rPr>
                <w:rFonts w:hint="eastAsia" w:ascii="宋体" w:hAnsi="宋体"/>
                <w:szCs w:val="24"/>
                <w:highlight w:val="none"/>
              </w:rPr>
              <w:t>年</w:t>
            </w:r>
            <w:r>
              <w:rPr>
                <w:rFonts w:hint="eastAsia" w:ascii="宋体" w:hAnsi="宋体"/>
                <w:szCs w:val="24"/>
                <w:highlight w:val="yellow"/>
                <w:lang w:eastAsia="zh-CN"/>
              </w:rPr>
              <w:t>【】</w:t>
            </w:r>
            <w:r>
              <w:rPr>
                <w:rFonts w:hint="eastAsia" w:ascii="宋体" w:hAnsi="宋体"/>
                <w:szCs w:val="24"/>
                <w:highlight w:val="none"/>
              </w:rPr>
              <w:t>月</w:t>
            </w:r>
            <w:r>
              <w:rPr>
                <w:rFonts w:hint="eastAsia" w:ascii="宋体" w:hAnsi="宋体"/>
                <w:szCs w:val="24"/>
                <w:highlight w:val="yellow"/>
                <w:lang w:eastAsia="zh-CN"/>
              </w:rPr>
              <w:t>【】</w:t>
            </w:r>
            <w:r>
              <w:rPr>
                <w:rFonts w:hint="eastAsia" w:ascii="宋体" w:hAnsi="宋体"/>
                <w:szCs w:val="24"/>
                <w:highlight w:val="none"/>
              </w:rPr>
              <w:t>日。</w:t>
            </w:r>
          </w:p>
          <w:p w14:paraId="07E41786">
            <w:pPr>
              <w:snapToGrid w:val="0"/>
              <w:rPr>
                <w:rFonts w:ascii="宋体" w:hAnsi="宋体"/>
                <w:szCs w:val="24"/>
              </w:rPr>
            </w:pPr>
            <w:r>
              <w:rPr>
                <w:rFonts w:hint="eastAsia" w:ascii="宋体" w:hAnsi="宋体"/>
                <w:szCs w:val="24"/>
                <w:lang w:val="en-US" w:eastAsia="zh-CN"/>
              </w:rPr>
              <w:t>4</w:t>
            </w:r>
            <w:r>
              <w:rPr>
                <w:rFonts w:ascii="宋体" w:hAnsi="宋体"/>
                <w:szCs w:val="24"/>
              </w:rPr>
              <w:t>.</w:t>
            </w:r>
            <w:r>
              <w:rPr>
                <w:rFonts w:hint="eastAsia" w:ascii="宋体" w:hAnsi="宋体"/>
                <w:szCs w:val="24"/>
              </w:rPr>
              <w:t>申购安排：</w:t>
            </w:r>
          </w:p>
          <w:p w14:paraId="3D7955B3">
            <w:pPr>
              <w:snapToGrid w:val="0"/>
              <w:rPr>
                <w:rFonts w:ascii="宋体" w:hAnsi="宋体"/>
                <w:szCs w:val="24"/>
                <w:highlight w:val="none"/>
              </w:rPr>
            </w:pPr>
            <w:r>
              <w:rPr>
                <w:rFonts w:hint="eastAsia" w:ascii="宋体" w:hAnsi="宋体"/>
                <w:szCs w:val="24"/>
              </w:rPr>
              <w:t>（</w:t>
            </w:r>
            <w:r>
              <w:rPr>
                <w:rFonts w:ascii="宋体" w:hAnsi="宋体"/>
                <w:szCs w:val="24"/>
              </w:rPr>
              <w:t>1</w:t>
            </w:r>
            <w:r>
              <w:rPr>
                <w:rFonts w:hint="eastAsia" w:ascii="宋体" w:hAnsi="宋体"/>
                <w:szCs w:val="24"/>
              </w:rPr>
              <w:t>）申</w:t>
            </w:r>
            <w:r>
              <w:rPr>
                <w:rFonts w:hint="eastAsia" w:ascii="宋体" w:hAnsi="宋体"/>
                <w:szCs w:val="24"/>
                <w:highlight w:val="none"/>
              </w:rPr>
              <w:t>购的时间投资者在</w:t>
            </w:r>
            <w:r>
              <w:rPr>
                <w:rFonts w:hint="eastAsia" w:ascii="宋体" w:hAnsi="宋体"/>
                <w:szCs w:val="24"/>
                <w:highlight w:val="yellow"/>
              </w:rPr>
              <w:t>【□工作日/</w:t>
            </w:r>
            <w:r>
              <w:rPr>
                <w:rFonts w:hint="eastAsia" w:ascii="宋体" w:hAnsi="宋体"/>
                <w:szCs w:val="24"/>
                <w:highlight w:val="yellow"/>
                <w:lang w:eastAsia="zh-CN"/>
              </w:rPr>
              <w:t>□</w:t>
            </w:r>
            <w:r>
              <w:rPr>
                <w:rFonts w:hint="eastAsia" w:ascii="宋体" w:hAnsi="宋体"/>
                <w:szCs w:val="24"/>
                <w:highlight w:val="yellow"/>
              </w:rPr>
              <w:t>交易日】【</w:t>
            </w:r>
            <w:r>
              <w:rPr>
                <w:rFonts w:hint="eastAsia" w:ascii="宋体" w:hAnsi="宋体"/>
                <w:szCs w:val="24"/>
                <w:highlight w:val="yellow"/>
                <w:lang w:val="en-US" w:eastAsia="zh-CN"/>
              </w:rPr>
              <w:t>xx:xx</w:t>
            </w:r>
            <w:r>
              <w:rPr>
                <w:rFonts w:hint="eastAsia" w:ascii="宋体" w:hAnsi="宋体"/>
                <w:szCs w:val="24"/>
                <w:highlight w:val="yellow"/>
              </w:rPr>
              <w:t>】</w:t>
            </w:r>
            <w:r>
              <w:rPr>
                <w:rFonts w:hint="eastAsia" w:ascii="宋体" w:hAnsi="宋体"/>
                <w:szCs w:val="24"/>
                <w:highlight w:val="none"/>
              </w:rPr>
              <w:t>前提交申购申请的，提交当日为申购日。</w:t>
            </w:r>
          </w:p>
          <w:p w14:paraId="5B813296">
            <w:pPr>
              <w:snapToGrid w:val="0"/>
              <w:rPr>
                <w:rFonts w:ascii="宋体" w:hAnsi="宋体"/>
                <w:szCs w:val="24"/>
                <w:highlight w:val="none"/>
              </w:rPr>
            </w:pPr>
            <w:r>
              <w:rPr>
                <w:rFonts w:hint="eastAsia" w:ascii="宋体" w:hAnsi="宋体"/>
                <w:szCs w:val="24"/>
                <w:highlight w:val="none"/>
              </w:rPr>
              <w:t>投资者在</w:t>
            </w:r>
            <w:r>
              <w:rPr>
                <w:rFonts w:hint="eastAsia" w:ascii="宋体" w:hAnsi="宋体"/>
                <w:szCs w:val="24"/>
                <w:highlight w:val="yellow"/>
              </w:rPr>
              <w:t>【□工作日/</w:t>
            </w:r>
            <w:r>
              <w:rPr>
                <w:rFonts w:hint="eastAsia" w:ascii="宋体" w:hAnsi="宋体"/>
                <w:szCs w:val="24"/>
                <w:highlight w:val="yellow"/>
                <w:lang w:eastAsia="zh-CN"/>
              </w:rPr>
              <w:t>□</w:t>
            </w:r>
            <w:r>
              <w:rPr>
                <w:rFonts w:hint="eastAsia" w:ascii="宋体" w:hAnsi="宋体"/>
                <w:szCs w:val="24"/>
                <w:highlight w:val="yellow"/>
              </w:rPr>
              <w:t>交易日】【</w:t>
            </w:r>
            <w:r>
              <w:rPr>
                <w:rFonts w:hint="eastAsia" w:ascii="宋体" w:hAnsi="宋体"/>
                <w:szCs w:val="24"/>
                <w:highlight w:val="yellow"/>
                <w:lang w:val="en-US" w:eastAsia="zh-CN"/>
              </w:rPr>
              <w:t>xx:xx</w:t>
            </w:r>
            <w:r>
              <w:rPr>
                <w:rFonts w:hint="eastAsia" w:ascii="宋体" w:hAnsi="宋体"/>
                <w:szCs w:val="24"/>
                <w:highlight w:val="yellow"/>
              </w:rPr>
              <w:t>】</w:t>
            </w:r>
            <w:r>
              <w:rPr>
                <w:rFonts w:hint="eastAsia" w:ascii="宋体" w:hAnsi="宋体"/>
                <w:szCs w:val="24"/>
                <w:highlight w:val="none"/>
              </w:rPr>
              <w:t>后提交申购申请的，下一个</w:t>
            </w:r>
            <w:r>
              <w:rPr>
                <w:rFonts w:hint="eastAsia" w:ascii="宋体" w:hAnsi="宋体"/>
                <w:szCs w:val="24"/>
                <w:highlight w:val="yellow"/>
              </w:rPr>
              <w:t>【□工作日/</w:t>
            </w:r>
            <w:r>
              <w:rPr>
                <w:rFonts w:hint="eastAsia" w:ascii="宋体" w:hAnsi="宋体"/>
                <w:szCs w:val="24"/>
                <w:highlight w:val="yellow"/>
                <w:lang w:eastAsia="zh-CN"/>
              </w:rPr>
              <w:t>□</w:t>
            </w:r>
            <w:r>
              <w:rPr>
                <w:rFonts w:hint="eastAsia" w:ascii="宋体" w:hAnsi="宋体"/>
                <w:szCs w:val="24"/>
                <w:highlight w:val="yellow"/>
              </w:rPr>
              <w:t>交易日】</w:t>
            </w:r>
            <w:r>
              <w:rPr>
                <w:rFonts w:hint="eastAsia" w:ascii="宋体" w:hAnsi="宋体"/>
                <w:szCs w:val="24"/>
                <w:highlight w:val="none"/>
              </w:rPr>
              <w:t>为申购日。</w:t>
            </w:r>
          </w:p>
          <w:p w14:paraId="5145217E">
            <w:pPr>
              <w:snapToGrid w:val="0"/>
              <w:rPr>
                <w:rFonts w:ascii="宋体" w:hAnsi="宋体"/>
                <w:szCs w:val="24"/>
                <w:highlight w:val="none"/>
              </w:rPr>
            </w:pPr>
            <w:r>
              <w:rPr>
                <w:rFonts w:hint="eastAsia" w:ascii="宋体" w:hAnsi="宋体"/>
                <w:szCs w:val="24"/>
                <w:highlight w:val="none"/>
              </w:rPr>
              <w:t>投资者在非</w:t>
            </w:r>
            <w:r>
              <w:rPr>
                <w:rFonts w:hint="eastAsia" w:ascii="宋体" w:hAnsi="宋体"/>
                <w:szCs w:val="24"/>
                <w:highlight w:val="yellow"/>
              </w:rPr>
              <w:t>【□工作日/</w:t>
            </w:r>
            <w:r>
              <w:rPr>
                <w:rFonts w:hint="eastAsia" w:ascii="宋体" w:hAnsi="宋体"/>
                <w:szCs w:val="24"/>
                <w:highlight w:val="yellow"/>
                <w:lang w:eastAsia="zh-CN"/>
              </w:rPr>
              <w:t>□</w:t>
            </w:r>
            <w:r>
              <w:rPr>
                <w:rFonts w:hint="eastAsia" w:ascii="宋体" w:hAnsi="宋体"/>
                <w:szCs w:val="24"/>
                <w:highlight w:val="yellow"/>
              </w:rPr>
              <w:t>交易日】</w:t>
            </w:r>
            <w:r>
              <w:rPr>
                <w:rFonts w:hint="eastAsia" w:ascii="宋体" w:hAnsi="宋体"/>
                <w:szCs w:val="24"/>
                <w:highlight w:val="none"/>
              </w:rPr>
              <w:t>提交申购申请的，下一</w:t>
            </w:r>
            <w:r>
              <w:rPr>
                <w:rFonts w:hint="eastAsia" w:ascii="宋体" w:hAnsi="宋体"/>
                <w:szCs w:val="24"/>
                <w:highlight w:val="yellow"/>
              </w:rPr>
              <w:t>【□工作日/</w:t>
            </w:r>
            <w:r>
              <w:rPr>
                <w:rFonts w:hint="eastAsia" w:ascii="宋体" w:hAnsi="宋体"/>
                <w:szCs w:val="24"/>
                <w:highlight w:val="yellow"/>
                <w:lang w:eastAsia="zh-CN"/>
              </w:rPr>
              <w:t>□</w:t>
            </w:r>
            <w:r>
              <w:rPr>
                <w:rFonts w:hint="eastAsia" w:ascii="宋体" w:hAnsi="宋体"/>
                <w:szCs w:val="24"/>
                <w:highlight w:val="yellow"/>
              </w:rPr>
              <w:t>交易日】</w:t>
            </w:r>
            <w:r>
              <w:rPr>
                <w:rFonts w:hint="eastAsia" w:ascii="宋体" w:hAnsi="宋体"/>
                <w:szCs w:val="24"/>
                <w:highlight w:val="none"/>
              </w:rPr>
              <w:t>为申购日。</w:t>
            </w:r>
          </w:p>
          <w:p w14:paraId="546562A6">
            <w:pPr>
              <w:snapToGrid w:val="0"/>
              <w:rPr>
                <w:rFonts w:ascii="宋体" w:hAnsi="宋体"/>
                <w:szCs w:val="24"/>
                <w:highlight w:val="none"/>
              </w:rPr>
            </w:pPr>
            <w:r>
              <w:rPr>
                <w:rFonts w:hint="eastAsia" w:ascii="宋体" w:hAnsi="宋体"/>
                <w:szCs w:val="24"/>
                <w:highlight w:val="none"/>
              </w:rPr>
              <w:t>（</w:t>
            </w:r>
            <w:r>
              <w:rPr>
                <w:rFonts w:ascii="宋体" w:hAnsi="宋体"/>
                <w:szCs w:val="24"/>
                <w:highlight w:val="none"/>
              </w:rPr>
              <w:t>2</w:t>
            </w:r>
            <w:r>
              <w:rPr>
                <w:rFonts w:hint="eastAsia" w:ascii="宋体" w:hAnsi="宋体"/>
                <w:szCs w:val="24"/>
                <w:highlight w:val="none"/>
              </w:rPr>
              <w:t>）申购的确认</w:t>
            </w:r>
          </w:p>
          <w:p w14:paraId="43C68BD8">
            <w:pPr>
              <w:snapToGrid w:val="0"/>
              <w:rPr>
                <w:rFonts w:ascii="宋体" w:hAnsi="宋体"/>
                <w:szCs w:val="24"/>
                <w:highlight w:val="none"/>
              </w:rPr>
            </w:pPr>
            <w:r>
              <w:rPr>
                <w:rFonts w:hint="eastAsia" w:ascii="宋体" w:hAnsi="宋体"/>
                <w:szCs w:val="24"/>
                <w:highlight w:val="none"/>
              </w:rPr>
              <w:t>申购日后的</w:t>
            </w:r>
            <w:r>
              <w:rPr>
                <w:rFonts w:hint="eastAsia" w:ascii="宋体" w:hAnsi="宋体"/>
                <w:szCs w:val="24"/>
                <w:highlight w:val="yellow"/>
              </w:rPr>
              <w:t>【】</w:t>
            </w:r>
            <w:r>
              <w:rPr>
                <w:rFonts w:hint="eastAsia" w:ascii="宋体" w:hAnsi="宋体"/>
                <w:szCs w:val="24"/>
                <w:highlight w:val="none"/>
              </w:rPr>
              <w:t>个</w:t>
            </w:r>
            <w:r>
              <w:rPr>
                <w:rFonts w:hint="eastAsia" w:ascii="宋体" w:hAnsi="宋体"/>
                <w:szCs w:val="24"/>
                <w:highlight w:val="yellow"/>
              </w:rPr>
              <w:t>【□工作日/</w:t>
            </w:r>
            <w:r>
              <w:rPr>
                <w:rFonts w:hint="eastAsia" w:ascii="宋体" w:hAnsi="宋体"/>
                <w:szCs w:val="24"/>
                <w:highlight w:val="yellow"/>
                <w:lang w:eastAsia="zh-CN"/>
              </w:rPr>
              <w:t>☑</w:t>
            </w:r>
            <w:r>
              <w:rPr>
                <w:rFonts w:hint="eastAsia" w:ascii="宋体" w:hAnsi="宋体"/>
                <w:szCs w:val="24"/>
                <w:highlight w:val="yellow"/>
              </w:rPr>
              <w:t>交易日】</w:t>
            </w:r>
            <w:r>
              <w:rPr>
                <w:rFonts w:hint="eastAsia" w:ascii="宋体" w:hAnsi="宋体"/>
                <w:szCs w:val="24"/>
                <w:highlight w:val="none"/>
              </w:rPr>
              <w:t>内为申购确认日。</w:t>
            </w:r>
          </w:p>
          <w:p w14:paraId="2472C7CF">
            <w:pPr>
              <w:snapToGrid w:val="0"/>
              <w:rPr>
                <w:rFonts w:ascii="宋体" w:hAnsi="宋体"/>
                <w:szCs w:val="24"/>
                <w:highlight w:val="none"/>
              </w:rPr>
            </w:pPr>
            <w:r>
              <w:rPr>
                <w:rFonts w:hint="eastAsia" w:ascii="宋体" w:hAnsi="宋体"/>
                <w:szCs w:val="24"/>
                <w:highlight w:val="none"/>
                <w:lang w:val="en-US" w:eastAsia="zh-CN"/>
              </w:rPr>
              <w:t>5</w:t>
            </w:r>
            <w:r>
              <w:rPr>
                <w:rFonts w:ascii="宋体" w:hAnsi="宋体"/>
                <w:szCs w:val="24"/>
                <w:highlight w:val="none"/>
              </w:rPr>
              <w:t>.</w:t>
            </w:r>
            <w:r>
              <w:rPr>
                <w:rFonts w:hint="eastAsia" w:ascii="宋体" w:hAnsi="宋体"/>
                <w:szCs w:val="24"/>
                <w:highlight w:val="none"/>
              </w:rPr>
              <w:t>赎回安排</w:t>
            </w:r>
          </w:p>
          <w:p w14:paraId="65A37CED">
            <w:pPr>
              <w:snapToGrid w:val="0"/>
              <w:rPr>
                <w:rFonts w:ascii="宋体" w:hAnsi="宋体"/>
                <w:szCs w:val="24"/>
                <w:highlight w:val="none"/>
              </w:rPr>
            </w:pPr>
            <w:r>
              <w:rPr>
                <w:rFonts w:hint="eastAsia" w:ascii="宋体" w:hAnsi="宋体"/>
                <w:szCs w:val="24"/>
                <w:highlight w:val="none"/>
              </w:rPr>
              <w:t>（</w:t>
            </w:r>
            <w:r>
              <w:rPr>
                <w:rFonts w:ascii="宋体" w:hAnsi="宋体"/>
                <w:szCs w:val="24"/>
                <w:highlight w:val="none"/>
              </w:rPr>
              <w:t>1</w:t>
            </w:r>
            <w:r>
              <w:rPr>
                <w:rFonts w:hint="eastAsia" w:ascii="宋体" w:hAnsi="宋体"/>
                <w:szCs w:val="24"/>
                <w:highlight w:val="none"/>
              </w:rPr>
              <w:t>）赎回的时间</w:t>
            </w:r>
          </w:p>
          <w:p w14:paraId="178B62DF">
            <w:pPr>
              <w:snapToGrid w:val="0"/>
              <w:rPr>
                <w:rFonts w:ascii="宋体" w:hAnsi="宋体"/>
                <w:szCs w:val="24"/>
                <w:highlight w:val="none"/>
              </w:rPr>
            </w:pPr>
            <w:r>
              <w:rPr>
                <w:rFonts w:hint="eastAsia" w:ascii="宋体" w:hAnsi="宋体"/>
                <w:szCs w:val="24"/>
                <w:highlight w:val="none"/>
              </w:rPr>
              <w:t>投资者认购、申购本理财产品并成功确认份额后，在产品首次开放日（含）后可申请赎回。</w:t>
            </w:r>
          </w:p>
          <w:p w14:paraId="5835EBC7">
            <w:pPr>
              <w:snapToGrid w:val="0"/>
              <w:rPr>
                <w:rFonts w:ascii="宋体" w:hAnsi="宋体"/>
                <w:szCs w:val="24"/>
                <w:highlight w:val="none"/>
              </w:rPr>
            </w:pPr>
            <w:r>
              <w:rPr>
                <w:rFonts w:hint="eastAsia" w:ascii="宋体" w:hAnsi="宋体"/>
                <w:szCs w:val="24"/>
                <w:highlight w:val="none"/>
              </w:rPr>
              <w:t>投资者在</w:t>
            </w:r>
            <w:r>
              <w:rPr>
                <w:rFonts w:hint="eastAsia" w:ascii="宋体" w:hAnsi="宋体"/>
                <w:szCs w:val="24"/>
                <w:highlight w:val="yellow"/>
              </w:rPr>
              <w:t>【□工作日/</w:t>
            </w:r>
            <w:r>
              <w:rPr>
                <w:rFonts w:hint="eastAsia" w:ascii="宋体" w:hAnsi="宋体"/>
                <w:szCs w:val="24"/>
                <w:highlight w:val="yellow"/>
                <w:lang w:eastAsia="zh-CN"/>
              </w:rPr>
              <w:t>□</w:t>
            </w:r>
            <w:r>
              <w:rPr>
                <w:rFonts w:hint="eastAsia" w:ascii="宋体" w:hAnsi="宋体"/>
                <w:szCs w:val="24"/>
                <w:highlight w:val="yellow"/>
              </w:rPr>
              <w:t>交易日】【</w:t>
            </w:r>
            <w:r>
              <w:rPr>
                <w:rFonts w:hint="eastAsia" w:ascii="宋体" w:hAnsi="宋体"/>
                <w:szCs w:val="24"/>
                <w:highlight w:val="yellow"/>
                <w:lang w:val="en-US" w:eastAsia="zh-CN"/>
              </w:rPr>
              <w:t>xx:xx</w:t>
            </w:r>
            <w:r>
              <w:rPr>
                <w:rFonts w:hint="eastAsia" w:ascii="宋体" w:hAnsi="宋体"/>
                <w:szCs w:val="24"/>
                <w:highlight w:val="yellow"/>
              </w:rPr>
              <w:t>】</w:t>
            </w:r>
            <w:r>
              <w:rPr>
                <w:rFonts w:hint="eastAsia" w:ascii="宋体" w:hAnsi="宋体"/>
                <w:szCs w:val="24"/>
                <w:highlight w:val="none"/>
              </w:rPr>
              <w:t>前提交赎回申请的，提交当日为赎回日。</w:t>
            </w:r>
          </w:p>
          <w:p w14:paraId="4B634E38">
            <w:pPr>
              <w:snapToGrid w:val="0"/>
              <w:rPr>
                <w:rFonts w:ascii="宋体" w:hAnsi="宋体"/>
                <w:szCs w:val="24"/>
                <w:highlight w:val="none"/>
              </w:rPr>
            </w:pPr>
            <w:r>
              <w:rPr>
                <w:rFonts w:hint="eastAsia" w:ascii="宋体" w:hAnsi="宋体"/>
                <w:szCs w:val="24"/>
                <w:highlight w:val="none"/>
              </w:rPr>
              <w:t>投资者在</w:t>
            </w:r>
            <w:r>
              <w:rPr>
                <w:rFonts w:hint="eastAsia" w:ascii="宋体" w:hAnsi="宋体"/>
                <w:szCs w:val="24"/>
                <w:highlight w:val="yellow"/>
              </w:rPr>
              <w:t>【□工作日/</w:t>
            </w:r>
            <w:r>
              <w:rPr>
                <w:rFonts w:hint="eastAsia" w:ascii="宋体" w:hAnsi="宋体"/>
                <w:szCs w:val="24"/>
                <w:highlight w:val="yellow"/>
                <w:lang w:eastAsia="zh-CN"/>
              </w:rPr>
              <w:t>□</w:t>
            </w:r>
            <w:r>
              <w:rPr>
                <w:rFonts w:hint="eastAsia" w:ascii="宋体" w:hAnsi="宋体"/>
                <w:szCs w:val="24"/>
                <w:highlight w:val="yellow"/>
              </w:rPr>
              <w:t>交易日】【</w:t>
            </w:r>
            <w:r>
              <w:rPr>
                <w:rFonts w:hint="eastAsia" w:ascii="宋体" w:hAnsi="宋体"/>
                <w:szCs w:val="24"/>
                <w:highlight w:val="yellow"/>
                <w:lang w:val="en-US" w:eastAsia="zh-CN"/>
              </w:rPr>
              <w:t>xx:xx</w:t>
            </w:r>
            <w:r>
              <w:rPr>
                <w:rFonts w:hint="eastAsia" w:ascii="宋体" w:hAnsi="宋体"/>
                <w:szCs w:val="24"/>
                <w:highlight w:val="yellow"/>
              </w:rPr>
              <w:t>】</w:t>
            </w:r>
            <w:r>
              <w:rPr>
                <w:rFonts w:hint="eastAsia" w:ascii="宋体" w:hAnsi="宋体"/>
                <w:szCs w:val="24"/>
                <w:highlight w:val="none"/>
              </w:rPr>
              <w:t>后提交赎回申请的，下一个</w:t>
            </w:r>
            <w:r>
              <w:rPr>
                <w:rFonts w:hint="eastAsia" w:ascii="宋体" w:hAnsi="宋体"/>
                <w:szCs w:val="24"/>
                <w:highlight w:val="yellow"/>
              </w:rPr>
              <w:t>【□工作日/</w:t>
            </w:r>
            <w:r>
              <w:rPr>
                <w:rFonts w:hint="eastAsia" w:ascii="宋体" w:hAnsi="宋体"/>
                <w:szCs w:val="24"/>
                <w:highlight w:val="yellow"/>
                <w:lang w:eastAsia="zh-CN"/>
              </w:rPr>
              <w:t>□</w:t>
            </w:r>
            <w:r>
              <w:rPr>
                <w:rFonts w:hint="eastAsia" w:ascii="宋体" w:hAnsi="宋体"/>
                <w:szCs w:val="24"/>
                <w:highlight w:val="yellow"/>
              </w:rPr>
              <w:t>交易日】</w:t>
            </w:r>
            <w:r>
              <w:rPr>
                <w:rFonts w:hint="eastAsia" w:ascii="宋体" w:hAnsi="宋体"/>
                <w:szCs w:val="24"/>
                <w:highlight w:val="none"/>
              </w:rPr>
              <w:t>为赎回日。</w:t>
            </w:r>
          </w:p>
          <w:p w14:paraId="357463D4">
            <w:pPr>
              <w:snapToGrid w:val="0"/>
              <w:rPr>
                <w:rFonts w:ascii="宋体" w:hAnsi="宋体"/>
                <w:szCs w:val="24"/>
                <w:highlight w:val="none"/>
              </w:rPr>
            </w:pPr>
            <w:r>
              <w:rPr>
                <w:rFonts w:hint="eastAsia" w:ascii="宋体" w:hAnsi="宋体"/>
                <w:szCs w:val="24"/>
                <w:highlight w:val="none"/>
              </w:rPr>
              <w:t>投资者在非</w:t>
            </w:r>
            <w:r>
              <w:rPr>
                <w:rFonts w:hint="eastAsia" w:ascii="宋体" w:hAnsi="宋体"/>
                <w:szCs w:val="24"/>
                <w:highlight w:val="yellow"/>
              </w:rPr>
              <w:t>【□工作日/</w:t>
            </w:r>
            <w:r>
              <w:rPr>
                <w:rFonts w:hint="eastAsia" w:ascii="宋体" w:hAnsi="宋体"/>
                <w:szCs w:val="24"/>
                <w:highlight w:val="yellow"/>
                <w:lang w:eastAsia="zh-CN"/>
              </w:rPr>
              <w:t>□</w:t>
            </w:r>
            <w:r>
              <w:rPr>
                <w:rFonts w:hint="eastAsia" w:ascii="宋体" w:hAnsi="宋体"/>
                <w:szCs w:val="24"/>
                <w:highlight w:val="yellow"/>
              </w:rPr>
              <w:t>交易日】</w:t>
            </w:r>
            <w:r>
              <w:rPr>
                <w:rFonts w:hint="eastAsia" w:ascii="宋体" w:hAnsi="宋体"/>
                <w:szCs w:val="24"/>
                <w:highlight w:val="none"/>
              </w:rPr>
              <w:t>提交赎回申请的，下一个</w:t>
            </w:r>
            <w:r>
              <w:rPr>
                <w:rFonts w:hint="eastAsia" w:ascii="宋体" w:hAnsi="宋体"/>
                <w:szCs w:val="24"/>
                <w:highlight w:val="yellow"/>
              </w:rPr>
              <w:t>【□工作日/</w:t>
            </w:r>
            <w:r>
              <w:rPr>
                <w:rFonts w:hint="eastAsia" w:ascii="宋体" w:hAnsi="宋体"/>
                <w:szCs w:val="24"/>
                <w:highlight w:val="yellow"/>
                <w:lang w:eastAsia="zh-CN"/>
              </w:rPr>
              <w:t>□</w:t>
            </w:r>
            <w:r>
              <w:rPr>
                <w:rFonts w:hint="eastAsia" w:ascii="宋体" w:hAnsi="宋体"/>
                <w:szCs w:val="24"/>
                <w:highlight w:val="yellow"/>
              </w:rPr>
              <w:t>交易日】</w:t>
            </w:r>
            <w:r>
              <w:rPr>
                <w:rFonts w:hint="eastAsia" w:ascii="宋体" w:hAnsi="宋体"/>
                <w:szCs w:val="24"/>
                <w:highlight w:val="none"/>
              </w:rPr>
              <w:t>为赎回日。</w:t>
            </w:r>
          </w:p>
          <w:p w14:paraId="57B1C7C3">
            <w:pPr>
              <w:snapToGrid w:val="0"/>
              <w:rPr>
                <w:rFonts w:ascii="宋体" w:hAnsi="宋体"/>
                <w:szCs w:val="24"/>
                <w:highlight w:val="none"/>
              </w:rPr>
            </w:pPr>
            <w:r>
              <w:rPr>
                <w:rFonts w:hint="eastAsia" w:ascii="宋体" w:hAnsi="宋体"/>
                <w:szCs w:val="24"/>
                <w:highlight w:val="none"/>
              </w:rPr>
              <w:t>（</w:t>
            </w:r>
            <w:r>
              <w:rPr>
                <w:rFonts w:ascii="宋体" w:hAnsi="宋体"/>
                <w:szCs w:val="24"/>
                <w:highlight w:val="none"/>
              </w:rPr>
              <w:t>2</w:t>
            </w:r>
            <w:r>
              <w:rPr>
                <w:rFonts w:hint="eastAsia" w:ascii="宋体" w:hAnsi="宋体"/>
                <w:szCs w:val="24"/>
                <w:highlight w:val="none"/>
              </w:rPr>
              <w:t>）赎回的确认</w:t>
            </w:r>
          </w:p>
          <w:p w14:paraId="6F8F7637">
            <w:pPr>
              <w:snapToGrid w:val="0"/>
              <w:rPr>
                <w:rFonts w:ascii="宋体" w:hAnsi="宋体"/>
                <w:szCs w:val="24"/>
                <w:highlight w:val="none"/>
              </w:rPr>
            </w:pPr>
            <w:r>
              <w:rPr>
                <w:rFonts w:hint="eastAsia" w:ascii="宋体" w:hAnsi="宋体"/>
                <w:szCs w:val="24"/>
                <w:highlight w:val="none"/>
              </w:rPr>
              <w:t>赎回日后的</w:t>
            </w:r>
            <w:r>
              <w:rPr>
                <w:rFonts w:hint="eastAsia" w:ascii="宋体" w:hAnsi="宋体"/>
                <w:szCs w:val="24"/>
                <w:highlight w:val="yellow"/>
              </w:rPr>
              <w:t>【】</w:t>
            </w:r>
            <w:r>
              <w:rPr>
                <w:rFonts w:hint="eastAsia" w:ascii="宋体" w:hAnsi="宋体"/>
                <w:szCs w:val="24"/>
                <w:highlight w:val="none"/>
              </w:rPr>
              <w:t>个</w:t>
            </w:r>
            <w:r>
              <w:rPr>
                <w:rFonts w:hint="eastAsia" w:ascii="宋体" w:hAnsi="宋体"/>
                <w:szCs w:val="24"/>
                <w:highlight w:val="yellow"/>
              </w:rPr>
              <w:t>【□工作日/</w:t>
            </w:r>
            <w:r>
              <w:rPr>
                <w:rFonts w:hint="eastAsia" w:ascii="宋体" w:hAnsi="宋体"/>
                <w:szCs w:val="24"/>
                <w:highlight w:val="yellow"/>
                <w:lang w:eastAsia="zh-CN"/>
              </w:rPr>
              <w:t>□</w:t>
            </w:r>
            <w:r>
              <w:rPr>
                <w:rFonts w:hint="eastAsia" w:ascii="宋体" w:hAnsi="宋体"/>
                <w:szCs w:val="24"/>
                <w:highlight w:val="yellow"/>
              </w:rPr>
              <w:t>交易日】</w:t>
            </w:r>
            <w:r>
              <w:rPr>
                <w:rFonts w:hint="eastAsia" w:ascii="宋体" w:hAnsi="宋体"/>
                <w:szCs w:val="24"/>
                <w:highlight w:val="none"/>
              </w:rPr>
              <w:t>内为赎回确认日。</w:t>
            </w:r>
          </w:p>
          <w:p w14:paraId="6F271097">
            <w:pPr>
              <w:snapToGrid w:val="0"/>
              <w:rPr>
                <w:rFonts w:hint="eastAsia" w:ascii="宋体" w:hAnsi="宋体" w:eastAsia="仿宋_GB2312"/>
                <w:szCs w:val="24"/>
                <w:highlight w:val="none"/>
                <w:lang w:eastAsia="zh-CN"/>
              </w:rPr>
            </w:pPr>
            <w:r>
              <w:rPr>
                <w:rFonts w:hint="eastAsia" w:ascii="宋体" w:hAnsi="宋体"/>
                <w:szCs w:val="24"/>
                <w:highlight w:val="none"/>
                <w:lang w:val="en-US" w:eastAsia="zh-CN"/>
              </w:rPr>
              <w:t>6</w:t>
            </w:r>
            <w:r>
              <w:rPr>
                <w:rFonts w:ascii="宋体" w:hAnsi="宋体"/>
                <w:szCs w:val="24"/>
                <w:highlight w:val="none"/>
              </w:rPr>
              <w:t>.</w:t>
            </w:r>
            <w:r>
              <w:rPr>
                <w:rFonts w:hint="eastAsia" w:ascii="宋体" w:hAnsi="宋体"/>
                <w:szCs w:val="24"/>
                <w:highlight w:val="none"/>
              </w:rPr>
              <w:t>赎回款项于赎回</w:t>
            </w:r>
            <w:r>
              <w:rPr>
                <w:rFonts w:hint="eastAsia" w:ascii="宋体" w:hAnsi="宋体"/>
                <w:szCs w:val="24"/>
                <w:highlight w:val="none"/>
                <w:lang w:eastAsia="zh-CN"/>
              </w:rPr>
              <w:t>确认</w:t>
            </w:r>
            <w:r>
              <w:rPr>
                <w:rFonts w:hint="eastAsia" w:ascii="宋体" w:hAnsi="宋体"/>
                <w:szCs w:val="24"/>
                <w:highlight w:val="none"/>
              </w:rPr>
              <w:t>日后</w:t>
            </w:r>
            <w:r>
              <w:rPr>
                <w:rFonts w:hint="eastAsia" w:ascii="宋体" w:hAnsi="宋体"/>
                <w:szCs w:val="24"/>
                <w:highlight w:val="yellow"/>
              </w:rPr>
              <w:t>【】</w:t>
            </w:r>
            <w:r>
              <w:rPr>
                <w:rFonts w:hint="eastAsia" w:ascii="宋体" w:hAnsi="宋体"/>
                <w:szCs w:val="24"/>
                <w:highlight w:val="none"/>
              </w:rPr>
              <w:t>个</w:t>
            </w:r>
            <w:r>
              <w:rPr>
                <w:rFonts w:hint="eastAsia" w:ascii="宋体" w:hAnsi="宋体"/>
                <w:szCs w:val="24"/>
                <w:highlight w:val="yellow"/>
              </w:rPr>
              <w:t>【□工作日/</w:t>
            </w:r>
            <w:r>
              <w:rPr>
                <w:rFonts w:hint="eastAsia" w:ascii="宋体" w:hAnsi="宋体"/>
                <w:szCs w:val="24"/>
                <w:highlight w:val="yellow"/>
                <w:lang w:eastAsia="zh-CN"/>
              </w:rPr>
              <w:t>□</w:t>
            </w:r>
            <w:r>
              <w:rPr>
                <w:rFonts w:hint="eastAsia" w:ascii="宋体" w:hAnsi="宋体"/>
                <w:szCs w:val="24"/>
                <w:highlight w:val="yellow"/>
              </w:rPr>
              <w:t>交易日】</w:t>
            </w:r>
            <w:r>
              <w:rPr>
                <w:rFonts w:hint="eastAsia" w:ascii="宋体" w:hAnsi="宋体"/>
                <w:szCs w:val="24"/>
                <w:highlight w:val="none"/>
              </w:rPr>
              <w:t>内支付给投资者。</w:t>
            </w:r>
            <w:r>
              <w:rPr>
                <w:rFonts w:hint="eastAsia" w:ascii="宋体" w:hAnsi="宋体"/>
                <w:szCs w:val="24"/>
                <w:highlight w:val="yellow"/>
                <w:lang w:eastAsia="zh-CN"/>
              </w:rPr>
              <w:t>】</w:t>
            </w:r>
          </w:p>
          <w:p w14:paraId="761AD17C">
            <w:pPr>
              <w:snapToGrid w:val="0"/>
              <w:rPr>
                <w:rFonts w:ascii="宋体" w:hAnsi="宋体"/>
                <w:szCs w:val="24"/>
                <w:highlight w:val="none"/>
              </w:rPr>
            </w:pPr>
            <w:r>
              <w:rPr>
                <w:rFonts w:hint="eastAsia" w:ascii="宋体" w:hAnsi="宋体"/>
                <w:szCs w:val="24"/>
                <w:highlight w:val="none"/>
              </w:rPr>
              <w:t>★注：关于销售机构的实际工作服务时段的提示</w:t>
            </w:r>
          </w:p>
          <w:p w14:paraId="2D645C50">
            <w:pPr>
              <w:snapToGrid w:val="0"/>
              <w:rPr>
                <w:rFonts w:ascii="宋体" w:hAnsi="宋体"/>
                <w:szCs w:val="24"/>
              </w:rPr>
            </w:pPr>
            <w:r>
              <w:rPr>
                <w:rFonts w:hint="eastAsia" w:ascii="宋体" w:hAnsi="宋体"/>
                <w:szCs w:val="24"/>
                <w:highlight w:val="none"/>
              </w:rPr>
              <w:t>①为本产品办理相关交易的实际工作服务时段，因销售机构的不同可能存在差异（可</w:t>
            </w:r>
            <w:r>
              <w:rPr>
                <w:rFonts w:hint="eastAsia" w:ascii="宋体" w:hAnsi="宋体"/>
                <w:szCs w:val="24"/>
              </w:rPr>
              <w:t>能晚于销售文件约定的起始时点开始或早于销售文件约定的终止时点结束），投资者应当以销售机构的展示为准。</w:t>
            </w:r>
          </w:p>
          <w:p w14:paraId="3DAF3B44">
            <w:pPr>
              <w:snapToGrid w:val="0"/>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szCs w:val="24"/>
              </w:rPr>
              <w:t>②销售机构的实际工作服务时段，最早不得早于销售文件约定的起始时点、最晚不得晚于销售文件约定的终止时点。</w:t>
            </w:r>
          </w:p>
        </w:tc>
      </w:tr>
      <w:tr w14:paraId="0438C767">
        <w:tblPrEx>
          <w:tblCellMar>
            <w:top w:w="0" w:type="dxa"/>
            <w:left w:w="108" w:type="dxa"/>
            <w:bottom w:w="0" w:type="dxa"/>
            <w:right w:w="108" w:type="dxa"/>
          </w:tblCellMar>
        </w:tblPrEx>
        <w:trPr>
          <w:trHeight w:val="1180" w:hRule="atLeast"/>
        </w:trPr>
        <w:tc>
          <w:tcPr>
            <w:tcW w:w="2453" w:type="dxa"/>
            <w:tcBorders>
              <w:top w:val="single" w:color="auto" w:sz="4" w:space="0"/>
              <w:left w:val="single" w:color="auto" w:sz="4" w:space="0"/>
              <w:bottom w:val="single" w:color="auto" w:sz="4" w:space="0"/>
              <w:right w:val="single" w:color="auto" w:sz="4" w:space="0"/>
            </w:tcBorders>
            <w:vAlign w:val="center"/>
          </w:tcPr>
          <w:p w14:paraId="06C188E9">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巨额赎回</w:t>
            </w:r>
          </w:p>
        </w:tc>
        <w:tc>
          <w:tcPr>
            <w:tcW w:w="6972" w:type="dxa"/>
            <w:tcBorders>
              <w:top w:val="single" w:color="auto" w:sz="4" w:space="0"/>
              <w:left w:val="single" w:color="auto" w:sz="4" w:space="0"/>
              <w:bottom w:val="single" w:color="auto" w:sz="4" w:space="0"/>
              <w:right w:val="single" w:color="auto" w:sz="4" w:space="0"/>
            </w:tcBorders>
            <w:vAlign w:val="center"/>
          </w:tcPr>
          <w:p w14:paraId="31AC678F">
            <w:pPr>
              <w:snapToGrid w:val="0"/>
              <w:jc w:val="left"/>
              <w:rPr>
                <w:rFonts w:asciiTheme="minorEastAsia" w:hAnsiTheme="minorEastAsia"/>
                <w:b/>
                <w:color w:val="000000"/>
                <w:szCs w:val="24"/>
                <w:highlight w:val="none"/>
              </w:rPr>
            </w:pPr>
            <w:r>
              <w:rPr>
                <w:rFonts w:hint="eastAsia" w:ascii="仿宋_GB2312" w:hAnsi="宋体" w:cs="宋体"/>
                <w:b/>
                <w:bCs/>
                <w:kern w:val="0"/>
                <w:szCs w:val="24"/>
              </w:rPr>
              <w:t>单个开放日内</w:t>
            </w:r>
            <w:r>
              <w:rPr>
                <w:rFonts w:ascii="仿宋_GB2312" w:hAnsi="宋体" w:cs="宋体"/>
                <w:b/>
                <w:bCs/>
                <w:kern w:val="0"/>
                <w:szCs w:val="24"/>
              </w:rPr>
              <w:t>，</w:t>
            </w:r>
            <w:r>
              <w:rPr>
                <w:rFonts w:hint="eastAsia" w:ascii="仿宋_GB2312" w:hAnsi="宋体" w:cs="宋体"/>
                <w:b/>
                <w:bCs/>
                <w:kern w:val="0"/>
                <w:szCs w:val="24"/>
              </w:rPr>
              <w:t>产品净赎回申请（</w:t>
            </w:r>
            <w:r>
              <w:rPr>
                <w:rFonts w:ascii="仿宋_GB2312" w:hAnsi="宋体" w:cs="宋体"/>
                <w:b/>
                <w:bCs/>
                <w:kern w:val="0"/>
                <w:szCs w:val="24"/>
              </w:rPr>
              <w:t>赎回</w:t>
            </w:r>
            <w:r>
              <w:rPr>
                <w:rFonts w:hint="eastAsia" w:ascii="仿宋_GB2312" w:hAnsi="宋体" w:cs="宋体"/>
                <w:b/>
                <w:bCs/>
                <w:kern w:val="0"/>
                <w:szCs w:val="24"/>
              </w:rPr>
              <w:t>申请总份额扣除申购总份额后的余额</w:t>
            </w:r>
            <w:r>
              <w:rPr>
                <w:rFonts w:ascii="仿宋_GB2312" w:hAnsi="宋体" w:cs="宋体"/>
                <w:b/>
                <w:bCs/>
                <w:kern w:val="0"/>
                <w:szCs w:val="24"/>
              </w:rPr>
              <w:t>,下同）</w:t>
            </w:r>
            <w:r>
              <w:rPr>
                <w:rFonts w:hint="eastAsia" w:ascii="仿宋_GB2312" w:hAnsi="宋体" w:cs="宋体"/>
                <w:b/>
                <w:bCs/>
                <w:kern w:val="0"/>
                <w:szCs w:val="24"/>
              </w:rPr>
              <w:t>超过前一日终</w:t>
            </w:r>
            <w:r>
              <w:rPr>
                <w:rFonts w:hint="eastAsia" w:ascii="仿宋_GB2312" w:hAnsi="宋体" w:cs="宋体"/>
                <w:b/>
                <w:bCs/>
                <w:kern w:val="0"/>
                <w:szCs w:val="24"/>
                <w:highlight w:val="none"/>
              </w:rPr>
              <w:t>理财产品总份额的</w:t>
            </w:r>
            <w:r>
              <w:rPr>
                <w:rFonts w:hint="eastAsia" w:ascii="仿宋_GB2312" w:hAnsi="宋体" w:cs="宋体"/>
                <w:b/>
                <w:bCs/>
                <w:kern w:val="0"/>
                <w:szCs w:val="24"/>
                <w:highlight w:val="none"/>
                <w:lang w:eastAsia="zh-CN"/>
              </w:rPr>
              <w:t>【</w:t>
            </w:r>
            <w:r>
              <w:rPr>
                <w:rFonts w:ascii="仿宋_GB2312" w:hAnsi="宋体" w:cs="宋体"/>
                <w:b/>
                <w:bCs/>
                <w:kern w:val="0"/>
                <w:szCs w:val="24"/>
                <w:highlight w:val="none"/>
              </w:rPr>
              <w:t>10</w:t>
            </w:r>
            <w:r>
              <w:rPr>
                <w:rFonts w:hint="eastAsia" w:ascii="仿宋_GB2312" w:hAnsi="宋体" w:cs="宋体"/>
                <w:b/>
                <w:bCs/>
                <w:kern w:val="0"/>
                <w:szCs w:val="24"/>
                <w:highlight w:val="none"/>
              </w:rPr>
              <w:t>％</w:t>
            </w:r>
            <w:r>
              <w:rPr>
                <w:rFonts w:hint="eastAsia" w:ascii="仿宋_GB2312" w:hAnsi="宋体" w:cs="宋体"/>
                <w:b/>
                <w:bCs/>
                <w:kern w:val="0"/>
                <w:szCs w:val="24"/>
                <w:highlight w:val="none"/>
                <w:lang w:eastAsia="zh-CN"/>
              </w:rPr>
              <w:t>】</w:t>
            </w:r>
            <w:r>
              <w:rPr>
                <w:rFonts w:hint="eastAsia" w:asciiTheme="minorEastAsia" w:hAnsiTheme="minorEastAsia"/>
                <w:b/>
                <w:color w:val="000000"/>
                <w:szCs w:val="24"/>
                <w:highlight w:val="none"/>
              </w:rPr>
              <w:t>，即为发生巨额赎回。</w:t>
            </w:r>
          </w:p>
          <w:p w14:paraId="225C640C">
            <w:pPr>
              <w:snapToGrid w:val="0"/>
              <w:jc w:val="left"/>
              <w:rPr>
                <w:rFonts w:asciiTheme="minorEastAsia" w:hAnsiTheme="minorEastAsia"/>
                <w:b/>
                <w:color w:val="000000"/>
                <w:szCs w:val="24"/>
                <w:highlight w:val="none"/>
              </w:rPr>
            </w:pPr>
            <w:r>
              <w:rPr>
                <w:rFonts w:hint="eastAsia" w:asciiTheme="minorEastAsia" w:hAnsiTheme="minorEastAsia"/>
                <w:b/>
                <w:color w:val="000000"/>
                <w:szCs w:val="24"/>
                <w:highlight w:val="none"/>
              </w:rPr>
              <w:t>本理财产品在开放日发生巨额赎回时，管理人有权根据产品的实际运作情况采取如下措施中的一种：</w:t>
            </w:r>
          </w:p>
          <w:p w14:paraId="7AE79BEF">
            <w:pPr>
              <w:snapToGrid w:val="0"/>
              <w:jc w:val="left"/>
              <w:rPr>
                <w:rFonts w:asciiTheme="minorEastAsia" w:hAnsiTheme="minorEastAsia"/>
                <w:b/>
                <w:color w:val="000000"/>
                <w:szCs w:val="24"/>
                <w:highlight w:val="none"/>
              </w:rPr>
            </w:pPr>
            <w:r>
              <w:rPr>
                <w:rFonts w:asciiTheme="minorEastAsia" w:hAnsiTheme="minorEastAsia"/>
                <w:b/>
                <w:color w:val="000000"/>
                <w:szCs w:val="24"/>
                <w:highlight w:val="none"/>
              </w:rPr>
              <w:t>1.</w:t>
            </w:r>
            <w:r>
              <w:rPr>
                <w:rFonts w:hint="eastAsia" w:asciiTheme="minorEastAsia" w:hAnsiTheme="minorEastAsia"/>
                <w:b/>
                <w:color w:val="000000"/>
                <w:szCs w:val="24"/>
                <w:highlight w:val="none"/>
              </w:rPr>
              <w:t>接受全额赎回：当管理人认为有能力兑付投资者的全部赎回申请时，将在赎回确认日按正常赎回程序执行；</w:t>
            </w:r>
          </w:p>
          <w:p w14:paraId="24E311BA">
            <w:pPr>
              <w:snapToGrid w:val="0"/>
              <w:jc w:val="left"/>
              <w:rPr>
                <w:rFonts w:asciiTheme="minorEastAsia" w:hAnsiTheme="minorEastAsia"/>
                <w:b/>
                <w:color w:val="000000"/>
                <w:szCs w:val="24"/>
              </w:rPr>
            </w:pPr>
            <w:r>
              <w:rPr>
                <w:rFonts w:asciiTheme="minorEastAsia" w:hAnsiTheme="minorEastAsia"/>
                <w:b/>
                <w:color w:val="000000"/>
                <w:szCs w:val="24"/>
                <w:highlight w:val="none"/>
              </w:rPr>
              <w:t>2.</w:t>
            </w:r>
            <w:r>
              <w:rPr>
                <w:rFonts w:hint="eastAsia" w:asciiTheme="minorEastAsia" w:hAnsiTheme="minorEastAsia"/>
                <w:b/>
                <w:color w:val="000000"/>
                <w:szCs w:val="24"/>
                <w:highlight w:val="none"/>
              </w:rPr>
              <w:t>接受部分赎回：当管理人认为兑付投资者的赎回申请有困难，或认为兑付投资者的赎回申请可能会对本理财产品的资产净值造成较大波动时，在赎回确认日管理人办理的赎回份额将不低于前一日终理财产品总份额的</w:t>
            </w:r>
            <w:r>
              <w:rPr>
                <w:rFonts w:hint="eastAsia" w:ascii="仿宋_GB2312" w:hAnsi="宋体" w:cs="宋体"/>
                <w:b/>
                <w:bCs/>
                <w:kern w:val="0"/>
                <w:szCs w:val="24"/>
                <w:highlight w:val="none"/>
                <w:lang w:eastAsia="zh-CN"/>
              </w:rPr>
              <w:t>【</w:t>
            </w:r>
            <w:r>
              <w:rPr>
                <w:rFonts w:ascii="仿宋_GB2312" w:hAnsi="宋体" w:cs="宋体"/>
                <w:b/>
                <w:bCs/>
                <w:kern w:val="0"/>
                <w:szCs w:val="24"/>
                <w:highlight w:val="none"/>
              </w:rPr>
              <w:t>10</w:t>
            </w:r>
            <w:r>
              <w:rPr>
                <w:rFonts w:hint="eastAsia" w:ascii="仿宋_GB2312" w:hAnsi="宋体" w:cs="宋体"/>
                <w:b/>
                <w:bCs/>
                <w:kern w:val="0"/>
                <w:szCs w:val="24"/>
                <w:highlight w:val="none"/>
              </w:rPr>
              <w:t>％</w:t>
            </w:r>
            <w:r>
              <w:rPr>
                <w:rFonts w:hint="eastAsia" w:ascii="仿宋_GB2312" w:hAnsi="宋体" w:cs="宋体"/>
                <w:b/>
                <w:bCs/>
                <w:kern w:val="0"/>
                <w:szCs w:val="24"/>
                <w:highlight w:val="none"/>
                <w:lang w:eastAsia="zh-CN"/>
              </w:rPr>
              <w:t>】</w:t>
            </w:r>
            <w:r>
              <w:rPr>
                <w:rFonts w:hint="eastAsia" w:asciiTheme="minorEastAsia" w:hAnsiTheme="minorEastAsia"/>
                <w:b/>
                <w:color w:val="000000"/>
                <w:szCs w:val="24"/>
                <w:highlight w:val="none"/>
              </w:rPr>
              <w:t>，对于其余</w:t>
            </w:r>
            <w:r>
              <w:rPr>
                <w:rFonts w:hint="eastAsia" w:asciiTheme="minorEastAsia" w:hAnsiTheme="minorEastAsia"/>
                <w:b/>
                <w:color w:val="000000"/>
                <w:szCs w:val="24"/>
              </w:rPr>
              <w:t>赎回申请管理人可暂停接受或延期办理。</w:t>
            </w:r>
          </w:p>
          <w:p w14:paraId="1CFDE75D">
            <w:pPr>
              <w:snapToGrid w:val="0"/>
              <w:jc w:val="left"/>
              <w:rPr>
                <w:rFonts w:asciiTheme="minorEastAsia" w:hAnsiTheme="minorEastAsia"/>
                <w:b/>
                <w:color w:val="000000"/>
                <w:szCs w:val="24"/>
              </w:rPr>
            </w:pPr>
            <w:r>
              <w:rPr>
                <w:rFonts w:hint="eastAsia" w:asciiTheme="minorEastAsia" w:hAnsiTheme="minorEastAsia"/>
                <w:b/>
                <w:color w:val="000000"/>
                <w:szCs w:val="24"/>
              </w:rPr>
              <w:t>（</w:t>
            </w:r>
            <w:r>
              <w:rPr>
                <w:rFonts w:asciiTheme="minorEastAsia" w:hAnsiTheme="minorEastAsia"/>
                <w:b/>
                <w:color w:val="000000"/>
                <w:szCs w:val="24"/>
              </w:rPr>
              <w:t>1</w:t>
            </w:r>
            <w:r>
              <w:rPr>
                <w:rFonts w:hint="eastAsia" w:asciiTheme="minorEastAsia" w:hAnsiTheme="minorEastAsia"/>
                <w:b/>
                <w:color w:val="000000"/>
                <w:szCs w:val="24"/>
              </w:rPr>
              <w:t>）对于接受赎回申请的部分，管理人将按单个投资者的赎回申请份额占当日所有投资者的赎回申请总份额的比例，确认该投资者当日办理的赎回申请份额。</w:t>
            </w:r>
          </w:p>
          <w:p w14:paraId="4A6E9AAD">
            <w:pPr>
              <w:snapToGrid w:val="0"/>
              <w:jc w:val="left"/>
              <w:rPr>
                <w:rFonts w:asciiTheme="minorEastAsia" w:hAnsiTheme="minorEastAsia"/>
                <w:b/>
                <w:color w:val="000000"/>
                <w:szCs w:val="24"/>
              </w:rPr>
            </w:pPr>
            <w:r>
              <w:rPr>
                <w:rFonts w:hint="eastAsia" w:asciiTheme="minorEastAsia" w:hAnsiTheme="minorEastAsia"/>
                <w:b/>
                <w:color w:val="000000"/>
                <w:szCs w:val="24"/>
              </w:rPr>
              <w:t>（</w:t>
            </w:r>
            <w:r>
              <w:rPr>
                <w:rFonts w:asciiTheme="minorEastAsia" w:hAnsiTheme="minorEastAsia"/>
                <w:b/>
                <w:color w:val="000000"/>
                <w:szCs w:val="24"/>
              </w:rPr>
              <w:t>2</w:t>
            </w:r>
            <w:r>
              <w:rPr>
                <w:rFonts w:hint="eastAsia" w:asciiTheme="minorEastAsia" w:hAnsiTheme="minorEastAsia"/>
                <w:b/>
                <w:color w:val="000000"/>
                <w:szCs w:val="24"/>
              </w:rPr>
              <w:t>）对于暂停接受的部分，管理人将拒绝该部分赎回申请，投资者可在下一个产品开放日再次发起赎回申请。</w:t>
            </w:r>
          </w:p>
          <w:p w14:paraId="1E50B3B5">
            <w:pPr>
              <w:keepNext w:val="0"/>
              <w:keepLines w:val="0"/>
              <w:widowControl/>
              <w:numPr>
                <w:ilvl w:val="-1"/>
                <w:numId w:val="0"/>
              </w:numPr>
              <w:suppressLineNumbers w:val="0"/>
              <w:spacing w:line="400" w:lineRule="exact"/>
              <w:jc w:val="left"/>
              <w:textAlignment w:val="center"/>
              <w:rPr>
                <w:rFonts w:hint="eastAsia" w:ascii="宋体" w:hAnsi="宋体"/>
                <w:b/>
                <w:bCs w:val="0"/>
                <w:color w:val="auto"/>
                <w:szCs w:val="24"/>
                <w:highlight w:val="none"/>
                <w:u w:val="none"/>
              </w:rPr>
            </w:pPr>
            <w:r>
              <w:rPr>
                <w:rFonts w:hint="eastAsia" w:asciiTheme="minorEastAsia" w:hAnsiTheme="minorEastAsia"/>
                <w:b/>
                <w:color w:val="000000"/>
                <w:szCs w:val="24"/>
              </w:rPr>
              <w:t>（</w:t>
            </w:r>
            <w:r>
              <w:rPr>
                <w:rFonts w:asciiTheme="minorEastAsia" w:hAnsiTheme="minorEastAsia"/>
                <w:b/>
                <w:color w:val="000000"/>
                <w:szCs w:val="24"/>
              </w:rPr>
              <w:t>3</w:t>
            </w:r>
            <w:r>
              <w:rPr>
                <w:rFonts w:hint="eastAsia" w:asciiTheme="minorEastAsia" w:hAnsiTheme="minorEastAsia"/>
                <w:b/>
                <w:color w:val="000000"/>
                <w:szCs w:val="24"/>
              </w:rPr>
              <w:t>）对于延期办理的部分，管理人将在下一个产品开放日自动为投资者发起该部分的赎回，延期赎回的申请与下一个</w:t>
            </w:r>
            <w:r>
              <w:rPr>
                <w:rFonts w:hint="eastAsia" w:asciiTheme="minorEastAsia" w:hAnsiTheme="minorEastAsia"/>
                <w:b/>
                <w:color w:val="000000"/>
                <w:szCs w:val="24"/>
                <w:highlight w:val="yellow"/>
                <w:lang w:eastAsia="zh-CN"/>
              </w:rPr>
              <w:t>【</w:t>
            </w:r>
            <w:r>
              <w:rPr>
                <w:rFonts w:hint="eastAsia" w:asciiTheme="minorEastAsia" w:hAnsiTheme="minorEastAsia"/>
                <w:b/>
                <w:color w:val="000000"/>
                <w:szCs w:val="24"/>
                <w:highlight w:val="none"/>
              </w:rPr>
              <w:t>交易日</w:t>
            </w:r>
            <w:r>
              <w:rPr>
                <w:rFonts w:hint="eastAsia" w:asciiTheme="minorEastAsia" w:hAnsiTheme="minorEastAsia"/>
                <w:b/>
                <w:color w:val="000000"/>
                <w:szCs w:val="24"/>
                <w:highlight w:val="yellow"/>
                <w:lang w:eastAsia="zh-CN"/>
              </w:rPr>
              <w:t>】</w:t>
            </w:r>
            <w:r>
              <w:rPr>
                <w:rFonts w:hint="eastAsia" w:asciiTheme="minorEastAsia" w:hAnsiTheme="minorEastAsia"/>
                <w:b/>
                <w:color w:val="000000"/>
                <w:szCs w:val="24"/>
              </w:rPr>
              <w:t>赎回申请一并处理，不享有优先确认权，且赎回净值为下一个产品开放日的净值，直至该部分全部被确认。在延期办理的部分全部被确认前，投资者不可撤销该部分的赎回申请。本理财产品发生巨额赎回、管理人接受部分赎回时，对于暂停接受和延期办理的部分，管理人可能需在下一个申购或赎回开放日才可确认，可能影响投资者的资金安排。根据不同销售机构提供的服务，投资者可以在申请赎回时选择在触发巨额赎回情形下将当日未获办理部分取消或者顺延。投资者选择取消的，未获办理部分管理人将参考“</w:t>
            </w:r>
            <w:r>
              <w:rPr>
                <w:rFonts w:asciiTheme="minorEastAsia" w:hAnsiTheme="minorEastAsia"/>
                <w:b/>
                <w:color w:val="000000"/>
                <w:szCs w:val="24"/>
              </w:rPr>
              <w:t>2.</w:t>
            </w:r>
            <w:r>
              <w:rPr>
                <w:rFonts w:hint="eastAsia" w:asciiTheme="minorEastAsia" w:hAnsiTheme="minorEastAsia"/>
                <w:b/>
                <w:color w:val="000000"/>
                <w:szCs w:val="24"/>
              </w:rPr>
              <w:t>接受部分赎回（</w:t>
            </w:r>
            <w:r>
              <w:rPr>
                <w:rFonts w:asciiTheme="minorEastAsia" w:hAnsiTheme="minorEastAsia"/>
                <w:b/>
                <w:color w:val="000000"/>
                <w:szCs w:val="24"/>
              </w:rPr>
              <w:t>2</w:t>
            </w:r>
            <w:r>
              <w:rPr>
                <w:rFonts w:hint="eastAsia" w:asciiTheme="minorEastAsia" w:hAnsiTheme="minorEastAsia"/>
                <w:b/>
                <w:color w:val="000000"/>
                <w:szCs w:val="24"/>
              </w:rPr>
              <w:t>）对于暂停接受的部分”采取措施；投资者选择顺延的，顺延部分管理人将参考“</w:t>
            </w:r>
            <w:r>
              <w:rPr>
                <w:rFonts w:asciiTheme="minorEastAsia" w:hAnsiTheme="minorEastAsia"/>
                <w:b/>
                <w:color w:val="000000"/>
                <w:szCs w:val="24"/>
              </w:rPr>
              <w:t>2.</w:t>
            </w:r>
            <w:r>
              <w:rPr>
                <w:rFonts w:hint="eastAsia" w:asciiTheme="minorEastAsia" w:hAnsiTheme="minorEastAsia"/>
                <w:b/>
                <w:color w:val="000000"/>
                <w:szCs w:val="24"/>
              </w:rPr>
              <w:t>接受部分赎回（</w:t>
            </w:r>
            <w:r>
              <w:rPr>
                <w:rFonts w:asciiTheme="minorEastAsia" w:hAnsiTheme="minorEastAsia"/>
                <w:b/>
                <w:color w:val="000000"/>
                <w:szCs w:val="24"/>
              </w:rPr>
              <w:t>3</w:t>
            </w:r>
            <w:r>
              <w:rPr>
                <w:rFonts w:hint="eastAsia" w:asciiTheme="minorEastAsia" w:hAnsiTheme="minorEastAsia"/>
                <w:b/>
                <w:color w:val="000000"/>
                <w:szCs w:val="24"/>
              </w:rPr>
              <w:t>）对于延期办理的部分”采取措施。具体服务投资者可详询销售机构，最终以销售机构提供的服务为准。</w:t>
            </w:r>
            <w:r>
              <w:rPr>
                <w:rFonts w:hint="eastAsia" w:ascii="宋体" w:hAnsi="宋体" w:cstheme="minorBidi"/>
                <w:b/>
                <w:bCs w:val="0"/>
                <w:color w:val="auto"/>
                <w:kern w:val="2"/>
                <w:sz w:val="24"/>
                <w:szCs w:val="24"/>
                <w:highlight w:val="none"/>
                <w:u w:val="none"/>
                <w:lang w:val="en-US" w:eastAsia="zh-CN" w:bidi="ar"/>
              </w:rPr>
              <w:t>3.</w:t>
            </w:r>
            <w:r>
              <w:rPr>
                <w:rFonts w:hint="eastAsia" w:ascii="宋体" w:hAnsi="宋体" w:eastAsia="仿宋_GB2312" w:cstheme="minorBidi"/>
                <w:b/>
                <w:bCs w:val="0"/>
                <w:color w:val="auto"/>
                <w:kern w:val="2"/>
                <w:sz w:val="24"/>
                <w:szCs w:val="24"/>
                <w:highlight w:val="none"/>
                <w:u w:val="none"/>
                <w:lang w:val="en-US" w:eastAsia="zh-CN" w:bidi="ar"/>
              </w:rPr>
              <w:t>收取短期赎回费：产品发生巨额赎回或产品管理人认为可能会导致产品流动性风险的其他情形下，产品管理人可向连续持有少于7日的开放式理财产品投资者收取短期赎回费，并将上述短期赎回费全额计入理财产品财产。产品管理人将在收取短期赎回费后3个</w:t>
            </w:r>
            <w:r>
              <w:rPr>
                <w:rFonts w:hint="eastAsia" w:ascii="宋体" w:hAnsi="宋体" w:cstheme="minorBidi"/>
                <w:b/>
                <w:bCs w:val="0"/>
                <w:color w:val="auto"/>
                <w:kern w:val="2"/>
                <w:sz w:val="24"/>
                <w:szCs w:val="24"/>
                <w:highlight w:val="none"/>
                <w:u w:val="none"/>
                <w:lang w:val="en-US" w:eastAsia="zh-CN" w:bidi="ar"/>
              </w:rPr>
              <w:t>交易日</w:t>
            </w:r>
            <w:r>
              <w:rPr>
                <w:rFonts w:hint="eastAsia" w:ascii="宋体" w:hAnsi="宋体" w:eastAsia="仿宋_GB2312" w:cstheme="minorBidi"/>
                <w:b/>
                <w:bCs w:val="0"/>
                <w:color w:val="auto"/>
                <w:kern w:val="2"/>
                <w:sz w:val="24"/>
                <w:szCs w:val="24"/>
                <w:highlight w:val="none"/>
                <w:u w:val="none"/>
                <w:lang w:val="en-US" w:eastAsia="zh-CN" w:bidi="ar"/>
              </w:rPr>
              <w:t>内通过公告的形式向相关投资者披露短期赎回费率、费用计算方式、收费方式等信息。</w:t>
            </w:r>
          </w:p>
          <w:p w14:paraId="01EB8BE8">
            <w:pPr>
              <w:widowControl/>
              <w:spacing w:line="400" w:lineRule="exact"/>
              <w:jc w:val="left"/>
              <w:textAlignment w:val="center"/>
              <w:rPr>
                <w:rFonts w:hint="eastAsia" w:asciiTheme="minorEastAsia" w:hAnsiTheme="minorEastAsia"/>
                <w:b/>
                <w:color w:val="auto"/>
                <w:szCs w:val="24"/>
                <w:highlight w:val="none"/>
                <w:u w:val="none"/>
              </w:rPr>
            </w:pPr>
          </w:p>
          <w:p w14:paraId="45FDFCFE">
            <w:pPr>
              <w:widowControl/>
              <w:spacing w:line="400" w:lineRule="exact"/>
              <w:jc w:val="left"/>
              <w:textAlignment w:val="center"/>
              <w:rPr>
                <w:rFonts w:hint="eastAsia"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当本理财产品连续</w:t>
            </w:r>
            <w:r>
              <w:rPr>
                <w:rFonts w:ascii="仿宋_GB2312" w:hAnsi="宋体" w:cs="宋体"/>
                <w:b/>
                <w:bCs/>
                <w:color w:val="auto"/>
                <w:kern w:val="0"/>
                <w:szCs w:val="24"/>
                <w:highlight w:val="none"/>
                <w:u w:val="none"/>
              </w:rPr>
              <w:t>2</w:t>
            </w:r>
            <w:r>
              <w:rPr>
                <w:rFonts w:hint="eastAsia" w:ascii="仿宋_GB2312" w:hAnsi="宋体" w:cs="宋体"/>
                <w:b/>
                <w:bCs/>
                <w:color w:val="auto"/>
                <w:kern w:val="0"/>
                <w:szCs w:val="24"/>
                <w:highlight w:val="none"/>
                <w:u w:val="none"/>
              </w:rPr>
              <w:t>个以上开放日发生巨额赎回时，除采取上述措施外，对于已经接受的赎回申请，管理人有权延缓支付赎回款项，但延缓期限不得超过</w:t>
            </w:r>
            <w:r>
              <w:rPr>
                <w:rFonts w:ascii="仿宋_GB2312" w:hAnsi="宋体" w:cs="宋体"/>
                <w:b/>
                <w:bCs/>
                <w:color w:val="auto"/>
                <w:kern w:val="0"/>
                <w:szCs w:val="24"/>
                <w:highlight w:val="none"/>
                <w:u w:val="none"/>
              </w:rPr>
              <w:t>20</w:t>
            </w:r>
            <w:r>
              <w:rPr>
                <w:rFonts w:hint="eastAsia" w:ascii="仿宋_GB2312" w:hAnsi="宋体" w:cs="宋体"/>
                <w:b/>
                <w:bCs/>
                <w:color w:val="auto"/>
                <w:kern w:val="0"/>
                <w:szCs w:val="24"/>
                <w:highlight w:val="none"/>
                <w:u w:val="none"/>
              </w:rPr>
              <w:t>个工作日。</w:t>
            </w:r>
          </w:p>
        </w:tc>
      </w:tr>
      <w:tr w14:paraId="504A8188">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57496C4">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Theme="minorEastAsia" w:hAnsiTheme="minorEastAsia"/>
                <w:color w:val="000000"/>
                <w:kern w:val="0"/>
                <w:szCs w:val="24"/>
              </w:rPr>
              <w:t>撤销规则</w:t>
            </w:r>
          </w:p>
        </w:tc>
        <w:tc>
          <w:tcPr>
            <w:tcW w:w="6972" w:type="dxa"/>
            <w:tcBorders>
              <w:top w:val="single" w:color="auto" w:sz="4" w:space="0"/>
              <w:left w:val="single" w:color="auto" w:sz="4" w:space="0"/>
              <w:bottom w:val="single" w:color="auto" w:sz="4" w:space="0"/>
              <w:right w:val="single" w:color="auto" w:sz="4" w:space="0"/>
            </w:tcBorders>
            <w:vAlign w:val="center"/>
          </w:tcPr>
          <w:p w14:paraId="60D27687">
            <w:pPr>
              <w:snapToGrid w:val="0"/>
              <w:jc w:val="left"/>
              <w:rPr>
                <w:rFonts w:asciiTheme="minorEastAsia" w:hAnsiTheme="minorEastAsia"/>
                <w:color w:val="000000"/>
                <w:szCs w:val="24"/>
              </w:rPr>
            </w:pPr>
            <w:r>
              <w:rPr>
                <w:rFonts w:hint="eastAsia" w:asciiTheme="minorEastAsia" w:hAnsiTheme="minorEastAsia"/>
                <w:color w:val="000000"/>
                <w:szCs w:val="24"/>
              </w:rPr>
              <w:t>1.投资者可在本理财产品募集期结束前撤销已成功提交的产品认购申请；</w:t>
            </w:r>
          </w:p>
          <w:p w14:paraId="23787ABD">
            <w:pPr>
              <w:snapToGrid w:val="0"/>
              <w:jc w:val="left"/>
              <w:rPr>
                <w:rFonts w:asciiTheme="minorEastAsia" w:hAnsiTheme="minorEastAsia"/>
                <w:color w:val="000000"/>
                <w:szCs w:val="24"/>
              </w:rPr>
            </w:pPr>
            <w:r>
              <w:rPr>
                <w:rFonts w:hint="eastAsia" w:asciiTheme="minorEastAsia" w:hAnsiTheme="minorEastAsia"/>
                <w:color w:val="000000"/>
                <w:szCs w:val="24"/>
              </w:rPr>
              <w:t>2.投资者可</w:t>
            </w:r>
            <w:r>
              <w:rPr>
                <w:rFonts w:hint="eastAsia" w:asciiTheme="minorEastAsia" w:hAnsiTheme="minorEastAsia"/>
                <w:b/>
                <w:color w:val="000000"/>
                <w:szCs w:val="24"/>
              </w:rPr>
              <w:t>在任一开放日</w:t>
            </w:r>
            <w:r>
              <w:rPr>
                <w:rFonts w:hint="eastAsia" w:asciiTheme="minorEastAsia" w:hAnsiTheme="minorEastAsia"/>
                <w:b/>
                <w:color w:val="000000"/>
                <w:szCs w:val="24"/>
                <w:highlight w:val="yellow"/>
                <w:lang w:eastAsia="zh-CN"/>
              </w:rPr>
              <w:t>【</w:t>
            </w:r>
            <w:r>
              <w:rPr>
                <w:rFonts w:hint="eastAsia" w:ascii="宋体" w:hAnsi="宋体"/>
                <w:szCs w:val="24"/>
                <w:highlight w:val="none"/>
                <w:lang w:val="en-US" w:eastAsia="zh-CN"/>
              </w:rPr>
              <w:t>XX:XX</w:t>
            </w:r>
            <w:r>
              <w:rPr>
                <w:rFonts w:hint="eastAsia" w:asciiTheme="minorEastAsia" w:hAnsiTheme="minorEastAsia"/>
                <w:b/>
                <w:color w:val="000000"/>
                <w:szCs w:val="24"/>
                <w:highlight w:val="yellow"/>
                <w:lang w:eastAsia="zh-CN"/>
              </w:rPr>
              <w:t>】</w:t>
            </w:r>
            <w:r>
              <w:rPr>
                <w:rFonts w:hint="eastAsia" w:asciiTheme="minorEastAsia" w:hAnsiTheme="minorEastAsia"/>
                <w:b/>
                <w:color w:val="000000"/>
                <w:szCs w:val="24"/>
              </w:rPr>
              <w:t>前（含）撤销已成功提交的理财产品申购、赎回申请，</w:t>
            </w:r>
            <w:r>
              <w:rPr>
                <w:rFonts w:hint="eastAsia" w:asciiTheme="minorEastAsia" w:hAnsiTheme="minorEastAsia"/>
                <w:b/>
                <w:color w:val="000000"/>
                <w:szCs w:val="24"/>
                <w:highlight w:val="yellow"/>
                <w:lang w:eastAsia="zh-CN"/>
              </w:rPr>
              <w:t>【</w:t>
            </w:r>
            <w:r>
              <w:rPr>
                <w:rFonts w:hint="eastAsia" w:ascii="宋体" w:hAnsi="宋体"/>
                <w:szCs w:val="24"/>
                <w:highlight w:val="none"/>
                <w:lang w:val="en-US" w:eastAsia="zh-CN"/>
              </w:rPr>
              <w:t>XX:XX</w:t>
            </w:r>
            <w:r>
              <w:rPr>
                <w:rFonts w:hint="eastAsia" w:asciiTheme="minorEastAsia" w:hAnsiTheme="minorEastAsia"/>
                <w:b/>
                <w:color w:val="000000"/>
                <w:szCs w:val="24"/>
                <w:highlight w:val="yellow"/>
                <w:lang w:eastAsia="zh-CN"/>
              </w:rPr>
              <w:t>】</w:t>
            </w:r>
            <w:r>
              <w:rPr>
                <w:rFonts w:hint="eastAsia" w:asciiTheme="minorEastAsia" w:hAnsiTheme="minorEastAsia"/>
                <w:b/>
                <w:color w:val="000000"/>
                <w:szCs w:val="24"/>
              </w:rPr>
              <w:t>后不可撤销</w:t>
            </w:r>
            <w:r>
              <w:rPr>
                <w:rFonts w:hint="eastAsia" w:asciiTheme="minorEastAsia" w:hAnsiTheme="minorEastAsia"/>
                <w:color w:val="000000"/>
                <w:szCs w:val="24"/>
              </w:rPr>
              <w:t>；</w:t>
            </w:r>
          </w:p>
          <w:p w14:paraId="56B598D7">
            <w:pPr>
              <w:snapToGrid w:val="0"/>
              <w:jc w:val="left"/>
              <w:rPr>
                <w:rFonts w:hint="eastAsia" w:ascii="仿宋" w:hAnsi="仿宋" w:eastAsia="仿宋" w:cs="宋体"/>
                <w:bCs/>
                <w:color w:val="000000" w:themeColor="text1"/>
                <w:kern w:val="0"/>
                <w:sz w:val="24"/>
                <w:lang w:bidi="ar"/>
                <w14:textFill>
                  <w14:solidFill>
                    <w14:schemeClr w14:val="tx1"/>
                  </w14:solidFill>
                </w14:textFill>
              </w:rPr>
            </w:pPr>
            <w:r>
              <w:rPr>
                <w:rFonts w:hint="eastAsia" w:asciiTheme="minorEastAsia" w:hAnsiTheme="minorEastAsia"/>
                <w:color w:val="000000"/>
                <w:szCs w:val="24"/>
              </w:rPr>
              <w:t>3.</w:t>
            </w:r>
            <w:r>
              <w:rPr>
                <w:rFonts w:hint="eastAsia"/>
                <w:b/>
                <w:szCs w:val="24"/>
              </w:rPr>
              <w:t>销售机构实际受理撤销申请时间可能与说明书不一致，具体以销售机构展示为准。</w:t>
            </w:r>
          </w:p>
        </w:tc>
      </w:tr>
      <w:tr w14:paraId="1A39B039">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FF3E883">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bCs/>
                <w:color w:val="auto"/>
                <w:szCs w:val="24"/>
                <w:highlight w:val="none"/>
                <w:u w:val="none"/>
              </w:rPr>
              <w:t>认/申购数量</w:t>
            </w:r>
            <w:r>
              <w:rPr>
                <w:rFonts w:ascii="宋体" w:hAnsi="宋体"/>
                <w:bCs/>
                <w:color w:val="auto"/>
                <w:szCs w:val="24"/>
                <w:highlight w:val="none"/>
                <w:u w:val="none"/>
              </w:rPr>
              <w:t>限制</w:t>
            </w:r>
          </w:p>
        </w:tc>
        <w:tc>
          <w:tcPr>
            <w:tcW w:w="6972" w:type="dxa"/>
            <w:tcBorders>
              <w:top w:val="single" w:color="auto" w:sz="4" w:space="0"/>
              <w:left w:val="single" w:color="auto" w:sz="4" w:space="0"/>
              <w:bottom w:val="single" w:color="auto" w:sz="4" w:space="0"/>
              <w:right w:val="single" w:color="auto" w:sz="4" w:space="0"/>
            </w:tcBorders>
            <w:vAlign w:val="center"/>
          </w:tcPr>
          <w:p w14:paraId="0EB9BC04">
            <w:pPr>
              <w:widowControl/>
              <w:numPr>
                <w:ilvl w:val="0"/>
                <w:numId w:val="6"/>
              </w:numPr>
              <w:jc w:val="left"/>
              <w:rPr>
                <w:rFonts w:asciiTheme="minorEastAsia" w:hAnsiTheme="minorEastAsia"/>
                <w:color w:val="auto"/>
                <w:szCs w:val="24"/>
                <w:highlight w:val="none"/>
                <w:u w:val="none"/>
              </w:rPr>
            </w:pPr>
            <w:r>
              <w:rPr>
                <w:rFonts w:hint="eastAsia" w:ascii="宋体" w:hAnsi="宋体"/>
                <w:bCs/>
                <w:color w:val="auto"/>
                <w:szCs w:val="24"/>
                <w:highlight w:val="yellow"/>
                <w:u w:val="none"/>
                <w:lang w:val="en-US" w:eastAsia="zh-CN"/>
              </w:rPr>
              <w:t>【A类份额】</w:t>
            </w:r>
            <w:r>
              <w:rPr>
                <w:rFonts w:hint="eastAsia" w:ascii="宋体" w:hAnsi="宋体"/>
                <w:bCs/>
                <w:color w:val="auto"/>
                <w:szCs w:val="24"/>
                <w:highlight w:val="none"/>
                <w:u w:val="none"/>
                <w:lang w:val="en-US" w:eastAsia="zh-CN"/>
              </w:rPr>
              <w:t>：</w:t>
            </w:r>
            <w:r>
              <w:rPr>
                <w:rFonts w:hint="eastAsia" w:ascii="宋体" w:hAnsi="宋体"/>
                <w:bCs/>
                <w:color w:val="auto"/>
                <w:szCs w:val="24"/>
                <w:highlight w:val="yellow"/>
                <w:u w:val="none"/>
                <w:lang w:val="en-US" w:eastAsia="zh-CN"/>
              </w:rPr>
              <w:t>【</w:t>
            </w:r>
            <w:r>
              <w:rPr>
                <w:rFonts w:hint="eastAsia" w:ascii="宋体" w:hAnsi="宋体"/>
                <w:bCs/>
                <w:color w:val="auto"/>
                <w:szCs w:val="24"/>
                <w:highlight w:val="yellow"/>
                <w:u w:val="none"/>
                <w:lang w:eastAsia="zh-CN"/>
              </w:rPr>
              <w:t>单一</w:t>
            </w:r>
            <w:r>
              <w:rPr>
                <w:rFonts w:hint="eastAsia" w:ascii="宋体" w:hAnsi="宋体"/>
                <w:bCs/>
                <w:color w:val="auto"/>
                <w:szCs w:val="24"/>
                <w:highlight w:val="yellow"/>
                <w:u w:val="none"/>
                <w:lang w:val="en-US" w:eastAsia="zh-CN"/>
              </w:rPr>
              <w:t>/个人/机构</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投资者认购上限为</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万元。</w:t>
            </w:r>
            <w:r>
              <w:rPr>
                <w:rFonts w:hint="eastAsia" w:ascii="宋体" w:hAnsi="宋体"/>
                <w:bCs/>
                <w:color w:val="auto"/>
                <w:szCs w:val="24"/>
                <w:highlight w:val="none"/>
                <w:u w:val="none"/>
                <w:lang w:val="en-US" w:eastAsia="zh-CN"/>
              </w:rPr>
              <w:t>【</w:t>
            </w:r>
            <w:r>
              <w:rPr>
                <w:rFonts w:hint="eastAsia" w:ascii="宋体" w:hAnsi="宋体"/>
                <w:bCs/>
                <w:color w:val="auto"/>
                <w:szCs w:val="24"/>
                <w:highlight w:val="none"/>
                <w:u w:val="none"/>
                <w:lang w:eastAsia="zh-CN"/>
              </w:rPr>
              <w:t>单一】</w:t>
            </w:r>
            <w:r>
              <w:rPr>
                <w:rFonts w:hint="eastAsia" w:ascii="宋体" w:hAnsi="宋体"/>
                <w:bCs/>
                <w:color w:val="auto"/>
                <w:szCs w:val="24"/>
                <w:highlight w:val="none"/>
                <w:u w:val="none"/>
              </w:rPr>
              <w:t>投资者申购上限为</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万元，在产品运作过程中因收益分配、净值波动等被动超上限的情形除外。</w:t>
            </w:r>
          </w:p>
          <w:p w14:paraId="4ACF3536">
            <w:pPr>
              <w:widowControl/>
              <w:numPr>
                <w:ilvl w:val="0"/>
                <w:numId w:val="6"/>
              </w:numPr>
              <w:jc w:val="left"/>
              <w:rPr>
                <w:rFonts w:asciiTheme="minorEastAsia" w:hAnsiTheme="minorEastAsia"/>
                <w:color w:val="auto"/>
                <w:szCs w:val="24"/>
                <w:highlight w:val="none"/>
                <w:u w:val="none"/>
              </w:rPr>
            </w:pPr>
            <w:r>
              <w:rPr>
                <w:rFonts w:hint="eastAsia" w:ascii="宋体" w:hAnsi="宋体"/>
                <w:bCs/>
                <w:color w:val="auto"/>
                <w:szCs w:val="24"/>
                <w:highlight w:val="yellow"/>
                <w:u w:val="none"/>
                <w:lang w:val="en-US" w:eastAsia="zh-CN"/>
              </w:rPr>
              <w:t>【B类份额】</w:t>
            </w:r>
            <w:r>
              <w:rPr>
                <w:rFonts w:hint="eastAsia" w:asciiTheme="minorEastAsia" w:hAnsiTheme="minorEastAsia"/>
                <w:color w:val="auto"/>
                <w:szCs w:val="24"/>
                <w:highlight w:val="none"/>
                <w:u w:val="none"/>
                <w:lang w:val="en-US" w:eastAsia="zh-CN"/>
              </w:rPr>
              <w:t>：</w:t>
            </w:r>
            <w:r>
              <w:rPr>
                <w:rFonts w:hint="eastAsia" w:ascii="宋体" w:hAnsi="宋体"/>
                <w:bCs/>
                <w:color w:val="auto"/>
                <w:szCs w:val="24"/>
                <w:highlight w:val="yellow"/>
                <w:u w:val="none"/>
                <w:lang w:val="en-US" w:eastAsia="zh-CN"/>
              </w:rPr>
              <w:t>【</w:t>
            </w:r>
            <w:r>
              <w:rPr>
                <w:rFonts w:hint="eastAsia" w:ascii="宋体" w:hAnsi="宋体"/>
                <w:bCs/>
                <w:color w:val="auto"/>
                <w:szCs w:val="24"/>
                <w:highlight w:val="yellow"/>
                <w:u w:val="none"/>
                <w:lang w:eastAsia="zh-CN"/>
              </w:rPr>
              <w:t>单一</w:t>
            </w:r>
            <w:r>
              <w:rPr>
                <w:rFonts w:hint="eastAsia" w:ascii="宋体" w:hAnsi="宋体"/>
                <w:bCs/>
                <w:color w:val="auto"/>
                <w:szCs w:val="24"/>
                <w:highlight w:val="yellow"/>
                <w:u w:val="none"/>
                <w:lang w:val="en-US" w:eastAsia="zh-CN"/>
              </w:rPr>
              <w:t>/个人/机构</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投投资者认购上限为</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万元。</w:t>
            </w:r>
            <w:r>
              <w:rPr>
                <w:rFonts w:hint="eastAsia" w:ascii="宋体" w:hAnsi="宋体"/>
                <w:bCs/>
                <w:color w:val="auto"/>
                <w:szCs w:val="24"/>
                <w:highlight w:val="yellow"/>
                <w:u w:val="none"/>
                <w:lang w:val="en-US" w:eastAsia="zh-CN"/>
              </w:rPr>
              <w:t>【</w:t>
            </w:r>
            <w:r>
              <w:rPr>
                <w:rFonts w:hint="eastAsia" w:ascii="宋体" w:hAnsi="宋体"/>
                <w:bCs/>
                <w:color w:val="auto"/>
                <w:szCs w:val="24"/>
                <w:highlight w:val="yellow"/>
                <w:u w:val="none"/>
                <w:lang w:eastAsia="zh-CN"/>
              </w:rPr>
              <w:t>单一</w:t>
            </w:r>
            <w:r>
              <w:rPr>
                <w:rFonts w:hint="eastAsia" w:ascii="宋体" w:hAnsi="宋体"/>
                <w:bCs/>
                <w:color w:val="auto"/>
                <w:szCs w:val="24"/>
                <w:highlight w:val="yellow"/>
                <w:u w:val="none"/>
                <w:lang w:val="en-US" w:eastAsia="zh-CN"/>
              </w:rPr>
              <w:t>/个人/机构</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投资者申购上限为</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万元，在产品运作过程中因收益分配、净值波动等被动超上限的情形除外。</w:t>
            </w:r>
          </w:p>
          <w:p w14:paraId="0588772A">
            <w:pPr>
              <w:widowControl/>
              <w:numPr>
                <w:ilvl w:val="0"/>
                <w:numId w:val="6"/>
              </w:numPr>
              <w:jc w:val="left"/>
              <w:rPr>
                <w:rFonts w:asciiTheme="minorEastAsia" w:hAnsiTheme="minorEastAsia"/>
                <w:color w:val="auto"/>
                <w:szCs w:val="24"/>
                <w:highlight w:val="none"/>
                <w:u w:val="none"/>
              </w:rPr>
            </w:pPr>
            <w:r>
              <w:rPr>
                <w:rFonts w:hint="eastAsia" w:ascii="宋体" w:hAnsi="宋体"/>
                <w:bCs/>
                <w:color w:val="auto"/>
                <w:szCs w:val="24"/>
                <w:highlight w:val="none"/>
                <w:u w:val="none"/>
              </w:rPr>
              <w:t>如果</w:t>
            </w:r>
            <w:r>
              <w:rPr>
                <w:rFonts w:ascii="宋体" w:hAnsi="宋体"/>
                <w:bCs/>
                <w:color w:val="auto"/>
                <w:szCs w:val="24"/>
                <w:highlight w:val="none"/>
                <w:u w:val="none"/>
              </w:rPr>
              <w:t>单一投资者</w:t>
            </w:r>
            <w:r>
              <w:rPr>
                <w:rFonts w:hint="eastAsia" w:ascii="宋体" w:hAnsi="宋体"/>
                <w:bCs/>
                <w:color w:val="auto"/>
                <w:szCs w:val="24"/>
                <w:highlight w:val="none"/>
                <w:u w:val="none"/>
              </w:rPr>
              <w:t>认购或申购申请确认后将导致其持有份额超过产品总份额</w:t>
            </w:r>
            <w:r>
              <w:rPr>
                <w:rFonts w:ascii="宋体" w:hAnsi="宋体"/>
                <w:bCs/>
                <w:color w:val="auto"/>
                <w:szCs w:val="24"/>
                <w:highlight w:val="none"/>
                <w:u w:val="none"/>
              </w:rPr>
              <w:t>50%</w:t>
            </w:r>
            <w:r>
              <w:rPr>
                <w:rFonts w:hint="eastAsia" w:ascii="宋体" w:hAnsi="宋体"/>
                <w:bCs/>
                <w:color w:val="auto"/>
                <w:szCs w:val="24"/>
                <w:highlight w:val="none"/>
                <w:u w:val="none"/>
              </w:rPr>
              <w:t>的</w:t>
            </w:r>
            <w:r>
              <w:rPr>
                <w:rFonts w:ascii="宋体" w:hAnsi="宋体"/>
                <w:bCs/>
                <w:color w:val="auto"/>
                <w:szCs w:val="24"/>
                <w:highlight w:val="none"/>
                <w:u w:val="none"/>
              </w:rPr>
              <w:t>，管理人有权拒绝或暂停</w:t>
            </w:r>
            <w:r>
              <w:rPr>
                <w:rFonts w:hint="eastAsia" w:ascii="宋体" w:hAnsi="宋体"/>
                <w:bCs/>
                <w:color w:val="auto"/>
                <w:szCs w:val="24"/>
                <w:highlight w:val="none"/>
                <w:u w:val="none"/>
              </w:rPr>
              <w:t>接受超出部分的</w:t>
            </w:r>
            <w:r>
              <w:rPr>
                <w:rFonts w:ascii="宋体" w:hAnsi="宋体"/>
                <w:bCs/>
                <w:color w:val="auto"/>
                <w:szCs w:val="24"/>
                <w:highlight w:val="none"/>
                <w:u w:val="none"/>
              </w:rPr>
              <w:t>认购、申购</w:t>
            </w:r>
            <w:r>
              <w:rPr>
                <w:rFonts w:hint="eastAsia" w:ascii="宋体" w:hAnsi="宋体"/>
                <w:bCs/>
                <w:color w:val="auto"/>
                <w:szCs w:val="24"/>
                <w:highlight w:val="none"/>
                <w:u w:val="none"/>
              </w:rPr>
              <w:t>申请</w:t>
            </w:r>
            <w:r>
              <w:rPr>
                <w:rFonts w:ascii="宋体" w:hAnsi="宋体"/>
                <w:bCs/>
                <w:color w:val="auto"/>
                <w:szCs w:val="24"/>
                <w:highlight w:val="none"/>
                <w:u w:val="none"/>
              </w:rPr>
              <w:t>。非因管理人主观因素导致突破该比例限制的，在单一投资者持有比例降至50%以下之前，管理人不再接受该投资者对本产品的认购</w:t>
            </w:r>
            <w:r>
              <w:rPr>
                <w:rFonts w:hint="eastAsia" w:ascii="宋体" w:hAnsi="宋体"/>
                <w:bCs/>
                <w:color w:val="auto"/>
                <w:szCs w:val="24"/>
                <w:highlight w:val="none"/>
                <w:u w:val="none"/>
              </w:rPr>
              <w:t>、申购申请。投资者持有份额的计算以管理人登记为准。</w:t>
            </w:r>
          </w:p>
          <w:p w14:paraId="5E35AAB9">
            <w:pPr>
              <w:widowControl/>
              <w:numPr>
                <w:ilvl w:val="-1"/>
                <w:numId w:val="0"/>
              </w:numPr>
              <w:ind w:left="0" w:leftChars="0" w:firstLine="0" w:firstLineChars="0"/>
              <w:jc w:val="left"/>
              <w:rPr>
                <w:rFonts w:hint="eastAsia" w:ascii="仿宋" w:hAnsi="仿宋" w:eastAsia="仿宋" w:cs="宋体"/>
                <w:bCs/>
                <w:color w:val="000000" w:themeColor="text1"/>
                <w:kern w:val="0"/>
                <w:sz w:val="24"/>
                <w:lang w:bidi="ar"/>
                <w14:textFill>
                  <w14:solidFill>
                    <w14:schemeClr w14:val="tx1"/>
                  </w14:solidFill>
                </w14:textFill>
              </w:rPr>
            </w:pPr>
            <w:r>
              <w:rPr>
                <w:rFonts w:hint="eastAsia" w:ascii="宋体" w:hAnsi="宋体"/>
                <w:bCs/>
                <w:color w:val="auto"/>
                <w:szCs w:val="24"/>
                <w:highlight w:val="none"/>
                <w:u w:val="none"/>
                <w:lang w:val="en-US" w:eastAsia="zh-CN"/>
              </w:rPr>
              <w:t>4.</w:t>
            </w:r>
            <w:r>
              <w:rPr>
                <w:rFonts w:hint="eastAsia" w:ascii="宋体" w:hAnsi="宋体"/>
                <w:bCs/>
                <w:color w:val="auto"/>
                <w:szCs w:val="24"/>
                <w:highlight w:val="none"/>
                <w:u w:val="none"/>
              </w:rPr>
              <w:t>如投资者认/申购超过上述限额，管理人有权根据实际情况接受、拒绝或确认失败。</w:t>
            </w:r>
            <w:r>
              <w:rPr>
                <w:rFonts w:hint="eastAsia" w:ascii="宋体" w:hAnsi="宋体"/>
                <w:b/>
                <w:bCs w:val="0"/>
                <w:color w:val="auto"/>
                <w:szCs w:val="24"/>
                <w:highlight w:val="none"/>
                <w:u w:val="none"/>
              </w:rPr>
              <w:t>管理人有权以公告形式调整投资者累计认/申购上限。</w:t>
            </w:r>
          </w:p>
        </w:tc>
      </w:tr>
      <w:tr w14:paraId="1E22310A">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F6F14E6">
            <w:pPr>
              <w:snapToGrid w:val="0"/>
              <w:ind w:left="-140" w:leftChars="-74" w:hanging="15" w:firstLineChars="0"/>
              <w:jc w:val="center"/>
              <w:rPr>
                <w:rFonts w:hint="eastAsia" w:ascii="宋体" w:hAnsi="宋体"/>
                <w:bCs/>
                <w:color w:val="auto"/>
                <w:szCs w:val="24"/>
                <w:highlight w:val="none"/>
                <w:u w:val="none"/>
              </w:rPr>
            </w:pPr>
            <w:r>
              <w:rPr>
                <w:rFonts w:hint="eastAsia" w:ascii="宋体" w:hAnsi="宋体"/>
                <w:bCs/>
                <w:color w:val="auto"/>
                <w:szCs w:val="24"/>
                <w:highlight w:val="none"/>
                <w:u w:val="none"/>
              </w:rPr>
              <w:t>最高持有限额</w:t>
            </w:r>
          </w:p>
        </w:tc>
        <w:tc>
          <w:tcPr>
            <w:tcW w:w="6972" w:type="dxa"/>
            <w:tcBorders>
              <w:top w:val="single" w:color="auto" w:sz="4" w:space="0"/>
              <w:left w:val="single" w:color="auto" w:sz="4" w:space="0"/>
              <w:bottom w:val="single" w:color="auto" w:sz="4" w:space="0"/>
              <w:right w:val="single" w:color="auto" w:sz="4" w:space="0"/>
            </w:tcBorders>
            <w:vAlign w:val="center"/>
          </w:tcPr>
          <w:p w14:paraId="1FE07440">
            <w:pPr>
              <w:keepNext w:val="0"/>
              <w:keepLines w:val="0"/>
              <w:widowControl/>
              <w:numPr>
                <w:ilvl w:val="0"/>
                <w:numId w:val="0"/>
              </w:numPr>
              <w:suppressLineNumbers w:val="0"/>
              <w:jc w:val="left"/>
              <w:rPr>
                <w:rFonts w:hint="eastAsia" w:ascii="宋体" w:hAnsi="宋体"/>
                <w:b/>
                <w:color w:val="auto"/>
                <w:szCs w:val="24"/>
                <w:highlight w:val="none"/>
                <w:u w:val="none"/>
              </w:rPr>
            </w:pPr>
            <w:r>
              <w:rPr>
                <w:rFonts w:hint="eastAsia" w:ascii="宋体" w:hAnsi="宋体" w:eastAsia="仿宋_GB2312" w:cstheme="minorBidi"/>
                <w:b/>
                <w:bCs w:val="0"/>
                <w:color w:val="auto"/>
                <w:kern w:val="2"/>
                <w:sz w:val="24"/>
                <w:szCs w:val="24"/>
                <w:highlight w:val="none"/>
                <w:u w:val="none"/>
                <w:lang w:val="en-US" w:eastAsia="zh-CN" w:bidi="ar"/>
              </w:rPr>
              <w:t>单一投资者持有份额</w:t>
            </w:r>
            <w:r>
              <w:rPr>
                <w:rFonts w:hint="eastAsia" w:ascii="宋体" w:hAnsi="宋体" w:cstheme="minorBidi"/>
                <w:b/>
                <w:bCs w:val="0"/>
                <w:color w:val="auto"/>
                <w:kern w:val="2"/>
                <w:sz w:val="24"/>
                <w:szCs w:val="24"/>
                <w:highlight w:val="yellow"/>
                <w:u w:val="none"/>
                <w:lang w:val="en-US" w:eastAsia="zh-CN" w:bidi="ar"/>
              </w:rPr>
              <w:t>【不得/可以】</w:t>
            </w:r>
            <w:r>
              <w:rPr>
                <w:rFonts w:hint="eastAsia" w:ascii="宋体" w:hAnsi="宋体" w:eastAsia="仿宋_GB2312" w:cstheme="minorBidi"/>
                <w:b/>
                <w:bCs w:val="0"/>
                <w:color w:val="auto"/>
                <w:kern w:val="2"/>
                <w:sz w:val="24"/>
                <w:szCs w:val="24"/>
                <w:highlight w:val="none"/>
                <w:u w:val="none"/>
                <w:lang w:val="en-US" w:eastAsia="zh-CN" w:bidi="ar"/>
              </w:rPr>
              <w:t>超过本理财产品总份额的 50%。</w:t>
            </w:r>
          </w:p>
          <w:p w14:paraId="39CCF731">
            <w:pPr>
              <w:widowControl/>
              <w:numPr>
                <w:ilvl w:val="-1"/>
                <w:numId w:val="0"/>
              </w:numPr>
              <w:jc w:val="left"/>
              <w:rPr>
                <w:rFonts w:hint="eastAsia" w:ascii="宋体" w:hAnsi="宋体"/>
                <w:b/>
                <w:bCs w:val="0"/>
                <w:color w:val="auto"/>
                <w:szCs w:val="24"/>
                <w:highlight w:val="none"/>
                <w:u w:val="none"/>
                <w:lang w:val="en-US" w:eastAsia="zh-CN"/>
              </w:rPr>
            </w:pPr>
            <w:r>
              <w:rPr>
                <w:rFonts w:hint="eastAsia" w:ascii="宋体" w:hAnsi="宋体"/>
                <w:b/>
                <w:bCs w:val="0"/>
                <w:color w:val="auto"/>
                <w:szCs w:val="24"/>
                <w:highlight w:val="none"/>
                <w:u w:val="none"/>
                <w:lang w:val="en-US" w:eastAsia="zh-CN"/>
              </w:rPr>
              <w:t>如销售机构规定与本规则不一致的，则以各销售机构规定为准，但不得高于最高持有限额。</w:t>
            </w:r>
          </w:p>
        </w:tc>
      </w:tr>
      <w:tr w14:paraId="5750F1E7">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45A10EA">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bCs/>
                <w:color w:val="auto"/>
                <w:szCs w:val="24"/>
                <w:highlight w:val="none"/>
                <w:u w:val="none"/>
              </w:rPr>
              <w:t>赎回</w:t>
            </w:r>
            <w:r>
              <w:rPr>
                <w:rFonts w:ascii="宋体" w:hAnsi="宋体"/>
                <w:bCs/>
                <w:color w:val="auto"/>
                <w:szCs w:val="24"/>
                <w:highlight w:val="none"/>
                <w:u w:val="none"/>
              </w:rPr>
              <w:t>数量限制</w:t>
            </w:r>
          </w:p>
        </w:tc>
        <w:tc>
          <w:tcPr>
            <w:tcW w:w="6972" w:type="dxa"/>
            <w:tcBorders>
              <w:top w:val="single" w:color="auto" w:sz="4" w:space="0"/>
              <w:left w:val="single" w:color="auto" w:sz="4" w:space="0"/>
              <w:bottom w:val="single" w:color="auto" w:sz="4" w:space="0"/>
              <w:right w:val="single" w:color="auto" w:sz="4" w:space="0"/>
            </w:tcBorders>
            <w:vAlign w:val="center"/>
          </w:tcPr>
          <w:p w14:paraId="5C97D49B">
            <w:pPr>
              <w:widowControl/>
              <w:numPr>
                <w:ilvl w:val="0"/>
                <w:numId w:val="7"/>
              </w:numPr>
              <w:jc w:val="left"/>
              <w:rPr>
                <w:rFonts w:ascii="宋体" w:hAnsi="宋体"/>
                <w:bCs/>
                <w:color w:val="auto"/>
                <w:szCs w:val="24"/>
                <w:highlight w:val="none"/>
                <w:u w:val="none"/>
              </w:rPr>
            </w:pPr>
            <w:r>
              <w:rPr>
                <w:rFonts w:hint="eastAsia" w:ascii="宋体" w:hAnsi="宋体"/>
                <w:bCs/>
                <w:color w:val="auto"/>
                <w:szCs w:val="24"/>
                <w:highlight w:val="yellow"/>
                <w:u w:val="none"/>
                <w:lang w:val="en-US" w:eastAsia="zh-CN"/>
              </w:rPr>
              <w:t>【A类份额】</w:t>
            </w:r>
            <w:r>
              <w:rPr>
                <w:rFonts w:hint="eastAsia" w:ascii="宋体" w:hAnsi="宋体"/>
                <w:color w:val="auto"/>
                <w:szCs w:val="24"/>
                <w:highlight w:val="none"/>
                <w:u w:val="none"/>
                <w:lang w:val="en-US" w:eastAsia="zh-CN"/>
              </w:rPr>
              <w:t>：</w:t>
            </w:r>
            <w:r>
              <w:rPr>
                <w:rFonts w:hint="eastAsia" w:ascii="宋体" w:hAnsi="宋体"/>
                <w:color w:val="auto"/>
                <w:szCs w:val="24"/>
                <w:highlight w:val="none"/>
                <w:u w:val="none"/>
              </w:rPr>
              <w:t>单笔最小赎回份额</w:t>
            </w:r>
            <w:r>
              <w:rPr>
                <w:rFonts w:hint="eastAsia" w:ascii="宋体" w:hAnsi="宋体"/>
                <w:color w:val="auto"/>
                <w:szCs w:val="24"/>
                <w:highlight w:val="yellow"/>
                <w:u w:val="none"/>
                <w:lang w:eastAsia="zh-CN"/>
              </w:rPr>
              <w:t>【】</w:t>
            </w:r>
            <w:r>
              <w:rPr>
                <w:rFonts w:hint="eastAsia" w:ascii="宋体" w:hAnsi="宋体"/>
                <w:color w:val="auto"/>
                <w:szCs w:val="24"/>
                <w:highlight w:val="none"/>
                <w:u w:val="none"/>
                <w:lang w:eastAsia="zh-CN"/>
              </w:rPr>
              <w:t>份</w:t>
            </w:r>
            <w:r>
              <w:rPr>
                <w:rFonts w:hint="eastAsia" w:ascii="宋体" w:hAnsi="宋体"/>
                <w:bCs/>
                <w:color w:val="auto"/>
                <w:szCs w:val="24"/>
                <w:highlight w:val="none"/>
                <w:u w:val="none"/>
              </w:rPr>
              <w:t>。</w:t>
            </w:r>
          </w:p>
          <w:p w14:paraId="2C5674F1">
            <w:pPr>
              <w:widowControl/>
              <w:numPr>
                <w:ilvl w:val="-1"/>
                <w:numId w:val="0"/>
              </w:numPr>
              <w:jc w:val="left"/>
              <w:rPr>
                <w:rFonts w:ascii="宋体" w:hAnsi="宋体"/>
                <w:bCs/>
                <w:color w:val="auto"/>
                <w:szCs w:val="24"/>
                <w:highlight w:val="none"/>
                <w:u w:val="none"/>
              </w:rPr>
            </w:pPr>
            <w:r>
              <w:rPr>
                <w:rFonts w:hint="eastAsia" w:ascii="宋体" w:hAnsi="宋体"/>
                <w:bCs/>
                <w:color w:val="auto"/>
                <w:szCs w:val="24"/>
                <w:highlight w:val="yellow"/>
                <w:u w:val="none"/>
                <w:lang w:val="en-US" w:eastAsia="zh-CN"/>
              </w:rPr>
              <w:t>【B类份额】</w:t>
            </w:r>
            <w:r>
              <w:rPr>
                <w:rFonts w:hint="eastAsia" w:ascii="宋体" w:hAnsi="宋体"/>
                <w:color w:val="auto"/>
                <w:szCs w:val="24"/>
                <w:highlight w:val="none"/>
                <w:u w:val="none"/>
                <w:lang w:val="en-US" w:eastAsia="zh-CN"/>
              </w:rPr>
              <w:t>：</w:t>
            </w:r>
            <w:r>
              <w:rPr>
                <w:rFonts w:hint="eastAsia" w:ascii="宋体" w:hAnsi="宋体"/>
                <w:color w:val="auto"/>
                <w:szCs w:val="24"/>
                <w:highlight w:val="none"/>
                <w:u w:val="none"/>
              </w:rPr>
              <w:t>单笔最小赎回份额</w:t>
            </w:r>
            <w:r>
              <w:rPr>
                <w:rFonts w:hint="eastAsia" w:ascii="宋体" w:hAnsi="宋体"/>
                <w:color w:val="auto"/>
                <w:szCs w:val="24"/>
                <w:highlight w:val="yellow"/>
                <w:u w:val="none"/>
                <w:lang w:eastAsia="zh-CN"/>
              </w:rPr>
              <w:t>【】</w:t>
            </w:r>
            <w:r>
              <w:rPr>
                <w:rFonts w:hint="eastAsia" w:ascii="宋体" w:hAnsi="宋体"/>
                <w:color w:val="auto"/>
                <w:szCs w:val="24"/>
                <w:highlight w:val="none"/>
                <w:u w:val="none"/>
                <w:lang w:eastAsia="zh-CN"/>
              </w:rPr>
              <w:t>份</w:t>
            </w:r>
            <w:r>
              <w:rPr>
                <w:rFonts w:hint="eastAsia" w:ascii="宋体" w:hAnsi="宋体"/>
                <w:bCs/>
                <w:color w:val="auto"/>
                <w:szCs w:val="24"/>
                <w:highlight w:val="none"/>
                <w:u w:val="none"/>
              </w:rPr>
              <w:t>。</w:t>
            </w:r>
            <w:r>
              <w:rPr>
                <w:rFonts w:ascii="宋体" w:hAnsi="宋体"/>
                <w:bCs/>
                <w:color w:val="auto"/>
                <w:szCs w:val="24"/>
                <w:highlight w:val="none"/>
                <w:u w:val="none"/>
              </w:rPr>
              <w:t xml:space="preserve"> </w:t>
            </w:r>
          </w:p>
          <w:p w14:paraId="32372B80">
            <w:pPr>
              <w:widowControl/>
              <w:numPr>
                <w:ilvl w:val="0"/>
                <w:numId w:val="7"/>
              </w:numPr>
              <w:jc w:val="left"/>
              <w:rPr>
                <w:rFonts w:ascii="宋体" w:hAnsi="宋体"/>
                <w:bCs/>
                <w:color w:val="auto"/>
                <w:szCs w:val="24"/>
                <w:highlight w:val="none"/>
                <w:u w:val="none"/>
              </w:rPr>
            </w:pPr>
            <w:r>
              <w:rPr>
                <w:rFonts w:hint="eastAsia" w:ascii="宋体" w:hAnsi="宋体"/>
                <w:bCs/>
                <w:color w:val="auto"/>
                <w:szCs w:val="24"/>
                <w:highlight w:val="yellow"/>
                <w:u w:val="none"/>
                <w:lang w:val="en-US" w:eastAsia="zh-CN"/>
              </w:rPr>
              <w:t>【A类份额】</w:t>
            </w:r>
            <w:r>
              <w:rPr>
                <w:rFonts w:hint="eastAsia" w:ascii="宋体" w:hAnsi="宋体"/>
                <w:color w:val="auto"/>
                <w:szCs w:val="24"/>
                <w:highlight w:val="none"/>
                <w:u w:val="none"/>
                <w:lang w:val="en-US" w:eastAsia="zh-CN"/>
              </w:rPr>
              <w:t>：</w:t>
            </w:r>
            <w:r>
              <w:rPr>
                <w:rFonts w:hint="eastAsia" w:ascii="宋体" w:hAnsi="宋体"/>
                <w:color w:val="auto"/>
                <w:szCs w:val="24"/>
                <w:highlight w:val="none"/>
                <w:u w:val="none"/>
              </w:rPr>
              <w:t>单笔最</w:t>
            </w:r>
            <w:r>
              <w:rPr>
                <w:rFonts w:hint="eastAsia" w:ascii="宋体" w:hAnsi="宋体"/>
                <w:color w:val="auto"/>
                <w:szCs w:val="24"/>
                <w:highlight w:val="none"/>
                <w:u w:val="none"/>
                <w:lang w:eastAsia="zh-CN"/>
              </w:rPr>
              <w:t>大</w:t>
            </w:r>
            <w:r>
              <w:rPr>
                <w:rFonts w:hint="eastAsia" w:ascii="宋体" w:hAnsi="宋体"/>
                <w:color w:val="auto"/>
                <w:szCs w:val="24"/>
                <w:highlight w:val="none"/>
                <w:u w:val="none"/>
              </w:rPr>
              <w:t>赎回份额</w:t>
            </w:r>
            <w:r>
              <w:rPr>
                <w:rFonts w:hint="eastAsia" w:ascii="宋体" w:hAnsi="宋体"/>
                <w:color w:val="auto"/>
                <w:szCs w:val="24"/>
                <w:highlight w:val="yellow"/>
                <w:u w:val="none"/>
                <w:lang w:eastAsia="zh-CN"/>
              </w:rPr>
              <w:t>【】</w:t>
            </w:r>
            <w:r>
              <w:rPr>
                <w:rFonts w:hint="eastAsia" w:ascii="宋体" w:hAnsi="宋体"/>
                <w:color w:val="auto"/>
                <w:szCs w:val="24"/>
                <w:highlight w:val="none"/>
                <w:u w:val="none"/>
                <w:lang w:eastAsia="zh-CN"/>
              </w:rPr>
              <w:t>份</w:t>
            </w:r>
            <w:r>
              <w:rPr>
                <w:rFonts w:hint="eastAsia" w:ascii="宋体" w:hAnsi="宋体"/>
                <w:bCs/>
                <w:color w:val="auto"/>
                <w:szCs w:val="24"/>
                <w:highlight w:val="none"/>
                <w:u w:val="none"/>
              </w:rPr>
              <w:t>。</w:t>
            </w:r>
          </w:p>
          <w:p w14:paraId="35378F19">
            <w:pPr>
              <w:widowControl/>
              <w:numPr>
                <w:ilvl w:val="-1"/>
                <w:numId w:val="0"/>
              </w:numPr>
              <w:jc w:val="left"/>
              <w:rPr>
                <w:rFonts w:ascii="宋体" w:hAnsi="宋体"/>
                <w:bCs/>
                <w:color w:val="auto"/>
                <w:szCs w:val="24"/>
                <w:highlight w:val="none"/>
                <w:u w:val="none"/>
              </w:rPr>
            </w:pPr>
            <w:r>
              <w:rPr>
                <w:rFonts w:hint="eastAsia" w:ascii="宋体" w:hAnsi="宋体"/>
                <w:bCs/>
                <w:color w:val="auto"/>
                <w:szCs w:val="24"/>
                <w:highlight w:val="yellow"/>
                <w:u w:val="none"/>
                <w:lang w:val="en-US" w:eastAsia="zh-CN"/>
              </w:rPr>
              <w:t>【B类份额】</w:t>
            </w:r>
            <w:r>
              <w:rPr>
                <w:rFonts w:hint="eastAsia" w:ascii="宋体" w:hAnsi="宋体"/>
                <w:color w:val="auto"/>
                <w:szCs w:val="24"/>
                <w:highlight w:val="none"/>
                <w:u w:val="none"/>
                <w:lang w:val="en-US" w:eastAsia="zh-CN"/>
              </w:rPr>
              <w:t>：</w:t>
            </w:r>
            <w:r>
              <w:rPr>
                <w:rFonts w:hint="eastAsia" w:ascii="宋体" w:hAnsi="宋体"/>
                <w:color w:val="auto"/>
                <w:szCs w:val="24"/>
                <w:highlight w:val="none"/>
                <w:u w:val="none"/>
              </w:rPr>
              <w:t>单笔最</w:t>
            </w:r>
            <w:r>
              <w:rPr>
                <w:rFonts w:hint="eastAsia" w:ascii="宋体" w:hAnsi="宋体"/>
                <w:color w:val="auto"/>
                <w:szCs w:val="24"/>
                <w:highlight w:val="none"/>
                <w:u w:val="none"/>
                <w:lang w:eastAsia="zh-CN"/>
              </w:rPr>
              <w:t>大</w:t>
            </w:r>
            <w:r>
              <w:rPr>
                <w:rFonts w:hint="eastAsia" w:ascii="宋体" w:hAnsi="宋体"/>
                <w:color w:val="auto"/>
                <w:szCs w:val="24"/>
                <w:highlight w:val="none"/>
                <w:u w:val="none"/>
              </w:rPr>
              <w:t>赎回份额</w:t>
            </w:r>
            <w:r>
              <w:rPr>
                <w:rFonts w:hint="eastAsia" w:ascii="宋体" w:hAnsi="宋体"/>
                <w:color w:val="auto"/>
                <w:szCs w:val="24"/>
                <w:highlight w:val="yellow"/>
                <w:u w:val="none"/>
                <w:lang w:eastAsia="zh-CN"/>
              </w:rPr>
              <w:t>【】</w:t>
            </w:r>
            <w:r>
              <w:rPr>
                <w:rFonts w:hint="eastAsia" w:ascii="宋体" w:hAnsi="宋体"/>
                <w:color w:val="auto"/>
                <w:szCs w:val="24"/>
                <w:highlight w:val="none"/>
                <w:u w:val="none"/>
                <w:lang w:eastAsia="zh-CN"/>
              </w:rPr>
              <w:t>份</w:t>
            </w:r>
            <w:r>
              <w:rPr>
                <w:rFonts w:hint="eastAsia" w:ascii="宋体" w:hAnsi="宋体"/>
                <w:bCs/>
                <w:color w:val="auto"/>
                <w:szCs w:val="24"/>
                <w:highlight w:val="none"/>
                <w:u w:val="none"/>
              </w:rPr>
              <w:t>。</w:t>
            </w:r>
            <w:r>
              <w:rPr>
                <w:rFonts w:ascii="宋体" w:hAnsi="宋体"/>
                <w:bCs/>
                <w:color w:val="auto"/>
                <w:szCs w:val="24"/>
                <w:highlight w:val="none"/>
                <w:u w:val="none"/>
              </w:rPr>
              <w:t xml:space="preserve"> </w:t>
            </w:r>
          </w:p>
          <w:p w14:paraId="44FAB36C">
            <w:pPr>
              <w:widowControl/>
              <w:numPr>
                <w:ilvl w:val="0"/>
                <w:numId w:val="7"/>
              </w:numPr>
              <w:jc w:val="left"/>
              <w:rPr>
                <w:rFonts w:ascii="宋体" w:hAnsi="宋体"/>
                <w:bCs/>
                <w:color w:val="auto"/>
                <w:szCs w:val="24"/>
                <w:highlight w:val="none"/>
                <w:u w:val="none"/>
              </w:rPr>
            </w:pPr>
            <w:r>
              <w:rPr>
                <w:rFonts w:hint="eastAsia" w:ascii="宋体" w:hAnsi="宋体"/>
                <w:bCs/>
                <w:color w:val="auto"/>
                <w:szCs w:val="24"/>
                <w:highlight w:val="none"/>
                <w:u w:val="none"/>
              </w:rPr>
              <w:t>投资者可全部或部分赎回其理财份额，但是部分赎回后单一投资者持有产品份额不得低于</w:t>
            </w:r>
            <w:r>
              <w:rPr>
                <w:rFonts w:hint="eastAsia" w:ascii="宋体" w:hAnsi="宋体"/>
                <w:bCs/>
                <w:color w:val="auto"/>
                <w:szCs w:val="24"/>
                <w:highlight w:val="yellow"/>
                <w:u w:val="none"/>
              </w:rPr>
              <w:t>【/】</w:t>
            </w:r>
            <w:r>
              <w:rPr>
                <w:rFonts w:hint="eastAsia" w:ascii="宋体" w:hAnsi="宋体"/>
                <w:bCs/>
                <w:color w:val="auto"/>
                <w:szCs w:val="24"/>
                <w:highlight w:val="none"/>
                <w:u w:val="none"/>
              </w:rPr>
              <w:t>份。受理财</w:t>
            </w:r>
            <w:r>
              <w:rPr>
                <w:rFonts w:hint="eastAsia" w:ascii="宋体" w:hAnsi="宋体"/>
                <w:bCs/>
                <w:color w:val="auto"/>
                <w:szCs w:val="24"/>
                <w:highlight w:val="none"/>
                <w:u w:val="none"/>
                <w:lang w:eastAsia="zh-CN"/>
              </w:rPr>
              <w:t>收益</w:t>
            </w:r>
            <w:r>
              <w:rPr>
                <w:rFonts w:hint="eastAsia" w:ascii="宋体" w:hAnsi="宋体"/>
                <w:bCs/>
                <w:color w:val="auto"/>
                <w:szCs w:val="24"/>
                <w:highlight w:val="none"/>
                <w:u w:val="none"/>
              </w:rPr>
              <w:t>分配去尾规则的影响，投资者持有产品份额较低时可能无法取得利益。巨额赎回情景发生时，投资者的可赎回份额需要根据巨额赎回规则确定。</w:t>
            </w:r>
          </w:p>
          <w:p w14:paraId="1F7DF02E">
            <w:pPr>
              <w:widowControl/>
              <w:numPr>
                <w:ilvl w:val="-1"/>
                <w:numId w:val="0"/>
              </w:numPr>
              <w:ind w:left="0" w:leftChars="0" w:firstLine="0" w:firstLineChars="0"/>
              <w:jc w:val="left"/>
              <w:rPr>
                <w:rFonts w:hint="eastAsia" w:ascii="仿宋" w:hAnsi="仿宋" w:eastAsia="仿宋" w:cs="宋体"/>
                <w:bCs/>
                <w:color w:val="000000" w:themeColor="text1"/>
                <w:kern w:val="0"/>
                <w:sz w:val="24"/>
                <w:lang w:bidi="ar"/>
                <w14:textFill>
                  <w14:solidFill>
                    <w14:schemeClr w14:val="tx1"/>
                  </w14:solidFill>
                </w14:textFill>
              </w:rPr>
            </w:pPr>
            <w:r>
              <w:rPr>
                <w:rFonts w:hint="eastAsia" w:ascii="宋体" w:hAnsi="宋体"/>
                <w:b/>
                <w:bCs w:val="0"/>
                <w:color w:val="auto"/>
                <w:szCs w:val="24"/>
                <w:highlight w:val="none"/>
                <w:u w:val="none"/>
                <w:lang w:val="en-US" w:eastAsia="zh-CN"/>
              </w:rPr>
              <w:t>4.管</w:t>
            </w:r>
            <w:r>
              <w:rPr>
                <w:rFonts w:hint="eastAsia" w:ascii="宋体" w:hAnsi="宋体"/>
                <w:b/>
                <w:bCs w:val="0"/>
                <w:color w:val="auto"/>
                <w:szCs w:val="24"/>
                <w:highlight w:val="none"/>
                <w:u w:val="none"/>
              </w:rPr>
              <w:t>理人有权以公告形式设置或调整赎回上限。</w:t>
            </w:r>
          </w:p>
        </w:tc>
      </w:tr>
      <w:tr w14:paraId="4EBA304B">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7CA5810">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color w:val="auto"/>
                <w:szCs w:val="24"/>
                <w:highlight w:val="none"/>
                <w:u w:val="none"/>
              </w:rPr>
              <w:t>产品份额净值</w:t>
            </w:r>
          </w:p>
        </w:tc>
        <w:tc>
          <w:tcPr>
            <w:tcW w:w="6972" w:type="dxa"/>
            <w:tcBorders>
              <w:top w:val="single" w:color="auto" w:sz="4" w:space="0"/>
              <w:left w:val="single" w:color="auto" w:sz="4" w:space="0"/>
              <w:bottom w:val="single" w:color="auto" w:sz="4" w:space="0"/>
              <w:right w:val="single" w:color="auto" w:sz="4" w:space="0"/>
            </w:tcBorders>
            <w:vAlign w:val="center"/>
          </w:tcPr>
          <w:p w14:paraId="1ECDDDA7">
            <w:pPr>
              <w:snapToGrid w:val="0"/>
              <w:rPr>
                <w:rFonts w:ascii="宋体" w:hAnsi="宋体"/>
                <w:color w:val="auto"/>
                <w:szCs w:val="24"/>
                <w:highlight w:val="none"/>
                <w:u w:val="none"/>
              </w:rPr>
            </w:pPr>
            <w:r>
              <w:rPr>
                <w:rFonts w:hint="eastAsia" w:ascii="宋体" w:hAnsi="宋体"/>
                <w:color w:val="auto"/>
                <w:szCs w:val="24"/>
                <w:highlight w:val="none"/>
                <w:u w:val="none"/>
              </w:rPr>
              <w:t>理财产品份额净值是提取相关税费后单位理财产品份额的净值；份额净值随理财产品投资运行情况变化而变化。</w:t>
            </w:r>
          </w:p>
          <w:p w14:paraId="11691310">
            <w:pPr>
              <w:snapToGrid w:val="0"/>
              <w:rPr>
                <w:rFonts w:ascii="宋体" w:hAnsi="宋体"/>
                <w:color w:val="auto"/>
                <w:szCs w:val="24"/>
                <w:highlight w:val="none"/>
                <w:u w:val="none"/>
              </w:rPr>
            </w:pPr>
            <w:r>
              <w:rPr>
                <w:rFonts w:hint="eastAsia" w:ascii="宋体" w:hAnsi="宋体"/>
                <w:color w:val="auto"/>
                <w:szCs w:val="24"/>
                <w:highlight w:val="none"/>
                <w:u w:val="none"/>
              </w:rPr>
              <w:t>本产品募集期内，投资者按份额净值进行认购。</w:t>
            </w:r>
          </w:p>
          <w:p w14:paraId="0D9779C5">
            <w:pPr>
              <w:snapToGrid w:val="0"/>
              <w:rPr>
                <w:rFonts w:hint="eastAsia" w:ascii="宋体" w:hAnsi="宋体" w:eastAsia="仿宋_GB2312"/>
                <w:b/>
                <w:bCs/>
                <w:color w:val="auto"/>
                <w:szCs w:val="24"/>
                <w:highlight w:val="none"/>
                <w:u w:val="none"/>
                <w:lang w:eastAsia="zh-CN"/>
              </w:rPr>
            </w:pPr>
            <w:r>
              <w:rPr>
                <w:rFonts w:hint="eastAsia" w:ascii="宋体" w:hAnsi="宋体"/>
                <w:b/>
                <w:bCs/>
                <w:color w:val="auto"/>
                <w:szCs w:val="24"/>
                <w:highlight w:val="none"/>
                <w:u w:val="none"/>
              </w:rPr>
              <w:t>本产品初始份额净值为1.0000</w:t>
            </w:r>
            <w:r>
              <w:rPr>
                <w:rFonts w:hint="eastAsia" w:ascii="宋体" w:hAnsi="宋体"/>
                <w:b/>
                <w:bCs/>
                <w:color w:val="auto"/>
                <w:szCs w:val="24"/>
                <w:highlight w:val="none"/>
                <w:u w:val="none"/>
                <w:lang w:val="en-US" w:eastAsia="zh-CN"/>
              </w:rPr>
              <w:t>00</w:t>
            </w:r>
            <w:r>
              <w:rPr>
                <w:rFonts w:hint="eastAsia" w:ascii="宋体" w:hAnsi="宋体"/>
                <w:b/>
                <w:bCs/>
                <w:color w:val="auto"/>
                <w:szCs w:val="24"/>
                <w:highlight w:val="none"/>
                <w:u w:val="none"/>
              </w:rPr>
              <w:t>元/份。</w:t>
            </w:r>
          </w:p>
        </w:tc>
      </w:tr>
      <w:tr w14:paraId="3D3EF78B">
        <w:tblPrEx>
          <w:tblCellMar>
            <w:top w:w="0" w:type="dxa"/>
            <w:left w:w="108" w:type="dxa"/>
            <w:bottom w:w="0" w:type="dxa"/>
            <w:right w:w="108" w:type="dxa"/>
          </w:tblCellMar>
        </w:tblPrEx>
        <w:trPr>
          <w:trHeight w:val="643" w:hRule="atLeast"/>
        </w:trPr>
        <w:tc>
          <w:tcPr>
            <w:tcW w:w="2453" w:type="dxa"/>
            <w:tcBorders>
              <w:top w:val="single" w:color="auto" w:sz="4" w:space="0"/>
              <w:left w:val="single" w:color="auto" w:sz="4" w:space="0"/>
              <w:bottom w:val="single" w:color="auto" w:sz="4" w:space="0"/>
              <w:right w:val="single" w:color="auto" w:sz="4" w:space="0"/>
            </w:tcBorders>
            <w:vAlign w:val="center"/>
          </w:tcPr>
          <w:p w14:paraId="1D993060">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收益分配方式</w:t>
            </w:r>
          </w:p>
        </w:tc>
        <w:tc>
          <w:tcPr>
            <w:tcW w:w="6972" w:type="dxa"/>
            <w:tcBorders>
              <w:top w:val="single" w:color="auto" w:sz="4" w:space="0"/>
              <w:left w:val="single" w:color="auto" w:sz="4" w:space="0"/>
              <w:bottom w:val="single" w:color="auto" w:sz="4" w:space="0"/>
              <w:right w:val="single" w:color="auto" w:sz="4" w:space="0"/>
            </w:tcBorders>
            <w:vAlign w:val="center"/>
          </w:tcPr>
          <w:p w14:paraId="73287B9D">
            <w:pPr>
              <w:widowControl/>
              <w:spacing w:line="400" w:lineRule="exact"/>
              <w:jc w:val="left"/>
              <w:textAlignment w:val="center"/>
              <w:rPr>
                <w:rFonts w:hint="eastAsia" w:ascii="仿宋_GB2312" w:hAnsi="等线" w:cs="仿宋_GB2312"/>
                <w:bCs/>
                <w:color w:val="000000" w:themeColor="text1"/>
                <w:sz w:val="24"/>
                <w:highlight w:val="yellow"/>
                <w:lang w:eastAsia="zh-CN"/>
                <w14:textFill>
                  <w14:solidFill>
                    <w14:schemeClr w14:val="tx1"/>
                  </w14:solidFill>
                </w14:textFill>
              </w:rPr>
            </w:pPr>
            <w:r>
              <w:rPr>
                <w:rFonts w:hint="eastAsia" w:ascii="仿宋_GB2312" w:hAnsi="等线" w:cs="仿宋_GB2312"/>
                <w:bCs/>
                <w:color w:val="000000" w:themeColor="text1"/>
                <w:sz w:val="24"/>
                <w:highlight w:val="yellow"/>
                <w:lang w:eastAsia="zh-CN"/>
                <w14:textFill>
                  <w14:solidFill>
                    <w14:schemeClr w14:val="tx1"/>
                  </w14:solidFill>
                </w14:textFill>
              </w:rPr>
              <w:t>【现金分配】</w:t>
            </w:r>
          </w:p>
          <w:p w14:paraId="4E2E2A30">
            <w:pPr>
              <w:snapToGrid w:val="0"/>
              <w:rPr>
                <w:rFonts w:hint="eastAsia" w:ascii="宋体" w:hAnsi="宋体"/>
                <w:sz w:val="24"/>
                <w:szCs w:val="24"/>
                <w:highlight w:val="yellow"/>
              </w:rPr>
            </w:pPr>
            <w:r>
              <w:rPr>
                <w:rFonts w:hint="eastAsia" w:ascii="宋体" w:hAnsi="宋体"/>
                <w:sz w:val="24"/>
                <w:szCs w:val="24"/>
                <w:highlight w:val="yellow"/>
                <w:lang w:eastAsia="zh-CN"/>
              </w:rPr>
              <w:t>【</w:t>
            </w:r>
            <w:r>
              <w:rPr>
                <w:rFonts w:hint="eastAsia" w:ascii="宋体" w:hAnsi="宋体"/>
                <w:sz w:val="24"/>
                <w:szCs w:val="24"/>
                <w:highlight w:val="yellow"/>
              </w:rPr>
              <w:t>产品存续期内，管理人有权</w:t>
            </w:r>
            <w:r>
              <w:rPr>
                <w:rFonts w:hint="eastAsia" w:ascii="宋体" w:hAnsi="宋体"/>
                <w:sz w:val="24"/>
                <w:szCs w:val="24"/>
                <w:highlight w:val="yellow"/>
                <w:lang w:eastAsia="zh-CN"/>
              </w:rPr>
              <w:t>【</w:t>
            </w:r>
            <w:r>
              <w:rPr>
                <w:rFonts w:hint="eastAsia" w:ascii="宋体" w:hAnsi="宋体"/>
                <w:sz w:val="24"/>
                <w:szCs w:val="24"/>
                <w:highlight w:val="yellow"/>
              </w:rPr>
              <w:t>每半年</w:t>
            </w:r>
            <w:r>
              <w:rPr>
                <w:rFonts w:hint="eastAsia" w:ascii="宋体" w:hAnsi="宋体"/>
                <w:sz w:val="24"/>
                <w:szCs w:val="24"/>
                <w:highlight w:val="yellow"/>
                <w:lang w:eastAsia="zh-CN"/>
              </w:rPr>
              <w:t>】</w:t>
            </w:r>
            <w:r>
              <w:rPr>
                <w:rFonts w:hint="eastAsia" w:ascii="宋体" w:hAnsi="宋体"/>
                <w:sz w:val="24"/>
                <w:szCs w:val="24"/>
                <w:highlight w:val="yellow"/>
              </w:rPr>
              <w:t>根据投资运作情况对本理财产品进行</w:t>
            </w:r>
            <w:r>
              <w:rPr>
                <w:rFonts w:hint="eastAsia" w:ascii="宋体" w:hAnsi="宋体"/>
                <w:sz w:val="24"/>
                <w:szCs w:val="24"/>
                <w:highlight w:val="yellow"/>
                <w:lang w:eastAsia="zh-CN"/>
              </w:rPr>
              <w:t>收益分配</w:t>
            </w:r>
            <w:r>
              <w:rPr>
                <w:rFonts w:hint="eastAsia" w:ascii="宋体" w:hAnsi="宋体"/>
                <w:sz w:val="24"/>
                <w:szCs w:val="24"/>
                <w:highlight w:val="yellow"/>
              </w:rPr>
              <w:t>，分配方式为</w:t>
            </w:r>
            <w:r>
              <w:rPr>
                <w:rFonts w:hint="eastAsia" w:ascii="宋体" w:hAnsi="宋体"/>
                <w:sz w:val="24"/>
                <w:szCs w:val="24"/>
                <w:highlight w:val="yellow"/>
                <w:lang w:eastAsia="zh-CN"/>
              </w:rPr>
              <w:t>【</w:t>
            </w:r>
            <w:r>
              <w:rPr>
                <w:rFonts w:hint="eastAsia" w:ascii="宋体" w:hAnsi="宋体"/>
                <w:sz w:val="24"/>
                <w:szCs w:val="24"/>
                <w:highlight w:val="yellow"/>
              </w:rPr>
              <w:t>现金</w:t>
            </w:r>
            <w:r>
              <w:rPr>
                <w:rFonts w:hint="eastAsia" w:ascii="宋体" w:hAnsi="宋体"/>
                <w:sz w:val="24"/>
                <w:szCs w:val="24"/>
                <w:highlight w:val="yellow"/>
                <w:lang w:eastAsia="zh-CN"/>
              </w:rPr>
              <w:t>分配】</w:t>
            </w:r>
            <w:r>
              <w:rPr>
                <w:rFonts w:hint="eastAsia" w:ascii="宋体" w:hAnsi="宋体"/>
                <w:sz w:val="24"/>
                <w:szCs w:val="24"/>
                <w:highlight w:val="yellow"/>
              </w:rPr>
              <w:t>（</w:t>
            </w:r>
            <w:r>
              <w:rPr>
                <w:rFonts w:hint="eastAsia" w:ascii="宋体" w:hAnsi="宋体"/>
                <w:sz w:val="24"/>
                <w:szCs w:val="24"/>
                <w:highlight w:val="yellow"/>
                <w:lang w:eastAsia="zh-CN"/>
              </w:rPr>
              <w:t>分配</w:t>
            </w:r>
            <w:r>
              <w:rPr>
                <w:rFonts w:hint="eastAsia" w:ascii="宋体" w:hAnsi="宋体"/>
                <w:sz w:val="24"/>
                <w:szCs w:val="24"/>
                <w:highlight w:val="yellow"/>
              </w:rPr>
              <w:t>前提条件为</w:t>
            </w:r>
            <w:r>
              <w:rPr>
                <w:rFonts w:hint="eastAsia" w:ascii="宋体" w:hAnsi="宋体"/>
                <w:sz w:val="24"/>
                <w:szCs w:val="24"/>
                <w:highlight w:val="yellow"/>
                <w:lang w:eastAsia="zh-CN"/>
              </w:rPr>
              <w:t>【</w:t>
            </w:r>
            <w:r>
              <w:rPr>
                <w:rFonts w:hint="eastAsia" w:ascii="宋体" w:hAnsi="宋体"/>
                <w:sz w:val="24"/>
                <w:szCs w:val="24"/>
                <w:highlight w:val="yellow"/>
              </w:rPr>
              <w:t>本理财产品在对应收益分配基准日的份额净值大于1.000</w:t>
            </w:r>
            <w:r>
              <w:rPr>
                <w:rFonts w:hint="eastAsia" w:ascii="宋体" w:hAnsi="宋体"/>
                <w:sz w:val="24"/>
                <w:szCs w:val="24"/>
                <w:highlight w:val="yellow"/>
                <w:lang w:val="en-US" w:eastAsia="zh-CN"/>
              </w:rPr>
              <w:t>00</w:t>
            </w:r>
            <w:r>
              <w:rPr>
                <w:rFonts w:hint="eastAsia" w:ascii="宋体" w:hAnsi="宋体"/>
                <w:sz w:val="24"/>
                <w:szCs w:val="24"/>
                <w:highlight w:val="yellow"/>
              </w:rPr>
              <w:t>0元/份</w:t>
            </w:r>
            <w:r>
              <w:rPr>
                <w:rFonts w:hint="eastAsia" w:ascii="宋体" w:hAnsi="宋体"/>
                <w:sz w:val="24"/>
                <w:szCs w:val="24"/>
                <w:highlight w:val="yellow"/>
                <w:lang w:eastAsia="zh-CN"/>
              </w:rPr>
              <w:t>】</w:t>
            </w:r>
            <w:r>
              <w:rPr>
                <w:rFonts w:hint="eastAsia" w:ascii="宋体" w:hAnsi="宋体"/>
                <w:sz w:val="24"/>
                <w:szCs w:val="24"/>
                <w:highlight w:val="yellow"/>
              </w:rPr>
              <w:t>）。权益登记日为收益分配基准日后的第</w:t>
            </w:r>
            <w:r>
              <w:rPr>
                <w:rFonts w:hint="eastAsia" w:ascii="宋体" w:hAnsi="宋体"/>
                <w:sz w:val="24"/>
                <w:szCs w:val="24"/>
                <w:highlight w:val="yellow"/>
                <w:lang w:eastAsia="zh-CN"/>
              </w:rPr>
              <w:t>【</w:t>
            </w:r>
            <w:r>
              <w:rPr>
                <w:rFonts w:hint="eastAsia" w:ascii="宋体" w:hAnsi="宋体"/>
                <w:sz w:val="24"/>
                <w:szCs w:val="24"/>
                <w:highlight w:val="yellow"/>
              </w:rPr>
              <w:t>5</w:t>
            </w:r>
            <w:r>
              <w:rPr>
                <w:rFonts w:hint="eastAsia" w:ascii="宋体" w:hAnsi="宋体"/>
                <w:sz w:val="24"/>
                <w:szCs w:val="24"/>
                <w:highlight w:val="yellow"/>
                <w:lang w:eastAsia="zh-CN"/>
              </w:rPr>
              <w:t>】</w:t>
            </w:r>
            <w:r>
              <w:rPr>
                <w:rFonts w:hint="eastAsia" w:ascii="宋体" w:hAnsi="宋体"/>
                <w:sz w:val="24"/>
                <w:szCs w:val="24"/>
                <w:highlight w:val="yellow"/>
              </w:rPr>
              <w:t>个</w:t>
            </w:r>
            <w:r>
              <w:rPr>
                <w:rFonts w:hint="eastAsia" w:ascii="宋体" w:hAnsi="宋体"/>
                <w:sz w:val="24"/>
                <w:szCs w:val="24"/>
                <w:highlight w:val="yellow"/>
                <w:lang w:eastAsia="zh-CN"/>
              </w:rPr>
              <w:t>【交易</w:t>
            </w:r>
            <w:r>
              <w:rPr>
                <w:rFonts w:hint="eastAsia" w:ascii="宋体" w:hAnsi="宋体"/>
                <w:sz w:val="24"/>
                <w:szCs w:val="24"/>
                <w:highlight w:val="yellow"/>
              </w:rPr>
              <w:t>日</w:t>
            </w:r>
            <w:r>
              <w:rPr>
                <w:rFonts w:hint="eastAsia" w:ascii="宋体" w:hAnsi="宋体"/>
                <w:sz w:val="24"/>
                <w:szCs w:val="24"/>
                <w:highlight w:val="yellow"/>
                <w:lang w:eastAsia="zh-CN"/>
              </w:rPr>
              <w:t>】</w:t>
            </w:r>
            <w:r>
              <w:rPr>
                <w:rFonts w:hint="eastAsia" w:ascii="宋体" w:hAnsi="宋体"/>
                <w:sz w:val="24"/>
                <w:szCs w:val="24"/>
                <w:highlight w:val="yellow"/>
              </w:rPr>
              <w:t>。管理人将根据理财产品投资收益情况决定当次的分配比例和金额等</w:t>
            </w:r>
            <w:r>
              <w:rPr>
                <w:rFonts w:hint="eastAsia" w:ascii="宋体" w:hAnsi="宋体"/>
                <w:sz w:val="24"/>
                <w:szCs w:val="24"/>
                <w:highlight w:val="yellow"/>
                <w:lang w:eastAsia="zh-CN"/>
              </w:rPr>
              <w:t>分配</w:t>
            </w:r>
            <w:r>
              <w:rPr>
                <w:rFonts w:hint="eastAsia" w:ascii="宋体" w:hAnsi="宋体"/>
                <w:sz w:val="24"/>
                <w:szCs w:val="24"/>
                <w:highlight w:val="yellow"/>
              </w:rPr>
              <w:t>要素，并于权益登记日前</w:t>
            </w:r>
            <w:r>
              <w:rPr>
                <w:rFonts w:hint="eastAsia" w:ascii="宋体" w:hAnsi="宋体"/>
                <w:sz w:val="24"/>
                <w:szCs w:val="24"/>
                <w:highlight w:val="yellow"/>
                <w:lang w:val="en-US" w:eastAsia="zh-CN"/>
              </w:rPr>
              <w:t>1</w:t>
            </w:r>
            <w:r>
              <w:rPr>
                <w:rFonts w:hint="eastAsia" w:ascii="宋体" w:hAnsi="宋体"/>
                <w:sz w:val="24"/>
                <w:szCs w:val="24"/>
                <w:highlight w:val="yellow"/>
              </w:rPr>
              <w:t>个工作日通过本产品说明书约定的方式向投资者披露</w:t>
            </w:r>
            <w:r>
              <w:rPr>
                <w:rFonts w:hint="eastAsia" w:ascii="宋体" w:hAnsi="宋体"/>
                <w:sz w:val="24"/>
                <w:szCs w:val="24"/>
                <w:highlight w:val="yellow"/>
                <w:lang w:eastAsia="zh-CN"/>
              </w:rPr>
              <w:t>分配</w:t>
            </w:r>
            <w:r>
              <w:rPr>
                <w:rFonts w:hint="eastAsia" w:ascii="宋体" w:hAnsi="宋体"/>
                <w:sz w:val="24"/>
                <w:szCs w:val="24"/>
                <w:highlight w:val="yellow"/>
              </w:rPr>
              <w:t>方案。管理人在权益登记日后5个工作日内向投资者分配收益。</w:t>
            </w:r>
          </w:p>
          <w:p w14:paraId="2BE778E3">
            <w:pPr>
              <w:snapToGrid w:val="0"/>
              <w:rPr>
                <w:rFonts w:hint="eastAsia" w:ascii="宋体" w:hAnsi="宋体" w:eastAsia="仿宋_GB2312"/>
                <w:sz w:val="24"/>
                <w:szCs w:val="24"/>
                <w:highlight w:val="yellow"/>
                <w:lang w:eastAsia="zh-CN"/>
              </w:rPr>
            </w:pPr>
            <w:r>
              <w:rPr>
                <w:rFonts w:hint="eastAsia" w:ascii="宋体" w:hAnsi="宋体"/>
                <w:sz w:val="24"/>
                <w:szCs w:val="24"/>
                <w:highlight w:val="yellow"/>
              </w:rPr>
              <w:t>理财产品存续期间，产品管理人有权视理财产品收益情况进行主动分配，相应分配基准日、分配方案由管理人及时披露。</w:t>
            </w:r>
            <w:r>
              <w:rPr>
                <w:rFonts w:hint="eastAsia"/>
                <w:highlight w:val="yellow"/>
                <w:lang w:eastAsia="zh-CN"/>
              </w:rPr>
              <w:t>】</w:t>
            </w:r>
          </w:p>
          <w:tbl>
            <w:tblPr>
              <w:tblStyle w:val="7"/>
              <w:tblW w:w="6751" w:type="dxa"/>
              <w:tblInd w:w="0" w:type="dxa"/>
              <w:tblLayout w:type="fixed"/>
              <w:tblCellMar>
                <w:top w:w="0" w:type="dxa"/>
                <w:left w:w="108" w:type="dxa"/>
                <w:bottom w:w="0" w:type="dxa"/>
                <w:right w:w="108" w:type="dxa"/>
              </w:tblCellMar>
            </w:tblPr>
            <w:tblGrid>
              <w:gridCol w:w="2290"/>
              <w:gridCol w:w="2238"/>
              <w:gridCol w:w="2223"/>
            </w:tblGrid>
            <w:tr w14:paraId="2C3D74DB">
              <w:tblPrEx>
                <w:tblCellMar>
                  <w:top w:w="0" w:type="dxa"/>
                  <w:left w:w="108" w:type="dxa"/>
                  <w:bottom w:w="0" w:type="dxa"/>
                  <w:right w:w="108" w:type="dxa"/>
                </w:tblCellMar>
              </w:tblPrEx>
              <w:trPr>
                <w:trHeight w:val="285" w:hRule="atLeast"/>
              </w:trPr>
              <w:tc>
                <w:tcPr>
                  <w:tcW w:w="2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CB1753">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收益分配基准日</w:t>
                  </w:r>
                </w:p>
              </w:tc>
              <w:tc>
                <w:tcPr>
                  <w:tcW w:w="2238" w:type="dxa"/>
                  <w:tcBorders>
                    <w:top w:val="single" w:color="auto" w:sz="4" w:space="0"/>
                    <w:left w:val="nil"/>
                    <w:bottom w:val="single" w:color="auto" w:sz="4" w:space="0"/>
                    <w:right w:val="single" w:color="auto" w:sz="4" w:space="0"/>
                  </w:tcBorders>
                  <w:shd w:val="clear" w:color="auto" w:fill="auto"/>
                  <w:noWrap/>
                  <w:vAlign w:val="center"/>
                </w:tcPr>
                <w:p w14:paraId="3366F95D">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权益登记日</w:t>
                  </w:r>
                </w:p>
              </w:tc>
              <w:tc>
                <w:tcPr>
                  <w:tcW w:w="2223" w:type="dxa"/>
                  <w:tcBorders>
                    <w:top w:val="single" w:color="auto" w:sz="4" w:space="0"/>
                    <w:left w:val="nil"/>
                    <w:bottom w:val="single" w:color="auto" w:sz="4" w:space="0"/>
                    <w:right w:val="single" w:color="auto" w:sz="4" w:space="0"/>
                  </w:tcBorders>
                  <w:shd w:val="clear" w:color="auto" w:fill="auto"/>
                  <w:noWrap/>
                  <w:vAlign w:val="center"/>
                </w:tcPr>
                <w:p w14:paraId="67964323">
                  <w:pPr>
                    <w:widowControl/>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除权日</w:t>
                  </w:r>
                </w:p>
              </w:tc>
            </w:tr>
            <w:tr w14:paraId="63ABA6CD">
              <w:tblPrEx>
                <w:tblCellMar>
                  <w:top w:w="0" w:type="dxa"/>
                  <w:left w:w="108" w:type="dxa"/>
                  <w:bottom w:w="0" w:type="dxa"/>
                  <w:right w:w="108" w:type="dxa"/>
                </w:tblCellMar>
              </w:tblPrEx>
              <w:trPr>
                <w:trHeight w:val="285" w:hRule="atLeast"/>
              </w:trPr>
              <w:tc>
                <w:tcPr>
                  <w:tcW w:w="2290" w:type="dxa"/>
                  <w:tcBorders>
                    <w:top w:val="nil"/>
                    <w:left w:val="single" w:color="auto" w:sz="4" w:space="0"/>
                    <w:bottom w:val="single" w:color="auto" w:sz="4" w:space="0"/>
                    <w:right w:val="single" w:color="auto" w:sz="4" w:space="0"/>
                  </w:tcBorders>
                  <w:shd w:val="clear" w:color="auto" w:fill="auto"/>
                  <w:noWrap/>
                  <w:vAlign w:val="center"/>
                </w:tcPr>
                <w:p w14:paraId="58B19090">
                  <w:pPr>
                    <w:widowControl/>
                    <w:jc w:val="center"/>
                    <w:rPr>
                      <w:rFonts w:ascii="宋体" w:hAnsi="宋体" w:eastAsia="宋体" w:cs="宋体"/>
                      <w:color w:val="000000"/>
                      <w:kern w:val="0"/>
                      <w:sz w:val="24"/>
                      <w:szCs w:val="24"/>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p>
              </w:tc>
              <w:tc>
                <w:tcPr>
                  <w:tcW w:w="2238" w:type="dxa"/>
                  <w:tcBorders>
                    <w:top w:val="nil"/>
                    <w:left w:val="nil"/>
                    <w:bottom w:val="single" w:color="auto" w:sz="4" w:space="0"/>
                    <w:right w:val="single" w:color="auto" w:sz="4" w:space="0"/>
                  </w:tcBorders>
                  <w:shd w:val="clear" w:color="auto" w:fill="auto"/>
                  <w:noWrap/>
                  <w:vAlign w:val="center"/>
                </w:tcPr>
                <w:p w14:paraId="7E1A2AA3">
                  <w:pPr>
                    <w:widowControl/>
                    <w:jc w:val="center"/>
                    <w:rPr>
                      <w:rFonts w:ascii="宋体" w:hAnsi="宋体" w:eastAsia="宋体" w:cs="宋体"/>
                      <w:color w:val="000000"/>
                      <w:kern w:val="0"/>
                      <w:sz w:val="24"/>
                      <w:szCs w:val="24"/>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p>
              </w:tc>
              <w:tc>
                <w:tcPr>
                  <w:tcW w:w="2223" w:type="dxa"/>
                  <w:tcBorders>
                    <w:top w:val="nil"/>
                    <w:left w:val="nil"/>
                    <w:bottom w:val="single" w:color="auto" w:sz="4" w:space="0"/>
                    <w:right w:val="single" w:color="auto" w:sz="4" w:space="0"/>
                  </w:tcBorders>
                  <w:shd w:val="clear" w:color="auto" w:fill="auto"/>
                  <w:noWrap/>
                  <w:vAlign w:val="center"/>
                </w:tcPr>
                <w:p w14:paraId="0AB53560">
                  <w:pPr>
                    <w:widowControl/>
                    <w:jc w:val="center"/>
                    <w:rPr>
                      <w:rFonts w:ascii="宋体" w:hAnsi="宋体" w:eastAsia="宋体" w:cs="宋体"/>
                      <w:color w:val="000000"/>
                      <w:kern w:val="0"/>
                      <w:sz w:val="24"/>
                      <w:szCs w:val="24"/>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p>
              </w:tc>
            </w:tr>
          </w:tbl>
          <w:p w14:paraId="16FB69E8">
            <w:pPr>
              <w:widowControl/>
              <w:spacing w:line="400" w:lineRule="exact"/>
              <w:jc w:val="left"/>
              <w:textAlignment w:val="center"/>
              <w:rPr>
                <w:rFonts w:hint="eastAsia" w:ascii="仿宋_GB2312" w:hAnsi="等线" w:cs="仿宋_GB2312"/>
                <w:bCs/>
                <w:color w:val="000000" w:themeColor="text1"/>
                <w:sz w:val="24"/>
                <w:lang w:eastAsia="zh-CN"/>
                <w14:textFill>
                  <w14:solidFill>
                    <w14:schemeClr w14:val="tx1"/>
                  </w14:solidFill>
                </w14:textFill>
              </w:rPr>
            </w:pPr>
          </w:p>
        </w:tc>
      </w:tr>
      <w:tr w14:paraId="176B78F9">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1366C6C2">
            <w:pPr>
              <w:widowControl/>
              <w:spacing w:line="400" w:lineRule="exact"/>
              <w:jc w:val="center"/>
              <w:textAlignment w:val="center"/>
              <w:rPr>
                <w:rFonts w:hint="eastAsia" w:ascii="楷体_GB2312" w:hAnsi="等线" w:eastAsia="楷体_GB2312" w:cs="楷体_GB2312"/>
                <w:b/>
                <w:bCs/>
                <w:color w:val="000000" w:themeColor="text1"/>
                <w:sz w:val="24"/>
                <w14:textFill>
                  <w14:solidFill>
                    <w14:schemeClr w14:val="tx1"/>
                  </w14:solidFill>
                </w14:textFill>
              </w:rPr>
            </w:pPr>
            <w:r>
              <w:rPr>
                <w:rFonts w:hint="eastAsia" w:ascii="楷体_GB2312" w:hAnsi="等线" w:eastAsia="楷体_GB2312" w:cs="楷体_GB2312"/>
                <w:b/>
                <w:bCs/>
                <w:color w:val="000000" w:themeColor="text1"/>
                <w:kern w:val="0"/>
                <w:sz w:val="24"/>
                <w:lang w:bidi="ar"/>
                <w14:textFill>
                  <w14:solidFill>
                    <w14:schemeClr w14:val="tx1"/>
                  </w14:solidFill>
                </w14:textFill>
              </w:rPr>
              <w:t>（三）产品性质与类型</w:t>
            </w:r>
          </w:p>
        </w:tc>
      </w:tr>
      <w:tr w14:paraId="07311F2B">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6C27C1A">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募集方式</w:t>
            </w:r>
          </w:p>
        </w:tc>
        <w:tc>
          <w:tcPr>
            <w:tcW w:w="6972" w:type="dxa"/>
            <w:tcBorders>
              <w:top w:val="single" w:color="auto" w:sz="4" w:space="0"/>
              <w:left w:val="single" w:color="auto" w:sz="4" w:space="0"/>
              <w:bottom w:val="single" w:color="auto" w:sz="4" w:space="0"/>
              <w:right w:val="single" w:color="auto" w:sz="4" w:space="0"/>
            </w:tcBorders>
            <w:vAlign w:val="center"/>
          </w:tcPr>
          <w:p w14:paraId="6542F7F6">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eastAsia="zh-CN"/>
              </w:rPr>
            </w:pPr>
            <w:r>
              <w:rPr>
                <w:rFonts w:hint="eastAsia" w:ascii="宋体" w:hAnsi="宋体"/>
                <w:b/>
                <w:szCs w:val="24"/>
                <w:highlight w:val="yellow"/>
                <w:lang w:eastAsia="zh-CN"/>
              </w:rPr>
              <w:t>【公募</w:t>
            </w:r>
            <w:r>
              <w:rPr>
                <w:rFonts w:hint="eastAsia" w:ascii="宋体" w:hAnsi="宋体"/>
                <w:b/>
                <w:szCs w:val="24"/>
                <w:highlight w:val="yellow"/>
                <w:lang w:val="en-US" w:eastAsia="zh-CN"/>
              </w:rPr>
              <w:t>/私募</w:t>
            </w:r>
            <w:r>
              <w:rPr>
                <w:rFonts w:hint="eastAsia" w:ascii="宋体" w:hAnsi="宋体"/>
                <w:b/>
                <w:szCs w:val="24"/>
                <w:highlight w:val="yellow"/>
                <w:lang w:eastAsia="zh-CN"/>
              </w:rPr>
              <w:t>】</w:t>
            </w:r>
          </w:p>
        </w:tc>
      </w:tr>
      <w:tr w14:paraId="1023753A">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FA2639D">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投资性质</w:t>
            </w:r>
          </w:p>
        </w:tc>
        <w:tc>
          <w:tcPr>
            <w:tcW w:w="6972" w:type="dxa"/>
            <w:tcBorders>
              <w:top w:val="single" w:color="auto" w:sz="4" w:space="0"/>
              <w:left w:val="single" w:color="auto" w:sz="4" w:space="0"/>
              <w:bottom w:val="single" w:color="auto" w:sz="4" w:space="0"/>
              <w:right w:val="single" w:color="auto" w:sz="4" w:space="0"/>
            </w:tcBorders>
            <w:vAlign w:val="center"/>
          </w:tcPr>
          <w:p w14:paraId="3C73FF9F">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bidi="ar"/>
              </w:rPr>
            </w:pPr>
            <w:r>
              <w:rPr>
                <w:rFonts w:hint="eastAsia" w:ascii="宋体" w:hAnsi="宋体"/>
                <w:b/>
                <w:szCs w:val="24"/>
                <w:highlight w:val="yellow"/>
                <w:lang w:eastAsia="zh-CN"/>
              </w:rPr>
              <w:t>【固定收益类、权益类、商品及金融衍生品类、混合类】</w:t>
            </w:r>
          </w:p>
        </w:tc>
      </w:tr>
      <w:tr w14:paraId="6C4F715B">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6C8ED3A">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运作模式</w:t>
            </w:r>
          </w:p>
        </w:tc>
        <w:tc>
          <w:tcPr>
            <w:tcW w:w="6972" w:type="dxa"/>
            <w:tcBorders>
              <w:top w:val="single" w:color="auto" w:sz="4" w:space="0"/>
              <w:left w:val="single" w:color="auto" w:sz="4" w:space="0"/>
              <w:bottom w:val="single" w:color="auto" w:sz="4" w:space="0"/>
              <w:right w:val="single" w:color="auto" w:sz="4" w:space="0"/>
            </w:tcBorders>
            <w:vAlign w:val="center"/>
          </w:tcPr>
          <w:p w14:paraId="3DCB8B86">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bidi="ar"/>
              </w:rPr>
            </w:pPr>
            <w:r>
              <w:rPr>
                <w:rFonts w:hint="eastAsia" w:ascii="宋体" w:hAnsi="宋体"/>
                <w:b/>
                <w:szCs w:val="24"/>
                <w:highlight w:val="yellow"/>
                <w:lang w:eastAsia="zh-CN"/>
              </w:rPr>
              <w:t>【开放式</w:t>
            </w:r>
            <w:r>
              <w:rPr>
                <w:rFonts w:hint="eastAsia" w:ascii="宋体" w:hAnsi="宋体"/>
                <w:b/>
                <w:szCs w:val="24"/>
                <w:highlight w:val="yellow"/>
                <w:lang w:val="en-US" w:eastAsia="zh-CN"/>
              </w:rPr>
              <w:t>/封闭式</w:t>
            </w:r>
            <w:r>
              <w:rPr>
                <w:rFonts w:hint="eastAsia" w:ascii="宋体" w:hAnsi="宋体"/>
                <w:b/>
                <w:szCs w:val="24"/>
                <w:highlight w:val="yellow"/>
                <w:lang w:eastAsia="zh-CN"/>
              </w:rPr>
              <w:t>】</w:t>
            </w:r>
          </w:p>
        </w:tc>
      </w:tr>
      <w:tr w14:paraId="04D3A004">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DBFDADE">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运作模式（二级）</w:t>
            </w:r>
          </w:p>
        </w:tc>
        <w:tc>
          <w:tcPr>
            <w:tcW w:w="6972" w:type="dxa"/>
            <w:tcBorders>
              <w:top w:val="single" w:color="auto" w:sz="4" w:space="0"/>
              <w:left w:val="single" w:color="auto" w:sz="4" w:space="0"/>
              <w:bottom w:val="single" w:color="auto" w:sz="4" w:space="0"/>
              <w:right w:val="single" w:color="auto" w:sz="4" w:space="0"/>
            </w:tcBorders>
            <w:vAlign w:val="center"/>
          </w:tcPr>
          <w:p w14:paraId="115A25B8">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bidi="ar"/>
              </w:rPr>
            </w:pPr>
            <w:r>
              <w:rPr>
                <w:rFonts w:hint="eastAsia" w:ascii="宋体" w:hAnsi="宋体"/>
                <w:b/>
                <w:szCs w:val="24"/>
                <w:highlight w:val="yellow"/>
                <w:lang w:eastAsia="zh-CN"/>
              </w:rPr>
              <w:t>【</w:t>
            </w:r>
            <w:r>
              <w:rPr>
                <w:rFonts w:hint="eastAsia" w:ascii="仿宋_GB2312" w:hAnsi="宋体" w:eastAsia="仿宋_GB2312" w:cs="宋体"/>
                <w:b/>
                <w:bCs/>
                <w:color w:val="auto"/>
                <w:kern w:val="0"/>
                <w:sz w:val="24"/>
                <w:szCs w:val="24"/>
                <w:highlight w:val="yellow"/>
                <w:u w:val="none"/>
                <w:lang w:bidi="ar"/>
              </w:rPr>
              <w:t>日开型产品</w:t>
            </w:r>
            <w:r>
              <w:rPr>
                <w:rFonts w:hint="eastAsia" w:ascii="宋体" w:hAnsi="宋体"/>
                <w:b/>
                <w:szCs w:val="24"/>
                <w:highlight w:val="yellow"/>
                <w:lang w:eastAsia="zh-CN"/>
              </w:rPr>
              <w:t>】</w:t>
            </w:r>
          </w:p>
        </w:tc>
      </w:tr>
      <w:tr w14:paraId="448165EB">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76984737">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风险等级</w:t>
            </w:r>
          </w:p>
        </w:tc>
        <w:tc>
          <w:tcPr>
            <w:tcW w:w="6972" w:type="dxa"/>
            <w:tcBorders>
              <w:top w:val="single" w:color="auto" w:sz="4" w:space="0"/>
              <w:left w:val="single" w:color="auto" w:sz="4" w:space="0"/>
              <w:bottom w:val="single" w:color="auto" w:sz="4" w:space="0"/>
              <w:right w:val="single" w:color="auto" w:sz="4" w:space="0"/>
            </w:tcBorders>
            <w:vAlign w:val="center"/>
          </w:tcPr>
          <w:p w14:paraId="6580BDDA">
            <w:pPr>
              <w:widowControl/>
              <w:tabs>
                <w:tab w:val="left" w:pos="709"/>
              </w:tabs>
              <w:snapToGrid w:val="0"/>
              <w:rPr>
                <w:rFonts w:ascii="宋体" w:hAnsi="宋体"/>
                <w:color w:val="auto"/>
                <w:szCs w:val="24"/>
                <w:highlight w:val="none"/>
                <w:u w:val="none"/>
              </w:rPr>
            </w:pPr>
            <w:r>
              <w:rPr>
                <w:rFonts w:hint="eastAsia" w:ascii="宋体" w:hAnsi="宋体"/>
                <w:b/>
                <w:bCs/>
                <w:color w:val="auto"/>
                <w:szCs w:val="24"/>
                <w:highlight w:val="yellow"/>
                <w:u w:val="none"/>
              </w:rPr>
              <w:t>【</w:t>
            </w:r>
            <w:r>
              <w:rPr>
                <w:rFonts w:hint="eastAsia" w:ascii="宋体" w:hAnsi="宋体"/>
                <w:b/>
                <w:bCs/>
                <w:color w:val="auto"/>
                <w:szCs w:val="24"/>
                <w:highlight w:val="yellow"/>
                <w:u w:val="none"/>
                <w:lang w:val="en-US" w:eastAsia="zh-CN"/>
              </w:rPr>
              <w:t>R1/2/3/4/5</w:t>
            </w:r>
            <w:r>
              <w:rPr>
                <w:rFonts w:hint="eastAsia" w:ascii="宋体" w:hAnsi="宋体"/>
                <w:b/>
                <w:bCs/>
                <w:color w:val="auto"/>
                <w:szCs w:val="24"/>
                <w:highlight w:val="yellow"/>
                <w:u w:val="none"/>
              </w:rPr>
              <w:t>】</w:t>
            </w:r>
            <w:r>
              <w:rPr>
                <w:rFonts w:hint="eastAsia" w:ascii="宋体" w:hAnsi="宋体"/>
                <w:b/>
                <w:bCs/>
                <w:color w:val="auto"/>
                <w:szCs w:val="24"/>
                <w:highlight w:val="none"/>
                <w:u w:val="none"/>
              </w:rPr>
              <w:t>对应风险等级为</w:t>
            </w:r>
            <w:r>
              <w:rPr>
                <w:rFonts w:hint="eastAsia" w:ascii="宋体" w:hAnsi="宋体"/>
                <w:b/>
                <w:bCs/>
                <w:color w:val="auto"/>
                <w:szCs w:val="24"/>
                <w:highlight w:val="yellow"/>
                <w:u w:val="none"/>
              </w:rPr>
              <w:t>【】</w:t>
            </w:r>
            <w:r>
              <w:rPr>
                <w:rFonts w:hint="eastAsia" w:ascii="仿宋_GB2312" w:hAnsi="等线" w:eastAsia="仿宋_GB2312" w:cs="仿宋_GB2312"/>
                <w:b/>
                <w:bCs w:val="0"/>
                <w:color w:val="000000" w:themeColor="text1"/>
                <w:kern w:val="0"/>
                <w:sz w:val="24"/>
                <w:lang w:bidi="ar"/>
                <w14:textFill>
                  <w14:solidFill>
                    <w14:schemeClr w14:val="tx1"/>
                  </w14:solidFill>
                </w14:textFill>
              </w:rPr>
              <w:br w:type="textWrapping"/>
            </w:r>
            <w:r>
              <w:rPr>
                <w:rFonts w:hint="eastAsia" w:ascii="宋体" w:hAnsi="宋体"/>
                <w:color w:val="auto"/>
                <w:szCs w:val="24"/>
                <w:highlight w:val="none"/>
                <w:u w:val="none"/>
              </w:rPr>
              <w:t>本评级为管理人内部测评结果，仅供投资者参考。</w:t>
            </w:r>
            <w:r>
              <w:rPr>
                <w:rFonts w:hint="eastAsia" w:ascii="宋体" w:hAnsi="宋体"/>
                <w:b/>
                <w:color w:val="auto"/>
                <w:szCs w:val="24"/>
                <w:highlight w:val="none"/>
                <w:u w:val="none"/>
              </w:rPr>
              <w:t>本产品通过代理销售机构渠道销售的，理财产品评级应当以代理销售机构最终披露的评级结果为准。</w:t>
            </w:r>
            <w:r>
              <w:rPr>
                <w:rFonts w:ascii="宋体" w:hAnsi="宋体"/>
                <w:color w:val="auto"/>
                <w:szCs w:val="24"/>
                <w:highlight w:val="none"/>
                <w:u w:val="none"/>
              </w:rPr>
              <w:t>(</w:t>
            </w:r>
            <w:r>
              <w:rPr>
                <w:rFonts w:hint="eastAsia" w:ascii="宋体" w:hAnsi="宋体"/>
                <w:color w:val="auto"/>
                <w:szCs w:val="24"/>
                <w:highlight w:val="none"/>
                <w:u w:val="none"/>
              </w:rPr>
              <w:t>管理</w:t>
            </w:r>
            <w:r>
              <w:rPr>
                <w:rFonts w:ascii="宋体" w:hAnsi="宋体"/>
                <w:color w:val="auto"/>
                <w:szCs w:val="24"/>
                <w:highlight w:val="none"/>
                <w:u w:val="none"/>
              </w:rPr>
              <w:t>人与</w:t>
            </w:r>
            <w:r>
              <w:rPr>
                <w:rFonts w:hint="eastAsia" w:ascii="宋体" w:hAnsi="宋体"/>
                <w:color w:val="auto"/>
                <w:szCs w:val="24"/>
                <w:highlight w:val="none"/>
                <w:u w:val="none"/>
              </w:rPr>
              <w:t>代理</w:t>
            </w:r>
            <w:r>
              <w:rPr>
                <w:rFonts w:ascii="宋体" w:hAnsi="宋体"/>
                <w:color w:val="auto"/>
                <w:szCs w:val="24"/>
                <w:highlight w:val="none"/>
                <w:u w:val="none"/>
              </w:rPr>
              <w:t>销售机构</w:t>
            </w:r>
            <w:r>
              <w:rPr>
                <w:rFonts w:hint="eastAsia" w:ascii="宋体" w:hAnsi="宋体"/>
                <w:color w:val="auto"/>
                <w:szCs w:val="24"/>
                <w:highlight w:val="none"/>
                <w:u w:val="none"/>
              </w:rPr>
              <w:t>的</w:t>
            </w:r>
            <w:r>
              <w:rPr>
                <w:rFonts w:ascii="宋体" w:hAnsi="宋体"/>
                <w:color w:val="auto"/>
                <w:szCs w:val="24"/>
                <w:highlight w:val="none"/>
                <w:u w:val="none"/>
              </w:rPr>
              <w:t>风险</w:t>
            </w:r>
            <w:r>
              <w:rPr>
                <w:rFonts w:hint="eastAsia" w:ascii="宋体" w:hAnsi="宋体"/>
                <w:color w:val="auto"/>
                <w:szCs w:val="24"/>
                <w:highlight w:val="none"/>
                <w:u w:val="none"/>
              </w:rPr>
              <w:t>等级评估结果</w:t>
            </w:r>
            <w:r>
              <w:rPr>
                <w:rFonts w:ascii="宋体" w:hAnsi="宋体"/>
                <w:color w:val="auto"/>
                <w:szCs w:val="24"/>
                <w:highlight w:val="none"/>
                <w:u w:val="none"/>
              </w:rPr>
              <w:t>不一致的应采用</w:t>
            </w:r>
            <w:r>
              <w:rPr>
                <w:rFonts w:hint="eastAsia" w:ascii="宋体" w:hAnsi="宋体"/>
                <w:color w:val="auto"/>
                <w:szCs w:val="24"/>
                <w:highlight w:val="none"/>
                <w:u w:val="none"/>
              </w:rPr>
              <w:t>对应</w:t>
            </w:r>
            <w:r>
              <w:rPr>
                <w:rFonts w:ascii="宋体" w:hAnsi="宋体"/>
                <w:color w:val="auto"/>
                <w:szCs w:val="24"/>
                <w:highlight w:val="none"/>
                <w:u w:val="none"/>
              </w:rPr>
              <w:t>较高风险</w:t>
            </w:r>
            <w:r>
              <w:rPr>
                <w:rFonts w:hint="eastAsia" w:ascii="宋体" w:hAnsi="宋体"/>
                <w:color w:val="auto"/>
                <w:szCs w:val="24"/>
                <w:highlight w:val="none"/>
                <w:u w:val="none"/>
              </w:rPr>
              <w:t>的</w:t>
            </w:r>
            <w:r>
              <w:rPr>
                <w:rFonts w:ascii="宋体" w:hAnsi="宋体"/>
                <w:color w:val="auto"/>
                <w:szCs w:val="24"/>
                <w:highlight w:val="none"/>
                <w:u w:val="none"/>
              </w:rPr>
              <w:t>评级</w:t>
            </w:r>
            <w:r>
              <w:rPr>
                <w:rFonts w:hint="eastAsia" w:ascii="宋体" w:hAnsi="宋体"/>
                <w:color w:val="auto"/>
                <w:szCs w:val="24"/>
                <w:highlight w:val="none"/>
                <w:u w:val="none"/>
              </w:rPr>
              <w:t>结果。</w:t>
            </w:r>
            <w:r>
              <w:rPr>
                <w:rFonts w:ascii="宋体" w:hAnsi="宋体"/>
                <w:color w:val="auto"/>
                <w:szCs w:val="24"/>
                <w:highlight w:val="none"/>
                <w:u w:val="none"/>
              </w:rPr>
              <w:t>)</w:t>
            </w:r>
          </w:p>
          <w:p w14:paraId="1A7258F8">
            <w:pPr>
              <w:widowControl/>
              <w:tabs>
                <w:tab w:val="left" w:pos="709"/>
              </w:tabs>
              <w:snapToGrid w:val="0"/>
              <w:spacing w:line="240" w:lineRule="auto"/>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b/>
                <w:bCs/>
                <w:color w:val="auto"/>
                <w:szCs w:val="24"/>
                <w:highlight w:val="none"/>
                <w:u w:val="none"/>
              </w:rPr>
              <w:t>产品管理人在符合监管政策的前提下可对产品风险评级进行动态管理，如产品风险等级发生调整，将提前通过本《产品说明书》“信息披露”约定的方式通知投资者。</w:t>
            </w:r>
          </w:p>
        </w:tc>
      </w:tr>
      <w:tr w14:paraId="06135C2C">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1407C6C7">
            <w:pPr>
              <w:widowControl/>
              <w:spacing w:line="400" w:lineRule="exact"/>
              <w:jc w:val="center"/>
              <w:textAlignment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是否为现金管理类产品</w:t>
            </w:r>
          </w:p>
        </w:tc>
        <w:tc>
          <w:tcPr>
            <w:tcW w:w="6972" w:type="dxa"/>
            <w:tcBorders>
              <w:top w:val="single" w:color="auto" w:sz="4" w:space="0"/>
              <w:left w:val="single" w:color="auto" w:sz="4" w:space="0"/>
              <w:bottom w:val="single" w:color="auto" w:sz="4" w:space="0"/>
              <w:right w:val="single" w:color="auto" w:sz="4" w:space="0"/>
            </w:tcBorders>
            <w:vAlign w:val="center"/>
          </w:tcPr>
          <w:p w14:paraId="6E526713">
            <w:pPr>
              <w:widowControl/>
              <w:spacing w:line="400" w:lineRule="exact"/>
              <w:jc w:val="left"/>
              <w:textAlignment w:val="center"/>
              <w:rPr>
                <w:rFonts w:hint="eastAsia" w:ascii="仿宋_GB2312" w:hAnsi="等线" w:eastAsia="仿宋_GB2312" w:cs="仿宋_GB2312"/>
                <w:bCs/>
                <w:color w:val="000000" w:themeColor="text1"/>
                <w:kern w:val="0"/>
                <w:sz w:val="24"/>
                <w:lang w:eastAsia="zh-CN" w:bidi="ar"/>
                <w14:textFill>
                  <w14:solidFill>
                    <w14:schemeClr w14:val="tx1"/>
                  </w14:solidFill>
                </w14:textFill>
              </w:rPr>
            </w:pPr>
            <w:r>
              <w:rPr>
                <w:rFonts w:hint="eastAsia" w:ascii="仿宋_GB2312" w:hAnsi="等线" w:cs="仿宋_GB2312"/>
                <w:bCs/>
                <w:color w:val="000000" w:themeColor="text1"/>
                <w:kern w:val="0"/>
                <w:sz w:val="24"/>
                <w:highlight w:val="yellow"/>
                <w:lang w:eastAsia="zh-CN" w:bidi="ar"/>
                <w14:textFill>
                  <w14:solidFill>
                    <w14:schemeClr w14:val="tx1"/>
                  </w14:solidFill>
                </w14:textFill>
              </w:rPr>
              <w:t>【否】</w:t>
            </w:r>
          </w:p>
        </w:tc>
      </w:tr>
      <w:tr w14:paraId="7AFC7629">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3A88B448">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color w:val="auto"/>
                <w:szCs w:val="24"/>
                <w:highlight w:val="none"/>
                <w:u w:val="none"/>
              </w:rPr>
              <w:t>本金及收益类型</w:t>
            </w:r>
          </w:p>
        </w:tc>
        <w:tc>
          <w:tcPr>
            <w:tcW w:w="6972" w:type="dxa"/>
            <w:tcBorders>
              <w:top w:val="single" w:color="auto" w:sz="4" w:space="0"/>
              <w:left w:val="single" w:color="auto" w:sz="4" w:space="0"/>
              <w:bottom w:val="single" w:color="auto" w:sz="4" w:space="0"/>
              <w:right w:val="single" w:color="auto" w:sz="4" w:space="0"/>
            </w:tcBorders>
            <w:vAlign w:val="center"/>
          </w:tcPr>
          <w:p w14:paraId="5BAD5FCB">
            <w:pPr>
              <w:snapToGrid w:val="0"/>
              <w:rPr>
                <w:rFonts w:ascii="宋体" w:hAnsi="宋体"/>
                <w:color w:val="auto"/>
                <w:szCs w:val="24"/>
                <w:highlight w:val="none"/>
                <w:u w:val="none"/>
              </w:rPr>
            </w:pPr>
            <w:r>
              <w:rPr>
                <w:rFonts w:hint="eastAsia" w:ascii="宋体" w:hAnsi="宋体"/>
                <w:color w:val="auto"/>
                <w:szCs w:val="24"/>
                <w:highlight w:val="none"/>
                <w:u w:val="none"/>
              </w:rPr>
              <w:t>非保本浮动收益。本产品不保证理财本金且不保证收益。本产品的收益随投资收益浮动，投资者可能会因市场变动而蒙受损失。</w:t>
            </w:r>
          </w:p>
          <w:p w14:paraId="50149025">
            <w:pPr>
              <w:snapToGrid w:val="0"/>
              <w:rPr>
                <w:rFonts w:hint="eastAsia" w:ascii="仿宋_GB2312" w:hAnsi="等线" w:cs="仿宋_GB2312"/>
                <w:bCs/>
                <w:color w:val="000000" w:themeColor="text1"/>
                <w:kern w:val="0"/>
                <w:sz w:val="24"/>
                <w:lang w:eastAsia="zh-CN" w:bidi="ar"/>
                <w14:textFill>
                  <w14:solidFill>
                    <w14:schemeClr w14:val="tx1"/>
                  </w14:solidFill>
                </w14:textFill>
              </w:rPr>
            </w:pPr>
            <w:r>
              <w:rPr>
                <w:rFonts w:hint="eastAsia" w:ascii="宋体" w:hAnsi="宋体"/>
                <w:color w:val="auto"/>
                <w:szCs w:val="24"/>
                <w:highlight w:val="none"/>
                <w:u w:val="none"/>
              </w:rPr>
              <w:t>理财产品管理人对本产品的本金并不提供保证，也不承诺任何固定收益。</w:t>
            </w:r>
          </w:p>
        </w:tc>
      </w:tr>
      <w:tr w14:paraId="601798AE">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637091AB">
            <w:pPr>
              <w:widowControl/>
              <w:spacing w:line="400" w:lineRule="exact"/>
              <w:jc w:val="center"/>
              <w:textAlignment w:val="center"/>
              <w:rPr>
                <w:rFonts w:hint="eastAsia" w:ascii="楷体_GB2312" w:hAnsi="等线" w:eastAsia="楷体_GB2312" w:cs="楷体_GB2312"/>
                <w:bCs/>
                <w:color w:val="000000" w:themeColor="text1"/>
                <w:sz w:val="24"/>
                <w14:textFill>
                  <w14:solidFill>
                    <w14:schemeClr w14:val="tx1"/>
                  </w14:solidFill>
                </w14:textFill>
              </w:rPr>
            </w:pPr>
            <w:r>
              <w:rPr>
                <w:rFonts w:hint="eastAsia" w:ascii="楷体_GB2312" w:hAnsi="等线" w:eastAsia="楷体_GB2312" w:cs="楷体_GB2312"/>
                <w:b/>
                <w:color w:val="000000" w:themeColor="text1"/>
                <w:kern w:val="0"/>
                <w:sz w:val="24"/>
                <w:lang w:bidi="ar"/>
                <w14:textFill>
                  <w14:solidFill>
                    <w14:schemeClr w14:val="tx1"/>
                  </w14:solidFill>
                </w14:textFill>
              </w:rPr>
              <w:t>（四）产品期限</w:t>
            </w:r>
          </w:p>
        </w:tc>
      </w:tr>
      <w:tr w14:paraId="045A4D9A">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A41E204">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募集起始日期</w:t>
            </w:r>
          </w:p>
        </w:tc>
        <w:tc>
          <w:tcPr>
            <w:tcW w:w="6972" w:type="dxa"/>
            <w:tcBorders>
              <w:top w:val="single" w:color="auto" w:sz="4" w:space="0"/>
              <w:left w:val="single" w:color="auto" w:sz="4" w:space="0"/>
              <w:bottom w:val="single" w:color="auto" w:sz="4" w:space="0"/>
              <w:right w:val="single" w:color="auto" w:sz="4" w:space="0"/>
            </w:tcBorders>
            <w:vAlign w:val="center"/>
          </w:tcPr>
          <w:p w14:paraId="401D6B28">
            <w:pPr>
              <w:widowControl/>
              <w:autoSpaceDE w:val="0"/>
              <w:autoSpaceDN w:val="0"/>
              <w:adjustRightInd w:val="0"/>
              <w:snapToGrid w:val="0"/>
              <w:spacing w:line="240" w:lineRule="auto"/>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r>
              <w:rPr>
                <w:rFonts w:hint="eastAsia" w:ascii="宋体" w:hAnsi="宋体"/>
                <w:b/>
                <w:szCs w:val="24"/>
                <w:highlight w:val="yellow"/>
                <w:lang w:eastAsia="zh-CN"/>
              </w:rPr>
              <w:t>【</w:t>
            </w:r>
            <w:r>
              <w:rPr>
                <w:rFonts w:hint="eastAsia" w:ascii="宋体" w:hAnsi="宋体"/>
                <w:b/>
                <w:szCs w:val="24"/>
                <w:highlight w:val="none"/>
                <w:lang w:val="en-US" w:eastAsia="zh-CN"/>
              </w:rPr>
              <w:t>XX:XX</w:t>
            </w:r>
            <w:r>
              <w:rPr>
                <w:rFonts w:hint="eastAsia" w:ascii="宋体" w:hAnsi="宋体"/>
                <w:b/>
                <w:szCs w:val="24"/>
                <w:highlight w:val="yellow"/>
                <w:lang w:eastAsia="zh-CN"/>
              </w:rPr>
              <w:t>】</w:t>
            </w:r>
          </w:p>
        </w:tc>
      </w:tr>
      <w:tr w14:paraId="42424F01">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3631543">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募集结束日期</w:t>
            </w:r>
          </w:p>
        </w:tc>
        <w:tc>
          <w:tcPr>
            <w:tcW w:w="6972" w:type="dxa"/>
            <w:tcBorders>
              <w:top w:val="single" w:color="auto" w:sz="4" w:space="0"/>
              <w:left w:val="single" w:color="auto" w:sz="4" w:space="0"/>
              <w:bottom w:val="single" w:color="auto" w:sz="4" w:space="0"/>
              <w:right w:val="single" w:color="auto" w:sz="4" w:space="0"/>
            </w:tcBorders>
            <w:vAlign w:val="center"/>
          </w:tcPr>
          <w:p w14:paraId="3DDED580">
            <w:pPr>
              <w:widowControl/>
              <w:autoSpaceDE w:val="0"/>
              <w:autoSpaceDN w:val="0"/>
              <w:adjustRightInd w:val="0"/>
              <w:snapToGrid w:val="0"/>
              <w:spacing w:line="240" w:lineRule="auto"/>
              <w:jc w:val="left"/>
              <w:textAlignment w:val="auto"/>
              <w:rPr>
                <w:rFonts w:hint="eastAsia" w:ascii="宋体" w:hAnsi="宋体"/>
                <w:b/>
                <w:szCs w:val="24"/>
                <w:highlight w:val="yellow"/>
                <w:lang w:eastAsia="zh-CN"/>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r>
              <w:rPr>
                <w:rFonts w:hint="eastAsia" w:ascii="宋体" w:hAnsi="宋体"/>
                <w:b/>
                <w:szCs w:val="24"/>
                <w:highlight w:val="yellow"/>
                <w:lang w:eastAsia="zh-CN"/>
              </w:rPr>
              <w:t>【</w:t>
            </w:r>
            <w:r>
              <w:rPr>
                <w:rFonts w:hint="eastAsia" w:ascii="宋体" w:hAnsi="宋体"/>
                <w:b/>
                <w:szCs w:val="24"/>
                <w:highlight w:val="none"/>
                <w:lang w:val="en-US" w:eastAsia="zh-CN"/>
              </w:rPr>
              <w:t>XX:XX</w:t>
            </w:r>
            <w:r>
              <w:rPr>
                <w:rFonts w:hint="eastAsia" w:ascii="宋体" w:hAnsi="宋体"/>
                <w:b/>
                <w:szCs w:val="24"/>
                <w:highlight w:val="yellow"/>
                <w:lang w:eastAsia="zh-CN"/>
              </w:rPr>
              <w:t>】</w:t>
            </w:r>
          </w:p>
          <w:p w14:paraId="1E85D4BF">
            <w:pPr>
              <w:widowControl/>
              <w:autoSpaceDE w:val="0"/>
              <w:autoSpaceDN w:val="0"/>
              <w:adjustRightInd w:val="0"/>
              <w:snapToGrid w:val="0"/>
              <w:spacing w:line="240" w:lineRule="auto"/>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color w:val="auto"/>
                <w:szCs w:val="24"/>
                <w:highlight w:val="none"/>
                <w:u w:val="none"/>
              </w:rPr>
              <w:t>销售机构实际受理时间可能与说明书不一致，具体以销售机构通知为准。</w:t>
            </w:r>
            <w:r>
              <w:rPr>
                <w:rFonts w:hint="eastAsia" w:ascii="宋体" w:hAnsi="宋体"/>
                <w:b/>
                <w:color w:val="auto"/>
                <w:szCs w:val="24"/>
                <w:highlight w:val="none"/>
                <w:u w:val="none"/>
              </w:rPr>
              <w:t>管理人有权提前结束募集并提前成立理财产品或延长募集期，具体以管理人或销售机构公告为准。</w:t>
            </w:r>
          </w:p>
        </w:tc>
      </w:tr>
      <w:tr w14:paraId="684CA47C">
        <w:tblPrEx>
          <w:tblCellMar>
            <w:top w:w="0" w:type="dxa"/>
            <w:left w:w="108" w:type="dxa"/>
            <w:bottom w:w="0" w:type="dxa"/>
            <w:right w:w="108" w:type="dxa"/>
          </w:tblCellMar>
        </w:tblPrEx>
        <w:trPr>
          <w:trHeight w:val="888" w:hRule="atLeast"/>
        </w:trPr>
        <w:tc>
          <w:tcPr>
            <w:tcW w:w="2453" w:type="dxa"/>
            <w:tcBorders>
              <w:top w:val="single" w:color="auto" w:sz="4" w:space="0"/>
              <w:left w:val="single" w:color="auto" w:sz="4" w:space="0"/>
              <w:bottom w:val="single" w:color="auto" w:sz="4" w:space="0"/>
              <w:right w:val="single" w:color="auto" w:sz="4" w:space="0"/>
            </w:tcBorders>
            <w:vAlign w:val="center"/>
          </w:tcPr>
          <w:p w14:paraId="1A7921B5">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产品成立日期</w:t>
            </w:r>
          </w:p>
        </w:tc>
        <w:tc>
          <w:tcPr>
            <w:tcW w:w="6972" w:type="dxa"/>
            <w:tcBorders>
              <w:top w:val="single" w:color="auto" w:sz="4" w:space="0"/>
              <w:left w:val="single" w:color="auto" w:sz="4" w:space="0"/>
              <w:bottom w:val="single" w:color="auto" w:sz="4" w:space="0"/>
              <w:right w:val="single" w:color="auto" w:sz="4" w:space="0"/>
            </w:tcBorders>
            <w:vAlign w:val="center"/>
          </w:tcPr>
          <w:p w14:paraId="63A4C2DE">
            <w:pPr>
              <w:snapToGrid w:val="0"/>
              <w:rPr>
                <w:rFonts w:hint="eastAsia" w:ascii="宋体" w:hAnsi="宋体"/>
                <w:b/>
                <w:szCs w:val="24"/>
                <w:highlight w:val="yellow"/>
                <w:lang w:eastAsia="zh-CN"/>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p>
          <w:p w14:paraId="06474297">
            <w:pPr>
              <w:snapToGrid w:val="0"/>
              <w:rPr>
                <w:rFonts w:ascii="宋体" w:hAnsi="宋体"/>
                <w:b/>
                <w:color w:val="auto"/>
                <w:szCs w:val="24"/>
                <w:highlight w:val="none"/>
                <w:u w:val="none"/>
              </w:rPr>
            </w:pPr>
            <w:r>
              <w:rPr>
                <w:rFonts w:hint="eastAsia" w:ascii="宋体" w:hAnsi="宋体"/>
                <w:b/>
                <w:color w:val="auto"/>
                <w:szCs w:val="24"/>
                <w:highlight w:val="none"/>
                <w:u w:val="none"/>
              </w:rPr>
              <w:t>如遇非</w:t>
            </w:r>
            <w:r>
              <w:rPr>
                <w:rFonts w:hint="eastAsia" w:ascii="宋体" w:hAnsi="宋体"/>
                <w:b/>
                <w:color w:val="auto"/>
                <w:szCs w:val="24"/>
                <w:highlight w:val="yellow"/>
                <w:u w:val="none"/>
                <w:lang w:eastAsia="zh-CN"/>
              </w:rPr>
              <w:t>【工作日</w:t>
            </w:r>
            <w:r>
              <w:rPr>
                <w:rFonts w:hint="eastAsia" w:ascii="宋体" w:hAnsi="宋体"/>
                <w:b/>
                <w:color w:val="auto"/>
                <w:szCs w:val="24"/>
                <w:highlight w:val="yellow"/>
                <w:u w:val="none"/>
                <w:lang w:val="en-US" w:eastAsia="zh-CN"/>
              </w:rPr>
              <w:t>/</w:t>
            </w:r>
            <w:r>
              <w:rPr>
                <w:rFonts w:hint="eastAsia" w:ascii="宋体" w:hAnsi="宋体"/>
                <w:b/>
                <w:color w:val="auto"/>
                <w:szCs w:val="24"/>
                <w:highlight w:val="yellow"/>
                <w:u w:val="none"/>
              </w:rPr>
              <w:t>交易日</w:t>
            </w:r>
            <w:r>
              <w:rPr>
                <w:rFonts w:hint="eastAsia" w:ascii="宋体" w:hAnsi="宋体"/>
                <w:b/>
                <w:color w:val="auto"/>
                <w:szCs w:val="24"/>
                <w:highlight w:val="yellow"/>
                <w:u w:val="none"/>
                <w:lang w:eastAsia="zh-CN"/>
              </w:rPr>
              <w:t>】</w:t>
            </w:r>
            <w:r>
              <w:rPr>
                <w:rFonts w:hint="eastAsia" w:ascii="宋体" w:hAnsi="宋体"/>
                <w:b/>
                <w:color w:val="auto"/>
                <w:szCs w:val="24"/>
                <w:highlight w:val="none"/>
                <w:u w:val="none"/>
              </w:rPr>
              <w:t>则顺延至下一</w:t>
            </w:r>
            <w:r>
              <w:rPr>
                <w:rFonts w:hint="eastAsia" w:ascii="宋体" w:hAnsi="宋体"/>
                <w:b/>
                <w:color w:val="auto"/>
                <w:szCs w:val="24"/>
                <w:highlight w:val="yellow"/>
                <w:u w:val="none"/>
                <w:lang w:eastAsia="zh-CN"/>
              </w:rPr>
              <w:t>【工作日</w:t>
            </w:r>
            <w:r>
              <w:rPr>
                <w:rFonts w:hint="eastAsia" w:ascii="宋体" w:hAnsi="宋体"/>
                <w:b/>
                <w:color w:val="auto"/>
                <w:szCs w:val="24"/>
                <w:highlight w:val="yellow"/>
                <w:u w:val="none"/>
                <w:lang w:val="en-US" w:eastAsia="zh-CN"/>
              </w:rPr>
              <w:t>/</w:t>
            </w:r>
            <w:r>
              <w:rPr>
                <w:rFonts w:hint="eastAsia" w:ascii="宋体" w:hAnsi="宋体"/>
                <w:b/>
                <w:color w:val="auto"/>
                <w:szCs w:val="24"/>
                <w:highlight w:val="yellow"/>
                <w:u w:val="none"/>
              </w:rPr>
              <w:t>交易日</w:t>
            </w:r>
            <w:r>
              <w:rPr>
                <w:rFonts w:hint="eastAsia" w:ascii="宋体" w:hAnsi="宋体"/>
                <w:b/>
                <w:color w:val="auto"/>
                <w:szCs w:val="24"/>
                <w:highlight w:val="yellow"/>
                <w:u w:val="none"/>
                <w:lang w:eastAsia="zh-CN"/>
              </w:rPr>
              <w:t>】</w:t>
            </w:r>
            <w:r>
              <w:rPr>
                <w:rFonts w:hint="eastAsia" w:ascii="宋体" w:hAnsi="宋体"/>
                <w:b/>
                <w:color w:val="auto"/>
                <w:szCs w:val="24"/>
                <w:highlight w:val="none"/>
                <w:u w:val="none"/>
              </w:rPr>
              <w:t>。</w:t>
            </w:r>
          </w:p>
          <w:p w14:paraId="5BF4937E">
            <w:pPr>
              <w:widowControl/>
              <w:spacing w:line="400" w:lineRule="exact"/>
              <w:jc w:val="left"/>
              <w:textAlignment w:val="center"/>
              <w:rPr>
                <w:rFonts w:hint="eastAsia" w:ascii="宋体" w:hAnsi="宋体"/>
                <w:color w:val="auto"/>
                <w:szCs w:val="24"/>
                <w:highlight w:val="none"/>
                <w:u w:val="none"/>
              </w:rPr>
            </w:pPr>
            <w:r>
              <w:rPr>
                <w:rFonts w:hint="eastAsia" w:ascii="宋体" w:hAnsi="宋体"/>
                <w:b/>
                <w:color w:val="auto"/>
                <w:szCs w:val="24"/>
                <w:highlight w:val="none"/>
                <w:u w:val="none"/>
              </w:rPr>
              <w:t>如本理财产品募集期提前终止或延长，实际成立日以管理人或销售机构公告为准。</w:t>
            </w:r>
          </w:p>
        </w:tc>
      </w:tr>
      <w:tr w14:paraId="003553AE">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CA8CFAE">
            <w:pPr>
              <w:widowControl/>
              <w:spacing w:line="400" w:lineRule="exact"/>
              <w:jc w:val="center"/>
              <w:textAlignment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产品到期日期</w:t>
            </w:r>
          </w:p>
        </w:tc>
        <w:tc>
          <w:tcPr>
            <w:tcW w:w="6972" w:type="dxa"/>
            <w:tcBorders>
              <w:top w:val="single" w:color="auto" w:sz="4" w:space="0"/>
              <w:left w:val="single" w:color="auto" w:sz="4" w:space="0"/>
              <w:bottom w:val="single" w:color="auto" w:sz="4" w:space="0"/>
              <w:right w:val="single" w:color="auto" w:sz="4" w:space="0"/>
            </w:tcBorders>
            <w:vAlign w:val="center"/>
          </w:tcPr>
          <w:p w14:paraId="6C81341E">
            <w:pPr>
              <w:widowControl/>
              <w:spacing w:line="400" w:lineRule="exact"/>
              <w:jc w:val="left"/>
              <w:textAlignment w:val="center"/>
              <w:rPr>
                <w:rFonts w:hint="eastAsia" w:ascii="仿宋_GB2312" w:hAnsi="等线" w:cs="仿宋_GB2312"/>
                <w:bCs/>
                <w:color w:val="000000" w:themeColor="text1"/>
                <w:sz w:val="24"/>
                <w:lang w:eastAsia="zh-CN"/>
                <w14:textFill>
                  <w14:solidFill>
                    <w14:schemeClr w14:val="tx1"/>
                  </w14:solidFill>
                </w14:textFill>
              </w:rPr>
            </w:pPr>
            <w:r>
              <w:rPr>
                <w:rFonts w:hint="eastAsia" w:ascii="宋体" w:hAnsi="宋体"/>
                <w:szCs w:val="24"/>
                <w:highlight w:val="yellow"/>
                <w:lang w:eastAsia="zh-CN"/>
              </w:rPr>
              <w:t>【无固定期限</w:t>
            </w:r>
            <w:r>
              <w:rPr>
                <w:rFonts w:hint="eastAsia" w:ascii="宋体" w:hAnsi="宋体"/>
                <w:szCs w:val="24"/>
                <w:highlight w:val="yellow"/>
                <w:lang w:val="en-US" w:eastAsia="zh-CN"/>
              </w:rPr>
              <w:t>/xxxx年xx月xx日</w:t>
            </w:r>
            <w:r>
              <w:rPr>
                <w:rFonts w:hint="eastAsia" w:ascii="宋体" w:hAnsi="宋体"/>
                <w:b/>
                <w:szCs w:val="24"/>
                <w:highlight w:val="yellow"/>
                <w:lang w:eastAsia="zh-CN"/>
              </w:rPr>
              <w:t>】</w:t>
            </w:r>
          </w:p>
          <w:p w14:paraId="7134CDCB">
            <w:pPr>
              <w:widowControl/>
              <w:spacing w:line="400" w:lineRule="exact"/>
              <w:jc w:val="left"/>
              <w:textAlignment w:val="center"/>
              <w:rPr>
                <w:rFonts w:hint="eastAsia" w:ascii="仿宋_GB2312" w:hAnsi="等线" w:cs="仿宋_GB2312"/>
                <w:bCs/>
                <w:color w:val="000000" w:themeColor="text1"/>
                <w:sz w:val="24"/>
                <w:lang w:eastAsia="zh-CN"/>
                <w14:textFill>
                  <w14:solidFill>
                    <w14:schemeClr w14:val="tx1"/>
                  </w14:solidFill>
                </w14:textFill>
              </w:rPr>
            </w:pPr>
            <w:r>
              <w:rPr>
                <w:rFonts w:hint="eastAsia" w:ascii="宋体" w:hAnsi="宋体"/>
                <w:color w:val="auto"/>
                <w:szCs w:val="24"/>
                <w:highlight w:val="none"/>
                <w:u w:val="none"/>
              </w:rPr>
              <w:t>产品管理人有权根据实际情况提前终止，并提前</w:t>
            </w:r>
            <w:r>
              <w:rPr>
                <w:rFonts w:hint="eastAsia" w:ascii="宋体" w:hAnsi="宋体"/>
                <w:b/>
                <w:szCs w:val="24"/>
                <w:highlight w:val="yellow"/>
                <w:lang w:eastAsia="zh-CN"/>
              </w:rPr>
              <w:t>【</w:t>
            </w:r>
            <w:r>
              <w:rPr>
                <w:rFonts w:hint="eastAsia" w:ascii="宋体" w:hAnsi="宋体"/>
                <w:b/>
                <w:szCs w:val="24"/>
                <w:highlight w:val="yellow"/>
                <w:lang w:val="en-US" w:eastAsia="zh-CN"/>
              </w:rPr>
              <w:t>1</w:t>
            </w:r>
            <w:r>
              <w:rPr>
                <w:rFonts w:hint="eastAsia" w:ascii="宋体" w:hAnsi="宋体"/>
                <w:b/>
                <w:szCs w:val="24"/>
                <w:highlight w:val="yellow"/>
                <w:lang w:eastAsia="zh-CN"/>
              </w:rPr>
              <w:t>】</w:t>
            </w:r>
            <w:r>
              <w:rPr>
                <w:rFonts w:hint="eastAsia" w:ascii="宋体" w:hAnsi="宋体"/>
                <w:color w:val="auto"/>
                <w:szCs w:val="24"/>
                <w:highlight w:val="none"/>
                <w:u w:val="none"/>
              </w:rPr>
              <w:t>个</w:t>
            </w:r>
            <w:r>
              <w:rPr>
                <w:rFonts w:ascii="宋体" w:hAnsi="宋体"/>
                <w:color w:val="auto"/>
                <w:szCs w:val="24"/>
                <w:highlight w:val="none"/>
                <w:u w:val="none"/>
              </w:rPr>
              <w:t>工作</w:t>
            </w:r>
            <w:r>
              <w:rPr>
                <w:rFonts w:hint="eastAsia" w:ascii="宋体" w:hAnsi="宋体"/>
                <w:color w:val="auto"/>
                <w:szCs w:val="24"/>
                <w:highlight w:val="none"/>
                <w:u w:val="none"/>
              </w:rPr>
              <w:t>日按照本《产品说明书》“信息披露”约定的方式通知投资者。</w:t>
            </w:r>
          </w:p>
        </w:tc>
      </w:tr>
      <w:tr w14:paraId="60C273A2">
        <w:tblPrEx>
          <w:tblCellMar>
            <w:top w:w="0" w:type="dxa"/>
            <w:left w:w="108" w:type="dxa"/>
            <w:bottom w:w="0" w:type="dxa"/>
            <w:right w:w="108" w:type="dxa"/>
          </w:tblCellMar>
        </w:tblPrEx>
        <w:trPr>
          <w:trHeight w:val="447" w:hRule="atLeast"/>
        </w:trPr>
        <w:tc>
          <w:tcPr>
            <w:tcW w:w="2453" w:type="dxa"/>
            <w:tcBorders>
              <w:top w:val="single" w:color="auto" w:sz="4" w:space="0"/>
              <w:left w:val="single" w:color="auto" w:sz="4" w:space="0"/>
              <w:bottom w:val="single" w:color="auto" w:sz="4" w:space="0"/>
              <w:right w:val="single" w:color="auto" w:sz="4" w:space="0"/>
            </w:tcBorders>
            <w:vAlign w:val="center"/>
          </w:tcPr>
          <w:p w14:paraId="4F7C3583">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资金到账日</w:t>
            </w:r>
          </w:p>
        </w:tc>
        <w:tc>
          <w:tcPr>
            <w:tcW w:w="6972" w:type="dxa"/>
            <w:tcBorders>
              <w:top w:val="single" w:color="auto" w:sz="4" w:space="0"/>
              <w:left w:val="single" w:color="auto" w:sz="4" w:space="0"/>
              <w:bottom w:val="single" w:color="auto" w:sz="4" w:space="0"/>
              <w:right w:val="single" w:color="auto" w:sz="4" w:space="0"/>
            </w:tcBorders>
            <w:vAlign w:val="center"/>
          </w:tcPr>
          <w:p w14:paraId="2A4F2C8F">
            <w:pPr>
              <w:widowControl/>
              <w:spacing w:line="400" w:lineRule="exact"/>
              <w:jc w:val="left"/>
              <w:textAlignment w:val="center"/>
              <w:rPr>
                <w:rFonts w:hint="eastAsia" w:ascii="宋体" w:hAnsi="宋体" w:eastAsia="仿宋_GB2312" w:cstheme="minorBidi"/>
                <w:bCs w:val="0"/>
                <w:color w:val="auto"/>
                <w:sz w:val="24"/>
                <w:szCs w:val="24"/>
                <w:highlight w:val="none"/>
                <w:u w:val="none"/>
              </w:rPr>
            </w:pPr>
            <w:r>
              <w:rPr>
                <w:rFonts w:hint="eastAsia" w:ascii="宋体" w:hAnsi="宋体"/>
                <w:b/>
                <w:szCs w:val="24"/>
                <w:highlight w:val="yellow"/>
                <w:lang w:eastAsia="zh-CN"/>
              </w:rPr>
              <w:t>【T+0、T+1、T+2、T+3、T+4、T+5及以上】</w:t>
            </w:r>
          </w:p>
        </w:tc>
      </w:tr>
      <w:tr w14:paraId="4B7D152B">
        <w:tblPrEx>
          <w:tblCellMar>
            <w:top w:w="0" w:type="dxa"/>
            <w:left w:w="108" w:type="dxa"/>
            <w:bottom w:w="0" w:type="dxa"/>
            <w:right w:w="108" w:type="dxa"/>
          </w:tblCellMar>
        </w:tblPrEx>
        <w:trPr>
          <w:trHeight w:val="328" w:hRule="atLeast"/>
        </w:trPr>
        <w:tc>
          <w:tcPr>
            <w:tcW w:w="2453" w:type="dxa"/>
            <w:tcBorders>
              <w:top w:val="single" w:color="auto" w:sz="4" w:space="0"/>
              <w:left w:val="single" w:color="auto" w:sz="4" w:space="0"/>
              <w:bottom w:val="single" w:color="auto" w:sz="4" w:space="0"/>
              <w:right w:val="single" w:color="auto" w:sz="4" w:space="0"/>
            </w:tcBorders>
            <w:vAlign w:val="center"/>
          </w:tcPr>
          <w:p w14:paraId="7528D5D2">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投资周期</w:t>
            </w:r>
          </w:p>
        </w:tc>
        <w:tc>
          <w:tcPr>
            <w:tcW w:w="6972" w:type="dxa"/>
            <w:tcBorders>
              <w:top w:val="single" w:color="auto" w:sz="4" w:space="0"/>
              <w:left w:val="single" w:color="auto" w:sz="4" w:space="0"/>
              <w:bottom w:val="single" w:color="auto" w:sz="4" w:space="0"/>
              <w:right w:val="single" w:color="auto" w:sz="4" w:space="0"/>
            </w:tcBorders>
            <w:vAlign w:val="center"/>
          </w:tcPr>
          <w:p w14:paraId="00FA9C69">
            <w:pPr>
              <w:widowControl/>
              <w:spacing w:line="400" w:lineRule="exact"/>
              <w:jc w:val="left"/>
              <w:textAlignment w:val="center"/>
              <w:rPr>
                <w:rFonts w:hint="eastAsia" w:ascii="宋体" w:hAnsi="宋体" w:eastAsia="仿宋_GB2312" w:cstheme="minorBidi"/>
                <w:bCs w:val="0"/>
                <w:color w:val="auto"/>
                <w:sz w:val="24"/>
                <w:szCs w:val="24"/>
                <w:highlight w:val="none"/>
                <w:u w:val="none"/>
              </w:rPr>
            </w:pPr>
            <w:r>
              <w:rPr>
                <w:rFonts w:hint="eastAsia" w:ascii="宋体" w:hAnsi="宋体" w:eastAsia="仿宋_GB2312" w:cstheme="minorBidi"/>
                <w:bCs w:val="0"/>
                <w:color w:val="auto"/>
                <w:kern w:val="2"/>
                <w:sz w:val="24"/>
                <w:szCs w:val="24"/>
                <w:highlight w:val="none"/>
                <w:u w:val="none"/>
                <w:lang w:bidi="ar"/>
              </w:rPr>
              <w:t>每天</w:t>
            </w:r>
          </w:p>
        </w:tc>
      </w:tr>
      <w:tr w14:paraId="792ABEDE">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144E1522">
            <w:pPr>
              <w:widowControl/>
              <w:spacing w:line="400" w:lineRule="exact"/>
              <w:jc w:val="center"/>
              <w:textAlignment w:val="center"/>
              <w:rPr>
                <w:rFonts w:hint="eastAsia" w:ascii="楷体_GB2312" w:hAnsi="等线" w:eastAsia="楷体_GB2312" w:cs="楷体_GB2312"/>
                <w:b/>
                <w:bCs/>
                <w:color w:val="000000" w:themeColor="text1"/>
                <w:sz w:val="24"/>
                <w14:textFill>
                  <w14:solidFill>
                    <w14:schemeClr w14:val="tx1"/>
                  </w14:solidFill>
                </w14:textFill>
              </w:rPr>
            </w:pPr>
            <w:r>
              <w:rPr>
                <w:rFonts w:hint="eastAsia" w:ascii="楷体_GB2312" w:hAnsi="等线" w:eastAsia="楷体_GB2312" w:cs="楷体_GB2312"/>
                <w:b/>
                <w:bCs/>
                <w:color w:val="000000" w:themeColor="text1"/>
                <w:kern w:val="0"/>
                <w:sz w:val="24"/>
                <w:lang w:bidi="ar"/>
                <w14:textFill>
                  <w14:solidFill>
                    <w14:schemeClr w14:val="tx1"/>
                  </w14:solidFill>
                </w14:textFill>
              </w:rPr>
              <w:t>（五）产品费用</w:t>
            </w:r>
          </w:p>
        </w:tc>
      </w:tr>
      <w:tr w14:paraId="17E1F19C">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40C1A37">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auto"/>
                <w:kern w:val="0"/>
                <w:sz w:val="24"/>
                <w:highlight w:val="none"/>
                <w:lang w:bidi="ar"/>
              </w:rPr>
              <w:t>销售</w:t>
            </w:r>
            <w:r>
              <w:rPr>
                <w:rFonts w:hint="eastAsia" w:ascii="仿宋_GB2312" w:hAnsi="等线" w:cs="仿宋_GB2312"/>
                <w:color w:val="auto"/>
                <w:kern w:val="0"/>
                <w:sz w:val="24"/>
                <w:highlight w:val="none"/>
                <w:lang w:eastAsia="zh-CN" w:bidi="ar"/>
              </w:rPr>
              <w:t>服务</w:t>
            </w:r>
            <w:r>
              <w:rPr>
                <w:rFonts w:hint="eastAsia" w:ascii="仿宋_GB2312" w:hAnsi="等线" w:eastAsia="仿宋_GB2312" w:cs="仿宋_GB2312"/>
                <w:color w:val="auto"/>
                <w:kern w:val="0"/>
                <w:sz w:val="24"/>
                <w:highlight w:val="none"/>
                <w:lang w:bidi="ar"/>
              </w:rPr>
              <w:t>费率（年化）</w:t>
            </w:r>
          </w:p>
        </w:tc>
        <w:tc>
          <w:tcPr>
            <w:tcW w:w="6972" w:type="dxa"/>
            <w:tcBorders>
              <w:top w:val="single" w:color="auto" w:sz="4" w:space="0"/>
              <w:left w:val="single" w:color="auto" w:sz="4" w:space="0"/>
              <w:bottom w:val="single" w:color="auto" w:sz="4" w:space="0"/>
              <w:right w:val="single" w:color="auto" w:sz="4" w:space="0"/>
            </w:tcBorders>
            <w:vAlign w:val="center"/>
          </w:tcPr>
          <w:p w14:paraId="439644BC">
            <w:pPr>
              <w:widowControl/>
              <w:spacing w:line="400" w:lineRule="exact"/>
              <w:jc w:val="left"/>
              <w:textAlignment w:val="center"/>
              <w:rPr>
                <w:rFonts w:hint="default" w:ascii="仿宋_GB2312" w:hAnsi="等线" w:eastAsia="仿宋_GB2312" w:cs="仿宋_GB2312"/>
                <w:bCs/>
                <w:color w:val="000000" w:themeColor="text1"/>
                <w:sz w:val="24"/>
                <w:lang w:val="en-US"/>
                <w14:textFill>
                  <w14:solidFill>
                    <w14:schemeClr w14:val="tx1"/>
                  </w14:solidFill>
                </w14:textFill>
              </w:rPr>
            </w:pPr>
            <w:r>
              <w:rPr>
                <w:rFonts w:hint="eastAsia" w:ascii="宋体" w:hAnsi="宋体"/>
                <w:color w:val="auto"/>
                <w:szCs w:val="24"/>
                <w:highlight w:val="yellow"/>
                <w:lang w:eastAsia="zh-CN"/>
              </w:rPr>
              <w:t>【份额代码】</w:t>
            </w:r>
            <w:r>
              <w:rPr>
                <w:rFonts w:hint="eastAsia" w:ascii="宋体" w:hAnsi="宋体"/>
                <w:color w:val="auto"/>
                <w:szCs w:val="24"/>
                <w:highlight w:val="none"/>
                <w:u w:val="none"/>
                <w:lang w:val="en-US" w:eastAsia="zh-CN"/>
              </w:rPr>
              <w:t>：</w:t>
            </w:r>
            <w:r>
              <w:rPr>
                <w:rFonts w:hint="eastAsia" w:ascii="宋体" w:hAnsi="宋体"/>
                <w:color w:val="auto"/>
                <w:szCs w:val="24"/>
                <w:highlight w:val="yellow"/>
                <w:u w:val="none"/>
                <w:lang w:val="en-US" w:eastAsia="zh-CN"/>
              </w:rPr>
              <w:t>【%】</w:t>
            </w:r>
          </w:p>
        </w:tc>
      </w:tr>
      <w:tr w14:paraId="57B031EA">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56CA5DE">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auto"/>
                <w:kern w:val="0"/>
                <w:sz w:val="24"/>
                <w:highlight w:val="none"/>
                <w:lang w:bidi="ar"/>
              </w:rPr>
              <w:t>托管费率（年化）</w:t>
            </w:r>
          </w:p>
        </w:tc>
        <w:tc>
          <w:tcPr>
            <w:tcW w:w="6972" w:type="dxa"/>
            <w:tcBorders>
              <w:top w:val="single" w:color="auto" w:sz="4" w:space="0"/>
              <w:left w:val="single" w:color="auto" w:sz="4" w:space="0"/>
              <w:bottom w:val="single" w:color="auto" w:sz="4" w:space="0"/>
              <w:right w:val="single" w:color="auto" w:sz="4" w:space="0"/>
            </w:tcBorders>
            <w:vAlign w:val="center"/>
          </w:tcPr>
          <w:p w14:paraId="58CAB9C3">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olor w:val="auto"/>
                <w:szCs w:val="24"/>
                <w:highlight w:val="yellow"/>
                <w:u w:val="none"/>
                <w:lang w:val="en-US" w:eastAsia="zh-CN"/>
              </w:rPr>
              <w:t>【%】</w:t>
            </w:r>
          </w:p>
        </w:tc>
      </w:tr>
      <w:tr w14:paraId="2FFF25CD">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B406E65">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cs="仿宋_GB2312"/>
                <w:color w:val="auto"/>
                <w:kern w:val="0"/>
                <w:sz w:val="24"/>
                <w:highlight w:val="none"/>
                <w:lang w:eastAsia="zh-CN" w:bidi="ar"/>
              </w:rPr>
              <w:t>固定</w:t>
            </w:r>
            <w:r>
              <w:rPr>
                <w:rFonts w:hint="eastAsia" w:ascii="仿宋_GB2312" w:hAnsi="等线" w:eastAsia="仿宋_GB2312" w:cs="仿宋_GB2312"/>
                <w:color w:val="auto"/>
                <w:kern w:val="0"/>
                <w:sz w:val="24"/>
                <w:highlight w:val="none"/>
                <w:lang w:bidi="ar"/>
              </w:rPr>
              <w:t>管理费率（年化）</w:t>
            </w:r>
          </w:p>
        </w:tc>
        <w:tc>
          <w:tcPr>
            <w:tcW w:w="6972" w:type="dxa"/>
            <w:tcBorders>
              <w:top w:val="single" w:color="auto" w:sz="4" w:space="0"/>
              <w:left w:val="single" w:color="auto" w:sz="4" w:space="0"/>
              <w:bottom w:val="single" w:color="auto" w:sz="4" w:space="0"/>
              <w:right w:val="single" w:color="auto" w:sz="4" w:space="0"/>
            </w:tcBorders>
            <w:vAlign w:val="center"/>
          </w:tcPr>
          <w:p w14:paraId="1B409082">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olor w:val="auto"/>
                <w:szCs w:val="24"/>
                <w:highlight w:val="yellow"/>
                <w:u w:val="none"/>
                <w:lang w:val="en-US" w:eastAsia="zh-CN"/>
              </w:rPr>
              <w:t>【%】</w:t>
            </w:r>
          </w:p>
        </w:tc>
      </w:tr>
      <w:tr w14:paraId="3BC3A462">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01CF5AE6">
            <w:pPr>
              <w:widowControl/>
              <w:spacing w:line="400" w:lineRule="exact"/>
              <w:jc w:val="center"/>
              <w:textAlignment w:val="center"/>
              <w:rPr>
                <w:rFonts w:hint="eastAsia" w:ascii="仿宋_GB2312" w:hAnsi="等线" w:eastAsia="仿宋_GB2312" w:cs="仿宋_GB2312"/>
                <w:color w:val="000000" w:themeColor="text1"/>
                <w:sz w:val="24"/>
                <w:lang w:eastAsia="zh-CN"/>
                <w14:textFill>
                  <w14:solidFill>
                    <w14:schemeClr w14:val="tx1"/>
                  </w14:solidFill>
                </w14:textFill>
              </w:rPr>
            </w:pPr>
            <w:r>
              <w:rPr>
                <w:rFonts w:hint="eastAsia" w:ascii="仿宋_GB2312" w:hAnsi="等线" w:cs="仿宋_GB2312"/>
                <w:color w:val="auto"/>
                <w:kern w:val="0"/>
                <w:sz w:val="24"/>
                <w:highlight w:val="none"/>
                <w:lang w:eastAsia="zh-CN" w:bidi="ar"/>
              </w:rPr>
              <w:t>浮动管理费</w:t>
            </w:r>
          </w:p>
        </w:tc>
        <w:tc>
          <w:tcPr>
            <w:tcW w:w="6972" w:type="dxa"/>
            <w:tcBorders>
              <w:top w:val="single" w:color="auto" w:sz="4" w:space="0"/>
              <w:left w:val="single" w:color="auto" w:sz="4" w:space="0"/>
              <w:bottom w:val="single" w:color="auto" w:sz="4" w:space="0"/>
              <w:right w:val="single" w:color="auto" w:sz="4" w:space="0"/>
            </w:tcBorders>
            <w:vAlign w:val="center"/>
          </w:tcPr>
          <w:p w14:paraId="40E47379">
            <w:pPr>
              <w:widowControl/>
              <w:tabs>
                <w:tab w:val="left" w:pos="312"/>
              </w:tabs>
              <w:jc w:val="left"/>
              <w:rPr>
                <w:rFonts w:hint="eastAsia" w:ascii="宋体" w:hAnsi="宋体"/>
                <w:b/>
                <w:color w:val="auto"/>
                <w:szCs w:val="24"/>
                <w:highlight w:val="yellow"/>
                <w:lang w:eastAsia="zh-CN"/>
              </w:rPr>
            </w:pPr>
            <w:r>
              <w:rPr>
                <w:rFonts w:hint="eastAsia" w:ascii="宋体" w:hAnsi="宋体"/>
                <w:b/>
                <w:color w:val="auto"/>
                <w:szCs w:val="24"/>
                <w:highlight w:val="yellow"/>
                <w:lang w:eastAsia="zh-CN"/>
              </w:rPr>
              <w:t>【□</w:t>
            </w:r>
            <w:r>
              <w:rPr>
                <w:rFonts w:hint="eastAsia" w:ascii="宋体" w:hAnsi="宋体"/>
                <w:b/>
                <w:color w:val="auto"/>
                <w:szCs w:val="24"/>
                <w:highlight w:val="yellow"/>
              </w:rPr>
              <w:t xml:space="preserve"> 产品管理人</w:t>
            </w:r>
            <w:r>
              <w:rPr>
                <w:rFonts w:hint="eastAsia" w:ascii="宋体" w:hAnsi="宋体"/>
                <w:b/>
                <w:color w:val="auto"/>
                <w:szCs w:val="24"/>
                <w:highlight w:val="yellow"/>
                <w:lang w:eastAsia="zh-CN"/>
              </w:rPr>
              <w:t>设置浮动管理费</w:t>
            </w:r>
          </w:p>
          <w:p w14:paraId="052838D4">
            <w:pPr>
              <w:widowControl/>
              <w:tabs>
                <w:tab w:val="left" w:pos="312"/>
              </w:tabs>
              <w:jc w:val="left"/>
              <w:rPr>
                <w:rFonts w:hint="eastAsia" w:ascii="宋体" w:hAnsi="宋体"/>
                <w:b/>
                <w:color w:val="auto"/>
                <w:szCs w:val="24"/>
                <w:highlight w:val="yellow"/>
                <w:lang w:eastAsia="zh-CN"/>
              </w:rPr>
            </w:pPr>
          </w:p>
          <w:p w14:paraId="2B1E07BB">
            <w:pPr>
              <w:widowControl/>
              <w:tabs>
                <w:tab w:val="left" w:pos="312"/>
              </w:tabs>
              <w:jc w:val="left"/>
              <w:rPr>
                <w:rFonts w:hint="eastAsia" w:ascii="宋体" w:hAnsi="宋体"/>
                <w:b/>
                <w:color w:val="auto"/>
                <w:szCs w:val="24"/>
                <w:highlight w:val="yellow"/>
                <w:lang w:eastAsia="zh-CN"/>
              </w:rPr>
            </w:pPr>
            <w:r>
              <w:rPr>
                <w:rFonts w:hint="eastAsia" w:ascii="宋体" w:hAnsi="宋体"/>
                <w:b/>
                <w:color w:val="auto"/>
                <w:szCs w:val="24"/>
                <w:highlight w:val="yellow"/>
                <w:lang w:eastAsia="zh-CN"/>
              </w:rPr>
              <w:t>□</w:t>
            </w:r>
            <w:r>
              <w:rPr>
                <w:rFonts w:hint="eastAsia" w:ascii="宋体" w:hAnsi="宋体"/>
                <w:b/>
                <w:color w:val="auto"/>
                <w:szCs w:val="24"/>
                <w:highlight w:val="yellow"/>
              </w:rPr>
              <w:t xml:space="preserve"> 产品管理人不设</w:t>
            </w:r>
            <w:r>
              <w:rPr>
                <w:rFonts w:hint="eastAsia" w:ascii="宋体" w:hAnsi="宋体"/>
                <w:b/>
                <w:color w:val="auto"/>
                <w:szCs w:val="24"/>
                <w:highlight w:val="yellow"/>
                <w:lang w:eastAsia="zh-CN"/>
              </w:rPr>
              <w:t>浮动管理费】</w:t>
            </w:r>
          </w:p>
          <w:p w14:paraId="71ED9326">
            <w:pPr>
              <w:widowControl/>
              <w:jc w:val="left"/>
              <w:rPr>
                <w:rFonts w:hint="eastAsia" w:ascii="宋体" w:hAnsi="宋体" w:eastAsia="仿宋_GB2312"/>
                <w:b/>
                <w:color w:val="auto"/>
                <w:szCs w:val="24"/>
                <w:highlight w:val="none"/>
                <w:lang w:eastAsia="zh-CN"/>
              </w:rPr>
            </w:pPr>
            <w:r>
              <w:rPr>
                <w:rFonts w:hint="eastAsia" w:ascii="宋体" w:hAnsi="宋体"/>
                <w:b/>
                <w:color w:val="auto"/>
                <w:szCs w:val="24"/>
                <w:highlight w:val="none"/>
                <w:lang w:eastAsia="zh-CN"/>
              </w:rPr>
              <w:t>浮动管理费计提基准：</w:t>
            </w:r>
            <w:r>
              <w:rPr>
                <w:rFonts w:hint="eastAsia" w:ascii="宋体" w:hAnsi="宋体"/>
                <w:b/>
                <w:color w:val="auto"/>
                <w:szCs w:val="24"/>
                <w:highlight w:val="yellow"/>
                <w:lang w:eastAsia="zh-CN"/>
              </w:rPr>
              <w:t>【】</w:t>
            </w:r>
          </w:p>
          <w:p w14:paraId="02E43A89">
            <w:pPr>
              <w:snapToGrid w:val="0"/>
              <w:jc w:val="left"/>
              <w:rPr>
                <w:rFonts w:ascii="宋体" w:hAnsi="宋体"/>
                <w:b/>
                <w:color w:val="auto"/>
                <w:szCs w:val="24"/>
                <w:highlight w:val="none"/>
              </w:rPr>
            </w:pP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计提基准的提示：</w:t>
            </w:r>
          </w:p>
          <w:p w14:paraId="75A9ECEC">
            <w:pPr>
              <w:snapToGrid w:val="0"/>
              <w:jc w:val="left"/>
              <w:rPr>
                <w:rFonts w:ascii="宋体" w:hAnsi="宋体"/>
                <w:b/>
                <w:color w:val="auto"/>
                <w:szCs w:val="24"/>
                <w:highlight w:val="none"/>
              </w:rPr>
            </w:pPr>
            <w:r>
              <w:rPr>
                <w:rFonts w:hint="eastAsia" w:ascii="宋体" w:hAnsi="宋体"/>
                <w:b/>
                <w:color w:val="auto"/>
                <w:szCs w:val="24"/>
                <w:highlight w:val="none"/>
              </w:rPr>
              <w:t>（1）</w:t>
            </w:r>
            <w:r>
              <w:rPr>
                <w:rFonts w:hint="eastAsia" w:ascii="宋体" w:hAnsi="宋体"/>
                <w:b/>
                <w:color w:val="auto"/>
                <w:szCs w:val="24"/>
                <w:highlight w:val="none"/>
                <w:lang w:eastAsia="zh-CN"/>
              </w:rPr>
              <w:t>浮动管理费计</w:t>
            </w:r>
            <w:r>
              <w:rPr>
                <w:rFonts w:hint="eastAsia" w:ascii="宋体" w:hAnsi="宋体"/>
                <w:b/>
                <w:color w:val="auto"/>
                <w:szCs w:val="24"/>
                <w:highlight w:val="none"/>
              </w:rPr>
              <w:t>提基准仅作为管理人计算</w:t>
            </w:r>
            <w:r>
              <w:rPr>
                <w:rFonts w:hint="eastAsia" w:ascii="宋体" w:hAnsi="宋体"/>
                <w:b/>
                <w:color w:val="auto"/>
                <w:szCs w:val="24"/>
                <w:highlight w:val="none"/>
                <w:lang w:eastAsia="zh-CN"/>
              </w:rPr>
              <w:t>浮动管理费</w:t>
            </w:r>
            <w:r>
              <w:rPr>
                <w:rFonts w:hint="eastAsia" w:ascii="宋体" w:hAnsi="宋体"/>
                <w:b/>
                <w:color w:val="auto"/>
                <w:szCs w:val="24"/>
                <w:highlight w:val="none"/>
              </w:rPr>
              <w:t>的参照标准。</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计提基准不是预期收益率，不代表产品的未来表现和实际收益，不构成对产品收益的承诺。</w:t>
            </w:r>
          </w:p>
          <w:p w14:paraId="565867A2">
            <w:pPr>
              <w:widowControl/>
              <w:spacing w:line="400" w:lineRule="exact"/>
              <w:jc w:val="left"/>
              <w:textAlignment w:val="center"/>
              <w:rPr>
                <w:rFonts w:hint="eastAsia" w:ascii="仿宋" w:hAnsi="仿宋" w:eastAsia="仿宋" w:cs="宋体"/>
                <w:bCs/>
                <w:color w:val="000000" w:themeColor="text1"/>
                <w:kern w:val="0"/>
                <w:sz w:val="24"/>
                <w:lang w:bidi="ar"/>
                <w14:textFill>
                  <w14:solidFill>
                    <w14:schemeClr w14:val="tx1"/>
                  </w14:solidFill>
                </w14:textFill>
              </w:rPr>
            </w:pPr>
            <w:r>
              <w:rPr>
                <w:rFonts w:hint="eastAsia" w:ascii="宋体" w:hAnsi="宋体"/>
                <w:b/>
                <w:color w:val="auto"/>
                <w:szCs w:val="24"/>
                <w:highlight w:val="none"/>
              </w:rPr>
              <w:t>（2）如果法律法规、</w:t>
            </w:r>
            <w:r>
              <w:rPr>
                <w:rFonts w:ascii="宋体" w:hAnsi="宋体"/>
                <w:b/>
                <w:color w:val="auto"/>
                <w:szCs w:val="24"/>
                <w:highlight w:val="none"/>
              </w:rPr>
              <w:t>国家政策</w:t>
            </w:r>
            <w:r>
              <w:rPr>
                <w:rFonts w:hint="eastAsia" w:ascii="宋体" w:hAnsi="宋体"/>
                <w:b/>
                <w:color w:val="auto"/>
                <w:szCs w:val="24"/>
                <w:highlight w:val="none"/>
              </w:rPr>
              <w:t>发生变化，或者有其他代表性更强、更科学客观的</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计提基准适用于本产品时，经产品管理人和产品托管人协商一致后，本产品可以调整</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计提基准并及时公告。</w:t>
            </w:r>
          </w:p>
        </w:tc>
      </w:tr>
      <w:tr w14:paraId="2492A7F9">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B139B36">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认购费率</w:t>
            </w:r>
          </w:p>
        </w:tc>
        <w:tc>
          <w:tcPr>
            <w:tcW w:w="6972" w:type="dxa"/>
            <w:tcBorders>
              <w:top w:val="single" w:color="auto" w:sz="4" w:space="0"/>
              <w:left w:val="single" w:color="auto" w:sz="4" w:space="0"/>
              <w:bottom w:val="single" w:color="auto" w:sz="4" w:space="0"/>
              <w:right w:val="single" w:color="auto" w:sz="4" w:space="0"/>
            </w:tcBorders>
            <w:vAlign w:val="center"/>
          </w:tcPr>
          <w:p w14:paraId="4F049A11">
            <w:pPr>
              <w:widowControl/>
              <w:spacing w:line="400" w:lineRule="exact"/>
              <w:jc w:val="left"/>
              <w:textAlignment w:val="center"/>
              <w:rPr>
                <w:rFonts w:hint="eastAsia" w:ascii="仿宋_GB2312" w:hAnsi="等线" w:eastAsia="仿宋_GB2312" w:cs="仿宋_GB2312"/>
                <w:bCs/>
                <w:color w:val="000000" w:themeColor="text1"/>
                <w:sz w:val="24"/>
                <w:lang w:val="en-US" w:eastAsia="zh-CN"/>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6BD06104">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47DA721">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申购费率</w:t>
            </w:r>
          </w:p>
        </w:tc>
        <w:tc>
          <w:tcPr>
            <w:tcW w:w="6972" w:type="dxa"/>
            <w:tcBorders>
              <w:top w:val="single" w:color="auto" w:sz="4" w:space="0"/>
              <w:left w:val="single" w:color="auto" w:sz="4" w:space="0"/>
              <w:bottom w:val="single" w:color="auto" w:sz="4" w:space="0"/>
              <w:right w:val="single" w:color="auto" w:sz="4" w:space="0"/>
            </w:tcBorders>
            <w:vAlign w:val="center"/>
          </w:tcPr>
          <w:p w14:paraId="7FB194F1">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65D51C69">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C6102B1">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赎回费率</w:t>
            </w:r>
          </w:p>
        </w:tc>
        <w:tc>
          <w:tcPr>
            <w:tcW w:w="6972" w:type="dxa"/>
            <w:tcBorders>
              <w:top w:val="single" w:color="auto" w:sz="4" w:space="0"/>
              <w:left w:val="single" w:color="auto" w:sz="4" w:space="0"/>
              <w:bottom w:val="single" w:color="auto" w:sz="4" w:space="0"/>
              <w:right w:val="single" w:color="auto" w:sz="4" w:space="0"/>
            </w:tcBorders>
            <w:vAlign w:val="center"/>
          </w:tcPr>
          <w:p w14:paraId="4ABC4093">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745D66B8">
        <w:tblPrEx>
          <w:tblCellMar>
            <w:top w:w="0" w:type="dxa"/>
            <w:left w:w="108" w:type="dxa"/>
            <w:bottom w:w="0" w:type="dxa"/>
            <w:right w:w="108" w:type="dxa"/>
          </w:tblCellMar>
        </w:tblPrEx>
        <w:trPr>
          <w:trHeight w:val="830" w:hRule="atLeast"/>
        </w:trPr>
        <w:tc>
          <w:tcPr>
            <w:tcW w:w="2453" w:type="dxa"/>
            <w:tcBorders>
              <w:top w:val="single" w:color="auto" w:sz="4" w:space="0"/>
              <w:left w:val="single" w:color="auto" w:sz="4" w:space="0"/>
              <w:bottom w:val="single" w:color="auto" w:sz="4" w:space="0"/>
              <w:right w:val="single" w:color="auto" w:sz="4" w:space="0"/>
            </w:tcBorders>
            <w:vAlign w:val="center"/>
          </w:tcPr>
          <w:p w14:paraId="62FE168B">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其他费用说明</w:t>
            </w:r>
          </w:p>
        </w:tc>
        <w:tc>
          <w:tcPr>
            <w:tcW w:w="6972" w:type="dxa"/>
            <w:tcBorders>
              <w:top w:val="single" w:color="auto" w:sz="4" w:space="0"/>
              <w:left w:val="single" w:color="auto" w:sz="4" w:space="0"/>
              <w:bottom w:val="single" w:color="auto" w:sz="4" w:space="0"/>
              <w:right w:val="single" w:color="auto" w:sz="4" w:space="0"/>
            </w:tcBorders>
            <w:vAlign w:val="center"/>
          </w:tcPr>
          <w:p w14:paraId="25B98369">
            <w:pPr>
              <w:widowControl/>
              <w:spacing w:line="400" w:lineRule="exact"/>
              <w:jc w:val="left"/>
              <w:textAlignment w:val="center"/>
              <w:rPr>
                <w:rFonts w:hint="eastAsia" w:ascii="宋体" w:hAnsi="宋体"/>
                <w:b/>
                <w:bCs/>
                <w:color w:val="auto"/>
                <w:szCs w:val="24"/>
                <w:highlight w:val="none"/>
                <w:u w:val="none"/>
              </w:rPr>
            </w:pPr>
            <w:r>
              <w:rPr>
                <w:rFonts w:hint="eastAsia" w:ascii="宋体" w:hAnsi="宋体"/>
                <w:b/>
                <w:bCs/>
                <w:color w:val="auto"/>
                <w:szCs w:val="24"/>
                <w:highlight w:val="none"/>
                <w:u w:val="none"/>
              </w:rPr>
              <w:t>其他费用</w:t>
            </w:r>
            <w:r>
              <w:rPr>
                <w:rFonts w:hint="eastAsia" w:ascii="宋体" w:hAnsi="宋体"/>
                <w:b/>
                <w:bCs/>
                <w:color w:val="auto"/>
                <w:szCs w:val="24"/>
                <w:highlight w:val="none"/>
                <w:u w:val="none"/>
                <w:lang w:eastAsia="zh-CN"/>
              </w:rPr>
              <w:t>（如有）</w:t>
            </w:r>
            <w:r>
              <w:rPr>
                <w:rFonts w:hint="eastAsia" w:ascii="宋体" w:hAnsi="宋体"/>
                <w:b/>
                <w:bCs/>
                <w:color w:val="auto"/>
                <w:szCs w:val="24"/>
                <w:highlight w:val="none"/>
                <w:u w:val="none"/>
              </w:rPr>
              <w:t xml:space="preserve">：与理财产品相关的账户服务费用、资产服务费用、交易费用（包括但不限于交易佣金、撮合费用等）、注册登记费、验资费、审计费、信息披露费、清算费用、执行费用（包括但不限于律师费、诉讼费、仲裁费、公证费、保全费、执行费等）以及按照法律法规、监管规定和理财产品销售文件约定可以列入的其他费用，具体以实际发生为准。 </w:t>
            </w:r>
          </w:p>
          <w:p w14:paraId="2D212654">
            <w:pPr>
              <w:widowControl/>
              <w:spacing w:line="400" w:lineRule="exact"/>
              <w:jc w:val="left"/>
              <w:textAlignment w:val="center"/>
              <w:rPr>
                <w:rFonts w:hint="eastAsia" w:ascii="宋体" w:hAnsi="宋体"/>
                <w:color w:val="auto"/>
                <w:szCs w:val="24"/>
                <w:highlight w:val="none"/>
                <w:u w:val="none"/>
              </w:rPr>
            </w:pPr>
            <w:r>
              <w:rPr>
                <w:rFonts w:hint="eastAsia" w:ascii="宋体" w:hAnsi="宋体"/>
                <w:color w:val="auto"/>
                <w:szCs w:val="24"/>
                <w:highlight w:val="none"/>
                <w:u w:val="none"/>
              </w:rPr>
              <w:t>产品管理人保留调整上述理财产品收取费率标准的权利。以上费用精确到小数点后2位，小数点2位以后四舍五入。</w:t>
            </w:r>
          </w:p>
          <w:p w14:paraId="610D362B">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b/>
                <w:bCs/>
                <w:color w:val="auto"/>
                <w:szCs w:val="24"/>
                <w:highlight w:val="none"/>
                <w:u w:val="none"/>
                <w:lang w:eastAsia="zh-CN"/>
              </w:rPr>
              <w:t>其他费用说明</w:t>
            </w:r>
            <w:r>
              <w:rPr>
                <w:rFonts w:hint="eastAsia" w:ascii="宋体" w:hAnsi="宋体"/>
                <w:b/>
                <w:bCs/>
                <w:color w:val="auto"/>
                <w:szCs w:val="24"/>
                <w:highlight w:val="none"/>
                <w:u w:val="none"/>
              </w:rPr>
              <w:t>详见</w:t>
            </w:r>
            <w:r>
              <w:rPr>
                <w:rFonts w:ascii="宋体" w:hAnsi="宋体"/>
                <w:b/>
                <w:bCs/>
                <w:color w:val="auto"/>
                <w:szCs w:val="24"/>
                <w:highlight w:val="none"/>
                <w:u w:val="none"/>
              </w:rPr>
              <w:t>第</w:t>
            </w:r>
            <w:r>
              <w:rPr>
                <w:rFonts w:hint="eastAsia" w:ascii="宋体" w:hAnsi="宋体"/>
                <w:b/>
                <w:bCs/>
                <w:color w:val="auto"/>
                <w:szCs w:val="24"/>
                <w:highlight w:val="none"/>
                <w:u w:val="none"/>
                <w:lang w:val="en-US" w:eastAsia="zh-CN"/>
              </w:rPr>
              <w:t>十</w:t>
            </w:r>
            <w:r>
              <w:rPr>
                <w:rFonts w:ascii="宋体" w:hAnsi="宋体"/>
                <w:b/>
                <w:bCs/>
                <w:color w:val="auto"/>
                <w:szCs w:val="24"/>
                <w:highlight w:val="none"/>
                <w:u w:val="none"/>
              </w:rPr>
              <w:t>节</w:t>
            </w:r>
            <w:r>
              <w:rPr>
                <w:rFonts w:hint="eastAsia" w:ascii="宋体" w:hAnsi="宋体"/>
                <w:b/>
                <w:bCs/>
                <w:color w:val="auto"/>
                <w:szCs w:val="24"/>
                <w:highlight w:val="none"/>
                <w:u w:val="none"/>
              </w:rPr>
              <w:t xml:space="preserve"> “理财</w:t>
            </w:r>
            <w:r>
              <w:rPr>
                <w:rFonts w:ascii="宋体" w:hAnsi="宋体"/>
                <w:b/>
                <w:bCs/>
                <w:color w:val="auto"/>
                <w:szCs w:val="24"/>
                <w:highlight w:val="none"/>
                <w:u w:val="none"/>
              </w:rPr>
              <w:t>产品</w:t>
            </w:r>
            <w:r>
              <w:rPr>
                <w:rFonts w:hint="eastAsia" w:ascii="宋体" w:hAnsi="宋体"/>
                <w:b/>
                <w:bCs/>
                <w:color w:val="auto"/>
                <w:szCs w:val="24"/>
                <w:highlight w:val="none"/>
                <w:u w:val="none"/>
                <w:lang w:eastAsia="zh-CN"/>
              </w:rPr>
              <w:t>的</w:t>
            </w:r>
            <w:r>
              <w:rPr>
                <w:rFonts w:ascii="宋体" w:hAnsi="宋体"/>
                <w:b/>
                <w:bCs/>
                <w:color w:val="auto"/>
                <w:szCs w:val="24"/>
                <w:highlight w:val="none"/>
                <w:u w:val="none"/>
              </w:rPr>
              <w:t>费用与税收”</w:t>
            </w:r>
            <w:r>
              <w:rPr>
                <w:rFonts w:hint="eastAsia" w:ascii="宋体" w:hAnsi="宋体"/>
                <w:b/>
                <w:bCs/>
                <w:color w:val="auto"/>
                <w:szCs w:val="24"/>
                <w:highlight w:val="none"/>
                <w:u w:val="none"/>
              </w:rPr>
              <w:t>。</w:t>
            </w:r>
          </w:p>
        </w:tc>
      </w:tr>
      <w:tr w14:paraId="49DC1ED8">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564DA473">
            <w:pPr>
              <w:widowControl/>
              <w:spacing w:line="400" w:lineRule="exact"/>
              <w:jc w:val="center"/>
              <w:textAlignment w:val="center"/>
              <w:rPr>
                <w:rFonts w:hint="eastAsia" w:ascii="楷体_GB2312" w:hAnsi="等线" w:eastAsia="楷体_GB2312" w:cs="楷体_GB2312"/>
                <w:b/>
                <w:bCs/>
                <w:color w:val="000000" w:themeColor="text1"/>
                <w:sz w:val="24"/>
                <w14:textFill>
                  <w14:solidFill>
                    <w14:schemeClr w14:val="tx1"/>
                  </w14:solidFill>
                </w14:textFill>
              </w:rPr>
            </w:pPr>
            <w:r>
              <w:rPr>
                <w:rFonts w:hint="eastAsia" w:ascii="楷体_GB2312" w:hAnsi="等线" w:eastAsia="楷体_GB2312" w:cs="楷体_GB2312"/>
                <w:b/>
                <w:bCs/>
                <w:color w:val="000000" w:themeColor="text1"/>
                <w:kern w:val="0"/>
                <w:sz w:val="24"/>
                <w:lang w:bidi="ar"/>
                <w14:textFill>
                  <w14:solidFill>
                    <w14:schemeClr w14:val="tx1"/>
                  </w14:solidFill>
                </w14:textFill>
              </w:rPr>
              <w:t>（六）业绩比较基准</w:t>
            </w:r>
          </w:p>
        </w:tc>
      </w:tr>
      <w:tr w14:paraId="08BE05CC">
        <w:tblPrEx>
          <w:tblCellMar>
            <w:top w:w="0" w:type="dxa"/>
            <w:left w:w="108" w:type="dxa"/>
            <w:bottom w:w="0" w:type="dxa"/>
            <w:right w:w="108" w:type="dxa"/>
          </w:tblCellMar>
        </w:tblPrEx>
        <w:trPr>
          <w:trHeight w:val="1180" w:hRule="atLeast"/>
        </w:trPr>
        <w:tc>
          <w:tcPr>
            <w:tcW w:w="2453" w:type="dxa"/>
            <w:tcBorders>
              <w:top w:val="single" w:color="auto" w:sz="4" w:space="0"/>
              <w:left w:val="single" w:color="auto" w:sz="4" w:space="0"/>
              <w:bottom w:val="single" w:color="auto" w:sz="4" w:space="0"/>
              <w:right w:val="single" w:color="auto" w:sz="4" w:space="0"/>
            </w:tcBorders>
            <w:vAlign w:val="center"/>
          </w:tcPr>
          <w:p w14:paraId="562B2972">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业绩比较基准</w:t>
            </w:r>
          </w:p>
        </w:tc>
        <w:tc>
          <w:tcPr>
            <w:tcW w:w="6972" w:type="dxa"/>
            <w:tcBorders>
              <w:top w:val="single" w:color="auto" w:sz="4" w:space="0"/>
              <w:left w:val="single" w:color="auto" w:sz="4" w:space="0"/>
              <w:bottom w:val="single" w:color="auto" w:sz="4" w:space="0"/>
              <w:right w:val="single" w:color="auto" w:sz="4" w:space="0"/>
            </w:tcBorders>
            <w:vAlign w:val="center"/>
          </w:tcPr>
          <w:p w14:paraId="111C0251">
            <w:pPr>
              <w:widowControl/>
              <w:spacing w:line="400" w:lineRule="exact"/>
              <w:jc w:val="left"/>
              <w:textAlignment w:val="center"/>
              <w:rPr>
                <w:rFonts w:hint="eastAsia" w:ascii="宋体" w:hAnsi="宋体"/>
                <w:b/>
                <w:color w:val="auto"/>
                <w:szCs w:val="24"/>
                <w:highlight w:val="none"/>
                <w:u w:val="none"/>
              </w:rPr>
            </w:pPr>
            <w:r>
              <w:rPr>
                <w:rFonts w:hint="eastAsia" w:ascii="宋体" w:hAnsi="宋体"/>
                <w:b/>
                <w:color w:val="auto"/>
                <w:szCs w:val="24"/>
                <w:highlight w:val="none"/>
                <w:u w:val="none"/>
              </w:rPr>
              <w:t>业绩比较基准设置</w:t>
            </w:r>
          </w:p>
          <w:p w14:paraId="589ECC22">
            <w:pPr>
              <w:widowControl/>
              <w:spacing w:line="400" w:lineRule="exact"/>
              <w:jc w:val="left"/>
              <w:textAlignment w:val="center"/>
              <w:rPr>
                <w:rFonts w:ascii="宋体" w:hAnsi="宋体"/>
                <w:b/>
                <w:color w:val="auto"/>
                <w:szCs w:val="24"/>
                <w:highlight w:val="none"/>
                <w:u w:val="none"/>
              </w:rPr>
            </w:pPr>
            <w:r>
              <w:rPr>
                <w:rFonts w:hint="eastAsia" w:ascii="宋体" w:hAnsi="宋体" w:cstheme="minorBidi"/>
                <w:bCs w:val="0"/>
                <w:color w:val="auto"/>
                <w:kern w:val="2"/>
                <w:sz w:val="24"/>
                <w:szCs w:val="24"/>
                <w:highlight w:val="yellow"/>
                <w:u w:val="none"/>
                <w:lang w:eastAsia="zh-CN" w:bidi="ar"/>
              </w:rPr>
              <w:t>【</w:t>
            </w:r>
            <w:r>
              <w:rPr>
                <w:rFonts w:hint="eastAsia" w:ascii="宋体" w:hAnsi="宋体"/>
                <w:b/>
                <w:color w:val="auto"/>
                <w:szCs w:val="24"/>
                <w:highlight w:val="yellow"/>
                <w:u w:val="none"/>
              </w:rPr>
              <w:t>■ 设置业绩比较基准。</w:t>
            </w:r>
          </w:p>
          <w:p w14:paraId="33D8FEB9">
            <w:pPr>
              <w:widowControl/>
              <w:spacing w:line="400" w:lineRule="exact"/>
              <w:jc w:val="left"/>
              <w:textAlignment w:val="center"/>
              <w:rPr>
                <w:rFonts w:hint="eastAsia" w:ascii="宋体" w:hAnsi="宋体"/>
                <w:b/>
                <w:color w:val="auto"/>
                <w:szCs w:val="24"/>
                <w:highlight w:val="none"/>
                <w:u w:val="none"/>
                <w:lang w:eastAsia="zh-CN"/>
              </w:rPr>
            </w:pPr>
            <w:r>
              <w:rPr>
                <w:rFonts w:hint="eastAsia" w:ascii="宋体" w:hAnsi="宋体"/>
                <w:b/>
                <w:color w:val="auto"/>
                <w:szCs w:val="24"/>
                <w:highlight w:val="none"/>
                <w:u w:val="none"/>
              </w:rPr>
              <w:t>□</w:t>
            </w:r>
            <w:r>
              <w:rPr>
                <w:rFonts w:hint="eastAsia" w:ascii="宋体" w:hAnsi="宋体"/>
                <w:b/>
                <w:color w:val="auto"/>
                <w:szCs w:val="24"/>
                <w:highlight w:val="yellow"/>
                <w:u w:val="none"/>
              </w:rPr>
              <w:t xml:space="preserve"> </w:t>
            </w:r>
            <w:r>
              <w:rPr>
                <w:rFonts w:hint="eastAsia" w:ascii="宋体" w:hAnsi="宋体"/>
                <w:b/>
                <w:color w:val="auto"/>
                <w:szCs w:val="24"/>
                <w:highlight w:val="yellow"/>
                <w:u w:val="none"/>
                <w:lang w:eastAsia="zh-CN"/>
              </w:rPr>
              <w:t>无</w:t>
            </w:r>
            <w:r>
              <w:rPr>
                <w:rFonts w:hint="eastAsia" w:ascii="宋体" w:hAnsi="宋体"/>
                <w:b/>
                <w:color w:val="auto"/>
                <w:szCs w:val="24"/>
                <w:highlight w:val="yellow"/>
                <w:u w:val="none"/>
              </w:rPr>
              <w:t>业绩比较基准。</w:t>
            </w:r>
            <w:r>
              <w:rPr>
                <w:rFonts w:hint="eastAsia" w:ascii="宋体" w:hAnsi="宋体" w:cstheme="minorBidi"/>
                <w:bCs w:val="0"/>
                <w:color w:val="auto"/>
                <w:kern w:val="2"/>
                <w:sz w:val="24"/>
                <w:szCs w:val="24"/>
                <w:highlight w:val="yellow"/>
                <w:u w:val="none"/>
                <w:lang w:eastAsia="zh-CN" w:bidi="ar"/>
              </w:rPr>
              <w:t>】</w:t>
            </w:r>
          </w:p>
          <w:p w14:paraId="1B76C2B6">
            <w:pPr>
              <w:widowControl/>
              <w:spacing w:line="400" w:lineRule="exact"/>
              <w:jc w:val="left"/>
              <w:textAlignment w:val="center"/>
              <w:rPr>
                <w:rFonts w:hint="eastAsia" w:ascii="宋体" w:hAnsi="宋体"/>
                <w:b/>
                <w:color w:val="auto"/>
                <w:szCs w:val="24"/>
                <w:highlight w:val="none"/>
                <w:u w:val="none"/>
                <w:lang w:eastAsia="zh-CN"/>
              </w:rPr>
            </w:pPr>
            <w:r>
              <w:rPr>
                <w:rFonts w:hint="eastAsia" w:ascii="宋体" w:hAnsi="宋体"/>
                <w:b/>
                <w:color w:val="auto"/>
                <w:szCs w:val="24"/>
                <w:highlight w:val="none"/>
                <w:u w:val="none"/>
              </w:rPr>
              <w:t>2</w:t>
            </w:r>
            <w:r>
              <w:rPr>
                <w:rFonts w:ascii="宋体" w:hAnsi="宋体"/>
                <w:b/>
                <w:color w:val="auto"/>
                <w:szCs w:val="24"/>
                <w:highlight w:val="none"/>
                <w:u w:val="none"/>
              </w:rPr>
              <w:t>.</w:t>
            </w:r>
            <w:r>
              <w:rPr>
                <w:rFonts w:hint="eastAsia" w:ascii="宋体" w:hAnsi="宋体"/>
                <w:b/>
                <w:color w:val="auto"/>
                <w:szCs w:val="24"/>
                <w:highlight w:val="none"/>
                <w:u w:val="none"/>
              </w:rPr>
              <w:t>业绩</w:t>
            </w:r>
            <w:r>
              <w:rPr>
                <w:rFonts w:ascii="宋体" w:hAnsi="宋体"/>
                <w:b/>
                <w:color w:val="auto"/>
                <w:szCs w:val="24"/>
                <w:highlight w:val="none"/>
                <w:u w:val="none"/>
              </w:rPr>
              <w:t>比较基准</w:t>
            </w:r>
            <w:r>
              <w:rPr>
                <w:rFonts w:hint="eastAsia" w:ascii="宋体" w:hAnsi="宋体"/>
                <w:b/>
                <w:color w:val="auto"/>
                <w:szCs w:val="24"/>
                <w:highlight w:val="none"/>
                <w:u w:val="none"/>
              </w:rPr>
              <w:t>提示</w:t>
            </w:r>
          </w:p>
          <w:p w14:paraId="5FB77EB4">
            <w:pPr>
              <w:widowControl/>
              <w:spacing w:line="400" w:lineRule="exact"/>
              <w:jc w:val="left"/>
              <w:textAlignment w:val="center"/>
              <w:rPr>
                <w:rFonts w:ascii="宋体" w:hAnsi="宋体"/>
                <w:b/>
                <w:color w:val="auto"/>
                <w:szCs w:val="24"/>
                <w:highlight w:val="none"/>
                <w:u w:val="none"/>
              </w:rPr>
            </w:pPr>
            <w:r>
              <w:rPr>
                <w:rFonts w:hint="eastAsia" w:ascii="宋体" w:hAnsi="宋体"/>
                <w:b/>
                <w:color w:val="auto"/>
                <w:szCs w:val="24"/>
                <w:highlight w:val="none"/>
                <w:u w:val="none"/>
              </w:rPr>
              <w:t>本理财产品为净值型产品，业绩表现将随市场波动，具有不确定性。业绩比较基准是管理人基于投资范围内各类资产的收益率水平、投资比例、市场情况等因素进行静态测算和情景分析所得出和设定的投资目标。</w:t>
            </w:r>
          </w:p>
          <w:p w14:paraId="02B01693">
            <w:pPr>
              <w:widowControl/>
              <w:snapToGrid/>
              <w:spacing w:line="400" w:lineRule="exact"/>
              <w:jc w:val="left"/>
              <w:textAlignment w:val="center"/>
              <w:rPr>
                <w:rFonts w:ascii="宋体" w:hAnsi="宋体"/>
                <w:b/>
                <w:bCs/>
                <w:color w:val="auto"/>
                <w:szCs w:val="24"/>
                <w:highlight w:val="none"/>
                <w:u w:val="none"/>
              </w:rPr>
            </w:pPr>
            <w:r>
              <w:rPr>
                <w:rFonts w:hint="eastAsia" w:asciiTheme="minorEastAsia" w:hAnsiTheme="minorEastAsia"/>
                <w:color w:val="auto"/>
                <w:kern w:val="0"/>
                <w:szCs w:val="24"/>
                <w:highlight w:val="none"/>
                <w:u w:val="none"/>
              </w:rPr>
              <w:t>本理财产品</w:t>
            </w:r>
            <w:r>
              <w:rPr>
                <w:rFonts w:hint="eastAsia" w:ascii="宋体" w:hAnsi="宋体" w:cstheme="minorBidi"/>
                <w:bCs w:val="0"/>
                <w:color w:val="auto"/>
                <w:kern w:val="2"/>
                <w:sz w:val="24"/>
                <w:szCs w:val="24"/>
                <w:highlight w:val="yellow"/>
                <w:u w:val="none"/>
                <w:lang w:eastAsia="zh-CN" w:bidi="ar"/>
              </w:rPr>
              <w:t>【</w:t>
            </w:r>
            <w:r>
              <w:rPr>
                <w:rFonts w:hint="eastAsia" w:ascii="宋体" w:hAnsi="宋体"/>
                <w:b/>
                <w:color w:val="auto"/>
                <w:szCs w:val="24"/>
                <w:highlight w:val="yellow"/>
                <w:u w:val="none"/>
              </w:rPr>
              <w:t>投向债权类资产投资比例不低于80%，投向权益类资产、商品及金融衍生品类资产不高于20%</w:t>
            </w:r>
            <w:r>
              <w:rPr>
                <w:rFonts w:hint="eastAsia" w:ascii="宋体" w:hAnsi="宋体"/>
                <w:b/>
                <w:color w:val="auto"/>
                <w:szCs w:val="24"/>
                <w:highlight w:val="yellow"/>
                <w:u w:val="none"/>
                <w:lang w:eastAsia="zh-CN"/>
              </w:rPr>
              <w:t>。</w:t>
            </w:r>
            <w:r>
              <w:rPr>
                <w:rFonts w:hint="eastAsia" w:ascii="仿宋_GB2312" w:hAnsi="宋体" w:cs="宋体"/>
                <w:bCs/>
                <w:color w:val="auto"/>
                <w:kern w:val="0"/>
                <w:szCs w:val="24"/>
                <w:highlight w:val="yellow"/>
                <w:u w:val="none"/>
              </w:rPr>
              <w:t>本理财</w:t>
            </w:r>
            <w:r>
              <w:rPr>
                <w:rFonts w:ascii="仿宋_GB2312" w:hAnsi="宋体" w:cs="宋体"/>
                <w:bCs/>
                <w:color w:val="auto"/>
                <w:kern w:val="0"/>
                <w:szCs w:val="24"/>
                <w:highlight w:val="yellow"/>
                <w:u w:val="none"/>
              </w:rPr>
              <w:t>产品在投资</w:t>
            </w:r>
            <w:r>
              <w:rPr>
                <w:rFonts w:hint="eastAsia" w:ascii="仿宋_GB2312" w:hAnsi="宋体" w:cs="宋体"/>
                <w:bCs/>
                <w:color w:val="auto"/>
                <w:kern w:val="0"/>
                <w:szCs w:val="24"/>
                <w:highlight w:val="yellow"/>
                <w:u w:val="none"/>
              </w:rPr>
              <w:t>于</w:t>
            </w:r>
            <w:r>
              <w:rPr>
                <w:rFonts w:ascii="仿宋_GB2312" w:hAnsi="宋体" w:cs="宋体"/>
                <w:bCs/>
                <w:color w:val="auto"/>
                <w:kern w:val="0"/>
                <w:szCs w:val="24"/>
                <w:highlight w:val="yellow"/>
                <w:u w:val="none"/>
              </w:rPr>
              <w:t>商品及金融衍生品类资产之前，管理人应获得相应的业务经营范围或投资交易资格</w:t>
            </w:r>
            <w:r>
              <w:rPr>
                <w:rFonts w:hint="eastAsia" w:ascii="宋体" w:hAnsi="宋体"/>
                <w:b/>
                <w:bCs/>
                <w:color w:val="auto"/>
                <w:szCs w:val="24"/>
                <w:highlight w:val="yellow"/>
                <w:u w:val="none"/>
              </w:rPr>
              <w:t>，</w:t>
            </w:r>
            <w:r>
              <w:rPr>
                <w:rFonts w:hint="eastAsia" w:ascii="宋体" w:hAnsi="宋体" w:cstheme="minorBidi"/>
                <w:bCs w:val="0"/>
                <w:color w:val="auto"/>
                <w:kern w:val="2"/>
                <w:sz w:val="24"/>
                <w:szCs w:val="24"/>
                <w:highlight w:val="yellow"/>
                <w:u w:val="none"/>
                <w:lang w:eastAsia="zh-CN" w:bidi="ar"/>
              </w:rPr>
              <w:t>】</w:t>
            </w:r>
            <w:r>
              <w:rPr>
                <w:rFonts w:hint="eastAsia" w:ascii="宋体" w:hAnsi="宋体"/>
                <w:b/>
                <w:bCs/>
                <w:color w:val="auto"/>
                <w:szCs w:val="24"/>
                <w:highlight w:val="none"/>
                <w:u w:val="none"/>
              </w:rPr>
              <w:t>管理人根据拟投资资产种类、配置比例、运作策略等因素，结合宏观经济情况和市场趋势的预判分析，综合测算、确定本理财产品的业绩比较基准。</w:t>
            </w:r>
          </w:p>
          <w:p w14:paraId="1864AB12">
            <w:pPr>
              <w:widowControl/>
              <w:snapToGrid/>
              <w:spacing w:line="400" w:lineRule="exact"/>
              <w:jc w:val="left"/>
              <w:textAlignment w:val="center"/>
              <w:rPr>
                <w:rFonts w:asciiTheme="minorEastAsia" w:hAnsiTheme="minorEastAsia" w:cstheme="minorEastAsia"/>
                <w:b/>
                <w:color w:val="auto"/>
                <w:highlight w:val="none"/>
                <w:u w:val="none"/>
              </w:rPr>
            </w:pPr>
            <w:r>
              <w:rPr>
                <w:rFonts w:hint="eastAsia" w:asciiTheme="minorEastAsia" w:hAnsiTheme="minorEastAsia" w:cstheme="minorEastAsia"/>
                <w:b/>
                <w:color w:val="auto"/>
                <w:highlight w:val="none"/>
                <w:u w:val="none"/>
              </w:rPr>
              <w:t>业绩比较基准不是预期收益率，不代表产品的未来表现和实际收益，仅作为业绩参考和</w:t>
            </w:r>
            <w:r>
              <w:rPr>
                <w:rFonts w:asciiTheme="minorEastAsia" w:hAnsiTheme="minorEastAsia" w:cstheme="minorEastAsia"/>
                <w:b/>
                <w:color w:val="auto"/>
                <w:highlight w:val="none"/>
                <w:u w:val="none"/>
              </w:rPr>
              <w:t>计算</w:t>
            </w:r>
            <w:r>
              <w:rPr>
                <w:rFonts w:hint="eastAsia" w:asciiTheme="minorEastAsia" w:hAnsiTheme="minorEastAsia" w:cstheme="minorEastAsia"/>
                <w:b/>
                <w:color w:val="auto"/>
                <w:highlight w:val="none"/>
                <w:u w:val="none"/>
                <w:lang w:eastAsia="zh-CN"/>
              </w:rPr>
              <w:t>浮动管理费</w:t>
            </w:r>
            <w:r>
              <w:rPr>
                <w:rFonts w:hint="eastAsia" w:asciiTheme="minorEastAsia" w:hAnsiTheme="minorEastAsia" w:cstheme="minorEastAsia"/>
                <w:b/>
                <w:color w:val="auto"/>
                <w:highlight w:val="none"/>
                <w:u w:val="none"/>
              </w:rPr>
              <w:t>（如有）的依据，不构成对该理财产品的任何收益承诺，投资者能获得的最终收益以实际支付为准。</w:t>
            </w:r>
          </w:p>
          <w:p w14:paraId="3F480AD8">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Theme="minorEastAsia" w:hAnsiTheme="minorEastAsia" w:cstheme="minorEastAsia"/>
                <w:b/>
                <w:color w:val="auto"/>
                <w:highlight w:val="none"/>
                <w:u w:val="none"/>
              </w:rPr>
              <w:t>理财产品存续期内，管理人有权根据市场情况对业绩比较基准进行调整，该调整将通过本《产品说明书》之“信息披露”约定的方式进行信息披露，如未披露调整，以最新披露的业绩比较基准为准。</w:t>
            </w:r>
          </w:p>
        </w:tc>
      </w:tr>
      <w:tr w14:paraId="18B16D5E">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31961E92">
            <w:pPr>
              <w:widowControl/>
              <w:spacing w:line="400" w:lineRule="exact"/>
              <w:jc w:val="center"/>
              <w:textAlignment w:val="center"/>
              <w:rPr>
                <w:rFonts w:hint="eastAsia" w:ascii="楷体_GB2312" w:hAnsi="等线" w:eastAsia="楷体_GB2312" w:cs="楷体_GB2312"/>
                <w:bCs/>
                <w:color w:val="000000" w:themeColor="text1"/>
                <w:sz w:val="24"/>
                <w14:textFill>
                  <w14:solidFill>
                    <w14:schemeClr w14:val="tx1"/>
                  </w14:solidFill>
                </w14:textFill>
              </w:rPr>
            </w:pPr>
            <w:r>
              <w:rPr>
                <w:rFonts w:hint="eastAsia" w:ascii="楷体_GB2312" w:hAnsi="等线" w:eastAsia="楷体_GB2312" w:cs="楷体_GB2312"/>
                <w:b/>
                <w:color w:val="000000" w:themeColor="text1"/>
                <w:kern w:val="0"/>
                <w:sz w:val="24"/>
                <w:lang w:bidi="ar"/>
                <w14:textFill>
                  <w14:solidFill>
                    <w14:schemeClr w14:val="tx1"/>
                  </w14:solidFill>
                </w14:textFill>
              </w:rPr>
              <w:t>（七）投资范围与策略</w:t>
            </w:r>
          </w:p>
        </w:tc>
      </w:tr>
      <w:tr w14:paraId="13A04C94">
        <w:tblPrEx>
          <w:tblCellMar>
            <w:top w:w="0" w:type="dxa"/>
            <w:left w:w="108" w:type="dxa"/>
            <w:bottom w:w="0" w:type="dxa"/>
            <w:right w:w="108" w:type="dxa"/>
          </w:tblCellMar>
        </w:tblPrEx>
        <w:trPr>
          <w:trHeight w:val="950" w:hRule="atLeast"/>
        </w:trPr>
        <w:tc>
          <w:tcPr>
            <w:tcW w:w="2453" w:type="dxa"/>
            <w:tcBorders>
              <w:top w:val="single" w:color="auto" w:sz="4" w:space="0"/>
              <w:left w:val="single" w:color="auto" w:sz="4" w:space="0"/>
              <w:bottom w:val="single" w:color="auto" w:sz="4" w:space="0"/>
              <w:right w:val="single" w:color="auto" w:sz="4" w:space="0"/>
            </w:tcBorders>
            <w:vAlign w:val="center"/>
          </w:tcPr>
          <w:p w14:paraId="50016661">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投资范围</w:t>
            </w:r>
          </w:p>
        </w:tc>
        <w:tc>
          <w:tcPr>
            <w:tcW w:w="6972" w:type="dxa"/>
            <w:tcBorders>
              <w:top w:val="single" w:color="auto" w:sz="4" w:space="0"/>
              <w:left w:val="single" w:color="auto" w:sz="4" w:space="0"/>
              <w:bottom w:val="single" w:color="auto" w:sz="4" w:space="0"/>
              <w:right w:val="single" w:color="auto" w:sz="4" w:space="0"/>
            </w:tcBorders>
            <w:vAlign w:val="center"/>
          </w:tcPr>
          <w:p w14:paraId="478920D4">
            <w:pPr>
              <w:autoSpaceDE w:val="0"/>
              <w:autoSpaceDN w:val="0"/>
              <w:spacing w:line="360" w:lineRule="auto"/>
              <w:ind w:right="31" w:rightChars="15"/>
              <w:rPr>
                <w:rFonts w:hint="eastAsia" w:ascii="仿宋_GB2312" w:hAnsi="等线" w:eastAsia="仿宋_GB2312" w:cs="仿宋_GB2312"/>
                <w:bCs/>
                <w:color w:val="000000" w:themeColor="text1"/>
                <w:sz w:val="24"/>
                <w14:textFill>
                  <w14:solidFill>
                    <w14:schemeClr w14:val="tx1"/>
                  </w14:solidFill>
                </w14:textFill>
              </w:rPr>
            </w:pPr>
            <w:r>
              <w:rPr>
                <w:rFonts w:hint="eastAsia" w:ascii="仿宋_GB2312" w:hAnsi="等线" w:cs="仿宋_GB2312"/>
                <w:bCs/>
                <w:color w:val="auto"/>
                <w:sz w:val="24"/>
                <w:highlight w:val="yellow"/>
                <w:lang w:eastAsia="zh-CN"/>
              </w:rPr>
              <w:t>【】</w:t>
            </w:r>
          </w:p>
        </w:tc>
      </w:tr>
      <w:tr w14:paraId="7A602720">
        <w:tblPrEx>
          <w:tblCellMar>
            <w:top w:w="0" w:type="dxa"/>
            <w:left w:w="108" w:type="dxa"/>
            <w:bottom w:w="0" w:type="dxa"/>
            <w:right w:w="108" w:type="dxa"/>
          </w:tblCellMar>
        </w:tblPrEx>
        <w:trPr>
          <w:trHeight w:val="538" w:hRule="atLeast"/>
        </w:trPr>
        <w:tc>
          <w:tcPr>
            <w:tcW w:w="2453" w:type="dxa"/>
            <w:tcBorders>
              <w:top w:val="single" w:color="auto" w:sz="4" w:space="0"/>
              <w:left w:val="single" w:color="auto" w:sz="4" w:space="0"/>
              <w:bottom w:val="single" w:color="auto" w:sz="4" w:space="0"/>
              <w:right w:val="single" w:color="auto" w:sz="4" w:space="0"/>
            </w:tcBorders>
            <w:vAlign w:val="center"/>
          </w:tcPr>
          <w:p w14:paraId="597FF109">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投资策略</w:t>
            </w:r>
          </w:p>
        </w:tc>
        <w:tc>
          <w:tcPr>
            <w:tcW w:w="6972" w:type="dxa"/>
            <w:tcBorders>
              <w:top w:val="single" w:color="auto" w:sz="4" w:space="0"/>
              <w:left w:val="single" w:color="auto" w:sz="4" w:space="0"/>
              <w:bottom w:val="single" w:color="auto" w:sz="4" w:space="0"/>
              <w:right w:val="single" w:color="auto" w:sz="4" w:space="0"/>
            </w:tcBorders>
            <w:vAlign w:val="center"/>
          </w:tcPr>
          <w:p w14:paraId="76549DCD">
            <w:pPr>
              <w:widowControl/>
              <w:autoSpaceDE w:val="0"/>
              <w:autoSpaceDN w:val="0"/>
              <w:adjustRightInd w:val="0"/>
              <w:snapToGrid w:val="0"/>
              <w:spacing w:line="360" w:lineRule="auto"/>
              <w:ind w:firstLine="0" w:firstLineChars="0"/>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ascii="仿宋_GB2312" w:hAnsi="等线" w:cs="仿宋_GB2312"/>
                <w:bCs/>
                <w:color w:val="auto"/>
                <w:sz w:val="24"/>
                <w:highlight w:val="yellow"/>
                <w:lang w:eastAsia="zh-CN"/>
              </w:rPr>
              <w:t>【】</w:t>
            </w:r>
          </w:p>
        </w:tc>
      </w:tr>
      <w:tr w14:paraId="78C464E2">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75F0783B">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债权</w:t>
            </w:r>
            <w:r>
              <w:rPr>
                <w:rFonts w:hint="eastAsia" w:ascii="仿宋_GB2312" w:hAnsi="等线" w:eastAsia="仿宋_GB2312" w:cs="仿宋_GB2312"/>
                <w:color w:val="000000" w:themeColor="text1"/>
                <w:kern w:val="0"/>
                <w:sz w:val="24"/>
                <w:lang w:bidi="ar"/>
                <w14:textFill>
                  <w14:solidFill>
                    <w14:schemeClr w14:val="tx1"/>
                  </w14:solidFill>
                </w14:textFill>
              </w:rPr>
              <w:t>类资产投资上限</w:t>
            </w:r>
          </w:p>
        </w:tc>
        <w:tc>
          <w:tcPr>
            <w:tcW w:w="6972" w:type="dxa"/>
            <w:tcBorders>
              <w:top w:val="single" w:color="auto" w:sz="4" w:space="0"/>
              <w:left w:val="single" w:color="auto" w:sz="4" w:space="0"/>
              <w:bottom w:val="single" w:color="auto" w:sz="4" w:space="0"/>
              <w:right w:val="single" w:color="auto" w:sz="4" w:space="0"/>
            </w:tcBorders>
            <w:vAlign w:val="center"/>
          </w:tcPr>
          <w:p w14:paraId="55CCF7B1">
            <w:pPr>
              <w:widowControl/>
              <w:spacing w:line="56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仿宋_GB2312" w:hAnsi="等线" w:cs="仿宋_GB2312"/>
                <w:bCs/>
                <w:color w:val="auto"/>
                <w:sz w:val="24"/>
                <w:highlight w:val="yellow"/>
                <w:lang w:eastAsia="zh-CN"/>
              </w:rPr>
              <w:t>【】</w:t>
            </w:r>
          </w:p>
        </w:tc>
      </w:tr>
      <w:tr w14:paraId="5DA4D27D">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547EB2F9">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债权</w:t>
            </w:r>
            <w:r>
              <w:rPr>
                <w:rFonts w:hint="eastAsia" w:ascii="仿宋_GB2312" w:hAnsi="等线" w:eastAsia="仿宋_GB2312" w:cs="仿宋_GB2312"/>
                <w:color w:val="000000" w:themeColor="text1"/>
                <w:kern w:val="0"/>
                <w:sz w:val="24"/>
                <w:lang w:bidi="ar"/>
                <w14:textFill>
                  <w14:solidFill>
                    <w14:schemeClr w14:val="tx1"/>
                  </w14:solidFill>
                </w14:textFill>
              </w:rPr>
              <w:t>类资产投资下限</w:t>
            </w:r>
          </w:p>
        </w:tc>
        <w:tc>
          <w:tcPr>
            <w:tcW w:w="6972" w:type="dxa"/>
            <w:tcBorders>
              <w:top w:val="single" w:color="auto" w:sz="4" w:space="0"/>
              <w:left w:val="single" w:color="auto" w:sz="4" w:space="0"/>
              <w:bottom w:val="single" w:color="auto" w:sz="4" w:space="0"/>
              <w:right w:val="single" w:color="auto" w:sz="4" w:space="0"/>
            </w:tcBorders>
            <w:vAlign w:val="center"/>
          </w:tcPr>
          <w:p w14:paraId="64F45972">
            <w:pPr>
              <w:widowControl/>
              <w:spacing w:line="56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仿宋_GB2312" w:hAnsi="等线" w:cs="仿宋_GB2312"/>
                <w:bCs/>
                <w:color w:val="auto"/>
                <w:sz w:val="24"/>
                <w:highlight w:val="yellow"/>
                <w:lang w:eastAsia="zh-CN"/>
              </w:rPr>
              <w:t>【】</w:t>
            </w:r>
          </w:p>
        </w:tc>
      </w:tr>
      <w:tr w14:paraId="76E36664">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3AA76A47">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权益类资产投资上限</w:t>
            </w:r>
          </w:p>
        </w:tc>
        <w:tc>
          <w:tcPr>
            <w:tcW w:w="6972" w:type="dxa"/>
            <w:tcBorders>
              <w:top w:val="single" w:color="auto" w:sz="4" w:space="0"/>
              <w:left w:val="single" w:color="auto" w:sz="4" w:space="0"/>
              <w:bottom w:val="single" w:color="auto" w:sz="4" w:space="0"/>
              <w:right w:val="single" w:color="auto" w:sz="4" w:space="0"/>
            </w:tcBorders>
            <w:vAlign w:val="center"/>
          </w:tcPr>
          <w:p w14:paraId="49984524">
            <w:pPr>
              <w:widowControl/>
              <w:spacing w:line="56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仿宋_GB2312" w:hAnsi="等线" w:cs="仿宋_GB2312"/>
                <w:bCs/>
                <w:color w:val="auto"/>
                <w:sz w:val="24"/>
                <w:highlight w:val="yellow"/>
                <w:lang w:eastAsia="zh-CN"/>
              </w:rPr>
              <w:t>【】</w:t>
            </w:r>
          </w:p>
        </w:tc>
      </w:tr>
      <w:tr w14:paraId="0A502B01">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2081E427">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权益类资产投资下限</w:t>
            </w:r>
          </w:p>
        </w:tc>
        <w:tc>
          <w:tcPr>
            <w:tcW w:w="6972" w:type="dxa"/>
            <w:tcBorders>
              <w:top w:val="single" w:color="auto" w:sz="4" w:space="0"/>
              <w:left w:val="single" w:color="auto" w:sz="4" w:space="0"/>
              <w:bottom w:val="single" w:color="auto" w:sz="4" w:space="0"/>
              <w:right w:val="single" w:color="auto" w:sz="4" w:space="0"/>
            </w:tcBorders>
            <w:vAlign w:val="center"/>
          </w:tcPr>
          <w:p w14:paraId="7878A268">
            <w:pPr>
              <w:widowControl/>
              <w:spacing w:line="56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仿宋_GB2312" w:hAnsi="等线" w:cs="仿宋_GB2312"/>
                <w:bCs/>
                <w:color w:val="auto"/>
                <w:sz w:val="24"/>
                <w:highlight w:val="yellow"/>
                <w:lang w:eastAsia="zh-CN"/>
              </w:rPr>
              <w:t>【】</w:t>
            </w:r>
          </w:p>
        </w:tc>
      </w:tr>
      <w:tr w14:paraId="06FDB500">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42125165">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商品及金融衍生品类资产投资上限</w:t>
            </w:r>
          </w:p>
        </w:tc>
        <w:tc>
          <w:tcPr>
            <w:tcW w:w="6972" w:type="dxa"/>
            <w:tcBorders>
              <w:top w:val="single" w:color="auto" w:sz="4" w:space="0"/>
              <w:left w:val="single" w:color="auto" w:sz="4" w:space="0"/>
              <w:bottom w:val="single" w:color="auto" w:sz="4" w:space="0"/>
              <w:right w:val="single" w:color="auto" w:sz="4" w:space="0"/>
            </w:tcBorders>
            <w:vAlign w:val="center"/>
          </w:tcPr>
          <w:p w14:paraId="6F69BEEC">
            <w:pPr>
              <w:widowControl/>
              <w:spacing w:line="56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仿宋_GB2312" w:hAnsi="等线" w:cs="仿宋_GB2312"/>
                <w:bCs/>
                <w:color w:val="auto"/>
                <w:sz w:val="24"/>
                <w:highlight w:val="yellow"/>
                <w:lang w:eastAsia="zh-CN"/>
              </w:rPr>
              <w:t>【】</w:t>
            </w:r>
          </w:p>
        </w:tc>
      </w:tr>
      <w:tr w14:paraId="0FC8EFC8">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56621A14">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商品及金融衍生品类资产投资下限</w:t>
            </w:r>
          </w:p>
        </w:tc>
        <w:tc>
          <w:tcPr>
            <w:tcW w:w="6972" w:type="dxa"/>
            <w:tcBorders>
              <w:top w:val="single" w:color="auto" w:sz="4" w:space="0"/>
              <w:left w:val="single" w:color="auto" w:sz="4" w:space="0"/>
              <w:bottom w:val="single" w:color="auto" w:sz="4" w:space="0"/>
              <w:right w:val="single" w:color="auto" w:sz="4" w:space="0"/>
            </w:tcBorders>
            <w:vAlign w:val="center"/>
          </w:tcPr>
          <w:p w14:paraId="71017661">
            <w:pPr>
              <w:widowControl/>
              <w:spacing w:line="560" w:lineRule="exact"/>
              <w:jc w:val="left"/>
              <w:textAlignment w:val="center"/>
              <w:rPr>
                <w:rFonts w:hint="default" w:ascii="仿宋_GB2312" w:hAnsi="等线" w:eastAsia="仿宋_GB2312" w:cs="仿宋_GB2312"/>
                <w:bCs/>
                <w:color w:val="000000" w:themeColor="text1"/>
                <w:sz w:val="24"/>
                <w:lang w:val="en-US" w:eastAsia="zh-CN"/>
                <w14:textFill>
                  <w14:solidFill>
                    <w14:schemeClr w14:val="tx1"/>
                  </w14:solidFill>
                </w14:textFill>
              </w:rPr>
            </w:pPr>
            <w:r>
              <w:rPr>
                <w:rFonts w:hint="eastAsia" w:ascii="仿宋_GB2312" w:hAnsi="等线" w:cs="仿宋_GB2312"/>
                <w:bCs/>
                <w:color w:val="auto"/>
                <w:sz w:val="24"/>
                <w:highlight w:val="yellow"/>
                <w:lang w:eastAsia="zh-CN"/>
              </w:rPr>
              <w:t>【】</w:t>
            </w:r>
          </w:p>
        </w:tc>
      </w:tr>
      <w:tr w14:paraId="374FD7E8">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75688FC4">
            <w:pPr>
              <w:widowControl/>
              <w:spacing w:line="560" w:lineRule="exact"/>
              <w:jc w:val="center"/>
              <w:textAlignment w:val="center"/>
              <w:rPr>
                <w:rFonts w:hint="eastAsia" w:ascii="楷体_GB2312" w:hAnsi="等线" w:eastAsia="楷体_GB2312" w:cs="楷体_GB2312"/>
                <w:bCs/>
                <w:color w:val="000000" w:themeColor="text1"/>
                <w:sz w:val="24"/>
                <w14:textFill>
                  <w14:solidFill>
                    <w14:schemeClr w14:val="tx1"/>
                  </w14:solidFill>
                </w14:textFill>
              </w:rPr>
            </w:pPr>
            <w:r>
              <w:rPr>
                <w:rFonts w:hint="eastAsia" w:ascii="楷体_GB2312" w:hAnsi="等线" w:eastAsia="楷体_GB2312" w:cs="楷体_GB2312"/>
                <w:b/>
                <w:color w:val="000000" w:themeColor="text1"/>
                <w:kern w:val="0"/>
                <w:sz w:val="24"/>
                <w:lang w:bidi="ar"/>
                <w14:textFill>
                  <w14:solidFill>
                    <w14:schemeClr w14:val="tx1"/>
                  </w14:solidFill>
                </w14:textFill>
              </w:rPr>
              <w:t>（八）其他约定</w:t>
            </w:r>
          </w:p>
        </w:tc>
      </w:tr>
      <w:tr w14:paraId="7345CD83">
        <w:tblPrEx>
          <w:tblCellMar>
            <w:top w:w="0" w:type="dxa"/>
            <w:left w:w="108" w:type="dxa"/>
            <w:bottom w:w="0" w:type="dxa"/>
            <w:right w:w="108" w:type="dxa"/>
          </w:tblCellMar>
        </w:tblPrEx>
        <w:trPr>
          <w:trHeight w:val="1010" w:hRule="atLeast"/>
        </w:trPr>
        <w:tc>
          <w:tcPr>
            <w:tcW w:w="2453" w:type="dxa"/>
            <w:tcBorders>
              <w:top w:val="single" w:color="auto" w:sz="4" w:space="0"/>
              <w:left w:val="single" w:color="auto" w:sz="4" w:space="0"/>
              <w:bottom w:val="single" w:color="auto" w:sz="4" w:space="0"/>
              <w:right w:val="single" w:color="auto" w:sz="4" w:space="0"/>
            </w:tcBorders>
            <w:vAlign w:val="center"/>
          </w:tcPr>
          <w:p w14:paraId="6D8666F2">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color w:val="auto"/>
                <w:kern w:val="0"/>
                <w:szCs w:val="24"/>
                <w:highlight w:val="none"/>
                <w:u w:val="none"/>
              </w:rPr>
              <w:t>信息披露</w:t>
            </w:r>
          </w:p>
        </w:tc>
        <w:tc>
          <w:tcPr>
            <w:tcW w:w="6972" w:type="dxa"/>
            <w:tcBorders>
              <w:top w:val="single" w:color="auto" w:sz="4" w:space="0"/>
              <w:left w:val="single" w:color="auto" w:sz="4" w:space="0"/>
              <w:bottom w:val="single" w:color="auto" w:sz="4" w:space="0"/>
              <w:right w:val="single" w:color="auto" w:sz="4" w:space="0"/>
            </w:tcBorders>
            <w:vAlign w:val="center"/>
          </w:tcPr>
          <w:p w14:paraId="6DA62F0E">
            <w:pPr>
              <w:snapToGrid w:val="0"/>
              <w:rPr>
                <w:rFonts w:hint="eastAsia" w:ascii="仿宋_GB2312" w:hAnsi="宋体" w:eastAsia="仿宋_GB2312" w:cs="宋体"/>
                <w:b/>
                <w:color w:val="auto"/>
                <w:kern w:val="0"/>
                <w:szCs w:val="24"/>
                <w:highlight w:val="none"/>
                <w:u w:val="none"/>
                <w:lang w:eastAsia="zh-CN"/>
              </w:rPr>
            </w:pPr>
            <w:r>
              <w:rPr>
                <w:rFonts w:hint="eastAsia" w:ascii="宋体" w:hAnsi="宋体"/>
                <w:b/>
                <w:color w:val="auto"/>
                <w:szCs w:val="24"/>
                <w:highlight w:val="none"/>
                <w:u w:val="none"/>
              </w:rPr>
              <w:t>本理财产品成立后，管理人将通过《产品说明书》之“信息披露”约定的方式进行信息披露。详细内容见《本产品说明书》之“信息披露”</w:t>
            </w:r>
          </w:p>
          <w:p w14:paraId="1FCDABED">
            <w:pPr>
              <w:snapToGrid w:val="0"/>
              <w:rPr>
                <w:rFonts w:hint="eastAsia" w:ascii="宋体" w:hAnsi="宋体"/>
                <w:b/>
                <w:bCs/>
                <w:iCs/>
                <w:color w:val="auto"/>
                <w:szCs w:val="24"/>
                <w:highlight w:val="none"/>
                <w:u w:val="none"/>
              </w:rPr>
            </w:pPr>
            <w:r>
              <w:rPr>
                <w:rFonts w:hint="eastAsia" w:asciiTheme="minorEastAsia" w:hAnsiTheme="minorEastAsia"/>
                <w:color w:val="auto"/>
                <w:szCs w:val="24"/>
                <w:highlight w:val="none"/>
                <w:u w:val="none"/>
              </w:rPr>
              <w:t>本产品成立、运行、到期、净值等信息将通过</w:t>
            </w:r>
            <w:r>
              <w:rPr>
                <w:rFonts w:hint="eastAsia" w:asciiTheme="minorEastAsia" w:hAnsiTheme="minorEastAsia"/>
                <w:color w:val="auto"/>
                <w:szCs w:val="24"/>
                <w:highlight w:val="none"/>
                <w:u w:val="none"/>
                <w:lang w:eastAsia="zh-CN"/>
              </w:rPr>
              <w:t>产品</w:t>
            </w:r>
            <w:r>
              <w:rPr>
                <w:rFonts w:hint="eastAsia" w:asciiTheme="minorEastAsia" w:hAnsiTheme="minorEastAsia"/>
                <w:color w:val="auto"/>
                <w:szCs w:val="24"/>
                <w:highlight w:val="none"/>
                <w:u w:val="none"/>
              </w:rPr>
              <w:t>管理人</w:t>
            </w:r>
            <w:r>
              <w:rPr>
                <w:rFonts w:asciiTheme="minorEastAsia" w:hAnsiTheme="minorEastAsia"/>
                <w:color w:val="auto"/>
                <w:szCs w:val="24"/>
                <w:highlight w:val="none"/>
                <w:u w:val="none"/>
              </w:rPr>
              <w:t>官方网站</w:t>
            </w: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www.czbank-wm.com</w:t>
            </w:r>
            <w:r>
              <w:rPr>
                <w:rFonts w:hint="eastAsia" w:ascii="仿宋_GB2312" w:hAnsi="宋体" w:cs="宋体"/>
                <w:color w:val="auto"/>
                <w:kern w:val="0"/>
                <w:szCs w:val="24"/>
                <w:highlight w:val="none"/>
                <w:u w:val="none"/>
              </w:rPr>
              <w:t>】、销售机构官方网站、个人手机银行或其他约定的方式等</w:t>
            </w:r>
            <w:r>
              <w:rPr>
                <w:rFonts w:hint="eastAsia" w:cs="宋体" w:asciiTheme="minorEastAsia" w:hAnsiTheme="minorEastAsia"/>
                <w:color w:val="auto"/>
                <w:kern w:val="0"/>
                <w:szCs w:val="24"/>
                <w:highlight w:val="none"/>
                <w:u w:val="none"/>
              </w:rPr>
              <w:t>一种或多种渠道进行信息披露，</w:t>
            </w:r>
            <w:r>
              <w:rPr>
                <w:rFonts w:hint="eastAsia" w:asciiTheme="minorEastAsia" w:hAnsiTheme="minorEastAsia"/>
                <w:color w:val="auto"/>
                <w:szCs w:val="24"/>
                <w:highlight w:val="none"/>
                <w:u w:val="none"/>
              </w:rPr>
              <w:t>请投资者持续关注并及时查看。</w:t>
            </w:r>
          </w:p>
        </w:tc>
      </w:tr>
      <w:tr w14:paraId="567BF093">
        <w:tblPrEx>
          <w:tblCellMar>
            <w:top w:w="0" w:type="dxa"/>
            <w:left w:w="108" w:type="dxa"/>
            <w:bottom w:w="0" w:type="dxa"/>
            <w:right w:w="108" w:type="dxa"/>
          </w:tblCellMar>
        </w:tblPrEx>
        <w:trPr>
          <w:trHeight w:val="1010" w:hRule="atLeast"/>
        </w:trPr>
        <w:tc>
          <w:tcPr>
            <w:tcW w:w="2453" w:type="dxa"/>
            <w:tcBorders>
              <w:top w:val="single" w:color="auto" w:sz="4" w:space="0"/>
              <w:left w:val="single" w:color="auto" w:sz="4" w:space="0"/>
              <w:bottom w:val="single" w:color="auto" w:sz="4" w:space="0"/>
              <w:right w:val="single" w:color="auto" w:sz="4" w:space="0"/>
            </w:tcBorders>
            <w:vAlign w:val="center"/>
          </w:tcPr>
          <w:p w14:paraId="4C4311D6">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其他约定</w:t>
            </w:r>
          </w:p>
        </w:tc>
        <w:tc>
          <w:tcPr>
            <w:tcW w:w="6972" w:type="dxa"/>
            <w:tcBorders>
              <w:top w:val="single" w:color="auto" w:sz="4" w:space="0"/>
              <w:left w:val="single" w:color="auto" w:sz="4" w:space="0"/>
              <w:bottom w:val="single" w:color="auto" w:sz="4" w:space="0"/>
              <w:right w:val="single" w:color="auto" w:sz="4" w:space="0"/>
            </w:tcBorders>
            <w:vAlign w:val="center"/>
          </w:tcPr>
          <w:p w14:paraId="18DA2BD8">
            <w:pPr>
              <w:snapToGrid w:val="0"/>
              <w:jc w:val="left"/>
              <w:rPr>
                <w:rFonts w:ascii="宋体" w:hAnsi="宋体"/>
                <w:b/>
                <w:bCs/>
                <w:iCs/>
                <w:color w:val="auto"/>
                <w:szCs w:val="24"/>
                <w:highlight w:val="none"/>
                <w:u w:val="none"/>
              </w:rPr>
            </w:pPr>
            <w:r>
              <w:rPr>
                <w:rFonts w:ascii="宋体" w:hAnsi="宋体"/>
                <w:b/>
                <w:bCs/>
                <w:iCs/>
                <w:color w:val="auto"/>
                <w:szCs w:val="24"/>
                <w:highlight w:val="none"/>
                <w:u w:val="none"/>
              </w:rPr>
              <w:t>1.</w:t>
            </w:r>
            <w:r>
              <w:rPr>
                <w:rFonts w:hint="eastAsia" w:ascii="宋体" w:hAnsi="宋体"/>
                <w:b/>
                <w:bCs/>
                <w:iCs/>
                <w:color w:val="auto"/>
                <w:szCs w:val="24"/>
                <w:highlight w:val="none"/>
                <w:u w:val="none"/>
              </w:rPr>
              <w:t>募集期内认购资金是否计息以销售机构为准，但利息不计入认购本金份额。</w:t>
            </w:r>
          </w:p>
          <w:p w14:paraId="6B8F55E1">
            <w:pPr>
              <w:widowControl/>
              <w:snapToGrid w:val="0"/>
              <w:spacing w:line="240" w:lineRule="auto"/>
              <w:jc w:val="left"/>
              <w:textAlignment w:val="auto"/>
              <w:rPr>
                <w:rFonts w:hint="eastAsia" w:ascii="宋体" w:hAnsi="宋体"/>
                <w:b/>
                <w:bCs/>
                <w:iCs/>
                <w:color w:val="auto"/>
                <w:szCs w:val="24"/>
                <w:highlight w:val="none"/>
                <w:u w:val="none"/>
              </w:rPr>
            </w:pPr>
            <w:r>
              <w:rPr>
                <w:rFonts w:hint="eastAsia" w:ascii="宋体" w:hAnsi="宋体"/>
                <w:b/>
                <w:bCs/>
                <w:iCs/>
                <w:color w:val="auto"/>
                <w:szCs w:val="24"/>
                <w:highlight w:val="none"/>
                <w:u w:val="none"/>
              </w:rPr>
              <w:t>2.本产品到期日（或提前/延期终止日）至资金到账日期间，投资者理财资金如因清算安排实际产生利息的，相关利息归投资者所有。</w:t>
            </w:r>
          </w:p>
          <w:p w14:paraId="716EA200">
            <w:pPr>
              <w:widowControl/>
              <w:snapToGrid w:val="0"/>
              <w:spacing w:line="240" w:lineRule="auto"/>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b/>
                <w:bCs/>
                <w:iCs/>
                <w:color w:val="auto"/>
                <w:szCs w:val="24"/>
                <w:highlight w:val="none"/>
                <w:u w:val="none"/>
              </w:rPr>
              <w:t>3.理财产品份额转让</w:t>
            </w:r>
            <w:r>
              <w:rPr>
                <w:rFonts w:ascii="宋体" w:hAnsi="宋体"/>
                <w:b/>
                <w:bCs/>
                <w:iCs/>
                <w:color w:val="auto"/>
                <w:szCs w:val="24"/>
                <w:highlight w:val="none"/>
                <w:u w:val="none"/>
              </w:rPr>
              <w:t>、</w:t>
            </w:r>
            <w:r>
              <w:rPr>
                <w:rFonts w:hint="eastAsia" w:ascii="宋体" w:hAnsi="宋体"/>
                <w:b/>
                <w:bCs/>
                <w:iCs/>
                <w:color w:val="auto"/>
                <w:szCs w:val="24"/>
                <w:highlight w:val="none"/>
                <w:u w:val="none"/>
              </w:rPr>
              <w:t>质押将依照销售机构</w:t>
            </w:r>
            <w:r>
              <w:rPr>
                <w:rFonts w:hint="eastAsia" w:ascii="宋体" w:hAnsi="宋体"/>
                <w:b/>
                <w:bCs/>
                <w:iCs/>
                <w:color w:val="auto"/>
                <w:szCs w:val="24"/>
                <w:highlight w:val="none"/>
                <w:u w:val="none"/>
                <w:lang w:eastAsia="zh-CN"/>
              </w:rPr>
              <w:t>与管理人</w:t>
            </w:r>
            <w:r>
              <w:rPr>
                <w:rFonts w:hint="eastAsia" w:ascii="宋体" w:hAnsi="宋体"/>
                <w:b/>
                <w:bCs/>
                <w:iCs/>
                <w:color w:val="auto"/>
                <w:szCs w:val="24"/>
                <w:highlight w:val="none"/>
                <w:u w:val="none"/>
              </w:rPr>
              <w:t>的业务政策执行。</w:t>
            </w:r>
          </w:p>
        </w:tc>
      </w:tr>
    </w:tbl>
    <w:p w14:paraId="719B470E">
      <w:pPr>
        <w:pStyle w:val="2"/>
        <w:numPr>
          <w:ilvl w:val="0"/>
          <w:numId w:val="0"/>
        </w:numPr>
        <w:ind w:leftChars="0"/>
        <w:jc w:val="both"/>
      </w:pPr>
    </w:p>
    <w:p w14:paraId="333B11C9"/>
    <w:p w14:paraId="59F2C2E1">
      <w:r>
        <w:br w:type="page"/>
      </w:r>
    </w:p>
    <w:p w14:paraId="6F178911">
      <w:pPr>
        <w:pStyle w:val="2"/>
        <w:numPr>
          <w:ilvl w:val="0"/>
          <w:numId w:val="12"/>
        </w:numPr>
      </w:pPr>
      <w:r>
        <w:rPr>
          <w:rFonts w:hint="eastAsia" w:ascii="黑体" w:hAnsi="宋体" w:eastAsia="黑体" w:cs="宋体"/>
          <w:bCs/>
          <w:kern w:val="0"/>
          <w:sz w:val="28"/>
          <w:szCs w:val="28"/>
        </w:rPr>
        <w:t>重要提示</w:t>
      </w:r>
    </w:p>
    <w:p w14:paraId="36E6C35D">
      <w:pPr>
        <w:widowControl/>
        <w:tabs>
          <w:tab w:val="left" w:pos="709"/>
        </w:tabs>
        <w:snapToGrid w:val="0"/>
        <w:spacing w:line="360" w:lineRule="auto"/>
        <w:rPr>
          <w:rFonts w:ascii="仿宋_GB2312" w:hAnsi="宋体" w:cs="宋体"/>
          <w:b/>
          <w:bCs/>
          <w:kern w:val="0"/>
          <w:szCs w:val="24"/>
        </w:rPr>
      </w:pPr>
      <w:r>
        <w:rPr>
          <w:rFonts w:hint="eastAsia" w:ascii="仿宋_GB2312" w:cs="宋体" w:hAnsiTheme="minorEastAsia"/>
          <w:b/>
          <w:bCs/>
          <w:kern w:val="0"/>
          <w:szCs w:val="32"/>
        </w:rPr>
        <w:t>●</w:t>
      </w:r>
      <w:r>
        <w:rPr>
          <w:rFonts w:hint="eastAsia" w:ascii="仿宋_GB2312" w:hAnsi="宋体" w:cs="宋体"/>
          <w:b/>
          <w:bCs/>
          <w:kern w:val="0"/>
          <w:szCs w:val="24"/>
        </w:rPr>
        <w:t>理财非存款、产品有风险、投资须谨慎。</w:t>
      </w:r>
    </w:p>
    <w:p w14:paraId="5911340C">
      <w:pPr>
        <w:widowControl/>
        <w:tabs>
          <w:tab w:val="left" w:pos="709"/>
        </w:tabs>
        <w:snapToGrid w:val="0"/>
        <w:spacing w:line="360" w:lineRule="auto"/>
        <w:rPr>
          <w:rFonts w:ascii="仿宋_GB2312" w:hAnsi="宋体" w:cs="宋体"/>
          <w:b/>
          <w:bCs/>
          <w:kern w:val="0"/>
          <w:szCs w:val="24"/>
        </w:rPr>
      </w:pPr>
      <w:r>
        <w:rPr>
          <w:rFonts w:hint="eastAsia" w:ascii="仿宋_GB2312" w:hAnsi="宋体" w:cs="宋体"/>
          <w:b/>
          <w:bCs/>
          <w:kern w:val="0"/>
          <w:szCs w:val="24"/>
        </w:rPr>
        <w:t>●浙银理财有限责任公司（以下称“浙银</w:t>
      </w:r>
      <w:r>
        <w:rPr>
          <w:rFonts w:ascii="仿宋_GB2312" w:hAnsi="宋体" w:cs="宋体"/>
          <w:b/>
          <w:bCs/>
          <w:kern w:val="0"/>
          <w:szCs w:val="24"/>
        </w:rPr>
        <w:t>理财</w:t>
      </w:r>
      <w:r>
        <w:rPr>
          <w:rFonts w:hint="eastAsia" w:ascii="仿宋_GB2312" w:hAnsi="宋体" w:cs="宋体"/>
          <w:b/>
          <w:bCs/>
          <w:kern w:val="0"/>
          <w:szCs w:val="24"/>
        </w:rPr>
        <w:t>”）郑重提示：在购买理财产品前，请投资者应确保自己完全明白该项投资的性质和所涉及的风险，详细了解和审慎评估该理财产品的资金投资方向及风险类型等基本情况，在慎重考虑后自行决定购买与自身风险承受能力和资产管理需求匹配的理财产品，并承受由此产生的收益与风险。如影响投资者风险承受能力的因素发生变化，请及时完成风险承受能力评估</w:t>
      </w:r>
      <w:r>
        <w:rPr>
          <w:rFonts w:hint="eastAsia"/>
          <w:b/>
        </w:rPr>
        <w:t>。</w:t>
      </w:r>
    </w:p>
    <w:p w14:paraId="587A4BA2">
      <w:pPr>
        <w:pStyle w:val="13"/>
        <w:spacing w:line="360" w:lineRule="auto"/>
        <w:ind w:firstLine="0" w:firstLineChars="0"/>
        <w:rPr>
          <w:rFonts w:ascii="仿宋_GB2312" w:hAnsi="宋体" w:cs="宋体"/>
          <w:b/>
          <w:bCs/>
          <w:kern w:val="0"/>
          <w:szCs w:val="24"/>
        </w:rPr>
      </w:pPr>
      <w:r>
        <w:rPr>
          <w:rFonts w:hint="eastAsia" w:ascii="仿宋_GB2312" w:hAnsi="宋体" w:cs="宋体"/>
          <w:b/>
          <w:bCs/>
          <w:kern w:val="0"/>
          <w:szCs w:val="24"/>
        </w:rPr>
        <w:t>●</w:t>
      </w:r>
      <w:r>
        <w:rPr>
          <w:rFonts w:hint="eastAsia" w:ascii="仿宋_GB2312" w:hAnsi="宋体" w:cs="宋体"/>
          <w:bCs/>
          <w:kern w:val="0"/>
          <w:szCs w:val="24"/>
        </w:rPr>
        <w:t>本理财产品说明书与《风险揭示书》《投资协议书》《投资者权益须知》《（代理）销售协议书》等共同构成本理财产品完整</w:t>
      </w:r>
      <w:r>
        <w:rPr>
          <w:rFonts w:ascii="仿宋_GB2312" w:hAnsi="宋体" w:cs="宋体"/>
          <w:bCs/>
          <w:kern w:val="0"/>
          <w:szCs w:val="24"/>
        </w:rPr>
        <w:t>的</w:t>
      </w:r>
      <w:r>
        <w:rPr>
          <w:rFonts w:hint="eastAsia" w:ascii="仿宋_GB2312" w:hAnsi="宋体" w:cs="宋体"/>
          <w:bCs/>
          <w:kern w:val="0"/>
          <w:szCs w:val="24"/>
        </w:rPr>
        <w:t>、</w:t>
      </w:r>
      <w:r>
        <w:rPr>
          <w:rFonts w:ascii="仿宋_GB2312" w:hAnsi="宋体" w:cs="宋体"/>
          <w:bCs/>
          <w:kern w:val="0"/>
          <w:szCs w:val="24"/>
        </w:rPr>
        <w:t>不可</w:t>
      </w:r>
      <w:r>
        <w:rPr>
          <w:rFonts w:hint="eastAsia" w:ascii="仿宋_GB2312" w:hAnsi="宋体" w:cs="宋体"/>
          <w:bCs/>
          <w:kern w:val="0"/>
          <w:szCs w:val="24"/>
        </w:rPr>
        <w:t>分割</w:t>
      </w:r>
      <w:r>
        <w:rPr>
          <w:rFonts w:ascii="仿宋_GB2312" w:hAnsi="宋体" w:cs="宋体"/>
          <w:bCs/>
          <w:kern w:val="0"/>
          <w:szCs w:val="24"/>
        </w:rPr>
        <w:t>的</w:t>
      </w:r>
      <w:r>
        <w:rPr>
          <w:rFonts w:hint="eastAsia" w:ascii="仿宋_GB2312" w:hAnsi="宋体" w:cs="宋体"/>
          <w:bCs/>
          <w:kern w:val="0"/>
          <w:szCs w:val="24"/>
        </w:rPr>
        <w:t>销售文件。</w:t>
      </w:r>
      <w:r>
        <w:rPr>
          <w:rFonts w:hint="eastAsia" w:ascii="仿宋_GB2312" w:hAnsi="宋体" w:cs="宋体"/>
          <w:b/>
          <w:bCs/>
          <w:kern w:val="0"/>
          <w:szCs w:val="24"/>
        </w:rPr>
        <w:t>为了维护投资者的合法权益，请在投资前仔细阅读本说明书及其他销售文件，了解理财产品具体情况。</w:t>
      </w:r>
    </w:p>
    <w:p w14:paraId="067400AB">
      <w:pPr>
        <w:pStyle w:val="13"/>
        <w:spacing w:line="360" w:lineRule="auto"/>
        <w:ind w:firstLine="0" w:firstLineChars="0"/>
        <w:rPr>
          <w:rFonts w:ascii="仿宋_GB2312" w:hAnsi="宋体" w:cs="宋体"/>
          <w:b/>
          <w:bCs/>
          <w:kern w:val="0"/>
          <w:szCs w:val="24"/>
        </w:rPr>
      </w:pPr>
      <w:r>
        <w:rPr>
          <w:rFonts w:hint="eastAsia" w:ascii="仿宋_GB2312" w:hAnsi="宋体" w:cs="宋体"/>
          <w:b/>
          <w:bCs/>
          <w:kern w:val="0"/>
          <w:szCs w:val="24"/>
        </w:rPr>
        <w:t>●</w:t>
      </w:r>
      <w:r>
        <w:rPr>
          <w:rFonts w:hint="eastAsia" w:ascii="仿宋_GB2312" w:hAnsi="宋体" w:cs="宋体"/>
          <w:bCs/>
          <w:kern w:val="0"/>
          <w:szCs w:val="24"/>
        </w:rPr>
        <w:t>本理财产品为</w:t>
      </w:r>
      <w:r>
        <w:rPr>
          <w:rFonts w:hint="eastAsia" w:ascii="仿宋_GB2312" w:hAnsi="宋体" w:cs="宋体"/>
          <w:b/>
          <w:bCs/>
          <w:kern w:val="0"/>
          <w:szCs w:val="24"/>
        </w:rPr>
        <w:t>非保本浮动收益型理财产品，与银行存款存在显著区别，不受</w:t>
      </w:r>
      <w:r>
        <w:rPr>
          <w:rFonts w:hint="eastAsia" w:ascii="仿宋_GB2312" w:cs="宋体" w:hAnsiTheme="minorEastAsia"/>
          <w:b/>
          <w:bCs/>
          <w:kern w:val="0"/>
          <w:szCs w:val="32"/>
        </w:rPr>
        <w:t>存款保险及其他保障机制的保障。</w:t>
      </w:r>
      <w:r>
        <w:rPr>
          <w:rFonts w:hint="eastAsia" w:ascii="仿宋_GB2312" w:hAnsi="宋体" w:cs="宋体"/>
          <w:b/>
          <w:bCs/>
          <w:kern w:val="0"/>
          <w:szCs w:val="24"/>
        </w:rPr>
        <w:t>本理财产品不保证投资者理财本金安全及最低收益，投资者投资/持有本理财产品可能因市场变化、突发事件等因素遭受收益乃至本金损失</w:t>
      </w:r>
      <w:r>
        <w:rPr>
          <w:rFonts w:hint="eastAsia" w:ascii="仿宋_GB2312" w:cs="宋体" w:hAnsiTheme="minorEastAsia"/>
          <w:b/>
          <w:bCs/>
          <w:kern w:val="0"/>
          <w:szCs w:val="32"/>
        </w:rPr>
        <w:t>，</w:t>
      </w:r>
      <w:r>
        <w:rPr>
          <w:rFonts w:hint="eastAsia" w:cs="宋体" w:asciiTheme="minorEastAsia" w:hAnsiTheme="minorEastAsia"/>
          <w:b/>
          <w:bCs/>
          <w:kern w:val="0"/>
          <w:szCs w:val="24"/>
        </w:rPr>
        <w:t>请</w:t>
      </w:r>
      <w:r>
        <w:rPr>
          <w:rFonts w:hint="eastAsia" w:ascii="仿宋_GB2312" w:hAnsi="宋体" w:cs="宋体"/>
          <w:b/>
          <w:bCs/>
          <w:kern w:val="0"/>
          <w:szCs w:val="24"/>
        </w:rPr>
        <w:t>投资者充分知晓、理解投资风险，谨慎投资。</w:t>
      </w:r>
    </w:p>
    <w:p w14:paraId="0F036096">
      <w:pPr>
        <w:pStyle w:val="13"/>
        <w:spacing w:line="360" w:lineRule="auto"/>
        <w:ind w:firstLine="0" w:firstLineChars="0"/>
        <w:rPr>
          <w:rFonts w:ascii="仿宋_GB2312" w:hAnsi="宋体" w:cs="宋体"/>
          <w:b/>
          <w:bCs/>
          <w:kern w:val="0"/>
          <w:szCs w:val="24"/>
        </w:rPr>
      </w:pPr>
      <w:r>
        <w:rPr>
          <w:rFonts w:hint="eastAsia" w:ascii="仿宋_GB2312" w:hAnsi="宋体" w:cs="宋体"/>
          <w:b/>
          <w:bCs/>
          <w:kern w:val="0"/>
          <w:szCs w:val="24"/>
        </w:rPr>
        <w:t>●</w:t>
      </w:r>
      <w:r>
        <w:rPr>
          <w:rFonts w:hint="eastAsia" w:ascii="仿宋_GB2312" w:hAnsi="宋体" w:cs="宋体"/>
          <w:bCs/>
          <w:kern w:val="0"/>
          <w:szCs w:val="24"/>
        </w:rPr>
        <w:t>本理财产品涉及的主要风险包括政策风险、信用风险、市场风险、流动性风险、经营管理风险、交易对手风险、操作风险、代销风险、募集期延长/缩短风险、产品不成立风险、提前终止风险、延期分配风险、信息传递风险、关联关系及关联交易风险、再投资风险、估值风险、托管及清算风险、税务风险、不同理财产品份额类别存在差异的风险、其他风险等，</w:t>
      </w:r>
      <w:r>
        <w:rPr>
          <w:rFonts w:hint="eastAsia" w:ascii="仿宋_GB2312" w:hAnsi="宋体" w:cs="宋体"/>
          <w:b/>
          <w:bCs/>
          <w:kern w:val="0"/>
          <w:szCs w:val="24"/>
        </w:rPr>
        <w:t>请投资者仔细阅读《风险揭示书》。●本理财产品销售文件中的任何“业绩比较基准”“业绩比较基准区间”以及其他类似表述均不代表投资者可能获得的实际收益，亦不构成管理人对本理财产品的任何收益承诺，不具有法律效力。</w:t>
      </w:r>
    </w:p>
    <w:p w14:paraId="21E8E66D">
      <w:pPr>
        <w:pStyle w:val="13"/>
        <w:spacing w:line="360" w:lineRule="auto"/>
        <w:ind w:firstLine="0" w:firstLineChars="0"/>
        <w:rPr>
          <w:rFonts w:ascii="仿宋_GB2312" w:hAnsi="宋体" w:cs="宋体"/>
          <w:b/>
          <w:bCs/>
          <w:kern w:val="0"/>
          <w:szCs w:val="24"/>
        </w:rPr>
      </w:pPr>
      <w:r>
        <w:rPr>
          <w:rFonts w:hint="eastAsia" w:ascii="仿宋_GB2312" w:hAnsi="宋体" w:cs="宋体"/>
          <w:b/>
          <w:bCs/>
          <w:kern w:val="0"/>
          <w:szCs w:val="24"/>
        </w:rPr>
        <w:t>●本理财</w:t>
      </w:r>
      <w:r>
        <w:rPr>
          <w:rFonts w:ascii="仿宋_GB2312" w:hAnsi="宋体" w:cs="宋体"/>
          <w:b/>
          <w:bCs/>
          <w:kern w:val="0"/>
          <w:szCs w:val="24"/>
        </w:rPr>
        <w:t>产品的投资运作情况体现为产品净值变化，</w:t>
      </w:r>
      <w:r>
        <w:rPr>
          <w:rFonts w:hint="eastAsia" w:ascii="仿宋_GB2312" w:hAnsi="宋体" w:cs="宋体"/>
          <w:b/>
          <w:bCs/>
          <w:kern w:val="0"/>
          <w:szCs w:val="24"/>
        </w:rPr>
        <w:t>投资者最终理财收益以实际到账为准。本理财产品过往业绩不代表其未来表现，不等于投资者未来可获得的实际收益。</w:t>
      </w:r>
    </w:p>
    <w:p w14:paraId="5F395B75">
      <w:pPr>
        <w:tabs>
          <w:tab w:val="left" w:pos="709"/>
        </w:tabs>
        <w:snapToGrid w:val="0"/>
        <w:spacing w:line="360" w:lineRule="auto"/>
        <w:rPr>
          <w:rFonts w:ascii="仿宋_GB2312" w:hAnsi="宋体" w:cs="宋体"/>
          <w:bCs/>
          <w:kern w:val="0"/>
          <w:szCs w:val="24"/>
        </w:rPr>
      </w:pPr>
      <w:r>
        <w:rPr>
          <w:rFonts w:hint="eastAsia" w:ascii="仿宋_GB2312" w:hAnsi="宋体" w:cs="宋体"/>
          <w:b/>
          <w:bCs/>
          <w:kern w:val="0"/>
          <w:szCs w:val="24"/>
        </w:rPr>
        <w:t>●本理财产品仅向依据中华人民共和国法律法规及监管规定可以购买本类理财产品的投资者发售。</w:t>
      </w:r>
      <w:r>
        <w:rPr>
          <w:rFonts w:ascii="仿宋_GB2312" w:hAnsi="宋体" w:cs="宋体"/>
          <w:b/>
          <w:kern w:val="0"/>
          <w:szCs w:val="24"/>
        </w:rPr>
        <w:t>投资者通过销售机构与浙银理财签订理财产品销售文件后，销售机构或浙银理财在划款时，不再通过任何方式与投资者进行最后确认，直接划款。</w:t>
      </w:r>
      <w:r>
        <w:rPr>
          <w:rFonts w:hint="eastAsia"/>
          <w:b/>
        </w:rPr>
        <w:t>投</w:t>
      </w:r>
      <w:r>
        <w:rPr>
          <w:rFonts w:ascii="仿宋_GB2312" w:hAnsi="宋体" w:cs="宋体"/>
          <w:b/>
          <w:kern w:val="0"/>
          <w:szCs w:val="24"/>
        </w:rPr>
        <w:t>资者通过销售机构电子渠道购买本理财产品，成功提交认购/申购申请后视同为投资者已完全知悉并接受本理财产品销售文件载明的风险揭示、重要提示以及其他约定，与浙银理财已完成理财产品销售</w:t>
      </w:r>
      <w:r>
        <w:rPr>
          <w:rFonts w:hint="eastAsia" w:ascii="仿宋_GB2312" w:hAnsi="宋体" w:cs="宋体"/>
          <w:b/>
          <w:kern w:val="0"/>
          <w:szCs w:val="24"/>
        </w:rPr>
        <w:t>文件</w:t>
      </w:r>
      <w:r>
        <w:rPr>
          <w:rFonts w:ascii="仿宋_GB2312" w:hAnsi="宋体" w:cs="宋体"/>
          <w:b/>
          <w:kern w:val="0"/>
          <w:szCs w:val="24"/>
        </w:rPr>
        <w:t>的签订。</w:t>
      </w:r>
    </w:p>
    <w:p w14:paraId="3B646FA5">
      <w:pPr>
        <w:tabs>
          <w:tab w:val="left" w:pos="709"/>
        </w:tabs>
        <w:snapToGrid w:val="0"/>
        <w:spacing w:line="360" w:lineRule="auto"/>
        <w:rPr>
          <w:rFonts w:ascii="仿宋_GB2312" w:hAnsi="宋体" w:cs="宋体"/>
          <w:bCs/>
          <w:kern w:val="0"/>
          <w:szCs w:val="24"/>
        </w:rPr>
      </w:pPr>
      <w:r>
        <w:rPr>
          <w:rFonts w:hint="eastAsia" w:ascii="仿宋_GB2312" w:hAnsi="宋体" w:cs="宋体"/>
          <w:b/>
          <w:bCs/>
          <w:kern w:val="0"/>
          <w:szCs w:val="24"/>
        </w:rPr>
        <w:t>●</w:t>
      </w:r>
      <w:r>
        <w:rPr>
          <w:rFonts w:hint="eastAsia" w:ascii="仿宋_GB2312" w:hAnsi="宋体" w:cs="宋体"/>
          <w:bCs/>
          <w:kern w:val="0"/>
          <w:szCs w:val="24"/>
        </w:rPr>
        <w:t>投资本理财产品后，投资者应随时关注本理财产品的信息披露情况，及时获取相关信息</w:t>
      </w:r>
      <w:r>
        <w:rPr>
          <w:rFonts w:hint="eastAsia" w:ascii="仿宋_GB2312" w:hAnsi="宋体" w:cs="宋体"/>
          <w:bCs/>
          <w:kern w:val="0"/>
          <w:szCs w:val="24"/>
          <w:lang w:eastAsia="zh-CN"/>
        </w:rPr>
        <w:t>。</w:t>
      </w:r>
      <w:r>
        <w:rPr>
          <w:rFonts w:hint="eastAsia" w:ascii="仿宋_GB2312" w:hAnsi="宋体" w:cs="宋体"/>
          <w:bCs/>
          <w:kern w:val="0"/>
          <w:szCs w:val="24"/>
        </w:rPr>
        <w:t>相关信息以销售文件约定的信息披露方式进行披露。</w:t>
      </w:r>
    </w:p>
    <w:p w14:paraId="50EDC8D1">
      <w:pPr>
        <w:tabs>
          <w:tab w:val="left" w:pos="709"/>
        </w:tabs>
        <w:snapToGrid w:val="0"/>
        <w:spacing w:line="360" w:lineRule="auto"/>
        <w:rPr>
          <w:rFonts w:ascii="仿宋_GB2312" w:hAnsi="宋体" w:cs="宋体"/>
          <w:bCs/>
          <w:kern w:val="0"/>
          <w:szCs w:val="24"/>
        </w:rPr>
      </w:pPr>
      <w:r>
        <w:rPr>
          <w:rFonts w:hint="eastAsia" w:ascii="仿宋_GB2312" w:hAnsi="宋体" w:cs="宋体"/>
          <w:b/>
          <w:bCs/>
          <w:kern w:val="0"/>
          <w:szCs w:val="24"/>
        </w:rPr>
        <w:t>●</w:t>
      </w:r>
      <w:r>
        <w:rPr>
          <w:rFonts w:hint="eastAsia" w:ascii="仿宋_GB2312" w:hAnsi="宋体" w:cs="宋体"/>
          <w:bCs/>
          <w:kern w:val="0"/>
          <w:szCs w:val="24"/>
        </w:rPr>
        <w:t>投资者承诺其用于购买本理财产品的资金来源合法合规，并且其系为合法之目的投资本理财产品，而非为洗钱等违法犯罪目的</w:t>
      </w:r>
      <w:r>
        <w:rPr>
          <w:rFonts w:hint="eastAsia" w:ascii="仿宋_GB2312" w:hAnsi="宋体" w:cs="宋体"/>
          <w:bCs/>
          <w:kern w:val="0"/>
          <w:szCs w:val="24"/>
          <w:lang w:eastAsia="zh-CN"/>
        </w:rPr>
        <w:t>；</w:t>
      </w:r>
      <w:r>
        <w:rPr>
          <w:rFonts w:hint="eastAsia" w:ascii="仿宋_GB2312" w:hAnsi="宋体" w:cs="宋体"/>
          <w:bCs/>
          <w:kern w:val="0"/>
          <w:szCs w:val="24"/>
        </w:rPr>
        <w:t>投资者应确保用于投资本理财产品的资金不来源于贷款、发行债券等筹集的非自有资金。（受托管理的资产管理产品除外）</w:t>
      </w:r>
    </w:p>
    <w:p w14:paraId="0E18E748">
      <w:pPr>
        <w:tabs>
          <w:tab w:val="left" w:pos="709"/>
        </w:tabs>
        <w:snapToGrid w:val="0"/>
        <w:spacing w:line="360" w:lineRule="auto"/>
        <w:rPr>
          <w:rFonts w:ascii="仿宋_GB2312" w:hAnsi="宋体" w:cs="宋体"/>
          <w:bCs/>
          <w:kern w:val="0"/>
          <w:szCs w:val="24"/>
        </w:rPr>
      </w:pPr>
      <w:r>
        <w:rPr>
          <w:rFonts w:hint="eastAsia" w:ascii="仿宋_GB2312" w:hAnsi="宋体" w:cs="宋体"/>
          <w:b/>
          <w:bCs/>
          <w:kern w:val="0"/>
          <w:szCs w:val="24"/>
        </w:rPr>
        <w:t>●</w:t>
      </w:r>
      <w:r>
        <w:rPr>
          <w:rFonts w:ascii="仿宋_GB2312" w:hAnsi="宋体" w:cs="宋体"/>
          <w:b/>
          <w:kern w:val="0"/>
          <w:szCs w:val="24"/>
        </w:rPr>
        <w:t>在本理财产品存续期内，</w:t>
      </w:r>
      <w:r>
        <w:rPr>
          <w:rFonts w:ascii="仿宋_GB2312" w:cs="宋体" w:hAnsiTheme="minorEastAsia"/>
          <w:b/>
          <w:kern w:val="0"/>
          <w:szCs w:val="32"/>
        </w:rPr>
        <w:t>如因维持本理财产品正常运营的需要且在不损害投资者利益的前提下，或因监管政策、法律法规发生变化</w:t>
      </w:r>
      <w:r>
        <w:rPr>
          <w:rFonts w:ascii="仿宋_GB2312" w:hAnsi="宋体" w:cs="宋体"/>
          <w:b/>
          <w:kern w:val="0"/>
          <w:szCs w:val="24"/>
        </w:rPr>
        <w:t>，浙银理财有权单方对本理财产品销售文件条款进行修订，并按本理财产品说明书约定的披露方式向投资者进行信息披露。浙银理财按照前述规则发布该信息披露即视为该修订通知已送达投资者并对投资者具有法律约束力。</w:t>
      </w:r>
    </w:p>
    <w:p w14:paraId="48E87357">
      <w:pPr>
        <w:tabs>
          <w:tab w:val="left" w:pos="709"/>
        </w:tabs>
        <w:snapToGrid w:val="0"/>
        <w:spacing w:line="360" w:lineRule="auto"/>
      </w:pPr>
      <w:r>
        <w:rPr>
          <w:rFonts w:hint="eastAsia" w:ascii="仿宋_GB2312" w:cs="宋体" w:hAnsiTheme="minorEastAsia"/>
          <w:bCs/>
          <w:kern w:val="0"/>
          <w:szCs w:val="32"/>
        </w:rPr>
        <w:t>●如对本理财产品、服务有任何疑问、</w:t>
      </w:r>
      <w:r>
        <w:rPr>
          <w:rFonts w:hint="eastAsia" w:ascii="仿宋_GB2312" w:cs="宋体" w:hAnsiTheme="minorEastAsia"/>
          <w:bCs/>
          <w:color w:val="auto"/>
          <w:kern w:val="0"/>
          <w:szCs w:val="32"/>
          <w:highlight w:val="none"/>
          <w:u w:val="none"/>
        </w:rPr>
        <w:t>意见或建议，敬请联系您的销售服务机构，具体联系方式以《产品说明书》等销售文件的披露为准；或反馈至浙银理财服务电话：0571-57192881。</w:t>
      </w:r>
    </w:p>
    <w:p w14:paraId="74DD44DC">
      <w:r>
        <w:br w:type="page"/>
      </w:r>
    </w:p>
    <w:p w14:paraId="24201DD0">
      <w:pPr>
        <w:pStyle w:val="2"/>
        <w:numPr>
          <w:ilvl w:val="0"/>
          <w:numId w:val="12"/>
        </w:numPr>
      </w:pPr>
      <w:r>
        <w:rPr>
          <w:rFonts w:hint="eastAsia"/>
        </w:rPr>
        <w:t>释义</w:t>
      </w:r>
    </w:p>
    <w:p w14:paraId="694BBF08">
      <w:pPr>
        <w:tabs>
          <w:tab w:val="left" w:pos="709"/>
        </w:tabs>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本说明书中，除非另有明确说明，否则下列词语或简称具有如下含义：</w:t>
      </w:r>
    </w:p>
    <w:p w14:paraId="2EDD86BC">
      <w:pPr>
        <w:pStyle w:val="3"/>
        <w:numPr>
          <w:ilvl w:val="1"/>
          <w:numId w:val="12"/>
        </w:numPr>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产品参与主体用语</w:t>
      </w:r>
    </w:p>
    <w:p w14:paraId="021BFEAD">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ascii="仿宋_GB2312" w:hAnsi="宋体" w:cs="宋体"/>
          <w:bCs/>
          <w:color w:val="auto"/>
          <w:kern w:val="0"/>
          <w:szCs w:val="24"/>
          <w:highlight w:val="none"/>
          <w:u w:val="none"/>
        </w:rPr>
        <w:t>管理人/产品管理人/理财产品管理人</w:t>
      </w:r>
      <w:r>
        <w:rPr>
          <w:rFonts w:hint="eastAsia" w:ascii="仿宋_GB2312" w:hAnsi="宋体" w:cs="宋体"/>
          <w:bCs/>
          <w:color w:val="auto"/>
          <w:kern w:val="0"/>
          <w:szCs w:val="24"/>
          <w:highlight w:val="none"/>
          <w:u w:val="none"/>
          <w:lang w:val="en-US" w:eastAsia="zh-CN"/>
        </w:rPr>
        <w:t>/发行机构</w:t>
      </w:r>
      <w:r>
        <w:rPr>
          <w:rFonts w:ascii="仿宋_GB2312" w:hAnsi="宋体" w:cs="宋体"/>
          <w:bCs/>
          <w:color w:val="auto"/>
          <w:kern w:val="0"/>
          <w:szCs w:val="24"/>
          <w:highlight w:val="none"/>
          <w:u w:val="none"/>
        </w:rPr>
        <w:t>：指浙银理财有限责任公司（简称“浙银理财”）。</w:t>
      </w:r>
    </w:p>
    <w:p w14:paraId="44C18EA2">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w:t>
      </w:r>
      <w:r>
        <w:rPr>
          <w:rFonts w:hint="eastAsia" w:ascii="仿宋_GB2312" w:hAnsi="宋体" w:cs="宋体"/>
          <w:bCs/>
          <w:color w:val="auto"/>
          <w:kern w:val="0"/>
          <w:szCs w:val="24"/>
          <w:highlight w:val="none"/>
          <w:u w:val="none"/>
        </w:rPr>
        <w:t>销售机构/理财产品销售机构：指符合</w:t>
      </w:r>
      <w:r>
        <w:rPr>
          <w:rFonts w:ascii="仿宋_GB2312" w:hAnsi="宋体" w:cs="宋体"/>
          <w:bCs/>
          <w:color w:val="auto"/>
          <w:kern w:val="0"/>
          <w:szCs w:val="24"/>
          <w:highlight w:val="none"/>
          <w:u w:val="none"/>
        </w:rPr>
        <w:t>监管</w:t>
      </w:r>
      <w:r>
        <w:rPr>
          <w:rFonts w:hint="eastAsia" w:ascii="仿宋_GB2312" w:hAnsi="宋体" w:cs="宋体"/>
          <w:bCs/>
          <w:color w:val="auto"/>
          <w:kern w:val="0"/>
          <w:szCs w:val="24"/>
          <w:highlight w:val="none"/>
          <w:u w:val="none"/>
        </w:rPr>
        <w:t>规定</w:t>
      </w:r>
      <w:r>
        <w:rPr>
          <w:rFonts w:ascii="仿宋_GB2312" w:hAnsi="宋体" w:cs="宋体"/>
          <w:bCs/>
          <w:color w:val="auto"/>
          <w:kern w:val="0"/>
          <w:szCs w:val="24"/>
          <w:highlight w:val="none"/>
          <w:u w:val="none"/>
        </w:rPr>
        <w:t>具备理财产品销售资格</w:t>
      </w:r>
      <w:r>
        <w:rPr>
          <w:rFonts w:hint="eastAsia" w:ascii="仿宋_GB2312" w:hAnsi="宋体" w:cs="宋体"/>
          <w:bCs/>
          <w:color w:val="auto"/>
          <w:kern w:val="0"/>
          <w:szCs w:val="24"/>
          <w:highlight w:val="none"/>
          <w:u w:val="none"/>
        </w:rPr>
        <w:t>的</w:t>
      </w:r>
      <w:r>
        <w:rPr>
          <w:rFonts w:ascii="仿宋_GB2312" w:hAnsi="宋体" w:cs="宋体"/>
          <w:bCs/>
          <w:color w:val="auto"/>
          <w:kern w:val="0"/>
          <w:szCs w:val="24"/>
          <w:highlight w:val="none"/>
          <w:u w:val="none"/>
        </w:rPr>
        <w:t>机构</w:t>
      </w:r>
      <w:r>
        <w:rPr>
          <w:rFonts w:hint="eastAsia" w:ascii="仿宋_GB2312" w:hAnsi="宋体" w:cs="宋体"/>
          <w:bCs/>
          <w:color w:val="auto"/>
          <w:kern w:val="0"/>
          <w:szCs w:val="24"/>
          <w:highlight w:val="none"/>
          <w:u w:val="none"/>
        </w:rPr>
        <w:t>，</w:t>
      </w:r>
      <w:r>
        <w:rPr>
          <w:rFonts w:ascii="仿宋_GB2312" w:hAnsi="宋体" w:cs="宋体"/>
          <w:bCs/>
          <w:color w:val="auto"/>
          <w:kern w:val="0"/>
          <w:szCs w:val="24"/>
          <w:highlight w:val="none"/>
          <w:u w:val="none"/>
        </w:rPr>
        <w:t>销售机构在其渠道开展向投资者</w:t>
      </w:r>
      <w:r>
        <w:rPr>
          <w:rFonts w:hint="eastAsia" w:ascii="仿宋_GB2312" w:hAnsi="宋体" w:cs="宋体"/>
          <w:bCs/>
          <w:color w:val="auto"/>
          <w:kern w:val="0"/>
          <w:szCs w:val="24"/>
          <w:highlight w:val="none"/>
          <w:u w:val="none"/>
        </w:rPr>
        <w:t>进行</w:t>
      </w:r>
      <w:r>
        <w:rPr>
          <w:rFonts w:ascii="仿宋_GB2312" w:hAnsi="宋体" w:cs="宋体"/>
          <w:bCs/>
          <w:color w:val="auto"/>
          <w:kern w:val="0"/>
          <w:szCs w:val="24"/>
          <w:highlight w:val="none"/>
          <w:u w:val="none"/>
        </w:rPr>
        <w:t>宣传推介</w:t>
      </w:r>
      <w:r>
        <w:rPr>
          <w:rFonts w:hint="eastAsia" w:ascii="仿宋_GB2312" w:hAnsi="宋体" w:cs="宋体"/>
          <w:bCs/>
          <w:color w:val="auto"/>
          <w:kern w:val="0"/>
          <w:szCs w:val="24"/>
          <w:highlight w:val="none"/>
          <w:u w:val="none"/>
        </w:rPr>
        <w:t>，为</w:t>
      </w:r>
      <w:r>
        <w:rPr>
          <w:rFonts w:ascii="仿宋_GB2312" w:hAnsi="宋体" w:cs="宋体"/>
          <w:bCs/>
          <w:color w:val="auto"/>
          <w:kern w:val="0"/>
          <w:szCs w:val="24"/>
          <w:highlight w:val="none"/>
          <w:u w:val="none"/>
        </w:rPr>
        <w:t>投资者</w:t>
      </w:r>
      <w:r>
        <w:rPr>
          <w:rFonts w:hint="eastAsia" w:ascii="仿宋_GB2312" w:hAnsi="宋体" w:cs="宋体"/>
          <w:bCs/>
          <w:color w:val="auto"/>
          <w:kern w:val="0"/>
          <w:szCs w:val="24"/>
          <w:highlight w:val="none"/>
          <w:u w:val="none"/>
        </w:rPr>
        <w:t>办理理财产品认购、申购和赎回，以及监管许可的其他销售活动。理财</w:t>
      </w:r>
      <w:r>
        <w:rPr>
          <w:rFonts w:ascii="仿宋_GB2312" w:hAnsi="宋体" w:cs="宋体"/>
          <w:bCs/>
          <w:color w:val="auto"/>
          <w:kern w:val="0"/>
          <w:szCs w:val="24"/>
          <w:highlight w:val="none"/>
          <w:u w:val="none"/>
        </w:rPr>
        <w:t>产品</w:t>
      </w:r>
      <w:r>
        <w:rPr>
          <w:rFonts w:hint="eastAsia" w:ascii="仿宋_GB2312" w:hAnsi="宋体" w:cs="宋体"/>
          <w:bCs/>
          <w:color w:val="auto"/>
          <w:kern w:val="0"/>
          <w:szCs w:val="24"/>
          <w:highlight w:val="none"/>
          <w:u w:val="none"/>
        </w:rPr>
        <w:t>销售可分为直销和代理</w:t>
      </w:r>
      <w:r>
        <w:rPr>
          <w:rFonts w:ascii="仿宋_GB2312" w:hAnsi="宋体" w:cs="宋体"/>
          <w:bCs/>
          <w:color w:val="auto"/>
          <w:kern w:val="0"/>
          <w:szCs w:val="24"/>
          <w:highlight w:val="none"/>
          <w:u w:val="none"/>
        </w:rPr>
        <w:t>销售</w:t>
      </w:r>
      <w:r>
        <w:rPr>
          <w:rFonts w:hint="eastAsia" w:ascii="仿宋_GB2312" w:hAnsi="宋体" w:cs="宋体"/>
          <w:bCs/>
          <w:color w:val="auto"/>
          <w:kern w:val="0"/>
          <w:szCs w:val="24"/>
          <w:highlight w:val="none"/>
          <w:u w:val="none"/>
        </w:rPr>
        <w:t>，直销机构指销售本公司发行理财产品的理财公司，代销机构指接受理财公司委托销售发行理财产品的代理销售机构。销售机构在其渠道开展向投资者宣传推介、销售产品管理人依法发行的资产管理产品的活动。</w:t>
      </w:r>
    </w:p>
    <w:p w14:paraId="0631A64C">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3.</w:t>
      </w:r>
      <w:r>
        <w:rPr>
          <w:rFonts w:hint="eastAsia" w:ascii="仿宋_GB2312" w:hAnsi="宋体" w:cs="宋体"/>
          <w:bCs/>
          <w:color w:val="auto"/>
          <w:kern w:val="0"/>
          <w:szCs w:val="24"/>
          <w:highlight w:val="none"/>
          <w:u w:val="none"/>
        </w:rPr>
        <w:t>托管人</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产品托管人</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理财产品托管人</w:t>
      </w:r>
      <w:r>
        <w:rPr>
          <w:rFonts w:hint="eastAsia" w:ascii="仿宋_GB2312" w:hAnsi="宋体" w:cs="宋体"/>
          <w:bCs/>
          <w:color w:val="auto"/>
          <w:kern w:val="0"/>
          <w:szCs w:val="24"/>
          <w:highlight w:val="none"/>
          <w:u w:val="none"/>
          <w:lang w:val="en-US" w:eastAsia="zh-CN"/>
        </w:rPr>
        <w:t>/托管机构</w:t>
      </w:r>
      <w:r>
        <w:rPr>
          <w:rFonts w:hint="eastAsia" w:ascii="仿宋_GB2312" w:hAnsi="宋体" w:cs="宋体"/>
          <w:bCs/>
          <w:color w:val="auto"/>
          <w:kern w:val="0"/>
          <w:szCs w:val="24"/>
          <w:highlight w:val="none"/>
          <w:u w:val="none"/>
        </w:rPr>
        <w:t>：</w:t>
      </w:r>
      <w:r>
        <w:rPr>
          <w:rFonts w:ascii="仿宋_GB2312" w:hAnsi="宋体" w:cs="宋体"/>
          <w:bCs/>
          <w:color w:val="auto"/>
          <w:kern w:val="0"/>
          <w:szCs w:val="24"/>
          <w:highlight w:val="none"/>
          <w:u w:val="none"/>
        </w:rPr>
        <w:t>指</w:t>
      </w:r>
      <w:r>
        <w:rPr>
          <w:rFonts w:hint="eastAsia" w:ascii="仿宋_GB2312" w:hAnsi="宋体" w:cs="宋体"/>
          <w:bCs/>
          <w:color w:val="auto"/>
          <w:kern w:val="0"/>
          <w:szCs w:val="24"/>
          <w:highlight w:val="none"/>
          <w:u w:val="none"/>
        </w:rPr>
        <w:t>根据管理人委托对理财产品财产进行托管的机构。本理财</w:t>
      </w:r>
      <w:r>
        <w:rPr>
          <w:rFonts w:ascii="仿宋_GB2312" w:hAnsi="宋体" w:cs="宋体"/>
          <w:bCs/>
          <w:color w:val="auto"/>
          <w:kern w:val="0"/>
          <w:szCs w:val="24"/>
          <w:highlight w:val="none"/>
          <w:u w:val="none"/>
        </w:rPr>
        <w:t>产品托管人</w:t>
      </w:r>
      <w:r>
        <w:rPr>
          <w:rFonts w:hint="eastAsia" w:ascii="仿宋_GB2312" w:hAnsi="宋体" w:cs="宋体"/>
          <w:bCs/>
          <w:color w:val="auto"/>
          <w:kern w:val="0"/>
          <w:szCs w:val="24"/>
          <w:highlight w:val="none"/>
          <w:u w:val="none"/>
        </w:rPr>
        <w:t>指</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rPr>
        <w:t>（简称</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rPr>
        <w:t>）。</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具备理财产品托管资格。</w:t>
      </w:r>
    </w:p>
    <w:p w14:paraId="0769D07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4.投资者：指符合相关法律法规、监管规定要求的，可以购买理财产品份额的自然人、法人及</w:t>
      </w:r>
      <w:r>
        <w:rPr>
          <w:rFonts w:ascii="仿宋_GB2312" w:hAnsi="宋体" w:cs="宋体"/>
          <w:bCs/>
          <w:color w:val="auto"/>
          <w:kern w:val="0"/>
          <w:szCs w:val="24"/>
          <w:highlight w:val="none"/>
          <w:u w:val="none"/>
        </w:rPr>
        <w:t>依法成立的</w:t>
      </w:r>
      <w:r>
        <w:rPr>
          <w:rFonts w:hint="eastAsia" w:ascii="仿宋_GB2312" w:hAnsi="宋体" w:cs="宋体"/>
          <w:bCs/>
          <w:color w:val="auto"/>
          <w:kern w:val="0"/>
          <w:szCs w:val="24"/>
          <w:highlight w:val="none"/>
          <w:u w:val="none"/>
        </w:rPr>
        <w:t>其他</w:t>
      </w:r>
      <w:r>
        <w:rPr>
          <w:rFonts w:ascii="仿宋_GB2312" w:hAnsi="宋体" w:cs="宋体"/>
          <w:bCs/>
          <w:color w:val="auto"/>
          <w:kern w:val="0"/>
          <w:szCs w:val="24"/>
          <w:highlight w:val="none"/>
          <w:u w:val="none"/>
        </w:rPr>
        <w:t>组织</w:t>
      </w:r>
      <w:r>
        <w:rPr>
          <w:rFonts w:hint="eastAsia" w:ascii="仿宋_GB2312" w:hAnsi="宋体" w:cs="宋体"/>
          <w:bCs/>
          <w:color w:val="auto"/>
          <w:kern w:val="0"/>
          <w:szCs w:val="24"/>
          <w:highlight w:val="none"/>
          <w:u w:val="none"/>
        </w:rPr>
        <w:t xml:space="preserve">。 </w:t>
      </w:r>
    </w:p>
    <w:p w14:paraId="6FCDF92E">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5.合格投资者：合格投资者是指具备相应风险识别能力和风险承受能力，投资于单只理财产品不低于一定金额且符合下列条件的自然人、法人或者依法成立的其他组织：</w:t>
      </w:r>
    </w:p>
    <w:p w14:paraId="12FC0AF6">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lang w:val="en-US" w:eastAsia="zh-CN"/>
        </w:rPr>
        <w:t>1</w:t>
      </w: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rPr>
        <w:t>具有2年以上投资经历，且满足家庭金融净资产不低于300万元人民币，或者家庭金融资产不低于500万元人民币，或者近3年本人年均收入不低于40万元人民币；</w:t>
      </w:r>
    </w:p>
    <w:p w14:paraId="3A8CDC23">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lang w:val="en-US" w:eastAsia="zh-CN"/>
        </w:rPr>
        <w:t>2</w:t>
      </w: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rPr>
        <w:t>最近1年末净资产不低于1000万元人民币的法人或者依法成立的其他组织；</w:t>
      </w:r>
    </w:p>
    <w:p w14:paraId="7702CCA3">
      <w:pPr>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lang w:val="en-US" w:eastAsia="zh-CN"/>
        </w:rPr>
        <w:t>3</w:t>
      </w: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rPr>
        <w:t>国务院银行业监督管理机构规定的其他情形。</w:t>
      </w:r>
    </w:p>
    <w:p w14:paraId="139A0950">
      <w:pPr>
        <w:tabs>
          <w:tab w:val="left" w:pos="709"/>
        </w:tabs>
        <w:snapToGrid w:val="0"/>
        <w:spacing w:line="360" w:lineRule="auto"/>
        <w:ind w:firstLine="420" w:firstLineChars="200"/>
        <w:rPr>
          <w:rFonts w:hint="eastAsia" w:ascii="仿宋_GB2312" w:hAnsi="宋体" w:cs="宋体"/>
          <w:bCs/>
          <w:color w:val="auto"/>
          <w:kern w:val="0"/>
          <w:szCs w:val="24"/>
          <w:highlight w:val="none"/>
          <w:u w:val="none"/>
          <w:lang w:val="en-US" w:eastAsia="zh-CN"/>
        </w:rPr>
      </w:pPr>
      <w:r>
        <w:rPr>
          <w:rFonts w:hint="eastAsia" w:ascii="仿宋_GB2312" w:hAnsi="宋体" w:cs="宋体"/>
          <w:bCs/>
          <w:color w:val="auto"/>
          <w:kern w:val="0"/>
          <w:szCs w:val="24"/>
          <w:highlight w:val="none"/>
          <w:u w:val="none"/>
          <w:lang w:val="en-US" w:eastAsia="zh-CN"/>
        </w:rPr>
        <w:t>6.专业投资者：符合下列条件之一的是专业投资者：</w:t>
      </w:r>
    </w:p>
    <w:p w14:paraId="67FC74B3">
      <w:pPr>
        <w:tabs>
          <w:tab w:val="left" w:pos="709"/>
        </w:tabs>
        <w:snapToGrid w:val="0"/>
        <w:spacing w:line="360" w:lineRule="auto"/>
        <w:ind w:firstLine="420" w:firstLineChars="200"/>
        <w:rPr>
          <w:rFonts w:hint="eastAsia" w:ascii="仿宋_GB2312" w:hAnsi="宋体" w:cs="宋体"/>
          <w:bCs/>
          <w:color w:val="auto"/>
          <w:kern w:val="0"/>
          <w:szCs w:val="24"/>
          <w:highlight w:val="none"/>
          <w:u w:val="none"/>
          <w:lang w:val="en-US" w:eastAsia="zh-CN"/>
        </w:rPr>
      </w:pPr>
      <w:r>
        <w:rPr>
          <w:rFonts w:hint="eastAsia" w:ascii="仿宋_GB2312" w:hAnsi="宋体" w:cs="宋体"/>
          <w:bCs/>
          <w:color w:val="auto"/>
          <w:kern w:val="0"/>
          <w:szCs w:val="24"/>
          <w:highlight w:val="none"/>
          <w:u w:val="none"/>
          <w:lang w:val="en-US" w:eastAsia="zh-CN"/>
        </w:rPr>
        <w:t>（1）银行业金融机构、保险业金融机构、金融控股公司、证券基金期货经营机构、私募基金管理人；</w:t>
      </w:r>
    </w:p>
    <w:p w14:paraId="50128C66">
      <w:pPr>
        <w:tabs>
          <w:tab w:val="left" w:pos="709"/>
        </w:tabs>
        <w:snapToGrid w:val="0"/>
        <w:spacing w:line="360" w:lineRule="auto"/>
        <w:ind w:firstLine="420" w:firstLineChars="200"/>
        <w:rPr>
          <w:rFonts w:hint="eastAsia" w:ascii="仿宋_GB2312" w:hAnsi="宋体" w:cs="宋体"/>
          <w:bCs/>
          <w:color w:val="auto"/>
          <w:kern w:val="0"/>
          <w:szCs w:val="24"/>
          <w:highlight w:val="none"/>
          <w:u w:val="none"/>
          <w:lang w:val="en-US" w:eastAsia="zh-CN"/>
        </w:rPr>
      </w:pPr>
      <w:r>
        <w:rPr>
          <w:rFonts w:hint="eastAsia" w:ascii="仿宋_GB2312" w:hAnsi="宋体" w:cs="宋体"/>
          <w:bCs/>
          <w:color w:val="auto"/>
          <w:kern w:val="0"/>
          <w:szCs w:val="24"/>
          <w:highlight w:val="none"/>
          <w:u w:val="none"/>
          <w:lang w:val="en-US" w:eastAsia="zh-CN"/>
        </w:rPr>
        <w:t>（2）上述机构面向投资者发行的金融产品，信托公司管理的资产服务信托、公益慈善信托；</w:t>
      </w:r>
    </w:p>
    <w:p w14:paraId="71F70794">
      <w:pPr>
        <w:tabs>
          <w:tab w:val="left" w:pos="709"/>
        </w:tabs>
        <w:snapToGrid w:val="0"/>
        <w:spacing w:line="360" w:lineRule="auto"/>
        <w:ind w:firstLine="420" w:firstLineChars="200"/>
        <w:rPr>
          <w:rFonts w:hint="eastAsia" w:ascii="仿宋_GB2312" w:hAnsi="宋体" w:cs="宋体"/>
          <w:bCs/>
          <w:color w:val="auto"/>
          <w:kern w:val="0"/>
          <w:szCs w:val="24"/>
          <w:highlight w:val="none"/>
          <w:u w:val="none"/>
          <w:lang w:val="en-US" w:eastAsia="zh-CN"/>
        </w:rPr>
      </w:pPr>
      <w:r>
        <w:rPr>
          <w:rFonts w:hint="eastAsia" w:ascii="仿宋_GB2312" w:hAnsi="宋体" w:cs="宋体"/>
          <w:bCs/>
          <w:color w:val="auto"/>
          <w:kern w:val="0"/>
          <w:szCs w:val="24"/>
          <w:highlight w:val="none"/>
          <w:u w:val="none"/>
          <w:lang w:val="en-US" w:eastAsia="zh-CN"/>
        </w:rPr>
        <w:t>（3）社会保障基金、企业年金、职业年金等养老基金，慈善基金等社会公益基金，合格境外机构投资者（QFII）、人民币合格境外机构投资者（RQFII）。</w:t>
      </w:r>
    </w:p>
    <w:p w14:paraId="0F215054">
      <w:pPr>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7.普通投资者：专业投资者之外的投资者为普通投资者。</w:t>
      </w:r>
    </w:p>
    <w:p w14:paraId="40AC4153">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8</w:t>
      </w:r>
      <w:r>
        <w:rPr>
          <w:rFonts w:hint="eastAsia" w:ascii="仿宋_GB2312" w:hAnsi="宋体" w:cs="宋体"/>
          <w:bCs/>
          <w:color w:val="auto"/>
          <w:kern w:val="0"/>
          <w:szCs w:val="24"/>
          <w:highlight w:val="none"/>
          <w:u w:val="none"/>
        </w:rPr>
        <w:t>.全国银行业理财信息登记系统：指供商业银行及商业银行理财公司进行理财产品电子化报告和信息登记的电子信息系统。</w:t>
      </w:r>
    </w:p>
    <w:p w14:paraId="48010D22">
      <w:pPr>
        <w:pStyle w:val="3"/>
        <w:numPr>
          <w:ilvl w:val="1"/>
          <w:numId w:val="12"/>
        </w:numPr>
        <w:ind w:firstLine="482"/>
        <w:rPr>
          <w:rFonts w:ascii="仿宋_GB2312" w:hAnsi="宋体" w:cs="宋体"/>
          <w:bCs/>
          <w:kern w:val="0"/>
          <w:szCs w:val="24"/>
        </w:rPr>
      </w:pPr>
      <w:r>
        <w:rPr>
          <w:rFonts w:hint="eastAsia" w:ascii="仿宋_GB2312" w:hAnsi="宋体" w:cs="宋体"/>
          <w:bCs/>
          <w:kern w:val="0"/>
          <w:szCs w:val="24"/>
        </w:rPr>
        <w:t>法律文件用语</w:t>
      </w:r>
    </w:p>
    <w:p w14:paraId="3FBE79FE">
      <w:pPr>
        <w:tabs>
          <w:tab w:val="left" w:pos="709"/>
        </w:tabs>
        <w:snapToGrid w:val="0"/>
        <w:spacing w:line="360" w:lineRule="auto"/>
        <w:ind w:firstLine="420" w:firstLineChars="200"/>
        <w:rPr>
          <w:rFonts w:ascii="仿宋_GB2312" w:hAnsi="宋体" w:cs="宋体"/>
          <w:bCs/>
          <w:kern w:val="0"/>
          <w:szCs w:val="24"/>
          <w:highlight w:val="none"/>
        </w:rPr>
      </w:pPr>
      <w:r>
        <w:rPr>
          <w:rFonts w:hint="eastAsia" w:ascii="仿宋_GB2312" w:hAnsi="宋体" w:cs="宋体"/>
          <w:bCs/>
          <w:kern w:val="0"/>
          <w:szCs w:val="24"/>
        </w:rPr>
        <w:t>1.理财产品销售文件</w:t>
      </w:r>
      <w:r>
        <w:rPr>
          <w:rFonts w:hint="eastAsia" w:ascii="仿宋_GB2312" w:hAnsi="宋体" w:cs="宋体"/>
          <w:bCs/>
          <w:kern w:val="0"/>
          <w:szCs w:val="24"/>
          <w:highlight w:val="none"/>
        </w:rPr>
        <w:t>/销售文件：指产品管理人向投资者提供的，用于描述产品特征，约定权利义务的文件。具体指浙银理财</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rPr>
        <w:t>理财产品销售文件，包括《投资协议书》、《产品说明书》、《（代理）销售协议书》、《风险揭示书》、《投资者权益须知》以及对该文件的有效修改或补充。上述文件共同构成一份完整且不可分割的理财产品销售文件。经产品管理人委托，代理销售机构可以编制《（代理）销售协议书》、《风险揭示书》、《投资者权益须知》。</w:t>
      </w:r>
    </w:p>
    <w:p w14:paraId="49136D48">
      <w:pPr>
        <w:tabs>
          <w:tab w:val="left" w:pos="709"/>
        </w:tabs>
        <w:snapToGrid w:val="0"/>
        <w:spacing w:line="360" w:lineRule="auto"/>
        <w:ind w:firstLine="420" w:firstLineChars="200"/>
        <w:rPr>
          <w:rFonts w:ascii="仿宋_GB2312" w:hAnsi="宋体" w:cs="宋体"/>
          <w:bCs/>
          <w:kern w:val="0"/>
          <w:szCs w:val="24"/>
          <w:highlight w:val="none"/>
        </w:rPr>
      </w:pPr>
      <w:r>
        <w:rPr>
          <w:rFonts w:hint="eastAsia" w:ascii="仿宋_GB2312" w:hAnsi="宋体" w:cs="宋体"/>
          <w:bCs/>
          <w:kern w:val="0"/>
          <w:szCs w:val="24"/>
          <w:highlight w:val="none"/>
        </w:rPr>
        <w:t>2.《投资协议书》：指管理人统一编制的《浙银理财理财产品投资协议书》，以及对该文件的有效修改或补充。</w:t>
      </w:r>
    </w:p>
    <w:p w14:paraId="4E37E4DD">
      <w:pPr>
        <w:tabs>
          <w:tab w:val="left" w:pos="709"/>
        </w:tabs>
        <w:snapToGrid w:val="0"/>
        <w:spacing w:line="360" w:lineRule="auto"/>
        <w:ind w:firstLine="420" w:firstLineChars="200"/>
        <w:rPr>
          <w:rFonts w:ascii="仿宋_GB2312" w:hAnsi="宋体" w:cs="宋体"/>
          <w:bCs/>
          <w:kern w:val="0"/>
          <w:szCs w:val="24"/>
          <w:highlight w:val="none"/>
        </w:rPr>
      </w:pPr>
      <w:r>
        <w:rPr>
          <w:rFonts w:hint="eastAsia" w:ascii="仿宋_GB2312" w:hAnsi="宋体" w:cs="宋体"/>
          <w:bCs/>
          <w:kern w:val="0"/>
          <w:szCs w:val="24"/>
          <w:highlight w:val="none"/>
        </w:rPr>
        <w:t>3.《产品说明书》：指管理人统一编制的《浙银理财</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rPr>
        <w:t>理财产品说明书》，以及对该文件的有效修改或补充。</w:t>
      </w:r>
    </w:p>
    <w:p w14:paraId="2C123483">
      <w:pPr>
        <w:tabs>
          <w:tab w:val="left" w:pos="709"/>
        </w:tabs>
        <w:snapToGrid w:val="0"/>
        <w:spacing w:line="360" w:lineRule="auto"/>
        <w:ind w:firstLine="420" w:firstLineChars="200"/>
        <w:rPr>
          <w:rFonts w:ascii="仿宋_GB2312" w:hAnsi="宋体" w:cs="宋体"/>
          <w:bCs/>
          <w:kern w:val="0"/>
          <w:szCs w:val="24"/>
          <w:highlight w:val="none"/>
        </w:rPr>
      </w:pPr>
      <w:r>
        <w:rPr>
          <w:rFonts w:hint="eastAsia" w:ascii="仿宋_GB2312" w:hAnsi="宋体" w:cs="宋体"/>
          <w:bCs/>
          <w:kern w:val="0"/>
          <w:szCs w:val="24"/>
          <w:highlight w:val="none"/>
        </w:rPr>
        <w:t>4.《（代理）销售协议书》：指管理人统一编制的《浙银理财理财产品（代理）销售协议书》或代理销售机构接受产品管理人委托自行编制的《理财产品（代理）销售协议书》（文件名称以代理销售机构实际编制为准），以及对该文件的有效修改或补充。</w:t>
      </w:r>
    </w:p>
    <w:p w14:paraId="7A6C7B15">
      <w:pPr>
        <w:tabs>
          <w:tab w:val="left" w:pos="709"/>
        </w:tabs>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highlight w:val="none"/>
        </w:rPr>
        <w:t>5.《风险揭示书》：指管理人统一编制的《浙银理财</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rPr>
        <w:t>理财产品风险揭示书》或代理销售机构接受产品管理人委托自行编制的《浙银理财</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rPr>
        <w:t>理财产品风</w:t>
      </w:r>
      <w:r>
        <w:rPr>
          <w:rFonts w:hint="eastAsia" w:ascii="仿宋_GB2312" w:hAnsi="宋体" w:cs="宋体"/>
          <w:bCs/>
          <w:kern w:val="0"/>
          <w:szCs w:val="24"/>
        </w:rPr>
        <w:t>险揭示书》（文件名称以代理销售机构实际编制为准），以及对该文件的有效修改或补充。</w:t>
      </w:r>
    </w:p>
    <w:p w14:paraId="6C994081">
      <w:pPr>
        <w:tabs>
          <w:tab w:val="left" w:pos="709"/>
        </w:tabs>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6.《投资者权益须知》：指管理人统一编制的《理财产品投资者权益须知》或代理销售机构接受产品管理人委托自行编制的《理财产品投资者权益须知》（文件名称以代理销售机构实际编制为准），以及对该文件的有效修改或补充。</w:t>
      </w:r>
    </w:p>
    <w:p w14:paraId="673138E3">
      <w:pPr>
        <w:pStyle w:val="3"/>
        <w:numPr>
          <w:ilvl w:val="1"/>
          <w:numId w:val="12"/>
        </w:numPr>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理财产品用语 </w:t>
      </w:r>
    </w:p>
    <w:p w14:paraId="5A25FDB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1.理财产品登记编码</w:t>
      </w:r>
      <w:r>
        <w:rPr>
          <w:rFonts w:hint="eastAsia" w:ascii="仿宋_GB2312" w:hAnsi="宋体" w:cs="宋体"/>
          <w:bCs/>
          <w:color w:val="auto"/>
          <w:kern w:val="0"/>
          <w:szCs w:val="24"/>
          <w:highlight w:val="none"/>
          <w:u w:val="none"/>
          <w:lang w:val="en-US" w:eastAsia="zh-CN"/>
        </w:rPr>
        <w:t>/产品登记编码</w:t>
      </w:r>
      <w:r>
        <w:rPr>
          <w:rFonts w:hint="eastAsia" w:ascii="仿宋_GB2312" w:hAnsi="宋体" w:cs="宋体"/>
          <w:bCs/>
          <w:color w:val="auto"/>
          <w:kern w:val="0"/>
          <w:szCs w:val="24"/>
          <w:highlight w:val="none"/>
          <w:u w:val="none"/>
        </w:rPr>
        <w:t>：指本款理财产品在全国银行业理财信息登记系统对理财产品进行信息登记后，由全国银行业理财信息登记系统发放的唯一性的理财产品编码。投资者可依据登记编码在中国理财网（www.chinawealth.com.cn）查询产品信息。</w:t>
      </w:r>
    </w:p>
    <w:p w14:paraId="7F5394DB">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2.理财产品代码/产品代码：指产品管理人在全国银行业理财信息登记系统中为理财产品设置的内部识别码。</w:t>
      </w:r>
    </w:p>
    <w:p w14:paraId="30CF907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3.理财产品销售代码/销售代码</w:t>
      </w:r>
      <w:r>
        <w:rPr>
          <w:rFonts w:hint="eastAsia" w:ascii="仿宋_GB2312" w:hAnsi="宋体" w:cs="宋体"/>
          <w:bCs/>
          <w:color w:val="auto"/>
          <w:kern w:val="0"/>
          <w:szCs w:val="24"/>
          <w:highlight w:val="none"/>
          <w:u w:val="none"/>
          <w:lang w:val="en-US" w:eastAsia="zh-CN"/>
        </w:rPr>
        <w:t>/份额代码</w:t>
      </w:r>
      <w:r>
        <w:rPr>
          <w:rFonts w:hint="eastAsia" w:ascii="仿宋_GB2312" w:hAnsi="宋体" w:cs="宋体"/>
          <w:bCs/>
          <w:color w:val="auto"/>
          <w:kern w:val="0"/>
          <w:szCs w:val="24"/>
          <w:highlight w:val="none"/>
          <w:u w:val="none"/>
        </w:rPr>
        <w:t>：指本款理财产品若设置不同产品份额类别，为在理财产品销售管理过程中区分不同产品份额类别，管理人在同一理财产品代码项下，为每类份额类别设置的唯一性内部识别码。</w:t>
      </w:r>
    </w:p>
    <w:p w14:paraId="6A8DBF23">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理财产品风险等级：理财产品风险等级为产品管理人和销售机构经过审慎评估后确定的产品风险等级。若本产品通过代理销售机构销售的，理财产品风险等级以代理销售机构最终披露的风险等级结果为准。产品管理人和代理销售机构对理财产品的风险等级评估结果不一致时，代理销售机构应采用对应较高风险的评级结果。</w:t>
      </w:r>
      <w:r>
        <w:rPr>
          <w:rFonts w:hint="eastAsia" w:ascii="宋体" w:hAnsi="宋体"/>
          <w:b/>
          <w:bCs/>
          <w:color w:val="auto"/>
          <w:szCs w:val="24"/>
          <w:highlight w:val="none"/>
          <w:u w:val="none"/>
        </w:rPr>
        <w:t>产品管理人在符合监管政策的前提下可对产品风险评级进行动态管理，如产品风险等级发生调整，将提前通过本《产品说明书》“信息披露”约定的方式通知投资者。</w:t>
      </w:r>
    </w:p>
    <w:p w14:paraId="5ED408CA">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5.投资者风险承受能力评估：指销售机构对理财投资者的风险承受能力进行评价的过程。</w:t>
      </w:r>
    </w:p>
    <w:p w14:paraId="1FDC7EF1">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6.理财产品份额：指投资者持有本理财产品的单位数额。投资者基于其所持有的理财产品单位数额享有理财产品利益、承担理财产品风险。理财产品份额四舍五入保留2位小数。</w:t>
      </w:r>
    </w:p>
    <w:p w14:paraId="1F5CA924">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7.理财产品资产净值/理财资产净值/产品资产净值：理财产品资产净值=理财产品资产总值-理财产品负债总值。</w:t>
      </w:r>
    </w:p>
    <w:p w14:paraId="6A396C59">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理财产品资产总值是指理财产品拥有的各类有价证券、银行存款、应收款项及其他资产的价值总和。</w:t>
      </w:r>
    </w:p>
    <w:p w14:paraId="152806F0">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理财产品负债总值是指理财产品运作及融资时形成的负债价值总和，包括融资资金本息、</w:t>
      </w:r>
      <w:r>
        <w:rPr>
          <w:rFonts w:hint="eastAsia" w:ascii="仿宋_GB2312" w:hAnsi="宋体" w:cs="宋体"/>
          <w:bCs/>
          <w:color w:val="auto"/>
          <w:kern w:val="0"/>
          <w:sz w:val="22"/>
          <w:highlight w:val="none"/>
          <w:u w:val="none"/>
        </w:rPr>
        <w:t>应付各项费用</w:t>
      </w:r>
      <w:r>
        <w:rPr>
          <w:rFonts w:hint="eastAsia" w:ascii="仿宋_GB2312" w:hAnsi="宋体" w:cs="宋体"/>
          <w:bCs/>
          <w:color w:val="auto"/>
          <w:kern w:val="0"/>
          <w:szCs w:val="24"/>
          <w:highlight w:val="none"/>
          <w:u w:val="none"/>
        </w:rPr>
        <w:t>（包括</w:t>
      </w:r>
      <w:r>
        <w:rPr>
          <w:rFonts w:hint="eastAsia" w:ascii="仿宋_GB2312" w:hAnsi="宋体" w:cs="宋体"/>
          <w:bCs/>
          <w:color w:val="auto"/>
          <w:kern w:val="0"/>
          <w:szCs w:val="24"/>
          <w:highlight w:val="none"/>
          <w:u w:val="none"/>
          <w:lang w:eastAsia="zh-CN"/>
        </w:rPr>
        <w:t>托管费</w:t>
      </w:r>
      <w:r>
        <w:rPr>
          <w:rFonts w:hint="eastAsia" w:ascii="仿宋_GB2312" w:hAnsi="宋体" w:cs="宋体"/>
          <w:bCs/>
          <w:color w:val="auto"/>
          <w:kern w:val="0"/>
          <w:szCs w:val="24"/>
          <w:highlight w:val="none"/>
          <w:u w:val="none"/>
        </w:rPr>
        <w:t>、认购费、</w:t>
      </w:r>
      <w:r>
        <w:rPr>
          <w:rFonts w:hint="eastAsia" w:ascii="仿宋_GB2312" w:hAnsi="宋体" w:cs="宋体"/>
          <w:bCs/>
          <w:color w:val="auto"/>
          <w:kern w:val="0"/>
          <w:szCs w:val="24"/>
          <w:highlight w:val="none"/>
          <w:u w:val="none"/>
          <w:lang w:eastAsia="zh-CN"/>
        </w:rPr>
        <w:t>固定管理费</w:t>
      </w:r>
      <w:r>
        <w:rPr>
          <w:rFonts w:hint="eastAsia"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lang w:eastAsia="zh-CN"/>
        </w:rPr>
        <w:t>浮动管理费</w:t>
      </w:r>
      <w:r>
        <w:rPr>
          <w:rFonts w:hint="eastAsia" w:ascii="仿宋_GB2312" w:hAnsi="宋体" w:cs="宋体"/>
          <w:bCs/>
          <w:color w:val="auto"/>
          <w:kern w:val="0"/>
          <w:szCs w:val="24"/>
          <w:highlight w:val="none"/>
          <w:u w:val="none"/>
        </w:rPr>
        <w:t>、其他费用等）、应付税金及其他应付款项等。</w:t>
      </w:r>
    </w:p>
    <w:p w14:paraId="4F9A50D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8.理财产品份额净值/理财份额净值/产品份额净值：指理财产品份额的单位净值，即每1份理财产品份额以人民币计价的价格。理财产品份额净值=理财资产净值/产品总份额。投资者按该份额净值进行理财产品申购、赎回时分配。理财产品份额净值四舍五入保留</w:t>
      </w:r>
      <w:r>
        <w:rPr>
          <w:rFonts w:hint="eastAsia" w:ascii="仿宋_GB2312" w:hAnsi="宋体" w:cs="宋体"/>
          <w:bCs/>
          <w:kern w:val="0"/>
          <w:szCs w:val="24"/>
          <w:highlight w:val="yellow"/>
          <w:lang w:eastAsia="zh-CN"/>
        </w:rPr>
        <w:t>【位】</w:t>
      </w:r>
      <w:r>
        <w:rPr>
          <w:rFonts w:hint="eastAsia" w:ascii="仿宋_GB2312" w:hAnsi="宋体" w:cs="宋体"/>
          <w:bCs/>
          <w:color w:val="auto"/>
          <w:kern w:val="0"/>
          <w:szCs w:val="24"/>
          <w:highlight w:val="none"/>
          <w:u w:val="none"/>
        </w:rPr>
        <w:t>小数。</w:t>
      </w:r>
    </w:p>
    <w:p w14:paraId="7B53A8BA">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理财产品份额净值可以展示为</w:t>
      </w:r>
      <w:r>
        <w:rPr>
          <w:rFonts w:ascii="仿宋_GB2312" w:hAnsi="宋体" w:cs="宋体"/>
          <w:b/>
          <w:color w:val="auto"/>
          <w:kern w:val="0"/>
          <w:szCs w:val="24"/>
          <w:highlight w:val="none"/>
          <w:u w:val="none"/>
        </w:rPr>
        <w:t>当前理财产品份额净值</w:t>
      </w:r>
      <w:r>
        <w:rPr>
          <w:rFonts w:hint="eastAsia" w:ascii="仿宋_GB2312" w:hAnsi="宋体" w:cs="宋体"/>
          <w:bCs/>
          <w:color w:val="auto"/>
          <w:kern w:val="0"/>
          <w:szCs w:val="24"/>
          <w:highlight w:val="none"/>
          <w:u w:val="none"/>
        </w:rPr>
        <w:t>和</w:t>
      </w:r>
      <w:r>
        <w:rPr>
          <w:rFonts w:ascii="仿宋_GB2312" w:hAnsi="宋体" w:cs="宋体"/>
          <w:b/>
          <w:color w:val="auto"/>
          <w:kern w:val="0"/>
          <w:szCs w:val="24"/>
          <w:highlight w:val="none"/>
          <w:u w:val="none"/>
        </w:rPr>
        <w:t>累计理财产品份额净值</w:t>
      </w:r>
      <w:r>
        <w:rPr>
          <w:rFonts w:hint="eastAsia" w:ascii="仿宋_GB2312" w:hAnsi="宋体" w:cs="宋体"/>
          <w:bCs/>
          <w:color w:val="auto"/>
          <w:kern w:val="0"/>
          <w:szCs w:val="24"/>
          <w:highlight w:val="none"/>
          <w:u w:val="none"/>
        </w:rPr>
        <w:t>。</w:t>
      </w:r>
    </w:p>
    <w:p w14:paraId="24D296B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当前理财产品份额净值，指产品当前的份额净值。</w:t>
      </w:r>
    </w:p>
    <w:p w14:paraId="123858AD">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累计理财产品份额净值，指产品当前份额净值及产品成立到现在单位理财产品份额分红之和。</w:t>
      </w:r>
    </w:p>
    <w:p w14:paraId="74D67715">
      <w:pPr>
        <w:tabs>
          <w:tab w:val="left" w:pos="709"/>
        </w:tabs>
        <w:snapToGrid w:val="0"/>
        <w:spacing w:line="360" w:lineRule="auto"/>
        <w:ind w:firstLine="422" w:firstLineChars="200"/>
        <w:rPr>
          <w:rFonts w:ascii="仿宋_GB2312" w:hAnsi="宋体" w:cs="宋体"/>
          <w:b/>
          <w:color w:val="auto"/>
          <w:kern w:val="0"/>
          <w:szCs w:val="24"/>
          <w:highlight w:val="none"/>
          <w:u w:val="none"/>
        </w:rPr>
      </w:pPr>
      <w:r>
        <w:rPr>
          <w:rFonts w:ascii="仿宋_GB2312" w:hAnsi="宋体" w:cs="宋体"/>
          <w:b/>
          <w:color w:val="auto"/>
          <w:kern w:val="0"/>
          <w:szCs w:val="24"/>
          <w:highlight w:val="none"/>
          <w:u w:val="none"/>
        </w:rPr>
        <w:t>（注：若无特别说明，理财产品份额净值通常指当前理财产品份额净值）</w:t>
      </w:r>
    </w:p>
    <w:p w14:paraId="699CB0BA">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9.理财产品估值：指计算评估理财产品资产和理财产品负债的价值，以确定理财产品份额净值的过程。</w:t>
      </w:r>
    </w:p>
    <w:p w14:paraId="6ED75CA0">
      <w:pPr>
        <w:tabs>
          <w:tab w:val="left" w:pos="709"/>
        </w:tabs>
        <w:snapToGrid w:val="0"/>
        <w:spacing w:line="360" w:lineRule="auto"/>
        <w:ind w:firstLine="420" w:firstLineChars="200"/>
        <w:rPr>
          <w:rFonts w:ascii="仿宋_GB2312" w:hAnsi="宋体" w:cs="宋体"/>
          <w:b/>
          <w:color w:val="auto"/>
          <w:kern w:val="0"/>
          <w:szCs w:val="24"/>
          <w:highlight w:val="none"/>
          <w:u w:val="none"/>
        </w:rPr>
      </w:pPr>
      <w:r>
        <w:rPr>
          <w:rFonts w:hint="eastAsia" w:ascii="仿宋_GB2312" w:hAnsi="宋体" w:cs="宋体"/>
          <w:bCs/>
          <w:color w:val="auto"/>
          <w:kern w:val="0"/>
          <w:szCs w:val="24"/>
          <w:highlight w:val="none"/>
          <w:u w:val="none"/>
        </w:rPr>
        <w:t>10.业绩比较基准：指管理人基于过往投资经验及对产品存续期投资市场波动的预判而对本产品所设定的投资目标。</w:t>
      </w:r>
      <w:r>
        <w:rPr>
          <w:rFonts w:ascii="仿宋_GB2312" w:hAnsi="宋体" w:cs="宋体"/>
          <w:b/>
          <w:color w:val="auto"/>
          <w:kern w:val="0"/>
          <w:szCs w:val="24"/>
          <w:highlight w:val="none"/>
          <w:u w:val="none"/>
        </w:rPr>
        <w:t>业绩比较基准不代表理财产品未来表现，不等于理财产品实际收益，不作为产品收益的业绩保证，投资须谨慎。</w:t>
      </w:r>
    </w:p>
    <w:p w14:paraId="7A4AA506">
      <w:pPr>
        <w:tabs>
          <w:tab w:val="left" w:pos="709"/>
        </w:tabs>
        <w:snapToGrid w:val="0"/>
        <w:spacing w:line="360" w:lineRule="auto"/>
        <w:ind w:firstLine="420" w:firstLineChars="200"/>
        <w:rPr>
          <w:rFonts w:ascii="仿宋_GB2312" w:hAnsi="宋体" w:cs="宋体"/>
          <w:b/>
          <w:color w:val="auto"/>
          <w:kern w:val="0"/>
          <w:szCs w:val="24"/>
          <w:highlight w:val="none"/>
          <w:u w:val="none"/>
        </w:rPr>
      </w:pPr>
      <w:r>
        <w:rPr>
          <w:rFonts w:ascii="仿宋_GB2312" w:hAnsi="宋体" w:cs="宋体"/>
          <w:bCs/>
          <w:color w:val="auto"/>
          <w:kern w:val="0"/>
          <w:szCs w:val="24"/>
          <w:highlight w:val="none"/>
          <w:u w:val="none"/>
        </w:rPr>
        <w:t>11.</w:t>
      </w:r>
      <w:r>
        <w:rPr>
          <w:rFonts w:hint="eastAsia" w:ascii="仿宋_GB2312" w:hAnsi="宋体" w:cs="宋体"/>
          <w:bCs/>
          <w:color w:val="auto"/>
          <w:kern w:val="0"/>
          <w:szCs w:val="24"/>
          <w:highlight w:val="none"/>
          <w:u w:val="none"/>
          <w:lang w:eastAsia="zh-CN"/>
        </w:rPr>
        <w:t>浮动管理费</w:t>
      </w:r>
      <w:r>
        <w:rPr>
          <w:rFonts w:ascii="仿宋_GB2312" w:hAnsi="宋体" w:cs="宋体"/>
          <w:bCs/>
          <w:color w:val="auto"/>
          <w:kern w:val="0"/>
          <w:szCs w:val="24"/>
          <w:highlight w:val="none"/>
          <w:u w:val="none"/>
        </w:rPr>
        <w:t>计提基准：指管理人收取</w:t>
      </w:r>
      <w:r>
        <w:rPr>
          <w:rFonts w:hint="eastAsia" w:ascii="仿宋_GB2312" w:hAnsi="宋体" w:cs="宋体"/>
          <w:bCs/>
          <w:color w:val="auto"/>
          <w:kern w:val="0"/>
          <w:szCs w:val="24"/>
          <w:highlight w:val="none"/>
          <w:u w:val="none"/>
          <w:lang w:eastAsia="zh-CN"/>
        </w:rPr>
        <w:t>浮动管理费</w:t>
      </w:r>
      <w:r>
        <w:rPr>
          <w:rFonts w:ascii="仿宋_GB2312" w:hAnsi="宋体" w:cs="宋体"/>
          <w:bCs/>
          <w:color w:val="auto"/>
          <w:kern w:val="0"/>
          <w:szCs w:val="24"/>
          <w:highlight w:val="none"/>
          <w:u w:val="none"/>
        </w:rPr>
        <w:t>的参照相关数值标准。</w:t>
      </w:r>
      <w:r>
        <w:rPr>
          <w:rFonts w:hint="eastAsia" w:ascii="仿宋_GB2312" w:hAnsi="宋体" w:cs="宋体"/>
          <w:b/>
          <w:color w:val="auto"/>
          <w:kern w:val="0"/>
          <w:szCs w:val="24"/>
          <w:highlight w:val="none"/>
          <w:u w:val="none"/>
          <w:lang w:eastAsia="zh-CN"/>
        </w:rPr>
        <w:t>浮动管理费</w:t>
      </w:r>
      <w:r>
        <w:rPr>
          <w:rFonts w:ascii="仿宋_GB2312" w:hAnsi="宋体" w:cs="宋体"/>
          <w:b/>
          <w:color w:val="auto"/>
          <w:kern w:val="0"/>
          <w:szCs w:val="24"/>
          <w:highlight w:val="none"/>
          <w:u w:val="none"/>
        </w:rPr>
        <w:t>计提基准不代表理财产品未来表现，不等于理财产品实际收益，不作为产品收益的业绩保证，投资须谨慎。</w:t>
      </w:r>
    </w:p>
    <w:p w14:paraId="0E72D56C">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12.理财产品利益/理财利益</w:t>
      </w:r>
      <w:r>
        <w:rPr>
          <w:rFonts w:hint="eastAsia" w:ascii="仿宋_GB2312" w:hAnsi="宋体" w:cs="宋体"/>
          <w:bCs/>
          <w:color w:val="auto"/>
          <w:kern w:val="0"/>
          <w:szCs w:val="24"/>
          <w:highlight w:val="none"/>
          <w:u w:val="none"/>
          <w:lang w:val="en-US" w:eastAsia="zh-CN"/>
        </w:rPr>
        <w:t>/理财产品收益/理财收益</w:t>
      </w:r>
      <w:r>
        <w:rPr>
          <w:rFonts w:hint="eastAsia" w:ascii="仿宋_GB2312" w:hAnsi="宋体" w:cs="宋体"/>
          <w:bCs/>
          <w:color w:val="auto"/>
          <w:kern w:val="0"/>
          <w:szCs w:val="24"/>
          <w:highlight w:val="none"/>
          <w:u w:val="none"/>
        </w:rPr>
        <w:t>：指投资者因持有理财产品份额，按照销售文件约定取得或有权取得的理财产品管理人分配的理财产品资产。</w:t>
      </w:r>
    </w:p>
    <w:p w14:paraId="604B3B4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13.</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分配：指产品管理人向投资者进行理财产品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 xml:space="preserve">分配。 </w:t>
      </w:r>
    </w:p>
    <w:p w14:paraId="0CEEB7D9">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14.期间分配：指在理财产品终止日（不含当日）前的理财产品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 xml:space="preserve">分配。 </w:t>
      </w:r>
    </w:p>
    <w:p w14:paraId="01634D9C">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15.终止分配：指在理财产品终止日当日及之后的理财产品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w:t>
      </w:r>
    </w:p>
    <w:p w14:paraId="45C80C00">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16.认购：指投资者根据本协议约定在认购期/募集期内申请购买本产品理财产品份额的行为。 </w:t>
      </w:r>
    </w:p>
    <w:p w14:paraId="3592365E">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17.申购：指理财产品成立后，在理财产品申购期内，投资者申请购买理财产品份额的行为。</w:t>
      </w:r>
    </w:p>
    <w:p w14:paraId="49AA94AC">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首次申购，指未进行认购的投资者，在理财产品成立后申请购买理财产品份额的行为。投资者全额赎回不再持有理财产品份额后再次申购的，视同首次申购处理。</w:t>
      </w:r>
    </w:p>
    <w:p w14:paraId="1615472A">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追加申购，指已经完成认购或首次申购的投资者，在理财产品成立后申请购买理财产品份额的行为。</w:t>
      </w:r>
    </w:p>
    <w:p w14:paraId="5E7EFA2C">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18.赎回：指理财产品成立后，在理财产品赎回期内，投资者申请赎回理财产品份额的行为，即投资者申请将理财产品份额兑换为现金。</w:t>
      </w:r>
    </w:p>
    <w:p w14:paraId="25B66F88">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19.巨额赎回：</w:t>
      </w:r>
      <w:r>
        <w:rPr>
          <w:rFonts w:hint="eastAsia" w:ascii="仿宋_GB2312" w:hAnsi="宋体" w:cs="宋体"/>
          <w:bCs/>
          <w:color w:val="auto"/>
          <w:kern w:val="0"/>
          <w:szCs w:val="24"/>
          <w:highlight w:val="none"/>
          <w:u w:val="none"/>
        </w:rPr>
        <w:t>指</w:t>
      </w:r>
      <w:r>
        <w:rPr>
          <w:rFonts w:ascii="仿宋_GB2312" w:hAnsi="宋体" w:cs="宋体"/>
          <w:bCs/>
          <w:color w:val="auto"/>
          <w:kern w:val="0"/>
          <w:szCs w:val="24"/>
          <w:highlight w:val="none"/>
          <w:u w:val="none"/>
        </w:rPr>
        <w:t>在理财产品存续期内，</w:t>
      </w:r>
      <w:r>
        <w:rPr>
          <w:rFonts w:hint="eastAsia" w:ascii="仿宋_GB2312" w:hAnsi="宋体" w:cs="宋体"/>
          <w:bCs/>
          <w:color w:val="auto"/>
          <w:kern w:val="0"/>
          <w:szCs w:val="24"/>
          <w:highlight w:val="none"/>
          <w:u w:val="none"/>
        </w:rPr>
        <w:t>单个开放日产品净赎回申请（</w:t>
      </w:r>
      <w:r>
        <w:rPr>
          <w:rFonts w:ascii="仿宋_GB2312" w:hAnsi="宋体" w:cs="宋体"/>
          <w:bCs/>
          <w:color w:val="auto"/>
          <w:kern w:val="0"/>
          <w:szCs w:val="24"/>
          <w:highlight w:val="none"/>
          <w:u w:val="none"/>
        </w:rPr>
        <w:t>赎回</w:t>
      </w:r>
      <w:r>
        <w:rPr>
          <w:rFonts w:hint="eastAsia" w:ascii="仿宋_GB2312" w:hAnsi="宋体" w:cs="宋体"/>
          <w:bCs/>
          <w:color w:val="auto"/>
          <w:kern w:val="0"/>
          <w:szCs w:val="24"/>
          <w:highlight w:val="none"/>
          <w:u w:val="none"/>
        </w:rPr>
        <w:t>申请总份额扣除申购总份额后的余额</w:t>
      </w:r>
      <w:r>
        <w:rPr>
          <w:rFonts w:ascii="仿宋_GB2312" w:hAnsi="宋体" w:cs="宋体"/>
          <w:bCs/>
          <w:color w:val="auto"/>
          <w:kern w:val="0"/>
          <w:szCs w:val="24"/>
          <w:highlight w:val="none"/>
          <w:u w:val="none"/>
        </w:rPr>
        <w:t>,下同）</w:t>
      </w:r>
      <w:r>
        <w:rPr>
          <w:rFonts w:hint="eastAsia" w:ascii="仿宋_GB2312" w:hAnsi="宋体" w:cs="宋体"/>
          <w:bCs/>
          <w:color w:val="auto"/>
          <w:kern w:val="0"/>
          <w:szCs w:val="24"/>
          <w:highlight w:val="none"/>
          <w:u w:val="none"/>
        </w:rPr>
        <w:t>超过前一日终理财产品总份额的</w:t>
      </w:r>
      <w:r>
        <w:rPr>
          <w:rFonts w:ascii="仿宋_GB2312" w:hAnsi="宋体" w:cs="宋体"/>
          <w:bCs/>
          <w:color w:val="auto"/>
          <w:kern w:val="0"/>
          <w:szCs w:val="24"/>
          <w:highlight w:val="none"/>
          <w:u w:val="none"/>
        </w:rPr>
        <w:t>10</w:t>
      </w:r>
      <w:r>
        <w:rPr>
          <w:rFonts w:hint="eastAsia" w:ascii="仿宋_GB2312" w:hAnsi="宋体" w:cs="宋体"/>
          <w:bCs/>
          <w:color w:val="auto"/>
          <w:kern w:val="0"/>
          <w:szCs w:val="24"/>
          <w:highlight w:val="none"/>
          <w:u w:val="none"/>
        </w:rPr>
        <w:t>％的赎回行为，国家金融监督管理总局另有规定的除外。</w:t>
      </w:r>
    </w:p>
    <w:p w14:paraId="4306D22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20.流动性受限资产：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14:paraId="0AC93361">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21.7个工作日可变现资产：包括可在交易所、银行间市场正常交易的股票、债券、非金融企业债务融资工具、期货及期权合约以及同业存单，7个工作日内到期或可支取的买入返售、银行存款，7个工作日内能够确认收到的各类应收款项等。</w:t>
      </w:r>
    </w:p>
    <w:p w14:paraId="0330ECC6">
      <w:pPr>
        <w:numPr>
          <w:ilvl w:val="-1"/>
          <w:numId w:val="0"/>
        </w:numPr>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22.</w:t>
      </w:r>
      <w:r>
        <w:rPr>
          <w:rFonts w:hint="eastAsia" w:ascii="仿宋_GB2312" w:hAnsi="宋体" w:cs="宋体"/>
          <w:bCs/>
          <w:color w:val="auto"/>
          <w:kern w:val="0"/>
          <w:szCs w:val="24"/>
          <w:highlight w:val="none"/>
          <w:u w:val="none"/>
        </w:rPr>
        <w:t>摆动定价机制：指当开放式公募理财产品遭遇大额认/申购或赎回时，通过调整理财产品份额净值的方式，将理财产品调整投资组合的市场冲击成本分配给实际认/申购、赎回的投资者，从而减少对存量理财产品份额持有人利益的不利影响，确保投资者的合法权益不受损害并得到公平对待。</w:t>
      </w:r>
    </w:p>
    <w:p w14:paraId="441C962F">
      <w:pPr>
        <w:keepNext w:val="0"/>
        <w:keepLines w:val="0"/>
        <w:widowControl/>
        <w:numPr>
          <w:ilvl w:val="0"/>
          <w:numId w:val="0"/>
        </w:numPr>
        <w:suppressLineNumbers w:val="0"/>
        <w:tabs>
          <w:tab w:val="left" w:pos="709"/>
        </w:tabs>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23.</w:t>
      </w:r>
      <w:r>
        <w:rPr>
          <w:rFonts w:hint="eastAsia" w:ascii="仿宋_GB2312" w:hAnsi="宋体" w:eastAsia="仿宋_GB2312" w:cs="宋体"/>
          <w:b w:val="0"/>
          <w:bCs/>
          <w:color w:val="auto"/>
          <w:kern w:val="0"/>
          <w:sz w:val="24"/>
          <w:szCs w:val="24"/>
          <w:highlight w:val="none"/>
          <w:u w:val="none"/>
          <w:lang w:val="en-US" w:eastAsia="zh-CN" w:bidi="ar"/>
        </w:rPr>
        <w:t>短期赎回费机制：</w:t>
      </w:r>
      <w:r>
        <w:rPr>
          <w:rFonts w:hint="eastAsia" w:ascii="仿宋_GB2312" w:hAnsi="宋体" w:eastAsia="仿宋_GB2312" w:cs="宋体"/>
          <w:bCs/>
          <w:color w:val="auto"/>
          <w:kern w:val="0"/>
          <w:sz w:val="24"/>
          <w:szCs w:val="24"/>
          <w:highlight w:val="none"/>
          <w:u w:val="none"/>
          <w:lang w:val="en-US" w:eastAsia="zh-CN" w:bidi="ar"/>
        </w:rPr>
        <w:t>指当理财计划发生巨额赎回或管理人认为可能导致理财计划流动性风险的其他情形下，理财计划管理人可临时性收取短期赎回费以应对流动性风险事件，并将上述产生费用全额计入理财计划</w:t>
      </w:r>
      <w:r>
        <w:rPr>
          <w:rFonts w:hint="eastAsia" w:ascii="仿宋_GB2312" w:hAnsi="宋体" w:cs="宋体"/>
          <w:bCs/>
          <w:color w:val="auto"/>
          <w:kern w:val="0"/>
          <w:sz w:val="24"/>
          <w:szCs w:val="24"/>
          <w:highlight w:val="none"/>
          <w:u w:val="none"/>
          <w:lang w:val="en-US" w:eastAsia="zh-CN" w:bidi="ar"/>
        </w:rPr>
        <w:t>财产。</w:t>
      </w:r>
      <w:r>
        <w:rPr>
          <w:rFonts w:hint="eastAsia" w:ascii="仿宋_GB2312" w:hAnsi="宋体" w:eastAsia="仿宋_GB2312" w:cs="宋体"/>
          <w:bCs/>
          <w:color w:val="auto"/>
          <w:kern w:val="0"/>
          <w:sz w:val="24"/>
          <w:szCs w:val="24"/>
          <w:highlight w:val="none"/>
          <w:u w:val="none"/>
          <w:lang w:val="en-US" w:eastAsia="zh-CN" w:bidi="ar"/>
        </w:rPr>
        <w:t>在此情形下，投资者在提交赎回申请时，实际赎回金额可能少于按照赎回申请当日理财产品份额净值计算出的赎回金额。</w:t>
      </w:r>
    </w:p>
    <w:p w14:paraId="26172EB9">
      <w:pPr>
        <w:pStyle w:val="3"/>
        <w:numPr>
          <w:ilvl w:val="1"/>
          <w:numId w:val="12"/>
        </w:numPr>
        <w:ind w:firstLine="482"/>
        <w:rPr>
          <w:rFonts w:ascii="仿宋_GB2312" w:hAnsi="宋体" w:cs="宋体"/>
          <w:bCs/>
          <w:kern w:val="0"/>
          <w:szCs w:val="24"/>
        </w:rPr>
      </w:pPr>
      <w:r>
        <w:rPr>
          <w:rFonts w:hint="eastAsia" w:ascii="仿宋_GB2312" w:hAnsi="宋体" w:cs="宋体"/>
          <w:bCs/>
          <w:kern w:val="0"/>
          <w:szCs w:val="24"/>
        </w:rPr>
        <w:t>期间与日期</w:t>
      </w:r>
    </w:p>
    <w:p w14:paraId="03ED8F63">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1.日：指自然日。</w:t>
      </w:r>
    </w:p>
    <w:p w14:paraId="1B3DE7EF">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2.交易日：指证券交易所的正常开盘交易日。 </w:t>
      </w:r>
    </w:p>
    <w:p w14:paraId="67C6E21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3.工作日：指国家法定工作日。 </w:t>
      </w:r>
    </w:p>
    <w:p w14:paraId="6025352A">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4.成立日：指达到《产品说明书》约定的成立条件后本产品开始运作的日期。</w:t>
      </w:r>
    </w:p>
    <w:p w14:paraId="66F6A95E">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到期日/终止日：指本产品终止的日期，包括理财产品正常到期之日、提前终止之日及延期终止之日。根据《产品说明书》的约定，本产品无固定期限，但管理人有权在发生终止事件时终止该理财产品。如管理人终止理财产品，将通过约定方式向投资者进行信息披露。</w:t>
      </w:r>
    </w:p>
    <w:p w14:paraId="0101F998">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分配基准日</w:t>
      </w:r>
      <w:r>
        <w:rPr>
          <w:rFonts w:hint="eastAsia" w:ascii="仿宋_GB2312" w:hAnsi="宋体" w:cs="宋体"/>
          <w:bCs/>
          <w:color w:val="auto"/>
          <w:kern w:val="0"/>
          <w:szCs w:val="24"/>
          <w:highlight w:val="none"/>
          <w:u w:val="none"/>
          <w:lang w:val="en-US" w:eastAsia="zh-CN"/>
        </w:rPr>
        <w:t>/</w:t>
      </w:r>
      <w:r>
        <w:rPr>
          <w:rFonts w:hint="eastAsia" w:ascii="仿宋_GB2312" w:hAnsi="宋体" w:cs="宋体"/>
          <w:bCs/>
          <w:color w:val="auto"/>
          <w:kern w:val="0"/>
          <w:szCs w:val="24"/>
          <w:highlight w:val="none"/>
          <w:u w:val="none"/>
        </w:rPr>
        <w:t>分配基准日：指本产品管理人以该日日终产品份额净值计算并确定可供分配的投资期间理财</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的日期。</w:t>
      </w:r>
    </w:p>
    <w:p w14:paraId="19C9A732">
      <w:pPr>
        <w:tabs>
          <w:tab w:val="left" w:pos="709"/>
        </w:tabs>
        <w:snapToGrid w:val="0"/>
        <w:spacing w:line="360" w:lineRule="auto"/>
        <w:ind w:firstLine="420" w:firstLineChars="200"/>
        <w:rPr>
          <w:rFonts w:hint="eastAsia" w:ascii="仿宋_GB2312" w:hAnsi="宋体" w:eastAsia="仿宋_GB2312" w:cs="宋体"/>
          <w:bCs/>
          <w:color w:val="auto"/>
          <w:kern w:val="0"/>
          <w:szCs w:val="24"/>
          <w:highlight w:val="none"/>
          <w:u w:val="none"/>
          <w:lang w:eastAsia="zh-CN"/>
        </w:rPr>
      </w:pPr>
      <w:r>
        <w:rPr>
          <w:rFonts w:hint="eastAsia" w:ascii="仿宋_GB2312" w:hAnsi="宋体" w:cs="宋体"/>
          <w:bCs/>
          <w:color w:val="auto"/>
          <w:kern w:val="0"/>
          <w:szCs w:val="24"/>
          <w:highlight w:val="none"/>
          <w:u w:val="none"/>
          <w:lang w:val="en-US" w:eastAsia="zh-CN"/>
        </w:rPr>
        <w:t>7.</w:t>
      </w:r>
      <w:r>
        <w:rPr>
          <w:rFonts w:hint="eastAsia" w:ascii="仿宋_GB2312" w:hAnsi="宋体" w:cs="宋体"/>
          <w:bCs/>
          <w:color w:val="auto"/>
          <w:kern w:val="0"/>
          <w:szCs w:val="24"/>
          <w:highlight w:val="none"/>
          <w:u w:val="none"/>
        </w:rPr>
        <w:t>除权日</w:t>
      </w:r>
      <w:r>
        <w:rPr>
          <w:rFonts w:hint="eastAsia" w:ascii="仿宋_GB2312" w:hAnsi="宋体" w:cs="宋体"/>
          <w:bCs/>
          <w:color w:val="auto"/>
          <w:kern w:val="0"/>
          <w:szCs w:val="24"/>
          <w:highlight w:val="none"/>
          <w:u w:val="none"/>
          <w:lang w:eastAsia="zh-CN"/>
        </w:rPr>
        <w:t>：指本产品的份额净值扣除收益分配金额的日期。</w:t>
      </w:r>
    </w:p>
    <w:p w14:paraId="0888B676">
      <w:pPr>
        <w:tabs>
          <w:tab w:val="left" w:pos="709"/>
        </w:tabs>
        <w:snapToGrid w:val="0"/>
        <w:spacing w:line="360" w:lineRule="auto"/>
        <w:ind w:firstLine="420" w:firstLineChars="200"/>
        <w:rPr>
          <w:rFonts w:hint="eastAsia" w:ascii="仿宋_GB2312" w:hAnsi="宋体" w:eastAsia="仿宋_GB2312" w:cs="宋体"/>
          <w:bCs/>
          <w:color w:val="auto"/>
          <w:kern w:val="0"/>
          <w:szCs w:val="24"/>
          <w:highlight w:val="none"/>
          <w:u w:val="none"/>
          <w:lang w:eastAsia="zh-CN"/>
        </w:rPr>
      </w:pPr>
      <w:r>
        <w:rPr>
          <w:rFonts w:hint="eastAsia" w:ascii="仿宋_GB2312" w:hAnsi="宋体" w:cs="宋体"/>
          <w:bCs/>
          <w:color w:val="auto"/>
          <w:kern w:val="0"/>
          <w:szCs w:val="24"/>
          <w:highlight w:val="none"/>
          <w:u w:val="none"/>
          <w:lang w:val="en-US" w:eastAsia="zh-CN"/>
        </w:rPr>
        <w:t>8.</w:t>
      </w:r>
      <w:r>
        <w:rPr>
          <w:rFonts w:hint="eastAsia" w:ascii="仿宋_GB2312" w:hAnsi="宋体" w:cs="宋体"/>
          <w:bCs/>
          <w:color w:val="auto"/>
          <w:kern w:val="0"/>
          <w:szCs w:val="24"/>
          <w:highlight w:val="none"/>
          <w:u w:val="none"/>
          <w:lang w:eastAsia="zh-CN"/>
        </w:rPr>
        <w:t>权益登记日：指本产品理财产品收益分配时，权益登记日登记在册的理财产品份额持有人为分配对象。</w:t>
      </w:r>
    </w:p>
    <w:p w14:paraId="0DAF4329">
      <w:pPr>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9</w:t>
      </w:r>
      <w:r>
        <w:rPr>
          <w:rFonts w:hint="eastAsia" w:ascii="仿宋_GB2312" w:hAnsi="宋体" w:cs="宋体"/>
          <w:bCs/>
          <w:color w:val="auto"/>
          <w:kern w:val="0"/>
          <w:szCs w:val="24"/>
          <w:highlight w:val="none"/>
          <w:u w:val="none"/>
        </w:rPr>
        <w:t>.分配日：指产品管理人向投资者进行理财产品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分配的日期。</w:t>
      </w:r>
    </w:p>
    <w:p w14:paraId="13EA1F4A">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10</w:t>
      </w:r>
      <w:r>
        <w:rPr>
          <w:rFonts w:hint="eastAsia" w:ascii="仿宋_GB2312" w:hAnsi="宋体" w:cs="宋体"/>
          <w:bCs/>
          <w:color w:val="auto"/>
          <w:kern w:val="0"/>
          <w:szCs w:val="24"/>
          <w:highlight w:val="none"/>
          <w:u w:val="none"/>
        </w:rPr>
        <w:t>.募集期/认购期：指理财产品成立前，理财产品管理人接受理财产品认购的时间。但在该期间内如认购人提交认购申请的认购份额提前达到《产品说明书》所载的发行规模上限的，管理人有权选择认购期提前结束并停止接受认购申请。该情形下，产品成立日维持《产品说明书》的约定，保持不变。</w:t>
      </w:r>
    </w:p>
    <w:p w14:paraId="3C393C3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11</w:t>
      </w:r>
      <w:r>
        <w:rPr>
          <w:rFonts w:hint="eastAsia" w:ascii="仿宋_GB2312" w:hAnsi="宋体" w:cs="宋体"/>
          <w:bCs/>
          <w:color w:val="auto"/>
          <w:kern w:val="0"/>
          <w:szCs w:val="24"/>
          <w:highlight w:val="none"/>
          <w:u w:val="none"/>
        </w:rPr>
        <w:t>.持有期：指自产品成立日/申购确认日起，投资者持有该产品份额的期间。</w:t>
      </w:r>
    </w:p>
    <w:p w14:paraId="1856AE2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lang w:val="en-US" w:eastAsia="zh-CN"/>
        </w:rPr>
        <w:t>2</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投资周期：投资周期指投资者持有理财产品份额所对应的理财资金由产品管理人进行</w:t>
      </w:r>
      <w:r>
        <w:rPr>
          <w:rFonts w:hint="eastAsia" w:ascii="仿宋_GB2312" w:hAnsi="宋体" w:cs="宋体"/>
          <w:bCs/>
          <w:color w:val="auto"/>
          <w:kern w:val="0"/>
          <w:szCs w:val="24"/>
          <w:highlight w:val="none"/>
          <w:u w:val="none"/>
          <w:lang w:eastAsia="zh-CN"/>
        </w:rPr>
        <w:t>最短</w:t>
      </w:r>
      <w:r>
        <w:rPr>
          <w:rFonts w:hint="eastAsia" w:ascii="仿宋_GB2312" w:hAnsi="宋体" w:cs="宋体"/>
          <w:bCs/>
          <w:color w:val="auto"/>
          <w:kern w:val="0"/>
          <w:szCs w:val="24"/>
          <w:highlight w:val="none"/>
          <w:u w:val="none"/>
        </w:rPr>
        <w:t>投资运作的一段完整期间，每一个投资周期为该投资周期起始日至该投资周期终止日的理财期间。</w:t>
      </w:r>
    </w:p>
    <w:p w14:paraId="42C221F8">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投资周期起始日：指每一个投资周期开始的日期。</w:t>
      </w:r>
    </w:p>
    <w:p w14:paraId="34986FB0">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投资周期终止日：指每一个投资周期结束的日期。</w:t>
      </w:r>
    </w:p>
    <w:p w14:paraId="4A037ADA">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lang w:val="en-US" w:eastAsia="zh-CN"/>
        </w:rPr>
        <w:t>3</w:t>
      </w:r>
      <w:r>
        <w:rPr>
          <w:rFonts w:hint="eastAsia" w:ascii="仿宋_GB2312" w:hAnsi="宋体" w:cs="宋体"/>
          <w:bCs/>
          <w:color w:val="auto"/>
          <w:kern w:val="0"/>
          <w:szCs w:val="24"/>
          <w:highlight w:val="none"/>
          <w:u w:val="none"/>
        </w:rPr>
        <w:t>.产品存续期：指自理财产品成立日起，至理财产品终止日的期间。</w:t>
      </w:r>
    </w:p>
    <w:p w14:paraId="5711574E">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lang w:val="en-US" w:eastAsia="zh-CN"/>
        </w:rPr>
        <w:t>4</w:t>
      </w:r>
      <w:r>
        <w:rPr>
          <w:rFonts w:hint="eastAsia" w:ascii="仿宋_GB2312" w:hAnsi="宋体" w:cs="宋体"/>
          <w:bCs/>
          <w:color w:val="auto"/>
          <w:kern w:val="0"/>
          <w:szCs w:val="24"/>
          <w:highlight w:val="none"/>
          <w:u w:val="none"/>
        </w:rPr>
        <w:t>.清算期：指自本理财产品终止日至投资者理财</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到账日之间的期间。</w:t>
      </w:r>
    </w:p>
    <w:p w14:paraId="1156CD0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lang w:val="en-US" w:eastAsia="zh-CN"/>
        </w:rPr>
        <w:t>5</w:t>
      </w:r>
      <w:r>
        <w:rPr>
          <w:rFonts w:hint="eastAsia" w:ascii="仿宋_GB2312" w:hAnsi="宋体" w:cs="宋体"/>
          <w:bCs/>
          <w:color w:val="auto"/>
          <w:kern w:val="0"/>
          <w:szCs w:val="24"/>
          <w:highlight w:val="none"/>
          <w:u w:val="none"/>
        </w:rPr>
        <w:t>.开放日：指投资者可提交申购与赎回申请的日期。</w:t>
      </w:r>
    </w:p>
    <w:p w14:paraId="2105EA3A">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lang w:val="en-US" w:eastAsia="zh-CN"/>
        </w:rPr>
        <w:t>6</w:t>
      </w:r>
      <w:r>
        <w:rPr>
          <w:rFonts w:hint="eastAsia" w:ascii="仿宋_GB2312" w:hAnsi="宋体" w:cs="宋体"/>
          <w:bCs/>
          <w:color w:val="auto"/>
          <w:kern w:val="0"/>
          <w:szCs w:val="24"/>
          <w:highlight w:val="none"/>
          <w:u w:val="none"/>
        </w:rPr>
        <w:t>.申购/赎回日：指投资者提交申购、赎回申请的日期。</w:t>
      </w:r>
    </w:p>
    <w:p w14:paraId="1763F020">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lang w:val="en-US" w:eastAsia="zh-CN"/>
        </w:rPr>
        <w:t>7</w:t>
      </w:r>
      <w:r>
        <w:rPr>
          <w:rFonts w:hint="eastAsia" w:ascii="仿宋_GB2312" w:hAnsi="宋体" w:cs="宋体"/>
          <w:bCs/>
          <w:color w:val="auto"/>
          <w:kern w:val="0"/>
          <w:szCs w:val="24"/>
          <w:highlight w:val="none"/>
          <w:u w:val="none"/>
        </w:rPr>
        <w:t>.申购/赎回确认日：指投资者提交申购、赎回申请后，管理人对申购、赎回申请进行确认的日期。</w:t>
      </w:r>
    </w:p>
    <w:p w14:paraId="2801CE20">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18</w:t>
      </w:r>
      <w:r>
        <w:rPr>
          <w:rFonts w:hint="eastAsia" w:ascii="仿宋_GB2312" w:hAnsi="宋体" w:cs="宋体"/>
          <w:bCs/>
          <w:color w:val="auto"/>
          <w:kern w:val="0"/>
          <w:szCs w:val="24"/>
          <w:highlight w:val="none"/>
          <w:u w:val="none"/>
        </w:rPr>
        <w:t>.T日：指某一事件或行为发生的当日。</w:t>
      </w:r>
    </w:p>
    <w:p w14:paraId="42C57B20">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19</w:t>
      </w:r>
      <w:r>
        <w:rPr>
          <w:rFonts w:hint="eastAsia" w:ascii="仿宋_GB2312" w:hAnsi="宋体" w:cs="宋体"/>
          <w:bCs/>
          <w:color w:val="auto"/>
          <w:kern w:val="0"/>
          <w:szCs w:val="24"/>
          <w:highlight w:val="none"/>
          <w:u w:val="none"/>
        </w:rPr>
        <w:t>.T+n日：指T日后（不包括T日）的第n个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lang w:eastAsia="zh-CN"/>
        </w:rPr>
        <w:sym w:font="Wingdings 2" w:char="00A3"/>
      </w:r>
      <w:r>
        <w:rPr>
          <w:rFonts w:hint="eastAsia" w:ascii="仿宋_GB2312" w:hAnsi="宋体" w:cs="宋体"/>
          <w:bCs/>
          <w:kern w:val="0"/>
          <w:szCs w:val="24"/>
          <w:highlight w:val="yellow"/>
          <w:lang w:eastAsia="zh-CN"/>
        </w:rPr>
        <w:t>工作日</w:t>
      </w:r>
      <w:r>
        <w:rPr>
          <w:rFonts w:hint="eastAsia" w:ascii="仿宋_GB2312" w:hAnsi="宋体" w:cs="宋体"/>
          <w:bCs/>
          <w:kern w:val="0"/>
          <w:szCs w:val="24"/>
          <w:highlight w:val="yellow"/>
          <w:lang w:val="en-US" w:eastAsia="zh-CN"/>
        </w:rPr>
        <w:t>/</w:t>
      </w:r>
      <w:r>
        <w:rPr>
          <w:rFonts w:hint="eastAsia" w:ascii="仿宋_GB2312" w:hAnsi="宋体" w:cs="宋体"/>
          <w:bCs/>
          <w:kern w:val="0"/>
          <w:szCs w:val="24"/>
          <w:highlight w:val="yellow"/>
          <w:lang w:val="en-US" w:eastAsia="zh-CN"/>
        </w:rPr>
        <w:sym w:font="Wingdings 2" w:char="00A3"/>
      </w:r>
      <w:r>
        <w:rPr>
          <w:rFonts w:hint="eastAsia" w:ascii="仿宋_GB2312" w:hAnsi="宋体" w:cs="宋体"/>
          <w:bCs/>
          <w:kern w:val="0"/>
          <w:szCs w:val="24"/>
          <w:highlight w:val="yellow"/>
          <w:lang w:val="en-US" w:eastAsia="zh-CN"/>
        </w:rPr>
        <w:t>交易日</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w:t>
      </w:r>
    </w:p>
    <w:p w14:paraId="5E9FC69A">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20</w:t>
      </w:r>
      <w:r>
        <w:rPr>
          <w:rFonts w:hint="eastAsia" w:ascii="仿宋_GB2312" w:hAnsi="宋体" w:cs="宋体"/>
          <w:bCs/>
          <w:color w:val="auto"/>
          <w:kern w:val="0"/>
          <w:szCs w:val="24"/>
          <w:highlight w:val="none"/>
          <w:u w:val="none"/>
        </w:rPr>
        <w:t>.T-n日：指T前（不包括T日）的第n个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lang w:eastAsia="zh-CN"/>
        </w:rPr>
        <w:sym w:font="Wingdings 2" w:char="00A3"/>
      </w:r>
      <w:r>
        <w:rPr>
          <w:rFonts w:hint="eastAsia" w:ascii="仿宋_GB2312" w:hAnsi="宋体" w:cs="宋体"/>
          <w:bCs/>
          <w:kern w:val="0"/>
          <w:szCs w:val="24"/>
          <w:highlight w:val="yellow"/>
          <w:lang w:eastAsia="zh-CN"/>
        </w:rPr>
        <w:t>工作日</w:t>
      </w:r>
      <w:r>
        <w:rPr>
          <w:rFonts w:hint="eastAsia" w:ascii="仿宋_GB2312" w:hAnsi="宋体" w:cs="宋体"/>
          <w:bCs/>
          <w:kern w:val="0"/>
          <w:szCs w:val="24"/>
          <w:highlight w:val="yellow"/>
          <w:lang w:val="en-US" w:eastAsia="zh-CN"/>
        </w:rPr>
        <w:t>/</w:t>
      </w:r>
      <w:r>
        <w:rPr>
          <w:rFonts w:hint="eastAsia" w:ascii="仿宋_GB2312" w:hAnsi="宋体" w:cs="宋体"/>
          <w:bCs/>
          <w:kern w:val="0"/>
          <w:szCs w:val="24"/>
          <w:highlight w:val="yellow"/>
          <w:lang w:val="en-US" w:eastAsia="zh-CN"/>
        </w:rPr>
        <w:sym w:font="Wingdings 2" w:char="00A3"/>
      </w:r>
      <w:r>
        <w:rPr>
          <w:rFonts w:hint="eastAsia" w:ascii="仿宋_GB2312" w:hAnsi="宋体" w:cs="宋体"/>
          <w:bCs/>
          <w:kern w:val="0"/>
          <w:szCs w:val="24"/>
          <w:highlight w:val="yellow"/>
          <w:lang w:val="en-US" w:eastAsia="zh-CN"/>
        </w:rPr>
        <w:t>交易日</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w:t>
      </w:r>
    </w:p>
    <w:p w14:paraId="61B7F833">
      <w:pPr>
        <w:pStyle w:val="3"/>
        <w:numPr>
          <w:ilvl w:val="1"/>
          <w:numId w:val="12"/>
        </w:numPr>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费用</w:t>
      </w:r>
    </w:p>
    <w:p w14:paraId="3EF3A800">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1.认购费：指投资者认购产品时需缴纳的费用。</w:t>
      </w:r>
    </w:p>
    <w:p w14:paraId="1143929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2.申购费：指投资者申购产品时需缴纳的费用。</w:t>
      </w:r>
    </w:p>
    <w:p w14:paraId="6FECBEB3">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3.赎回费：指投资者赎回产品时需缴纳的费用。</w:t>
      </w:r>
    </w:p>
    <w:p w14:paraId="0A03276E">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4.销售服务费：指因理财产品销售行为产生，销售机构所收取的费用。</w:t>
      </w:r>
    </w:p>
    <w:p w14:paraId="0090864A">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w:t>
      </w:r>
      <w:r>
        <w:rPr>
          <w:rFonts w:hint="eastAsia" w:ascii="仿宋_GB2312" w:hAnsi="宋体" w:cs="宋体"/>
          <w:bCs/>
          <w:color w:val="auto"/>
          <w:kern w:val="0"/>
          <w:szCs w:val="24"/>
          <w:highlight w:val="none"/>
          <w:u w:val="none"/>
          <w:lang w:eastAsia="zh-CN"/>
        </w:rPr>
        <w:t>固定</w:t>
      </w:r>
      <w:r>
        <w:rPr>
          <w:rFonts w:hint="eastAsia" w:ascii="仿宋_GB2312" w:hAnsi="宋体" w:cs="宋体"/>
          <w:bCs/>
          <w:color w:val="auto"/>
          <w:kern w:val="0"/>
          <w:szCs w:val="24"/>
          <w:highlight w:val="none"/>
          <w:u w:val="none"/>
        </w:rPr>
        <w:t>管理费：指因理财产品投资管理产生，管理人所收取的费用。</w:t>
      </w:r>
    </w:p>
    <w:p w14:paraId="37A19050">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6.托管费：指因理财产品进行托管产生，托管人收取的费用。</w:t>
      </w:r>
    </w:p>
    <w:p w14:paraId="2426B766">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7.</w:t>
      </w:r>
      <w:r>
        <w:rPr>
          <w:rFonts w:hint="eastAsia" w:ascii="仿宋_GB2312" w:hAnsi="宋体" w:cs="宋体"/>
          <w:bCs/>
          <w:color w:val="auto"/>
          <w:kern w:val="0"/>
          <w:szCs w:val="24"/>
          <w:highlight w:val="none"/>
          <w:u w:val="none"/>
          <w:lang w:eastAsia="zh-CN"/>
        </w:rPr>
        <w:t>浮动管理费</w:t>
      </w:r>
      <w:r>
        <w:rPr>
          <w:rFonts w:hint="eastAsia" w:ascii="仿宋_GB2312" w:hAnsi="宋体" w:cs="宋体"/>
          <w:bCs/>
          <w:color w:val="auto"/>
          <w:kern w:val="0"/>
          <w:szCs w:val="24"/>
          <w:highlight w:val="none"/>
          <w:u w:val="none"/>
        </w:rPr>
        <w:t>：指产品管理人依照理财产品销售文件约定规则收取的浮动性质的管理费用。</w:t>
      </w:r>
    </w:p>
    <w:p w14:paraId="15B47F5B">
      <w:pPr>
        <w:tabs>
          <w:tab w:val="left" w:pos="709"/>
        </w:tabs>
        <w:snapToGrid w:val="0"/>
        <w:spacing w:line="360" w:lineRule="auto"/>
        <w:ind w:firstLine="420" w:firstLineChars="200"/>
        <w:rPr>
          <w:color w:val="auto"/>
          <w:highlight w:val="none"/>
          <w:u w:val="none"/>
        </w:rPr>
      </w:pPr>
      <w:r>
        <w:rPr>
          <w:rFonts w:hint="eastAsia" w:ascii="仿宋_GB2312" w:hAnsi="宋体" w:cs="宋体"/>
          <w:bCs/>
          <w:color w:val="auto"/>
          <w:kern w:val="0"/>
          <w:szCs w:val="24"/>
          <w:highlight w:val="none"/>
          <w:u w:val="none"/>
        </w:rPr>
        <w:t>8.其他费用（如有）：</w:t>
      </w:r>
      <w:r>
        <w:rPr>
          <w:rFonts w:hint="eastAsia"/>
          <w:color w:val="auto"/>
          <w:highlight w:val="none"/>
          <w:u w:val="none"/>
        </w:rPr>
        <w:t>与理财</w:t>
      </w:r>
      <w:r>
        <w:rPr>
          <w:color w:val="auto"/>
          <w:highlight w:val="none"/>
          <w:u w:val="none"/>
        </w:rPr>
        <w:t>产品相关的</w:t>
      </w:r>
      <w:r>
        <w:rPr>
          <w:rFonts w:hint="eastAsia"/>
          <w:color w:val="auto"/>
          <w:highlight w:val="none"/>
          <w:u w:val="none"/>
        </w:rPr>
        <w:t>账户服务费用、资产服务费用、交易费用（包括但不限于交易佣金、撮合费用等）、注册登记费、验资费、审计费、信息披露费</w:t>
      </w:r>
      <w:r>
        <w:rPr>
          <w:rFonts w:hint="eastAsia"/>
          <w:color w:val="auto"/>
          <w:highlight w:val="none"/>
          <w:u w:val="none"/>
          <w:lang w:eastAsia="zh-CN"/>
        </w:rPr>
        <w:t>、</w:t>
      </w:r>
      <w:r>
        <w:rPr>
          <w:rFonts w:hint="eastAsia"/>
          <w:color w:val="auto"/>
          <w:highlight w:val="yellow"/>
          <w:u w:val="none"/>
          <w:lang w:eastAsia="zh-CN"/>
        </w:rPr>
        <w:t>【信息服务费用】</w:t>
      </w:r>
      <w:r>
        <w:rPr>
          <w:rFonts w:hint="eastAsia"/>
          <w:color w:val="auto"/>
          <w:highlight w:val="none"/>
          <w:u w:val="none"/>
          <w:lang w:eastAsia="zh-CN"/>
        </w:rPr>
        <w:t>、</w:t>
      </w:r>
      <w:r>
        <w:rPr>
          <w:rFonts w:hint="eastAsia"/>
          <w:color w:val="auto"/>
          <w:highlight w:val="none"/>
          <w:u w:val="none"/>
        </w:rPr>
        <w:t>清算费用、执行费用（包括但不限于律师费、诉讼费、仲裁费、公证费、保全费、执行费等）以及按照法律法规、监管规定和理财产品销售文件约定可以列入的其他费用，具体以实际发生为准。</w:t>
      </w:r>
    </w:p>
    <w:p w14:paraId="3A2836CD">
      <w:pPr>
        <w:tabs>
          <w:tab w:val="left" w:pos="709"/>
        </w:tabs>
        <w:snapToGrid w:val="0"/>
        <w:spacing w:line="360" w:lineRule="auto"/>
        <w:ind w:firstLine="422" w:firstLineChars="200"/>
        <w:rPr>
          <w:rFonts w:ascii="仿宋_GB2312" w:hAnsi="宋体" w:cs="宋体"/>
          <w:bCs/>
          <w:color w:val="auto"/>
          <w:kern w:val="0"/>
          <w:szCs w:val="24"/>
          <w:highlight w:val="none"/>
          <w:u w:val="none"/>
        </w:rPr>
      </w:pPr>
      <w:r>
        <w:rPr>
          <w:rFonts w:hint="eastAsia" w:ascii="仿宋_GB2312" w:hAnsi="宋体" w:cs="宋体"/>
          <w:b/>
          <w:bCs/>
          <w:color w:val="auto"/>
          <w:kern w:val="0"/>
          <w:szCs w:val="24"/>
          <w:highlight w:val="none"/>
          <w:u w:val="none"/>
        </w:rPr>
        <w:t>（六）其他</w:t>
      </w:r>
      <w:r>
        <w:rPr>
          <w:rFonts w:hint="eastAsia" w:ascii="仿宋_GB2312" w:hAnsi="宋体" w:cs="宋体"/>
          <w:bCs/>
          <w:color w:val="auto"/>
          <w:kern w:val="0"/>
          <w:szCs w:val="24"/>
          <w:highlight w:val="none"/>
          <w:u w:val="none"/>
        </w:rPr>
        <w:t xml:space="preserve"> </w:t>
      </w:r>
    </w:p>
    <w:p w14:paraId="76741EFB">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1.不可抗力：指理财产品各方不能预见、不能避免且不能克服的客观情况，该事件妨碍、影响或延误任何一方依相关理财产品销售文件履行其全部或部分义务。该事件包括但不限于：</w:t>
      </w:r>
    </w:p>
    <w:p w14:paraId="09AAA914">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A、地震、台风、海啸、洪水、火灾、停电、瘟疫；</w:t>
      </w:r>
    </w:p>
    <w:p w14:paraId="4AF2522B">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B、战争、政变、恐怖主义行动、骚乱、罢工；</w:t>
      </w:r>
    </w:p>
    <w:p w14:paraId="4F3819C8">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C、新的适用法律或国家政策的颁布或实施、对原适用法律或国家政策的修改；</w:t>
      </w:r>
    </w:p>
    <w:p w14:paraId="37160959">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D、金融管理部门强制要求终止理财产品（该等强制要求不可归咎于任何一方）；</w:t>
      </w:r>
    </w:p>
    <w:p w14:paraId="14226A8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E、因理财产品各方和/或其关联方运营网络系统遭受黑客攻击、电信部门技术调整或故障等原因而造成的理财产品各方和/或其关联方之服务、营业的中断或者延迟。</w:t>
      </w:r>
    </w:p>
    <w:p w14:paraId="39B792A0">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2.元：指人民币元。 </w:t>
      </w:r>
    </w:p>
    <w:p w14:paraId="5091CFE3">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适用法律：指在理财产品销售文件签署日和履行过程中，适用中华人民共和国法律（为本协议之目的，在此不包括香港、澳门特别行政区和台湾地区的法律），包括中国任何立法机构、政府部门、银行业理财登记托管中心、银行间交易商协会、证券交易所、证券登记结算机构、相关行业协会依法颁布的，适用于本理财产品相关事宜的法律、行政法规、地方法规、部委规章、地方政府规章、规范性文件、规则、通知、须知、业务指南、指引或操作规程，及其有效的修改、更新或补充。</w:t>
      </w:r>
    </w:p>
    <w:p w14:paraId="3C72ABEC">
      <w:pPr>
        <w:pStyle w:val="2"/>
        <w:numPr>
          <w:ilvl w:val="0"/>
          <w:numId w:val="12"/>
        </w:numPr>
      </w:pPr>
      <w:r>
        <w:rPr>
          <w:rFonts w:hint="eastAsia" w:ascii="仿宋_GB2312" w:hAnsi="宋体" w:cs="宋体"/>
          <w:bCs/>
          <w:kern w:val="0"/>
          <w:szCs w:val="24"/>
        </w:rPr>
        <w:br w:type="page"/>
      </w:r>
      <w:r>
        <w:rPr>
          <w:rFonts w:hint="eastAsia"/>
        </w:rPr>
        <w:t>理财产品的认购与成立</w:t>
      </w:r>
    </w:p>
    <w:p w14:paraId="4E2348F3">
      <w:pPr>
        <w:pStyle w:val="3"/>
        <w:widowControl/>
        <w:numPr>
          <w:ilvl w:val="1"/>
          <w:numId w:val="12"/>
        </w:numPr>
        <w:tabs>
          <w:tab w:val="left" w:pos="709"/>
        </w:tabs>
        <w:adjustRightInd w:val="0"/>
        <w:snapToGrid w:val="0"/>
        <w:ind w:firstLine="482"/>
        <w:rPr>
          <w:rFonts w:ascii="仿宋_GB2312" w:hAnsi="宋体" w:cs="宋体"/>
          <w:bCs/>
          <w:kern w:val="0"/>
          <w:szCs w:val="24"/>
        </w:rPr>
      </w:pPr>
      <w:r>
        <w:rPr>
          <w:rFonts w:hint="eastAsia" w:ascii="仿宋_GB2312" w:hAnsi="宋体" w:cs="宋体"/>
          <w:bCs/>
          <w:kern w:val="0"/>
          <w:szCs w:val="24"/>
        </w:rPr>
        <w:t>参与主体及主要职责</w:t>
      </w:r>
    </w:p>
    <w:p w14:paraId="5B09975F">
      <w:pPr>
        <w:widowControl/>
        <w:tabs>
          <w:tab w:val="left" w:pos="709"/>
        </w:tabs>
        <w:adjustRightInd w:val="0"/>
        <w:snapToGrid w:val="0"/>
        <w:spacing w:line="360" w:lineRule="auto"/>
        <w:ind w:firstLine="420" w:firstLineChars="200"/>
        <w:rPr>
          <w:rFonts w:ascii="仿宋_GB2312" w:hAnsi="宋体" w:cs="宋体"/>
          <w:bCs/>
          <w:kern w:val="0"/>
          <w:szCs w:val="24"/>
        </w:rPr>
      </w:pPr>
      <w:r>
        <w:rPr>
          <w:rFonts w:ascii="仿宋_GB2312" w:hAnsi="宋体" w:cs="宋体"/>
          <w:bCs/>
          <w:kern w:val="0"/>
          <w:szCs w:val="24"/>
        </w:rPr>
        <w:t>1.</w:t>
      </w:r>
      <w:r>
        <w:rPr>
          <w:rFonts w:hint="eastAsia" w:ascii="仿宋_GB2312" w:hAnsi="宋体" w:cs="宋体"/>
          <w:bCs/>
          <w:kern w:val="0"/>
          <w:szCs w:val="24"/>
        </w:rPr>
        <w:t>产品管理人</w:t>
      </w:r>
    </w:p>
    <w:p w14:paraId="14146D71">
      <w:pPr>
        <w:widowControl/>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名称：浙银理财有限责任公司</w:t>
      </w:r>
    </w:p>
    <w:p w14:paraId="56A17489">
      <w:pPr>
        <w:widowControl/>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注册地：浙江省杭州市萧山区宁围街道民和路939号浙江商会大厦2幢20-22楼</w:t>
      </w:r>
    </w:p>
    <w:p w14:paraId="7EC5C0C5">
      <w:pPr>
        <w:widowControl/>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浙银理财负责本产品的投资运作和产品管理，</w:t>
      </w:r>
      <w:r>
        <w:rPr>
          <w:rFonts w:hint="eastAsia" w:ascii="仿宋_GB2312" w:hAnsi="宋体" w:cs="宋体"/>
          <w:b/>
          <w:kern w:val="0"/>
          <w:szCs w:val="24"/>
        </w:rPr>
        <w:t>投资者在此授权并同意浙银理财享有以下权利</w:t>
      </w:r>
      <w:r>
        <w:rPr>
          <w:rFonts w:hint="eastAsia" w:ascii="仿宋_GB2312" w:hAnsi="宋体" w:cs="宋体"/>
          <w:bCs/>
          <w:kern w:val="0"/>
          <w:szCs w:val="24"/>
        </w:rPr>
        <w:t>：</w:t>
      </w:r>
    </w:p>
    <w:p w14:paraId="1CD3DE09">
      <w:pPr>
        <w:widowControl/>
        <w:numPr>
          <w:ilvl w:val="0"/>
          <w:numId w:val="8"/>
        </w:numPr>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按照本产品销售文件的约定，管理、运用和处分理财产品资金；</w:t>
      </w:r>
    </w:p>
    <w:p w14:paraId="79883C76">
      <w:pPr>
        <w:widowControl/>
        <w:numPr>
          <w:ilvl w:val="0"/>
          <w:numId w:val="8"/>
        </w:numPr>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按照本产品销售文件的约定，及时、足额获得管理费和本产品说明书约定的其他费用（如有）；</w:t>
      </w:r>
    </w:p>
    <w:p w14:paraId="7FCD304B">
      <w:pPr>
        <w:widowControl/>
        <w:numPr>
          <w:ilvl w:val="0"/>
          <w:numId w:val="8"/>
        </w:numPr>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管理人以其固有财产先行垫付因处理本产品相关事务所支出的理财产品费用及税费的，对理财产品资金享有优先受偿权；</w:t>
      </w:r>
    </w:p>
    <w:p w14:paraId="1D647B91">
      <w:pPr>
        <w:widowControl/>
        <w:numPr>
          <w:ilvl w:val="0"/>
          <w:numId w:val="8"/>
        </w:numPr>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管理人有权根据本产品销售文件的约定提前终止或延长本理财产品的期限；</w:t>
      </w:r>
    </w:p>
    <w:p w14:paraId="437E20AF">
      <w:pPr>
        <w:widowControl/>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（5）管理人有权单方调整本产品的发行规模上限、认/申购起点金额、投资者累计认/申购上限、赎回上限等要素；</w:t>
      </w:r>
    </w:p>
    <w:p w14:paraId="55AE2D99">
      <w:pPr>
        <w:widowControl/>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（6）管理人有权按照法律法规和监管机构的要求将投资者的信息向有权部门或相关机构披露；</w:t>
      </w:r>
    </w:p>
    <w:p w14:paraId="67B5599E">
      <w:pPr>
        <w:widowControl/>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（7）以理财产品管理人的名义，依照法律法规相关规定以及为理财产品的利益，对被投资的各类资产行使出资人/投资者权利（包括但不限于表决投票的权利）；</w:t>
      </w:r>
    </w:p>
    <w:p w14:paraId="711F7353">
      <w:pPr>
        <w:widowControl/>
        <w:tabs>
          <w:tab w:val="left" w:pos="709"/>
        </w:tabs>
        <w:adjustRightInd w:val="0"/>
        <w:snapToGrid w:val="0"/>
        <w:spacing w:line="360" w:lineRule="auto"/>
        <w:ind w:firstLine="420" w:firstLineChars="200"/>
        <w:rPr>
          <w:rFonts w:ascii="仿宋_GB2312" w:hAnsi="宋体" w:cs="宋体"/>
          <w:bCs/>
          <w:kern w:val="0"/>
          <w:szCs w:val="24"/>
        </w:rPr>
      </w:pPr>
      <w:r>
        <w:rPr>
          <w:rFonts w:hint="eastAsia" w:ascii="仿宋_GB2312" w:hAnsi="宋体" w:cs="宋体"/>
          <w:bCs/>
          <w:kern w:val="0"/>
          <w:szCs w:val="24"/>
        </w:rPr>
        <w:t>（8）以理财产品管理人的名义，依照法律法规相关规定以及代表理财产品份额持有人的利益代为行使追索的权利（包括但不限于提起诉讼/仲裁、申请保全/执行的权利）或者实施其他风险处置、行使、放弃、变更相关权利义务的法律行为；</w:t>
      </w:r>
    </w:p>
    <w:p w14:paraId="4B66CA3E">
      <w:pPr>
        <w:widowControl/>
        <w:tabs>
          <w:tab w:val="left" w:pos="709"/>
        </w:tabs>
        <w:adjustRightInd w:val="0"/>
        <w:snapToGrid w:val="0"/>
        <w:spacing w:line="360" w:lineRule="auto"/>
        <w:ind w:firstLine="420" w:firstLineChars="200"/>
        <w:rPr>
          <w:rFonts w:ascii="仿宋_GB2312" w:hAnsi="宋体" w:cs="宋体"/>
          <w:bCs/>
          <w:kern w:val="0"/>
          <w:szCs w:val="24"/>
          <w:highlight w:val="none"/>
        </w:rPr>
      </w:pPr>
      <w:r>
        <w:rPr>
          <w:rFonts w:hint="eastAsia" w:ascii="仿宋_GB2312" w:hAnsi="宋体" w:cs="宋体"/>
          <w:bCs/>
          <w:kern w:val="0"/>
          <w:szCs w:val="24"/>
          <w:highlight w:val="none"/>
        </w:rPr>
        <w:t>（9）法律法规、监管政策及本产品</w:t>
      </w:r>
      <w:r>
        <w:rPr>
          <w:rFonts w:hint="eastAsia" w:ascii="仿宋_GB2312" w:hAnsi="宋体" w:cs="宋体"/>
          <w:bCs/>
          <w:kern w:val="0"/>
          <w:szCs w:val="24"/>
          <w:highlight w:val="none"/>
          <w:lang w:eastAsia="zh-CN"/>
        </w:rPr>
        <w:t>销售</w:t>
      </w:r>
      <w:r>
        <w:rPr>
          <w:rFonts w:hint="eastAsia" w:ascii="仿宋_GB2312" w:hAnsi="宋体" w:cs="宋体"/>
          <w:bCs/>
          <w:kern w:val="0"/>
          <w:szCs w:val="24"/>
          <w:highlight w:val="none"/>
        </w:rPr>
        <w:t>文件约定的其他权利。</w:t>
      </w:r>
    </w:p>
    <w:p w14:paraId="4305EF2F">
      <w:pPr>
        <w:widowControl/>
        <w:tabs>
          <w:tab w:val="left" w:pos="709"/>
        </w:tabs>
        <w:adjustRightInd w:val="0"/>
        <w:snapToGrid w:val="0"/>
        <w:spacing w:line="360" w:lineRule="auto"/>
        <w:ind w:firstLine="420" w:firstLineChars="200"/>
        <w:rPr>
          <w:rFonts w:ascii="仿宋_GB2312" w:hAnsi="宋体" w:cs="宋体"/>
          <w:bCs/>
          <w:kern w:val="0"/>
          <w:szCs w:val="24"/>
          <w:highlight w:val="none"/>
        </w:rPr>
      </w:pPr>
      <w:r>
        <w:rPr>
          <w:rFonts w:hint="eastAsia" w:ascii="仿宋_GB2312" w:hAnsi="宋体" w:cs="宋体"/>
          <w:bCs/>
          <w:kern w:val="0"/>
          <w:szCs w:val="24"/>
          <w:highlight w:val="none"/>
        </w:rPr>
        <w:t>2.产品托管机构</w:t>
      </w:r>
    </w:p>
    <w:p w14:paraId="513837CB">
      <w:pPr>
        <w:widowControl/>
        <w:tabs>
          <w:tab w:val="left" w:pos="709"/>
        </w:tabs>
        <w:adjustRightInd w:val="0"/>
        <w:snapToGrid w:val="0"/>
        <w:spacing w:line="360" w:lineRule="auto"/>
        <w:ind w:firstLine="420" w:firstLineChars="200"/>
        <w:rPr>
          <w:rFonts w:hint="eastAsia" w:ascii="仿宋_GB2312" w:hAnsi="宋体" w:eastAsia="仿宋_GB2312" w:cs="宋体"/>
          <w:bCs/>
          <w:kern w:val="0"/>
          <w:szCs w:val="24"/>
          <w:highlight w:val="none"/>
          <w:lang w:eastAsia="zh-CN"/>
        </w:rPr>
      </w:pPr>
      <w:r>
        <w:rPr>
          <w:rFonts w:hint="eastAsia" w:ascii="仿宋_GB2312" w:hAnsi="宋体" w:cs="宋体"/>
          <w:bCs/>
          <w:kern w:val="0"/>
          <w:szCs w:val="24"/>
          <w:highlight w:val="none"/>
        </w:rPr>
        <w:t>名称：</w:t>
      </w:r>
      <w:r>
        <w:rPr>
          <w:rFonts w:hint="eastAsia"/>
          <w:szCs w:val="24"/>
          <w:highlight w:val="yellow"/>
          <w:lang w:eastAsia="zh-CN"/>
        </w:rPr>
        <w:t>【】</w:t>
      </w:r>
    </w:p>
    <w:p w14:paraId="19E50C93">
      <w:pPr>
        <w:widowControl/>
        <w:tabs>
          <w:tab w:val="left" w:pos="709"/>
        </w:tabs>
        <w:adjustRightInd w:val="0"/>
        <w:snapToGrid w:val="0"/>
        <w:spacing w:line="360" w:lineRule="auto"/>
        <w:ind w:firstLine="420" w:firstLineChars="200"/>
        <w:rPr>
          <w:rFonts w:hint="eastAsia" w:ascii="仿宋_GB2312" w:hAnsi="宋体" w:eastAsia="仿宋_GB2312" w:cs="宋体"/>
          <w:bCs/>
          <w:kern w:val="0"/>
          <w:szCs w:val="24"/>
          <w:highlight w:val="none"/>
          <w:lang w:eastAsia="zh-CN"/>
        </w:rPr>
      </w:pPr>
      <w:r>
        <w:rPr>
          <w:rFonts w:hint="eastAsia" w:ascii="仿宋_GB2312" w:hAnsi="宋体" w:cs="宋体"/>
          <w:bCs/>
          <w:kern w:val="0"/>
          <w:szCs w:val="24"/>
          <w:highlight w:val="none"/>
        </w:rPr>
        <w:t>注册地：</w:t>
      </w:r>
      <w:r>
        <w:rPr>
          <w:rFonts w:hint="eastAsia" w:ascii="仿宋_GB2312" w:hAnsi="宋体" w:cs="宋体"/>
          <w:bCs/>
          <w:kern w:val="0"/>
          <w:szCs w:val="24"/>
          <w:highlight w:val="yellow"/>
          <w:lang w:eastAsia="zh-CN"/>
        </w:rPr>
        <w:t>【】</w:t>
      </w:r>
    </w:p>
    <w:p w14:paraId="3D482FB9">
      <w:pPr>
        <w:widowControl/>
        <w:tabs>
          <w:tab w:val="left" w:pos="709"/>
        </w:tabs>
        <w:adjustRightInd w:val="0"/>
        <w:snapToGrid w:val="0"/>
        <w:spacing w:line="360" w:lineRule="auto"/>
        <w:ind w:firstLine="420" w:firstLineChars="200"/>
        <w:rPr>
          <w:rFonts w:hint="default" w:ascii="仿宋_GB2312" w:hAnsi="宋体" w:eastAsia="仿宋_GB2312" w:cs="宋体"/>
          <w:bCs/>
          <w:kern w:val="0"/>
          <w:szCs w:val="24"/>
          <w:highlight w:val="none"/>
          <w:lang w:val="en-US" w:eastAsia="zh-CN"/>
        </w:rPr>
      </w:pPr>
      <w:r>
        <w:rPr>
          <w:rFonts w:hint="eastAsia" w:ascii="仿宋_GB2312" w:hAnsi="宋体" w:cs="宋体"/>
          <w:bCs/>
          <w:kern w:val="0"/>
          <w:szCs w:val="24"/>
          <w:highlight w:val="none"/>
        </w:rPr>
        <w:t>客户服务热线：</w:t>
      </w:r>
      <w:r>
        <w:rPr>
          <w:rFonts w:hint="eastAsia" w:ascii="仿宋_GB2312" w:hAnsi="宋体" w:cs="宋体"/>
          <w:bCs/>
          <w:kern w:val="0"/>
          <w:szCs w:val="24"/>
          <w:highlight w:val="yellow"/>
          <w:lang w:val="en-US" w:eastAsia="zh-CN"/>
        </w:rPr>
        <w:t>【】</w:t>
      </w:r>
    </w:p>
    <w:p w14:paraId="22630EF1">
      <w:pPr>
        <w:widowControl/>
        <w:tabs>
          <w:tab w:val="left" w:pos="709"/>
        </w:tabs>
        <w:adjustRightInd w:val="0"/>
        <w:snapToGrid w:val="0"/>
        <w:spacing w:line="360" w:lineRule="auto"/>
        <w:ind w:firstLine="420" w:firstLineChars="200"/>
        <w:rPr>
          <w:rFonts w:ascii="仿宋_GB2312" w:hAnsi="宋体" w:cs="宋体"/>
          <w:bCs/>
          <w:kern w:val="0"/>
          <w:szCs w:val="24"/>
          <w:highlight w:val="none"/>
        </w:rPr>
      </w:pPr>
      <w:r>
        <w:rPr>
          <w:rFonts w:hint="eastAsia" w:ascii="仿宋_GB2312" w:hAnsi="宋体" w:cs="宋体"/>
          <w:bCs/>
          <w:kern w:val="0"/>
          <w:szCs w:val="24"/>
          <w:highlight w:val="none"/>
        </w:rPr>
        <w:t>托管机构主要职责：提供包括账户开立、资金保管、资金清算、估值核算、投资监督等理财产品托管服务。</w:t>
      </w:r>
    </w:p>
    <w:p w14:paraId="252B9595">
      <w:pPr>
        <w:widowControl/>
        <w:tabs>
          <w:tab w:val="left" w:pos="709"/>
        </w:tabs>
        <w:adjustRightInd w:val="0"/>
        <w:snapToGrid w:val="0"/>
        <w:spacing w:line="360" w:lineRule="auto"/>
        <w:ind w:firstLine="420" w:firstLineChars="200"/>
        <w:rPr>
          <w:rFonts w:ascii="仿宋_GB2312" w:hAnsi="宋体" w:cs="宋体"/>
          <w:bCs/>
          <w:kern w:val="0"/>
          <w:szCs w:val="24"/>
          <w:highlight w:val="none"/>
        </w:rPr>
      </w:pPr>
      <w:r>
        <w:rPr>
          <w:rFonts w:hint="eastAsia" w:ascii="仿宋_GB2312" w:hAnsi="宋体" w:cs="宋体"/>
          <w:bCs/>
          <w:kern w:val="0"/>
          <w:szCs w:val="24"/>
          <w:highlight w:val="none"/>
        </w:rPr>
        <w:t>产品管理人为理财产品资金管理之目的，以本产品的名义在托管人处单独开立资金账户，理财产品资金的一切收支活动，包括但不限于划付对外投资资金、缴纳理财产品税费、接收理财产品回收资金、支付理财产品费用，均必须通过该账户进行。</w:t>
      </w:r>
    </w:p>
    <w:p w14:paraId="0338DB81">
      <w:pPr>
        <w:widowControl/>
        <w:tabs>
          <w:tab w:val="left" w:pos="709"/>
        </w:tabs>
        <w:adjustRightInd w:val="0"/>
        <w:snapToGrid w:val="0"/>
        <w:spacing w:line="360" w:lineRule="auto"/>
        <w:ind w:firstLine="420" w:firstLineChars="200"/>
        <w:rPr>
          <w:rFonts w:ascii="仿宋_GB2312" w:hAnsi="宋体" w:cs="宋体"/>
          <w:bCs/>
          <w:kern w:val="0"/>
          <w:szCs w:val="24"/>
          <w:highlight w:val="none"/>
        </w:rPr>
      </w:pPr>
      <w:r>
        <w:rPr>
          <w:rFonts w:ascii="仿宋_GB2312" w:hAnsi="宋体" w:cs="宋体"/>
          <w:bCs/>
          <w:kern w:val="0"/>
          <w:szCs w:val="24"/>
          <w:highlight w:val="none"/>
        </w:rPr>
        <w:t>3.</w:t>
      </w:r>
      <w:r>
        <w:rPr>
          <w:rFonts w:hint="eastAsia" w:ascii="仿宋_GB2312" w:hAnsi="宋体" w:cs="宋体"/>
          <w:bCs/>
          <w:kern w:val="0"/>
          <w:szCs w:val="24"/>
          <w:highlight w:val="none"/>
        </w:rPr>
        <w:t>产品销售机构</w:t>
      </w:r>
    </w:p>
    <w:p w14:paraId="753672BF">
      <w:pPr>
        <w:widowControl/>
        <w:tabs>
          <w:tab w:val="left" w:pos="709"/>
        </w:tabs>
        <w:adjustRightInd w:val="0"/>
        <w:snapToGrid w:val="0"/>
        <w:spacing w:line="360" w:lineRule="auto"/>
        <w:ind w:firstLine="420" w:firstLineChars="200"/>
        <w:rPr>
          <w:rFonts w:hint="eastAsia" w:ascii="仿宋_GB2312" w:hAnsi="宋体" w:eastAsia="仿宋_GB2312" w:cs="宋体"/>
          <w:bCs/>
          <w:kern w:val="0"/>
          <w:szCs w:val="24"/>
          <w:highlight w:val="none"/>
          <w:lang w:eastAsia="zh-CN"/>
        </w:rPr>
      </w:pPr>
      <w:r>
        <w:rPr>
          <w:rFonts w:hint="eastAsia" w:ascii="仿宋_GB2312" w:hAnsi="宋体" w:cs="宋体"/>
          <w:bCs/>
          <w:kern w:val="0"/>
          <w:szCs w:val="24"/>
          <w:highlight w:val="none"/>
        </w:rPr>
        <w:t>名称：</w:t>
      </w:r>
      <w:r>
        <w:rPr>
          <w:rFonts w:hint="eastAsia"/>
          <w:szCs w:val="24"/>
          <w:highlight w:val="yellow"/>
          <w:lang w:eastAsia="zh-CN"/>
        </w:rPr>
        <w:t>【】</w:t>
      </w:r>
    </w:p>
    <w:p w14:paraId="003A7587">
      <w:pPr>
        <w:widowControl/>
        <w:tabs>
          <w:tab w:val="left" w:pos="709"/>
        </w:tabs>
        <w:adjustRightInd w:val="0"/>
        <w:snapToGrid w:val="0"/>
        <w:spacing w:line="360" w:lineRule="auto"/>
        <w:ind w:firstLine="420" w:firstLineChars="200"/>
        <w:rPr>
          <w:rFonts w:hint="eastAsia" w:ascii="仿宋_GB2312" w:hAnsi="宋体" w:eastAsia="仿宋_GB2312" w:cs="宋体"/>
          <w:bCs/>
          <w:kern w:val="0"/>
          <w:szCs w:val="24"/>
          <w:highlight w:val="none"/>
          <w:lang w:eastAsia="zh-CN"/>
        </w:rPr>
      </w:pPr>
      <w:r>
        <w:rPr>
          <w:rFonts w:hint="eastAsia" w:ascii="仿宋_GB2312" w:hAnsi="宋体" w:cs="宋体"/>
          <w:bCs/>
          <w:kern w:val="0"/>
          <w:szCs w:val="24"/>
          <w:highlight w:val="none"/>
        </w:rPr>
        <w:t>注册地：</w:t>
      </w:r>
      <w:r>
        <w:rPr>
          <w:rFonts w:hint="eastAsia" w:ascii="仿宋_GB2312" w:hAnsi="宋体" w:cs="宋体"/>
          <w:bCs/>
          <w:kern w:val="0"/>
          <w:szCs w:val="24"/>
          <w:highlight w:val="yellow"/>
          <w:lang w:eastAsia="zh-CN"/>
        </w:rPr>
        <w:t>【】</w:t>
      </w:r>
    </w:p>
    <w:p w14:paraId="6ACF3959">
      <w:pPr>
        <w:widowControl/>
        <w:tabs>
          <w:tab w:val="left" w:pos="709"/>
        </w:tabs>
        <w:adjustRightInd w:val="0"/>
        <w:snapToGrid w:val="0"/>
        <w:spacing w:line="360" w:lineRule="auto"/>
        <w:ind w:firstLine="420" w:firstLineChars="200"/>
        <w:rPr>
          <w:rFonts w:hint="default" w:ascii="仿宋_GB2312" w:hAnsi="宋体" w:eastAsia="仿宋_GB2312" w:cs="宋体"/>
          <w:bCs/>
          <w:kern w:val="0"/>
          <w:szCs w:val="24"/>
          <w:highlight w:val="none"/>
          <w:lang w:val="en-US" w:eastAsia="zh-CN"/>
        </w:rPr>
      </w:pPr>
      <w:r>
        <w:rPr>
          <w:rFonts w:hint="eastAsia" w:ascii="仿宋_GB2312" w:hAnsi="宋体" w:cs="宋体"/>
          <w:bCs/>
          <w:kern w:val="0"/>
          <w:szCs w:val="24"/>
          <w:highlight w:val="none"/>
        </w:rPr>
        <w:t>客户服务热线：</w:t>
      </w:r>
      <w:r>
        <w:rPr>
          <w:rFonts w:hint="eastAsia" w:ascii="仿宋_GB2312" w:hAnsi="宋体" w:cs="宋体"/>
          <w:bCs/>
          <w:kern w:val="0"/>
          <w:szCs w:val="24"/>
          <w:highlight w:val="yellow"/>
          <w:lang w:val="en-US" w:eastAsia="zh-CN"/>
        </w:rPr>
        <w:t>【】</w:t>
      </w:r>
    </w:p>
    <w:p w14:paraId="2B6DDEA1">
      <w:pPr>
        <w:widowControl/>
        <w:tabs>
          <w:tab w:val="left" w:pos="709"/>
        </w:tabs>
        <w:adjustRightInd w:val="0"/>
        <w:snapToGrid w:val="0"/>
        <w:spacing w:line="360" w:lineRule="auto"/>
        <w:ind w:firstLine="420" w:firstLineChars="200"/>
        <w:rPr>
          <w:rFonts w:ascii="仿宋_GB2312" w:hAnsi="宋体" w:cs="宋体"/>
          <w:b/>
          <w:bCs/>
          <w:color w:val="auto"/>
          <w:kern w:val="0"/>
          <w:szCs w:val="24"/>
          <w:highlight w:val="none"/>
          <w:u w:val="none"/>
        </w:rPr>
      </w:pPr>
      <w:r>
        <w:rPr>
          <w:rFonts w:hint="eastAsia" w:ascii="仿宋_GB2312" w:hAnsi="宋体" w:cs="宋体"/>
          <w:bCs/>
          <w:color w:val="auto"/>
          <w:kern w:val="0"/>
          <w:szCs w:val="24"/>
          <w:highlight w:val="none"/>
          <w:u w:val="none"/>
        </w:rPr>
        <w:t>本产品的认购将通过销售机构的</w:t>
      </w:r>
      <w:r>
        <w:rPr>
          <w:rFonts w:ascii="仿宋_GB2312" w:hAnsi="宋体" w:cs="宋体"/>
          <w:bCs/>
          <w:color w:val="auto"/>
          <w:kern w:val="0"/>
          <w:szCs w:val="24"/>
          <w:highlight w:val="none"/>
          <w:u w:val="none"/>
        </w:rPr>
        <w:t>销售渠道</w:t>
      </w:r>
      <w:r>
        <w:rPr>
          <w:rFonts w:hint="eastAsia" w:ascii="仿宋_GB2312" w:hAnsi="宋体" w:cs="宋体"/>
          <w:bCs/>
          <w:color w:val="auto"/>
          <w:kern w:val="0"/>
          <w:szCs w:val="24"/>
          <w:highlight w:val="none"/>
          <w:u w:val="none"/>
        </w:rPr>
        <w:t>进行（</w:t>
      </w:r>
      <w:r>
        <w:rPr>
          <w:rFonts w:ascii="仿宋_GB2312" w:hAnsi="宋体" w:cs="宋体"/>
          <w:bCs/>
          <w:color w:val="auto"/>
          <w:kern w:val="0"/>
          <w:szCs w:val="24"/>
          <w:highlight w:val="none"/>
          <w:u w:val="none"/>
        </w:rPr>
        <w:t>具体以销售机构提供的方式为准)。本产品销售机构包括但不限于</w:t>
      </w:r>
      <w:r>
        <w:rPr>
          <w:rFonts w:hint="eastAsia" w:ascii="仿宋_GB2312" w:hAnsi="宋体" w:cs="宋体"/>
          <w:bCs/>
          <w:color w:val="000000" w:themeColor="text1"/>
          <w:kern w:val="0"/>
          <w:szCs w:val="24"/>
          <w:highlight w:val="yellow"/>
          <w:lang w:eastAsia="zh-CN"/>
          <w14:textFill>
            <w14:solidFill>
              <w14:schemeClr w14:val="tx1"/>
            </w14:solidFill>
          </w14:textFill>
        </w:rPr>
        <w:t>【】</w:t>
      </w:r>
      <w:r>
        <w:rPr>
          <w:rFonts w:hint="eastAsia" w:ascii="仿宋_GB2312" w:hAnsi="宋体" w:cs="宋体"/>
          <w:bCs/>
          <w:color w:val="auto"/>
          <w:kern w:val="0"/>
          <w:szCs w:val="24"/>
          <w:highlight w:val="none"/>
          <w:u w:val="none"/>
        </w:rPr>
        <w:t>等机构，如有</w:t>
      </w:r>
      <w:r>
        <w:rPr>
          <w:rFonts w:ascii="仿宋_GB2312" w:hAnsi="宋体" w:cs="宋体"/>
          <w:bCs/>
          <w:color w:val="auto"/>
          <w:kern w:val="0"/>
          <w:szCs w:val="24"/>
          <w:highlight w:val="none"/>
          <w:u w:val="none"/>
        </w:rPr>
        <w:t>变更以管理人</w:t>
      </w:r>
      <w:r>
        <w:rPr>
          <w:rFonts w:hint="eastAsia" w:ascii="仿宋_GB2312" w:hAnsi="宋体" w:cs="宋体"/>
          <w:bCs/>
          <w:color w:val="auto"/>
          <w:kern w:val="0"/>
          <w:szCs w:val="24"/>
          <w:highlight w:val="none"/>
          <w:u w:val="none"/>
        </w:rPr>
        <w:t>信息披露为准。</w:t>
      </w:r>
    </w:p>
    <w:p w14:paraId="32C35759">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销售</w:t>
      </w:r>
      <w:r>
        <w:rPr>
          <w:rFonts w:ascii="仿宋_GB2312" w:hAnsi="宋体" w:cs="宋体"/>
          <w:bCs/>
          <w:color w:val="auto"/>
          <w:kern w:val="0"/>
          <w:szCs w:val="24"/>
          <w:highlight w:val="none"/>
          <w:u w:val="none"/>
        </w:rPr>
        <w:t>机构</w:t>
      </w:r>
      <w:r>
        <w:rPr>
          <w:rFonts w:hint="eastAsia" w:ascii="仿宋_GB2312" w:hAnsi="宋体" w:cs="宋体"/>
          <w:bCs/>
          <w:color w:val="auto"/>
          <w:kern w:val="0"/>
          <w:szCs w:val="24"/>
          <w:highlight w:val="none"/>
          <w:u w:val="none"/>
        </w:rPr>
        <w:t>主要职责：理财产品宣传推介；为</w:t>
      </w:r>
      <w:r>
        <w:rPr>
          <w:rFonts w:ascii="仿宋_GB2312" w:hAnsi="宋体" w:cs="宋体"/>
          <w:bCs/>
          <w:color w:val="auto"/>
          <w:kern w:val="0"/>
          <w:szCs w:val="24"/>
          <w:highlight w:val="none"/>
          <w:u w:val="none"/>
        </w:rPr>
        <w:t>投资者办理</w:t>
      </w:r>
      <w:r>
        <w:rPr>
          <w:rFonts w:hint="eastAsia" w:ascii="仿宋_GB2312" w:hAnsi="宋体" w:cs="宋体"/>
          <w:bCs/>
          <w:color w:val="auto"/>
          <w:kern w:val="0"/>
          <w:szCs w:val="24"/>
          <w:highlight w:val="none"/>
          <w:u w:val="none"/>
        </w:rPr>
        <w:t>理财产品份额认购</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申购</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赎回服务；投资者风险承受能力评估和投资者适当性管理；</w:t>
      </w:r>
      <w:r>
        <w:rPr>
          <w:rFonts w:hint="eastAsia" w:ascii="仿宋_GB2312"/>
          <w:color w:val="auto"/>
          <w:highlight w:val="none"/>
          <w:u w:val="none"/>
        </w:rPr>
        <w:t>反洗钱、反恐怖融资、反扩散融资及非居民金融账户涉税信息尽职调查等</w:t>
      </w:r>
      <w:r>
        <w:rPr>
          <w:rFonts w:ascii="仿宋_GB2312"/>
          <w:color w:val="auto"/>
          <w:highlight w:val="none"/>
          <w:u w:val="none"/>
        </w:rPr>
        <w:t>；</w:t>
      </w:r>
      <w:r>
        <w:rPr>
          <w:rFonts w:hint="eastAsia" w:ascii="仿宋_GB2312"/>
          <w:color w:val="auto"/>
          <w:highlight w:val="none"/>
          <w:u w:val="none"/>
        </w:rPr>
        <w:t>协助投资者与管理人沟通</w:t>
      </w:r>
      <w:r>
        <w:rPr>
          <w:rFonts w:hint="eastAsia" w:ascii="仿宋_GB2312" w:hAnsi="宋体" w:cs="宋体"/>
          <w:bCs/>
          <w:color w:val="auto"/>
          <w:kern w:val="0"/>
          <w:szCs w:val="24"/>
          <w:highlight w:val="none"/>
          <w:u w:val="none"/>
        </w:rPr>
        <w:t>和客户维护等销售服务；国务院银行业监督管理机构规定的其他职责。</w:t>
      </w:r>
    </w:p>
    <w:p w14:paraId="50DF1F7E">
      <w:pPr>
        <w:widowControl/>
        <w:tabs>
          <w:tab w:val="left" w:pos="709"/>
        </w:tabs>
        <w:adjustRightInd w:val="0"/>
        <w:snapToGrid w:val="0"/>
        <w:spacing w:line="360" w:lineRule="auto"/>
        <w:ind w:firstLine="422" w:firstLineChars="20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★重要</w:t>
      </w:r>
      <w:r>
        <w:rPr>
          <w:rFonts w:ascii="仿宋_GB2312" w:hAnsi="宋体" w:cs="宋体"/>
          <w:b/>
          <w:bCs/>
          <w:color w:val="auto"/>
          <w:kern w:val="0"/>
          <w:szCs w:val="24"/>
          <w:highlight w:val="none"/>
          <w:u w:val="none"/>
        </w:rPr>
        <w:t>提示：</w:t>
      </w:r>
      <w:r>
        <w:rPr>
          <w:rFonts w:hint="eastAsia" w:ascii="仿宋_GB2312" w:hAnsi="宋体" w:cs="宋体"/>
          <w:b/>
          <w:bCs/>
          <w:color w:val="auto"/>
          <w:kern w:val="0"/>
          <w:szCs w:val="24"/>
          <w:highlight w:val="none"/>
          <w:u w:val="none"/>
        </w:rPr>
        <w:t>浙银理财委托托管机构托管理财产品或委托销售机构销售理财产品的，可能涉及委托浙商银行股份有限公司（以下简称“浙商银行”）担任理财产品的托管机构或销售机构。浙银理财是浙商银行控股的子公司，双方存在关联关系。如浙银理财委托浙商银行托管或销售本理财产品，将严格</w:t>
      </w:r>
      <w:r>
        <w:rPr>
          <w:rFonts w:ascii="仿宋_GB2312" w:hAnsi="宋体" w:cs="宋体"/>
          <w:b/>
          <w:bCs/>
          <w:color w:val="auto"/>
          <w:kern w:val="0"/>
          <w:szCs w:val="24"/>
          <w:highlight w:val="none"/>
          <w:u w:val="none"/>
        </w:rPr>
        <w:t>履行</w:t>
      </w:r>
      <w:r>
        <w:rPr>
          <w:rFonts w:hint="eastAsia" w:ascii="仿宋_GB2312" w:hAnsi="宋体" w:cs="宋体"/>
          <w:b/>
          <w:bCs/>
          <w:color w:val="auto"/>
          <w:kern w:val="0"/>
          <w:szCs w:val="24"/>
          <w:highlight w:val="none"/>
          <w:u w:val="none"/>
        </w:rPr>
        <w:t>现行法律</w:t>
      </w:r>
      <w:r>
        <w:rPr>
          <w:rFonts w:ascii="仿宋_GB2312" w:hAnsi="宋体" w:cs="宋体"/>
          <w:b/>
          <w:bCs/>
          <w:color w:val="auto"/>
          <w:kern w:val="0"/>
          <w:szCs w:val="24"/>
          <w:highlight w:val="none"/>
          <w:u w:val="none"/>
        </w:rPr>
        <w:t>法规和</w:t>
      </w:r>
      <w:r>
        <w:rPr>
          <w:rFonts w:hint="eastAsia" w:ascii="仿宋_GB2312" w:hAnsi="宋体" w:cs="宋体"/>
          <w:b/>
          <w:bCs/>
          <w:color w:val="auto"/>
          <w:kern w:val="0"/>
          <w:szCs w:val="24"/>
          <w:highlight w:val="none"/>
          <w:u w:val="none"/>
        </w:rPr>
        <w:t>监管</w:t>
      </w:r>
      <w:r>
        <w:rPr>
          <w:rFonts w:ascii="仿宋_GB2312" w:hAnsi="宋体" w:cs="宋体"/>
          <w:b/>
          <w:bCs/>
          <w:color w:val="auto"/>
          <w:kern w:val="0"/>
          <w:szCs w:val="24"/>
          <w:highlight w:val="none"/>
          <w:u w:val="none"/>
        </w:rPr>
        <w:t>规定</w:t>
      </w:r>
      <w:r>
        <w:rPr>
          <w:rFonts w:hint="eastAsia" w:ascii="仿宋_GB2312" w:hAnsi="宋体" w:cs="宋体"/>
          <w:b/>
          <w:bCs/>
          <w:color w:val="auto"/>
          <w:kern w:val="0"/>
          <w:szCs w:val="24"/>
          <w:highlight w:val="none"/>
          <w:u w:val="none"/>
        </w:rPr>
        <w:t>所</w:t>
      </w:r>
      <w:r>
        <w:rPr>
          <w:rFonts w:ascii="仿宋_GB2312" w:hAnsi="宋体" w:cs="宋体"/>
          <w:b/>
          <w:bCs/>
          <w:color w:val="auto"/>
          <w:kern w:val="0"/>
          <w:szCs w:val="24"/>
          <w:highlight w:val="none"/>
          <w:u w:val="none"/>
        </w:rPr>
        <w:t>规定</w:t>
      </w:r>
      <w:r>
        <w:rPr>
          <w:rFonts w:hint="eastAsia" w:ascii="仿宋_GB2312" w:hAnsi="宋体" w:cs="宋体"/>
          <w:b/>
          <w:bCs/>
          <w:color w:val="auto"/>
          <w:kern w:val="0"/>
          <w:szCs w:val="24"/>
          <w:highlight w:val="none"/>
          <w:u w:val="none"/>
        </w:rPr>
        <w:t>必须</w:t>
      </w:r>
      <w:r>
        <w:rPr>
          <w:rFonts w:ascii="仿宋_GB2312" w:hAnsi="宋体" w:cs="宋体"/>
          <w:b/>
          <w:bCs/>
          <w:color w:val="auto"/>
          <w:kern w:val="0"/>
          <w:szCs w:val="24"/>
          <w:highlight w:val="none"/>
          <w:u w:val="none"/>
        </w:rPr>
        <w:t>履行的</w:t>
      </w:r>
      <w:r>
        <w:rPr>
          <w:rFonts w:hint="eastAsia" w:ascii="仿宋_GB2312" w:hAnsi="宋体" w:cs="宋体"/>
          <w:b/>
          <w:bCs/>
          <w:color w:val="auto"/>
          <w:kern w:val="0"/>
          <w:szCs w:val="24"/>
          <w:highlight w:val="none"/>
          <w:u w:val="none"/>
        </w:rPr>
        <w:t>程序。前述关联</w:t>
      </w:r>
      <w:r>
        <w:rPr>
          <w:rFonts w:ascii="仿宋_GB2312" w:hAnsi="宋体" w:cs="宋体"/>
          <w:b/>
          <w:bCs/>
          <w:color w:val="auto"/>
          <w:kern w:val="0"/>
          <w:szCs w:val="24"/>
          <w:highlight w:val="none"/>
          <w:u w:val="none"/>
        </w:rPr>
        <w:t>关系</w:t>
      </w:r>
      <w:r>
        <w:rPr>
          <w:rFonts w:hint="eastAsia" w:ascii="仿宋_GB2312" w:hAnsi="宋体" w:cs="宋体"/>
          <w:b/>
          <w:bCs/>
          <w:color w:val="auto"/>
          <w:kern w:val="0"/>
          <w:szCs w:val="24"/>
          <w:highlight w:val="none"/>
          <w:u w:val="none"/>
        </w:rPr>
        <w:t>可能</w:t>
      </w:r>
      <w:r>
        <w:rPr>
          <w:rFonts w:ascii="仿宋_GB2312" w:hAnsi="宋体" w:cs="宋体"/>
          <w:b/>
          <w:bCs/>
          <w:color w:val="auto"/>
          <w:kern w:val="0"/>
          <w:szCs w:val="24"/>
          <w:highlight w:val="none"/>
          <w:u w:val="none"/>
        </w:rPr>
        <w:t>导致</w:t>
      </w:r>
      <w:r>
        <w:rPr>
          <w:rFonts w:hint="eastAsia" w:ascii="仿宋_GB2312" w:hAnsi="宋体" w:cs="宋体"/>
          <w:b/>
          <w:bCs/>
          <w:color w:val="auto"/>
          <w:kern w:val="0"/>
          <w:szCs w:val="24"/>
          <w:highlight w:val="none"/>
          <w:u w:val="none"/>
        </w:rPr>
        <w:t>影响</w:t>
      </w:r>
      <w:r>
        <w:rPr>
          <w:rFonts w:ascii="仿宋_GB2312" w:hAnsi="宋体" w:cs="宋体"/>
          <w:b/>
          <w:bCs/>
          <w:color w:val="auto"/>
          <w:kern w:val="0"/>
          <w:szCs w:val="24"/>
          <w:highlight w:val="none"/>
          <w:u w:val="none"/>
        </w:rPr>
        <w:t>管理人</w:t>
      </w:r>
      <w:r>
        <w:rPr>
          <w:rFonts w:hint="eastAsia" w:ascii="仿宋_GB2312" w:hAnsi="宋体" w:cs="宋体"/>
          <w:b/>
          <w:bCs/>
          <w:color w:val="auto"/>
          <w:kern w:val="0"/>
          <w:szCs w:val="24"/>
          <w:highlight w:val="none"/>
          <w:u w:val="none"/>
        </w:rPr>
        <w:t>独立</w:t>
      </w:r>
      <w:r>
        <w:rPr>
          <w:rFonts w:ascii="仿宋_GB2312" w:hAnsi="宋体" w:cs="宋体"/>
          <w:b/>
          <w:bCs/>
          <w:color w:val="auto"/>
          <w:kern w:val="0"/>
          <w:szCs w:val="24"/>
          <w:highlight w:val="none"/>
          <w:u w:val="none"/>
        </w:rPr>
        <w:t>决策的</w:t>
      </w:r>
      <w:r>
        <w:rPr>
          <w:rFonts w:hint="eastAsia" w:ascii="仿宋_GB2312" w:hAnsi="宋体" w:cs="宋体"/>
          <w:b/>
          <w:bCs/>
          <w:color w:val="auto"/>
          <w:kern w:val="0"/>
          <w:szCs w:val="24"/>
          <w:highlight w:val="none"/>
          <w:u w:val="none"/>
        </w:rPr>
        <w:t>潜在</w:t>
      </w:r>
      <w:r>
        <w:rPr>
          <w:rFonts w:ascii="仿宋_GB2312" w:hAnsi="宋体" w:cs="宋体"/>
          <w:b/>
          <w:bCs/>
          <w:color w:val="auto"/>
          <w:kern w:val="0"/>
          <w:szCs w:val="24"/>
          <w:highlight w:val="none"/>
          <w:u w:val="none"/>
        </w:rPr>
        <w:t>风险</w:t>
      </w:r>
      <w:r>
        <w:rPr>
          <w:rFonts w:hint="eastAsia" w:ascii="仿宋_GB2312" w:hAnsi="宋体" w:cs="宋体"/>
          <w:b/>
          <w:bCs/>
          <w:color w:val="auto"/>
          <w:kern w:val="0"/>
          <w:szCs w:val="24"/>
          <w:highlight w:val="none"/>
          <w:u w:val="none"/>
        </w:rPr>
        <w:t>。</w:t>
      </w:r>
      <w:r>
        <w:rPr>
          <w:rFonts w:ascii="仿宋_GB2312" w:hAnsi="宋体" w:cs="宋体"/>
          <w:b/>
          <w:bCs/>
          <w:color w:val="auto"/>
          <w:kern w:val="0"/>
          <w:szCs w:val="24"/>
          <w:highlight w:val="none"/>
          <w:u w:val="none"/>
        </w:rPr>
        <w:t>投资者</w:t>
      </w:r>
      <w:r>
        <w:rPr>
          <w:rFonts w:hint="eastAsia" w:ascii="仿宋_GB2312" w:hAnsi="宋体" w:cs="宋体"/>
          <w:b/>
          <w:bCs/>
          <w:color w:val="auto"/>
          <w:kern w:val="0"/>
          <w:szCs w:val="24"/>
          <w:highlight w:val="none"/>
          <w:u w:val="none"/>
        </w:rPr>
        <w:t>确认已充分</w:t>
      </w:r>
      <w:r>
        <w:rPr>
          <w:rFonts w:ascii="仿宋_GB2312" w:hAnsi="宋体" w:cs="宋体"/>
          <w:b/>
          <w:bCs/>
          <w:color w:val="auto"/>
          <w:kern w:val="0"/>
          <w:szCs w:val="24"/>
          <w:highlight w:val="none"/>
          <w:u w:val="none"/>
        </w:rPr>
        <w:t>知悉前述</w:t>
      </w:r>
      <w:r>
        <w:rPr>
          <w:rFonts w:hint="eastAsia" w:ascii="仿宋_GB2312" w:hAnsi="宋体" w:cs="宋体"/>
          <w:b/>
          <w:bCs/>
          <w:color w:val="auto"/>
          <w:kern w:val="0"/>
          <w:szCs w:val="24"/>
          <w:highlight w:val="none"/>
          <w:u w:val="none"/>
        </w:rPr>
        <w:t>关联关系</w:t>
      </w:r>
      <w:r>
        <w:rPr>
          <w:rFonts w:ascii="仿宋_GB2312" w:hAnsi="宋体" w:cs="宋体"/>
          <w:b/>
          <w:bCs/>
          <w:color w:val="auto"/>
          <w:kern w:val="0"/>
          <w:szCs w:val="24"/>
          <w:highlight w:val="none"/>
          <w:u w:val="none"/>
        </w:rPr>
        <w:t>，</w:t>
      </w:r>
      <w:r>
        <w:rPr>
          <w:rFonts w:hint="eastAsia" w:ascii="仿宋_GB2312" w:hAnsi="宋体" w:cs="宋体"/>
          <w:b/>
          <w:bCs/>
          <w:color w:val="auto"/>
          <w:kern w:val="0"/>
          <w:szCs w:val="24"/>
          <w:highlight w:val="none"/>
          <w:u w:val="none"/>
        </w:rPr>
        <w:t>并</w:t>
      </w:r>
      <w:r>
        <w:rPr>
          <w:rFonts w:ascii="仿宋_GB2312" w:hAnsi="宋体" w:cs="宋体"/>
          <w:b/>
          <w:bCs/>
          <w:color w:val="auto"/>
          <w:kern w:val="0"/>
          <w:szCs w:val="24"/>
          <w:highlight w:val="none"/>
          <w:u w:val="none"/>
        </w:rPr>
        <w:t>接受</w:t>
      </w:r>
      <w:r>
        <w:rPr>
          <w:rFonts w:hint="eastAsia" w:ascii="仿宋_GB2312" w:hAnsi="宋体" w:cs="宋体"/>
          <w:b/>
          <w:bCs/>
          <w:color w:val="auto"/>
          <w:kern w:val="0"/>
          <w:szCs w:val="24"/>
          <w:highlight w:val="none"/>
          <w:u w:val="none"/>
        </w:rPr>
        <w:t>理财</w:t>
      </w:r>
      <w:r>
        <w:rPr>
          <w:rFonts w:ascii="仿宋_GB2312" w:hAnsi="宋体" w:cs="宋体"/>
          <w:b/>
          <w:bCs/>
          <w:color w:val="auto"/>
          <w:kern w:val="0"/>
          <w:szCs w:val="24"/>
          <w:highlight w:val="none"/>
          <w:u w:val="none"/>
        </w:rPr>
        <w:t>产品由</w:t>
      </w:r>
      <w:r>
        <w:rPr>
          <w:rFonts w:hint="eastAsia" w:ascii="仿宋_GB2312" w:hAnsi="宋体" w:cs="宋体"/>
          <w:b/>
          <w:bCs/>
          <w:color w:val="auto"/>
          <w:kern w:val="0"/>
          <w:szCs w:val="24"/>
          <w:highlight w:val="none"/>
          <w:u w:val="none"/>
        </w:rPr>
        <w:t>销售</w:t>
      </w:r>
      <w:r>
        <w:rPr>
          <w:rFonts w:ascii="仿宋_GB2312" w:hAnsi="宋体" w:cs="宋体"/>
          <w:b/>
          <w:bCs/>
          <w:color w:val="auto"/>
          <w:kern w:val="0"/>
          <w:szCs w:val="24"/>
          <w:highlight w:val="none"/>
          <w:u w:val="none"/>
        </w:rPr>
        <w:t>机构</w:t>
      </w:r>
      <w:r>
        <w:rPr>
          <w:rFonts w:hint="eastAsia" w:ascii="仿宋_GB2312" w:hAnsi="宋体" w:cs="宋体"/>
          <w:b/>
          <w:bCs/>
          <w:color w:val="auto"/>
          <w:kern w:val="0"/>
          <w:szCs w:val="24"/>
          <w:highlight w:val="none"/>
          <w:u w:val="none"/>
        </w:rPr>
        <w:t>代理</w:t>
      </w:r>
      <w:r>
        <w:rPr>
          <w:rFonts w:ascii="仿宋_GB2312" w:hAnsi="宋体" w:cs="宋体"/>
          <w:b/>
          <w:bCs/>
          <w:color w:val="auto"/>
          <w:kern w:val="0"/>
          <w:szCs w:val="24"/>
          <w:highlight w:val="none"/>
          <w:u w:val="none"/>
        </w:rPr>
        <w:t>销售</w:t>
      </w:r>
      <w:r>
        <w:rPr>
          <w:rFonts w:hint="eastAsia" w:ascii="仿宋_GB2312" w:hAnsi="宋体" w:cs="宋体"/>
          <w:b/>
          <w:bCs/>
          <w:color w:val="auto"/>
          <w:kern w:val="0"/>
          <w:szCs w:val="24"/>
          <w:highlight w:val="none"/>
          <w:u w:val="none"/>
        </w:rPr>
        <w:t>、托管机构</w:t>
      </w:r>
      <w:r>
        <w:rPr>
          <w:rFonts w:ascii="仿宋_GB2312" w:hAnsi="宋体" w:cs="宋体"/>
          <w:b/>
          <w:bCs/>
          <w:color w:val="auto"/>
          <w:kern w:val="0"/>
          <w:szCs w:val="24"/>
          <w:highlight w:val="none"/>
          <w:u w:val="none"/>
        </w:rPr>
        <w:t>托管。</w:t>
      </w:r>
    </w:p>
    <w:p w14:paraId="2CE6170F">
      <w:pPr>
        <w:pStyle w:val="3"/>
        <w:widowControl/>
        <w:numPr>
          <w:ilvl w:val="1"/>
          <w:numId w:val="12"/>
        </w:numPr>
        <w:tabs>
          <w:tab w:val="left" w:pos="709"/>
        </w:tabs>
        <w:adjustRightInd w:val="0"/>
        <w:snapToGrid w:val="0"/>
        <w:ind w:firstLine="482"/>
        <w:rPr>
          <w:color w:val="auto"/>
          <w:highlight w:val="none"/>
          <w:u w:val="none"/>
        </w:rPr>
      </w:pPr>
      <w:r>
        <w:rPr>
          <w:color w:val="auto"/>
          <w:highlight w:val="none"/>
          <w:u w:val="none"/>
        </w:rPr>
        <w:t>募集期</w:t>
      </w:r>
    </w:p>
    <w:p w14:paraId="718D43F7">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产品募集期内，投资者可多次对本产品认购、追加、</w:t>
      </w:r>
      <w:r>
        <w:rPr>
          <w:rFonts w:hint="eastAsia"/>
          <w:color w:val="auto"/>
          <w:highlight w:val="none"/>
          <w:u w:val="none"/>
        </w:rPr>
        <w:t>撤单</w:t>
      </w:r>
      <w:r>
        <w:rPr>
          <w:rFonts w:hint="eastAsia" w:ascii="仿宋_GB2312" w:hAnsi="宋体" w:cs="宋体"/>
          <w:bCs/>
          <w:color w:val="auto"/>
          <w:kern w:val="0"/>
          <w:szCs w:val="24"/>
          <w:highlight w:val="none"/>
          <w:u w:val="none"/>
        </w:rPr>
        <w:t>。如投资者认购成功，销售机构有权冻结投资者认购资金，</w:t>
      </w:r>
      <w:r>
        <w:rPr>
          <w:rFonts w:hint="eastAsia" w:ascii="仿宋_GB2312" w:hAnsi="宋体" w:cs="宋体"/>
          <w:b/>
          <w:color w:val="auto"/>
          <w:kern w:val="0"/>
          <w:szCs w:val="24"/>
          <w:highlight w:val="none"/>
          <w:u w:val="none"/>
        </w:rPr>
        <w:t>但募集期内认购资金是否计息以销售机构规则为准，利息不计入认购本金份额。</w:t>
      </w:r>
      <w:r>
        <w:rPr>
          <w:rFonts w:hint="eastAsia" w:ascii="仿宋_GB2312" w:hAnsi="宋体" w:cs="宋体"/>
          <w:bCs/>
          <w:color w:val="auto"/>
          <w:kern w:val="0"/>
          <w:szCs w:val="24"/>
          <w:highlight w:val="none"/>
          <w:u w:val="none"/>
        </w:rPr>
        <w:t>销售机构实际受理投资者成功提交的认购申请时间可能与说明书不一致，具体以销售机构信息为准。</w:t>
      </w:r>
    </w:p>
    <w:p w14:paraId="1D98A635">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本理财产品累计认购份额达到发行规模上限时，销售机构有权停止接受认购申请。管理人有权根据募集情况提前终止或延长产品募集期，</w:t>
      </w:r>
      <w:r>
        <w:rPr>
          <w:rFonts w:ascii="仿宋_GB2312" w:hAnsi="宋体" w:cs="宋体"/>
          <w:bCs/>
          <w:color w:val="auto"/>
          <w:kern w:val="0"/>
          <w:szCs w:val="24"/>
          <w:highlight w:val="none"/>
          <w:u w:val="none"/>
        </w:rPr>
        <w:t>如有变动</w:t>
      </w:r>
      <w:r>
        <w:rPr>
          <w:rFonts w:hint="eastAsia" w:ascii="仿宋_GB2312" w:hAnsi="宋体" w:cs="宋体"/>
          <w:bCs/>
          <w:color w:val="auto"/>
          <w:kern w:val="0"/>
          <w:szCs w:val="24"/>
          <w:highlight w:val="none"/>
          <w:u w:val="none"/>
        </w:rPr>
        <w:t>以管理人或销售机构公告为准。</w:t>
      </w:r>
    </w:p>
    <w:p w14:paraId="3B2359E9">
      <w:pPr>
        <w:pStyle w:val="3"/>
        <w:widowControl/>
        <w:numPr>
          <w:ilvl w:val="1"/>
          <w:numId w:val="12"/>
        </w:numPr>
        <w:tabs>
          <w:tab w:val="left" w:pos="709"/>
        </w:tabs>
        <w:snapToGrid w:val="0"/>
        <w:ind w:firstLine="482"/>
        <w:rPr>
          <w:rStyle w:val="15"/>
          <w:rFonts w:ascii="仿宋_GB2312" w:hAnsi="宋体"/>
          <w:b w:val="0"/>
          <w:color w:val="auto"/>
          <w:highlight w:val="none"/>
          <w:u w:val="none"/>
        </w:rPr>
      </w:pPr>
      <w:r>
        <w:rPr>
          <w:rFonts w:hint="eastAsia" w:ascii="仿宋_GB2312" w:hAnsi="宋体" w:cs="宋体"/>
          <w:bCs/>
          <w:color w:val="auto"/>
          <w:kern w:val="0"/>
          <w:szCs w:val="24"/>
          <w:highlight w:val="none"/>
          <w:u w:val="none"/>
        </w:rPr>
        <w:t>投资者</w:t>
      </w:r>
      <w:r>
        <w:rPr>
          <w:rFonts w:ascii="仿宋_GB2312" w:hAnsi="宋体" w:cs="宋体"/>
          <w:bCs/>
          <w:color w:val="auto"/>
          <w:kern w:val="0"/>
          <w:szCs w:val="24"/>
          <w:highlight w:val="none"/>
          <w:u w:val="none"/>
        </w:rPr>
        <w:t>范围</w:t>
      </w:r>
    </w:p>
    <w:p w14:paraId="0F74BB8E">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223F2470">
      <w:pPr>
        <w:pStyle w:val="3"/>
        <w:numPr>
          <w:ilvl w:val="1"/>
          <w:numId w:val="12"/>
        </w:numPr>
        <w:ind w:firstLine="482"/>
        <w:rPr>
          <w:color w:val="auto"/>
          <w:highlight w:val="none"/>
          <w:u w:val="none"/>
        </w:rPr>
      </w:pPr>
      <w:r>
        <w:rPr>
          <w:rFonts w:hint="eastAsia"/>
          <w:color w:val="auto"/>
          <w:highlight w:val="none"/>
          <w:u w:val="none"/>
        </w:rPr>
        <w:t>认购的</w:t>
      </w:r>
      <w:r>
        <w:rPr>
          <w:color w:val="auto"/>
          <w:highlight w:val="none"/>
          <w:u w:val="none"/>
        </w:rPr>
        <w:t>价格</w:t>
      </w:r>
    </w:p>
    <w:p w14:paraId="552E105C">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本产品的认购价格为每份理财份额人民币1.00</w:t>
      </w:r>
      <w:r>
        <w:rPr>
          <w:rFonts w:ascii="仿宋_GB2312" w:hAnsi="宋体" w:cs="宋体"/>
          <w:bCs/>
          <w:color w:val="auto"/>
          <w:kern w:val="0"/>
          <w:szCs w:val="24"/>
          <w:highlight w:val="none"/>
          <w:u w:val="none"/>
        </w:rPr>
        <w:t>00</w:t>
      </w:r>
      <w:r>
        <w:rPr>
          <w:rFonts w:hint="eastAsia" w:ascii="仿宋_GB2312" w:hAnsi="宋体" w:cs="宋体"/>
          <w:bCs/>
          <w:color w:val="auto"/>
          <w:kern w:val="0"/>
          <w:szCs w:val="24"/>
          <w:highlight w:val="none"/>
          <w:u w:val="none"/>
          <w:lang w:val="en-US" w:eastAsia="zh-CN"/>
        </w:rPr>
        <w:t>00</w:t>
      </w:r>
      <w:r>
        <w:rPr>
          <w:rFonts w:hint="eastAsia" w:ascii="仿宋_GB2312" w:hAnsi="宋体" w:cs="宋体"/>
          <w:bCs/>
          <w:color w:val="auto"/>
          <w:kern w:val="0"/>
          <w:szCs w:val="24"/>
          <w:highlight w:val="none"/>
          <w:u w:val="none"/>
        </w:rPr>
        <w:t>元。</w:t>
      </w:r>
    </w:p>
    <w:p w14:paraId="6D8BB1ED">
      <w:pPr>
        <w:pStyle w:val="3"/>
        <w:widowControl/>
        <w:numPr>
          <w:ilvl w:val="1"/>
          <w:numId w:val="12"/>
        </w:numPr>
        <w:tabs>
          <w:tab w:val="left" w:pos="709"/>
        </w:tabs>
        <w:snapToGrid w:val="0"/>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认购</w:t>
      </w:r>
      <w:r>
        <w:rPr>
          <w:rFonts w:ascii="仿宋_GB2312" w:hAnsi="宋体" w:cs="宋体"/>
          <w:bCs/>
          <w:color w:val="auto"/>
          <w:kern w:val="0"/>
          <w:szCs w:val="24"/>
          <w:highlight w:val="none"/>
          <w:u w:val="none"/>
        </w:rPr>
        <w:t>份额</w:t>
      </w:r>
      <w:r>
        <w:rPr>
          <w:rFonts w:hint="eastAsia" w:ascii="仿宋_GB2312" w:hAnsi="宋体" w:cs="宋体"/>
          <w:bCs/>
          <w:color w:val="auto"/>
          <w:kern w:val="0"/>
          <w:szCs w:val="24"/>
          <w:highlight w:val="none"/>
          <w:u w:val="none"/>
        </w:rPr>
        <w:t>的</w:t>
      </w:r>
      <w:r>
        <w:rPr>
          <w:rFonts w:ascii="仿宋_GB2312" w:hAnsi="宋体" w:cs="宋体"/>
          <w:bCs/>
          <w:color w:val="auto"/>
          <w:kern w:val="0"/>
          <w:szCs w:val="24"/>
          <w:highlight w:val="none"/>
          <w:u w:val="none"/>
        </w:rPr>
        <w:t>计算</w:t>
      </w:r>
    </w:p>
    <w:p w14:paraId="0215AB9D">
      <w:pPr>
        <w:widowControl/>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本产品采用金额认购方法，认购金额包括认购费用和净认购金额，认购时计算方法如下： </w:t>
      </w:r>
    </w:p>
    <w:p w14:paraId="3F5D4C3F">
      <w:pPr>
        <w:widowControl/>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净认购金额=认购金额/（1+认购费率）（认购费率详见产品说明书关于费用的说明）</w:t>
      </w:r>
    </w:p>
    <w:p w14:paraId="19BAEF45">
      <w:pPr>
        <w:widowControl/>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认购费用=认购金额-净认购金额</w:t>
      </w:r>
    </w:p>
    <w:p w14:paraId="4BF634CF">
      <w:pPr>
        <w:widowControl/>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认购份额=净认购金额/理财产品单位份额净值</w:t>
      </w:r>
    </w:p>
    <w:p w14:paraId="0987BD05">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认购份额以四舍五入的方法保留到小数点后两位。</w:t>
      </w:r>
    </w:p>
    <w:p w14:paraId="00E5700A">
      <w:pPr>
        <w:pStyle w:val="3"/>
        <w:numPr>
          <w:ilvl w:val="1"/>
          <w:numId w:val="12"/>
        </w:numPr>
        <w:ind w:firstLine="482"/>
        <w:rPr>
          <w:color w:val="auto"/>
          <w:highlight w:val="none"/>
          <w:u w:val="none"/>
        </w:rPr>
      </w:pPr>
      <w:r>
        <w:rPr>
          <w:rFonts w:hint="eastAsia"/>
          <w:color w:val="auto"/>
          <w:highlight w:val="none"/>
          <w:u w:val="none"/>
        </w:rPr>
        <w:t>认购</w:t>
      </w:r>
      <w:r>
        <w:rPr>
          <w:rFonts w:hint="eastAsia"/>
          <w:color w:val="auto"/>
          <w:highlight w:val="none"/>
          <w:u w:val="none"/>
          <w:lang w:eastAsia="zh-CN"/>
        </w:rPr>
        <w:t>的</w:t>
      </w:r>
      <w:r>
        <w:rPr>
          <w:rFonts w:hint="eastAsia"/>
          <w:color w:val="auto"/>
          <w:highlight w:val="none"/>
          <w:u w:val="none"/>
        </w:rPr>
        <w:t>起点</w:t>
      </w:r>
      <w:r>
        <w:rPr>
          <w:rFonts w:hint="eastAsia"/>
          <w:color w:val="auto"/>
          <w:highlight w:val="none"/>
          <w:u w:val="none"/>
          <w:lang w:eastAsia="zh-CN"/>
        </w:rPr>
        <w:t>销售金额</w:t>
      </w:r>
      <w:r>
        <w:rPr>
          <w:rFonts w:hint="eastAsia"/>
          <w:color w:val="auto"/>
          <w:highlight w:val="none"/>
          <w:u w:val="none"/>
        </w:rPr>
        <w:t>和</w:t>
      </w:r>
      <w:r>
        <w:rPr>
          <w:rFonts w:hint="eastAsia"/>
          <w:color w:val="auto"/>
          <w:highlight w:val="none"/>
          <w:u w:val="none"/>
          <w:lang w:eastAsia="zh-CN"/>
        </w:rPr>
        <w:t>追加</w:t>
      </w:r>
      <w:r>
        <w:rPr>
          <w:rFonts w:hint="eastAsia"/>
          <w:color w:val="auto"/>
          <w:highlight w:val="none"/>
          <w:u w:val="none"/>
        </w:rPr>
        <w:t>递增</w:t>
      </w:r>
      <w:r>
        <w:rPr>
          <w:color w:val="auto"/>
          <w:highlight w:val="none"/>
          <w:u w:val="none"/>
        </w:rPr>
        <w:t>金额</w:t>
      </w:r>
    </w:p>
    <w:p w14:paraId="7A8F4FEF">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7763B015">
      <w:pPr>
        <w:pStyle w:val="3"/>
        <w:widowControl/>
        <w:numPr>
          <w:ilvl w:val="1"/>
          <w:numId w:val="12"/>
        </w:numPr>
        <w:tabs>
          <w:tab w:val="left" w:pos="709"/>
        </w:tabs>
        <w:snapToGrid w:val="0"/>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认购确认</w:t>
      </w:r>
    </w:p>
    <w:p w14:paraId="040581F5">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投资者提交认购申请后，如管理人在认购</w:t>
      </w:r>
      <w:r>
        <w:rPr>
          <w:rFonts w:ascii="仿宋_GB2312" w:hAnsi="宋体" w:cs="宋体"/>
          <w:bCs/>
          <w:color w:val="auto"/>
          <w:kern w:val="0"/>
          <w:szCs w:val="24"/>
          <w:highlight w:val="none"/>
          <w:u w:val="none"/>
        </w:rPr>
        <w:t>确认日</w:t>
      </w:r>
      <w:r>
        <w:rPr>
          <w:rFonts w:hint="eastAsia" w:ascii="仿宋_GB2312" w:hAnsi="宋体" w:cs="宋体"/>
          <w:bCs/>
          <w:color w:val="auto"/>
          <w:kern w:val="0"/>
          <w:szCs w:val="24"/>
          <w:highlight w:val="none"/>
          <w:u w:val="none"/>
        </w:rPr>
        <w:t>成功登记投资者认购份额，则视为投资者的认购申请生效。销售机构成功登记投资者认购份额、投资者认购申请生效并不代表销售机构对该认购申请结果的成功确认或承诺，而仅代表其收到认购申请，认购申请结果是否成功以管理人确认为准。本产品认购确认日为本产品成立日。</w:t>
      </w:r>
    </w:p>
    <w:p w14:paraId="55D2DD36">
      <w:pPr>
        <w:pStyle w:val="3"/>
        <w:widowControl/>
        <w:numPr>
          <w:ilvl w:val="1"/>
          <w:numId w:val="12"/>
        </w:numPr>
        <w:tabs>
          <w:tab w:val="left" w:pos="709"/>
        </w:tabs>
        <w:snapToGrid w:val="0"/>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认购撤销</w:t>
      </w:r>
    </w:p>
    <w:p w14:paraId="26124698">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募集期内投资者可以撤销已提交的认购申请，具体请以销售机构规定为准。</w:t>
      </w:r>
    </w:p>
    <w:p w14:paraId="043473E6">
      <w:pPr>
        <w:pStyle w:val="3"/>
        <w:widowControl/>
        <w:numPr>
          <w:ilvl w:val="1"/>
          <w:numId w:val="12"/>
        </w:numPr>
        <w:tabs>
          <w:tab w:val="left" w:pos="709"/>
        </w:tabs>
        <w:snapToGrid w:val="0"/>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认购数量</w:t>
      </w:r>
      <w:r>
        <w:rPr>
          <w:rFonts w:ascii="仿宋_GB2312" w:hAnsi="宋体" w:cs="宋体"/>
          <w:bCs/>
          <w:color w:val="auto"/>
          <w:kern w:val="0"/>
          <w:szCs w:val="24"/>
          <w:highlight w:val="none"/>
          <w:u w:val="none"/>
        </w:rPr>
        <w:t>限制</w:t>
      </w:r>
    </w:p>
    <w:p w14:paraId="22C5163D">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66E577FF">
      <w:pPr>
        <w:pStyle w:val="3"/>
        <w:numPr>
          <w:ilvl w:val="1"/>
          <w:numId w:val="12"/>
        </w:numPr>
        <w:ind w:firstLine="482"/>
        <w:rPr>
          <w:color w:val="auto"/>
          <w:highlight w:val="none"/>
          <w:u w:val="none"/>
        </w:rPr>
      </w:pPr>
      <w:r>
        <w:rPr>
          <w:rFonts w:hint="eastAsia"/>
          <w:color w:val="auto"/>
          <w:highlight w:val="none"/>
          <w:u w:val="none"/>
        </w:rPr>
        <w:t>产品成立</w:t>
      </w:r>
    </w:p>
    <w:p w14:paraId="24DC5343">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1.募集期届满，募集总资金累计金额不低于产品最低成立规模时，产品成立。</w:t>
      </w:r>
    </w:p>
    <w:p w14:paraId="1F187096">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w:t>
      </w:r>
      <w:r>
        <w:rPr>
          <w:rFonts w:hint="eastAsia" w:ascii="仿宋_GB2312" w:hAnsi="宋体" w:cs="宋体"/>
          <w:b/>
          <w:bCs/>
          <w:color w:val="auto"/>
          <w:kern w:val="0"/>
          <w:szCs w:val="24"/>
          <w:highlight w:val="none"/>
          <w:u w:val="none"/>
        </w:rPr>
        <w:t>本产品募集期限内，如募集总金额未达到产品最低成立规模，或国家宏观政策以及市场相关法规政策发生变化，或市场发生剧烈波动，或发生其他经管理人合理判断难以履行本理财产品说明书约定或可能导致投资者权益受损的情形，管理人有权利但无义务宣布本理财产品不成立</w:t>
      </w:r>
      <w:r>
        <w:rPr>
          <w:rFonts w:hint="eastAsia" w:ascii="仿宋_GB2312" w:hAnsi="宋体"/>
          <w:b/>
          <w:color w:val="auto"/>
          <w:kern w:val="0"/>
          <w:szCs w:val="24"/>
          <w:highlight w:val="none"/>
          <w:u w:val="none"/>
        </w:rPr>
        <w:t>，亦有权延长募集期或调整募集规模</w:t>
      </w:r>
      <w:r>
        <w:rPr>
          <w:rFonts w:hint="eastAsia" w:ascii="仿宋_GB2312" w:hAnsi="宋体" w:cs="宋体"/>
          <w:b/>
          <w:bCs/>
          <w:color w:val="auto"/>
          <w:kern w:val="0"/>
          <w:szCs w:val="24"/>
          <w:highlight w:val="none"/>
          <w:u w:val="none"/>
        </w:rPr>
        <w:t>。</w:t>
      </w:r>
    </w:p>
    <w:p w14:paraId="0EA21688">
      <w:pPr>
        <w:widowControl/>
        <w:tabs>
          <w:tab w:val="left" w:pos="709"/>
        </w:tabs>
        <w:snapToGrid w:val="0"/>
        <w:spacing w:line="360" w:lineRule="auto"/>
        <w:ind w:firstLine="420" w:firstLineChars="200"/>
        <w:rPr>
          <w:rFonts w:ascii="仿宋_GB2312" w:hAnsi="宋体" w:cs="宋体"/>
          <w:b/>
          <w:bCs/>
          <w:color w:val="auto"/>
          <w:kern w:val="0"/>
          <w:szCs w:val="24"/>
          <w:highlight w:val="none"/>
          <w:u w:val="none"/>
        </w:rPr>
      </w:pPr>
      <w:r>
        <w:rPr>
          <w:rFonts w:hint="eastAsia" w:ascii="仿宋_GB2312" w:hAnsi="宋体" w:cs="宋体"/>
          <w:bCs/>
          <w:color w:val="auto"/>
          <w:kern w:val="0"/>
          <w:szCs w:val="24"/>
          <w:highlight w:val="none"/>
          <w:u w:val="none"/>
        </w:rPr>
        <w:t>（1）产品不成立：管理人决定理财产品不成立，将及时通过本产品说明书约定的</w:t>
      </w:r>
      <w:r>
        <w:rPr>
          <w:rFonts w:ascii="仿宋_GB2312" w:hAnsi="宋体" w:cs="宋体"/>
          <w:bCs/>
          <w:color w:val="auto"/>
          <w:kern w:val="0"/>
          <w:szCs w:val="24"/>
          <w:highlight w:val="none"/>
          <w:u w:val="none"/>
        </w:rPr>
        <w:t>方式</w:t>
      </w:r>
      <w:r>
        <w:rPr>
          <w:rFonts w:hint="eastAsia" w:ascii="仿宋_GB2312" w:hAnsi="宋体" w:cs="宋体"/>
          <w:bCs/>
          <w:color w:val="auto"/>
          <w:kern w:val="0"/>
          <w:szCs w:val="24"/>
          <w:highlight w:val="none"/>
          <w:u w:val="none"/>
        </w:rPr>
        <w:t>披露产品不成立相关信息，并在不晚于产品原计划成立日后的</w:t>
      </w:r>
      <w:r>
        <w:rPr>
          <w:rFonts w:hint="eastAsia" w:ascii="仿宋_GB2312" w:hAnsi="宋体" w:cs="宋体"/>
          <w:bCs/>
          <w:color w:val="auto"/>
          <w:kern w:val="0"/>
          <w:szCs w:val="24"/>
          <w:highlight w:val="yellow"/>
          <w:u w:val="none"/>
        </w:rPr>
        <w:t>3个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lang w:eastAsia="zh-CN"/>
        </w:rPr>
        <w:sym w:font="Wingdings 2" w:char="00A3"/>
      </w:r>
      <w:r>
        <w:rPr>
          <w:rFonts w:hint="eastAsia" w:ascii="仿宋_GB2312" w:hAnsi="宋体" w:cs="宋体"/>
          <w:bCs/>
          <w:kern w:val="0"/>
          <w:szCs w:val="24"/>
          <w:highlight w:val="yellow"/>
          <w:lang w:eastAsia="zh-CN"/>
        </w:rPr>
        <w:t>工作日</w:t>
      </w:r>
      <w:r>
        <w:rPr>
          <w:rFonts w:hint="eastAsia" w:ascii="仿宋_GB2312" w:hAnsi="宋体" w:cs="宋体"/>
          <w:bCs/>
          <w:kern w:val="0"/>
          <w:szCs w:val="24"/>
          <w:highlight w:val="yellow"/>
          <w:lang w:val="en-US" w:eastAsia="zh-CN"/>
        </w:rPr>
        <w:t>/</w:t>
      </w:r>
      <w:r>
        <w:rPr>
          <w:rFonts w:hint="eastAsia" w:ascii="仿宋_GB2312" w:hAnsi="宋体" w:cs="宋体"/>
          <w:bCs/>
          <w:kern w:val="0"/>
          <w:szCs w:val="24"/>
          <w:highlight w:val="yellow"/>
          <w:lang w:val="en-US" w:eastAsia="zh-CN"/>
        </w:rPr>
        <w:sym w:font="Wingdings 2" w:char="00A3"/>
      </w:r>
      <w:r>
        <w:rPr>
          <w:rFonts w:hint="eastAsia" w:ascii="仿宋_GB2312" w:hAnsi="宋体" w:cs="宋体"/>
          <w:bCs/>
          <w:kern w:val="0"/>
          <w:szCs w:val="24"/>
          <w:highlight w:val="yellow"/>
          <w:lang w:val="en-US" w:eastAsia="zh-CN"/>
        </w:rPr>
        <w:t>交易日</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通过销售机构将理财投资本金退回投资者指定账户。</w:t>
      </w:r>
    </w:p>
    <w:p w14:paraId="57544EBD">
      <w:pPr>
        <w:widowControl/>
        <w:tabs>
          <w:tab w:val="left" w:pos="709"/>
        </w:tabs>
        <w:snapToGrid w:val="0"/>
        <w:spacing w:line="360" w:lineRule="auto"/>
        <w:ind w:firstLine="420" w:firstLineChars="200"/>
        <w:rPr>
          <w:rFonts w:ascii="仿宋_GB2312" w:hAnsi="宋体"/>
          <w:color w:val="auto"/>
          <w:kern w:val="0"/>
          <w:szCs w:val="24"/>
          <w:highlight w:val="none"/>
          <w:u w:val="none"/>
        </w:rPr>
      </w:pPr>
      <w:r>
        <w:rPr>
          <w:rFonts w:hint="eastAsia" w:ascii="仿宋_GB2312" w:hAnsi="宋体" w:cs="宋体"/>
          <w:bCs/>
          <w:color w:val="auto"/>
          <w:kern w:val="0"/>
          <w:szCs w:val="24"/>
          <w:highlight w:val="none"/>
          <w:u w:val="none"/>
        </w:rPr>
        <w:t>（2）</w:t>
      </w:r>
      <w:r>
        <w:rPr>
          <w:rFonts w:hint="eastAsia" w:ascii="仿宋_GB2312" w:hAnsi="宋体"/>
          <w:color w:val="auto"/>
          <w:kern w:val="0"/>
          <w:szCs w:val="24"/>
          <w:highlight w:val="none"/>
          <w:u w:val="none"/>
        </w:rPr>
        <w:t>延长产品募集期:</w:t>
      </w:r>
      <w:r>
        <w:rPr>
          <w:rFonts w:hint="eastAsia" w:ascii="仿宋_GB2312" w:hAnsi="宋体" w:cs="宋体"/>
          <w:bCs/>
          <w:color w:val="auto"/>
          <w:kern w:val="0"/>
          <w:szCs w:val="24"/>
          <w:highlight w:val="none"/>
          <w:u w:val="none"/>
        </w:rPr>
        <w:t>管理人决定延长产品募集期，</w:t>
      </w:r>
      <w:r>
        <w:rPr>
          <w:rFonts w:hint="eastAsia" w:ascii="仿宋_GB2312" w:hAnsi="宋体"/>
          <w:color w:val="auto"/>
          <w:kern w:val="0"/>
          <w:szCs w:val="24"/>
          <w:highlight w:val="none"/>
          <w:u w:val="none"/>
        </w:rPr>
        <w:t>将在理财</w:t>
      </w:r>
      <w:r>
        <w:rPr>
          <w:rFonts w:ascii="仿宋_GB2312" w:hAnsi="宋体"/>
          <w:color w:val="auto"/>
          <w:kern w:val="0"/>
          <w:szCs w:val="24"/>
          <w:highlight w:val="none"/>
          <w:u w:val="none"/>
        </w:rPr>
        <w:t>产品</w:t>
      </w:r>
      <w:r>
        <w:rPr>
          <w:rFonts w:hint="eastAsia" w:ascii="仿宋_GB2312" w:hAnsi="宋体"/>
          <w:color w:val="auto"/>
          <w:kern w:val="0"/>
          <w:szCs w:val="24"/>
          <w:highlight w:val="none"/>
          <w:u w:val="none"/>
        </w:rPr>
        <w:t>原定成立日前</w:t>
      </w:r>
      <w:r>
        <w:rPr>
          <w:rFonts w:hint="eastAsia" w:ascii="仿宋_GB2312" w:hAnsi="宋体" w:cs="宋体"/>
          <w:bCs/>
          <w:color w:val="auto"/>
          <w:kern w:val="0"/>
          <w:szCs w:val="24"/>
          <w:highlight w:val="none"/>
          <w:u w:val="none"/>
        </w:rPr>
        <w:t>通过本产品说明书约定</w:t>
      </w:r>
      <w:r>
        <w:rPr>
          <w:rFonts w:ascii="仿宋_GB2312" w:hAnsi="宋体" w:cs="宋体"/>
          <w:bCs/>
          <w:color w:val="auto"/>
          <w:kern w:val="0"/>
          <w:szCs w:val="24"/>
          <w:highlight w:val="none"/>
          <w:u w:val="none"/>
        </w:rPr>
        <w:t>方式</w:t>
      </w:r>
      <w:r>
        <w:rPr>
          <w:rFonts w:hint="eastAsia" w:ascii="仿宋_GB2312" w:hAnsi="宋体"/>
          <w:color w:val="auto"/>
          <w:kern w:val="0"/>
          <w:szCs w:val="24"/>
          <w:highlight w:val="none"/>
          <w:u w:val="none"/>
        </w:rPr>
        <w:t>发布募集期延长公告。</w:t>
      </w:r>
    </w:p>
    <w:p w14:paraId="12CF8F2E">
      <w:pPr>
        <w:widowControl/>
        <w:tabs>
          <w:tab w:val="left" w:pos="709"/>
        </w:tabs>
        <w:snapToGrid w:val="0"/>
        <w:spacing w:line="360" w:lineRule="auto"/>
        <w:ind w:firstLine="420" w:firstLineChars="200"/>
        <w:rPr>
          <w:rFonts w:ascii="仿宋_GB2312" w:hAnsi="宋体"/>
          <w:color w:val="auto"/>
          <w:kern w:val="0"/>
          <w:szCs w:val="24"/>
          <w:highlight w:val="none"/>
          <w:u w:val="none"/>
        </w:rPr>
      </w:pPr>
      <w:r>
        <w:rPr>
          <w:rFonts w:hint="eastAsia" w:ascii="仿宋_GB2312" w:hAnsi="宋体" w:cs="宋体"/>
          <w:bCs/>
          <w:color w:val="auto"/>
          <w:kern w:val="0"/>
          <w:szCs w:val="24"/>
          <w:highlight w:val="none"/>
          <w:u w:val="none"/>
        </w:rPr>
        <w:t>（3）</w:t>
      </w:r>
      <w:r>
        <w:rPr>
          <w:rFonts w:hint="eastAsia" w:ascii="仿宋_GB2312" w:hAnsi="宋体"/>
          <w:color w:val="auto"/>
          <w:kern w:val="0"/>
          <w:szCs w:val="24"/>
          <w:highlight w:val="none"/>
          <w:u w:val="none"/>
        </w:rPr>
        <w:t>调整产品募集规模：</w:t>
      </w:r>
      <w:r>
        <w:rPr>
          <w:rFonts w:hint="eastAsia" w:ascii="仿宋_GB2312" w:hAnsi="宋体" w:cs="宋体"/>
          <w:bCs/>
          <w:color w:val="auto"/>
          <w:kern w:val="0"/>
          <w:szCs w:val="24"/>
          <w:highlight w:val="none"/>
          <w:u w:val="none"/>
        </w:rPr>
        <w:t>管理人决定调整产品募集规模，</w:t>
      </w:r>
      <w:r>
        <w:rPr>
          <w:rFonts w:hint="eastAsia" w:ascii="仿宋_GB2312" w:hAnsi="宋体"/>
          <w:color w:val="auto"/>
          <w:kern w:val="0"/>
          <w:szCs w:val="24"/>
          <w:highlight w:val="none"/>
          <w:u w:val="none"/>
        </w:rPr>
        <w:t>将及时通过</w:t>
      </w:r>
      <w:r>
        <w:rPr>
          <w:rFonts w:hint="eastAsia" w:ascii="仿宋_GB2312" w:hAnsi="宋体" w:cs="宋体"/>
          <w:bCs/>
          <w:color w:val="auto"/>
          <w:kern w:val="0"/>
          <w:szCs w:val="24"/>
          <w:highlight w:val="none"/>
          <w:u w:val="none"/>
        </w:rPr>
        <w:t>本产品说明书约定</w:t>
      </w:r>
      <w:r>
        <w:rPr>
          <w:rFonts w:ascii="仿宋_GB2312" w:hAnsi="宋体" w:cs="宋体"/>
          <w:bCs/>
          <w:color w:val="auto"/>
          <w:kern w:val="0"/>
          <w:szCs w:val="24"/>
          <w:highlight w:val="none"/>
          <w:u w:val="none"/>
        </w:rPr>
        <w:t>方式</w:t>
      </w:r>
      <w:r>
        <w:rPr>
          <w:rFonts w:hint="eastAsia" w:ascii="仿宋_GB2312" w:hAnsi="宋体"/>
          <w:color w:val="auto"/>
          <w:kern w:val="0"/>
          <w:szCs w:val="24"/>
          <w:highlight w:val="none"/>
          <w:u w:val="none"/>
        </w:rPr>
        <w:t>发布产品募集规模调整公告。</w:t>
      </w:r>
    </w:p>
    <w:p w14:paraId="16A5B7A6">
      <w:pPr>
        <w:widowControl/>
        <w:rPr>
          <w:rFonts w:ascii="仿宋_GB2312" w:hAnsi="宋体"/>
          <w:color w:val="auto"/>
          <w:kern w:val="0"/>
          <w:szCs w:val="24"/>
          <w:highlight w:val="none"/>
          <w:u w:val="none"/>
        </w:rPr>
      </w:pPr>
      <w:r>
        <w:rPr>
          <w:rFonts w:hint="eastAsia" w:ascii="仿宋_GB2312" w:hAnsi="宋体"/>
          <w:color w:val="auto"/>
          <w:kern w:val="0"/>
          <w:szCs w:val="24"/>
          <w:highlight w:val="none"/>
          <w:u w:val="none"/>
        </w:rPr>
        <w:br w:type="page"/>
      </w:r>
    </w:p>
    <w:p w14:paraId="141202FD">
      <w:pPr>
        <w:pStyle w:val="2"/>
        <w:widowControl/>
        <w:numPr>
          <w:ilvl w:val="0"/>
          <w:numId w:val="12"/>
        </w:numPr>
        <w:tabs>
          <w:tab w:val="left" w:pos="709"/>
        </w:tabs>
        <w:snapToGrid w:val="0"/>
        <w:ind w:firstLine="560"/>
        <w:rPr>
          <w:rFonts w:ascii="仿宋_GB2312" w:hAnsi="宋体"/>
          <w:kern w:val="0"/>
          <w:szCs w:val="24"/>
        </w:rPr>
      </w:pPr>
      <w:r>
        <w:rPr>
          <w:rFonts w:hint="eastAsia"/>
        </w:rPr>
        <w:t>理财产品的申购与赎回</w:t>
      </w:r>
    </w:p>
    <w:p w14:paraId="62B0C66C">
      <w:pPr>
        <w:pStyle w:val="3"/>
        <w:numPr>
          <w:ilvl w:val="1"/>
          <w:numId w:val="12"/>
        </w:numPr>
        <w:adjustRightInd w:val="0"/>
        <w:snapToGrid w:val="0"/>
        <w:ind w:firstLine="482"/>
        <w:rPr>
          <w:color w:val="auto"/>
          <w:highlight w:val="none"/>
          <w:u w:val="none"/>
        </w:rPr>
      </w:pPr>
      <w:r>
        <w:rPr>
          <w:rFonts w:hint="eastAsia"/>
          <w:color w:val="auto"/>
          <w:highlight w:val="none"/>
          <w:u w:val="none"/>
        </w:rPr>
        <w:t>申购、赎回原则</w:t>
      </w:r>
    </w:p>
    <w:p w14:paraId="146DD334">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1.“金额申购、份额赎回”原则，即申购以金额申请，赎回以份额申请。</w:t>
      </w:r>
    </w:p>
    <w:p w14:paraId="0E8A1F74">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2.申购和赎回采用“未知价”原则，即本产品申购申请和赎回申请提交时，适用的产品份额净值都是未知的。</w:t>
      </w:r>
    </w:p>
    <w:p w14:paraId="557F1EF9">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3.申购、赎回申请可以在对应申购日、赎回日交易时间截止前撤销，最终申请确认情况以</w:t>
      </w:r>
      <w:r>
        <w:rPr>
          <w:rFonts w:hint="eastAsia" w:ascii="仿宋_GB2312" w:hAnsi="宋体" w:cs="宋体"/>
          <w:bCs/>
          <w:color w:val="auto"/>
          <w:kern w:val="0"/>
          <w:szCs w:val="24"/>
          <w:highlight w:val="none"/>
          <w:u w:val="none"/>
          <w:lang w:eastAsia="zh-CN"/>
        </w:rPr>
        <w:t>浙银理财</w:t>
      </w:r>
      <w:r>
        <w:rPr>
          <w:rFonts w:hint="eastAsia" w:ascii="仿宋_GB2312" w:hAnsi="宋体" w:cs="宋体"/>
          <w:bCs/>
          <w:color w:val="auto"/>
          <w:kern w:val="0"/>
          <w:szCs w:val="24"/>
          <w:highlight w:val="none"/>
          <w:u w:val="none"/>
        </w:rPr>
        <w:t>确认的结果为准。</w:t>
      </w:r>
    </w:p>
    <w:p w14:paraId="0539B661">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4.赎回原则遵循“先进先出”原则或“指定赎回”原则，投资者赎回理财计划份额时适用的赎回原则以对应的销售服务机构提供的赎回服务为准。</w:t>
      </w:r>
    </w:p>
    <w:p w14:paraId="6747D05A">
      <w:pPr>
        <w:tabs>
          <w:tab w:val="left" w:pos="3119"/>
        </w:tabs>
        <w:autoSpaceDE w:val="0"/>
        <w:autoSpaceDN w:val="0"/>
        <w:adjustRightInd/>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当开放式公募理财产品（现金管理类理财产品除外）遭遇大额申购或赎回时，产品管理人有权采用摆动定价机制，以确保估值的公平性。具体处理原则与操作方法遵循法律法规以及监管部门、自律规则的相关规定，产品管理人将提前发布相关公告。</w:t>
      </w:r>
    </w:p>
    <w:p w14:paraId="2ACDF557">
      <w:pPr>
        <w:pStyle w:val="3"/>
        <w:numPr>
          <w:ilvl w:val="1"/>
          <w:numId w:val="12"/>
        </w:numPr>
        <w:adjustRightInd w:val="0"/>
        <w:snapToGrid w:val="0"/>
        <w:ind w:firstLine="482"/>
        <w:rPr>
          <w:color w:val="auto"/>
          <w:highlight w:val="none"/>
          <w:u w:val="none"/>
        </w:rPr>
      </w:pPr>
      <w:r>
        <w:rPr>
          <w:rFonts w:hint="eastAsia"/>
          <w:color w:val="auto"/>
          <w:highlight w:val="none"/>
          <w:u w:val="none"/>
        </w:rPr>
        <w:t>理财</w:t>
      </w:r>
      <w:r>
        <w:rPr>
          <w:color w:val="auto"/>
          <w:highlight w:val="none"/>
          <w:u w:val="none"/>
        </w:rPr>
        <w:t>产品</w:t>
      </w:r>
      <w:r>
        <w:rPr>
          <w:rFonts w:hint="eastAsia"/>
          <w:color w:val="auto"/>
          <w:highlight w:val="none"/>
          <w:u w:val="none"/>
        </w:rPr>
        <w:t>的</w:t>
      </w:r>
      <w:r>
        <w:rPr>
          <w:color w:val="auto"/>
          <w:highlight w:val="none"/>
          <w:u w:val="none"/>
        </w:rPr>
        <w:t>申购</w:t>
      </w:r>
    </w:p>
    <w:p w14:paraId="203B8FBA">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1.申购的时间</w:t>
      </w:r>
    </w:p>
    <w:p w14:paraId="7D8C373C">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本产品具体申购时间以《产品说明书》“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”为准。</w:t>
      </w:r>
    </w:p>
    <w:p w14:paraId="3A618879">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2.申购的方式</w:t>
      </w:r>
    </w:p>
    <w:p w14:paraId="02FB872E">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投资者可通过销售机构的销售渠道申购。不同销售机构的销售渠道，申购确认时效可能存在差异。</w:t>
      </w:r>
    </w:p>
    <w:p w14:paraId="64A8F15F">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投资者通过销售机构线下渠道申购的，应签署有关理财产品销售文件。</w:t>
      </w:r>
    </w:p>
    <w:p w14:paraId="51843B69">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投资者通过销售机构线上渠道申购的，应根据销售机构线上渠道的具体要求执行。</w:t>
      </w:r>
    </w:p>
    <w:p w14:paraId="3773C5D7">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3.申购的确认</w:t>
      </w:r>
    </w:p>
    <w:p w14:paraId="24326121">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本产品申购确认详见《产品说明书》“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7BAA847F">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投资者提交申购申请并不代表申购成功，产品管理人将在申购确认日确认投资者是否申购成功。申购是否成功以管理人的确认结果为准。投资者可以在申购确认日系统完成处理后，查询产品份额。</w:t>
      </w:r>
    </w:p>
    <w:p w14:paraId="15467B2C">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4.申购的价格</w:t>
      </w:r>
    </w:p>
    <w:p w14:paraId="58BC274E">
      <w:pPr>
        <w:tabs>
          <w:tab w:val="left" w:pos="312"/>
        </w:tabs>
        <w:adjustRightInd w:val="0"/>
        <w:snapToGrid w:val="0"/>
        <w:spacing w:line="360" w:lineRule="auto"/>
        <w:ind w:firstLine="420" w:firstLineChars="20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申购价格为申购日的产品份额净值。</w:t>
      </w:r>
      <w:r>
        <w:rPr>
          <w:rFonts w:hint="eastAsia" w:ascii="仿宋_GB2312" w:hAnsi="宋体" w:cs="宋体"/>
          <w:bCs/>
          <w:color w:val="auto"/>
          <w:kern w:val="0"/>
          <w:szCs w:val="24"/>
          <w:highlight w:val="yellow"/>
          <w:u w:val="none"/>
          <w:lang w:eastAsia="zh-CN"/>
        </w:rPr>
        <w:t>】</w:t>
      </w:r>
    </w:p>
    <w:p w14:paraId="512CD99F">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宋体" w:hAnsi="宋体" w:cs="宋体"/>
          <w:color w:val="auto"/>
          <w:kern w:val="0"/>
          <w:szCs w:val="24"/>
          <w:highlight w:val="none"/>
          <w:u w:val="none"/>
        </w:rPr>
        <w:t>如遇某一类产品份额类别存续期间产品份额被全部赎回的情况，符合该产品份额类别的投资者适当性要求的投资者仍可按照相关申购规则进行购买，投资者提交申购申请的首日，申购价格参照该产品份额类别的最近估值日的产品份额净值计算。请详见</w:t>
      </w:r>
      <w:r>
        <w:rPr>
          <w:rFonts w:hint="eastAsia" w:ascii="仿宋_GB2312" w:hAnsi="宋体" w:cs="宋体"/>
          <w:color w:val="auto"/>
          <w:kern w:val="0"/>
          <w:szCs w:val="24"/>
          <w:highlight w:val="none"/>
          <w:u w:val="none"/>
        </w:rPr>
        <w:t>产品管理人的开放日公告。</w:t>
      </w:r>
    </w:p>
    <w:p w14:paraId="3BB189E7">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5.申购的费用</w:t>
      </w:r>
    </w:p>
    <w:p w14:paraId="226B9E00">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本产品申购费率详见《产品说明书》“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2F5C1341">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6.申购份额计算 </w:t>
      </w:r>
    </w:p>
    <w:p w14:paraId="4666EE0E">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本产品的申购金额包括申购费用和净申购金额。申购份额的计算公式为：</w:t>
      </w:r>
    </w:p>
    <w:p w14:paraId="6E542AC7">
      <w:pPr>
        <w:tabs>
          <w:tab w:val="left" w:pos="312"/>
        </w:tabs>
        <w:adjustRightInd w:val="0"/>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净申购金额=申购金额/（1+申购费率）（申购</w:t>
      </w:r>
      <w:r>
        <w:rPr>
          <w:rFonts w:ascii="仿宋_GB2312" w:hAnsi="宋体" w:cs="宋体"/>
          <w:bCs/>
          <w:color w:val="auto"/>
          <w:kern w:val="0"/>
          <w:szCs w:val="24"/>
          <w:highlight w:val="yellow"/>
          <w:u w:val="none"/>
        </w:rPr>
        <w:t>费</w:t>
      </w:r>
      <w:r>
        <w:rPr>
          <w:rFonts w:hint="eastAsia" w:ascii="仿宋_GB2312" w:hAnsi="宋体" w:cs="宋体"/>
          <w:bCs/>
          <w:color w:val="auto"/>
          <w:kern w:val="0"/>
          <w:szCs w:val="24"/>
          <w:highlight w:val="yellow"/>
          <w:u w:val="none"/>
        </w:rPr>
        <w:t>率详见产品说明书</w:t>
      </w:r>
      <w:r>
        <w:rPr>
          <w:rFonts w:ascii="仿宋_GB2312" w:hAnsi="宋体" w:cs="宋体"/>
          <w:bCs/>
          <w:color w:val="auto"/>
          <w:kern w:val="0"/>
          <w:szCs w:val="24"/>
          <w:highlight w:val="yellow"/>
          <w:u w:val="none"/>
        </w:rPr>
        <w:t>关于费用</w:t>
      </w:r>
      <w:r>
        <w:rPr>
          <w:rFonts w:hint="eastAsia" w:ascii="仿宋_GB2312" w:hAnsi="宋体" w:cs="宋体"/>
          <w:bCs/>
          <w:color w:val="auto"/>
          <w:kern w:val="0"/>
          <w:szCs w:val="24"/>
          <w:highlight w:val="yellow"/>
          <w:u w:val="none"/>
        </w:rPr>
        <w:t>的说明</w:t>
      </w:r>
      <w:r>
        <w:rPr>
          <w:rFonts w:ascii="仿宋_GB2312" w:hAnsi="宋体" w:cs="宋体"/>
          <w:bCs/>
          <w:color w:val="auto"/>
          <w:kern w:val="0"/>
          <w:szCs w:val="24"/>
          <w:highlight w:val="yellow"/>
          <w:u w:val="none"/>
        </w:rPr>
        <w:t>）</w:t>
      </w:r>
    </w:p>
    <w:p w14:paraId="5A808875">
      <w:pPr>
        <w:tabs>
          <w:tab w:val="left" w:pos="312"/>
        </w:tabs>
        <w:adjustRightInd w:val="0"/>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申购费用=申购金额－净申购金额</w:t>
      </w:r>
    </w:p>
    <w:p w14:paraId="38353BCC">
      <w:pPr>
        <w:tabs>
          <w:tab w:val="left" w:pos="312"/>
        </w:tabs>
        <w:adjustRightInd w:val="0"/>
        <w:snapToGrid w:val="0"/>
        <w:spacing w:line="360" w:lineRule="auto"/>
        <w:ind w:firstLine="420" w:firstLineChars="20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rPr>
        <w:t>申购份额=净申购金额/申购日产品份额净值</w:t>
      </w:r>
      <w:r>
        <w:rPr>
          <w:rFonts w:hint="eastAsia" w:ascii="仿宋_GB2312" w:hAnsi="宋体" w:cs="宋体"/>
          <w:bCs/>
          <w:color w:val="auto"/>
          <w:kern w:val="0"/>
          <w:szCs w:val="24"/>
          <w:highlight w:val="yellow"/>
          <w:u w:val="none"/>
          <w:lang w:eastAsia="zh-CN"/>
        </w:rPr>
        <w:t>】</w:t>
      </w:r>
    </w:p>
    <w:p w14:paraId="11997671">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上述计算结果均按四舍五入方法，保留到小数点后2位，由此产生的收益或损失由理财产品承担。</w:t>
      </w:r>
    </w:p>
    <w:p w14:paraId="5639B53B">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7.申购的起点</w:t>
      </w:r>
      <w:r>
        <w:rPr>
          <w:rFonts w:hint="eastAsia" w:ascii="仿宋_GB2312" w:hAnsi="宋体" w:cs="宋体"/>
          <w:bCs/>
          <w:color w:val="auto"/>
          <w:kern w:val="0"/>
          <w:szCs w:val="24"/>
          <w:highlight w:val="none"/>
          <w:u w:val="none"/>
          <w:lang w:eastAsia="zh-CN"/>
        </w:rPr>
        <w:t>销售金额</w:t>
      </w:r>
      <w:r>
        <w:rPr>
          <w:rFonts w:hint="eastAsia" w:ascii="仿宋_GB2312" w:hAnsi="宋体" w:cs="宋体"/>
          <w:bCs/>
          <w:color w:val="auto"/>
          <w:kern w:val="0"/>
          <w:szCs w:val="24"/>
          <w:highlight w:val="none"/>
          <w:u w:val="none"/>
        </w:rPr>
        <w:t>和</w:t>
      </w:r>
      <w:r>
        <w:rPr>
          <w:rFonts w:hint="eastAsia" w:ascii="仿宋_GB2312" w:hAnsi="宋体" w:cs="宋体"/>
          <w:bCs/>
          <w:color w:val="auto"/>
          <w:kern w:val="0"/>
          <w:szCs w:val="24"/>
          <w:highlight w:val="none"/>
          <w:u w:val="none"/>
          <w:lang w:eastAsia="zh-CN"/>
        </w:rPr>
        <w:t>追加</w:t>
      </w:r>
      <w:r>
        <w:rPr>
          <w:rFonts w:hint="eastAsia" w:ascii="仿宋_GB2312" w:hAnsi="宋体" w:cs="宋体"/>
          <w:bCs/>
          <w:color w:val="auto"/>
          <w:kern w:val="0"/>
          <w:szCs w:val="24"/>
          <w:highlight w:val="none"/>
          <w:u w:val="none"/>
        </w:rPr>
        <w:t xml:space="preserve">递增金额 </w:t>
      </w:r>
    </w:p>
    <w:p w14:paraId="16C6538A">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41B069E7">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8.申购的数量限制</w:t>
      </w:r>
    </w:p>
    <w:p w14:paraId="3A178109">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2439742D">
      <w:pPr>
        <w:adjustRightInd w:val="0"/>
        <w:snapToGrid w:val="0"/>
        <w:spacing w:line="360" w:lineRule="auto"/>
        <w:ind w:firstLine="420" w:firstLineChars="200"/>
        <w:rPr>
          <w:color w:val="auto"/>
          <w:highlight w:val="none"/>
          <w:u w:val="none"/>
        </w:rPr>
      </w:pPr>
      <w:r>
        <w:rPr>
          <w:rFonts w:hint="eastAsia" w:ascii="仿宋_GB2312" w:hAnsi="仿宋_GB2312" w:cs="仿宋_GB2312"/>
          <w:color w:val="auto"/>
          <w:highlight w:val="none"/>
          <w:u w:val="none"/>
        </w:rPr>
        <w:t>9.拒</w:t>
      </w:r>
      <w:r>
        <w:rPr>
          <w:rFonts w:hint="eastAsia"/>
          <w:color w:val="auto"/>
          <w:highlight w:val="none"/>
          <w:u w:val="none"/>
        </w:rPr>
        <w:t>绝或暂停申购</w:t>
      </w:r>
    </w:p>
    <w:p w14:paraId="571C9043">
      <w:pPr>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除本理财产品说明书另有规定外，当出现以下情形之一时，管理人有权拒绝投资者提交的理财产品申购申请并确认投资者申购失败，或通知销售机构暂停投资者申购并关闭系统申购交易功能，并在3个工作日内公告。在拒绝、暂停申购的情况消除后，管理人应及时通知销售机构恢复理财产品申购业务的办理。</w:t>
      </w:r>
    </w:p>
    <w:p w14:paraId="3EA312CC">
      <w:pPr>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1.因不可抗力导致管理人无法接受投资者的申购申请；</w:t>
      </w:r>
    </w:p>
    <w:p w14:paraId="63ED0E61">
      <w:pPr>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2.证券交易场所依法决定临时停市，导致管理人无法计算当日产品资产净值；</w:t>
      </w:r>
    </w:p>
    <w:p w14:paraId="091B8F3A">
      <w:pPr>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3.当管理人认为某笔申购申请会有损于其他产品份额持有人利益时，可拒绝该笔申购申请；</w:t>
      </w:r>
    </w:p>
    <w:p w14:paraId="31B84D41">
      <w:pPr>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4.法律、法规规定认定的其他情形。</w:t>
      </w:r>
    </w:p>
    <w:p w14:paraId="7D16EA15">
      <w:pPr>
        <w:pStyle w:val="3"/>
        <w:numPr>
          <w:ilvl w:val="1"/>
          <w:numId w:val="12"/>
        </w:numPr>
        <w:adjustRightInd w:val="0"/>
        <w:snapToGrid w:val="0"/>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理财产品的赎回</w:t>
      </w:r>
      <w:r>
        <w:rPr>
          <w:rFonts w:ascii="仿宋_GB2312" w:hAnsi="宋体" w:cs="宋体"/>
          <w:bCs/>
          <w:color w:val="auto"/>
          <w:kern w:val="0"/>
          <w:szCs w:val="24"/>
          <w:highlight w:val="none"/>
          <w:u w:val="none"/>
        </w:rPr>
        <w:t xml:space="preserve"> </w:t>
      </w:r>
    </w:p>
    <w:p w14:paraId="6068EF19">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1.赎回的时间</w:t>
      </w:r>
    </w:p>
    <w:p w14:paraId="6F3B0139">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本产品具体赎回时间以《产品说明书》“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”为准。</w:t>
      </w:r>
    </w:p>
    <w:p w14:paraId="5C45E135">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2.赎回的方式</w:t>
      </w:r>
    </w:p>
    <w:p w14:paraId="796CD4AF">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投资者可通过销售机构的销售渠道赎回。不同销售机构的销售渠道，赎回确认时效可能存在差异。</w:t>
      </w:r>
    </w:p>
    <w:p w14:paraId="21CA7C63">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投资者通过销售机构线下渠道赎回的，应签署有关理财产品销售文件。</w:t>
      </w:r>
    </w:p>
    <w:p w14:paraId="51BAEE41">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投资者通过销售机构线上渠道赎回的，应根据销售机构线上渠道的具体要求执行。</w:t>
      </w:r>
    </w:p>
    <w:p w14:paraId="55B57191">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3.赎回的确认</w:t>
      </w:r>
    </w:p>
    <w:p w14:paraId="531291DF">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本产品赎回确认详见《产品说明书》“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442A4C55">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投资者提交赎回申请并不代表赎回成功，产品管理人将在赎回确认日确认投资者是否赎回成功。赎回是否成功以管理人的确认结果为准。</w:t>
      </w:r>
    </w:p>
    <w:p w14:paraId="65D5A93F">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4.赎回的价格</w:t>
      </w:r>
    </w:p>
    <w:p w14:paraId="4BF7DC4D">
      <w:pPr>
        <w:tabs>
          <w:tab w:val="left" w:pos="312"/>
        </w:tabs>
        <w:adjustRightInd w:val="0"/>
        <w:snapToGrid w:val="0"/>
        <w:spacing w:line="360" w:lineRule="auto"/>
        <w:ind w:firstLine="420" w:firstLineChars="20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赎回价格为赎回日的产品份额净值。</w:t>
      </w:r>
      <w:r>
        <w:rPr>
          <w:rFonts w:hint="eastAsia" w:ascii="仿宋_GB2312" w:hAnsi="宋体" w:cs="宋体"/>
          <w:bCs/>
          <w:color w:val="auto"/>
          <w:kern w:val="0"/>
          <w:szCs w:val="24"/>
          <w:highlight w:val="yellow"/>
          <w:u w:val="none"/>
          <w:lang w:eastAsia="zh-CN"/>
        </w:rPr>
        <w:t>】</w:t>
      </w:r>
    </w:p>
    <w:p w14:paraId="546D3025">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5.赎回的费用</w:t>
      </w:r>
    </w:p>
    <w:p w14:paraId="70B95725">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本产品赎回费用详见《产品说明书》“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62D47287">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6.赎回金额计算 </w:t>
      </w:r>
    </w:p>
    <w:p w14:paraId="2B93ABE5">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本产品赎回金额的计算公式如下：</w:t>
      </w:r>
    </w:p>
    <w:p w14:paraId="768F4333">
      <w:pPr>
        <w:tabs>
          <w:tab w:val="left" w:pos="312"/>
        </w:tabs>
        <w:adjustRightInd w:val="0"/>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赎回总金额=赎回份额×赎回日该产品份额净值</w:t>
      </w:r>
    </w:p>
    <w:p w14:paraId="6F013B56">
      <w:pPr>
        <w:tabs>
          <w:tab w:val="left" w:pos="312"/>
        </w:tabs>
        <w:adjustRightInd w:val="0"/>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赎回费用=赎回总金额×该产品份额赎回费率</w:t>
      </w:r>
    </w:p>
    <w:p w14:paraId="34CF680F">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净赎回金额=赎回总金额-赎回费用</w:t>
      </w:r>
    </w:p>
    <w:p w14:paraId="46C3AE49">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yellow"/>
          <w:u w:val="none"/>
          <w:lang w:eastAsia="zh-CN"/>
        </w:rPr>
      </w:pPr>
      <w:r>
        <w:rPr>
          <w:rFonts w:hint="eastAsia" w:ascii="仿宋_GB2312" w:hAnsi="宋体" w:cs="宋体"/>
          <w:bCs/>
          <w:color w:val="auto"/>
          <w:kern w:val="0"/>
          <w:szCs w:val="24"/>
          <w:highlight w:val="yellow"/>
          <w:u w:val="none"/>
          <w:lang w:eastAsia="zh-CN"/>
        </w:rPr>
        <w:t>若本理财产品设置不同的产品份额类别，当某一份额类别因投资者赎回致使该份额类别剩余份额归零，产品管理人将以申请日该份额类别对应的总资产净值，向持有该份额类别的投资者进行兑付。</w:t>
      </w:r>
    </w:p>
    <w:p w14:paraId="7E4F38C3">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yellow"/>
          <w:u w:val="none"/>
          <w:lang w:eastAsia="zh-CN"/>
        </w:rPr>
      </w:pPr>
      <w:r>
        <w:rPr>
          <w:rFonts w:hint="eastAsia" w:ascii="仿宋_GB2312" w:hAnsi="宋体" w:cs="宋体"/>
          <w:bCs/>
          <w:color w:val="auto"/>
          <w:kern w:val="0"/>
          <w:szCs w:val="24"/>
          <w:highlight w:val="yellow"/>
          <w:u w:val="none"/>
          <w:lang w:eastAsia="zh-CN"/>
        </w:rPr>
        <w:t>该情形下投资者赎回金额计算公式如下：</w:t>
      </w:r>
    </w:p>
    <w:p w14:paraId="1CA2DCFD">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yellow"/>
          <w:u w:val="none"/>
          <w:lang w:eastAsia="zh-CN"/>
        </w:rPr>
      </w:pPr>
      <w:r>
        <w:rPr>
          <w:rFonts w:hint="eastAsia" w:ascii="仿宋_GB2312" w:hAnsi="宋体" w:cs="宋体"/>
          <w:bCs/>
          <w:color w:val="auto"/>
          <w:kern w:val="0"/>
          <w:szCs w:val="24"/>
          <w:highlight w:val="yellow"/>
          <w:u w:val="none"/>
          <w:lang w:eastAsia="zh-CN"/>
        </w:rPr>
        <w:t>赎回总金额=投资者在赎回日持有的该份额类别份额/该份额类别总份额*该份额类别赎回日总资产净值</w:t>
      </w:r>
    </w:p>
    <w:p w14:paraId="669A3C4C">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yellow"/>
          <w:u w:val="none"/>
          <w:lang w:eastAsia="zh-CN"/>
        </w:rPr>
      </w:pPr>
      <w:r>
        <w:rPr>
          <w:rFonts w:hint="eastAsia" w:ascii="仿宋_GB2312" w:hAnsi="宋体" w:cs="宋体"/>
          <w:bCs/>
          <w:color w:val="auto"/>
          <w:kern w:val="0"/>
          <w:szCs w:val="24"/>
          <w:highlight w:val="yellow"/>
          <w:u w:val="none"/>
          <w:lang w:eastAsia="zh-CN"/>
        </w:rPr>
        <w:t>赎回费用=赎回总金额×该产品份额赎回费率</w:t>
      </w:r>
    </w:p>
    <w:p w14:paraId="235EC2B1">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yellow"/>
          <w:u w:val="none"/>
          <w:lang w:eastAsia="zh-CN"/>
        </w:rPr>
      </w:pPr>
      <w:r>
        <w:rPr>
          <w:rFonts w:hint="eastAsia" w:ascii="仿宋_GB2312" w:hAnsi="宋体" w:cs="宋体"/>
          <w:bCs/>
          <w:color w:val="auto"/>
          <w:kern w:val="0"/>
          <w:szCs w:val="24"/>
          <w:highlight w:val="yellow"/>
          <w:u w:val="none"/>
          <w:lang w:eastAsia="zh-CN"/>
        </w:rPr>
        <w:t>净赎回金额=赎回总金额-赎回费用</w:t>
      </w:r>
    </w:p>
    <w:p w14:paraId="0B2C7E6B">
      <w:pPr>
        <w:tabs>
          <w:tab w:val="left" w:pos="312"/>
        </w:tabs>
        <w:adjustRightInd w:val="0"/>
        <w:snapToGrid w:val="0"/>
        <w:spacing w:line="360" w:lineRule="auto"/>
        <w:ind w:firstLine="420" w:firstLineChars="20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rPr>
        <w:t>上述计算结果均按四舍五入方法，保留到小数点后2位，由此产生的收益或损失由理财产品承担。</w:t>
      </w:r>
      <w:r>
        <w:rPr>
          <w:rFonts w:hint="eastAsia" w:ascii="仿宋_GB2312" w:hAnsi="宋体" w:cs="宋体"/>
          <w:bCs/>
          <w:color w:val="auto"/>
          <w:kern w:val="0"/>
          <w:szCs w:val="24"/>
          <w:highlight w:val="yellow"/>
          <w:u w:val="none"/>
          <w:lang w:eastAsia="zh-CN"/>
        </w:rPr>
        <w:t>】</w:t>
      </w:r>
    </w:p>
    <w:p w14:paraId="2C2F8EDF">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7.赎回的数量限制</w:t>
      </w:r>
    </w:p>
    <w:p w14:paraId="70B2D526">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30266DE4">
      <w:pPr>
        <w:pStyle w:val="3"/>
        <w:numPr>
          <w:ilvl w:val="1"/>
          <w:numId w:val="12"/>
        </w:numPr>
        <w:adjustRightInd w:val="0"/>
        <w:snapToGrid w:val="0"/>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巨额赎回的情形及处理方式</w:t>
      </w:r>
      <w:r>
        <w:rPr>
          <w:rFonts w:ascii="仿宋_GB2312" w:hAnsi="宋体" w:cs="宋体"/>
          <w:bCs/>
          <w:color w:val="auto"/>
          <w:kern w:val="0"/>
          <w:szCs w:val="24"/>
          <w:highlight w:val="none"/>
          <w:u w:val="none"/>
        </w:rPr>
        <w:t xml:space="preserve"> </w:t>
      </w:r>
    </w:p>
    <w:p w14:paraId="1AF72E76">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1.巨额赎回的认定</w:t>
      </w:r>
    </w:p>
    <w:p w14:paraId="532FF9F5">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6F4F4D33">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2.巨额赎回的处理方式</w:t>
      </w:r>
    </w:p>
    <w:p w14:paraId="474D4563">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77B4F2E4">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3.巨额赎回的公告</w:t>
      </w:r>
    </w:p>
    <w:p w14:paraId="2BFB7BBF">
      <w:pPr>
        <w:autoSpaceDE w:val="0"/>
        <w:autoSpaceDN w:val="0"/>
        <w:adjustRightInd w:val="0"/>
        <w:snapToGrid w:val="0"/>
        <w:spacing w:line="360" w:lineRule="auto"/>
        <w:ind w:firstLine="420" w:firstLineChars="200"/>
        <w:rPr>
          <w:rFonts w:ascii="仿宋_GB2312" w:hAnsi="宋体"/>
          <w:b/>
          <w:color w:val="auto"/>
          <w:kern w:val="0"/>
          <w:szCs w:val="24"/>
          <w:highlight w:val="none"/>
          <w:u w:val="none"/>
        </w:rPr>
      </w:pPr>
      <w:r>
        <w:rPr>
          <w:rFonts w:hint="eastAsia" w:ascii="仿宋_GB2312" w:hAnsi="宋体" w:cs="宋体"/>
          <w:bCs/>
          <w:color w:val="auto"/>
          <w:kern w:val="0"/>
          <w:szCs w:val="24"/>
          <w:highlight w:val="none"/>
          <w:u w:val="none"/>
        </w:rPr>
        <w:t>在发生巨额赎回产品管理人</w:t>
      </w:r>
      <w:r>
        <w:rPr>
          <w:rFonts w:hint="eastAsia" w:asciiTheme="minorEastAsia" w:hAnsiTheme="minorEastAsia"/>
          <w:color w:val="auto"/>
          <w:szCs w:val="24"/>
          <w:highlight w:val="none"/>
          <w:u w:val="none"/>
        </w:rPr>
        <w:t>暂停接受或延期办理</w:t>
      </w:r>
      <w:r>
        <w:rPr>
          <w:rFonts w:hint="eastAsia" w:ascii="仿宋_GB2312" w:hAnsi="宋体" w:cs="宋体"/>
          <w:bCs/>
          <w:color w:val="auto"/>
          <w:kern w:val="0"/>
          <w:szCs w:val="24"/>
          <w:highlight w:val="none"/>
          <w:u w:val="none"/>
        </w:rPr>
        <w:t>投资者赎回申请时，产品管理人将依约定发布相关公告信息。</w:t>
      </w:r>
    </w:p>
    <w:p w14:paraId="5DFDB92C">
      <w:pPr>
        <w:widowControl/>
        <w:jc w:val="left"/>
        <w:rPr>
          <w:rFonts w:eastAsia="黑体"/>
          <w:color w:val="auto"/>
          <w:kern w:val="44"/>
          <w:sz w:val="28"/>
          <w:highlight w:val="none"/>
          <w:u w:val="none"/>
        </w:rPr>
      </w:pPr>
      <w:r>
        <w:rPr>
          <w:color w:val="auto"/>
          <w:highlight w:val="none"/>
          <w:u w:val="none"/>
        </w:rPr>
        <w:br w:type="page"/>
      </w:r>
    </w:p>
    <w:p w14:paraId="477BEFDA">
      <w:pPr>
        <w:pStyle w:val="2"/>
        <w:numPr>
          <w:ilvl w:val="0"/>
          <w:numId w:val="12"/>
        </w:numPr>
      </w:pPr>
      <w:r>
        <w:rPr>
          <w:rFonts w:hint="eastAsia"/>
        </w:rPr>
        <w:t>理财产品的投资</w:t>
      </w:r>
    </w:p>
    <w:p w14:paraId="2E5F8099">
      <w:pPr>
        <w:pStyle w:val="3"/>
        <w:numPr>
          <w:ilvl w:val="1"/>
          <w:numId w:val="12"/>
        </w:numPr>
        <w:ind w:firstLine="482"/>
      </w:pPr>
      <w:r>
        <w:rPr>
          <w:rFonts w:hint="eastAsia"/>
        </w:rPr>
        <w:t>投资范围</w:t>
      </w:r>
    </w:p>
    <w:p w14:paraId="2C411A50">
      <w:pPr>
        <w:tabs>
          <w:tab w:val="left" w:pos="3119"/>
        </w:tabs>
        <w:autoSpaceDE w:val="0"/>
        <w:autoSpaceDN w:val="0"/>
        <w:spacing w:line="360" w:lineRule="auto"/>
        <w:ind w:right="31" w:rightChars="15" w:firstLine="420" w:firstLineChars="200"/>
        <w:rPr>
          <w:rFonts w:hint="default" w:ascii="仿宋_GB2312" w:hAnsi="宋体" w:cs="宋体"/>
          <w:bCs/>
          <w:color w:val="000000" w:themeColor="text1"/>
          <w:kern w:val="0"/>
          <w:szCs w:val="24"/>
          <w:highlight w:val="none"/>
          <w:lang w:val="en-US" w:eastAsia="zh-CN"/>
          <w14:textFill>
            <w14:solidFill>
              <w14:schemeClr w14:val="tx1"/>
            </w14:solidFill>
          </w14:textFill>
        </w:rPr>
      </w:pPr>
      <w:r>
        <w:rPr>
          <w:rFonts w:hint="eastAsia" w:ascii="仿宋_GB2312" w:hAnsi="宋体" w:cs="宋体"/>
          <w:bCs/>
          <w:color w:val="000000" w:themeColor="text1"/>
          <w:kern w:val="0"/>
          <w:szCs w:val="24"/>
          <w:highlight w:val="yellow"/>
          <w:lang w:eastAsia="zh-CN"/>
          <w14:textFill>
            <w14:solidFill>
              <w14:schemeClr w14:val="tx1"/>
            </w14:solidFill>
          </w14:textFill>
        </w:rPr>
        <w:t>【</w:t>
      </w:r>
      <w:r>
        <w:rPr>
          <w:rFonts w:hint="eastAsia" w:ascii="仿宋_GB2312" w:hAnsi="宋体" w:cs="宋体"/>
          <w:bCs/>
          <w:color w:val="000000" w:themeColor="text1"/>
          <w:kern w:val="0"/>
          <w:szCs w:val="24"/>
          <w:highlight w:val="none"/>
          <w:lang w:eastAsia="zh-CN"/>
          <w14:textFill>
            <w14:solidFill>
              <w14:schemeClr w14:val="tx1"/>
            </w14:solidFill>
          </w14:textFill>
        </w:rPr>
        <w:t>……</w:t>
      </w:r>
    </w:p>
    <w:p w14:paraId="258881E8">
      <w:pPr>
        <w:tabs>
          <w:tab w:val="left" w:pos="3119"/>
        </w:tabs>
        <w:autoSpaceDE w:val="0"/>
        <w:autoSpaceDN w:val="0"/>
        <w:spacing w:line="360" w:lineRule="auto"/>
        <w:ind w:right="31" w:rightChars="15" w:firstLine="420" w:firstLineChars="200"/>
        <w:rPr>
          <w:rFonts w:hint="eastAsia" w:ascii="仿宋_GB2312" w:hAnsi="宋体" w:cs="宋体"/>
          <w:bCs/>
          <w:color w:val="000000" w:themeColor="text1"/>
          <w:kern w:val="0"/>
          <w:szCs w:val="24"/>
          <w:highlight w:val="none"/>
          <w14:textFill>
            <w14:solidFill>
              <w14:schemeClr w14:val="tx1"/>
            </w14:solidFill>
          </w14:textFill>
        </w:rPr>
      </w:pPr>
      <w:r>
        <w:rPr>
          <w:rFonts w:hint="eastAsia" w:ascii="仿宋_GB2312" w:hAnsi="宋体" w:cs="宋体"/>
          <w:bCs/>
          <w:color w:val="000000" w:themeColor="text1"/>
          <w:kern w:val="0"/>
          <w:szCs w:val="24"/>
          <w:highlight w:val="none"/>
          <w14:textFill>
            <w14:solidFill>
              <w14:schemeClr w14:val="tx1"/>
            </w14:solidFill>
          </w14:textFill>
        </w:rPr>
        <w:t>本理财产品在投资于商品及金融衍生品类资产之前，管理人应获得相应的业务经营范围或投资交易资格。</w:t>
      </w:r>
    </w:p>
    <w:p w14:paraId="3338E400">
      <w:pPr>
        <w:tabs>
          <w:tab w:val="left" w:pos="3119"/>
        </w:tabs>
        <w:autoSpaceDE w:val="0"/>
        <w:autoSpaceDN w:val="0"/>
        <w:spacing w:line="360" w:lineRule="auto"/>
        <w:ind w:right="31" w:rightChars="15" w:firstLine="480" w:firstLineChars="200"/>
        <w:rPr>
          <w:rFonts w:ascii="仿宋_GB2312" w:hAnsi="宋体" w:cs="宋体"/>
          <w:bCs/>
          <w:color w:val="000000" w:themeColor="text1"/>
          <w:kern w:val="0"/>
          <w:szCs w:val="24"/>
          <w:highlight w:val="none"/>
          <w:u w:val="single"/>
          <w14:textFill>
            <w14:solidFill>
              <w14:schemeClr w14:val="tx1"/>
            </w14:solidFill>
          </w14:textFill>
        </w:rPr>
      </w:pPr>
      <w:r>
        <w:rPr>
          <w:rFonts w:hint="eastAsia" w:ascii="仿宋_GB2312" w:hAnsi="宋体" w:eastAsia="仿宋_GB2312" w:cs="宋体"/>
          <w:bCs/>
          <w:color w:val="000000" w:themeColor="text1"/>
          <w:kern w:val="0"/>
          <w:sz w:val="24"/>
          <w:szCs w:val="24"/>
          <w:highlight w:val="none"/>
          <w14:textFill>
            <w14:solidFill>
              <w14:schemeClr w14:val="tx1"/>
            </w14:solidFill>
          </w14:textFill>
        </w:rPr>
        <w:t>本理财产品在投资于境外资产之前，管理人应获得相应的业务经营范围或投资交易资格。</w:t>
      </w:r>
      <w:r>
        <w:rPr>
          <w:rFonts w:hint="eastAsia" w:ascii="仿宋_GB2312" w:hAnsi="宋体" w:cs="宋体"/>
          <w:bCs/>
          <w:color w:val="000000" w:themeColor="text1"/>
          <w:kern w:val="0"/>
          <w:szCs w:val="24"/>
          <w:highlight w:val="yellow"/>
          <w:lang w:eastAsia="zh-CN"/>
          <w14:textFill>
            <w14:solidFill>
              <w14:schemeClr w14:val="tx1"/>
            </w14:solidFill>
          </w14:textFill>
        </w:rPr>
        <w:t>】</w:t>
      </w:r>
    </w:p>
    <w:p w14:paraId="256B30F3">
      <w:pPr>
        <w:tabs>
          <w:tab w:val="left" w:pos="3119"/>
        </w:tabs>
        <w:autoSpaceDE w:val="0"/>
        <w:autoSpaceDN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本理财产品投资的资产范围须完全符合法律法规或监管规定，如因法律法规或监管规定的变更、修订或更新导致本理财产品投资某类资产受到限制或禁止的，该类资产将被视为从上述资产范围中自动剔除。</w:t>
      </w:r>
    </w:p>
    <w:p w14:paraId="2590B3DE">
      <w:pPr>
        <w:pStyle w:val="3"/>
        <w:numPr>
          <w:ilvl w:val="1"/>
          <w:numId w:val="12"/>
        </w:numPr>
        <w:ind w:firstLine="482"/>
      </w:pPr>
      <w:r>
        <w:rPr>
          <w:rFonts w:hint="eastAsia"/>
        </w:rPr>
        <w:t>投资比例</w:t>
      </w:r>
    </w:p>
    <w:p w14:paraId="19CF6DAF">
      <w:pPr>
        <w:tabs>
          <w:tab w:val="left" w:pos="3119"/>
        </w:tabs>
        <w:autoSpaceDE w:val="0"/>
        <w:autoSpaceDN w:val="0"/>
        <w:adjustRightInd w:val="0"/>
        <w:spacing w:line="360" w:lineRule="auto"/>
        <w:ind w:right="31" w:rightChars="15" w:firstLine="420" w:firstLineChars="200"/>
        <w:contextualSpacing/>
        <w:rPr>
          <w:rFonts w:ascii="仿宋_GB2312" w:hAnsi="宋体" w:cs="宋体"/>
          <w:bCs/>
          <w:color w:val="auto"/>
          <w:kern w:val="0"/>
          <w:szCs w:val="24"/>
          <w:highlight w:val="none"/>
          <w:u w:val="none"/>
        </w:rPr>
      </w:pPr>
      <w:r>
        <w:rPr>
          <w:rFonts w:ascii="仿宋_GB2312" w:hAnsi="宋体" w:cs="宋体"/>
          <w:bCs/>
          <w:kern w:val="0"/>
          <w:szCs w:val="24"/>
        </w:rPr>
        <w:t>1.本产品各投资资产占比如下：</w:t>
      </w:r>
    </w:p>
    <w:tbl>
      <w:tblPr>
        <w:tblStyle w:val="8"/>
        <w:tblW w:w="0" w:type="auto"/>
        <w:tblInd w:w="18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89"/>
        <w:gridCol w:w="1325"/>
      </w:tblGrid>
      <w:tr w14:paraId="7EDBD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9" w:type="dxa"/>
          </w:tcPr>
          <w:p w14:paraId="417B4A7E">
            <w:pPr>
              <w:widowControl/>
              <w:spacing w:line="360" w:lineRule="auto"/>
              <w:jc w:val="center"/>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投资资产</w:t>
            </w:r>
          </w:p>
        </w:tc>
        <w:tc>
          <w:tcPr>
            <w:tcW w:w="1325" w:type="dxa"/>
          </w:tcPr>
          <w:p w14:paraId="6C620062">
            <w:pPr>
              <w:widowControl/>
              <w:spacing w:line="360" w:lineRule="auto"/>
              <w:jc w:val="center"/>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投资比例</w:t>
            </w:r>
          </w:p>
        </w:tc>
      </w:tr>
      <w:tr w14:paraId="1DD75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9" w:type="dxa"/>
            <w:vAlign w:val="top"/>
          </w:tcPr>
          <w:p w14:paraId="3E6C7C4B">
            <w:pPr>
              <w:widowControl/>
              <w:spacing w:line="360" w:lineRule="auto"/>
              <w:jc w:val="center"/>
              <w:rPr>
                <w:rFonts w:ascii="仿宋_GB2312" w:hAnsi="宋体" w:cs="宋体"/>
                <w:bCs/>
                <w:color w:val="auto"/>
                <w:kern w:val="0"/>
                <w:szCs w:val="24"/>
                <w:highlight w:val="none"/>
                <w:u w:val="none"/>
              </w:rPr>
            </w:pP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rPr>
              <w:t>债权类资产</w:t>
            </w:r>
            <w:r>
              <w:rPr>
                <w:rFonts w:hint="eastAsia" w:ascii="仿宋_GB2312" w:hAnsi="宋体" w:cs="宋体"/>
                <w:bCs/>
                <w:kern w:val="0"/>
                <w:szCs w:val="24"/>
                <w:highlight w:val="yellow"/>
                <w:lang w:eastAsia="zh-CN"/>
              </w:rPr>
              <w:t>】</w:t>
            </w:r>
          </w:p>
        </w:tc>
        <w:tc>
          <w:tcPr>
            <w:tcW w:w="1325" w:type="dxa"/>
            <w:vAlign w:val="top"/>
          </w:tcPr>
          <w:p w14:paraId="7554CD2E">
            <w:pPr>
              <w:widowControl/>
              <w:spacing w:line="360" w:lineRule="auto"/>
              <w:jc w:val="center"/>
              <w:rPr>
                <w:rFonts w:ascii="仿宋_GB2312" w:hAnsi="宋体" w:cs="宋体"/>
                <w:bCs/>
                <w:color w:val="auto"/>
                <w:kern w:val="0"/>
                <w:szCs w:val="24"/>
                <w:highlight w:val="none"/>
                <w:u w:val="none"/>
              </w:rPr>
            </w:pPr>
            <w:r>
              <w:rPr>
                <w:rFonts w:hint="eastAsia" w:ascii="仿宋_GB2312" w:hAnsi="宋体" w:cs="宋体"/>
                <w:bCs/>
                <w:kern w:val="0"/>
                <w:szCs w:val="24"/>
                <w:highlight w:val="yellow"/>
                <w:lang w:eastAsia="zh-CN"/>
              </w:rPr>
              <w:t>【】</w:t>
            </w:r>
          </w:p>
        </w:tc>
      </w:tr>
      <w:tr w14:paraId="7C991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9" w:type="dxa"/>
            <w:vAlign w:val="top"/>
          </w:tcPr>
          <w:p w14:paraId="2365EFCE">
            <w:pPr>
              <w:widowControl/>
              <w:spacing w:line="360" w:lineRule="auto"/>
              <w:jc w:val="center"/>
              <w:rPr>
                <w:rFonts w:ascii="仿宋_GB2312" w:hAnsi="宋体" w:cs="宋体"/>
                <w:bCs/>
                <w:color w:val="auto"/>
                <w:kern w:val="0"/>
                <w:szCs w:val="24"/>
                <w:highlight w:val="none"/>
                <w:u w:val="none"/>
              </w:rPr>
            </w:pPr>
            <w:r>
              <w:rPr>
                <w:rFonts w:hint="eastAsia" w:ascii="仿宋_GB2312" w:hAnsi="宋体" w:cs="宋体"/>
                <w:bCs/>
                <w:kern w:val="0"/>
                <w:szCs w:val="24"/>
                <w:highlight w:val="yellow"/>
                <w:u w:val="none"/>
                <w:lang w:eastAsia="zh-CN"/>
              </w:rPr>
              <w:t>【</w:t>
            </w:r>
            <w:r>
              <w:rPr>
                <w:rFonts w:hint="eastAsia" w:ascii="仿宋_GB2312" w:hAnsi="宋体" w:cs="宋体"/>
                <w:bCs/>
                <w:color w:val="auto"/>
                <w:kern w:val="0"/>
                <w:szCs w:val="24"/>
                <w:highlight w:val="none"/>
                <w:u w:val="none"/>
              </w:rPr>
              <w:t>权益类资产</w:t>
            </w:r>
            <w:r>
              <w:rPr>
                <w:rFonts w:hint="eastAsia" w:ascii="仿宋_GB2312" w:hAnsi="宋体" w:cs="宋体"/>
                <w:bCs/>
                <w:kern w:val="0"/>
                <w:szCs w:val="24"/>
                <w:highlight w:val="yellow"/>
                <w:u w:val="none"/>
                <w:lang w:eastAsia="zh-CN"/>
              </w:rPr>
              <w:t>】</w:t>
            </w:r>
          </w:p>
        </w:tc>
        <w:tc>
          <w:tcPr>
            <w:tcW w:w="1325" w:type="dxa"/>
            <w:vAlign w:val="top"/>
          </w:tcPr>
          <w:p w14:paraId="5EF5FF2E">
            <w:pPr>
              <w:widowControl/>
              <w:spacing w:line="360" w:lineRule="auto"/>
              <w:jc w:val="center"/>
              <w:rPr>
                <w:rFonts w:ascii="仿宋_GB2312" w:hAnsi="宋体" w:cs="宋体"/>
                <w:bCs/>
                <w:color w:val="auto"/>
                <w:kern w:val="0"/>
                <w:szCs w:val="24"/>
                <w:highlight w:val="none"/>
                <w:u w:val="none"/>
              </w:rPr>
            </w:pPr>
            <w:r>
              <w:rPr>
                <w:rFonts w:hint="eastAsia" w:ascii="仿宋_GB2312" w:hAnsi="宋体" w:cs="宋体"/>
                <w:bCs/>
                <w:kern w:val="0"/>
                <w:szCs w:val="24"/>
                <w:highlight w:val="yellow"/>
                <w:lang w:eastAsia="zh-CN"/>
              </w:rPr>
              <w:t>【】</w:t>
            </w:r>
          </w:p>
        </w:tc>
      </w:tr>
      <w:tr w14:paraId="7C3E8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9" w:type="dxa"/>
            <w:shd w:val="clear" w:color="auto" w:fill="auto"/>
            <w:vAlign w:val="top"/>
          </w:tcPr>
          <w:p w14:paraId="22AB1B8A">
            <w:pPr>
              <w:widowControl/>
              <w:spacing w:line="360" w:lineRule="auto"/>
              <w:jc w:val="center"/>
              <w:rPr>
                <w:rFonts w:hint="eastAsia" w:ascii="仿宋_GB2312" w:hAnsi="宋体" w:eastAsia="仿宋_GB2312" w:cs="宋体"/>
                <w:bCs/>
                <w:color w:val="auto"/>
                <w:kern w:val="0"/>
                <w:sz w:val="24"/>
                <w:szCs w:val="24"/>
                <w:highlight w:val="none"/>
                <w:u w:val="none"/>
                <w:lang w:val="en-US" w:eastAsia="zh-CN" w:bidi="ar-SA"/>
              </w:rPr>
            </w:pPr>
            <w:r>
              <w:rPr>
                <w:rFonts w:hint="eastAsia" w:ascii="仿宋_GB2312" w:hAnsi="宋体" w:cs="宋体"/>
                <w:bCs/>
                <w:kern w:val="0"/>
                <w:szCs w:val="24"/>
                <w:highlight w:val="yellow"/>
                <w:u w:val="none"/>
                <w:lang w:eastAsia="zh-CN"/>
              </w:rPr>
              <w:t>【</w:t>
            </w:r>
            <w:r>
              <w:rPr>
                <w:rFonts w:hint="eastAsia" w:ascii="仿宋_GB2312" w:hAnsi="宋体" w:cs="宋体"/>
                <w:bCs/>
                <w:color w:val="auto"/>
                <w:kern w:val="0"/>
                <w:szCs w:val="24"/>
                <w:highlight w:val="none"/>
                <w:u w:val="none"/>
              </w:rPr>
              <w:t>商品及金融衍生品类</w:t>
            </w:r>
            <w:r>
              <w:rPr>
                <w:rFonts w:hint="eastAsia" w:ascii="仿宋_GB2312" w:hAnsi="宋体" w:cs="宋体"/>
                <w:bCs/>
                <w:color w:val="auto"/>
                <w:kern w:val="0"/>
                <w:szCs w:val="24"/>
                <w:highlight w:val="none"/>
                <w:u w:val="none"/>
                <w:lang w:eastAsia="zh-CN"/>
              </w:rPr>
              <w:t>资产</w:t>
            </w:r>
            <w:r>
              <w:rPr>
                <w:rFonts w:hint="eastAsia" w:ascii="仿宋_GB2312" w:hAnsi="宋体" w:cs="宋体"/>
                <w:bCs/>
                <w:kern w:val="0"/>
                <w:szCs w:val="24"/>
                <w:highlight w:val="yellow"/>
                <w:u w:val="none"/>
                <w:lang w:eastAsia="zh-CN"/>
              </w:rPr>
              <w:t>】</w:t>
            </w:r>
          </w:p>
        </w:tc>
        <w:tc>
          <w:tcPr>
            <w:tcW w:w="1325" w:type="dxa"/>
            <w:shd w:val="clear" w:color="auto" w:fill="auto"/>
            <w:vAlign w:val="top"/>
          </w:tcPr>
          <w:p w14:paraId="156C41C2">
            <w:pPr>
              <w:widowControl/>
              <w:spacing w:line="360" w:lineRule="auto"/>
              <w:jc w:val="center"/>
              <w:rPr>
                <w:rFonts w:hint="eastAsia" w:ascii="仿宋_GB2312" w:hAnsi="宋体" w:eastAsia="仿宋_GB2312" w:cs="宋体"/>
                <w:bCs/>
                <w:color w:val="auto"/>
                <w:kern w:val="0"/>
                <w:sz w:val="24"/>
                <w:szCs w:val="24"/>
                <w:highlight w:val="none"/>
                <w:u w:val="none"/>
                <w:lang w:val="en-US" w:eastAsia="zh-CN" w:bidi="ar-SA"/>
              </w:rPr>
            </w:pPr>
            <w:r>
              <w:rPr>
                <w:rFonts w:hint="eastAsia" w:ascii="仿宋_GB2312" w:hAnsi="宋体" w:cs="宋体"/>
                <w:bCs/>
                <w:kern w:val="0"/>
                <w:szCs w:val="24"/>
                <w:highlight w:val="yellow"/>
                <w:lang w:eastAsia="zh-CN"/>
              </w:rPr>
              <w:t>【】</w:t>
            </w:r>
          </w:p>
        </w:tc>
      </w:tr>
    </w:tbl>
    <w:p w14:paraId="0726CBA1">
      <w:pPr>
        <w:autoSpaceDE w:val="0"/>
        <w:autoSpaceDN w:val="0"/>
        <w:adjustRightInd w:val="0"/>
        <w:snapToGrid w:val="0"/>
        <w:spacing w:line="360" w:lineRule="auto"/>
        <w:jc w:val="left"/>
        <w:rPr>
          <w:rFonts w:ascii="仿宋_GB2312" w:hAnsi="宋体" w:cs="宋体"/>
          <w:bCs/>
          <w:kern w:val="0"/>
          <w:szCs w:val="24"/>
        </w:rPr>
      </w:pPr>
    </w:p>
    <w:p w14:paraId="6940862E">
      <w:pPr>
        <w:autoSpaceDE w:val="0"/>
        <w:autoSpaceDN w:val="0"/>
        <w:adjustRightInd w:val="0"/>
        <w:snapToGrid w:val="0"/>
        <w:spacing w:line="360" w:lineRule="auto"/>
        <w:ind w:firstLine="420" w:firstLineChars="200"/>
        <w:jc w:val="left"/>
        <w:rPr>
          <w:rFonts w:ascii="仿宋_GB2312" w:hAnsi="宋体" w:cs="宋体"/>
          <w:bCs/>
          <w:kern w:val="0"/>
          <w:szCs w:val="24"/>
        </w:rPr>
      </w:pPr>
      <w:r>
        <w:rPr>
          <w:rFonts w:hint="eastAsia" w:ascii="仿宋_GB2312" w:hAnsi="宋体" w:cs="宋体"/>
          <w:bCs/>
          <w:kern w:val="0"/>
          <w:szCs w:val="24"/>
        </w:rPr>
        <w:t>管理人将在产品成立后一个月内使资产配置比例符合上述规定。</w:t>
      </w:r>
    </w:p>
    <w:p w14:paraId="6E8E1D1A">
      <w:pPr>
        <w:tabs>
          <w:tab w:val="left" w:pos="3119"/>
        </w:tabs>
        <w:autoSpaceDE w:val="0"/>
        <w:autoSpaceDN w:val="0"/>
        <w:spacing w:line="360" w:lineRule="auto"/>
        <w:ind w:right="31" w:rightChars="15" w:firstLine="420" w:firstLineChars="200"/>
        <w:rPr>
          <w:rFonts w:ascii="仿宋_GB2312" w:hAnsi="宋体" w:cs="宋体"/>
          <w:bCs/>
          <w:kern w:val="0"/>
          <w:szCs w:val="24"/>
        </w:rPr>
      </w:pPr>
      <w:r>
        <w:rPr>
          <w:rFonts w:hint="eastAsia" w:ascii="仿宋_GB2312" w:hAnsi="宋体" w:cs="宋体"/>
          <w:bCs/>
          <w:kern w:val="0"/>
          <w:szCs w:val="24"/>
        </w:rPr>
        <w:t>本产品存续期内非</w:t>
      </w:r>
      <w:r>
        <w:rPr>
          <w:rFonts w:ascii="仿宋_GB2312" w:hAnsi="宋体" w:cs="宋体"/>
          <w:bCs/>
          <w:kern w:val="0"/>
          <w:szCs w:val="24"/>
        </w:rPr>
        <w:t>因</w:t>
      </w:r>
      <w:r>
        <w:rPr>
          <w:rFonts w:hint="eastAsia" w:ascii="仿宋_GB2312" w:hAnsi="宋体" w:cs="宋体"/>
          <w:bCs/>
          <w:kern w:val="0"/>
          <w:szCs w:val="24"/>
        </w:rPr>
        <w:t>产品</w:t>
      </w:r>
      <w:r>
        <w:rPr>
          <w:rFonts w:ascii="仿宋_GB2312" w:hAnsi="宋体" w:cs="宋体"/>
          <w:bCs/>
          <w:kern w:val="0"/>
          <w:szCs w:val="24"/>
        </w:rPr>
        <w:t>管理人主</w:t>
      </w:r>
      <w:r>
        <w:rPr>
          <w:rFonts w:hint="eastAsia" w:ascii="仿宋_GB2312" w:hAnsi="宋体" w:cs="宋体"/>
          <w:bCs/>
          <w:kern w:val="0"/>
          <w:szCs w:val="24"/>
        </w:rPr>
        <w:t>观</w:t>
      </w:r>
      <w:r>
        <w:rPr>
          <w:rFonts w:ascii="仿宋_GB2312" w:hAnsi="宋体" w:cs="宋体"/>
          <w:bCs/>
          <w:kern w:val="0"/>
          <w:szCs w:val="24"/>
        </w:rPr>
        <w:t>因素</w:t>
      </w:r>
      <w:r>
        <w:rPr>
          <w:rFonts w:hint="eastAsia" w:ascii="仿宋_GB2312" w:hAnsi="宋体" w:cs="宋体"/>
          <w:bCs/>
          <w:kern w:val="0"/>
          <w:szCs w:val="24"/>
        </w:rPr>
        <w:t>导致产品投资突破上述比例限制，管理人将尽合理努力，在流动性受限资产可出售、可转让或者恢复交易的15个交易日内调整至规定区间。</w:t>
      </w:r>
    </w:p>
    <w:p w14:paraId="0C6BEB87">
      <w:pPr>
        <w:pStyle w:val="3"/>
        <w:numPr>
          <w:ilvl w:val="1"/>
          <w:numId w:val="12"/>
        </w:numPr>
        <w:ind w:firstLine="482"/>
      </w:pPr>
      <w:r>
        <w:rPr>
          <w:rFonts w:hint="eastAsia"/>
        </w:rPr>
        <w:t>投资</w:t>
      </w:r>
      <w:r>
        <w:t>限制</w:t>
      </w:r>
    </w:p>
    <w:p w14:paraId="502AF892">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none"/>
        </w:rPr>
        <w:t>投资限制中列示的资产品种不代表管理人的实际投向，本理财计划投资范围以“投资范围”章节表述为准。</w:t>
      </w:r>
    </w:p>
    <w:p w14:paraId="3A5EDA0D">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1．投资集中度限制</w:t>
      </w:r>
    </w:p>
    <w:p w14:paraId="1EDE5FE3">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（1）本理财计划持有单只证券或单只公募证券投资基金的市值不得超过该理财计划净资产的10%。</w:t>
      </w:r>
    </w:p>
    <w:p w14:paraId="1CD17D7C">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（2）管理人发行的全部公募理财计划持有单只证券或单只公募证券投资基金的市值，不得超过该证券市值或该公募证券投资基金市值的30%。</w:t>
      </w:r>
    </w:p>
    <w:p w14:paraId="531A132A">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（3）管理人发行的全部理财计划持有单一上市公司发行的股票，不得超过该上市公司可流通股票的30%。</w:t>
      </w:r>
    </w:p>
    <w:p w14:paraId="3723DA00">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（4）管理人发行的全部开放式公募理财计划投资单一上市公司发行的股票,不得超过该上市公司可流通股票的15%。</w:t>
      </w:r>
    </w:p>
    <w:p w14:paraId="35A54C39">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国务院银行业监督管理机构另有规定的除外。</w:t>
      </w:r>
    </w:p>
    <w:p w14:paraId="2075ABFB">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14:paraId="678400CF">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2．投资期限限制</w:t>
      </w:r>
    </w:p>
    <w:p w14:paraId="0855C47B">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本理财计划投资的非标准化债权类资产到期日不得晚于理财计划最近一次开放日。</w:t>
      </w:r>
    </w:p>
    <w:p w14:paraId="0FE00177">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lang w:val="en-US" w:eastAsia="zh-CN"/>
        </w:rPr>
        <w:t>3</w:t>
      </w:r>
      <w:r>
        <w:rPr>
          <w:rFonts w:hint="eastAsia" w:ascii="仿宋_GB2312" w:hAnsi="宋体" w:cs="宋体"/>
          <w:bCs/>
          <w:color w:val="auto"/>
          <w:kern w:val="0"/>
          <w:szCs w:val="24"/>
          <w:highlight w:val="none"/>
        </w:rPr>
        <w:t>．流动性限制</w:t>
      </w:r>
    </w:p>
    <w:p w14:paraId="4D140A2D">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（1）本理财计划直接投资于流动性受限资产的市值在开放日不得超过该理财计划资产净值的15%。</w:t>
      </w:r>
    </w:p>
    <w:p w14:paraId="77520349">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（2）本理财计划还应满足以下限制</w:t>
      </w:r>
      <w:r>
        <w:rPr>
          <w:rFonts w:hint="eastAsia" w:ascii="仿宋_GB2312" w:hAnsi="宋体" w:cs="宋体"/>
          <w:bCs/>
          <w:color w:val="auto"/>
          <w:kern w:val="0"/>
          <w:szCs w:val="24"/>
          <w:highlight w:val="yellow"/>
        </w:rPr>
        <w:t>【】</w:t>
      </w:r>
    </w:p>
    <w:p w14:paraId="7C91C020">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a. 本理财计划应当持有不低于该理财计划资产净值5%的现金或者到期日在一年以内的国债、中央银行票据和政策性金融债券。</w:t>
      </w:r>
    </w:p>
    <w:p w14:paraId="4A468D34">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b. 本理财计划应当在开放日及开放日前7个工作日内持有不低于该理财计划资产净值5%的现金或者到期日在一年以内的国债、中央银行票据和政策性金融债券。</w:t>
      </w:r>
    </w:p>
    <w:p w14:paraId="3CCA45B9">
      <w:pPr>
        <w:tabs>
          <w:tab w:val="left" w:pos="3119"/>
        </w:tabs>
        <w:autoSpaceDE w:val="0"/>
        <w:autoSpaceDN w:val="0"/>
        <w:adjustRightInd w:val="0"/>
        <w:spacing w:line="360" w:lineRule="auto"/>
        <w:ind w:right="31" w:rightChars="15" w:firstLine="422" w:firstLineChars="200"/>
        <w:contextualSpacing/>
        <w:rPr>
          <w:rFonts w:hint="eastAsia" w:ascii="仿宋_GB2312" w:hAnsi="宋体" w:cs="宋体"/>
          <w:b/>
          <w:bCs w:val="0"/>
          <w:color w:val="auto"/>
          <w:kern w:val="0"/>
          <w:szCs w:val="24"/>
          <w:highlight w:val="none"/>
        </w:rPr>
      </w:pPr>
      <w:r>
        <w:rPr>
          <w:rFonts w:hint="eastAsia" w:ascii="仿宋_GB2312" w:hAnsi="宋体" w:cs="宋体"/>
          <w:b/>
          <w:bCs w:val="0"/>
          <w:color w:val="auto"/>
          <w:kern w:val="0"/>
          <w:szCs w:val="24"/>
          <w:highlight w:val="none"/>
        </w:rPr>
        <w:t>c. 本理财计划</w:t>
      </w:r>
      <w:r>
        <w:rPr>
          <w:rFonts w:hint="eastAsia" w:ascii="仿宋_GB2312" w:hAnsi="宋体" w:cs="宋体"/>
          <w:b/>
          <w:bCs w:val="0"/>
          <w:color w:val="auto"/>
          <w:kern w:val="0"/>
          <w:szCs w:val="24"/>
          <w:highlight w:val="none"/>
          <w:lang w:eastAsia="zh-CN"/>
        </w:rPr>
        <w:t>投资</w:t>
      </w:r>
      <w:r>
        <w:rPr>
          <w:rFonts w:hint="eastAsia" w:ascii="仿宋_GB2312" w:hAnsi="宋体" w:cs="宋体"/>
          <w:b/>
          <w:bCs w:val="0"/>
          <w:color w:val="auto"/>
          <w:kern w:val="0"/>
          <w:szCs w:val="24"/>
          <w:highlight w:val="none"/>
        </w:rPr>
        <w:t>不存在活跃交易市场，并且需要采用估值技术确定公允价值的资产比例</w:t>
      </w:r>
      <w:r>
        <w:rPr>
          <w:rFonts w:hint="eastAsia" w:ascii="仿宋_GB2312" w:hAnsi="宋体" w:cs="宋体"/>
          <w:b/>
          <w:bCs w:val="0"/>
          <w:color w:val="auto"/>
          <w:kern w:val="0"/>
          <w:szCs w:val="24"/>
          <w:highlight w:val="none"/>
          <w:lang w:eastAsia="zh-CN"/>
        </w:rPr>
        <w:t>可达到</w:t>
      </w:r>
      <w:r>
        <w:rPr>
          <w:rFonts w:hint="eastAsia" w:ascii="仿宋_GB2312" w:hAnsi="宋体" w:cs="宋体"/>
          <w:b/>
          <w:bCs w:val="0"/>
          <w:color w:val="auto"/>
          <w:kern w:val="0"/>
          <w:szCs w:val="24"/>
          <w:highlight w:val="none"/>
        </w:rPr>
        <w:t>理财产品净资产50%以上。</w:t>
      </w:r>
    </w:p>
    <w:p w14:paraId="080F024A">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（3）在开放日前一工作日内，本理财计划7个工作日可变现资产的可变现价值应当不低于该理财计划资产净值的10%。</w:t>
      </w:r>
    </w:p>
    <w:p w14:paraId="737CEF0D">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lang w:val="en-US" w:eastAsia="zh-CN"/>
        </w:rPr>
        <w:t>4</w:t>
      </w:r>
      <w:r>
        <w:rPr>
          <w:rFonts w:hint="eastAsia" w:ascii="仿宋_GB2312" w:hAnsi="宋体" w:cs="宋体"/>
          <w:bCs/>
          <w:color w:val="auto"/>
          <w:kern w:val="0"/>
          <w:szCs w:val="24"/>
          <w:highlight w:val="none"/>
        </w:rPr>
        <w:t>．其他投资限制</w:t>
      </w:r>
    </w:p>
    <w:p w14:paraId="23588F0A">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本理财计划不得直接投资于信贷资产，不得直接或间接投资于浙商银行信贷资产，不得直接或间接投资于浙商银行或其他银行业金融机构发行的理财产品，不得直接或间接投资于浙商银行发行的次级档信贷资产支持证券，不得直接或间接投资于未上市公司股权及其受（收）益权。</w:t>
      </w:r>
    </w:p>
    <w:p w14:paraId="712E3954">
      <w:pPr>
        <w:tabs>
          <w:tab w:val="left" w:pos="3119"/>
        </w:tabs>
        <w:autoSpaceDE w:val="0"/>
        <w:autoSpaceDN w:val="0"/>
        <w:adjustRightInd w:val="0"/>
        <w:spacing w:line="360" w:lineRule="auto"/>
        <w:ind w:right="31" w:rightChars="15" w:firstLine="420" w:firstLineChars="200"/>
        <w:contextualSpacing/>
        <w:rPr>
          <w:rFonts w:hint="eastAsia" w:ascii="仿宋_GB2312" w:hAnsi="宋体" w:eastAsia="仿宋_GB2312" w:cs="宋体"/>
          <w:bCs/>
          <w:color w:val="FF0000"/>
          <w:kern w:val="0"/>
          <w:szCs w:val="24"/>
          <w:highlight w:val="none"/>
          <w:lang w:eastAsia="zh-CN"/>
        </w:rPr>
      </w:pPr>
      <w:r>
        <w:rPr>
          <w:rFonts w:hint="eastAsia" w:ascii="仿宋_GB2312" w:hAnsi="宋体" w:cs="宋体"/>
          <w:bCs/>
          <w:color w:val="auto"/>
          <w:kern w:val="0"/>
          <w:szCs w:val="24"/>
          <w:highlight w:val="none"/>
        </w:rPr>
        <w:t>以上限制，如监管有最新规定的，将参照监管规定调整。</w:t>
      </w:r>
      <w:r>
        <w:rPr>
          <w:rFonts w:hint="eastAsia" w:ascii="仿宋_GB2312" w:hAnsi="宋体" w:cs="宋体"/>
          <w:bCs/>
          <w:color w:val="auto"/>
          <w:kern w:val="0"/>
          <w:szCs w:val="24"/>
          <w:highlight w:val="yellow"/>
          <w:lang w:eastAsia="zh-CN"/>
        </w:rPr>
        <w:t>】</w:t>
      </w:r>
    </w:p>
    <w:p w14:paraId="5B1F50AF">
      <w:pPr>
        <w:tabs>
          <w:tab w:val="left" w:pos="3119"/>
        </w:tabs>
        <w:autoSpaceDE w:val="0"/>
        <w:autoSpaceDN w:val="0"/>
        <w:adjustRightInd w:val="0"/>
        <w:spacing w:line="360" w:lineRule="auto"/>
        <w:ind w:right="31" w:rightChars="15" w:firstLine="420" w:firstLineChars="200"/>
        <w:contextualSpacing/>
        <w:rPr>
          <w:rFonts w:ascii="仿宋_GB2312" w:hAnsi="宋体" w:cs="宋体"/>
          <w:bCs/>
          <w:color w:val="FF0000"/>
          <w:kern w:val="0"/>
          <w:szCs w:val="24"/>
        </w:rPr>
      </w:pPr>
      <w:r>
        <w:rPr>
          <w:rFonts w:hint="eastAsia" w:ascii="仿宋_GB2312" w:hAnsi="宋体" w:cs="宋体"/>
          <w:bCs/>
          <w:color w:val="000000" w:themeColor="text1"/>
          <w:kern w:val="0"/>
          <w:szCs w:val="24"/>
          <w14:textFill>
            <w14:solidFill>
              <w14:schemeClr w14:val="tx1"/>
            </w14:solidFill>
          </w14:textFill>
        </w:rPr>
        <w:t>本产品存续期内非因产品管理人主观因素导致产品投资突破上述限制的，管理人将尽合理努力，在</w:t>
      </w:r>
      <w:r>
        <w:rPr>
          <w:rFonts w:ascii="仿宋_GB2312" w:hAnsi="宋体" w:cs="宋体"/>
          <w:bCs/>
          <w:color w:val="000000" w:themeColor="text1"/>
          <w:kern w:val="0"/>
          <w:szCs w:val="24"/>
          <w14:textFill>
            <w14:solidFill>
              <w14:schemeClr w14:val="tx1"/>
            </w14:solidFill>
          </w14:textFill>
        </w:rPr>
        <w:t>15个交易日内调整至符合要求。</w:t>
      </w:r>
    </w:p>
    <w:p w14:paraId="27D0155A">
      <w:pPr>
        <w:pStyle w:val="3"/>
        <w:numPr>
          <w:ilvl w:val="1"/>
          <w:numId w:val="12"/>
        </w:numPr>
        <w:ind w:firstLine="482"/>
      </w:pPr>
      <w:r>
        <w:rPr>
          <w:rFonts w:hint="eastAsia"/>
        </w:rPr>
        <w:t>投资范围调整</w:t>
      </w:r>
    </w:p>
    <w:p w14:paraId="2A1B4754">
      <w:pPr>
        <w:tabs>
          <w:tab w:val="left" w:pos="3119"/>
        </w:tabs>
        <w:autoSpaceDE w:val="0"/>
        <w:autoSpaceDN w:val="0"/>
        <w:adjustRightInd w:val="0"/>
        <w:snapToGrid w:val="0"/>
        <w:spacing w:line="360" w:lineRule="auto"/>
        <w:ind w:firstLine="422" w:firstLineChars="200"/>
        <w:rPr>
          <w:rFonts w:ascii="仿宋_GB2312" w:hAnsi="宋体" w:cs="宋体"/>
          <w:kern w:val="0"/>
          <w:szCs w:val="24"/>
        </w:rPr>
      </w:pPr>
      <w:r>
        <w:rPr>
          <w:rFonts w:hint="eastAsia" w:ascii="仿宋_GB2312" w:hAnsi="宋体" w:cs="宋体"/>
          <w:b/>
          <w:bCs/>
          <w:kern w:val="0"/>
          <w:szCs w:val="24"/>
        </w:rPr>
        <w:t>在不违反法律、法规、规章和监管规定的强制性规范的前提下，管理人有权根据市场情况，对本产品的投资范围、投资资产种类或投资比例等进行调整，在调整前将通过本产品说明书约定的信息披露渠道进行信息披露。</w:t>
      </w:r>
      <w:r>
        <w:rPr>
          <w:rFonts w:hint="eastAsia" w:ascii="仿宋_GB2312" w:hAnsi="宋体" w:cs="宋体"/>
          <w:kern w:val="0"/>
          <w:szCs w:val="24"/>
        </w:rPr>
        <w:t>上述情况下管理人可能开放赎回，具体以信息披露内容为准。投资者不同意信息披露内容的，可在信息披露中约定的时间内赎回本产品。如投资者未在上述约定时间内赎回本产品，则视为投资者对上述调整无异议并同意继续持有本产品。除高风险类型的理财产品超出比例范围投资较低风险资产的情况外，管理人应提前取得投资者书面同意，并履行登记备案等法律法规以及金融监督管理部门规定的程序。</w:t>
      </w:r>
    </w:p>
    <w:p w14:paraId="28EE552B">
      <w:pPr>
        <w:pStyle w:val="3"/>
        <w:numPr>
          <w:ilvl w:val="1"/>
          <w:numId w:val="12"/>
        </w:numPr>
        <w:autoSpaceDE w:val="0"/>
        <w:autoSpaceDN w:val="0"/>
        <w:adjustRightInd w:val="0"/>
        <w:snapToGrid w:val="0"/>
        <w:ind w:right="31" w:rightChars="15" w:firstLine="482"/>
      </w:pPr>
      <w:r>
        <w:rPr>
          <w:rFonts w:hint="eastAsia"/>
        </w:rPr>
        <w:t>投资策略</w:t>
      </w:r>
    </w:p>
    <w:p w14:paraId="26F02876">
      <w:pPr>
        <w:tabs>
          <w:tab w:val="left" w:pos="3119"/>
        </w:tabs>
        <w:autoSpaceDE w:val="0"/>
        <w:autoSpaceDN w:val="0"/>
        <w:adjustRightInd w:val="0"/>
        <w:snapToGrid w:val="0"/>
        <w:spacing w:line="360" w:lineRule="auto"/>
        <w:ind w:firstLine="420" w:firstLineChars="200"/>
        <w:rPr>
          <w:rFonts w:hint="eastAsia"/>
          <w:highlight w:val="yellow"/>
        </w:rPr>
      </w:pPr>
      <w:r>
        <w:rPr>
          <w:rFonts w:hint="eastAsia"/>
          <w:highlight w:val="yellow"/>
        </w:rPr>
        <w:t>【本理财产品本着稳健投资的理念，通过对宏观经济的研究，在较低风险资产间进行合理配置，在有效控制信用风险的基础上尽可能提高投资组合收益。理财产品主要投资于债权类资产，含债券等标准化债权类资产及货币基金、存款等高流动性金融工具，同时根据宏观经济、货币政策和信用环境等因素，制定多种投资策略，并适当运用金融衍生工具对冲市场波动风险。在投资组合构建和调整的过程中，根据投资品种的变化，如收益率、流动性状况变化或品种到期等，不定期的对组合进行优化调整。</w:t>
      </w:r>
    </w:p>
    <w:p w14:paraId="3D88D07B">
      <w:pPr>
        <w:tabs>
          <w:tab w:val="left" w:pos="3119"/>
        </w:tabs>
        <w:autoSpaceDE w:val="0"/>
        <w:autoSpaceDN w:val="0"/>
        <w:adjustRightInd w:val="0"/>
        <w:snapToGrid w:val="0"/>
        <w:spacing w:line="360" w:lineRule="auto"/>
        <w:ind w:firstLine="420" w:firstLineChars="200"/>
        <w:rPr>
          <w:rFonts w:hint="eastAsia" w:ascii="仿宋_GB2312" w:hAnsi="仿宋_GB2312" w:eastAsia="仿宋_GB2312" w:cs="仿宋_GB2312"/>
          <w:highlight w:val="yellow"/>
        </w:rPr>
      </w:pPr>
      <w:r>
        <w:rPr>
          <w:rFonts w:hint="eastAsia"/>
          <w:highlight w:val="yellow"/>
        </w:rPr>
        <w:t>本产品可在符合监管规定的</w:t>
      </w:r>
      <w:r>
        <w:rPr>
          <w:rFonts w:hint="eastAsia" w:ascii="仿宋_GB2312" w:hAnsi="仿宋_GB2312" w:eastAsia="仿宋_GB2312" w:cs="仿宋_GB2312"/>
          <w:highlight w:val="yellow"/>
        </w:rPr>
        <w:t>前提下适当运用杠杆原理，通过回购操作，增强投资组合的收益水平，但本理财产品总资产不超过净资产的【</w:t>
      </w:r>
      <w:r>
        <w:rPr>
          <w:rFonts w:hint="eastAsia" w:ascii="仿宋_GB2312" w:hAnsi="仿宋_GB2312" w:eastAsia="仿宋_GB2312" w:cs="仿宋_GB2312"/>
          <w:highlight w:val="yellow"/>
          <w:lang w:val="en-US" w:eastAsia="zh-CN"/>
        </w:rPr>
        <w:t>140%</w:t>
      </w:r>
      <w:r>
        <w:rPr>
          <w:rFonts w:hint="eastAsia" w:ascii="仿宋_GB2312" w:hAnsi="仿宋_GB2312" w:eastAsia="仿宋_GB2312" w:cs="仿宋_GB2312"/>
          <w:highlight w:val="yellow"/>
        </w:rPr>
        <w:t>】</w:t>
      </w:r>
      <w:r>
        <w:rPr>
          <w:rFonts w:hint="eastAsia" w:ascii="仿宋_GB2312" w:hAnsi="仿宋_GB2312" w:cs="仿宋_GB2312"/>
          <w:highlight w:val="yellow"/>
          <w:lang w:eastAsia="zh-CN"/>
        </w:rPr>
        <w:t>】</w:t>
      </w:r>
      <w:r>
        <w:rPr>
          <w:rFonts w:hint="eastAsia" w:ascii="仿宋_GB2312" w:hAnsi="仿宋_GB2312" w:eastAsia="仿宋_GB2312" w:cs="仿宋_GB2312"/>
          <w:highlight w:val="yellow"/>
        </w:rPr>
        <w:t>。</w:t>
      </w:r>
    </w:p>
    <w:p w14:paraId="47E9BC9E">
      <w:pPr>
        <w:pStyle w:val="3"/>
        <w:numPr>
          <w:ilvl w:val="1"/>
          <w:numId w:val="12"/>
        </w:numPr>
        <w:ind w:firstLine="482"/>
      </w:pPr>
      <w:r>
        <w:rPr>
          <w:rFonts w:hint="eastAsia"/>
        </w:rPr>
        <w:t>投资</w:t>
      </w:r>
      <w:r>
        <w:t>合作机构</w:t>
      </w:r>
    </w:p>
    <w:p w14:paraId="399E0B20">
      <w:pPr>
        <w:tabs>
          <w:tab w:val="left" w:pos="3119"/>
        </w:tabs>
        <w:autoSpaceDE w:val="0"/>
        <w:autoSpaceDN w:val="0"/>
        <w:adjustRightInd w:val="0"/>
        <w:snapToGrid w:val="0"/>
        <w:spacing w:line="360" w:lineRule="auto"/>
        <w:ind w:right="31" w:rightChars="15" w:firstLine="420" w:firstLineChars="200"/>
        <w:rPr>
          <w:rFonts w:ascii="仿宋_GB2312" w:hAnsi="宋体" w:cs="宋体"/>
          <w:bCs/>
          <w:kern w:val="0"/>
          <w:szCs w:val="24"/>
        </w:rPr>
      </w:pPr>
      <w:r>
        <w:rPr>
          <w:rFonts w:hint="eastAsia" w:ascii="仿宋_GB2312" w:hAnsi="宋体" w:cs="宋体"/>
          <w:bCs/>
          <w:kern w:val="0"/>
          <w:szCs w:val="24"/>
        </w:rPr>
        <w:t>投资合作机构包括但不限于理财产品所投资资产管理产品的发行机构、根据合同约定从事理财产品受托投资的机构、与理财产品投资管理相关的投资顾问等。本理财产品的投资合作机构主要职责为对受托资金进行投资和管理，根据合同约定从事受托投资或提供投资顾问等服务，具体职责以管理人与投资合作机构签署的合同为准。</w:t>
      </w:r>
    </w:p>
    <w:p w14:paraId="6F399C29">
      <w:pPr>
        <w:tabs>
          <w:tab w:val="left" w:pos="3119"/>
        </w:tabs>
        <w:autoSpaceDE w:val="0"/>
        <w:autoSpaceDN w:val="0"/>
        <w:adjustRightInd w:val="0"/>
        <w:snapToGrid w:val="0"/>
        <w:spacing w:line="360" w:lineRule="auto"/>
        <w:ind w:right="31" w:rightChars="15" w:firstLine="420" w:firstLineChars="200"/>
        <w:rPr>
          <w:rFonts w:ascii="仿宋_GB2312" w:hAnsi="宋体" w:cs="宋体"/>
          <w:bCs/>
          <w:kern w:val="0"/>
          <w:szCs w:val="24"/>
          <w:highlight w:val="none"/>
        </w:rPr>
      </w:pPr>
      <w:r>
        <w:rPr>
          <w:rFonts w:hint="eastAsia" w:ascii="仿宋_GB2312" w:hAnsi="宋体" w:cs="宋体"/>
          <w:bCs/>
          <w:kern w:val="0"/>
          <w:szCs w:val="24"/>
        </w:rPr>
        <w:t>本理财产品的投资合作机构均为具有专业资质并受国家金融监督管理总局监管的金融机构或国务院银行业监督管理机构认可的其他机构。</w:t>
      </w:r>
      <w:r>
        <w:rPr>
          <w:rFonts w:hint="eastAsia" w:ascii="仿宋_GB2312" w:hAnsi="宋体" w:cs="宋体"/>
          <w:bCs/>
          <w:kern w:val="0"/>
          <w:szCs w:val="24"/>
          <w:highlight w:val="none"/>
        </w:rPr>
        <w:t>本理财产品成立时暂无特定投资合作机构，具体以后续信息披露为准。</w:t>
      </w:r>
    </w:p>
    <w:p w14:paraId="4CD2EE22">
      <w:pPr>
        <w:pStyle w:val="2"/>
        <w:numPr>
          <w:ilvl w:val="255"/>
          <w:numId w:val="0"/>
        </w:numPr>
        <w:jc w:val="both"/>
      </w:pPr>
      <w:r>
        <w:rPr>
          <w:rFonts w:hint="eastAsia" w:ascii="仿宋_GB2312" w:hAnsi="宋体" w:eastAsia="仿宋_GB2312" w:cs="宋体"/>
          <w:bCs/>
          <w:kern w:val="0"/>
          <w:sz w:val="24"/>
          <w:szCs w:val="24"/>
        </w:rPr>
        <w:br w:type="page"/>
      </w:r>
    </w:p>
    <w:p w14:paraId="4A12D262">
      <w:pPr>
        <w:pStyle w:val="2"/>
        <w:numPr>
          <w:ilvl w:val="0"/>
          <w:numId w:val="12"/>
        </w:numPr>
        <w:tabs>
          <w:tab w:val="left" w:pos="3119"/>
          <w:tab w:val="clear" w:pos="0"/>
        </w:tabs>
        <w:autoSpaceDE w:val="0"/>
        <w:autoSpaceDN w:val="0"/>
        <w:adjustRightInd w:val="0"/>
        <w:spacing w:before="240"/>
        <w:ind w:right="31" w:rightChars="15" w:firstLine="560"/>
        <w:contextualSpacing/>
      </w:pPr>
      <w:r>
        <w:rPr>
          <w:rFonts w:hint="eastAsia"/>
        </w:rPr>
        <w:t>理财产品的托管</w:t>
      </w:r>
    </w:p>
    <w:p w14:paraId="6869B30D">
      <w:pPr>
        <w:tabs>
          <w:tab w:val="left" w:pos="3119"/>
        </w:tabs>
        <w:autoSpaceDE w:val="0"/>
        <w:autoSpaceDN w:val="0"/>
        <w:adjustRightInd w:val="0"/>
        <w:spacing w:before="240" w:line="360" w:lineRule="auto"/>
        <w:ind w:right="31" w:rightChars="15" w:firstLine="422" w:firstLineChars="200"/>
        <w:contextualSpacing/>
        <w:rPr>
          <w:rFonts w:ascii="仿宋_GB2312" w:hAnsi="宋体" w:cs="宋体"/>
          <w:bCs/>
          <w:color w:val="auto"/>
          <w:kern w:val="0"/>
          <w:szCs w:val="24"/>
          <w:highlight w:val="none"/>
          <w:u w:val="none"/>
        </w:rPr>
      </w:pPr>
      <w:r>
        <w:rPr>
          <w:rFonts w:hint="eastAsia" w:ascii="仿宋_GB2312" w:hAnsi="宋体" w:cs="宋体"/>
          <w:b/>
          <w:color w:val="auto"/>
          <w:kern w:val="0"/>
          <w:szCs w:val="24"/>
          <w:highlight w:val="none"/>
          <w:u w:val="none"/>
        </w:rPr>
        <w:t>本理财产品托管人为</w:t>
      </w:r>
      <w:r>
        <w:rPr>
          <w:rFonts w:hint="eastAsia" w:ascii="仿宋_GB2312" w:hAnsi="宋体" w:cs="宋体"/>
          <w:b/>
          <w:kern w:val="0"/>
          <w:szCs w:val="24"/>
          <w:highlight w:val="yellow"/>
          <w:lang w:eastAsia="zh-CN"/>
        </w:rPr>
        <w:t>【】</w:t>
      </w:r>
      <w:r>
        <w:rPr>
          <w:rFonts w:hint="eastAsia" w:ascii="仿宋_GB2312" w:hAnsi="宋体" w:cs="宋体"/>
          <w:b/>
          <w:color w:val="auto"/>
          <w:kern w:val="0"/>
          <w:szCs w:val="24"/>
          <w:highlight w:val="none"/>
          <w:u w:val="none"/>
        </w:rPr>
        <w:t>。托管</w:t>
      </w:r>
      <w:r>
        <w:rPr>
          <w:rFonts w:hint="eastAsia" w:ascii="仿宋_GB2312" w:hAnsi="宋体" w:cs="宋体"/>
          <w:b/>
          <w:bCs w:val="0"/>
          <w:color w:val="auto"/>
          <w:kern w:val="0"/>
          <w:szCs w:val="24"/>
          <w:highlight w:val="none"/>
          <w:u w:val="none"/>
        </w:rPr>
        <w:t>人</w:t>
      </w:r>
      <w:r>
        <w:rPr>
          <w:rFonts w:hint="eastAsia" w:ascii="仿宋_GB2312" w:hAnsi="宋体" w:cs="宋体"/>
          <w:b/>
          <w:kern w:val="0"/>
          <w:szCs w:val="24"/>
          <w:highlight w:val="yellow"/>
          <w:lang w:eastAsia="zh-CN"/>
        </w:rPr>
        <w:t>【</w:t>
      </w:r>
      <w:r>
        <w:rPr>
          <w:rFonts w:hint="eastAsia" w:ascii="仿宋_GB2312" w:hAnsi="宋体" w:cs="宋体"/>
          <w:b/>
          <w:kern w:val="0"/>
          <w:szCs w:val="24"/>
          <w:highlight w:val="none"/>
        </w:rPr>
        <w:t>是</w:t>
      </w:r>
      <w:r>
        <w:rPr>
          <w:rFonts w:hint="eastAsia" w:ascii="仿宋_GB2312" w:hAnsi="宋体" w:cs="宋体"/>
          <w:b/>
          <w:kern w:val="0"/>
          <w:szCs w:val="24"/>
          <w:highlight w:val="none"/>
          <w:lang w:val="en-US" w:eastAsia="zh-CN"/>
        </w:rPr>
        <w:t>/</w:t>
      </w:r>
      <w:r>
        <w:rPr>
          <w:rFonts w:hint="eastAsia" w:ascii="仿宋_GB2312" w:hAnsi="宋体"/>
          <w:b/>
          <w:szCs w:val="24"/>
          <w:highlight w:val="none"/>
        </w:rPr>
        <w:t>非</w:t>
      </w:r>
      <w:r>
        <w:rPr>
          <w:rFonts w:hint="eastAsia" w:ascii="仿宋_GB2312" w:hAnsi="宋体" w:cs="宋体"/>
          <w:b/>
          <w:kern w:val="0"/>
          <w:szCs w:val="24"/>
          <w:highlight w:val="yellow"/>
          <w:lang w:eastAsia="zh-CN"/>
        </w:rPr>
        <w:t>】</w:t>
      </w:r>
      <w:r>
        <w:rPr>
          <w:rFonts w:hint="eastAsia" w:ascii="仿宋_GB2312" w:hAnsi="宋体" w:cs="宋体"/>
          <w:b/>
          <w:bCs w:val="0"/>
          <w:color w:val="auto"/>
          <w:kern w:val="0"/>
          <w:szCs w:val="24"/>
          <w:highlight w:val="none"/>
          <w:u w:val="none"/>
        </w:rPr>
        <w:t>产品管理人</w:t>
      </w:r>
      <w:r>
        <w:rPr>
          <w:rFonts w:hint="eastAsia" w:ascii="仿宋_GB2312" w:hAnsi="宋体" w:cs="宋体"/>
          <w:b/>
          <w:color w:val="auto"/>
          <w:kern w:val="0"/>
          <w:szCs w:val="24"/>
          <w:highlight w:val="none"/>
          <w:u w:val="none"/>
        </w:rPr>
        <w:t>的关联方。</w:t>
      </w:r>
    </w:p>
    <w:p w14:paraId="27671488">
      <w:pPr>
        <w:tabs>
          <w:tab w:val="left" w:pos="3119"/>
        </w:tabs>
        <w:autoSpaceDE w:val="0"/>
        <w:autoSpaceDN w:val="0"/>
        <w:adjustRightInd w:val="0"/>
        <w:spacing w:before="240" w:line="360" w:lineRule="auto"/>
        <w:ind w:right="31" w:rightChars="15" w:firstLine="422" w:firstLineChars="200"/>
        <w:contextualSpacing/>
        <w:rPr>
          <w:rFonts w:ascii="仿宋_GB2312" w:hAnsi="宋体" w:cs="宋体"/>
          <w:bCs/>
          <w:kern w:val="0"/>
          <w:szCs w:val="24"/>
        </w:rPr>
      </w:pPr>
      <w:r>
        <w:rPr>
          <w:rFonts w:hint="eastAsia" w:ascii="仿宋_GB2312" w:hAnsi="宋体" w:cs="宋体"/>
          <w:b/>
          <w:kern w:val="0"/>
          <w:szCs w:val="24"/>
          <w:highlight w:val="yellow"/>
          <w:lang w:eastAsia="zh-CN"/>
        </w:rPr>
        <w:t>【】</w:t>
      </w:r>
      <w:r>
        <w:rPr>
          <w:rFonts w:hint="eastAsia" w:ascii="仿宋_GB2312" w:hAnsi="宋体" w:cs="宋体"/>
          <w:bCs/>
          <w:kern w:val="0"/>
          <w:szCs w:val="24"/>
          <w:highlight w:val="none"/>
        </w:rPr>
        <w:t>具备监管</w:t>
      </w:r>
      <w:r>
        <w:rPr>
          <w:rFonts w:hint="eastAsia" w:ascii="仿宋_GB2312" w:hAnsi="宋体" w:cs="宋体"/>
          <w:bCs/>
          <w:kern w:val="0"/>
          <w:szCs w:val="24"/>
        </w:rPr>
        <w:t>机构认可的理财产品托管资格，主要履行职责包括：</w:t>
      </w:r>
    </w:p>
    <w:p w14:paraId="1EF5CF8C">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kern w:val="0"/>
          <w:szCs w:val="24"/>
        </w:rPr>
      </w:pPr>
      <w:r>
        <w:rPr>
          <w:rFonts w:hint="eastAsia" w:ascii="仿宋_GB2312" w:hAnsi="宋体" w:cs="宋体"/>
          <w:bCs/>
          <w:kern w:val="0"/>
          <w:szCs w:val="24"/>
        </w:rPr>
        <w:t>（一）安全保管理财产品财产；</w:t>
      </w:r>
    </w:p>
    <w:p w14:paraId="7D26F1B1">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kern w:val="0"/>
          <w:szCs w:val="24"/>
        </w:rPr>
      </w:pPr>
      <w:r>
        <w:rPr>
          <w:rFonts w:hint="eastAsia" w:ascii="仿宋_GB2312" w:hAnsi="宋体" w:cs="宋体"/>
          <w:bCs/>
          <w:kern w:val="0"/>
          <w:szCs w:val="24"/>
        </w:rPr>
        <w:t>（二）确保托管资金安全，保证其托管的理财产品财产与其自有资产相互独立；为每只理财产品开设独立的托管账户，不同托管账户中的资产应当相互独立；</w:t>
      </w:r>
    </w:p>
    <w:p w14:paraId="5090BB45">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kern w:val="0"/>
          <w:szCs w:val="24"/>
        </w:rPr>
      </w:pPr>
      <w:r>
        <w:rPr>
          <w:rFonts w:hint="eastAsia" w:ascii="仿宋_GB2312" w:hAnsi="宋体" w:cs="宋体"/>
          <w:bCs/>
          <w:kern w:val="0"/>
          <w:szCs w:val="24"/>
        </w:rPr>
        <w:t>（三）按照托管协议约定和管理人的投资指令，及时办理清算、交割事宜；</w:t>
      </w:r>
    </w:p>
    <w:p w14:paraId="17E79BEC">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kern w:val="0"/>
          <w:szCs w:val="24"/>
        </w:rPr>
      </w:pPr>
      <w:r>
        <w:rPr>
          <w:rFonts w:hint="eastAsia" w:ascii="仿宋_GB2312" w:hAnsi="宋体" w:cs="宋体"/>
          <w:bCs/>
          <w:kern w:val="0"/>
          <w:szCs w:val="24"/>
        </w:rPr>
        <w:t>（四）建立与管理人的对账机制，复核、审查理财产品资金头寸、资产账目、资产净值、认购和赎回价格等数据，及时核查认购、赎回以及投资资金的支付和到账情况；</w:t>
      </w:r>
    </w:p>
    <w:p w14:paraId="1FA28D3B">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kern w:val="0"/>
          <w:szCs w:val="24"/>
        </w:rPr>
      </w:pPr>
      <w:r>
        <w:rPr>
          <w:rFonts w:hint="eastAsia" w:ascii="仿宋_GB2312" w:hAnsi="宋体" w:cs="宋体"/>
          <w:bCs/>
          <w:kern w:val="0"/>
          <w:szCs w:val="24"/>
        </w:rPr>
        <w:t>（五）监督理财产品投资运作，发现理财产品违反法律、行政法规、规章规定或合同约定进行投资的，应当拒绝执行，及时通知管理人并报告银行业监督管理机构；</w:t>
      </w:r>
    </w:p>
    <w:p w14:paraId="19100072">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kern w:val="0"/>
          <w:szCs w:val="24"/>
        </w:rPr>
      </w:pPr>
      <w:r>
        <w:rPr>
          <w:rFonts w:hint="eastAsia" w:ascii="仿宋_GB2312" w:hAnsi="宋体" w:cs="宋体"/>
          <w:bCs/>
          <w:kern w:val="0"/>
          <w:szCs w:val="24"/>
        </w:rPr>
        <w:t>（六）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02E7CD1D">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kern w:val="0"/>
          <w:szCs w:val="24"/>
        </w:rPr>
      </w:pPr>
      <w:r>
        <w:rPr>
          <w:rFonts w:hint="eastAsia" w:ascii="仿宋_GB2312" w:hAnsi="宋体" w:cs="宋体"/>
          <w:bCs/>
          <w:kern w:val="0"/>
          <w:szCs w:val="24"/>
        </w:rPr>
        <w:t>（七）理财托管业务活动的记录、账册、报表和其他相关资料保存</w:t>
      </w:r>
      <w:r>
        <w:rPr>
          <w:rFonts w:ascii="仿宋_GB2312" w:hAnsi="宋体" w:cs="宋体"/>
          <w:bCs/>
          <w:kern w:val="0"/>
          <w:szCs w:val="24"/>
        </w:rPr>
        <w:t>15年以上；</w:t>
      </w:r>
    </w:p>
    <w:p w14:paraId="16568919">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kern w:val="0"/>
          <w:szCs w:val="24"/>
        </w:rPr>
      </w:pPr>
      <w:r>
        <w:rPr>
          <w:rFonts w:hint="eastAsia" w:ascii="仿宋_GB2312" w:hAnsi="宋体" w:cs="宋体"/>
          <w:bCs/>
          <w:kern w:val="0"/>
          <w:szCs w:val="24"/>
        </w:rPr>
        <w:t>（八）对理财产品投资信息和相关资料承担保密责任，除法律、行政法规、规章规定、审计要求或者合同约定外，不得向任何机构或者个人提供相关信息和资料；</w:t>
      </w:r>
    </w:p>
    <w:p w14:paraId="2D5C56D4">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kern w:val="0"/>
          <w:szCs w:val="24"/>
        </w:rPr>
      </w:pPr>
      <w:r>
        <w:rPr>
          <w:rFonts w:hint="eastAsia" w:ascii="仿宋_GB2312" w:hAnsi="宋体" w:cs="宋体"/>
          <w:bCs/>
          <w:kern w:val="0"/>
          <w:szCs w:val="24"/>
        </w:rPr>
        <w:t>（九）托管人的董事、监事、高级管理人员和其他托管业务人员不得有《商业银行理财业务监督管理办法》第二十四条第二款所列行为；</w:t>
      </w:r>
    </w:p>
    <w:p w14:paraId="48812ACF">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kern w:val="0"/>
          <w:szCs w:val="24"/>
        </w:rPr>
      </w:pPr>
      <w:r>
        <w:rPr>
          <w:rFonts w:hint="eastAsia" w:ascii="仿宋_GB2312" w:hAnsi="宋体" w:cs="宋体"/>
          <w:bCs/>
          <w:kern w:val="0"/>
          <w:szCs w:val="24"/>
        </w:rPr>
        <w:t>（十</w:t>
      </w:r>
      <w:r>
        <w:rPr>
          <w:rFonts w:ascii="仿宋_GB2312" w:hAnsi="宋体" w:cs="宋体"/>
          <w:bCs/>
          <w:kern w:val="0"/>
          <w:szCs w:val="24"/>
        </w:rPr>
        <w:t>）</w:t>
      </w:r>
      <w:r>
        <w:rPr>
          <w:rFonts w:hint="eastAsia" w:ascii="仿宋_GB2312" w:hAnsi="宋体" w:cs="宋体"/>
          <w:bCs/>
          <w:kern w:val="0"/>
          <w:szCs w:val="24"/>
        </w:rPr>
        <w:t>配合提供托管人相应关联方信息；</w:t>
      </w:r>
    </w:p>
    <w:p w14:paraId="24C47207">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kern w:val="0"/>
          <w:szCs w:val="24"/>
        </w:rPr>
      </w:pPr>
      <w:r>
        <w:rPr>
          <w:rFonts w:hint="eastAsia" w:ascii="仿宋_GB2312" w:hAnsi="宋体" w:cs="宋体"/>
          <w:bCs/>
          <w:kern w:val="0"/>
          <w:szCs w:val="24"/>
        </w:rPr>
        <w:t>（十</w:t>
      </w:r>
      <w:r>
        <w:rPr>
          <w:rFonts w:ascii="仿宋_GB2312" w:hAnsi="宋体" w:cs="宋体"/>
          <w:bCs/>
          <w:kern w:val="0"/>
          <w:szCs w:val="24"/>
        </w:rPr>
        <w:t>一）</w:t>
      </w:r>
      <w:r>
        <w:rPr>
          <w:rFonts w:hint="eastAsia" w:ascii="仿宋_GB2312" w:hAnsi="宋体" w:cs="宋体"/>
          <w:bCs/>
          <w:kern w:val="0"/>
          <w:szCs w:val="24"/>
        </w:rPr>
        <w:t>国务院银行业监督管理机构规定的其他职责。</w:t>
      </w:r>
    </w:p>
    <w:p w14:paraId="6474617F">
      <w:pPr>
        <w:rPr>
          <w:rFonts w:ascii="仿宋_GB2312" w:hAnsi="宋体" w:cs="宋体"/>
          <w:bCs/>
          <w:kern w:val="0"/>
          <w:szCs w:val="24"/>
        </w:rPr>
      </w:pPr>
      <w:r>
        <w:rPr>
          <w:rFonts w:ascii="仿宋_GB2312" w:hAnsi="宋体" w:cs="宋体"/>
          <w:bCs/>
          <w:kern w:val="0"/>
          <w:szCs w:val="24"/>
        </w:rPr>
        <w:br w:type="page"/>
      </w:r>
    </w:p>
    <w:p w14:paraId="5220670A">
      <w:pPr>
        <w:pStyle w:val="2"/>
        <w:numPr>
          <w:ilvl w:val="0"/>
          <w:numId w:val="12"/>
        </w:numPr>
      </w:pPr>
      <w:r>
        <w:rPr>
          <w:rFonts w:hint="eastAsia"/>
        </w:rPr>
        <w:t>理财产品资产估值</w:t>
      </w:r>
    </w:p>
    <w:p w14:paraId="6A7B29A6">
      <w:pPr>
        <w:pStyle w:val="3"/>
        <w:numPr>
          <w:ilvl w:val="1"/>
          <w:numId w:val="12"/>
        </w:numPr>
        <w:ind w:firstLine="482"/>
        <w:rPr>
          <w:highlight w:val="none"/>
        </w:rPr>
      </w:pPr>
      <w:r>
        <w:rPr>
          <w:rFonts w:hint="eastAsia"/>
          <w:highlight w:val="none"/>
        </w:rPr>
        <w:t>估值日</w:t>
      </w:r>
    </w:p>
    <w:p w14:paraId="47847AD0">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highlight w:val="yellow"/>
          <w:lang w:eastAsia="zh-CN"/>
        </w:rPr>
        <w:t>【</w:t>
      </w:r>
      <w:r>
        <w:rPr>
          <w:rFonts w:hint="eastAsia"/>
          <w:color w:val="auto"/>
          <w:highlight w:val="none"/>
          <w:u w:val="none"/>
        </w:rPr>
        <w:t>本产品的估值日为</w:t>
      </w:r>
      <w:r>
        <w:rPr>
          <w:rFonts w:hint="eastAsia"/>
          <w:highlight w:val="yellow"/>
          <w:lang w:eastAsia="zh-CN"/>
        </w:rPr>
        <w:t>】</w:t>
      </w:r>
      <w:r>
        <w:rPr>
          <w:rFonts w:hint="eastAsia"/>
          <w:color w:val="auto"/>
          <w:highlight w:val="none"/>
          <w:u w:val="none"/>
        </w:rPr>
        <w:t>。</w:t>
      </w:r>
    </w:p>
    <w:p w14:paraId="44F488DC">
      <w:pPr>
        <w:pStyle w:val="3"/>
        <w:numPr>
          <w:ilvl w:val="1"/>
          <w:numId w:val="12"/>
        </w:numPr>
        <w:ind w:firstLine="482"/>
        <w:rPr>
          <w:color w:val="auto"/>
          <w:highlight w:val="none"/>
          <w:u w:val="none"/>
        </w:rPr>
      </w:pPr>
      <w:r>
        <w:rPr>
          <w:rFonts w:hint="eastAsia"/>
          <w:color w:val="auto"/>
          <w:highlight w:val="none"/>
          <w:u w:val="none"/>
        </w:rPr>
        <w:t>估值对象</w:t>
      </w:r>
    </w:p>
    <w:p w14:paraId="5BAFA258">
      <w:pPr>
        <w:autoSpaceDE w:val="0"/>
        <w:autoSpaceDN w:val="0"/>
        <w:adjustRightInd w:val="0"/>
        <w:snapToGrid w:val="0"/>
        <w:spacing w:line="360" w:lineRule="auto"/>
        <w:ind w:firstLine="404" w:firstLineChars="200"/>
        <w:jc w:val="left"/>
        <w:rPr>
          <w:rFonts w:ascii="仿宋_GB2312" w:hAnsi="宋体" w:cs="宋体"/>
          <w:bCs/>
          <w:color w:val="auto"/>
          <w:spacing w:val="-4"/>
          <w:kern w:val="0"/>
          <w:szCs w:val="24"/>
          <w:highlight w:val="none"/>
          <w:u w:val="none"/>
        </w:rPr>
      </w:pPr>
      <w:r>
        <w:rPr>
          <w:rFonts w:hint="eastAsia" w:ascii="仿宋_GB2312" w:hAnsi="宋体" w:cs="宋体"/>
          <w:bCs/>
          <w:color w:val="auto"/>
          <w:spacing w:val="-4"/>
          <w:kern w:val="0"/>
          <w:szCs w:val="24"/>
          <w:highlight w:val="none"/>
          <w:u w:val="none"/>
        </w:rPr>
        <w:t>本理财产品估值的对象为本理财产品所持有的一切资产和负债。</w:t>
      </w:r>
    </w:p>
    <w:p w14:paraId="23DFAFD6">
      <w:pPr>
        <w:pStyle w:val="3"/>
        <w:numPr>
          <w:ilvl w:val="1"/>
          <w:numId w:val="12"/>
        </w:numPr>
        <w:ind w:firstLine="482"/>
        <w:rPr>
          <w:color w:val="auto"/>
          <w:highlight w:val="none"/>
          <w:u w:val="none"/>
        </w:rPr>
      </w:pPr>
      <w:r>
        <w:rPr>
          <w:rFonts w:hint="eastAsia"/>
          <w:color w:val="auto"/>
          <w:highlight w:val="none"/>
          <w:u w:val="none"/>
        </w:rPr>
        <w:t>估值方法</w:t>
      </w:r>
    </w:p>
    <w:p w14:paraId="664D6D6E">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1.货币市场工具类资产的估值</w:t>
      </w:r>
    </w:p>
    <w:p w14:paraId="786506A8">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（1）银行存款及回购按其商定利率或协议利率在实际持有期内逐日计提收益。</w:t>
      </w:r>
    </w:p>
    <w:p w14:paraId="316903A7">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（2）货币基金按最近披露的基金份额净值进行估值，并依据该基金公布的前一日每万份收益计提收益。</w:t>
      </w:r>
    </w:p>
    <w:p w14:paraId="56AED3BD">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2.在证券交易所和银行间市场交易的债券的估值</w:t>
      </w:r>
    </w:p>
    <w:p w14:paraId="2964CF4F">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（1）不含转股权的债券，按照第三方估值机构（中债、中证等）提供的估值数据对本理财产品所持有债券进行估值，具体的第三方估值机构有管理人与托管人协商确定；</w:t>
      </w:r>
    </w:p>
    <w:p w14:paraId="589974C3">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（2）含转股权的债券（如可转债券等），实行全价交易的，选取估值日收盘价进行估值；实行净价交易的，选取估值日收盘价并加计债券应计利息后的全价进行估值；</w:t>
      </w:r>
    </w:p>
    <w:p w14:paraId="08E56A5C">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对于暂不具备活跃交易市场，或者在活跃市场中没有公允报价的资产，采用估值技术确定其公允价值。在估值技术难以可靠计量公允价值的情况下，可按照监管机构认可的符合企业会计准则的其他方法进行估值；</w:t>
      </w:r>
    </w:p>
    <w:p w14:paraId="6FEB250C">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（4）如监管对债券估值另有规定，按照监管的最新规定进行调整。</w:t>
      </w:r>
    </w:p>
    <w:p w14:paraId="6338D48F">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3.优先股按第三方估值机构（中证、中债等）提供的估值数据进行估值；无第三方估值数据的，由管理人与托管人根据合理判断按反映产品公允价值的计量方案进行估值。</w:t>
      </w:r>
    </w:p>
    <w:p w14:paraId="578025A4">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交易所上市的有价证券（包括股票、权证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37443831">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5.投资非货币证券投资基金的估值</w:t>
      </w:r>
    </w:p>
    <w:p w14:paraId="34C36577">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（1）未上市非货币基金，按所投资基金管理人估值日披露的最新份额净值进行估值；</w:t>
      </w:r>
    </w:p>
    <w:p w14:paraId="5C38CD4A">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（2）上市基金估值</w:t>
      </w:r>
    </w:p>
    <w:p w14:paraId="2B933F08">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交易所上市流通的基金（含公募REITs），以估值日其所在证券交易所的收盘价估值；境内上市的开放式基金（LOF），以所投资基金披露的最新份额净值进行估值。</w:t>
      </w:r>
    </w:p>
    <w:p w14:paraId="3B22AF56">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（3）如遇所投资基金不公布基金份额净值、进行折算或拆分、估值日无交易等特殊情况，则按以下原则进行估值：</w:t>
      </w:r>
    </w:p>
    <w:p w14:paraId="44E3A578">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①以所投资基金的基金份额净值估值的，若所投资基金管理人未公布估值日基金份额净值，则按最近公布的基金份额净值为基础估值。</w:t>
      </w:r>
    </w:p>
    <w:p w14:paraId="06EEE7BC">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②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场及重大变化因素调整最近交易市场，确定公允价值。</w:t>
      </w:r>
    </w:p>
    <w:p w14:paraId="75D31921">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③如果所投资基金前一估值日至估值日期间发生分红除权、折算或拆分，理财产品管理人应根据基金份额净值或收盘价、单位基金份额分红金额、折算拆分比例、持仓份额等因素合理确定公允价值。</w:t>
      </w:r>
    </w:p>
    <w:p w14:paraId="26E8D6FD">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投资符合投资范围内的其他各类资产管理产品的估值，以估值日截止时点获得的、由所投资资产管理人披露的最新份额净值或者投资收益情况进行估值；或由产品管理人和托管人根据合理判断按反映产品公允价值的估值方案进行估值。</w:t>
      </w:r>
    </w:p>
    <w:p w14:paraId="580838FD">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7.商品与金融衍生品类资产的估值</w:t>
      </w:r>
    </w:p>
    <w:p w14:paraId="52F46BAA">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（1）场内交易的商品与金融衍生品类资产，以交易所最近交易日的结算价或者收盘价进行估值；</w:t>
      </w:r>
    </w:p>
    <w:p w14:paraId="7878372C">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（2）场外交易的商品与金融衍生品类资产，采用估值技术确定其公允价值，按照外部机构提供的价格数据或管理人与托管人认可的估值方案进行估值。</w:t>
      </w:r>
    </w:p>
    <w:p w14:paraId="4511585F">
      <w:pPr>
        <w:tabs>
          <w:tab w:val="left" w:pos="3119"/>
        </w:tabs>
        <w:autoSpaceDE w:val="0"/>
        <w:autoSpaceDN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８</w:t>
      </w:r>
      <w:r>
        <w:rPr>
          <w:rFonts w:ascii="仿宋_GB2312" w:hAnsi="宋体" w:cs="宋体"/>
          <w:bCs/>
          <w:color w:val="auto"/>
          <w:kern w:val="0"/>
          <w:szCs w:val="24"/>
          <w:highlight w:val="none"/>
          <w:u w:val="none"/>
        </w:rPr>
        <w:t>.若理财产品存续期间持有其他投资品种，以理财产品管理人与托管人共同认可的估值方法估值。</w:t>
      </w:r>
    </w:p>
    <w:p w14:paraId="3B188148">
      <w:pPr>
        <w:tabs>
          <w:tab w:val="left" w:pos="3119"/>
        </w:tabs>
        <w:autoSpaceDE w:val="0"/>
        <w:autoSpaceDN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９</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在任何情况下，如采用以上规定的方法对资产进行估值，均应被认为采用了适当的估值方法。如管理人有证据表明上述规定不能客观反映理财产品资产公允价值的，管理人可根据具体情况，在综合考虑市场成交价、市场报价、流动性、收益率曲线与标的信用风险等多种因素基础上，按最能反映理财产品资产公允价值的方法进行估值。</w:t>
      </w:r>
    </w:p>
    <w:p w14:paraId="6105B7A2">
      <w:pPr>
        <w:pStyle w:val="3"/>
        <w:numPr>
          <w:ilvl w:val="1"/>
          <w:numId w:val="12"/>
        </w:numPr>
        <w:ind w:firstLine="482"/>
        <w:rPr>
          <w:color w:val="auto"/>
          <w:highlight w:val="none"/>
          <w:u w:val="none"/>
        </w:rPr>
      </w:pPr>
      <w:r>
        <w:rPr>
          <w:rFonts w:hint="eastAsia"/>
          <w:color w:val="auto"/>
          <w:highlight w:val="none"/>
          <w:u w:val="none"/>
        </w:rPr>
        <w:t>估值错误处理</w:t>
      </w:r>
    </w:p>
    <w:p w14:paraId="414455FF">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理财</w:t>
      </w:r>
      <w:r>
        <w:rPr>
          <w:rFonts w:ascii="仿宋_GB2312" w:hAnsi="宋体" w:cs="宋体"/>
          <w:bCs/>
          <w:color w:val="auto"/>
          <w:kern w:val="0"/>
          <w:szCs w:val="24"/>
          <w:highlight w:val="none"/>
          <w:u w:val="none"/>
        </w:rPr>
        <w:t>产品</w:t>
      </w:r>
      <w:r>
        <w:rPr>
          <w:rFonts w:hint="eastAsia" w:ascii="仿宋_GB2312" w:hAnsi="宋体" w:cs="宋体"/>
          <w:bCs/>
          <w:color w:val="auto"/>
          <w:kern w:val="0"/>
          <w:szCs w:val="24"/>
          <w:highlight w:val="none"/>
          <w:u w:val="none"/>
        </w:rPr>
        <w:t>管理人和</w:t>
      </w:r>
      <w:r>
        <w:rPr>
          <w:rFonts w:ascii="仿宋_GB2312" w:hAnsi="宋体" w:cs="宋体"/>
          <w:bCs/>
          <w:color w:val="auto"/>
          <w:kern w:val="0"/>
          <w:szCs w:val="24"/>
          <w:highlight w:val="none"/>
          <w:u w:val="none"/>
        </w:rPr>
        <w:t>理财产品托管人</w:t>
      </w:r>
      <w:r>
        <w:rPr>
          <w:rFonts w:hint="eastAsia" w:ascii="仿宋_GB2312" w:hAnsi="宋体" w:cs="宋体"/>
          <w:bCs/>
          <w:color w:val="auto"/>
          <w:kern w:val="0"/>
          <w:szCs w:val="24"/>
          <w:highlight w:val="none"/>
          <w:u w:val="none"/>
        </w:rPr>
        <w:t>将采取必要、适当、合理的措施确保产品资产估值的准确性、及时性。</w:t>
      </w:r>
    </w:p>
    <w:p w14:paraId="05A503BD">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1.估值错误处理原则</w:t>
      </w:r>
    </w:p>
    <w:p w14:paraId="685A7FAA">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（1）由于理财产品管理人或理财产品托管人自身过错造成的估值错误，导致投资者遭受损失的，由估值错误责任方按照各自过错程度对该估值错误导致投资者遭受的直接损失给予赔偿，承担赔偿责任。</w:t>
      </w:r>
    </w:p>
    <w:p w14:paraId="4C7251ED">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对因技术原因引起的差错，若系同行业现有技术水平无法预见、无法避免、无法抗拒，属不可抗力。由于不可抗力原因，或由于证券交易所、期货交易所、第三方估值机构、信托公司、基金公司等发送数据错误等非管理人和托管人原因，管理人和托管人虽然已经采取必要、适当、合理的措施进行检查，但未能发现错误的，由此造成的估值错误，管理人和托管人免除赔偿责任。但管理人、托管人应当积极采取必要的措施减轻或消除由此造成的影响。但因该差错取得不当得利的投资者仍应负有返还不当得利的义务。</w:t>
      </w:r>
    </w:p>
    <w:p w14:paraId="22A02A86">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若因理财产品托管人估值错误造成财产损失，理财产品管理人应向托管人追偿；若因理财产品管理人与理财产品托管人之外的第三方估值差错造成财产的损失，并拒绝进行赔偿时，由理财产品管理人负责向差错方追偿，追偿过程中产生的有关费用，应当列入理财产品费用，由理财产品承担。</w:t>
      </w:r>
    </w:p>
    <w:p w14:paraId="39F52F44">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（4）因估值错误而获得不当得利的投资者负有及时返还不当得利的义务。</w:t>
      </w:r>
    </w:p>
    <w:p w14:paraId="63EE1D71">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（5）按法律法规规定的其他原则处理估值错误。</w:t>
      </w:r>
    </w:p>
    <w:p w14:paraId="7BCE6E8B">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2.估值错误处理程序</w:t>
      </w:r>
    </w:p>
    <w:p w14:paraId="7A8864A6">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估值错误被发现后，理财产品管理人与理财产品托管人应当及时进行处理，处理的程序如下：</w:t>
      </w:r>
    </w:p>
    <w:p w14:paraId="25CF2C1C">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（1）查明估值差错发生的原因，根据估值错误发生的原因确定估值错误的责任方；</w:t>
      </w:r>
    </w:p>
    <w:p w14:paraId="05183079">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（2）根据估值错误处理原则对因估值错误造成的损失进行评估；</w:t>
      </w:r>
    </w:p>
    <w:p w14:paraId="39603DBC">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（3）根据估值错误处理原则或理财产品管理人与托管人协商的方法，由理财产品管理人与托管人共同进行更正，由估值错误的责任方进行赔偿损失。</w:t>
      </w:r>
    </w:p>
    <w:p w14:paraId="30B9623C">
      <w:pPr>
        <w:pStyle w:val="3"/>
        <w:numPr>
          <w:ilvl w:val="1"/>
          <w:numId w:val="12"/>
        </w:numPr>
        <w:ind w:firstLine="482"/>
        <w:rPr>
          <w:color w:val="auto"/>
          <w:highlight w:val="none"/>
          <w:u w:val="none"/>
        </w:rPr>
      </w:pPr>
      <w:r>
        <w:rPr>
          <w:rFonts w:hint="eastAsia"/>
          <w:color w:val="auto"/>
          <w:highlight w:val="none"/>
          <w:u w:val="none"/>
        </w:rPr>
        <w:t>暂停估值的情形</w:t>
      </w:r>
    </w:p>
    <w:p w14:paraId="026BE9C4">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1.当资产估值因不可抗力或其他情形致使本产品管理人和托管人无法准确评估资产价值时；</w:t>
      </w:r>
    </w:p>
    <w:p w14:paraId="65CF5123">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2．理财产品投资所涉及的交易市场遇法定节假日或因其他原因暂停营业时；</w:t>
      </w:r>
    </w:p>
    <w:p w14:paraId="219C705F">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3.理财产品投资的其他资产产品合同约定暂停估值或无法估值的情形发生，导致理财产品无法估值时；</w:t>
      </w:r>
    </w:p>
    <w:p w14:paraId="60C8BDF9">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当前一估值日理财产品资产净值5</w:t>
      </w:r>
      <w:r>
        <w:rPr>
          <w:rFonts w:ascii="仿宋_GB2312" w:hAnsi="宋体" w:cs="宋体"/>
          <w:bCs/>
          <w:color w:val="auto"/>
          <w:kern w:val="0"/>
          <w:szCs w:val="24"/>
          <w:highlight w:val="none"/>
          <w:u w:val="none"/>
        </w:rPr>
        <w:t>0</w:t>
      </w:r>
      <w:r>
        <w:rPr>
          <w:rFonts w:hint="eastAsia" w:ascii="仿宋_GB2312" w:hAnsi="宋体" w:cs="宋体"/>
          <w:bCs/>
          <w:color w:val="auto"/>
          <w:kern w:val="0"/>
          <w:szCs w:val="24"/>
          <w:highlight w:val="none"/>
          <w:u w:val="none"/>
        </w:rPr>
        <w:t>%以上的资产不具备活跃市场或在活跃市场中无报价，且采用估值技术不能可靠计量公允价值时；</w:t>
      </w:r>
    </w:p>
    <w:p w14:paraId="2D15970C">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5</w:t>
      </w:r>
      <w:r>
        <w:rPr>
          <w:rFonts w:hint="eastAsia" w:ascii="仿宋_GB2312" w:hAnsi="宋体" w:cs="宋体"/>
          <w:bCs/>
          <w:color w:val="auto"/>
          <w:kern w:val="0"/>
          <w:szCs w:val="24"/>
          <w:highlight w:val="none"/>
          <w:u w:val="none"/>
        </w:rPr>
        <w:t>.国家金融监督管理总局认定的其他情形或理财产品管理人、托管人有合理理由认为将影响本理财产品估值的其他情形。</w:t>
      </w:r>
    </w:p>
    <w:p w14:paraId="3A08297C">
      <w:pPr>
        <w:jc w:val="left"/>
        <w:rPr>
          <w:rFonts w:ascii="仿宋_GB2312" w:hAnsi="宋体" w:cs="宋体"/>
          <w:bCs/>
          <w:kern w:val="0"/>
          <w:szCs w:val="24"/>
        </w:rPr>
      </w:pPr>
      <w:r>
        <w:rPr>
          <w:rFonts w:hint="eastAsia" w:ascii="仿宋_GB2312" w:hAnsi="宋体" w:cs="宋体"/>
          <w:bCs/>
          <w:kern w:val="0"/>
          <w:szCs w:val="24"/>
        </w:rPr>
        <w:br w:type="page"/>
      </w:r>
    </w:p>
    <w:p w14:paraId="5233AA54">
      <w:pPr>
        <w:pStyle w:val="2"/>
        <w:numPr>
          <w:ilvl w:val="0"/>
          <w:numId w:val="12"/>
        </w:numPr>
        <w:rPr>
          <w:color w:val="auto"/>
          <w:highlight w:val="none"/>
          <w:u w:val="none"/>
        </w:rPr>
      </w:pPr>
      <w:r>
        <w:rPr>
          <w:rFonts w:hint="eastAsia"/>
          <w:color w:val="auto"/>
          <w:highlight w:val="none"/>
          <w:u w:val="none"/>
        </w:rPr>
        <w:t>理财产品的</w:t>
      </w:r>
      <w:r>
        <w:rPr>
          <w:rFonts w:hint="eastAsia"/>
          <w:color w:val="auto"/>
          <w:highlight w:val="none"/>
          <w:u w:val="none"/>
          <w:lang w:eastAsia="zh-CN"/>
        </w:rPr>
        <w:t>收益</w:t>
      </w:r>
      <w:r>
        <w:rPr>
          <w:rFonts w:hint="eastAsia"/>
          <w:color w:val="auto"/>
          <w:highlight w:val="none"/>
          <w:u w:val="none"/>
        </w:rPr>
        <w:t>分配</w:t>
      </w:r>
    </w:p>
    <w:p w14:paraId="6570855D">
      <w:pPr>
        <w:pStyle w:val="3"/>
        <w:numPr>
          <w:ilvl w:val="1"/>
          <w:numId w:val="12"/>
        </w:numPr>
        <w:tabs>
          <w:tab w:val="left" w:pos="709"/>
          <w:tab w:val="left" w:pos="3261"/>
        </w:tabs>
        <w:ind w:firstLine="482"/>
        <w:rPr>
          <w:rFonts w:hint="eastAsia"/>
          <w:color w:val="auto"/>
          <w:highlight w:val="none"/>
          <w:u w:val="none"/>
        </w:rPr>
      </w:pPr>
      <w:r>
        <w:rPr>
          <w:rFonts w:hint="eastAsia"/>
          <w:color w:val="auto"/>
          <w:highlight w:val="none"/>
          <w:u w:val="none"/>
        </w:rPr>
        <w:t>理财产品的收益构成</w:t>
      </w:r>
    </w:p>
    <w:p w14:paraId="274AE1B5">
      <w:pPr>
        <w:pStyle w:val="3"/>
        <w:numPr>
          <w:ilvl w:val="0"/>
          <w:numId w:val="0"/>
        </w:numPr>
        <w:tabs>
          <w:tab w:val="left" w:pos="709"/>
          <w:tab w:val="left" w:pos="3261"/>
        </w:tabs>
        <w:ind w:firstLine="482"/>
        <w:rPr>
          <w:color w:val="auto"/>
          <w:highlight w:val="none"/>
          <w:u w:val="none"/>
        </w:rPr>
      </w:pPr>
      <w:r>
        <w:rPr>
          <w:rFonts w:hint="eastAsia"/>
          <w:color w:val="auto"/>
          <w:highlight w:val="none"/>
          <w:u w:val="none"/>
        </w:rPr>
        <w:t>本理财产品的收益包括：投资债券、货币市场工具等</w:t>
      </w:r>
      <w:r>
        <w:rPr>
          <w:rFonts w:hint="eastAsia"/>
          <w:color w:val="auto"/>
          <w:highlight w:val="none"/>
          <w:u w:val="none"/>
          <w:lang w:eastAsia="zh-CN"/>
        </w:rPr>
        <w:t>投资范围内的资产和</w:t>
      </w:r>
      <w:r>
        <w:rPr>
          <w:rFonts w:hint="eastAsia"/>
          <w:color w:val="auto"/>
          <w:highlight w:val="none"/>
          <w:u w:val="none"/>
        </w:rPr>
        <w:t>监管机构认可的资产或资产管理产品所产生的利息收入、买卖证券差价收入、银行存款利息以及其他合法收入。该收益构成不代表投资者一定可以获得的收益。</w:t>
      </w:r>
    </w:p>
    <w:p w14:paraId="6C0D61E3">
      <w:pPr>
        <w:pStyle w:val="3"/>
        <w:numPr>
          <w:ilvl w:val="1"/>
          <w:numId w:val="12"/>
        </w:numPr>
        <w:ind w:firstLine="482"/>
        <w:rPr>
          <w:color w:val="auto"/>
          <w:highlight w:val="none"/>
          <w:u w:val="none"/>
        </w:rPr>
      </w:pPr>
      <w:r>
        <w:rPr>
          <w:rFonts w:hint="eastAsia"/>
          <w:color w:val="auto"/>
          <w:highlight w:val="none"/>
          <w:u w:val="none"/>
        </w:rPr>
        <w:t>理财</w:t>
      </w:r>
      <w:r>
        <w:rPr>
          <w:rFonts w:hint="eastAsia"/>
          <w:color w:val="auto"/>
          <w:highlight w:val="none"/>
          <w:u w:val="none"/>
          <w:lang w:eastAsia="zh-CN"/>
        </w:rPr>
        <w:t>收益</w:t>
      </w:r>
      <w:r>
        <w:rPr>
          <w:rFonts w:hint="eastAsia"/>
          <w:color w:val="auto"/>
          <w:highlight w:val="none"/>
          <w:u w:val="none"/>
        </w:rPr>
        <w:t>的分配类型</w:t>
      </w:r>
    </w:p>
    <w:p w14:paraId="3138D228">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1.依据分配时点，理财</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的分配可分为“期间分配”与“终止分配”。</w:t>
      </w:r>
    </w:p>
    <w:p w14:paraId="44204E3E">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2.依据分配方式，理财</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的分配可分为“现金分配”与“非现金分配”。</w:t>
      </w:r>
    </w:p>
    <w:p w14:paraId="24251DA7">
      <w:pPr>
        <w:pStyle w:val="3"/>
        <w:numPr>
          <w:ilvl w:val="1"/>
          <w:numId w:val="12"/>
        </w:numPr>
        <w:ind w:firstLine="482"/>
        <w:rPr>
          <w:color w:val="auto"/>
          <w:highlight w:val="none"/>
          <w:u w:val="none"/>
        </w:rPr>
      </w:pPr>
      <w:r>
        <w:rPr>
          <w:rFonts w:hint="eastAsia"/>
          <w:color w:val="auto"/>
          <w:highlight w:val="none"/>
          <w:u w:val="none"/>
        </w:rPr>
        <w:t>理财</w:t>
      </w:r>
      <w:r>
        <w:rPr>
          <w:rFonts w:hint="eastAsia"/>
          <w:color w:val="auto"/>
          <w:highlight w:val="none"/>
          <w:u w:val="none"/>
          <w:lang w:eastAsia="zh-CN"/>
        </w:rPr>
        <w:t>收益</w:t>
      </w:r>
      <w:r>
        <w:rPr>
          <w:rFonts w:hint="eastAsia"/>
          <w:color w:val="auto"/>
          <w:highlight w:val="none"/>
          <w:u w:val="none"/>
        </w:rPr>
        <w:t>的分配原则</w:t>
      </w:r>
    </w:p>
    <w:p w14:paraId="711AAE8E">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1.本产品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分配应遵循下列原则：</w:t>
      </w:r>
    </w:p>
    <w:p w14:paraId="129E042B">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（1）每一产品份额享有同等分配权。</w:t>
      </w:r>
    </w:p>
    <w:p w14:paraId="60340D66">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（2）在不</w:t>
      </w:r>
      <w:r>
        <w:rPr>
          <w:rFonts w:ascii="仿宋_GB2312" w:hAnsi="宋体" w:cs="宋体"/>
          <w:bCs/>
          <w:color w:val="auto"/>
          <w:kern w:val="0"/>
          <w:szCs w:val="24"/>
          <w:highlight w:val="none"/>
          <w:u w:val="none"/>
        </w:rPr>
        <w:t>违反法律法规、理财产品销售文件约定以及对份额持有人权益无实质性不利影响的情况下，产品管理人可</w:t>
      </w:r>
      <w:r>
        <w:rPr>
          <w:rFonts w:hint="eastAsia" w:ascii="仿宋_GB2312" w:hAnsi="宋体" w:cs="宋体"/>
          <w:bCs/>
          <w:color w:val="auto"/>
          <w:kern w:val="0"/>
          <w:szCs w:val="24"/>
          <w:highlight w:val="none"/>
          <w:u w:val="none"/>
        </w:rPr>
        <w:t>调整</w:t>
      </w:r>
      <w:r>
        <w:rPr>
          <w:rFonts w:ascii="仿宋_GB2312" w:hAnsi="宋体" w:cs="宋体"/>
          <w:bCs/>
          <w:color w:val="auto"/>
          <w:kern w:val="0"/>
          <w:szCs w:val="24"/>
          <w:highlight w:val="none"/>
          <w:u w:val="none"/>
        </w:rPr>
        <w:t>本理财产品</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的分配原则与支付方式。法律</w:t>
      </w:r>
      <w:r>
        <w:rPr>
          <w:rFonts w:hint="eastAsia" w:ascii="仿宋_GB2312" w:hAnsi="宋体" w:cs="宋体"/>
          <w:bCs/>
          <w:color w:val="auto"/>
          <w:kern w:val="0"/>
          <w:szCs w:val="24"/>
          <w:highlight w:val="none"/>
          <w:u w:val="none"/>
        </w:rPr>
        <w:t>法规</w:t>
      </w:r>
      <w:r>
        <w:rPr>
          <w:rFonts w:ascii="仿宋_GB2312" w:hAnsi="宋体" w:cs="宋体"/>
          <w:bCs/>
          <w:color w:val="auto"/>
          <w:kern w:val="0"/>
          <w:szCs w:val="24"/>
          <w:highlight w:val="none"/>
          <w:u w:val="none"/>
        </w:rPr>
        <w:t>或监管机构另有规定的从其规定。</w:t>
      </w:r>
    </w:p>
    <w:p w14:paraId="6DF87457">
      <w:pPr>
        <w:pStyle w:val="3"/>
        <w:numPr>
          <w:ilvl w:val="1"/>
          <w:numId w:val="12"/>
        </w:numPr>
        <w:autoSpaceDE w:val="0"/>
        <w:autoSpaceDN w:val="0"/>
        <w:adjustRightInd w:val="0"/>
        <w:snapToGrid w:val="0"/>
        <w:ind w:firstLine="482"/>
        <w:rPr>
          <w:color w:val="auto"/>
          <w:highlight w:val="none"/>
          <w:u w:val="none"/>
        </w:rPr>
      </w:pPr>
      <w:r>
        <w:rPr>
          <w:rFonts w:hint="eastAsia"/>
          <w:color w:val="auto"/>
          <w:highlight w:val="none"/>
          <w:u w:val="none"/>
        </w:rPr>
        <w:t>理财</w:t>
      </w:r>
      <w:r>
        <w:rPr>
          <w:rFonts w:hint="eastAsia"/>
          <w:color w:val="auto"/>
          <w:highlight w:val="none"/>
          <w:u w:val="none"/>
          <w:lang w:eastAsia="zh-CN"/>
        </w:rPr>
        <w:t>收益</w:t>
      </w:r>
      <w:r>
        <w:rPr>
          <w:rFonts w:hint="eastAsia"/>
          <w:color w:val="auto"/>
          <w:highlight w:val="none"/>
          <w:u w:val="none"/>
        </w:rPr>
        <w:t xml:space="preserve">的分配方案 </w:t>
      </w:r>
    </w:p>
    <w:p w14:paraId="13CE7078">
      <w:pPr>
        <w:autoSpaceDE w:val="0"/>
        <w:autoSpaceDN w:val="0"/>
        <w:adjustRightInd w:val="0"/>
        <w:snapToGrid w:val="0"/>
        <w:spacing w:line="360" w:lineRule="auto"/>
        <w:ind w:firstLine="420" w:firstLineChars="200"/>
        <w:jc w:val="left"/>
        <w:rPr>
          <w:color w:val="auto"/>
          <w:highlight w:val="none"/>
          <w:u w:val="none"/>
        </w:rPr>
      </w:pPr>
      <w:r>
        <w:rPr>
          <w:rFonts w:hint="eastAsia" w:ascii="仿宋_GB2312" w:hAnsi="宋体" w:cs="宋体"/>
          <w:bCs/>
          <w:color w:val="auto"/>
          <w:kern w:val="0"/>
          <w:szCs w:val="24"/>
          <w:highlight w:val="none"/>
          <w:u w:val="none"/>
        </w:rPr>
        <w:t>1.</w:t>
      </w:r>
      <w:r>
        <w:rPr>
          <w:rFonts w:hint="eastAsia"/>
          <w:color w:val="auto"/>
          <w:highlight w:val="none"/>
          <w:u w:val="none"/>
        </w:rPr>
        <w:t>分配方案要点：</w:t>
      </w:r>
    </w:p>
    <w:p w14:paraId="450FAD87">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w:t>
      </w:r>
      <w:r>
        <w:rPr>
          <w:rFonts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rPr>
        <w:t>本</w:t>
      </w:r>
      <w:r>
        <w:rPr>
          <w:rFonts w:ascii="仿宋_GB2312" w:hAnsi="宋体" w:cs="宋体"/>
          <w:bCs/>
          <w:color w:val="auto"/>
          <w:kern w:val="0"/>
          <w:szCs w:val="24"/>
          <w:highlight w:val="none"/>
          <w:u w:val="none"/>
        </w:rPr>
        <w:t>理财产品的分配时点包括</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rPr>
        <w:t>“期间分配”</w:t>
      </w:r>
      <w:r>
        <w:rPr>
          <w:rFonts w:hint="eastAsia" w:ascii="仿宋_GB2312" w:hAnsi="宋体" w:cs="宋体"/>
          <w:bCs/>
          <w:kern w:val="0"/>
          <w:szCs w:val="24"/>
          <w:highlight w:val="none"/>
        </w:rPr>
        <w:sym w:font="Wingdings 2" w:char="00A3"/>
      </w:r>
      <w:r>
        <w:rPr>
          <w:rFonts w:hint="eastAsia" w:ascii="仿宋_GB2312" w:hAnsi="宋体" w:cs="宋体"/>
          <w:bCs/>
          <w:kern w:val="0"/>
          <w:szCs w:val="24"/>
          <w:highlight w:val="none"/>
        </w:rPr>
        <w:t>“终止分配”</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w:t>
      </w:r>
    </w:p>
    <w:p w14:paraId="188227E5">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本</w:t>
      </w:r>
      <w:r>
        <w:rPr>
          <w:rFonts w:ascii="仿宋_GB2312" w:hAnsi="宋体" w:cs="宋体"/>
          <w:bCs/>
          <w:color w:val="auto"/>
          <w:kern w:val="0"/>
          <w:szCs w:val="24"/>
          <w:highlight w:val="none"/>
          <w:u w:val="none"/>
        </w:rPr>
        <w:t>理财产品的分配</w:t>
      </w:r>
      <w:r>
        <w:rPr>
          <w:rFonts w:hint="eastAsia" w:ascii="仿宋_GB2312" w:hAnsi="宋体" w:cs="宋体"/>
          <w:bCs/>
          <w:color w:val="auto"/>
          <w:kern w:val="0"/>
          <w:szCs w:val="24"/>
          <w:highlight w:val="none"/>
          <w:u w:val="none"/>
        </w:rPr>
        <w:t>方式</w:t>
      </w:r>
      <w:r>
        <w:rPr>
          <w:rFonts w:ascii="仿宋_GB2312" w:hAnsi="宋体" w:cs="宋体"/>
          <w:bCs/>
          <w:color w:val="auto"/>
          <w:kern w:val="0"/>
          <w:szCs w:val="24"/>
          <w:highlight w:val="none"/>
          <w:u w:val="none"/>
        </w:rPr>
        <w:t>采取</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rPr>
        <w:t>“现金分配”</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rPr>
        <w:t>“</w:t>
      </w:r>
      <w:r>
        <w:rPr>
          <w:rFonts w:hint="eastAsia" w:ascii="仿宋_GB2312" w:hAnsi="宋体" w:cs="宋体"/>
          <w:bCs/>
          <w:kern w:val="0"/>
          <w:szCs w:val="24"/>
          <w:highlight w:val="none"/>
          <w:lang w:eastAsia="zh-CN"/>
        </w:rPr>
        <w:t>非</w:t>
      </w:r>
      <w:r>
        <w:rPr>
          <w:rFonts w:hint="eastAsia" w:ascii="仿宋_GB2312" w:hAnsi="宋体" w:cs="宋体"/>
          <w:bCs/>
          <w:kern w:val="0"/>
          <w:szCs w:val="24"/>
          <w:highlight w:val="none"/>
        </w:rPr>
        <w:t>现金分配”</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w:t>
      </w:r>
    </w:p>
    <w:p w14:paraId="05AE2C92">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w:t>
      </w:r>
      <w:r>
        <w:rPr>
          <w:rFonts w:hint="eastAsia" w:ascii="仿宋_GB2312" w:hAnsi="宋体" w:cs="宋体"/>
          <w:bCs/>
          <w:color w:val="auto"/>
          <w:kern w:val="0"/>
          <w:szCs w:val="24"/>
          <w:highlight w:val="none"/>
          <w:u w:val="none"/>
        </w:rPr>
        <w:t>具体</w:t>
      </w:r>
      <w:r>
        <w:rPr>
          <w:rFonts w:ascii="仿宋_GB2312" w:hAnsi="宋体" w:cs="宋体"/>
          <w:bCs/>
          <w:color w:val="auto"/>
          <w:kern w:val="0"/>
          <w:szCs w:val="24"/>
          <w:highlight w:val="none"/>
          <w:u w:val="none"/>
        </w:rPr>
        <w:t>理财产品</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分配方案由产品管理人拟定，并由产品托管人复核后确定。</w:t>
      </w:r>
    </w:p>
    <w:p w14:paraId="23FC0180">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3.理财</w:t>
      </w:r>
      <w:r>
        <w:rPr>
          <w:rFonts w:ascii="仿宋_GB2312" w:hAnsi="宋体" w:cs="宋体"/>
          <w:bCs/>
          <w:color w:val="auto"/>
          <w:kern w:val="0"/>
          <w:szCs w:val="24"/>
          <w:highlight w:val="none"/>
          <w:u w:val="none"/>
        </w:rPr>
        <w:t>产品存续期间，产品管理人有权</w:t>
      </w:r>
      <w:r>
        <w:rPr>
          <w:rFonts w:hint="eastAsia" w:ascii="仿宋_GB2312" w:hAnsi="宋体" w:cs="宋体"/>
          <w:bCs/>
          <w:color w:val="auto"/>
          <w:kern w:val="0"/>
          <w:szCs w:val="24"/>
          <w:highlight w:val="none"/>
          <w:u w:val="none"/>
        </w:rPr>
        <w:t>视</w:t>
      </w:r>
      <w:r>
        <w:rPr>
          <w:rFonts w:ascii="仿宋_GB2312" w:hAnsi="宋体" w:cs="宋体"/>
          <w:bCs/>
          <w:color w:val="auto"/>
          <w:kern w:val="0"/>
          <w:szCs w:val="24"/>
          <w:highlight w:val="none"/>
          <w:u w:val="none"/>
        </w:rPr>
        <w:t>理财产品收益情况进行主动分配，相应</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分配基准日、分配方案由管理人及时披露。</w:t>
      </w:r>
    </w:p>
    <w:p w14:paraId="0E0FEAA7">
      <w:pPr>
        <w:pStyle w:val="3"/>
        <w:numPr>
          <w:ilvl w:val="1"/>
          <w:numId w:val="12"/>
        </w:numPr>
        <w:tabs>
          <w:tab w:val="left" w:pos="0"/>
          <w:tab w:val="left" w:pos="709"/>
        </w:tabs>
        <w:ind w:firstLine="482" w:firstLineChars="0"/>
        <w:rPr>
          <w:color w:val="auto"/>
          <w:highlight w:val="none"/>
          <w:u w:val="none"/>
        </w:rPr>
      </w:pPr>
      <w:r>
        <w:rPr>
          <w:rFonts w:hint="eastAsia"/>
          <w:color w:val="auto"/>
          <w:highlight w:val="none"/>
          <w:u w:val="none"/>
        </w:rPr>
        <w:t>理财</w:t>
      </w:r>
      <w:r>
        <w:rPr>
          <w:rFonts w:hint="eastAsia"/>
          <w:color w:val="auto"/>
          <w:highlight w:val="none"/>
          <w:u w:val="none"/>
          <w:lang w:eastAsia="zh-CN"/>
        </w:rPr>
        <w:t>收益</w:t>
      </w:r>
      <w:r>
        <w:rPr>
          <w:rFonts w:hint="eastAsia"/>
          <w:color w:val="auto"/>
          <w:highlight w:val="none"/>
          <w:u w:val="none"/>
        </w:rPr>
        <w:t>的分配</w:t>
      </w:r>
    </w:p>
    <w:p w14:paraId="266E2476">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1.理财</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的分配日</w:t>
      </w:r>
    </w:p>
    <w:p w14:paraId="1B934F4B">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若</w:t>
      </w:r>
      <w:r>
        <w:rPr>
          <w:rFonts w:ascii="仿宋_GB2312" w:hAnsi="宋体" w:cs="宋体"/>
          <w:bCs/>
          <w:color w:val="auto"/>
          <w:kern w:val="0"/>
          <w:szCs w:val="24"/>
          <w:highlight w:val="none"/>
          <w:u w:val="none"/>
        </w:rPr>
        <w:t>为期间分配的，原则上产品管理人应于分配基准日后</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lang w:val="en-US" w:eastAsia="zh-CN"/>
        </w:rPr>
        <w:t>5</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rPr>
        <w:t>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ascii="仿宋_GB2312" w:hAnsi="宋体" w:cs="宋体"/>
          <w:bCs/>
          <w:color w:val="auto"/>
          <w:kern w:val="0"/>
          <w:szCs w:val="24"/>
          <w:highlight w:val="none"/>
          <w:u w:val="none"/>
        </w:rPr>
        <w:t>内分配理财</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如有</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w:t>
      </w:r>
    </w:p>
    <w:p w14:paraId="5EF37670">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若为</w:t>
      </w:r>
      <w:r>
        <w:rPr>
          <w:rFonts w:ascii="仿宋_GB2312" w:hAnsi="宋体" w:cs="宋体"/>
          <w:bCs/>
          <w:color w:val="auto"/>
          <w:kern w:val="0"/>
          <w:szCs w:val="24"/>
          <w:highlight w:val="none"/>
          <w:u w:val="none"/>
        </w:rPr>
        <w:t>终止分配的，</w:t>
      </w:r>
      <w:r>
        <w:rPr>
          <w:rFonts w:hint="eastAsia" w:ascii="仿宋_GB2312" w:hAnsi="宋体" w:cs="宋体"/>
          <w:bCs/>
          <w:color w:val="auto"/>
          <w:kern w:val="0"/>
          <w:szCs w:val="24"/>
          <w:highlight w:val="none"/>
          <w:u w:val="none"/>
        </w:rPr>
        <w:t>产品</w:t>
      </w:r>
      <w:r>
        <w:rPr>
          <w:rFonts w:ascii="仿宋_GB2312" w:hAnsi="宋体" w:cs="宋体"/>
          <w:bCs/>
          <w:color w:val="auto"/>
          <w:kern w:val="0"/>
          <w:szCs w:val="24"/>
          <w:highlight w:val="none"/>
          <w:u w:val="none"/>
        </w:rPr>
        <w:t>管理人应按“</w:t>
      </w:r>
      <w:r>
        <w:rPr>
          <w:rFonts w:hint="eastAsia" w:ascii="仿宋_GB2312" w:hAnsi="宋体" w:cs="宋体"/>
          <w:bCs/>
          <w:color w:val="auto"/>
          <w:kern w:val="0"/>
          <w:szCs w:val="24"/>
          <w:highlight w:val="none"/>
          <w:u w:val="none"/>
        </w:rPr>
        <w:t>第十</w:t>
      </w:r>
      <w:r>
        <w:rPr>
          <w:rFonts w:hint="eastAsia" w:ascii="仿宋_GB2312" w:hAnsi="宋体" w:cs="宋体"/>
          <w:bCs/>
          <w:color w:val="auto"/>
          <w:kern w:val="0"/>
          <w:szCs w:val="24"/>
          <w:highlight w:val="none"/>
          <w:u w:val="none"/>
          <w:lang w:eastAsia="zh-CN"/>
        </w:rPr>
        <w:t>一</w:t>
      </w:r>
      <w:r>
        <w:rPr>
          <w:rFonts w:hint="eastAsia" w:ascii="仿宋_GB2312" w:hAnsi="宋体" w:cs="宋体"/>
          <w:bCs/>
          <w:color w:val="auto"/>
          <w:kern w:val="0"/>
          <w:szCs w:val="24"/>
          <w:highlight w:val="none"/>
          <w:u w:val="none"/>
        </w:rPr>
        <w:t>节 理财</w:t>
      </w:r>
      <w:r>
        <w:rPr>
          <w:rFonts w:ascii="仿宋_GB2312" w:hAnsi="宋体" w:cs="宋体"/>
          <w:bCs/>
          <w:color w:val="auto"/>
          <w:kern w:val="0"/>
          <w:szCs w:val="24"/>
          <w:highlight w:val="none"/>
          <w:u w:val="none"/>
        </w:rPr>
        <w:t>产品</w:t>
      </w:r>
      <w:r>
        <w:rPr>
          <w:rFonts w:hint="eastAsia" w:ascii="仿宋_GB2312" w:hAnsi="宋体" w:cs="宋体"/>
          <w:bCs/>
          <w:color w:val="auto"/>
          <w:kern w:val="0"/>
          <w:szCs w:val="24"/>
          <w:highlight w:val="none"/>
          <w:u w:val="none"/>
          <w:lang w:eastAsia="zh-CN"/>
        </w:rPr>
        <w:t>的</w:t>
      </w:r>
      <w:r>
        <w:rPr>
          <w:rFonts w:ascii="仿宋_GB2312" w:hAnsi="宋体" w:cs="宋体"/>
          <w:bCs/>
          <w:color w:val="auto"/>
          <w:kern w:val="0"/>
          <w:szCs w:val="24"/>
          <w:highlight w:val="none"/>
          <w:u w:val="none"/>
        </w:rPr>
        <w:t>终止与清算”</w:t>
      </w:r>
      <w:r>
        <w:rPr>
          <w:rFonts w:hint="eastAsia" w:ascii="仿宋_GB2312" w:hAnsi="宋体" w:cs="宋体"/>
          <w:bCs/>
          <w:color w:val="auto"/>
          <w:kern w:val="0"/>
          <w:szCs w:val="24"/>
          <w:highlight w:val="none"/>
          <w:u w:val="none"/>
        </w:rPr>
        <w:t>中</w:t>
      </w:r>
      <w:r>
        <w:rPr>
          <w:rFonts w:ascii="仿宋_GB2312" w:hAnsi="宋体" w:cs="宋体"/>
          <w:bCs/>
          <w:color w:val="auto"/>
          <w:kern w:val="0"/>
          <w:szCs w:val="24"/>
          <w:highlight w:val="none"/>
          <w:u w:val="none"/>
        </w:rPr>
        <w:t>产品清算期的相关约定向投资者分配</w:t>
      </w:r>
      <w:r>
        <w:rPr>
          <w:rFonts w:hint="eastAsia" w:ascii="仿宋_GB2312" w:hAnsi="宋体" w:cs="宋体"/>
          <w:bCs/>
          <w:color w:val="auto"/>
          <w:kern w:val="0"/>
          <w:szCs w:val="24"/>
          <w:highlight w:val="none"/>
          <w:u w:val="none"/>
        </w:rPr>
        <w:t>理财</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如有</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w:t>
      </w:r>
    </w:p>
    <w:p w14:paraId="4477D2D1">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w:t>
      </w:r>
      <w:r>
        <w:rPr>
          <w:rFonts w:hint="eastAsia" w:ascii="仿宋_GB2312" w:hAnsi="宋体" w:cs="宋体"/>
          <w:bCs/>
          <w:color w:val="auto"/>
          <w:kern w:val="0"/>
          <w:szCs w:val="24"/>
          <w:highlight w:val="none"/>
          <w:u w:val="none"/>
        </w:rPr>
        <w:t>具体</w:t>
      </w:r>
      <w:r>
        <w:rPr>
          <w:rFonts w:ascii="仿宋_GB2312" w:hAnsi="宋体" w:cs="宋体"/>
          <w:bCs/>
          <w:color w:val="auto"/>
          <w:kern w:val="0"/>
          <w:szCs w:val="24"/>
          <w:highlight w:val="none"/>
          <w:u w:val="none"/>
        </w:rPr>
        <w:t>的理财产品分配</w:t>
      </w:r>
      <w:r>
        <w:rPr>
          <w:rFonts w:hint="eastAsia" w:ascii="仿宋_GB2312" w:hAnsi="宋体" w:cs="宋体"/>
          <w:bCs/>
          <w:color w:val="auto"/>
          <w:kern w:val="0"/>
          <w:szCs w:val="24"/>
          <w:highlight w:val="none"/>
          <w:u w:val="none"/>
        </w:rPr>
        <w:t>以</w:t>
      </w:r>
      <w:r>
        <w:rPr>
          <w:rFonts w:ascii="仿宋_GB2312" w:hAnsi="宋体" w:cs="宋体"/>
          <w:bCs/>
          <w:color w:val="auto"/>
          <w:kern w:val="0"/>
          <w:szCs w:val="24"/>
          <w:highlight w:val="none"/>
          <w:u w:val="none"/>
        </w:rPr>
        <w:t>管理人实际分配的为准。</w:t>
      </w:r>
    </w:p>
    <w:p w14:paraId="074D732E">
      <w:pPr>
        <w:pStyle w:val="14"/>
        <w:widowControl/>
        <w:snapToGrid w:val="0"/>
        <w:spacing w:line="360" w:lineRule="auto"/>
        <w:ind w:firstLine="480" w:firstLineChars="200"/>
      </w:pPr>
      <w:r>
        <w:rPr>
          <w:rFonts w:hint="eastAsia" w:ascii="仿宋_GB2312" w:hAnsi="宋体" w:eastAsia="仿宋_GB2312"/>
          <w:bCs/>
        </w:rPr>
        <w:br w:type="page"/>
      </w:r>
    </w:p>
    <w:p w14:paraId="26910ADD">
      <w:pPr>
        <w:pStyle w:val="2"/>
        <w:numPr>
          <w:ilvl w:val="0"/>
          <w:numId w:val="12"/>
        </w:numPr>
        <w:rPr>
          <w:color w:val="auto"/>
          <w:highlight w:val="none"/>
          <w:u w:val="none"/>
        </w:rPr>
      </w:pPr>
      <w:r>
        <w:rPr>
          <w:rFonts w:hint="eastAsia"/>
          <w:color w:val="auto"/>
          <w:highlight w:val="none"/>
          <w:u w:val="none"/>
        </w:rPr>
        <w:t>理财产品的费用与税收</w:t>
      </w:r>
    </w:p>
    <w:p w14:paraId="56028494">
      <w:pPr>
        <w:pStyle w:val="3"/>
        <w:numPr>
          <w:ilvl w:val="1"/>
          <w:numId w:val="12"/>
        </w:numPr>
        <w:tabs>
          <w:tab w:val="left" w:pos="0"/>
          <w:tab w:val="left" w:pos="709"/>
        </w:tabs>
        <w:ind w:firstLine="482" w:firstLineChars="0"/>
        <w:rPr>
          <w:color w:val="auto"/>
          <w:highlight w:val="none"/>
          <w:u w:val="none"/>
        </w:rPr>
      </w:pPr>
      <w:r>
        <w:rPr>
          <w:rFonts w:hint="eastAsia"/>
          <w:color w:val="auto"/>
          <w:highlight w:val="none"/>
          <w:u w:val="none"/>
        </w:rPr>
        <w:t>理财费用</w:t>
      </w:r>
    </w:p>
    <w:p w14:paraId="3ED569B8">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1.理财产品费用的种类</w:t>
      </w:r>
    </w:p>
    <w:p w14:paraId="19D4692A">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（1）理财产品的认购费、申购费、赎回费；</w:t>
      </w:r>
    </w:p>
    <w:p w14:paraId="060E0E7C">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（2）理财产品的销售服务费；</w:t>
      </w:r>
    </w:p>
    <w:p w14:paraId="4A4D0406">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（3）理财产品的</w:t>
      </w:r>
      <w:r>
        <w:rPr>
          <w:rFonts w:hint="eastAsia" w:ascii="仿宋_GB2312" w:hAnsi="宋体" w:cs="宋体"/>
          <w:bCs/>
          <w:color w:val="auto"/>
          <w:kern w:val="0"/>
          <w:szCs w:val="24"/>
          <w:highlight w:val="none"/>
          <w:u w:val="none"/>
          <w:lang w:eastAsia="zh-CN"/>
        </w:rPr>
        <w:t>固定</w:t>
      </w:r>
      <w:r>
        <w:rPr>
          <w:rFonts w:hint="eastAsia" w:ascii="仿宋_GB2312" w:hAnsi="宋体" w:cs="宋体"/>
          <w:bCs/>
          <w:color w:val="auto"/>
          <w:kern w:val="0"/>
          <w:szCs w:val="24"/>
          <w:highlight w:val="none"/>
          <w:u w:val="none"/>
        </w:rPr>
        <w:t>管理费</w:t>
      </w:r>
      <w:r>
        <w:rPr>
          <w:rFonts w:ascii="仿宋_GB2312" w:hAnsi="宋体" w:cs="宋体"/>
          <w:bCs/>
          <w:color w:val="auto"/>
          <w:kern w:val="0"/>
          <w:szCs w:val="24"/>
          <w:highlight w:val="none"/>
          <w:u w:val="none"/>
        </w:rPr>
        <w:t>及</w:t>
      </w:r>
      <w:r>
        <w:rPr>
          <w:rFonts w:hint="eastAsia" w:ascii="仿宋_GB2312" w:hAnsi="宋体" w:cs="宋体"/>
          <w:bCs/>
          <w:color w:val="auto"/>
          <w:kern w:val="0"/>
          <w:szCs w:val="24"/>
          <w:highlight w:val="none"/>
          <w:u w:val="none"/>
          <w:lang w:eastAsia="zh-CN"/>
        </w:rPr>
        <w:t>浮动管理费</w:t>
      </w:r>
      <w:r>
        <w:rPr>
          <w:rFonts w:ascii="仿宋_GB2312" w:hAnsi="宋体" w:cs="宋体"/>
          <w:bCs/>
          <w:color w:val="auto"/>
          <w:kern w:val="0"/>
          <w:szCs w:val="24"/>
          <w:highlight w:val="none"/>
          <w:u w:val="none"/>
        </w:rPr>
        <w:t>；</w:t>
      </w:r>
    </w:p>
    <w:p w14:paraId="14E03712">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（4）理财产品的托管费；</w:t>
      </w:r>
    </w:p>
    <w:p w14:paraId="5AEBE1FD">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（5）</w:t>
      </w:r>
      <w:r>
        <w:rPr>
          <w:rFonts w:hint="eastAsia" w:ascii="仿宋_GB2312" w:hAnsi="宋体" w:cs="宋体"/>
          <w:bCs/>
          <w:color w:val="auto"/>
          <w:kern w:val="0"/>
          <w:szCs w:val="24"/>
          <w:highlight w:val="none"/>
          <w:u w:val="none"/>
        </w:rPr>
        <w:t>其他费用，包括但不限于：与</w:t>
      </w:r>
      <w:r>
        <w:rPr>
          <w:rFonts w:ascii="仿宋_GB2312" w:hAnsi="宋体" w:cs="宋体"/>
          <w:bCs/>
          <w:color w:val="auto"/>
          <w:kern w:val="0"/>
          <w:szCs w:val="24"/>
          <w:highlight w:val="none"/>
          <w:u w:val="none"/>
        </w:rPr>
        <w:t>理财产品相关的</w:t>
      </w:r>
      <w:r>
        <w:rPr>
          <w:rFonts w:hint="eastAsia" w:ascii="仿宋_GB2312" w:hAnsi="宋体" w:cs="宋体"/>
          <w:bCs/>
          <w:color w:val="auto"/>
          <w:kern w:val="0"/>
          <w:szCs w:val="24"/>
          <w:highlight w:val="none"/>
          <w:u w:val="none"/>
        </w:rPr>
        <w:t>账户服务费用、资产服务费用、交易费用（包括但不限于交易佣金、撮合费用等）、注册登记费、验资费、审计费、信息披露费、</w:t>
      </w:r>
      <w:r>
        <w:rPr>
          <w:rFonts w:hint="eastAsia" w:ascii="仿宋_GB2312" w:hAnsi="宋体" w:cs="宋体"/>
          <w:bCs/>
          <w:color w:val="auto"/>
          <w:kern w:val="0"/>
          <w:szCs w:val="24"/>
          <w:highlight w:val="yellow"/>
          <w:lang w:eastAsia="zh-CN"/>
        </w:rPr>
        <w:t>【信息服务费用】、</w:t>
      </w:r>
      <w:r>
        <w:rPr>
          <w:rFonts w:hint="eastAsia" w:ascii="仿宋_GB2312" w:hAnsi="宋体" w:cs="宋体"/>
          <w:bCs/>
          <w:color w:val="auto"/>
          <w:kern w:val="0"/>
          <w:szCs w:val="24"/>
          <w:highlight w:val="none"/>
          <w:u w:val="none"/>
        </w:rPr>
        <w:t>清算费用、执行费用（包括但不限于律师费、诉讼费、仲裁费、公证费、保全费、执行费等）以及按照法律法规、监管规定和理财产品销售文件约定可以列入的其他费用，具体以实际发生为准。</w:t>
      </w:r>
    </w:p>
    <w:p w14:paraId="425F6FA9">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宋体" w:hAnsi="宋体" w:cs="宋体"/>
          <w:color w:val="auto"/>
          <w:kern w:val="0"/>
          <w:szCs w:val="24"/>
          <w:highlight w:val="none"/>
          <w:u w:val="none"/>
        </w:rPr>
        <w:t>本产品可能根据投资者购买理财产品的</w:t>
      </w:r>
      <w:r>
        <w:rPr>
          <w:rFonts w:hint="eastAsia" w:ascii="仿宋_GB2312" w:hAnsi="宋体" w:cs="宋体"/>
          <w:bCs/>
          <w:color w:val="auto"/>
          <w:kern w:val="0"/>
          <w:szCs w:val="24"/>
          <w:highlight w:val="none"/>
          <w:u w:val="none"/>
        </w:rPr>
        <w:t>金额、销售渠道、客户类型</w:t>
      </w:r>
      <w:r>
        <w:rPr>
          <w:rFonts w:hint="eastAsia" w:ascii="宋体" w:hAnsi="宋体" w:cs="宋体"/>
          <w:color w:val="auto"/>
          <w:kern w:val="0"/>
          <w:szCs w:val="24"/>
          <w:highlight w:val="none"/>
          <w:u w:val="none"/>
        </w:rPr>
        <w:t>等因素设置不同产品份额</w:t>
      </w:r>
      <w:r>
        <w:rPr>
          <w:rFonts w:hint="eastAsia" w:ascii="仿宋_GB2312" w:hAnsi="宋体" w:cs="宋体"/>
          <w:bCs/>
          <w:color w:val="auto"/>
          <w:kern w:val="0"/>
          <w:szCs w:val="24"/>
          <w:highlight w:val="none"/>
          <w:u w:val="none"/>
        </w:rPr>
        <w:t>类别</w:t>
      </w:r>
      <w:r>
        <w:rPr>
          <w:rFonts w:hint="eastAsia" w:ascii="宋体" w:hAnsi="宋体" w:cs="宋体"/>
          <w:color w:val="auto"/>
          <w:kern w:val="0"/>
          <w:szCs w:val="24"/>
          <w:highlight w:val="none"/>
          <w:u w:val="none"/>
        </w:rPr>
        <w:t>，各类产品份额</w:t>
      </w:r>
      <w:r>
        <w:rPr>
          <w:rFonts w:hint="eastAsia" w:ascii="仿宋_GB2312" w:hAnsi="宋体" w:cs="宋体"/>
          <w:bCs/>
          <w:color w:val="auto"/>
          <w:kern w:val="0"/>
          <w:szCs w:val="24"/>
          <w:highlight w:val="none"/>
          <w:u w:val="none"/>
        </w:rPr>
        <w:t>可能分别设置不同的</w:t>
      </w:r>
      <w:r>
        <w:rPr>
          <w:rFonts w:ascii="仿宋_GB2312" w:hAnsi="宋体" w:cs="宋体"/>
          <w:bCs/>
          <w:color w:val="auto"/>
          <w:kern w:val="0"/>
          <w:szCs w:val="24"/>
          <w:highlight w:val="none"/>
          <w:u w:val="none"/>
        </w:rPr>
        <w:t>销售服务</w:t>
      </w:r>
      <w:r>
        <w:rPr>
          <w:rFonts w:ascii="宋体" w:hAnsi="宋体" w:cs="宋体"/>
          <w:color w:val="auto"/>
          <w:kern w:val="0"/>
          <w:szCs w:val="24"/>
          <w:highlight w:val="none"/>
          <w:u w:val="none"/>
        </w:rPr>
        <w:t>费率，</w:t>
      </w:r>
      <w:r>
        <w:rPr>
          <w:rFonts w:ascii="仿宋_GB2312" w:hAnsi="宋体" w:cs="宋体"/>
          <w:bCs/>
          <w:color w:val="auto"/>
          <w:kern w:val="0"/>
          <w:szCs w:val="24"/>
          <w:highlight w:val="none"/>
          <w:u w:val="none"/>
        </w:rPr>
        <w:t>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ascii="仿宋_GB2312" w:hAnsi="宋体" w:cs="宋体"/>
          <w:bCs/>
          <w:color w:val="auto"/>
          <w:kern w:val="0"/>
          <w:szCs w:val="24"/>
          <w:highlight w:val="none"/>
          <w:u w:val="none"/>
        </w:rPr>
        <w:t>”为准。</w:t>
      </w:r>
    </w:p>
    <w:p w14:paraId="0D3BC015">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2.理财产品费用计提方法、计提标准和支付方式</w:t>
      </w:r>
    </w:p>
    <w:p w14:paraId="668AD20F">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（1）理财产品的认购费、申购费、赎回费</w:t>
      </w:r>
    </w:p>
    <w:p w14:paraId="6AF48A29">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1）认购费：费率具体数值以《产品说明书》“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ascii="仿宋_GB2312" w:hAnsi="宋体" w:cs="宋体"/>
          <w:bCs/>
          <w:color w:val="auto"/>
          <w:kern w:val="0"/>
          <w:szCs w:val="24"/>
          <w:highlight w:val="none"/>
          <w:u w:val="none"/>
        </w:rPr>
        <w:t>”为准。</w:t>
      </w:r>
    </w:p>
    <w:p w14:paraId="0BEE4A05">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2）申购费：费率具体数值以《产品说明书》“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ascii="仿宋_GB2312" w:hAnsi="宋体" w:cs="宋体"/>
          <w:bCs/>
          <w:color w:val="auto"/>
          <w:kern w:val="0"/>
          <w:szCs w:val="24"/>
          <w:highlight w:val="none"/>
          <w:u w:val="none"/>
        </w:rPr>
        <w:t>”为准。</w:t>
      </w:r>
    </w:p>
    <w:p w14:paraId="3E08F688">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3）赎回费：费率具体数值以《产品说明书》“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”为准。</w:t>
      </w:r>
    </w:p>
    <w:p w14:paraId="6892B164">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（2）理财产品的销售服务费</w:t>
      </w:r>
    </w:p>
    <w:p w14:paraId="0A5CC517">
      <w:pPr>
        <w:tabs>
          <w:tab w:val="left" w:pos="3119"/>
        </w:tabs>
        <w:autoSpaceDE w:val="0"/>
        <w:autoSpaceDN w:val="0"/>
        <w:snapToGrid w:val="0"/>
        <w:spacing w:line="360" w:lineRule="auto"/>
        <w:ind w:firstLine="420" w:firstLineChars="200"/>
        <w:rPr>
          <w:rFonts w:ascii="仿宋_GB2312" w:hAnsi="宋体" w:cs="宋体"/>
          <w:bCs/>
          <w:color w:val="auto"/>
          <w:spacing w:val="-4"/>
          <w:kern w:val="0"/>
          <w:szCs w:val="24"/>
          <w:highlight w:val="yellow"/>
          <w:u w:val="none"/>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本产品的销售服务费按前一日理财资产净值与销售服务费费率每日计提。</w:t>
      </w:r>
      <w:r>
        <w:rPr>
          <w:rFonts w:hint="eastAsia" w:ascii="仿宋_GB2312" w:hAnsi="宋体" w:cs="宋体"/>
          <w:bCs/>
          <w:color w:val="auto"/>
          <w:spacing w:val="-4"/>
          <w:kern w:val="0"/>
          <w:szCs w:val="24"/>
          <w:highlight w:val="yellow"/>
          <w:u w:val="none"/>
        </w:rPr>
        <w:t>管理人可按季或产品开放周期（如有）收取，或与后续季度、开放周期（如有）合并收取</w:t>
      </w:r>
      <w:r>
        <w:rPr>
          <w:rFonts w:hint="eastAsia" w:ascii="仿宋_GB2312" w:hAnsi="宋体" w:cs="宋体"/>
          <w:bCs/>
          <w:color w:val="auto"/>
          <w:kern w:val="0"/>
          <w:szCs w:val="24"/>
          <w:highlight w:val="yellow"/>
          <w:u w:val="none"/>
        </w:rPr>
        <w:t>。销售服务费</w:t>
      </w:r>
      <w:r>
        <w:rPr>
          <w:rFonts w:hint="eastAsia" w:ascii="仿宋_GB2312" w:hAnsi="宋体" w:cs="宋体"/>
          <w:bCs/>
          <w:color w:val="auto"/>
          <w:spacing w:val="-4"/>
          <w:kern w:val="0"/>
          <w:szCs w:val="24"/>
          <w:highlight w:val="yellow"/>
          <w:u w:val="none"/>
        </w:rPr>
        <w:t>精确到小数点后2位，小数点2位以后四舍五入。</w:t>
      </w:r>
    </w:p>
    <w:p w14:paraId="2E9D7D31">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销售服务费的计算方法如下：</w:t>
      </w:r>
    </w:p>
    <w:p w14:paraId="3932AA79">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H＝E×销售服务费年费率÷365</w:t>
      </w:r>
    </w:p>
    <w:p w14:paraId="59CD16FD">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H为每日应计提的销售服务费</w:t>
      </w:r>
    </w:p>
    <w:p w14:paraId="0E92AD29">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rPr>
        <w:t>E为前一日的理财资产净值</w:t>
      </w:r>
      <w:r>
        <w:rPr>
          <w:rFonts w:hint="eastAsia"/>
          <w:highlight w:val="yellow"/>
          <w:lang w:eastAsia="zh-CN"/>
        </w:rPr>
        <w:t>】</w:t>
      </w:r>
    </w:p>
    <w:p w14:paraId="02AFC9F3">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销售服务费依照上述约定，从理财财产中支付。费率具体数值以《产品说明书》“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”为准。</w:t>
      </w:r>
    </w:p>
    <w:p w14:paraId="6580BC2B">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none"/>
          <w:u w:val="none"/>
          <w:lang w:eastAsia="zh-CN"/>
        </w:rPr>
      </w:pPr>
      <w:r>
        <w:rPr>
          <w:rFonts w:hint="eastAsia" w:ascii="仿宋_GB2312" w:hAnsi="宋体" w:cs="宋体"/>
          <w:bCs/>
          <w:color w:val="auto"/>
          <w:kern w:val="0"/>
          <w:szCs w:val="24"/>
          <w:highlight w:val="none"/>
          <w:u w:val="none"/>
        </w:rPr>
        <w:t>（3）理财产品的</w:t>
      </w:r>
      <w:r>
        <w:rPr>
          <w:rFonts w:hint="eastAsia" w:ascii="仿宋_GB2312" w:hAnsi="宋体" w:cs="宋体"/>
          <w:bCs/>
          <w:color w:val="auto"/>
          <w:kern w:val="0"/>
          <w:szCs w:val="24"/>
          <w:highlight w:val="none"/>
          <w:u w:val="none"/>
          <w:lang w:eastAsia="zh-CN"/>
        </w:rPr>
        <w:t>固定管理费</w:t>
      </w:r>
    </w:p>
    <w:p w14:paraId="39A42EB9">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本产品的</w:t>
      </w:r>
      <w:r>
        <w:rPr>
          <w:rFonts w:hint="eastAsia" w:ascii="仿宋_GB2312" w:hAnsi="宋体" w:cs="宋体"/>
          <w:bCs/>
          <w:color w:val="auto"/>
          <w:kern w:val="0"/>
          <w:szCs w:val="24"/>
          <w:highlight w:val="yellow"/>
          <w:u w:val="none"/>
          <w:lang w:eastAsia="zh-CN"/>
        </w:rPr>
        <w:t>固定管理费</w:t>
      </w:r>
      <w:r>
        <w:rPr>
          <w:rFonts w:hint="eastAsia" w:ascii="仿宋_GB2312" w:hAnsi="宋体" w:cs="宋体"/>
          <w:bCs/>
          <w:color w:val="auto"/>
          <w:kern w:val="0"/>
          <w:szCs w:val="24"/>
          <w:highlight w:val="yellow"/>
          <w:u w:val="none"/>
        </w:rPr>
        <w:t>按前一日理财资产净值与</w:t>
      </w:r>
      <w:r>
        <w:rPr>
          <w:rFonts w:hint="eastAsia" w:ascii="仿宋_GB2312" w:hAnsi="宋体" w:cs="宋体"/>
          <w:bCs/>
          <w:color w:val="auto"/>
          <w:kern w:val="0"/>
          <w:szCs w:val="24"/>
          <w:highlight w:val="yellow"/>
          <w:u w:val="none"/>
          <w:lang w:eastAsia="zh-CN"/>
        </w:rPr>
        <w:t>固定管理费</w:t>
      </w:r>
      <w:r>
        <w:rPr>
          <w:rFonts w:hint="eastAsia" w:ascii="仿宋_GB2312" w:hAnsi="宋体" w:cs="宋体"/>
          <w:bCs/>
          <w:color w:val="auto"/>
          <w:kern w:val="0"/>
          <w:szCs w:val="24"/>
          <w:highlight w:val="yellow"/>
          <w:u w:val="none"/>
        </w:rPr>
        <w:t>费率每日计提，</w:t>
      </w:r>
      <w:r>
        <w:rPr>
          <w:rFonts w:hint="eastAsia" w:ascii="仿宋_GB2312" w:hAnsi="宋体" w:cs="宋体"/>
          <w:bCs/>
          <w:color w:val="auto"/>
          <w:spacing w:val="-4"/>
          <w:kern w:val="0"/>
          <w:szCs w:val="24"/>
          <w:highlight w:val="yellow"/>
          <w:u w:val="none"/>
        </w:rPr>
        <w:t>管理人可按季或产品开放周期（如有）收取，或与后续季度、开放周期（如有）合并收取。</w:t>
      </w:r>
      <w:r>
        <w:rPr>
          <w:rFonts w:hint="eastAsia" w:ascii="仿宋_GB2312" w:hAnsi="宋体" w:cs="宋体"/>
          <w:bCs/>
          <w:color w:val="auto"/>
          <w:kern w:val="0"/>
          <w:szCs w:val="24"/>
          <w:highlight w:val="yellow"/>
          <w:u w:val="none"/>
          <w:lang w:eastAsia="zh-CN"/>
        </w:rPr>
        <w:t>固定管理费</w:t>
      </w:r>
      <w:r>
        <w:rPr>
          <w:rFonts w:hint="eastAsia" w:ascii="仿宋_GB2312" w:hAnsi="宋体" w:cs="宋体"/>
          <w:bCs/>
          <w:color w:val="auto"/>
          <w:spacing w:val="-4"/>
          <w:kern w:val="0"/>
          <w:szCs w:val="24"/>
          <w:highlight w:val="yellow"/>
          <w:u w:val="none"/>
        </w:rPr>
        <w:t>精确到小数点后2位，小数点2位以后四舍五入</w:t>
      </w:r>
      <w:r>
        <w:rPr>
          <w:rFonts w:hint="eastAsia" w:ascii="仿宋_GB2312" w:hAnsi="宋体" w:cs="宋体"/>
          <w:bCs/>
          <w:color w:val="auto"/>
          <w:kern w:val="0"/>
          <w:szCs w:val="24"/>
          <w:highlight w:val="yellow"/>
          <w:u w:val="none"/>
        </w:rPr>
        <w:t>。</w:t>
      </w:r>
    </w:p>
    <w:p w14:paraId="00E9F519">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lang w:eastAsia="zh-CN"/>
        </w:rPr>
        <w:t>固定管理费</w:t>
      </w:r>
      <w:r>
        <w:rPr>
          <w:rFonts w:hint="eastAsia" w:ascii="仿宋_GB2312" w:hAnsi="宋体" w:cs="宋体"/>
          <w:bCs/>
          <w:color w:val="auto"/>
          <w:kern w:val="0"/>
          <w:szCs w:val="24"/>
          <w:highlight w:val="yellow"/>
          <w:u w:val="none"/>
        </w:rPr>
        <w:t>的计算方法如下：</w:t>
      </w:r>
    </w:p>
    <w:p w14:paraId="0DCAC454">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H＝E×</w:t>
      </w:r>
      <w:r>
        <w:rPr>
          <w:rFonts w:hint="eastAsia" w:ascii="仿宋_GB2312" w:hAnsi="宋体" w:cs="宋体"/>
          <w:bCs/>
          <w:color w:val="auto"/>
          <w:kern w:val="0"/>
          <w:szCs w:val="24"/>
          <w:highlight w:val="yellow"/>
          <w:u w:val="none"/>
          <w:lang w:eastAsia="zh-CN"/>
        </w:rPr>
        <w:t>固定管理费</w:t>
      </w:r>
      <w:r>
        <w:rPr>
          <w:rFonts w:hint="eastAsia" w:ascii="仿宋_GB2312" w:hAnsi="宋体" w:cs="宋体"/>
          <w:bCs/>
          <w:color w:val="auto"/>
          <w:kern w:val="0"/>
          <w:szCs w:val="24"/>
          <w:highlight w:val="yellow"/>
          <w:u w:val="none"/>
        </w:rPr>
        <w:t>年费率÷365</w:t>
      </w:r>
    </w:p>
    <w:p w14:paraId="23E14566">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rPr>
        <w:t>H为每日应计提的产品</w:t>
      </w:r>
      <w:r>
        <w:rPr>
          <w:rFonts w:hint="eastAsia" w:ascii="仿宋_GB2312" w:hAnsi="宋体" w:cs="宋体"/>
          <w:bCs/>
          <w:color w:val="auto"/>
          <w:kern w:val="0"/>
          <w:szCs w:val="24"/>
          <w:highlight w:val="yellow"/>
          <w:u w:val="none"/>
          <w:lang w:eastAsia="zh-CN"/>
        </w:rPr>
        <w:t>固定管理费</w:t>
      </w:r>
    </w:p>
    <w:p w14:paraId="304D06A3">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rPr>
        <w:t>E为前一日的理财资产净值</w:t>
      </w:r>
      <w:r>
        <w:rPr>
          <w:rFonts w:hint="eastAsia"/>
          <w:highlight w:val="yellow"/>
          <w:lang w:eastAsia="zh-CN"/>
        </w:rPr>
        <w:t>】</w:t>
      </w:r>
    </w:p>
    <w:p w14:paraId="54E75022">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eastAsia="zh-CN"/>
        </w:rPr>
        <w:t>固定管理费</w:t>
      </w:r>
      <w:r>
        <w:rPr>
          <w:rFonts w:hint="eastAsia" w:ascii="仿宋_GB2312" w:hAnsi="宋体" w:cs="宋体"/>
          <w:bCs/>
          <w:color w:val="auto"/>
          <w:kern w:val="0"/>
          <w:szCs w:val="24"/>
          <w:highlight w:val="none"/>
          <w:u w:val="none"/>
        </w:rPr>
        <w:t>依照上述约定，从理财财产中支付。费率具体数值以《产品说明书》“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”为准。</w:t>
      </w:r>
    </w:p>
    <w:p w14:paraId="082114DF">
      <w:pPr>
        <w:pStyle w:val="13"/>
        <w:widowControl/>
        <w:numPr>
          <w:ilvl w:val="255"/>
          <w:numId w:val="0"/>
        </w:numPr>
        <w:snapToGrid w:val="0"/>
        <w:spacing w:line="360" w:lineRule="auto"/>
        <w:ind w:firstLine="420" w:firstLineChars="200"/>
        <w:rPr>
          <w:rFonts w:hint="eastAsia" w:eastAsia="仿宋_GB2312"/>
          <w:color w:val="auto"/>
          <w:highlight w:val="none"/>
          <w:u w:val="none"/>
          <w:lang w:eastAsia="zh-CN"/>
        </w:rPr>
      </w:pPr>
      <w:r>
        <w:rPr>
          <w:rFonts w:hint="eastAsia" w:ascii="仿宋_GB2312" w:hAnsi="宋体" w:cs="宋体"/>
          <w:bCs/>
          <w:color w:val="auto"/>
          <w:kern w:val="0"/>
          <w:szCs w:val="24"/>
          <w:highlight w:val="none"/>
          <w:u w:val="none"/>
        </w:rPr>
        <w:t>（4）</w:t>
      </w:r>
      <w:r>
        <w:rPr>
          <w:rFonts w:hint="eastAsia" w:ascii="仿宋_GB2312" w:hAnsi="宋体" w:cs="宋体"/>
          <w:bCs/>
          <w:color w:val="auto"/>
          <w:kern w:val="0"/>
          <w:szCs w:val="24"/>
          <w:highlight w:val="none"/>
          <w:u w:val="none"/>
          <w:lang w:eastAsia="zh-CN"/>
        </w:rPr>
        <w:t>浮动管理费</w:t>
      </w:r>
    </w:p>
    <w:p w14:paraId="2AD63FAF">
      <w:pPr>
        <w:pStyle w:val="13"/>
        <w:widowControl/>
        <w:snapToGrid w:val="0"/>
        <w:spacing w:line="360" w:lineRule="auto"/>
        <w:ind w:left="420" w:firstLine="0" w:firstLineChars="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rPr>
        <w:t>【</w:t>
      </w: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本产品</w:t>
      </w:r>
      <w:r>
        <w:rPr>
          <w:rFonts w:ascii="仿宋_GB2312" w:hAnsi="宋体" w:cs="宋体"/>
          <w:bCs/>
          <w:color w:val="auto"/>
          <w:kern w:val="0"/>
          <w:szCs w:val="24"/>
          <w:highlight w:val="yellow"/>
          <w:u w:val="none"/>
        </w:rPr>
        <w:t>无</w:t>
      </w:r>
      <w:r>
        <w:rPr>
          <w:rFonts w:hint="eastAsia" w:ascii="仿宋_GB2312" w:hAnsi="宋体" w:cs="宋体"/>
          <w:bCs/>
          <w:color w:val="auto"/>
          <w:kern w:val="0"/>
          <w:szCs w:val="24"/>
          <w:highlight w:val="yellow"/>
          <w:u w:val="none"/>
          <w:lang w:eastAsia="zh-CN"/>
        </w:rPr>
        <w:t>浮动管理费</w:t>
      </w:r>
      <w:r>
        <w:rPr>
          <w:rFonts w:ascii="仿宋_GB2312" w:hAnsi="宋体" w:cs="宋体"/>
          <w:bCs/>
          <w:color w:val="auto"/>
          <w:kern w:val="0"/>
          <w:szCs w:val="24"/>
          <w:highlight w:val="yellow"/>
          <w:u w:val="none"/>
        </w:rPr>
        <w:t>。</w:t>
      </w:r>
      <w:r>
        <w:rPr>
          <w:rFonts w:hint="eastAsia" w:ascii="仿宋_GB2312" w:hAnsi="宋体" w:cs="宋体"/>
          <w:bCs/>
          <w:color w:val="auto"/>
          <w:kern w:val="0"/>
          <w:szCs w:val="24"/>
          <w:highlight w:val="yellow"/>
          <w:u w:val="none"/>
          <w:lang w:eastAsia="zh-CN"/>
        </w:rPr>
        <w:t>】</w:t>
      </w:r>
    </w:p>
    <w:p w14:paraId="7AF6D357">
      <w:pPr>
        <w:widowControl/>
        <w:tabs>
          <w:tab w:val="left" w:pos="709"/>
        </w:tabs>
        <w:snapToGrid w:val="0"/>
        <w:spacing w:line="360" w:lineRule="auto"/>
        <w:ind w:firstLine="420" w:firstLineChars="200"/>
        <w:rPr>
          <w:color w:val="auto"/>
          <w:highlight w:val="yellow"/>
          <w:u w:val="none"/>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□理财产品管理人收取理财产品</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每日计提，在产品到期日收取（如有）。在理财产品到期日时</w:t>
      </w:r>
      <w:r>
        <w:rPr>
          <w:rFonts w:hint="eastAsia"/>
          <w:color w:val="auto"/>
          <w:highlight w:val="yellow"/>
          <w:u w:val="none"/>
        </w:rPr>
        <w:t>，若理财资产扣除销售服务费、</w:t>
      </w:r>
      <w:r>
        <w:rPr>
          <w:rFonts w:hint="eastAsia"/>
          <w:color w:val="auto"/>
          <w:highlight w:val="yellow"/>
          <w:u w:val="none"/>
          <w:lang w:eastAsia="zh-CN"/>
        </w:rPr>
        <w:t>托管费</w:t>
      </w:r>
      <w:r>
        <w:rPr>
          <w:rFonts w:hint="eastAsia"/>
          <w:color w:val="auto"/>
          <w:highlight w:val="yellow"/>
          <w:u w:val="none"/>
        </w:rPr>
        <w:t>和</w:t>
      </w:r>
      <w:r>
        <w:rPr>
          <w:rFonts w:hint="eastAsia"/>
          <w:color w:val="auto"/>
          <w:highlight w:val="yellow"/>
          <w:u w:val="none"/>
          <w:lang w:eastAsia="zh-CN"/>
        </w:rPr>
        <w:t>固定管理费</w:t>
      </w:r>
      <w:r>
        <w:rPr>
          <w:rFonts w:hint="eastAsia"/>
          <w:color w:val="auto"/>
          <w:highlight w:val="yellow"/>
          <w:u w:val="none"/>
        </w:rPr>
        <w:t>等相关费用和税收后，产品年化收益率超过</w:t>
      </w:r>
      <w:r>
        <w:rPr>
          <w:rFonts w:hint="eastAsia"/>
          <w:color w:val="auto"/>
          <w:highlight w:val="yellow"/>
          <w:u w:val="none"/>
          <w:lang w:eastAsia="zh-CN"/>
        </w:rPr>
        <w:t>浮动管理费</w:t>
      </w:r>
      <w:r>
        <w:rPr>
          <w:rFonts w:hint="eastAsia"/>
          <w:color w:val="auto"/>
          <w:highlight w:val="yellow"/>
          <w:u w:val="none"/>
        </w:rPr>
        <w:t>计提基准，则产品管理人收取超出部分的一定比例作为</w:t>
      </w:r>
      <w:r>
        <w:rPr>
          <w:rFonts w:hint="eastAsia"/>
          <w:color w:val="auto"/>
          <w:highlight w:val="yellow"/>
          <w:u w:val="none"/>
          <w:lang w:eastAsia="zh-CN"/>
        </w:rPr>
        <w:t>浮动管理费</w:t>
      </w:r>
      <w:r>
        <w:rPr>
          <w:rFonts w:hint="eastAsia"/>
          <w:color w:val="auto"/>
          <w:highlight w:val="yellow"/>
          <w:u w:val="none"/>
        </w:rPr>
        <w:t>。</w:t>
      </w:r>
    </w:p>
    <w:p w14:paraId="4187B1F8">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计提基准的设置、</w:t>
      </w:r>
      <w:r>
        <w:rPr>
          <w:rFonts w:hint="eastAsia"/>
          <w:color w:val="auto"/>
          <w:highlight w:val="yellow"/>
          <w:u w:val="none"/>
          <w:lang w:eastAsia="zh-CN"/>
        </w:rPr>
        <w:t>浮动管理费</w:t>
      </w:r>
      <w:r>
        <w:rPr>
          <w:rFonts w:hint="eastAsia" w:ascii="仿宋_GB2312" w:hAnsi="宋体" w:cs="宋体"/>
          <w:bCs/>
          <w:color w:val="auto"/>
          <w:kern w:val="0"/>
          <w:szCs w:val="24"/>
          <w:highlight w:val="yellow"/>
          <w:u w:val="none"/>
        </w:rPr>
        <w:t>的具体比例数值以《产品说明书》“</w:t>
      </w:r>
      <w:r>
        <w:rPr>
          <w:rFonts w:hint="eastAsia" w:ascii="仿宋_GB2312" w:hAnsi="宋体" w:cs="宋体"/>
          <w:bCs/>
          <w:color w:val="auto"/>
          <w:kern w:val="0"/>
          <w:szCs w:val="24"/>
          <w:highlight w:val="yellow"/>
          <w:u w:val="none"/>
          <w:lang w:eastAsia="zh-CN"/>
        </w:rPr>
        <w:t>第一节 理财产品说明书关键要素</w:t>
      </w:r>
      <w:r>
        <w:rPr>
          <w:rFonts w:hint="eastAsia" w:ascii="仿宋_GB2312" w:hAnsi="宋体" w:cs="宋体"/>
          <w:bCs/>
          <w:color w:val="auto"/>
          <w:kern w:val="0"/>
          <w:szCs w:val="24"/>
          <w:highlight w:val="yellow"/>
          <w:u w:val="none"/>
        </w:rPr>
        <w:t>”为准。</w:t>
      </w:r>
    </w:p>
    <w:p w14:paraId="6AEF7A6B">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color w:val="auto"/>
          <w:highlight w:val="yellow"/>
          <w:u w:val="none"/>
          <w:lang w:eastAsia="zh-CN"/>
        </w:rPr>
        <w:t>浮动管理费</w:t>
      </w:r>
      <w:r>
        <w:rPr>
          <w:rFonts w:hint="eastAsia" w:ascii="仿宋_GB2312" w:hAnsi="宋体" w:cs="宋体"/>
          <w:bCs/>
          <w:color w:val="auto"/>
          <w:kern w:val="0"/>
          <w:szCs w:val="24"/>
          <w:highlight w:val="yellow"/>
          <w:u w:val="none"/>
        </w:rPr>
        <w:t xml:space="preserve">的计提/收取如下： </w:t>
      </w:r>
    </w:p>
    <w:p w14:paraId="7F508AB4">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产品年化收益率</w:t>
      </w:r>
      <w:r>
        <w:rPr>
          <w:rFonts w:ascii="仿宋_GB2312" w:hAnsi="宋体" w:cs="宋体"/>
          <w:bCs/>
          <w:color w:val="auto"/>
          <w:kern w:val="0"/>
          <w:szCs w:val="24"/>
          <w:highlight w:val="yellow"/>
          <w:u w:val="none"/>
        </w:rPr>
        <w:t>R</w:t>
      </w:r>
      <w:r>
        <w:rPr>
          <w:rFonts w:hint="eastAsia" w:ascii="仿宋_GB2312" w:hAnsi="宋体" w:cs="宋体"/>
          <w:bCs/>
          <w:color w:val="auto"/>
          <w:kern w:val="0"/>
          <w:szCs w:val="24"/>
          <w:highlight w:val="yellow"/>
          <w:u w:val="none"/>
        </w:rPr>
        <w:t>的计算公式，R=（</w:t>
      </w:r>
      <w:r>
        <w:rPr>
          <w:rFonts w:ascii="仿宋_GB2312" w:hAnsi="宋体" w:cs="宋体"/>
          <w:bCs/>
          <w:color w:val="auto"/>
          <w:kern w:val="0"/>
          <w:szCs w:val="24"/>
          <w:highlight w:val="yellow"/>
          <w:u w:val="none"/>
        </w:rPr>
        <w:t>V</w:t>
      </w:r>
      <w:r>
        <w:rPr>
          <w:rFonts w:hint="eastAsia" w:ascii="仿宋_GB2312" w:hAnsi="宋体" w:cs="宋体"/>
          <w:bCs/>
          <w:color w:val="auto"/>
          <w:kern w:val="0"/>
          <w:sz w:val="13"/>
          <w:szCs w:val="24"/>
          <w:highlight w:val="yellow"/>
          <w:u w:val="none"/>
        </w:rPr>
        <w:t>计提/到期日产品份额累计净值</w:t>
      </w:r>
      <w:r>
        <w:rPr>
          <w:rFonts w:hint="eastAsia" w:ascii="仿宋_GB2312" w:hAnsi="宋体" w:cs="宋体"/>
          <w:bCs/>
          <w:color w:val="auto"/>
          <w:kern w:val="0"/>
          <w:szCs w:val="24"/>
          <w:highlight w:val="yellow"/>
          <w:u w:val="none"/>
        </w:rPr>
        <w:t>-V</w:t>
      </w:r>
      <w:r>
        <w:rPr>
          <w:rFonts w:hint="eastAsia" w:ascii="仿宋_GB2312" w:hAnsi="宋体" w:cs="宋体"/>
          <w:bCs/>
          <w:color w:val="auto"/>
          <w:kern w:val="0"/>
          <w:sz w:val="13"/>
          <w:szCs w:val="24"/>
          <w:highlight w:val="yellow"/>
          <w:u w:val="none"/>
        </w:rPr>
        <w:t>期初份额净值</w:t>
      </w:r>
      <w:r>
        <w:rPr>
          <w:rFonts w:hint="eastAsia" w:ascii="仿宋_GB2312" w:hAnsi="宋体" w:cs="宋体"/>
          <w:bCs/>
          <w:color w:val="auto"/>
          <w:kern w:val="0"/>
          <w:szCs w:val="24"/>
          <w:highlight w:val="yellow"/>
          <w:u w:val="none"/>
        </w:rPr>
        <w:t>）/V</w:t>
      </w:r>
      <w:r>
        <w:rPr>
          <w:rFonts w:hint="eastAsia" w:ascii="仿宋_GB2312" w:hAnsi="宋体" w:cs="宋体"/>
          <w:bCs/>
          <w:color w:val="auto"/>
          <w:kern w:val="0"/>
          <w:sz w:val="13"/>
          <w:szCs w:val="24"/>
          <w:highlight w:val="yellow"/>
          <w:u w:val="none"/>
        </w:rPr>
        <w:t>期初份额净值</w:t>
      </w:r>
      <w:r>
        <w:rPr>
          <w:rFonts w:hint="eastAsia" w:ascii="仿宋_GB2312" w:hAnsi="宋体" w:cs="宋体"/>
          <w:bCs/>
          <w:color w:val="auto"/>
          <w:kern w:val="0"/>
          <w:szCs w:val="24"/>
          <w:highlight w:val="yellow"/>
          <w:u w:val="none"/>
        </w:rPr>
        <w:t>/（</w:t>
      </w:r>
      <w:r>
        <w:rPr>
          <w:rFonts w:ascii="仿宋_GB2312" w:hAnsi="宋体" w:cs="宋体"/>
          <w:bCs/>
          <w:color w:val="auto"/>
          <w:kern w:val="0"/>
          <w:szCs w:val="24"/>
          <w:highlight w:val="yellow"/>
          <w:u w:val="none"/>
        </w:rPr>
        <w:t>D+1</w:t>
      </w:r>
      <w:r>
        <w:rPr>
          <w:rFonts w:hint="eastAsia" w:ascii="仿宋_GB2312" w:hAnsi="宋体" w:cs="宋体"/>
          <w:bCs/>
          <w:color w:val="auto"/>
          <w:kern w:val="0"/>
          <w:szCs w:val="24"/>
          <w:highlight w:val="yellow"/>
          <w:u w:val="none"/>
        </w:rPr>
        <w:t>）</w:t>
      </w:r>
      <w:r>
        <w:rPr>
          <w:rFonts w:ascii="仿宋_GB2312" w:hAnsi="宋体" w:cs="宋体"/>
          <w:bCs/>
          <w:color w:val="auto"/>
          <w:kern w:val="0"/>
          <w:szCs w:val="24"/>
          <w:highlight w:val="yellow"/>
          <w:u w:val="none"/>
        </w:rPr>
        <w:t>*365*100</w:t>
      </w:r>
      <w:r>
        <w:rPr>
          <w:rFonts w:hint="eastAsia" w:ascii="仿宋_GB2312" w:hAnsi="宋体" w:cs="宋体"/>
          <w:bCs/>
          <w:color w:val="auto"/>
          <w:kern w:val="0"/>
          <w:szCs w:val="24"/>
          <w:highlight w:val="yellow"/>
          <w:u w:val="none"/>
        </w:rPr>
        <w:t>%</w:t>
      </w:r>
    </w:p>
    <w:p w14:paraId="33291377">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产品管理人对产品年化收益率</w:t>
      </w:r>
      <w:r>
        <w:rPr>
          <w:rFonts w:ascii="仿宋_GB2312" w:hAnsi="宋体" w:cs="宋体"/>
          <w:bCs/>
          <w:color w:val="auto"/>
          <w:kern w:val="0"/>
          <w:szCs w:val="24"/>
          <w:highlight w:val="yellow"/>
          <w:u w:val="none"/>
        </w:rPr>
        <w:t>超过</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计提基准的部分，按</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分成比例</w:t>
      </w:r>
      <w:r>
        <w:rPr>
          <w:rFonts w:ascii="仿宋_GB2312" w:hAnsi="宋体" w:cs="宋体"/>
          <w:bCs/>
          <w:color w:val="auto"/>
          <w:kern w:val="0"/>
          <w:szCs w:val="24"/>
          <w:highlight w:val="yellow"/>
          <w:u w:val="none"/>
        </w:rPr>
        <w:t>以及产品份额持有天数</w:t>
      </w:r>
      <w:r>
        <w:rPr>
          <w:rFonts w:hint="eastAsia" w:ascii="仿宋_GB2312" w:hAnsi="宋体" w:cs="宋体"/>
          <w:bCs/>
          <w:color w:val="auto"/>
          <w:kern w:val="0"/>
          <w:szCs w:val="24"/>
          <w:highlight w:val="yellow"/>
          <w:u w:val="none"/>
        </w:rPr>
        <w:t>计提/收取</w:t>
      </w:r>
      <w:r>
        <w:rPr>
          <w:rFonts w:hint="eastAsia"/>
          <w:color w:val="auto"/>
          <w:highlight w:val="yellow"/>
          <w:u w:val="none"/>
          <w:lang w:eastAsia="zh-CN"/>
        </w:rPr>
        <w:t>浮动管理费</w:t>
      </w:r>
      <w:r>
        <w:rPr>
          <w:rFonts w:hint="eastAsia" w:ascii="仿宋_GB2312" w:hAnsi="宋体" w:cs="宋体"/>
          <w:bCs/>
          <w:color w:val="auto"/>
          <w:kern w:val="0"/>
          <w:szCs w:val="24"/>
          <w:highlight w:val="yellow"/>
          <w:u w:val="none"/>
        </w:rPr>
        <w:t>，计算方法如下：</w:t>
      </w:r>
    </w:p>
    <w:p w14:paraId="0DFFC1E6">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当</w:t>
      </w:r>
      <w:r>
        <w:rPr>
          <w:rFonts w:ascii="仿宋_GB2312" w:hAnsi="宋体" w:cs="宋体"/>
          <w:bCs/>
          <w:color w:val="auto"/>
          <w:kern w:val="0"/>
          <w:szCs w:val="24"/>
          <w:highlight w:val="yellow"/>
          <w:u w:val="none"/>
        </w:rPr>
        <w:t>R≤</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计提基准，可计提/收取</w:t>
      </w:r>
      <w:r>
        <w:rPr>
          <w:rFonts w:hint="eastAsia"/>
          <w:color w:val="auto"/>
          <w:highlight w:val="yellow"/>
          <w:u w:val="none"/>
          <w:lang w:eastAsia="zh-CN"/>
        </w:rPr>
        <w:t>浮动管理费</w:t>
      </w:r>
      <w:r>
        <w:rPr>
          <w:rFonts w:ascii="仿宋_GB2312" w:hAnsi="宋体" w:cs="宋体"/>
          <w:bCs/>
          <w:color w:val="auto"/>
          <w:kern w:val="0"/>
          <w:szCs w:val="24"/>
          <w:highlight w:val="yellow"/>
          <w:u w:val="none"/>
        </w:rPr>
        <w:t>=0；</w:t>
      </w:r>
    </w:p>
    <w:p w14:paraId="7776C4D8">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当</w:t>
      </w:r>
      <w:r>
        <w:rPr>
          <w:rFonts w:ascii="仿宋_GB2312" w:hAnsi="宋体" w:cs="宋体"/>
          <w:bCs/>
          <w:color w:val="auto"/>
          <w:kern w:val="0"/>
          <w:szCs w:val="24"/>
          <w:highlight w:val="yellow"/>
          <w:u w:val="none"/>
        </w:rPr>
        <w:t>R＞</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计提基准，可计提/收取</w:t>
      </w:r>
      <w:r>
        <w:rPr>
          <w:rFonts w:hint="eastAsia"/>
          <w:color w:val="auto"/>
          <w:highlight w:val="yellow"/>
          <w:u w:val="none"/>
          <w:lang w:eastAsia="zh-CN"/>
        </w:rPr>
        <w:t>浮动管理费</w:t>
      </w:r>
      <w:r>
        <w:rPr>
          <w:rFonts w:ascii="仿宋_GB2312" w:hAnsi="宋体" w:cs="宋体"/>
          <w:bCs/>
          <w:color w:val="auto"/>
          <w:kern w:val="0"/>
          <w:szCs w:val="24"/>
          <w:highlight w:val="yellow"/>
          <w:u w:val="none"/>
        </w:rPr>
        <w:t>=</w:t>
      </w:r>
      <w:r>
        <w:rPr>
          <w:rFonts w:hint="eastAsia" w:ascii="仿宋_GB2312" w:hAnsi="宋体" w:cs="宋体"/>
          <w:bCs/>
          <w:color w:val="auto"/>
          <w:kern w:val="0"/>
          <w:szCs w:val="24"/>
          <w:highlight w:val="yellow"/>
          <w:u w:val="none"/>
        </w:rPr>
        <w:t>产品计提/到期日投资者持有的产品份额×V</w:t>
      </w:r>
      <w:r>
        <w:rPr>
          <w:rFonts w:hint="eastAsia" w:ascii="仿宋_GB2312" w:hAnsi="宋体" w:cs="宋体"/>
          <w:bCs/>
          <w:color w:val="auto"/>
          <w:kern w:val="0"/>
          <w:sz w:val="13"/>
          <w:szCs w:val="24"/>
          <w:highlight w:val="yellow"/>
          <w:u w:val="none"/>
        </w:rPr>
        <w:t>期初份额净值</w:t>
      </w:r>
      <w:r>
        <w:rPr>
          <w:rFonts w:hint="eastAsia" w:ascii="仿宋_GB2312" w:hAnsi="宋体" w:cs="宋体"/>
          <w:bCs/>
          <w:color w:val="auto"/>
          <w:kern w:val="0"/>
          <w:szCs w:val="24"/>
          <w:highlight w:val="yellow"/>
          <w:u w:val="none"/>
        </w:rPr>
        <w:t>×（</w:t>
      </w:r>
      <w:r>
        <w:rPr>
          <w:rFonts w:ascii="仿宋_GB2312" w:hAnsi="宋体" w:cs="宋体"/>
          <w:bCs/>
          <w:color w:val="auto"/>
          <w:kern w:val="0"/>
          <w:szCs w:val="24"/>
          <w:highlight w:val="yellow"/>
          <w:u w:val="none"/>
        </w:rPr>
        <w:t>R-</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计提基准）×</w:t>
      </w:r>
      <w:r>
        <w:rPr>
          <w:rFonts w:ascii="仿宋_GB2312" w:hAnsi="宋体" w:cs="宋体"/>
          <w:bCs/>
          <w:color w:val="auto"/>
          <w:kern w:val="0"/>
          <w:szCs w:val="24"/>
          <w:highlight w:val="yellow"/>
          <w:u w:val="none"/>
        </w:rPr>
        <w:t>N×</w:t>
      </w:r>
      <w:r>
        <w:rPr>
          <w:rFonts w:hint="eastAsia" w:ascii="仿宋_GB2312" w:hAnsi="宋体" w:cs="宋体"/>
          <w:bCs/>
          <w:color w:val="auto"/>
          <w:kern w:val="0"/>
          <w:szCs w:val="24"/>
          <w:highlight w:val="yellow"/>
          <w:u w:val="none"/>
        </w:rPr>
        <w:t>（D</w:t>
      </w:r>
      <w:r>
        <w:rPr>
          <w:rFonts w:ascii="仿宋_GB2312" w:hAnsi="宋体" w:cs="宋体"/>
          <w:bCs/>
          <w:color w:val="auto"/>
          <w:kern w:val="0"/>
          <w:szCs w:val="24"/>
          <w:highlight w:val="yellow"/>
          <w:u w:val="none"/>
        </w:rPr>
        <w:t>+1</w:t>
      </w:r>
      <w:r>
        <w:rPr>
          <w:rFonts w:hint="eastAsia" w:ascii="仿宋_GB2312" w:hAnsi="宋体" w:cs="宋体"/>
          <w:bCs/>
          <w:color w:val="auto"/>
          <w:kern w:val="0"/>
          <w:szCs w:val="24"/>
          <w:highlight w:val="yellow"/>
          <w:u w:val="none"/>
        </w:rPr>
        <w:t>）</w:t>
      </w:r>
      <w:r>
        <w:rPr>
          <w:rFonts w:ascii="仿宋_GB2312" w:hAnsi="宋体" w:cs="宋体"/>
          <w:bCs/>
          <w:color w:val="auto"/>
          <w:kern w:val="0"/>
          <w:szCs w:val="24"/>
          <w:highlight w:val="yellow"/>
          <w:u w:val="none"/>
        </w:rPr>
        <w:t>/365。</w:t>
      </w:r>
    </w:p>
    <w:p w14:paraId="0287C28C">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rPr>
        <w:t>其中，</w:t>
      </w:r>
      <w:r>
        <w:rPr>
          <w:rFonts w:ascii="仿宋_GB2312" w:hAnsi="宋体" w:cs="宋体"/>
          <w:bCs/>
          <w:color w:val="auto"/>
          <w:kern w:val="0"/>
          <w:szCs w:val="24"/>
          <w:highlight w:val="yellow"/>
          <w:u w:val="none"/>
        </w:rPr>
        <w:t>V</w:t>
      </w:r>
      <w:r>
        <w:rPr>
          <w:rFonts w:hint="eastAsia" w:ascii="仿宋_GB2312" w:hAnsi="宋体" w:cs="宋体"/>
          <w:bCs/>
          <w:color w:val="auto"/>
          <w:kern w:val="0"/>
          <w:sz w:val="13"/>
          <w:szCs w:val="24"/>
          <w:highlight w:val="yellow"/>
          <w:u w:val="none"/>
        </w:rPr>
        <w:t>计提/到期日产品份额累计净值</w:t>
      </w:r>
      <w:r>
        <w:rPr>
          <w:rFonts w:hint="eastAsia" w:ascii="仿宋_GB2312" w:hAnsi="宋体" w:cs="宋体"/>
          <w:bCs/>
          <w:color w:val="auto"/>
          <w:kern w:val="0"/>
          <w:szCs w:val="24"/>
          <w:highlight w:val="yellow"/>
          <w:u w:val="none"/>
        </w:rPr>
        <w:t>表示产品计提/到期日的产品份额累计净值（未扣除</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），V</w:t>
      </w:r>
      <w:r>
        <w:rPr>
          <w:rFonts w:hint="eastAsia" w:ascii="仿宋_GB2312" w:hAnsi="宋体" w:cs="宋体"/>
          <w:bCs/>
          <w:color w:val="auto"/>
          <w:kern w:val="0"/>
          <w:sz w:val="13"/>
          <w:szCs w:val="24"/>
          <w:highlight w:val="yellow"/>
          <w:u w:val="none"/>
        </w:rPr>
        <w:t>期初份额净值</w:t>
      </w:r>
      <w:r>
        <w:rPr>
          <w:rFonts w:hint="eastAsia" w:ascii="仿宋_GB2312" w:hAnsi="宋体" w:cs="宋体"/>
          <w:bCs/>
          <w:color w:val="auto"/>
          <w:kern w:val="0"/>
          <w:szCs w:val="24"/>
          <w:highlight w:val="yellow"/>
          <w:u w:val="none"/>
        </w:rPr>
        <w:t>表示产品成立日的产品份额净值，D表示产品到期日-产品成立日，N表示</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分成比例。</w:t>
      </w:r>
      <w:r>
        <w:rPr>
          <w:rFonts w:hint="eastAsia" w:ascii="仿宋_GB2312" w:hAnsi="宋体" w:cs="宋体"/>
          <w:bCs/>
          <w:color w:val="auto"/>
          <w:kern w:val="0"/>
          <w:szCs w:val="24"/>
          <w:highlight w:val="yellow"/>
          <w:u w:val="none"/>
          <w:lang w:eastAsia="zh-CN"/>
        </w:rPr>
        <w:t>】</w:t>
      </w:r>
    </w:p>
    <w:p w14:paraId="478A04BD">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（5）理财产品的托管费</w:t>
      </w:r>
    </w:p>
    <w:p w14:paraId="475E4F2A">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本产品的托管费按前一日理财资产净值与</w:t>
      </w:r>
      <w:r>
        <w:rPr>
          <w:rFonts w:hint="eastAsia" w:ascii="仿宋_GB2312" w:hAnsi="宋体" w:cs="宋体"/>
          <w:bCs/>
          <w:color w:val="auto"/>
          <w:kern w:val="0"/>
          <w:szCs w:val="24"/>
          <w:highlight w:val="yellow"/>
          <w:u w:val="none"/>
          <w:lang w:eastAsia="zh-CN"/>
        </w:rPr>
        <w:t>托管费</w:t>
      </w:r>
      <w:r>
        <w:rPr>
          <w:rFonts w:hint="eastAsia" w:ascii="仿宋_GB2312" w:hAnsi="宋体" w:cs="宋体"/>
          <w:bCs/>
          <w:color w:val="auto"/>
          <w:kern w:val="0"/>
          <w:szCs w:val="24"/>
          <w:highlight w:val="yellow"/>
          <w:u w:val="none"/>
        </w:rPr>
        <w:t>费率每日计提，</w:t>
      </w:r>
      <w:r>
        <w:rPr>
          <w:rFonts w:hint="eastAsia" w:ascii="仿宋_GB2312" w:hAnsi="宋体" w:cs="宋体"/>
          <w:bCs/>
          <w:color w:val="auto"/>
          <w:spacing w:val="-4"/>
          <w:kern w:val="0"/>
          <w:szCs w:val="24"/>
          <w:highlight w:val="yellow"/>
          <w:u w:val="none"/>
        </w:rPr>
        <w:t>管理人可按季或产品开放周期（如有）收取，或与后续季度、开放周期（如有）合并收取。</w:t>
      </w:r>
      <w:r>
        <w:rPr>
          <w:rFonts w:hint="eastAsia" w:ascii="仿宋_GB2312" w:hAnsi="宋体" w:cs="宋体"/>
          <w:bCs/>
          <w:color w:val="auto"/>
          <w:kern w:val="0"/>
          <w:szCs w:val="24"/>
          <w:highlight w:val="yellow"/>
          <w:u w:val="none"/>
          <w:lang w:eastAsia="zh-CN"/>
        </w:rPr>
        <w:t>托管费</w:t>
      </w:r>
      <w:r>
        <w:rPr>
          <w:rFonts w:hint="eastAsia" w:ascii="仿宋_GB2312" w:hAnsi="宋体" w:cs="宋体"/>
          <w:bCs/>
          <w:color w:val="auto"/>
          <w:spacing w:val="-4"/>
          <w:kern w:val="0"/>
          <w:szCs w:val="24"/>
          <w:highlight w:val="yellow"/>
          <w:u w:val="none"/>
        </w:rPr>
        <w:t>精确到小数点后2位，小数点2位以后四舍五入</w:t>
      </w:r>
      <w:r>
        <w:rPr>
          <w:rFonts w:hint="eastAsia" w:ascii="仿宋_GB2312" w:hAnsi="宋体" w:cs="宋体"/>
          <w:bCs/>
          <w:color w:val="auto"/>
          <w:kern w:val="0"/>
          <w:szCs w:val="24"/>
          <w:highlight w:val="yellow"/>
          <w:u w:val="none"/>
        </w:rPr>
        <w:t>。</w:t>
      </w:r>
    </w:p>
    <w:p w14:paraId="08FAF507">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lang w:eastAsia="zh-CN"/>
        </w:rPr>
        <w:t>托管费</w:t>
      </w:r>
      <w:r>
        <w:rPr>
          <w:rFonts w:hint="eastAsia" w:ascii="仿宋_GB2312" w:hAnsi="宋体" w:cs="宋体"/>
          <w:bCs/>
          <w:color w:val="auto"/>
          <w:kern w:val="0"/>
          <w:szCs w:val="24"/>
          <w:highlight w:val="yellow"/>
          <w:u w:val="none"/>
        </w:rPr>
        <w:t>的计算方法如下：</w:t>
      </w:r>
    </w:p>
    <w:p w14:paraId="25CEC21B">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H＝E×</w:t>
      </w:r>
      <w:r>
        <w:rPr>
          <w:rFonts w:hint="eastAsia" w:ascii="仿宋_GB2312" w:hAnsi="宋体" w:cs="宋体"/>
          <w:bCs/>
          <w:color w:val="auto"/>
          <w:kern w:val="0"/>
          <w:szCs w:val="24"/>
          <w:highlight w:val="yellow"/>
          <w:u w:val="none"/>
          <w:lang w:eastAsia="zh-CN"/>
        </w:rPr>
        <w:t>托管费</w:t>
      </w:r>
      <w:r>
        <w:rPr>
          <w:rFonts w:hint="eastAsia" w:ascii="仿宋_GB2312" w:hAnsi="宋体" w:cs="宋体"/>
          <w:bCs/>
          <w:color w:val="auto"/>
          <w:kern w:val="0"/>
          <w:szCs w:val="24"/>
          <w:highlight w:val="yellow"/>
          <w:u w:val="none"/>
        </w:rPr>
        <w:t>年费率÷365</w:t>
      </w:r>
    </w:p>
    <w:p w14:paraId="0B52057D">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rPr>
        <w:t>H为每日应计提的</w:t>
      </w:r>
      <w:r>
        <w:rPr>
          <w:rFonts w:hint="eastAsia" w:ascii="仿宋_GB2312" w:hAnsi="宋体" w:cs="宋体"/>
          <w:bCs/>
          <w:color w:val="auto"/>
          <w:kern w:val="0"/>
          <w:szCs w:val="24"/>
          <w:highlight w:val="yellow"/>
          <w:u w:val="none"/>
          <w:lang w:eastAsia="zh-CN"/>
        </w:rPr>
        <w:t>托管费</w:t>
      </w:r>
    </w:p>
    <w:p w14:paraId="5E8123A2">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rPr>
        <w:t>E为前一日的理财资产净值</w:t>
      </w:r>
      <w:r>
        <w:rPr>
          <w:rFonts w:hint="eastAsia"/>
          <w:highlight w:val="yellow"/>
          <w:lang w:eastAsia="zh-CN"/>
        </w:rPr>
        <w:t>】</w:t>
      </w:r>
    </w:p>
    <w:p w14:paraId="6B60320E">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eastAsia="zh-CN"/>
        </w:rPr>
        <w:t>托管费</w:t>
      </w:r>
      <w:r>
        <w:rPr>
          <w:rFonts w:hint="eastAsia" w:ascii="仿宋_GB2312" w:hAnsi="宋体" w:cs="宋体"/>
          <w:bCs/>
          <w:color w:val="auto"/>
          <w:kern w:val="0"/>
          <w:szCs w:val="24"/>
          <w:highlight w:val="none"/>
          <w:u w:val="none"/>
        </w:rPr>
        <w:t>依照上述约定，从理财财产中支付。费率具体数值以《产品说明书》“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”为准。</w:t>
      </w:r>
    </w:p>
    <w:p w14:paraId="3B4BA7D3">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（6）其他费用</w:t>
      </w:r>
    </w:p>
    <w:p w14:paraId="7247FBA0">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与理财产品相关的其他费用，按照实际发生金额从产品资产中列支。若产品管理人先行垫付其他费用的，管理人有权从理财产品资产中优先受偿。</w:t>
      </w:r>
    </w:p>
    <w:p w14:paraId="4398966B">
      <w:pPr>
        <w:widowControl/>
        <w:tabs>
          <w:tab w:val="left" w:pos="709"/>
        </w:tabs>
        <w:snapToGrid w:val="0"/>
        <w:spacing w:line="360" w:lineRule="auto"/>
        <w:ind w:firstLine="422" w:firstLineChars="200"/>
        <w:rPr>
          <w:rFonts w:ascii="仿宋_GB2312" w:hAnsi="宋体" w:cs="宋体"/>
          <w:b/>
          <w:bCs/>
          <w:color w:val="auto"/>
          <w:kern w:val="0"/>
          <w:szCs w:val="24"/>
          <w:highlight w:val="none"/>
          <w:u w:val="none"/>
        </w:rPr>
      </w:pPr>
      <w:r>
        <w:rPr>
          <w:rFonts w:ascii="仿宋_GB2312" w:hAnsi="宋体" w:cs="宋体"/>
          <w:b/>
          <w:bCs/>
          <w:color w:val="auto"/>
          <w:kern w:val="0"/>
          <w:szCs w:val="24"/>
          <w:highlight w:val="none"/>
          <w:u w:val="none"/>
        </w:rPr>
        <w:t>3</w:t>
      </w:r>
      <w:r>
        <w:rPr>
          <w:rFonts w:hint="eastAsia" w:ascii="仿宋_GB2312" w:hAnsi="宋体" w:cs="宋体"/>
          <w:b/>
          <w:bCs/>
          <w:color w:val="auto"/>
          <w:kern w:val="0"/>
          <w:szCs w:val="24"/>
          <w:highlight w:val="none"/>
          <w:u w:val="none"/>
        </w:rPr>
        <w:t>.费用调整</w:t>
      </w:r>
    </w:p>
    <w:p w14:paraId="13C2BC77">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产品管理人有权根据相关法律和国家政策规定，对理财产品费用的收费项目、收费条件、收费标准和收费方式等进行调整。产品管理人对费用的调整按本说明书约定的方式进行信息披露。投资者有权不接受调整，并按照信息披露内容中约定的方式提前赎回理财产品。</w:t>
      </w:r>
    </w:p>
    <w:p w14:paraId="62361A38">
      <w:pPr>
        <w:pStyle w:val="3"/>
        <w:numPr>
          <w:ilvl w:val="1"/>
          <w:numId w:val="12"/>
        </w:numPr>
        <w:ind w:firstLine="482"/>
        <w:rPr>
          <w:color w:val="auto"/>
          <w:highlight w:val="none"/>
          <w:u w:val="none"/>
        </w:rPr>
      </w:pPr>
      <w:r>
        <w:rPr>
          <w:rFonts w:hint="eastAsia"/>
          <w:color w:val="auto"/>
          <w:highlight w:val="none"/>
          <w:u w:val="none"/>
        </w:rPr>
        <w:t>税收说明</w:t>
      </w:r>
    </w:p>
    <w:p w14:paraId="4F5300C5">
      <w:pPr>
        <w:tabs>
          <w:tab w:val="left" w:pos="709"/>
        </w:tabs>
        <w:snapToGrid w:val="0"/>
        <w:spacing w:line="360" w:lineRule="auto"/>
        <w:ind w:firstLine="420" w:firstLineChars="200"/>
        <w:rPr>
          <w:color w:val="auto"/>
          <w:highlight w:val="none"/>
          <w:u w:val="none"/>
        </w:rPr>
      </w:pPr>
      <w:r>
        <w:rPr>
          <w:rFonts w:hint="eastAsia" w:ascii="仿宋_GB2312" w:hAnsi="宋体" w:cs="宋体"/>
          <w:bCs/>
          <w:color w:val="auto"/>
          <w:kern w:val="0"/>
          <w:szCs w:val="24"/>
          <w:highlight w:val="none"/>
          <w:u w:val="none"/>
        </w:rPr>
        <w:t>本理财产品运作过程中涉及的各纳税主体的纳税义务按国家税收法律、法规执行。除法律法规特别要求外，理财产品运营过程中发生的增值税应税行为，由理财产品承担增值税及附加税费，并由理财产品管理人进行计算、申报和缴纳，该等税费将直接从理财产品财产中支付。后续国家法律法规如对相关税收政策进行调整，管理人有权根据税收政策相应调整理财产品运营过程中发生的税费的承担方式。理财收益的应纳税款以及其他的投资者应纳税款由投资者自行申报及缴纳，管理人不承担代扣代缴或纳税的义务。</w:t>
      </w:r>
    </w:p>
    <w:p w14:paraId="299CA7CF">
      <w:pPr>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br w:type="page"/>
      </w:r>
    </w:p>
    <w:p w14:paraId="453BB372">
      <w:pPr>
        <w:pStyle w:val="2"/>
        <w:numPr>
          <w:ilvl w:val="0"/>
          <w:numId w:val="12"/>
        </w:numPr>
        <w:rPr>
          <w:color w:val="auto"/>
          <w:highlight w:val="none"/>
          <w:u w:val="none"/>
        </w:rPr>
      </w:pPr>
      <w:r>
        <w:rPr>
          <w:rFonts w:hint="eastAsia"/>
          <w:color w:val="auto"/>
          <w:highlight w:val="none"/>
          <w:u w:val="none"/>
        </w:rPr>
        <w:t>理财产品的终止与清算</w:t>
      </w:r>
    </w:p>
    <w:p w14:paraId="21E8577C">
      <w:pPr>
        <w:pStyle w:val="3"/>
        <w:numPr>
          <w:ilvl w:val="1"/>
          <w:numId w:val="12"/>
        </w:numPr>
        <w:ind w:firstLine="482"/>
        <w:rPr>
          <w:color w:val="auto"/>
          <w:highlight w:val="none"/>
          <w:u w:val="none"/>
        </w:rPr>
      </w:pPr>
      <w:r>
        <w:rPr>
          <w:rFonts w:hint="eastAsia"/>
          <w:color w:val="auto"/>
          <w:highlight w:val="none"/>
          <w:u w:val="none"/>
        </w:rPr>
        <w:t>理财产品到期</w:t>
      </w:r>
    </w:p>
    <w:p w14:paraId="3D058368">
      <w:pPr>
        <w:widowControl/>
        <w:tabs>
          <w:tab w:val="left" w:pos="709"/>
        </w:tabs>
        <w:adjustRightInd w:val="0"/>
        <w:snapToGrid w:val="0"/>
        <w:spacing w:line="360" w:lineRule="auto"/>
        <w:ind w:firstLine="422" w:firstLineChars="200"/>
        <w:rPr>
          <w:rFonts w:ascii="仿宋_GB2312" w:hAnsi="宋体" w:cs="宋体"/>
          <w:bCs/>
          <w:color w:val="auto"/>
          <w:kern w:val="0"/>
          <w:szCs w:val="24"/>
          <w:highlight w:val="none"/>
          <w:u w:val="none"/>
        </w:rPr>
      </w:pPr>
      <w:r>
        <w:rPr>
          <w:rFonts w:hint="eastAsia" w:ascii="仿宋_GB2312" w:hAnsi="宋体" w:cs="宋体"/>
          <w:b/>
          <w:bCs/>
          <w:color w:val="auto"/>
          <w:kern w:val="0"/>
          <w:szCs w:val="24"/>
          <w:highlight w:val="yellow"/>
          <w:u w:val="none"/>
          <w:lang w:eastAsia="zh-CN"/>
        </w:rPr>
        <w:t>【</w:t>
      </w:r>
      <w:r>
        <w:rPr>
          <w:rFonts w:hint="eastAsia" w:ascii="仿宋_GB2312" w:hAnsi="宋体" w:cs="宋体"/>
          <w:b/>
          <w:bCs/>
          <w:color w:val="auto"/>
          <w:kern w:val="0"/>
          <w:szCs w:val="24"/>
          <w:highlight w:val="yellow"/>
          <w:u w:val="none"/>
        </w:rPr>
        <w:t>本理财产品无固定到期日</w:t>
      </w:r>
      <w:r>
        <w:rPr>
          <w:rFonts w:hint="eastAsia" w:ascii="仿宋_GB2312" w:hAnsi="宋体" w:cs="宋体"/>
          <w:b/>
          <w:bCs/>
          <w:color w:val="auto"/>
          <w:kern w:val="0"/>
          <w:szCs w:val="24"/>
          <w:highlight w:val="yellow"/>
          <w:u w:val="none"/>
          <w:lang w:eastAsia="zh-CN"/>
        </w:rPr>
        <w:t>】</w:t>
      </w:r>
      <w:r>
        <w:rPr>
          <w:rFonts w:hint="eastAsia" w:ascii="仿宋_GB2312" w:hAnsi="宋体" w:cs="宋体"/>
          <w:bCs/>
          <w:color w:val="auto"/>
          <w:kern w:val="0"/>
          <w:szCs w:val="24"/>
          <w:highlight w:val="none"/>
          <w:u w:val="none"/>
        </w:rPr>
        <w:t>，</w:t>
      </w:r>
      <w:r>
        <w:rPr>
          <w:rFonts w:hint="eastAsia" w:ascii="宋体" w:hAnsi="宋体"/>
          <w:color w:val="auto"/>
          <w:szCs w:val="24"/>
          <w:highlight w:val="none"/>
          <w:u w:val="none"/>
        </w:rPr>
        <w:t>如产品提前终止</w:t>
      </w:r>
      <w:r>
        <w:rPr>
          <w:rFonts w:hint="eastAsia" w:ascii="宋体" w:hAnsi="宋体"/>
          <w:color w:val="auto"/>
          <w:szCs w:val="24"/>
          <w:highlight w:val="none"/>
          <w:u w:val="none"/>
          <w:lang w:eastAsia="zh-CN"/>
        </w:rPr>
        <w:t>或延期终止</w:t>
      </w:r>
      <w:r>
        <w:rPr>
          <w:rFonts w:hint="eastAsia" w:ascii="宋体" w:hAnsi="宋体"/>
          <w:color w:val="auto"/>
          <w:szCs w:val="24"/>
          <w:highlight w:val="none"/>
          <w:u w:val="none"/>
        </w:rPr>
        <w:t>，除有特别约定外，实际终止日为到期日。</w:t>
      </w:r>
    </w:p>
    <w:p w14:paraId="7DAD630A">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理财产品不因投资者死亡、丧失民事行为能力、破产而终止；投资者的法定继承人、承继人或指定受益人以及继任管理人承担本理财产品销售文件项下的相应权利和义务，产品管理人以及代销机构有权要求投资者的继承人或者指定受益人等相关主体配合办理相关变更手续。</w:t>
      </w:r>
    </w:p>
    <w:p w14:paraId="65FC0ABE">
      <w:pPr>
        <w:pStyle w:val="3"/>
        <w:numPr>
          <w:ilvl w:val="1"/>
          <w:numId w:val="12"/>
        </w:numPr>
        <w:ind w:firstLine="482"/>
        <w:rPr>
          <w:color w:val="auto"/>
          <w:highlight w:val="none"/>
          <w:u w:val="none"/>
        </w:rPr>
      </w:pPr>
      <w:r>
        <w:rPr>
          <w:rFonts w:hint="eastAsia"/>
          <w:color w:val="auto"/>
          <w:highlight w:val="none"/>
          <w:u w:val="none"/>
        </w:rPr>
        <w:t>理财产品提前终止</w:t>
      </w:r>
    </w:p>
    <w:p w14:paraId="5A259647">
      <w:pPr>
        <w:widowControl/>
        <w:tabs>
          <w:tab w:val="left" w:pos="709"/>
        </w:tabs>
        <w:snapToGrid w:val="0"/>
        <w:spacing w:line="360" w:lineRule="auto"/>
        <w:ind w:firstLine="422" w:firstLineChars="20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本理财产品存续期间，投资者无提前终止权。如出现以下情形，管理人有权但无义务提前终止本产品：</w:t>
      </w:r>
      <w:r>
        <w:rPr>
          <w:rFonts w:ascii="仿宋_GB2312" w:hAnsi="宋体" w:cs="宋体"/>
          <w:b/>
          <w:bCs/>
          <w:color w:val="auto"/>
          <w:kern w:val="0"/>
          <w:szCs w:val="24"/>
          <w:highlight w:val="none"/>
          <w:u w:val="none"/>
        </w:rPr>
        <w:t xml:space="preserve"> </w:t>
      </w:r>
    </w:p>
    <w:p w14:paraId="1039A7C1">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1.自然灾害、疫情、金融市场危机、战争等不可抗力因素及/或意外事件导致理财产品无法继续运作。</w:t>
      </w:r>
    </w:p>
    <w:p w14:paraId="6C97C83B">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2.遇有市场出现剧烈波动、异常风险事件等情形导致理财产品收益出现大幅波动或严重影响理财产品的资产安全。</w:t>
      </w:r>
    </w:p>
    <w:p w14:paraId="3AAA0938">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3.因投资者理财资金被有权机关扣划等原因导致理财产品剩余资产无法满足相关法律法规规定、所投资市场要求或协议等相关法律文件约定，或者继续存续无法实现投资目标。</w:t>
      </w:r>
    </w:p>
    <w:p w14:paraId="0231DB8E">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4.因相关投资管理机构解散、破产、撤销、被取消业务资格等原因无法继续履行相应职责导致产品无法继续运作。</w:t>
      </w:r>
    </w:p>
    <w:p w14:paraId="502076F8">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5.相关投资管理机构或运用理财资金的第三方主体实施符合法律法规规定或协议等相关文件约定的行为导致理财产品被动提前终止。</w:t>
      </w:r>
    </w:p>
    <w:p w14:paraId="7098FAE6">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6.因法律法规变化或国家金融政策调整、紧急措施出台影响产品继续正常运作。</w:t>
      </w:r>
    </w:p>
    <w:p w14:paraId="7537813D">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7.提前终止产品比维持产品运作更有利于保护产品持有人的权益。</w:t>
      </w:r>
    </w:p>
    <w:p w14:paraId="39108F9D">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8</w:t>
      </w:r>
      <w:r>
        <w:rPr>
          <w:rFonts w:hint="eastAsia" w:ascii="仿宋_GB2312" w:hAnsi="宋体" w:cs="宋体"/>
          <w:bCs/>
          <w:color w:val="auto"/>
          <w:kern w:val="0"/>
          <w:szCs w:val="24"/>
          <w:highlight w:val="none"/>
          <w:u w:val="none"/>
        </w:rPr>
        <w:t>.遇国家政策出现重大调整并影响到本产品的正常运行。</w:t>
      </w:r>
    </w:p>
    <w:p w14:paraId="2B07F509">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9</w:t>
      </w:r>
      <w:r>
        <w:rPr>
          <w:rFonts w:hint="eastAsia" w:ascii="仿宋_GB2312" w:hAnsi="宋体" w:cs="宋体"/>
          <w:bCs/>
          <w:color w:val="auto"/>
          <w:kern w:val="0"/>
          <w:szCs w:val="24"/>
          <w:highlight w:val="none"/>
          <w:u w:val="none"/>
        </w:rPr>
        <w:t>.因本产品投资的资产部分或全部提前终止或发生其他影响本产品正常投资运作的重大事件。</w:t>
      </w:r>
    </w:p>
    <w:p w14:paraId="43E9C9CD">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10</w:t>
      </w:r>
      <w:r>
        <w:rPr>
          <w:rFonts w:hint="eastAsia" w:ascii="仿宋_GB2312" w:hAnsi="宋体" w:cs="宋体"/>
          <w:bCs/>
          <w:color w:val="auto"/>
          <w:kern w:val="0"/>
          <w:szCs w:val="24"/>
          <w:highlight w:val="none"/>
          <w:u w:val="none"/>
        </w:rPr>
        <w:t>.本产品存续期内，所投资资产种类已全部调整为现金资产且无其他投资安排。</w:t>
      </w:r>
    </w:p>
    <w:p w14:paraId="622EC382">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11</w:t>
      </w:r>
      <w:r>
        <w:rPr>
          <w:rFonts w:hint="eastAsia" w:ascii="仿宋_GB2312" w:hAnsi="宋体" w:cs="宋体"/>
          <w:bCs/>
          <w:color w:val="auto"/>
          <w:kern w:val="0"/>
          <w:szCs w:val="24"/>
          <w:highlight w:val="none"/>
          <w:u w:val="none"/>
        </w:rPr>
        <w:t>.管理人认为有必要提前终止本产品的其他情形。</w:t>
      </w:r>
    </w:p>
    <w:p w14:paraId="65004015">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管理人将至少于提前终止日前</w:t>
      </w:r>
      <w:r>
        <w:rPr>
          <w:rFonts w:hint="eastAsia" w:ascii="仿宋_GB2312" w:hAnsi="宋体" w:cs="宋体"/>
          <w:bCs/>
          <w:color w:val="auto"/>
          <w:kern w:val="0"/>
          <w:szCs w:val="24"/>
          <w:highlight w:val="none"/>
          <w:u w:val="none"/>
          <w:lang w:val="en-US" w:eastAsia="zh-CN"/>
        </w:rPr>
        <w:t>1</w:t>
      </w:r>
      <w:r>
        <w:rPr>
          <w:rFonts w:hint="eastAsia" w:ascii="仿宋_GB2312" w:hAnsi="宋体" w:cs="宋体"/>
          <w:bCs/>
          <w:color w:val="auto"/>
          <w:kern w:val="0"/>
          <w:szCs w:val="24"/>
          <w:highlight w:val="none"/>
          <w:u w:val="none"/>
        </w:rPr>
        <w:t>个工作日通过本产品说明书约定</w:t>
      </w:r>
      <w:r>
        <w:rPr>
          <w:rFonts w:ascii="仿宋_GB2312" w:hAnsi="宋体" w:cs="宋体"/>
          <w:bCs/>
          <w:color w:val="auto"/>
          <w:kern w:val="0"/>
          <w:szCs w:val="24"/>
          <w:highlight w:val="none"/>
          <w:u w:val="none"/>
        </w:rPr>
        <w:t>方式</w:t>
      </w:r>
      <w:r>
        <w:rPr>
          <w:rFonts w:hint="eastAsia" w:ascii="仿宋_GB2312" w:hAnsi="宋体" w:cs="宋体"/>
          <w:bCs/>
          <w:color w:val="auto"/>
          <w:kern w:val="0"/>
          <w:szCs w:val="24"/>
          <w:highlight w:val="none"/>
          <w:u w:val="none"/>
        </w:rPr>
        <w:t>发布本产品提前终止公告，并于提前终止日后5个</w:t>
      </w:r>
      <w:r>
        <w:rPr>
          <w:rFonts w:hint="eastAsia" w:ascii="仿宋_GB2312" w:hAnsi="宋体" w:cs="宋体"/>
          <w:bCs/>
          <w:color w:val="auto"/>
          <w:kern w:val="0"/>
          <w:szCs w:val="24"/>
          <w:highlight w:val="none"/>
          <w:u w:val="none"/>
          <w:lang w:eastAsia="zh-CN"/>
        </w:rPr>
        <w:t>工作日</w:t>
      </w:r>
      <w:r>
        <w:rPr>
          <w:rFonts w:hint="eastAsia" w:ascii="仿宋_GB2312" w:hAnsi="宋体" w:cs="宋体"/>
          <w:bCs/>
          <w:color w:val="auto"/>
          <w:kern w:val="0"/>
          <w:szCs w:val="24"/>
          <w:highlight w:val="none"/>
          <w:u w:val="none"/>
        </w:rPr>
        <w:t>内通过销售机构将兑付理财资金划至投资者指定账户。</w:t>
      </w:r>
    </w:p>
    <w:p w14:paraId="5054426C">
      <w:pPr>
        <w:pStyle w:val="3"/>
        <w:numPr>
          <w:ilvl w:val="1"/>
          <w:numId w:val="12"/>
        </w:numPr>
        <w:ind w:firstLine="482"/>
        <w:rPr>
          <w:color w:val="auto"/>
          <w:highlight w:val="none"/>
          <w:u w:val="none"/>
        </w:rPr>
      </w:pPr>
      <w:r>
        <w:rPr>
          <w:rFonts w:hint="eastAsia" w:ascii="楷体_GB2312" w:hAnsi="宋体" w:eastAsia="楷体_GB2312" w:cs="宋体"/>
          <w:bCs/>
          <w:color w:val="auto"/>
          <w:kern w:val="0"/>
          <w:szCs w:val="24"/>
          <w:highlight w:val="none"/>
          <w:u w:val="none"/>
        </w:rPr>
        <w:t>理财产品到期清算</w:t>
      </w:r>
    </w:p>
    <w:p w14:paraId="0F47EE19">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1.清算程序</w:t>
      </w:r>
    </w:p>
    <w:p w14:paraId="4CD731D2">
      <w:pPr>
        <w:widowControl/>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产品到期（含提前终止）后，理财产品终止运作，本理财产品</w:t>
      </w:r>
      <w:r>
        <w:rPr>
          <w:color w:val="auto"/>
          <w:highlight w:val="none"/>
          <w:u w:val="none"/>
        </w:rPr>
        <w:t>管</w:t>
      </w:r>
      <w:r>
        <w:rPr>
          <w:rFonts w:hint="eastAsia" w:ascii="仿宋_GB2312" w:hAnsi="宋体" w:cs="宋体"/>
          <w:bCs/>
          <w:color w:val="auto"/>
          <w:kern w:val="0"/>
          <w:szCs w:val="24"/>
          <w:highlight w:val="none"/>
          <w:u w:val="none"/>
        </w:rPr>
        <w:t>理人启动产品清算，理财资产清</w:t>
      </w:r>
      <w:r>
        <w:rPr>
          <w:rFonts w:ascii="仿宋_GB2312" w:hAnsi="宋体" w:cs="宋体"/>
          <w:bCs/>
          <w:color w:val="auto"/>
          <w:kern w:val="0"/>
          <w:szCs w:val="24"/>
          <w:highlight w:val="none"/>
          <w:u w:val="none"/>
        </w:rPr>
        <w:t>算后扣除理财相关费用、缴纳所欠税款并清偿理财产品负债后，</w:t>
      </w:r>
      <w:r>
        <w:rPr>
          <w:color w:val="auto"/>
          <w:highlight w:val="none"/>
          <w:u w:val="none"/>
        </w:rPr>
        <w:t>管</w:t>
      </w:r>
      <w:r>
        <w:rPr>
          <w:rFonts w:hint="eastAsia" w:ascii="仿宋_GB2312" w:hAnsi="宋体" w:cs="宋体"/>
          <w:bCs/>
          <w:color w:val="auto"/>
          <w:kern w:val="0"/>
          <w:szCs w:val="24"/>
          <w:highlight w:val="none"/>
          <w:u w:val="none"/>
        </w:rPr>
        <w:t>理人通过销售机构将投资者应得资金（如有，下同）划至投资者指定账户。本产品到期（含提前终止）时，如本产品项下财产全部变现，管理人将在产品到期后5个</w:t>
      </w:r>
      <w:r>
        <w:rPr>
          <w:rFonts w:hint="eastAsia" w:ascii="仿宋_GB2312" w:hAnsi="宋体" w:cs="宋体"/>
          <w:bCs/>
          <w:color w:val="auto"/>
          <w:kern w:val="0"/>
          <w:szCs w:val="24"/>
          <w:highlight w:val="none"/>
          <w:u w:val="none"/>
          <w:lang w:eastAsia="zh-CN"/>
        </w:rPr>
        <w:t>工作日</w:t>
      </w:r>
      <w:r>
        <w:rPr>
          <w:rFonts w:hint="eastAsia" w:ascii="仿宋_GB2312" w:hAnsi="宋体" w:cs="宋体"/>
          <w:bCs/>
          <w:color w:val="auto"/>
          <w:kern w:val="0"/>
          <w:szCs w:val="24"/>
          <w:highlight w:val="none"/>
          <w:u w:val="none"/>
        </w:rPr>
        <w:t>内向投资者完成</w:t>
      </w:r>
      <w:r>
        <w:rPr>
          <w:rFonts w:ascii="仿宋_GB2312" w:hAnsi="宋体" w:cs="宋体"/>
          <w:bCs/>
          <w:color w:val="auto"/>
          <w:kern w:val="0"/>
          <w:szCs w:val="24"/>
          <w:highlight w:val="none"/>
          <w:u w:val="none"/>
        </w:rPr>
        <w:t>分配</w:t>
      </w:r>
      <w:r>
        <w:rPr>
          <w:rFonts w:hint="eastAsia" w:ascii="仿宋_GB2312" w:hAnsi="宋体" w:cs="宋体"/>
          <w:bCs/>
          <w:color w:val="auto"/>
          <w:kern w:val="0"/>
          <w:szCs w:val="24"/>
          <w:highlight w:val="none"/>
          <w:u w:val="none"/>
        </w:rPr>
        <w:t>。本产品到期日（或提前/延期终止日）至资金到账日期间，投资者理财资金如因清算安排实际产生利息的，相关利息归投资者所有。</w:t>
      </w:r>
    </w:p>
    <w:p w14:paraId="4DCC8E5C">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如因清算需要，本产品无法在到期后5个</w:t>
      </w:r>
      <w:r>
        <w:rPr>
          <w:rFonts w:hint="eastAsia" w:ascii="仿宋_GB2312" w:hAnsi="宋体" w:cs="宋体"/>
          <w:bCs/>
          <w:color w:val="auto"/>
          <w:kern w:val="0"/>
          <w:szCs w:val="24"/>
          <w:highlight w:val="none"/>
          <w:u w:val="none"/>
          <w:lang w:eastAsia="zh-CN"/>
        </w:rPr>
        <w:t>工作日</w:t>
      </w:r>
      <w:r>
        <w:rPr>
          <w:rFonts w:hint="eastAsia" w:ascii="仿宋_GB2312" w:hAnsi="宋体" w:cs="宋体"/>
          <w:bCs/>
          <w:color w:val="auto"/>
          <w:kern w:val="0"/>
          <w:szCs w:val="24"/>
          <w:highlight w:val="none"/>
          <w:u w:val="none"/>
        </w:rPr>
        <w:t>内向投资者完成</w:t>
      </w:r>
      <w:r>
        <w:rPr>
          <w:rFonts w:ascii="仿宋_GB2312" w:hAnsi="宋体" w:cs="宋体"/>
          <w:bCs/>
          <w:color w:val="auto"/>
          <w:kern w:val="0"/>
          <w:szCs w:val="24"/>
          <w:highlight w:val="none"/>
          <w:u w:val="none"/>
        </w:rPr>
        <w:t>分配</w:t>
      </w:r>
      <w:r>
        <w:rPr>
          <w:rFonts w:hint="eastAsia" w:ascii="仿宋_GB2312" w:hAnsi="宋体" w:cs="宋体"/>
          <w:bCs/>
          <w:color w:val="auto"/>
          <w:kern w:val="0"/>
          <w:szCs w:val="24"/>
          <w:highlight w:val="none"/>
          <w:u w:val="none"/>
        </w:rPr>
        <w:t>的，管理人有权延后产品可得资金分配并于产品到期日前公告。</w:t>
      </w:r>
    </w:p>
    <w:p w14:paraId="3ECA7261">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2.清算费用分别按照实际发生费用从产品资产中列支。</w:t>
      </w:r>
    </w:p>
    <w:p w14:paraId="5DC57543">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3.产品资产清算剩余资产的分配</w:t>
      </w:r>
    </w:p>
    <w:p w14:paraId="0EC5222A">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产品资产按下列顺序清偿：</w:t>
      </w:r>
    </w:p>
    <w:p w14:paraId="1C7C459F">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（1）支付清算费用和交纳所欠税款；</w:t>
      </w:r>
    </w:p>
    <w:p w14:paraId="67EDB8F9">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（2）清偿产品债务；</w:t>
      </w:r>
    </w:p>
    <w:p w14:paraId="26B9D867">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（3）按产品份额持有人持有的产品份额比例进行分配。</w:t>
      </w:r>
    </w:p>
    <w:p w14:paraId="439E8D24">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4.产品终止投资者到账资金计算</w:t>
      </w:r>
    </w:p>
    <w:p w14:paraId="58E5125C">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若产品终止或提前终止时本理财产品项下资产全部变现，产品管理人将</w:t>
      </w:r>
      <w:r>
        <w:rPr>
          <w:rFonts w:hint="eastAsia" w:ascii="仿宋_GB2312" w:hAnsi="宋体" w:cs="宋体"/>
          <w:bCs/>
          <w:color w:val="auto"/>
          <w:kern w:val="0"/>
          <w:szCs w:val="24"/>
          <w:highlight w:val="none"/>
          <w:u w:val="none"/>
        </w:rPr>
        <w:t>扣除理财产品财产清算费用、缴纳所欠税款并清偿理财产品债务后，按照各投资者持有理财产品份额占理财产品总份额的比例于</w:t>
      </w:r>
      <w:r>
        <w:rPr>
          <w:rFonts w:ascii="仿宋_GB2312" w:hAnsi="宋体" w:cs="宋体"/>
          <w:bCs/>
          <w:color w:val="auto"/>
          <w:kern w:val="0"/>
          <w:szCs w:val="24"/>
          <w:highlight w:val="none"/>
          <w:u w:val="none"/>
        </w:rPr>
        <w:t>产品到期日后</w:t>
      </w:r>
      <w:r>
        <w:rPr>
          <w:rFonts w:hint="eastAsia" w:ascii="仿宋_GB2312" w:hAnsi="宋体" w:cs="宋体"/>
          <w:bCs/>
          <w:color w:val="auto"/>
          <w:kern w:val="0"/>
          <w:szCs w:val="24"/>
          <w:highlight w:val="none"/>
          <w:u w:val="none"/>
        </w:rPr>
        <w:t>5</w:t>
      </w:r>
      <w:r>
        <w:rPr>
          <w:rFonts w:ascii="仿宋_GB2312" w:hAnsi="宋体" w:cs="宋体"/>
          <w:bCs/>
          <w:color w:val="auto"/>
          <w:kern w:val="0"/>
          <w:szCs w:val="24"/>
          <w:highlight w:val="none"/>
          <w:u w:val="none"/>
        </w:rPr>
        <w:t>个</w:t>
      </w:r>
      <w:r>
        <w:rPr>
          <w:rFonts w:hint="eastAsia" w:ascii="仿宋_GB2312" w:hAnsi="宋体" w:cs="宋体"/>
          <w:bCs/>
          <w:color w:val="auto"/>
          <w:kern w:val="0"/>
          <w:szCs w:val="24"/>
          <w:highlight w:val="none"/>
          <w:u w:val="none"/>
          <w:lang w:eastAsia="zh-CN"/>
        </w:rPr>
        <w:t>工作日</w:t>
      </w:r>
      <w:r>
        <w:rPr>
          <w:rFonts w:ascii="仿宋_GB2312" w:hAnsi="宋体" w:cs="宋体"/>
          <w:bCs/>
          <w:color w:val="auto"/>
          <w:kern w:val="0"/>
          <w:szCs w:val="24"/>
          <w:highlight w:val="none"/>
          <w:u w:val="none"/>
        </w:rPr>
        <w:t>内或提前终止日后</w:t>
      </w:r>
      <w:r>
        <w:rPr>
          <w:rFonts w:hint="eastAsia" w:ascii="仿宋_GB2312" w:hAnsi="宋体" w:cs="宋体"/>
          <w:bCs/>
          <w:color w:val="auto"/>
          <w:kern w:val="0"/>
          <w:szCs w:val="24"/>
          <w:highlight w:val="none"/>
          <w:u w:val="none"/>
        </w:rPr>
        <w:t>5</w:t>
      </w:r>
      <w:r>
        <w:rPr>
          <w:rFonts w:ascii="仿宋_GB2312" w:hAnsi="宋体" w:cs="宋体"/>
          <w:bCs/>
          <w:color w:val="auto"/>
          <w:kern w:val="0"/>
          <w:szCs w:val="24"/>
          <w:highlight w:val="none"/>
          <w:u w:val="none"/>
        </w:rPr>
        <w:t>个</w:t>
      </w:r>
      <w:r>
        <w:rPr>
          <w:rFonts w:hint="eastAsia" w:ascii="仿宋_GB2312" w:hAnsi="宋体" w:cs="宋体"/>
          <w:bCs/>
          <w:color w:val="auto"/>
          <w:kern w:val="0"/>
          <w:szCs w:val="24"/>
          <w:highlight w:val="none"/>
          <w:u w:val="none"/>
          <w:lang w:eastAsia="zh-CN"/>
        </w:rPr>
        <w:t>工作日</w:t>
      </w:r>
      <w:r>
        <w:rPr>
          <w:rFonts w:hint="eastAsia" w:ascii="仿宋_GB2312" w:hAnsi="宋体" w:cs="宋体"/>
          <w:bCs/>
          <w:color w:val="auto"/>
          <w:kern w:val="0"/>
          <w:szCs w:val="24"/>
          <w:highlight w:val="none"/>
          <w:u w:val="none"/>
        </w:rPr>
        <w:t>通过销售机构</w:t>
      </w:r>
      <w:r>
        <w:rPr>
          <w:rFonts w:ascii="仿宋_GB2312" w:hAnsi="宋体" w:cs="宋体"/>
          <w:bCs/>
          <w:color w:val="auto"/>
          <w:kern w:val="0"/>
          <w:szCs w:val="24"/>
          <w:highlight w:val="none"/>
          <w:u w:val="none"/>
        </w:rPr>
        <w:t>内将投资者应得资金划转投资者指定账户。计算公式如下：</w:t>
      </w:r>
    </w:p>
    <w:p w14:paraId="6ECA5E2E">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本产品兑付金额(理财产品总资产净值)=理财产品资产总值-理财产品负债总值</w:t>
      </w:r>
    </w:p>
    <w:p w14:paraId="3A719B5E">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其中，投资者到账金额计算公式如下：</w:t>
      </w:r>
    </w:p>
    <w:p w14:paraId="09E7FC03">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本产品投资者到账金额=投资者在到期日持有理财产品份额/理财产品总份额*理财产品总资产净值，</w:t>
      </w:r>
      <w:r>
        <w:rPr>
          <w:rFonts w:ascii="仿宋_GB2312" w:hAnsi="宋体" w:cs="宋体"/>
          <w:bCs/>
          <w:color w:val="auto"/>
          <w:kern w:val="0"/>
          <w:szCs w:val="24"/>
          <w:highlight w:val="none"/>
          <w:u w:val="none"/>
        </w:rPr>
        <w:t>最终资金以实际到账为准。</w:t>
      </w:r>
    </w:p>
    <w:p w14:paraId="481909F8">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产品终止日，如产品投资资产因市场风险、信用风险以及监管风险等原因不能全部变现且产品管理人未对本产品进行延期则本产品进入延期清算程序。产品延期清算时，产品管理人将提前发布相关公告。产品管理人将产品持有的现金类资产在扣除支付清算费用和交纳所欠税款、清偿产品债务后，如仍有剩余资金可分配给</w:t>
      </w:r>
      <w:r>
        <w:rPr>
          <w:rFonts w:hint="eastAsia" w:ascii="仿宋_GB2312" w:hAnsi="宋体" w:cs="宋体"/>
          <w:bCs/>
          <w:color w:val="auto"/>
          <w:kern w:val="0"/>
          <w:szCs w:val="24"/>
          <w:highlight w:val="none"/>
          <w:u w:val="none"/>
        </w:rPr>
        <w:t>投资者</w:t>
      </w:r>
      <w:r>
        <w:rPr>
          <w:rFonts w:ascii="仿宋_GB2312" w:hAnsi="宋体" w:cs="宋体"/>
          <w:bCs/>
          <w:color w:val="auto"/>
          <w:kern w:val="0"/>
          <w:szCs w:val="24"/>
          <w:highlight w:val="none"/>
          <w:u w:val="none"/>
        </w:rPr>
        <w:t>。对于未变现资产部分，产品管理人以投资者利益最大化的原则，寻求未变现资产变现方式，在资产变现后，产品持有的现金类资产在扣除剩余未支付的清算费用和交纳所欠税款、清偿产品债务后，于产品清算完毕后的</w:t>
      </w:r>
      <w:r>
        <w:rPr>
          <w:rFonts w:hint="eastAsia" w:ascii="仿宋_GB2312" w:hAnsi="宋体" w:cs="宋体"/>
          <w:bCs/>
          <w:color w:val="auto"/>
          <w:kern w:val="0"/>
          <w:szCs w:val="24"/>
          <w:highlight w:val="none"/>
          <w:u w:val="none"/>
        </w:rPr>
        <w:t>5</w:t>
      </w:r>
      <w:r>
        <w:rPr>
          <w:rFonts w:ascii="仿宋_GB2312" w:hAnsi="宋体" w:cs="宋体"/>
          <w:bCs/>
          <w:color w:val="auto"/>
          <w:kern w:val="0"/>
          <w:szCs w:val="24"/>
          <w:highlight w:val="none"/>
          <w:u w:val="none"/>
        </w:rPr>
        <w:t>个</w:t>
      </w:r>
      <w:r>
        <w:rPr>
          <w:rFonts w:hint="eastAsia" w:ascii="仿宋_GB2312" w:hAnsi="宋体" w:cs="宋体"/>
          <w:bCs/>
          <w:color w:val="auto"/>
          <w:kern w:val="0"/>
          <w:szCs w:val="24"/>
          <w:highlight w:val="none"/>
          <w:u w:val="none"/>
          <w:lang w:eastAsia="zh-CN"/>
        </w:rPr>
        <w:t>工作日</w:t>
      </w:r>
      <w:r>
        <w:rPr>
          <w:rFonts w:ascii="仿宋_GB2312" w:hAnsi="宋体" w:cs="宋体"/>
          <w:bCs/>
          <w:color w:val="auto"/>
          <w:kern w:val="0"/>
          <w:szCs w:val="24"/>
          <w:highlight w:val="none"/>
          <w:u w:val="none"/>
        </w:rPr>
        <w:t>内分配给</w:t>
      </w:r>
      <w:r>
        <w:rPr>
          <w:rFonts w:hint="eastAsia" w:ascii="仿宋_GB2312" w:hAnsi="宋体" w:cs="宋体"/>
          <w:bCs/>
          <w:color w:val="auto"/>
          <w:kern w:val="0"/>
          <w:szCs w:val="24"/>
          <w:highlight w:val="none"/>
          <w:u w:val="none"/>
        </w:rPr>
        <w:t>投资者</w:t>
      </w:r>
      <w:r>
        <w:rPr>
          <w:rFonts w:ascii="仿宋_GB2312" w:hAnsi="宋体" w:cs="宋体"/>
          <w:bCs/>
          <w:color w:val="auto"/>
          <w:kern w:val="0"/>
          <w:szCs w:val="24"/>
          <w:highlight w:val="none"/>
          <w:u w:val="none"/>
        </w:rPr>
        <w:t>。</w:t>
      </w:r>
    </w:p>
    <w:p w14:paraId="0FA9D722">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产品管理人拟进行二次或多次清算的，管理人应向投资者及时披露。</w:t>
      </w:r>
    </w:p>
    <w:p w14:paraId="0CCFABD4">
      <w:pPr>
        <w:jc w:val="left"/>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br w:type="page"/>
      </w:r>
    </w:p>
    <w:p w14:paraId="64B12B9F">
      <w:pPr>
        <w:pStyle w:val="2"/>
        <w:numPr>
          <w:ilvl w:val="0"/>
          <w:numId w:val="12"/>
        </w:numPr>
        <w:rPr>
          <w:color w:val="auto"/>
          <w:highlight w:val="none"/>
          <w:u w:val="none"/>
        </w:rPr>
      </w:pPr>
      <w:r>
        <w:rPr>
          <w:rFonts w:hint="eastAsia"/>
          <w:color w:val="auto"/>
          <w:highlight w:val="none"/>
          <w:u w:val="none"/>
        </w:rPr>
        <w:t>理财产品的信息披露</w:t>
      </w:r>
    </w:p>
    <w:p w14:paraId="613FC1F7">
      <w:pPr>
        <w:pStyle w:val="3"/>
        <w:numPr>
          <w:ilvl w:val="1"/>
          <w:numId w:val="12"/>
        </w:numPr>
        <w:ind w:firstLine="482"/>
        <w:rPr>
          <w:color w:val="auto"/>
          <w:highlight w:val="none"/>
          <w:u w:val="none"/>
        </w:rPr>
      </w:pPr>
      <w:r>
        <w:rPr>
          <w:rFonts w:hint="eastAsia"/>
          <w:color w:val="auto"/>
          <w:highlight w:val="none"/>
          <w:u w:val="none"/>
        </w:rPr>
        <w:t>信息披露方式</w:t>
      </w:r>
    </w:p>
    <w:p w14:paraId="3C163335">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本理财产品将通过</w:t>
      </w:r>
      <w:r>
        <w:rPr>
          <w:rFonts w:hint="eastAsia" w:ascii="仿宋_GB2312" w:hAnsi="宋体" w:cs="宋体"/>
          <w:b/>
          <w:color w:val="auto"/>
          <w:kern w:val="0"/>
          <w:szCs w:val="24"/>
          <w:highlight w:val="yellow"/>
          <w:u w:val="none"/>
          <w:lang w:eastAsia="zh-CN"/>
        </w:rPr>
        <w:t>【中国理财网】</w:t>
      </w:r>
      <w:r>
        <w:rPr>
          <w:rFonts w:hint="eastAsia" w:ascii="仿宋_GB2312" w:hAnsi="宋体" w:cs="宋体"/>
          <w:b/>
          <w:color w:val="auto"/>
          <w:kern w:val="0"/>
          <w:szCs w:val="24"/>
          <w:highlight w:val="none"/>
          <w:u w:val="none"/>
          <w:lang w:eastAsia="zh-CN"/>
        </w:rPr>
        <w:t>、</w:t>
      </w:r>
      <w:r>
        <w:rPr>
          <w:rFonts w:hint="eastAsia" w:ascii="仿宋_GB2312" w:hAnsi="宋体" w:cs="宋体"/>
          <w:b/>
          <w:color w:val="auto"/>
          <w:kern w:val="0"/>
          <w:szCs w:val="24"/>
          <w:highlight w:val="none"/>
          <w:u w:val="none"/>
        </w:rPr>
        <w:t>产品管理人官方网站</w:t>
      </w:r>
      <w:r>
        <w:rPr>
          <w:rFonts w:hint="eastAsia" w:ascii="仿宋_GB2312" w:hAnsi="宋体" w:cs="宋体"/>
          <w:b/>
          <w:color w:val="auto"/>
          <w:kern w:val="0"/>
          <w:szCs w:val="24"/>
          <w:highlight w:val="yellow"/>
          <w:u w:val="none"/>
        </w:rPr>
        <w:t>【</w:t>
      </w:r>
      <w:r>
        <w:rPr>
          <w:rFonts w:ascii="仿宋_GB2312" w:hAnsi="宋体" w:cs="宋体"/>
          <w:b/>
          <w:color w:val="auto"/>
          <w:kern w:val="0"/>
          <w:szCs w:val="24"/>
          <w:highlight w:val="yellow"/>
          <w:u w:val="none"/>
        </w:rPr>
        <w:t>www.czbank-wm.com</w:t>
      </w:r>
      <w:r>
        <w:rPr>
          <w:rFonts w:hint="eastAsia" w:ascii="仿宋_GB2312" w:hAnsi="宋体" w:cs="宋体"/>
          <w:b/>
          <w:color w:val="auto"/>
          <w:kern w:val="0"/>
          <w:szCs w:val="24"/>
          <w:highlight w:val="yellow"/>
          <w:u w:val="none"/>
        </w:rPr>
        <w:t>】</w:t>
      </w:r>
      <w:r>
        <w:rPr>
          <w:rFonts w:hint="eastAsia"/>
          <w:color w:val="auto"/>
          <w:highlight w:val="none"/>
          <w:u w:val="none"/>
        </w:rPr>
        <w:t>、</w:t>
      </w:r>
      <w:r>
        <w:rPr>
          <w:rFonts w:hint="eastAsia" w:ascii="仿宋_GB2312" w:hAnsi="宋体" w:cs="宋体"/>
          <w:b/>
          <w:color w:val="auto"/>
          <w:kern w:val="0"/>
          <w:szCs w:val="24"/>
          <w:highlight w:val="none"/>
          <w:u w:val="none"/>
        </w:rPr>
        <w:t>销售机构官方网站、个人手机银行或其他约定的方式等</w:t>
      </w:r>
      <w:r>
        <w:rPr>
          <w:rFonts w:hint="eastAsia" w:cs="宋体" w:asciiTheme="minorEastAsia" w:hAnsiTheme="minorEastAsia"/>
          <w:b/>
          <w:color w:val="auto"/>
          <w:kern w:val="0"/>
          <w:szCs w:val="24"/>
          <w:highlight w:val="none"/>
          <w:u w:val="none"/>
        </w:rPr>
        <w:t>一种或多种渠道</w:t>
      </w:r>
      <w:r>
        <w:rPr>
          <w:rFonts w:hint="eastAsia" w:ascii="仿宋_GB2312" w:hAnsi="宋体" w:cs="宋体"/>
          <w:b/>
          <w:color w:val="auto"/>
          <w:kern w:val="0"/>
          <w:szCs w:val="24"/>
          <w:highlight w:val="none"/>
          <w:u w:val="none"/>
        </w:rPr>
        <w:t>进行信息披露。相关信息自披露之日即视为已送达投资者，也视为产品管理人已适当披露理财产品相关信息。投资者应及时查看，以免因未及时获知信息而错过资金使用和再投资的机会。若由于投资者原因未能及时登陆产品管理人官方网站、销售机构信息披露渠道获取披露信息，所造成的后果将由投资者自行承担，产品管理人不承担相应责任。</w:t>
      </w:r>
    </w:p>
    <w:p w14:paraId="5A88BC0D">
      <w:pPr>
        <w:pStyle w:val="3"/>
        <w:numPr>
          <w:ilvl w:val="1"/>
          <w:numId w:val="12"/>
        </w:numPr>
        <w:ind w:firstLine="482"/>
        <w:rPr>
          <w:color w:val="auto"/>
          <w:highlight w:val="none"/>
          <w:u w:val="none"/>
        </w:rPr>
      </w:pPr>
      <w:r>
        <w:rPr>
          <w:rFonts w:hint="eastAsia"/>
          <w:color w:val="auto"/>
          <w:highlight w:val="none"/>
          <w:u w:val="none"/>
        </w:rPr>
        <w:t>信息披露内容</w:t>
      </w:r>
    </w:p>
    <w:p w14:paraId="38C61970">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1.产品类型、募集信息、产品净值、产品规模、收益情况；</w:t>
      </w:r>
    </w:p>
    <w:p w14:paraId="2765A003">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2.产品直接和间接投资的资产种类、投资比例、</w:t>
      </w:r>
      <w:r>
        <w:rPr>
          <w:rFonts w:hint="eastAsia" w:ascii="仿宋_GB2312" w:hAnsi="宋体" w:cs="宋体"/>
          <w:b/>
          <w:color w:val="auto"/>
          <w:kern w:val="0"/>
          <w:szCs w:val="24"/>
          <w:highlight w:val="none"/>
          <w:u w:val="none"/>
          <w:lang w:val="zh-CN"/>
        </w:rPr>
        <w:t>前十项资产具体名称、规模和比例等信息、</w:t>
      </w:r>
      <w:r>
        <w:rPr>
          <w:rFonts w:hint="eastAsia" w:ascii="仿宋_GB2312" w:hAnsi="宋体" w:cs="宋体"/>
          <w:b/>
          <w:color w:val="auto"/>
          <w:kern w:val="0"/>
          <w:szCs w:val="24"/>
          <w:highlight w:val="none"/>
          <w:u w:val="none"/>
        </w:rPr>
        <w:t>杠杆水平以及流动性风险分析；</w:t>
      </w:r>
    </w:p>
    <w:p w14:paraId="5DC08976">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3.产品估值方法、托管安排；</w:t>
      </w:r>
    </w:p>
    <w:p w14:paraId="11EA174B">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4.产品收益分配、各项费用情况及主要投资风险；</w:t>
      </w:r>
    </w:p>
    <w:p w14:paraId="6FC3A97F">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5.如本理财产品投资于理财产品管理人或托管机构的主要股东、实际控制人、一致行动人、最终受益人，托管机构，同一股东或托管机构控股的机构，或者与理财产品管理人或托管机构有重大利害关系的机构，以及国家金融监督管理机构关于关联交易管理相关规定中涉及的其他关联方发行或承销的证券、发行的资产管理产品，或者从事其他关联交易的，应当在理财产品管理人官方网站或者行业统一渠道披露关联交易信息，在理财产品管理人年报中披露当年关联交易总体情况，并应向投资者充分披露。</w:t>
      </w:r>
    </w:p>
    <w:p w14:paraId="1CB16D0A">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6.其他影响本产品投资运作的重大事项、突发事件、临时性信息披露等。</w:t>
      </w:r>
    </w:p>
    <w:p w14:paraId="699CFE42">
      <w:pPr>
        <w:pStyle w:val="3"/>
        <w:numPr>
          <w:ilvl w:val="1"/>
          <w:numId w:val="12"/>
        </w:numPr>
        <w:tabs>
          <w:tab w:val="left" w:pos="0"/>
          <w:tab w:val="left" w:pos="709"/>
        </w:tabs>
        <w:ind w:firstLine="480" w:firstLineChars="0"/>
        <w:rPr>
          <w:color w:val="auto"/>
          <w:highlight w:val="none"/>
          <w:u w:val="none"/>
        </w:rPr>
      </w:pPr>
      <w:r>
        <w:rPr>
          <w:rFonts w:hint="eastAsia"/>
          <w:color w:val="auto"/>
          <w:highlight w:val="none"/>
          <w:u w:val="none"/>
        </w:rPr>
        <w:t>信息披露频率</w:t>
      </w:r>
    </w:p>
    <w:p w14:paraId="147D2923">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ascii="仿宋_GB2312" w:hAnsi="宋体" w:cs="宋体"/>
          <w:color w:val="auto"/>
          <w:kern w:val="0"/>
          <w:szCs w:val="24"/>
          <w:highlight w:val="none"/>
          <w:u w:val="none"/>
        </w:rPr>
        <w:t>1.发行公告：本产品成立后5个工作日（含）内，将发布本理财产品成立公告；如</w:t>
      </w:r>
      <w:r>
        <w:rPr>
          <w:rFonts w:hint="eastAsia" w:ascii="仿宋_GB2312" w:hAnsi="宋体" w:cs="宋体"/>
          <w:color w:val="auto"/>
          <w:kern w:val="0"/>
          <w:szCs w:val="24"/>
          <w:highlight w:val="none"/>
          <w:u w:val="none"/>
        </w:rPr>
        <w:t>产品</w:t>
      </w:r>
      <w:r>
        <w:rPr>
          <w:rFonts w:ascii="仿宋_GB2312" w:hAnsi="宋体" w:cs="宋体"/>
          <w:color w:val="auto"/>
          <w:kern w:val="0"/>
          <w:szCs w:val="24"/>
          <w:highlight w:val="none"/>
          <w:u w:val="none"/>
        </w:rPr>
        <w:t>管理人决定本理财产品募集期延长，将于原定成立日前发布理财产品募集期延长公告；</w:t>
      </w:r>
      <w:r>
        <w:rPr>
          <w:rFonts w:hint="eastAsia" w:ascii="仿宋_GB2312" w:hAnsi="宋体" w:cs="宋体"/>
          <w:color w:val="auto"/>
          <w:kern w:val="0"/>
          <w:szCs w:val="24"/>
          <w:highlight w:val="none"/>
          <w:u w:val="none"/>
        </w:rPr>
        <w:t>产品</w:t>
      </w:r>
      <w:r>
        <w:rPr>
          <w:rFonts w:ascii="仿宋_GB2312" w:hAnsi="宋体" w:cs="宋体"/>
          <w:color w:val="auto"/>
          <w:kern w:val="0"/>
          <w:szCs w:val="24"/>
          <w:highlight w:val="none"/>
          <w:u w:val="none"/>
        </w:rPr>
        <w:t>管理人决定本理财产品不成立，将在理财产品原定成立日后的2个工作日（含）内发布理财产品不成立公告。</w:t>
      </w:r>
    </w:p>
    <w:p w14:paraId="5DB7F6D6">
      <w:pPr>
        <w:widowControl/>
        <w:numPr>
          <w:ilvl w:val="0"/>
          <w:numId w:val="0"/>
        </w:numPr>
        <w:tabs>
          <w:tab w:val="left" w:pos="1261"/>
        </w:tabs>
        <w:adjustRightInd w:val="0"/>
        <w:snapToGrid w:val="0"/>
        <w:spacing w:line="360" w:lineRule="auto"/>
        <w:ind w:firstLine="420" w:firstLineChars="200"/>
        <w:rPr>
          <w:rFonts w:hint="eastAsia" w:ascii="仿宋_GB2312" w:hAnsi="宋体" w:eastAsia="仿宋_GB2312" w:cs="宋体"/>
          <w:color w:val="auto"/>
          <w:kern w:val="0"/>
          <w:szCs w:val="24"/>
          <w:highlight w:val="none"/>
          <w:u w:val="none"/>
          <w:lang w:eastAsia="zh-CN"/>
        </w:rPr>
      </w:pPr>
      <w:r>
        <w:rPr>
          <w:rFonts w:ascii="仿宋_GB2312" w:hAnsi="宋体" w:cs="宋体"/>
          <w:color w:val="auto"/>
          <w:kern w:val="0"/>
          <w:szCs w:val="24"/>
          <w:highlight w:val="none"/>
          <w:u w:val="none"/>
        </w:rPr>
        <w:t>2.定期公告：本产品在</w:t>
      </w:r>
      <w:r>
        <w:rPr>
          <w:rFonts w:hint="eastAsia" w:ascii="仿宋_GB2312" w:hAnsi="宋体" w:cs="宋体"/>
          <w:color w:val="auto"/>
          <w:kern w:val="0"/>
          <w:szCs w:val="24"/>
          <w:highlight w:val="none"/>
          <w:u w:val="none"/>
        </w:rPr>
        <w:t>每个季度结束之日起十五个工作日内披露产品的季度报告，每年8月31日前披露产品的半年度报告，每年4月30日前披露产品上一年度的年度报告。产品成立不足</w:t>
      </w:r>
      <w:r>
        <w:rPr>
          <w:rFonts w:ascii="仿宋_GB2312" w:hAnsi="宋体" w:cs="宋体"/>
          <w:color w:val="auto"/>
          <w:kern w:val="0"/>
          <w:szCs w:val="24"/>
          <w:highlight w:val="none"/>
          <w:u w:val="none"/>
        </w:rPr>
        <w:t>90</w:t>
      </w:r>
      <w:r>
        <w:rPr>
          <w:rFonts w:hint="eastAsia" w:ascii="仿宋_GB2312" w:hAnsi="宋体" w:cs="宋体"/>
          <w:color w:val="auto"/>
          <w:kern w:val="0"/>
          <w:szCs w:val="24"/>
          <w:highlight w:val="none"/>
          <w:u w:val="none"/>
        </w:rPr>
        <w:t>个</w:t>
      </w:r>
      <w:r>
        <w:rPr>
          <w:rFonts w:hint="eastAsia" w:ascii="仿宋_GB2312" w:hAnsi="宋体" w:cs="宋体"/>
          <w:color w:val="auto"/>
          <w:kern w:val="0"/>
          <w:szCs w:val="24"/>
          <w:highlight w:val="none"/>
          <w:u w:val="none"/>
          <w:lang w:eastAsia="zh-CN"/>
        </w:rPr>
        <w:t>自然日</w:t>
      </w:r>
      <w:r>
        <w:rPr>
          <w:rFonts w:hint="eastAsia" w:ascii="仿宋_GB2312" w:hAnsi="宋体" w:cs="宋体"/>
          <w:color w:val="auto"/>
          <w:kern w:val="0"/>
          <w:szCs w:val="24"/>
          <w:highlight w:val="none"/>
          <w:u w:val="none"/>
        </w:rPr>
        <w:t>或者</w:t>
      </w:r>
      <w:r>
        <w:rPr>
          <w:rFonts w:hint="eastAsia" w:ascii="仿宋_GB2312"/>
          <w:color w:val="auto"/>
          <w:szCs w:val="32"/>
          <w:highlight w:val="none"/>
        </w:rPr>
        <w:t>理财产品剩余存续期不足完整报告期，且到期公告或清算报告包括对应定期报告内容的</w:t>
      </w:r>
      <w:r>
        <w:rPr>
          <w:rFonts w:hint="eastAsia" w:ascii="仿宋_GB2312" w:hAnsi="宋体" w:cs="宋体"/>
          <w:color w:val="auto"/>
          <w:kern w:val="0"/>
          <w:szCs w:val="24"/>
          <w:highlight w:val="none"/>
          <w:u w:val="none"/>
        </w:rPr>
        <w:t>，</w:t>
      </w:r>
      <w:r>
        <w:rPr>
          <w:rFonts w:hint="eastAsia" w:ascii="仿宋_GB2312" w:hAnsi="宋体" w:cs="宋体"/>
          <w:color w:val="auto"/>
          <w:kern w:val="0"/>
          <w:szCs w:val="24"/>
          <w:highlight w:val="none"/>
          <w:u w:val="none"/>
          <w:lang w:eastAsia="zh-CN"/>
        </w:rPr>
        <w:t>可</w:t>
      </w:r>
      <w:r>
        <w:rPr>
          <w:rFonts w:hint="eastAsia" w:ascii="仿宋_GB2312" w:hAnsi="宋体" w:cs="宋体"/>
          <w:color w:val="auto"/>
          <w:kern w:val="0"/>
          <w:szCs w:val="24"/>
          <w:highlight w:val="none"/>
          <w:u w:val="none"/>
        </w:rPr>
        <w:t>不编制本产品当期的季度、半年和年度报告</w:t>
      </w:r>
      <w:r>
        <w:rPr>
          <w:rFonts w:hint="eastAsia" w:ascii="仿宋_GB2312"/>
          <w:color w:val="auto"/>
          <w:szCs w:val="32"/>
          <w:highlight w:val="none"/>
        </w:rPr>
        <w:t>。</w:t>
      </w:r>
    </w:p>
    <w:p w14:paraId="68EDF3B1">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ascii="仿宋_GB2312" w:hAnsi="宋体" w:cs="宋体"/>
          <w:color w:val="auto"/>
          <w:kern w:val="0"/>
          <w:szCs w:val="24"/>
          <w:highlight w:val="none"/>
          <w:u w:val="none"/>
        </w:rPr>
        <w:t>3.到期公告：本产品在终止后5</w:t>
      </w:r>
      <w:r>
        <w:rPr>
          <w:rFonts w:hint="eastAsia" w:ascii="仿宋_GB2312" w:hAnsi="宋体" w:cs="宋体"/>
          <w:color w:val="auto"/>
          <w:kern w:val="0"/>
          <w:szCs w:val="24"/>
          <w:highlight w:val="none"/>
          <w:u w:val="none"/>
        </w:rPr>
        <w:t>个工作日内，披露本产品到期公告，包括理财产品的存续期限、终止日期、收费情况和收益分配情况等信息。本产品终止后5个工作日内，产品管理人发布产品到期公告。</w:t>
      </w:r>
    </w:p>
    <w:p w14:paraId="00B260EA">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如果产品管理人提前或</w:t>
      </w:r>
      <w:r>
        <w:rPr>
          <w:rFonts w:ascii="仿宋_GB2312" w:hAnsi="宋体" w:cs="宋体"/>
          <w:color w:val="auto"/>
          <w:kern w:val="0"/>
          <w:szCs w:val="24"/>
          <w:highlight w:val="none"/>
          <w:u w:val="none"/>
        </w:rPr>
        <w:t>延后</w:t>
      </w:r>
      <w:r>
        <w:rPr>
          <w:rFonts w:hint="eastAsia" w:ascii="仿宋_GB2312" w:hAnsi="宋体" w:cs="宋体"/>
          <w:color w:val="auto"/>
          <w:kern w:val="0"/>
          <w:szCs w:val="24"/>
          <w:highlight w:val="none"/>
          <w:u w:val="none"/>
        </w:rPr>
        <w:t>终止本产品，产品管理人将提前</w:t>
      </w: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个工作日进行公告。</w:t>
      </w:r>
    </w:p>
    <w:p w14:paraId="647B8028">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ascii="仿宋_GB2312" w:hAnsi="宋体" w:cs="宋体"/>
          <w:color w:val="auto"/>
          <w:kern w:val="0"/>
          <w:szCs w:val="24"/>
          <w:highlight w:val="none"/>
          <w:u w:val="none"/>
        </w:rPr>
        <w:t>4.开放日</w:t>
      </w:r>
      <w:r>
        <w:rPr>
          <w:rFonts w:hint="eastAsia" w:ascii="仿宋_GB2312" w:hAnsi="宋体" w:cs="宋体"/>
          <w:color w:val="auto"/>
          <w:kern w:val="0"/>
          <w:szCs w:val="24"/>
          <w:highlight w:val="none"/>
          <w:u w:val="none"/>
        </w:rPr>
        <w:t>（估值日</w:t>
      </w:r>
      <w:r>
        <w:rPr>
          <w:rFonts w:ascii="仿宋_GB2312" w:hAnsi="宋体" w:cs="宋体"/>
          <w:color w:val="auto"/>
          <w:kern w:val="0"/>
          <w:szCs w:val="24"/>
          <w:highlight w:val="none"/>
          <w:u w:val="none"/>
        </w:rPr>
        <w:t>）公告：</w:t>
      </w:r>
      <w:r>
        <w:rPr>
          <w:rFonts w:hint="eastAsia" w:ascii="仿宋_GB2312" w:hAnsi="宋体" w:cs="宋体"/>
          <w:color w:val="auto"/>
          <w:kern w:val="0"/>
          <w:szCs w:val="24"/>
          <w:highlight w:val="none"/>
          <w:u w:val="none"/>
        </w:rPr>
        <w:t>产品管理人在申购日</w:t>
      </w:r>
      <w:r>
        <w:rPr>
          <w:rFonts w:ascii="仿宋_GB2312" w:hAnsi="宋体" w:cs="宋体"/>
          <w:color w:val="auto"/>
          <w:kern w:val="0"/>
          <w:szCs w:val="24"/>
          <w:highlight w:val="none"/>
          <w:u w:val="none"/>
        </w:rPr>
        <w:t>/赎回日结束后2</w:t>
      </w:r>
      <w:r>
        <w:rPr>
          <w:rFonts w:hint="eastAsia" w:ascii="仿宋_GB2312" w:hAnsi="宋体" w:cs="宋体"/>
          <w:color w:val="auto"/>
          <w:kern w:val="0"/>
          <w:szCs w:val="24"/>
          <w:highlight w:val="none"/>
          <w:u w:val="none"/>
        </w:rPr>
        <w:t>个工作日内披露开放日公告，公告内容包括申购日</w:t>
      </w:r>
      <w:r>
        <w:rPr>
          <w:rFonts w:ascii="仿宋_GB2312" w:hAnsi="宋体" w:cs="宋体"/>
          <w:color w:val="auto"/>
          <w:kern w:val="0"/>
          <w:szCs w:val="24"/>
          <w:highlight w:val="none"/>
          <w:u w:val="none"/>
        </w:rPr>
        <w:t>/赎回日的产品份额净值、产品份额累计净值、</w:t>
      </w:r>
      <w:r>
        <w:rPr>
          <w:rFonts w:hint="eastAsia" w:ascii="仿宋_GB2312" w:hAnsi="宋体" w:cs="宋体"/>
          <w:color w:val="auto"/>
          <w:kern w:val="0"/>
          <w:szCs w:val="24"/>
          <w:highlight w:val="none"/>
          <w:u w:val="none"/>
        </w:rPr>
        <w:t>申购/赎回</w:t>
      </w:r>
      <w:r>
        <w:rPr>
          <w:rFonts w:ascii="仿宋_GB2312" w:hAnsi="宋体" w:cs="宋体"/>
          <w:color w:val="auto"/>
          <w:kern w:val="0"/>
          <w:szCs w:val="24"/>
          <w:highlight w:val="none"/>
          <w:u w:val="none"/>
        </w:rPr>
        <w:t>价格</w:t>
      </w:r>
      <w:r>
        <w:rPr>
          <w:rFonts w:hint="eastAsia" w:ascii="仿宋_GB2312" w:hAnsi="宋体" w:cs="宋体"/>
          <w:color w:val="auto"/>
          <w:kern w:val="0"/>
          <w:szCs w:val="24"/>
          <w:highlight w:val="none"/>
          <w:u w:val="none"/>
        </w:rPr>
        <w:t>。如遇法定节假日顺延。如遇产品到期日、季度末、半年度末、年度末等时间节点，产品管理人将增加估值日。此外，如遇其他特殊情况，以产品管理人信息披露为准。</w:t>
      </w:r>
    </w:p>
    <w:p w14:paraId="54BB392C">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5</w:t>
      </w:r>
      <w:r>
        <w:rPr>
          <w:rFonts w:ascii="仿宋_GB2312" w:hAnsi="宋体" w:cs="宋体"/>
          <w:color w:val="auto"/>
          <w:kern w:val="0"/>
          <w:szCs w:val="24"/>
          <w:highlight w:val="none"/>
          <w:u w:val="none"/>
        </w:rPr>
        <w:t>.</w:t>
      </w:r>
      <w:r>
        <w:rPr>
          <w:rFonts w:hint="eastAsia" w:ascii="仿宋_GB2312" w:hAnsi="宋体" w:cs="宋体"/>
          <w:color w:val="auto"/>
          <w:kern w:val="0"/>
          <w:szCs w:val="24"/>
          <w:highlight w:val="none"/>
          <w:u w:val="none"/>
        </w:rPr>
        <w:t>产品临时公告</w:t>
      </w:r>
    </w:p>
    <w:p w14:paraId="46F9976F">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1</w:t>
      </w:r>
      <w:r>
        <w:rPr>
          <w:rFonts w:hint="eastAsia" w:ascii="仿宋_GB2312" w:hAnsi="宋体" w:cs="宋体"/>
          <w:color w:val="auto"/>
          <w:kern w:val="0"/>
          <w:szCs w:val="24"/>
          <w:highlight w:val="none"/>
          <w:u w:val="none"/>
        </w:rPr>
        <w:t>）产品管理人对产品类型、投资范围、资产种类、投资比例、风险等级、产品期限、运作方式、认（申）购和赎回安排（包含认购或申购赎回时间、金额上下限等）、估值方法、收益分配安排</w:t>
      </w:r>
      <w:r>
        <w:rPr>
          <w:rFonts w:hint="eastAsia" w:ascii="仿宋_GB2312" w:hAnsi="宋体" w:cs="宋体"/>
          <w:color w:val="auto"/>
          <w:kern w:val="0"/>
          <w:szCs w:val="24"/>
          <w:highlight w:val="none"/>
          <w:u w:val="none"/>
          <w:lang w:eastAsia="zh-CN"/>
        </w:rPr>
        <w:t>、</w:t>
      </w:r>
      <w:r>
        <w:rPr>
          <w:rFonts w:hint="eastAsia" w:ascii="仿宋_GB2312"/>
          <w:color w:val="auto"/>
          <w:szCs w:val="32"/>
          <w:highlight w:val="none"/>
        </w:rPr>
        <w:t>份额类别</w:t>
      </w:r>
      <w:r>
        <w:rPr>
          <w:rFonts w:hint="eastAsia" w:ascii="仿宋_GB2312"/>
          <w:color w:val="auto"/>
          <w:szCs w:val="32"/>
          <w:highlight w:val="none"/>
          <w:lang w:eastAsia="zh-CN"/>
        </w:rPr>
        <w:t>、</w:t>
      </w:r>
      <w:r>
        <w:rPr>
          <w:rFonts w:hint="eastAsia" w:ascii="仿宋_GB2312" w:hAnsi="宋体" w:cs="宋体"/>
          <w:color w:val="auto"/>
          <w:kern w:val="0"/>
          <w:szCs w:val="24"/>
          <w:highlight w:val="none"/>
          <w:u w:val="none"/>
        </w:rPr>
        <w:t>收费项目、收费条件、收费标准、收费方式</w:t>
      </w:r>
      <w:r>
        <w:rPr>
          <w:rFonts w:hint="eastAsia" w:ascii="仿宋_GB2312" w:hAnsi="宋体" w:cs="宋体"/>
          <w:color w:val="auto"/>
          <w:kern w:val="0"/>
          <w:szCs w:val="24"/>
          <w:highlight w:val="none"/>
          <w:u w:val="none"/>
          <w:lang w:eastAsia="zh-CN"/>
        </w:rPr>
        <w:t>、费用优惠措施</w:t>
      </w:r>
      <w:r>
        <w:rPr>
          <w:rFonts w:hint="eastAsia" w:ascii="仿宋_GB2312" w:hAnsi="宋体" w:cs="宋体"/>
          <w:color w:val="auto"/>
          <w:kern w:val="0"/>
          <w:szCs w:val="24"/>
          <w:highlight w:val="none"/>
          <w:u w:val="none"/>
        </w:rPr>
        <w:t>等保留调整的权利，如发生调整，调整后的要素以产品管理人发布的公告中所载明的内容为准。产品管理人将提前</w:t>
      </w: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个工作日发布公告。</w:t>
      </w:r>
    </w:p>
    <w:p w14:paraId="5489F91B">
      <w:pPr>
        <w:widowControl/>
        <w:tabs>
          <w:tab w:val="left" w:pos="709"/>
        </w:tabs>
        <w:adjustRightInd w:val="0"/>
        <w:snapToGrid w:val="0"/>
        <w:spacing w:line="360" w:lineRule="auto"/>
        <w:ind w:firstLine="422" w:firstLineChars="20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w:t>
      </w:r>
      <w:r>
        <w:rPr>
          <w:rFonts w:ascii="仿宋_GB2312" w:hAnsi="宋体" w:cs="宋体"/>
          <w:b/>
          <w:bCs/>
          <w:color w:val="auto"/>
          <w:kern w:val="0"/>
          <w:szCs w:val="24"/>
          <w:highlight w:val="none"/>
          <w:u w:val="none"/>
        </w:rPr>
        <w:t>2）在发生产品管理人拒绝或暂停接受投资者认购/申购申请、</w:t>
      </w:r>
      <w:r>
        <w:rPr>
          <w:rFonts w:hint="eastAsia" w:ascii="仿宋_GB2312" w:hAnsi="宋体" w:cs="宋体"/>
          <w:b/>
          <w:bCs/>
          <w:color w:val="auto"/>
          <w:kern w:val="0"/>
          <w:szCs w:val="24"/>
          <w:highlight w:val="none"/>
          <w:u w:val="none"/>
        </w:rPr>
        <w:t>延期办理巨额赎回申请、</w:t>
      </w:r>
      <w:r>
        <w:rPr>
          <w:rFonts w:ascii="仿宋_GB2312" w:hAnsi="宋体" w:cs="宋体"/>
          <w:b/>
          <w:bCs/>
          <w:color w:val="auto"/>
          <w:kern w:val="0"/>
          <w:szCs w:val="24"/>
          <w:highlight w:val="none"/>
          <w:u w:val="none"/>
        </w:rPr>
        <w:t>暂停接受投资者赎回申请、延缓支付赎回款项、暂停理财产品估值、</w:t>
      </w:r>
      <w:r>
        <w:rPr>
          <w:rFonts w:hint="eastAsia" w:ascii="仿宋_GB2312" w:hAnsi="宋体" w:cs="宋体"/>
          <w:b/>
          <w:bCs/>
          <w:color w:val="auto"/>
          <w:kern w:val="0"/>
          <w:szCs w:val="24"/>
          <w:highlight w:val="none"/>
          <w:u w:val="none"/>
          <w:lang w:eastAsia="zh-CN"/>
        </w:rPr>
        <w:t>收取短期赎回费、</w:t>
      </w:r>
      <w:r>
        <w:rPr>
          <w:rFonts w:ascii="仿宋_GB2312" w:hAnsi="宋体" w:cs="宋体"/>
          <w:b/>
          <w:bCs/>
          <w:color w:val="auto"/>
          <w:kern w:val="0"/>
          <w:szCs w:val="24"/>
          <w:highlight w:val="none"/>
          <w:u w:val="none"/>
        </w:rPr>
        <w:t>采用摆动定价等情形时，产品管理人将于</w:t>
      </w:r>
      <w:r>
        <w:rPr>
          <w:rFonts w:hint="eastAsia" w:ascii="仿宋_GB2312" w:hAnsi="宋体" w:cs="宋体"/>
          <w:b/>
          <w:bCs/>
          <w:color w:val="auto"/>
          <w:kern w:val="0"/>
          <w:szCs w:val="24"/>
          <w:highlight w:val="none"/>
          <w:u w:val="none"/>
        </w:rPr>
        <w:t>情形发生</w:t>
      </w:r>
      <w:r>
        <w:rPr>
          <w:rFonts w:hint="eastAsia" w:ascii="仿宋_GB2312" w:hAnsi="宋体" w:cs="宋体"/>
          <w:b/>
          <w:bCs/>
          <w:color w:val="auto"/>
          <w:kern w:val="0"/>
          <w:szCs w:val="24"/>
          <w:highlight w:val="none"/>
          <w:u w:val="none"/>
          <w:lang w:val="en-US" w:eastAsia="zh-CN"/>
        </w:rPr>
        <w:t>后</w:t>
      </w:r>
      <w:r>
        <w:rPr>
          <w:rFonts w:ascii="仿宋_GB2312" w:hAnsi="宋体" w:cs="宋体"/>
          <w:b/>
          <w:bCs/>
          <w:color w:val="auto"/>
          <w:kern w:val="0"/>
          <w:szCs w:val="24"/>
          <w:highlight w:val="none"/>
          <w:u w:val="none"/>
        </w:rPr>
        <w:t>3</w:t>
      </w:r>
      <w:r>
        <w:rPr>
          <w:rFonts w:hint="eastAsia" w:ascii="仿宋_GB2312" w:hAnsi="宋体" w:cs="宋体"/>
          <w:b/>
          <w:bCs/>
          <w:color w:val="auto"/>
          <w:kern w:val="0"/>
          <w:szCs w:val="24"/>
          <w:highlight w:val="none"/>
          <w:u w:val="none"/>
        </w:rPr>
        <w:t>个</w:t>
      </w:r>
      <w:r>
        <w:rPr>
          <w:rFonts w:hint="eastAsia" w:ascii="仿宋_GB2312" w:hAnsi="宋体" w:cs="宋体"/>
          <w:b/>
          <w:bCs/>
          <w:color w:val="auto"/>
          <w:kern w:val="0"/>
          <w:szCs w:val="24"/>
          <w:highlight w:val="none"/>
          <w:u w:val="none"/>
          <w:lang w:eastAsia="zh-CN"/>
        </w:rPr>
        <w:t>交易日</w:t>
      </w:r>
      <w:r>
        <w:rPr>
          <w:rFonts w:hint="eastAsia" w:ascii="仿宋_GB2312" w:hAnsi="宋体" w:cs="宋体"/>
          <w:b/>
          <w:bCs/>
          <w:color w:val="auto"/>
          <w:kern w:val="0"/>
          <w:szCs w:val="24"/>
          <w:highlight w:val="none"/>
          <w:u w:val="none"/>
        </w:rPr>
        <w:t>内告知投资者，并说明运用相关措施的原因和拟采取的应对安排等。在发生涉及产品认购、申购或赎回事项调整或潜在影响投资者赎回等事项时，管理人将发布临时公告。</w:t>
      </w:r>
    </w:p>
    <w:p w14:paraId="27919A36">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3）理财产品清算期超过5</w:t>
      </w:r>
      <w:r>
        <w:rPr>
          <w:rFonts w:hint="eastAsia" w:ascii="仿宋_GB2312" w:hAnsi="宋体" w:cs="宋体"/>
          <w:color w:val="auto"/>
          <w:kern w:val="0"/>
          <w:szCs w:val="24"/>
          <w:highlight w:val="none"/>
          <w:u w:val="none"/>
        </w:rPr>
        <w:t>个工作日的，产品管理人应当在理财产品终止前</w:t>
      </w: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个</w:t>
      </w:r>
      <w:r>
        <w:rPr>
          <w:rFonts w:ascii="仿宋_GB2312" w:hAnsi="宋体" w:cs="宋体"/>
          <w:color w:val="auto"/>
          <w:kern w:val="0"/>
          <w:szCs w:val="24"/>
          <w:highlight w:val="none"/>
          <w:u w:val="none"/>
        </w:rPr>
        <w:t>工作日</w:t>
      </w:r>
      <w:r>
        <w:rPr>
          <w:rFonts w:hint="eastAsia" w:ascii="仿宋_GB2312" w:hAnsi="宋体" w:cs="宋体"/>
          <w:color w:val="auto"/>
          <w:kern w:val="0"/>
          <w:szCs w:val="24"/>
          <w:highlight w:val="none"/>
          <w:u w:val="none"/>
        </w:rPr>
        <w:t>，根据与投资者约定的渠道向投资者进行信息披露。</w:t>
      </w:r>
    </w:p>
    <w:p w14:paraId="59EB0D4D">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（4）在本产品存续期内，如因国家法律法规、监管规定发生变化，或是出于维护本产品正常运营的需要，在不损害投资者权益的前提下，产品管理人有权对理财产品销售文件进行修订，并提前</w:t>
      </w:r>
      <w:r>
        <w:rPr>
          <w:rFonts w:hint="eastAsia" w:ascii="仿宋_GB2312" w:hAnsi="宋体" w:cs="宋体"/>
          <w:b/>
          <w:color w:val="auto"/>
          <w:kern w:val="0"/>
          <w:szCs w:val="24"/>
          <w:highlight w:val="none"/>
          <w:u w:val="none"/>
          <w:lang w:val="en-US" w:eastAsia="zh-CN"/>
        </w:rPr>
        <w:t>1</w:t>
      </w:r>
      <w:r>
        <w:rPr>
          <w:rFonts w:hint="eastAsia" w:ascii="仿宋_GB2312" w:hAnsi="宋体" w:cs="宋体"/>
          <w:b/>
          <w:color w:val="auto"/>
          <w:kern w:val="0"/>
          <w:szCs w:val="24"/>
          <w:highlight w:val="none"/>
          <w:u w:val="none"/>
        </w:rPr>
        <w:t>个工作日进行公告。</w:t>
      </w:r>
    </w:p>
    <w:p w14:paraId="79935913">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5）其他临时性公告</w:t>
      </w:r>
    </w:p>
    <w:p w14:paraId="00E76ED9">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除前述事项外，如出现产品</w:t>
      </w:r>
      <w:r>
        <w:rPr>
          <w:rFonts w:ascii="仿宋_GB2312" w:hAnsi="宋体" w:cs="宋体"/>
          <w:color w:val="auto"/>
          <w:kern w:val="0"/>
          <w:szCs w:val="24"/>
          <w:highlight w:val="none"/>
          <w:u w:val="none"/>
        </w:rPr>
        <w:t>二次清算</w:t>
      </w:r>
      <w:r>
        <w:rPr>
          <w:rFonts w:hint="eastAsia" w:ascii="仿宋_GB2312" w:hAnsi="宋体" w:cs="宋体"/>
          <w:color w:val="auto"/>
          <w:kern w:val="0"/>
          <w:szCs w:val="24"/>
          <w:highlight w:val="none"/>
          <w:u w:val="none"/>
        </w:rPr>
        <w:t>等其他突发事件，应在完成再次清算之日起两个工作日内，向投资者披露清算资金分配情况等信息。</w:t>
      </w:r>
    </w:p>
    <w:p w14:paraId="1958646D">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在本产品存续期内，当产品管理人对理财产品进行相应调整（包括调整投资范围、投资资产种类、投资比例或收费项目、收费条件、收费标准、收费方式等）时，若构成对投资者利益产生实质性不利影响或涉及当事人权利义务的重大变更的，投资者有权不接受调整，在符合法律法规及监管政策的前提下，可由产品管理人决定投资者提前赎回的方式，并通过公告进行披露。若投资者未选择赎回本产品的，则视为已理解并接受产品管理人的相应调整。</w:t>
      </w:r>
    </w:p>
    <w:p w14:paraId="0628A5E6">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lang w:eastAsia="zh-CN"/>
        </w:rPr>
      </w:pP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对于理财产品存续期间发生的以下事项，应于知晓或应当知晓相关事项后五个工作日内向投资者披露</w:t>
      </w:r>
      <w:r>
        <w:rPr>
          <w:rFonts w:hint="eastAsia" w:ascii="仿宋_GB2312" w:hAnsi="宋体" w:cs="宋体"/>
          <w:color w:val="auto"/>
          <w:kern w:val="0"/>
          <w:szCs w:val="24"/>
          <w:highlight w:val="none"/>
          <w:u w:val="none"/>
          <w:lang w:eastAsia="zh-CN"/>
        </w:rPr>
        <w:t>：</w:t>
      </w:r>
    </w:p>
    <w:p w14:paraId="5BA2D1DC">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更换理财产品管理人或</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变更实际控制人，更换托管机构，</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或托管</w:t>
      </w:r>
      <w:r>
        <w:rPr>
          <w:rFonts w:hint="eastAsia" w:ascii="仿宋_GB2312" w:hAnsi="宋体" w:cs="宋体"/>
          <w:color w:val="auto"/>
          <w:kern w:val="0"/>
          <w:szCs w:val="24"/>
          <w:highlight w:val="none"/>
          <w:u w:val="none"/>
          <w:lang w:eastAsia="zh-CN"/>
        </w:rPr>
        <w:t>人</w:t>
      </w:r>
      <w:r>
        <w:rPr>
          <w:rFonts w:hint="eastAsia" w:ascii="仿宋_GB2312" w:hAnsi="宋体" w:cs="宋体"/>
          <w:color w:val="auto"/>
          <w:kern w:val="0"/>
          <w:szCs w:val="24"/>
          <w:highlight w:val="none"/>
          <w:u w:val="none"/>
        </w:rPr>
        <w:t>的法定名称、住所发生变更。</w:t>
      </w:r>
    </w:p>
    <w:p w14:paraId="3652487D">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2）</w:t>
      </w:r>
      <w:r>
        <w:rPr>
          <w:rFonts w:hint="eastAsia" w:ascii="仿宋_GB2312" w:hAnsi="宋体" w:cs="宋体"/>
          <w:color w:val="auto"/>
          <w:kern w:val="0"/>
          <w:szCs w:val="24"/>
          <w:highlight w:val="none"/>
          <w:u w:val="none"/>
        </w:rPr>
        <w:t>涉及产品穿透后持仓百分之十及以上的单笔资产的诉讼或仲裁，并可能对产品或其投资者权益有重大影响的。</w:t>
      </w:r>
    </w:p>
    <w:p w14:paraId="43DC34B2">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3</w:t>
      </w:r>
      <w:r>
        <w:rPr>
          <w:rFonts w:hint="eastAsia" w:ascii="仿宋_GB2312" w:hAnsi="宋体" w:cs="宋体"/>
          <w:color w:val="auto"/>
          <w:kern w:val="0"/>
          <w:szCs w:val="24"/>
          <w:highlight w:val="none"/>
          <w:u w:val="none"/>
        </w:rPr>
        <w:t>）产品穿透后持仓百分之十及以上的非标准化债权类资产的融资主体、担保主体发生重大行政处罚、重大诉讼或仲裁，或破产、兼并、重组等重大事项，并对其还款能力或担保能力造成重大不利影响；或上述融资主体对其公开市场债务出现不能按时足额还本付息情况的。</w:t>
      </w:r>
    </w:p>
    <w:p w14:paraId="2512BAC1">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理财产品投资的非标准化资产本身为不良资产及其收益权的，可以不进行临时披露，但应当在季度、半年度、年度报告中披露相关情况。</w:t>
      </w:r>
    </w:p>
    <w:p w14:paraId="3E9A097D">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4）</w:t>
      </w:r>
      <w:r>
        <w:rPr>
          <w:rFonts w:hint="eastAsia" w:ascii="仿宋_GB2312" w:hAnsi="宋体" w:cs="宋体"/>
          <w:color w:val="auto"/>
          <w:kern w:val="0"/>
          <w:szCs w:val="24"/>
          <w:highlight w:val="none"/>
          <w:u w:val="none"/>
        </w:rPr>
        <w:t>涉及产品穿透后持仓百分之十及以上的单笔资产的债券违约、股票停牌或退市的。</w:t>
      </w:r>
    </w:p>
    <w:p w14:paraId="7FE305E2">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5）</w:t>
      </w:r>
      <w:r>
        <w:rPr>
          <w:rFonts w:hint="eastAsia" w:ascii="仿宋_GB2312" w:hAnsi="宋体" w:cs="宋体"/>
          <w:color w:val="auto"/>
          <w:kern w:val="0"/>
          <w:szCs w:val="24"/>
          <w:highlight w:val="none"/>
          <w:u w:val="none"/>
        </w:rPr>
        <w:t>理财产品份额净值计价错误达份额净值百分之零点五。</w:t>
      </w:r>
    </w:p>
    <w:p w14:paraId="18FCDCC4">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6）</w:t>
      </w:r>
      <w:r>
        <w:rPr>
          <w:rFonts w:hint="eastAsia" w:ascii="仿宋_GB2312" w:hAnsi="宋体" w:cs="宋体"/>
          <w:color w:val="auto"/>
          <w:kern w:val="0"/>
          <w:szCs w:val="24"/>
          <w:highlight w:val="none"/>
          <w:u w:val="none"/>
        </w:rPr>
        <w:t>金融市场发生重大变化导致理财产品投资比例暂时超出浮动区间且可能对理财产品收益产生重大影响的。</w:t>
      </w:r>
    </w:p>
    <w:p w14:paraId="2C1B5E27">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7）</w:t>
      </w:r>
      <w:r>
        <w:rPr>
          <w:rFonts w:hint="eastAsia" w:ascii="仿宋_GB2312" w:hAnsi="宋体" w:cs="宋体"/>
          <w:color w:val="auto"/>
          <w:kern w:val="0"/>
          <w:szCs w:val="24"/>
          <w:highlight w:val="none"/>
          <w:u w:val="none"/>
        </w:rPr>
        <w:t>法律法规以及监管规定的其他内容，或者</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认为可能对投资者权益产生重大不利影响的其他事项。</w:t>
      </w:r>
    </w:p>
    <w:p w14:paraId="7C5AD2D1">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u w:val="none"/>
        </w:rPr>
      </w:pPr>
    </w:p>
    <w:p w14:paraId="20E8211E">
      <w:pPr>
        <w:widowControl/>
        <w:jc w:val="left"/>
        <w:rPr>
          <w:rFonts w:eastAsia="黑体"/>
          <w:color w:val="auto"/>
          <w:kern w:val="44"/>
          <w:sz w:val="28"/>
          <w:highlight w:val="none"/>
          <w:u w:val="none"/>
        </w:rPr>
      </w:pPr>
      <w:r>
        <w:rPr>
          <w:color w:val="auto"/>
          <w:highlight w:val="none"/>
          <w:u w:val="none"/>
        </w:rPr>
        <w:br w:type="page"/>
      </w:r>
    </w:p>
    <w:p w14:paraId="26168336">
      <w:pPr>
        <w:pStyle w:val="2"/>
        <w:numPr>
          <w:ilvl w:val="0"/>
          <w:numId w:val="12"/>
        </w:numPr>
        <w:rPr>
          <w:color w:val="auto"/>
          <w:highlight w:val="none"/>
          <w:u w:val="none"/>
        </w:rPr>
      </w:pPr>
      <w:r>
        <w:rPr>
          <w:rFonts w:hint="eastAsia"/>
          <w:color w:val="auto"/>
          <w:highlight w:val="none"/>
          <w:u w:val="none"/>
          <w:lang w:eastAsia="zh-CN"/>
        </w:rPr>
        <w:t>风险揭示</w:t>
      </w:r>
    </w:p>
    <w:p w14:paraId="79D506EE">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lang w:eastAsia="zh-CN"/>
        </w:rPr>
        <w:t>【</w:t>
      </w:r>
      <w:r>
        <w:rPr>
          <w:rFonts w:hint="default" w:ascii="仿宋_GB2312" w:hAnsi="宋体" w:cs="宋体"/>
          <w:b w:val="0"/>
          <w:color w:val="auto"/>
          <w:kern w:val="0"/>
          <w:szCs w:val="24"/>
          <w:highlight w:val="yellow"/>
          <w:u w:val="none"/>
        </w:rPr>
        <w:t>本产品不保证本金和收益，投资者的本金有可能蒙受损失，极端情况下，可能全部或部分受损。投资者应充分认识投资风险，谨慎投资。</w:t>
      </w:r>
      <w:r>
        <w:rPr>
          <w:rFonts w:hint="eastAsia" w:ascii="仿宋_GB2312" w:hAnsi="宋体" w:cs="宋体"/>
          <w:b w:val="0"/>
          <w:color w:val="auto"/>
          <w:kern w:val="0"/>
          <w:szCs w:val="24"/>
          <w:highlight w:val="yellow"/>
          <w:u w:val="none"/>
          <w:lang w:eastAsia="zh-CN"/>
        </w:rPr>
        <w:t>风险列示</w:t>
      </w:r>
      <w:r>
        <w:rPr>
          <w:rFonts w:hint="default" w:ascii="仿宋_GB2312" w:hAnsi="宋体" w:cs="宋体"/>
          <w:b w:val="0"/>
          <w:color w:val="auto"/>
          <w:kern w:val="0"/>
          <w:szCs w:val="24"/>
          <w:highlight w:val="yellow"/>
          <w:u w:val="none"/>
        </w:rPr>
        <w:t>如下：</w:t>
      </w:r>
    </w:p>
    <w:p w14:paraId="7C1C6A24">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（一）政策风险</w:t>
      </w:r>
    </w:p>
    <w:p w14:paraId="529DDC3A">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是根据当前相关法律法规、监管规定和国家政策设计的。如国家宏观政策以及市场相关法律法规、监管规定发生变化，可能影响本理财产品的发行、交易、投资、兑付等工作流程的正常进行，从而影响本理财产品的投资运作，则投资者可能面临本金和收益遭受部分甚至全部损失的风险。</w:t>
      </w:r>
    </w:p>
    <w:p w14:paraId="7ED3C28A">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（二）信用风险</w:t>
      </w:r>
    </w:p>
    <w:p w14:paraId="5B14D581">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本理财产品所投资的资产或资产组合项下义务人可能出现信用违约情形，无法如期偿付融资本金与利息，则投资者可能面临本金和收益遭受部分甚至全部损失的风险。</w:t>
      </w:r>
    </w:p>
    <w:p w14:paraId="040F9E56">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（三）市场风险</w:t>
      </w:r>
    </w:p>
    <w:p w14:paraId="07187580">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存续期内，由于市场利率、汇率变化，债券、股票等投资品市场价格波动，以及市场已出现或未来可能出现的其他重要因素影响，将导致本理财产品所投资的资产或资产组合出现估值波动，从而影响本理财产品的净值，投资者可能面临投资本金和收益遭受部分甚至全部损失的风险。</w:t>
      </w:r>
    </w:p>
    <w:p w14:paraId="00C620CE">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（四）流动性风险</w:t>
      </w:r>
    </w:p>
    <w:p w14:paraId="2FEF23E0">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当市场出现极端情况或开放式产品投资者集中、大额赎回等情形下，理财产品可能因持有现金头寸不足或所投资的资产无法及时变现，导致无法按约定向投资者及时兑付理财资金，投资者可能面临理财资金无法及时到账及/或持有的本理财产品整体损益出现不利情形的风险。</w:t>
      </w:r>
    </w:p>
    <w:p w14:paraId="53F57D53">
      <w:pPr>
        <w:widowControl/>
        <w:tabs>
          <w:tab w:val="left" w:pos="709"/>
        </w:tabs>
        <w:adjustRightInd w:val="0"/>
        <w:snapToGrid w:val="0"/>
        <w:spacing w:line="360" w:lineRule="auto"/>
        <w:ind w:firstLine="422" w:firstLineChars="200"/>
        <w:rPr>
          <w:rFonts w:hint="default" w:ascii="仿宋_GB2312" w:hAnsi="宋体" w:cs="宋体"/>
          <w:b w:val="0"/>
          <w:color w:val="auto"/>
          <w:kern w:val="0"/>
          <w:szCs w:val="24"/>
          <w:highlight w:val="yellow"/>
          <w:u w:val="none"/>
        </w:rPr>
      </w:pPr>
      <w:r>
        <w:rPr>
          <w:rFonts w:hint="default" w:ascii="仿宋_GB2312" w:hAnsi="宋体" w:cs="宋体"/>
          <w:b/>
          <w:bCs/>
          <w:color w:val="auto"/>
          <w:kern w:val="0"/>
          <w:szCs w:val="24"/>
          <w:highlight w:val="yellow"/>
          <w:u w:val="none"/>
        </w:rPr>
        <w:t>投资者在本理财产品说明书约定的封闭期、最短持有期及/或其他不可赎回时段内不享有提前赎回权。</w:t>
      </w:r>
      <w:r>
        <w:rPr>
          <w:rFonts w:hint="default" w:ascii="仿宋_GB2312" w:hAnsi="宋体" w:cs="宋体"/>
          <w:b w:val="0"/>
          <w:color w:val="auto"/>
          <w:kern w:val="0"/>
          <w:szCs w:val="24"/>
          <w:highlight w:val="yellow"/>
          <w:u w:val="none"/>
        </w:rPr>
        <w:t>如果投资者面临用款需求与其他投资机会，可能因所持有的理财产品不能随时赎回或变现，存在用款需求无法满足或错过其他投资机会的风险。</w:t>
      </w:r>
    </w:p>
    <w:p w14:paraId="27FDCDB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拟投资市场、资产的流动性风险评估：</w:t>
      </w:r>
    </w:p>
    <w:p w14:paraId="2C02142A">
      <w:pPr>
        <w:tabs>
          <w:tab w:val="left" w:pos="3119"/>
        </w:tabs>
        <w:autoSpaceDE w:val="0"/>
        <w:autoSpaceDN w:val="0"/>
        <w:spacing w:line="360" w:lineRule="auto"/>
        <w:ind w:right="31" w:rightChars="15"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本理财产品投资范围包括</w:t>
      </w:r>
      <w:r>
        <w:rPr>
          <w:rFonts w:hint="eastAsia" w:ascii="仿宋_GB2312" w:hAnsi="宋体" w:cs="宋体"/>
          <w:b w:val="0"/>
          <w:color w:val="auto"/>
          <w:kern w:val="0"/>
          <w:szCs w:val="24"/>
          <w:highlight w:val="yellow"/>
          <w:u w:val="none"/>
          <w:lang w:eastAsia="zh-CN"/>
        </w:rPr>
        <w:t>【】。</w:t>
      </w:r>
      <w:r>
        <w:rPr>
          <w:rFonts w:hint="default" w:ascii="仿宋_GB2312" w:hAnsi="宋体" w:cs="宋体"/>
          <w:b w:val="0"/>
          <w:color w:val="auto"/>
          <w:kern w:val="0"/>
          <w:szCs w:val="24"/>
          <w:highlight w:val="yellow"/>
          <w:u w:val="none"/>
        </w:rPr>
        <w:t>标的资产主要为标准化债券金融工具，一般情况下具有较好的流动性，同时，本理财产品严格控制开放期内投资于流动性受限资产的投资品种比例。本理财产品管理人会进行标的的分散化投资并结合对各类标的资产的预期流动性状况进行合理配置，以防范流动性风险。</w:t>
      </w:r>
    </w:p>
    <w:p w14:paraId="00AE6107">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流动性应对措施及对投资者的潜在影响：</w:t>
      </w:r>
    </w:p>
    <w:p w14:paraId="6914C76A">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本理财产品管理人将合理安排组合流动性，统筹考虑产品期限、各类标的资产的预期流动性，合理进行资产配置，最大程度防范流动性风险。</w:t>
      </w:r>
    </w:p>
    <w:p w14:paraId="5A8111E9">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产品管理人可依照法律法规及理财产品销售文件的约定，综合运用各类流动性应对措施，作为特定情形下流动性风险管理的辅助手段，包括但不限于：</w:t>
      </w:r>
    </w:p>
    <w:p w14:paraId="0EF00B5E">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（1）认购/申购风险应对措施，包括:设定单一投资者认购/申购金额上限、设定本理财产品单日净认购/申购比例上限、拒绝大额认购/申购、暂停认购/申购，以及国家金融监督管理总局规定的其他措施。</w:t>
      </w:r>
    </w:p>
    <w:p w14:paraId="13DFDA8B">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（2）赎回风险应对措施，包括：设置赎回上限、延期办理巨额赎回申请、暂停接受赎回申请、延缓支付赎回款项、收取短期赎回费、暂停理财产品估值、摆动定价，以及国家金融监督管理总局规定的其他措施。</w:t>
      </w:r>
    </w:p>
    <w:p w14:paraId="65AADAE4">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1)延期办理巨额赎回申请</w:t>
      </w:r>
    </w:p>
    <w:p w14:paraId="3CF724D7">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若理财产品管理人采用延期办理巨额赎回申请的流动性风险应对措施，投资者的赎回申请将无法按时全额获得确认，投资者自身的流动性可能受到影响，并将额外承担市场波动对本理财产品净值的影响。</w:t>
      </w:r>
    </w:p>
    <w:p w14:paraId="292024F0">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2）暂停接受赎回申请或延缓支付赎回款项</w:t>
      </w:r>
    </w:p>
    <w:p w14:paraId="251C219C">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若理财产品管理人采用暂停接受赎回申请或延缓支付赎回款项的流动性风险应对措施，投资者面临在暂停赎回期间将无法赎回其持有的产品份额的风险，接收赎回款项的时间将可能比一般正常情形下有所延迟。</w:t>
      </w:r>
    </w:p>
    <w:p w14:paraId="70EB1102">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3</w:t>
      </w:r>
      <w:r>
        <w:rPr>
          <w:rFonts w:hint="eastAsia" w:ascii="仿宋_GB2312" w:hAnsi="宋体" w:cs="宋体"/>
          <w:b/>
          <w:bCs/>
          <w:color w:val="auto"/>
          <w:kern w:val="0"/>
          <w:szCs w:val="24"/>
          <w:highlight w:val="yellow"/>
          <w:u w:val="none"/>
          <w:lang w:eastAsia="zh-CN"/>
        </w:rPr>
        <w:t>）</w:t>
      </w:r>
      <w:r>
        <w:rPr>
          <w:rFonts w:hint="default" w:ascii="仿宋_GB2312" w:hAnsi="宋体" w:cs="宋体"/>
          <w:b/>
          <w:bCs/>
          <w:color w:val="auto"/>
          <w:kern w:val="0"/>
          <w:szCs w:val="24"/>
          <w:highlight w:val="yellow"/>
          <w:u w:val="none"/>
        </w:rPr>
        <w:t>暂停理财产品估值</w:t>
      </w:r>
    </w:p>
    <w:p w14:paraId="6C16CDC7">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若理财产品管理人采用暂停理财产品估值的流动性风险应对措施，投资人没有可供参考的产品份额净值，同时赎回申请可能被暂停接受，或被延缓支付赎回款项。</w:t>
      </w:r>
    </w:p>
    <w:p w14:paraId="36345076">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4</w:t>
      </w:r>
      <w:r>
        <w:rPr>
          <w:rFonts w:hint="eastAsia" w:ascii="仿宋_GB2312" w:hAnsi="宋体" w:cs="宋体"/>
          <w:b/>
          <w:bCs/>
          <w:color w:val="auto"/>
          <w:kern w:val="0"/>
          <w:szCs w:val="24"/>
          <w:highlight w:val="yellow"/>
          <w:u w:val="none"/>
          <w:lang w:eastAsia="zh-CN"/>
        </w:rPr>
        <w:t>）</w:t>
      </w:r>
      <w:r>
        <w:rPr>
          <w:rFonts w:hint="default" w:ascii="仿宋_GB2312" w:hAnsi="宋体" w:cs="宋体"/>
          <w:b/>
          <w:bCs/>
          <w:color w:val="auto"/>
          <w:kern w:val="0"/>
          <w:szCs w:val="24"/>
          <w:highlight w:val="yellow"/>
          <w:u w:val="none"/>
        </w:rPr>
        <w:t>摆动定价</w:t>
      </w:r>
    </w:p>
    <w:p w14:paraId="5014E6DD">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若理财产品管理人采用摆动定价机制的流动性风险应对措施，则通过调整理财产品份额净值的方式，将理财产品调整投资组合的市场冲击成本分配给实际申购、赎回的投资者，以期减少对存量投资者利益的不利影响。</w:t>
      </w:r>
    </w:p>
    <w:p w14:paraId="0363FCEE">
      <w:pPr>
        <w:widowControl/>
        <w:numPr>
          <w:ilvl w:val="0"/>
          <w:numId w:val="9"/>
        </w:numPr>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lang w:val="en-US" w:eastAsia="zh-CN"/>
        </w:rPr>
      </w:pPr>
      <w:r>
        <w:rPr>
          <w:rFonts w:hint="default" w:ascii="仿宋_GB2312" w:hAnsi="宋体" w:cs="宋体"/>
          <w:b/>
          <w:bCs/>
          <w:color w:val="auto"/>
          <w:kern w:val="0"/>
          <w:szCs w:val="24"/>
          <w:highlight w:val="yellow"/>
          <w:u w:val="none"/>
          <w:lang w:val="en-US" w:eastAsia="zh-CN"/>
        </w:rPr>
        <w:t>收取短期赎回费</w:t>
      </w:r>
    </w:p>
    <w:p w14:paraId="4F01A88A">
      <w:pPr>
        <w:widowControl/>
        <w:numPr>
          <w:ilvl w:val="0"/>
          <w:numId w:val="0"/>
        </w:numPr>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lang w:val="en-US" w:eastAsia="zh-CN"/>
        </w:rPr>
        <w:t>对持续持有期少于7日的投资者收取一定比例的赎回费，并全额计入理财财产。在此情形下，投资者在提交赎回申请时，实际赎回金额可能少于按照赎回申请当日理财产品份额净值计算出的赎回金额。若实施收取短期赎回费措施，管理人应于3个交易日内告知本理财产品的相关投资者。</w:t>
      </w:r>
    </w:p>
    <w:p w14:paraId="27293729">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具体应对措施使用情形及程序详见</w:t>
      </w:r>
      <w:r>
        <w:rPr>
          <w:rFonts w:hint="eastAsia" w:ascii="仿宋_GB2312" w:hAnsi="宋体" w:cs="宋体"/>
          <w:b/>
          <w:bCs/>
          <w:color w:val="auto"/>
          <w:kern w:val="0"/>
          <w:szCs w:val="24"/>
          <w:highlight w:val="yellow"/>
          <w:u w:val="none"/>
          <w:lang w:eastAsia="zh-CN"/>
        </w:rPr>
        <w:t>“</w:t>
      </w:r>
      <w:r>
        <w:rPr>
          <w:rFonts w:hint="default" w:ascii="仿宋_GB2312" w:hAnsi="宋体" w:cs="宋体"/>
          <w:b/>
          <w:bCs/>
          <w:color w:val="auto"/>
          <w:kern w:val="0"/>
          <w:szCs w:val="24"/>
          <w:highlight w:val="yellow"/>
          <w:u w:val="none"/>
        </w:rPr>
        <w:t>第一节</w:t>
      </w:r>
      <w:r>
        <w:rPr>
          <w:rFonts w:hint="eastAsia" w:ascii="仿宋_GB2312" w:hAnsi="宋体" w:cs="宋体"/>
          <w:b/>
          <w:bCs/>
          <w:color w:val="auto"/>
          <w:kern w:val="0"/>
          <w:szCs w:val="24"/>
          <w:highlight w:val="yellow"/>
          <w:u w:val="none"/>
          <w:lang w:val="en-US" w:eastAsia="zh-CN"/>
        </w:rPr>
        <w:t xml:space="preserve"> </w:t>
      </w:r>
      <w:r>
        <w:rPr>
          <w:rFonts w:hint="default" w:ascii="仿宋_GB2312" w:hAnsi="宋体" w:cs="宋体"/>
          <w:b/>
          <w:bCs/>
          <w:color w:val="auto"/>
          <w:kern w:val="0"/>
          <w:szCs w:val="24"/>
          <w:highlight w:val="yellow"/>
          <w:u w:val="none"/>
        </w:rPr>
        <w:t>理财产品说明书关键要素</w:t>
      </w:r>
      <w:r>
        <w:rPr>
          <w:rFonts w:hint="eastAsia" w:ascii="仿宋_GB2312" w:hAnsi="宋体" w:cs="宋体"/>
          <w:b/>
          <w:bCs/>
          <w:color w:val="auto"/>
          <w:kern w:val="0"/>
          <w:szCs w:val="24"/>
          <w:highlight w:val="yellow"/>
          <w:u w:val="none"/>
          <w:lang w:eastAsia="zh-CN"/>
        </w:rPr>
        <w:t>”“第四节</w:t>
      </w:r>
      <w:r>
        <w:rPr>
          <w:rFonts w:hint="eastAsia" w:ascii="仿宋_GB2312" w:hAnsi="宋体" w:cs="宋体"/>
          <w:b/>
          <w:bCs/>
          <w:color w:val="auto"/>
          <w:kern w:val="0"/>
          <w:szCs w:val="24"/>
          <w:highlight w:val="yellow"/>
          <w:u w:val="none"/>
          <w:lang w:val="en-US" w:eastAsia="zh-CN"/>
        </w:rPr>
        <w:t xml:space="preserve"> </w:t>
      </w:r>
      <w:r>
        <w:rPr>
          <w:rFonts w:hint="eastAsia" w:ascii="仿宋_GB2312" w:hAnsi="宋体" w:cs="宋体"/>
          <w:b/>
          <w:bCs/>
          <w:color w:val="auto"/>
          <w:kern w:val="0"/>
          <w:szCs w:val="24"/>
          <w:highlight w:val="yellow"/>
          <w:u w:val="none"/>
          <w:lang w:eastAsia="zh-CN"/>
        </w:rPr>
        <w:t>理财产品的认购与成立”“第五节</w:t>
      </w:r>
      <w:r>
        <w:rPr>
          <w:rFonts w:hint="eastAsia" w:ascii="仿宋_GB2312" w:hAnsi="宋体" w:cs="宋体"/>
          <w:b/>
          <w:bCs/>
          <w:color w:val="auto"/>
          <w:kern w:val="0"/>
          <w:szCs w:val="24"/>
          <w:highlight w:val="yellow"/>
          <w:u w:val="none"/>
          <w:lang w:val="en-US" w:eastAsia="zh-CN"/>
        </w:rPr>
        <w:t xml:space="preserve"> </w:t>
      </w:r>
      <w:r>
        <w:rPr>
          <w:rFonts w:hint="eastAsia" w:ascii="仿宋_GB2312" w:hAnsi="宋体" w:cs="宋体"/>
          <w:b/>
          <w:bCs/>
          <w:color w:val="auto"/>
          <w:kern w:val="0"/>
          <w:szCs w:val="24"/>
          <w:highlight w:val="yellow"/>
          <w:u w:val="none"/>
          <w:lang w:eastAsia="zh-CN"/>
        </w:rPr>
        <w:t>理财产品的申购与赎回”</w:t>
      </w:r>
      <w:r>
        <w:rPr>
          <w:rFonts w:hint="default" w:ascii="仿宋_GB2312" w:hAnsi="宋体" w:cs="宋体"/>
          <w:b/>
          <w:bCs/>
          <w:color w:val="auto"/>
          <w:kern w:val="0"/>
          <w:szCs w:val="24"/>
          <w:highlight w:val="yellow"/>
          <w:u w:val="none"/>
        </w:rPr>
        <w:t>。敬请投资者留意管理人运用上述流动性风险应对措施的相关风险。</w:t>
      </w:r>
    </w:p>
    <w:p w14:paraId="739E8061">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（五）经营管理风险</w:t>
      </w:r>
    </w:p>
    <w:p w14:paraId="620BB4D8">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在本理财产品运作过程中，投资管理各方受经验、技能、判断力、执行力等综合因素的限制，可能对本理财产品的运作与管理形成一定影响，投资者可能面临本金和收益遭受部分甚至全部损失的风险。</w:t>
      </w:r>
    </w:p>
    <w:p w14:paraId="4DDE18E2">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（六）交易对手风险</w:t>
      </w:r>
    </w:p>
    <w:p w14:paraId="50FF1F9C">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由于交易对手受偿付能力、流动性管理能力以及及时履约意愿等因素影响，导致交易对手不履约，可能影响本理财产品的投资管理，则投资者可能面临本金和收益遭受部分甚至全部损失的风险。</w:t>
      </w:r>
    </w:p>
    <w:p w14:paraId="306CFE05">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（七）操作风险</w:t>
      </w:r>
    </w:p>
    <w:p w14:paraId="4764E9C1">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产品运作过程中，由于理财产品管理人及理财合作机构因技术系统故障、内部控制存在缺陷或人为因素，导致操作失误或违反操作规程等引起的风险，如内部作业、人员管理、系统操作及事务处理不当或失误等，则投资者可能面临本金和收益遭受部分甚至全部损失的风险。</w:t>
      </w:r>
    </w:p>
    <w:p w14:paraId="511867EA">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（八）代销风险（如有）</w:t>
      </w:r>
    </w:p>
    <w:p w14:paraId="4DF5A860">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如本理财产品通过代理销售渠道销售，投资者购买理财产品的资金将由销售机构从投资者清算账户扣收并划付产品管理人，产品到期/终止/赎回时理财本金及收益相应款项由产品管理人按理财产品销售文件约定划付至销售机构清算账户，并由销售机构向投资者支付投资者应得理财本金及收益。如因销售机构清算账户余额不足，或销售机构未及时足额划付资金，或销售机构清算账户内资金被依法冻结或扣划、账户处于被挂失、冻结、注销或其他非正常状态等原因而导致交易失败，由销售机构与投资者依法协商解决，产品管理人对此不承担责任，但前述约定不免除因产品管理人过错依法应由产品管理人承担的责任。</w:t>
      </w:r>
    </w:p>
    <w:p w14:paraId="49A8DA0F">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（九）募集期延长/缩短风险</w:t>
      </w:r>
    </w:p>
    <w:p w14:paraId="5D57B14A">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在本理财产品募集期内，国家宏观政策以及市场相关法律法规政策发生变化、产品募集状况未达到/已达到产品说明书约定的成立条件，或其他经理财产品管理人合理判断需延长/缩短募集期的情形，产品管理人有权宣布本理财产品募集期延长/缩短，本理财产品可能延后/提前成立。</w:t>
      </w:r>
    </w:p>
    <w:p w14:paraId="20BE566A">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（十）产品不成立风险</w:t>
      </w:r>
    </w:p>
    <w:p w14:paraId="54B98526">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如果本理财产品因募集规模低于《产品说明书》约定的本理财产品最低成立规模，或出现政策、法规、市场或其他因素导致本理财产品不能成立的情形，理财产品管理人有权宣布本理财产品不成立，投资者将面临再投资的风险。</w:t>
      </w:r>
    </w:p>
    <w:p w14:paraId="6E01A875">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（十一）提前终止风险</w:t>
      </w:r>
    </w:p>
    <w:p w14:paraId="47D1869C">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存续期间，由于国家宏观政策变化、市场相关法律法规及政策变化、本理财产品所投资资产提前结清、意外事件、不可抗力（包括但不限于政府行为、自然灾害、疫情等）以及其他可能导致理财产品管理人无法继续履行本理财产品投资管理义务或经理财产品管理人合理评估且审慎判断不适宜本理财产品继续存续运作的情形，为保护投资者权益，理财产品管理人有权按照理财产品销售文件的约定部分/全部提前终止本理财产品，投资者可能面临本理财产品部分/全部提前终止后再投资的风险。</w:t>
      </w:r>
    </w:p>
    <w:p w14:paraId="18483D70">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（十二）延期分配风险</w:t>
      </w:r>
    </w:p>
    <w:p w14:paraId="56DCFE8A">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因缺乏交易对手、市场成交量不足、资产限制赎回、暂停交易、所投资产发生风险或不能及时变现、发生不可抗力（包括但不限于政府行为、自然灾害、疫情等）及其他理财产品管理人认为需要延期分配的情形，可能导致理财产品管理人无法在理财产品销售文件约定的清算期内完成理财资金的清算与分配，投资者可能面临理财产品资金延期分配、分配方案调整等风险，投资者由此可能面临投资本金和收益遭受部分甚至全部损失的风险。</w:t>
      </w:r>
    </w:p>
    <w:p w14:paraId="1E83CF12">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（十三）信息传递风险</w:t>
      </w:r>
    </w:p>
    <w:p w14:paraId="7F78D782">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理财产品管理人将按照理财产品销售文件中约定的信息披露方式、披露途径向投资者披露涉及本理财产品的各类信息和重大事件，投资者应及时查询了解。如投资者未及时查询相关信息或由于不可抗力（包括但不限于政府行为、自然灾害、疫情等）或意外事件的影响使得投资者无法及时了解本理财产品信息，进而影响投资者的投资决策行为，因此而产生的责任和风险由投资者承担。如投资者未及时告知理财产品管理人联系方式变更或理财产品管理人在其认为需要时无法及时联系到投资者，使得投资者无法及时获知本理财产品信息，进而影响投资者的投资决策行为，因此而产生的责任和风险由投资者承担。</w:t>
      </w:r>
    </w:p>
    <w:p w14:paraId="0FA4C509">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（十四）关联关系及关联交易风险</w:t>
      </w:r>
    </w:p>
    <w:p w14:paraId="76DEC107">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浙银理财作为本理财产品的发行人、管理人，独立履行产品管理职责；浙银理财委托托管机构托管理财产品或委托销售机构销售理财产品的，可能涉及委托浙商银行股份有限公司（以下简称“浙商银行”）担任理财产品的托管机构或销售机构，负责理财产品的托管或代理销售工作。浙银理财是浙商银行控股的子公司，双方存在关联关系。</w:t>
      </w:r>
    </w:p>
    <w:p w14:paraId="77781211">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可能投资于管理人、个别销售机构或托管人的主要股东、实际控制人、一致行动人、最终受益人，托管人，同一股东或托管人控股的机构，或者与管理人或托管人有重大利害关系的机构发行或承销的证券，或者从事其他关联交易，本理财产品也可能由管理人的关联方进行托管或代理销售。上述各方在业务执行及实施上具有隔离机制，并符合相关法律法规要求，且上述各方将依照恪尽职守、诚实信用、谨慎勤勉的原则按照市场公允定价进行公平交易，但仍可能存在利益冲突。提请投资者充分知悉、关注本理财产品关联关系和关联交易风险，投资者签署本理财产品销售文件即代表投资者认可且同意上述可能发生的关联交易并自愿承担相关风险。</w:t>
      </w:r>
    </w:p>
    <w:p w14:paraId="0C69C594">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（十五）再投资风险</w:t>
      </w:r>
    </w:p>
    <w:p w14:paraId="1ED161AE">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由于浙银理财有权根据市场状况和产品余额情况提前终止本理财产品，因市场利率下滑，投资者可能面临本金和收益再投资收益率降低的风险。</w:t>
      </w:r>
    </w:p>
    <w:p w14:paraId="0D755BCC">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（十六）估值风险</w:t>
      </w:r>
    </w:p>
    <w:p w14:paraId="6961E581">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按《产品说明书》的估值方法进行估值，理财产品估值与实际变现价值可能发生偏离，投资者应知晓该风险。本理财产品管理人估值仅作为参考，本理财产品管理人不承担第三方再次使用该估值引发的其他风险。本理财产品所投资的资产管理产品以其估值日截止时点能够取得的最新份额净值进行估值。因此，在前述情况下可能会出现本理财产品净值不能完全反映所投资资产管理计划或基金等资产管理产品估值日当日净值的情形。</w:t>
      </w:r>
    </w:p>
    <w:p w14:paraId="549427B2">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可能投资符合监管要求的资产管理产品（包括但不限于信托计划、公募基金、基金公司或子公司资产管理计划、证券公司资产管理计划、期货资产管理计划、保险资产管理计划等，具体以《产品说明书》或理财产品定期报告披露为准），前述资产管理产品的管理人可能收取</w:t>
      </w:r>
      <w:r>
        <w:rPr>
          <w:rFonts w:hint="eastAsia" w:ascii="仿宋_GB2312" w:hAnsi="宋体" w:cs="宋体"/>
          <w:b w:val="0"/>
          <w:color w:val="auto"/>
          <w:kern w:val="0"/>
          <w:szCs w:val="24"/>
          <w:highlight w:val="yellow"/>
          <w:u w:val="none"/>
          <w:lang w:eastAsia="zh-CN"/>
        </w:rPr>
        <w:t>浮动管理费</w:t>
      </w:r>
      <w:r>
        <w:rPr>
          <w:rFonts w:hint="default" w:ascii="仿宋_GB2312" w:hAnsi="宋体" w:cs="宋体"/>
          <w:b w:val="0"/>
          <w:color w:val="auto"/>
          <w:kern w:val="0"/>
          <w:szCs w:val="24"/>
          <w:highlight w:val="yellow"/>
          <w:u w:val="none"/>
        </w:rPr>
        <w:t>，当前述资产管理产品计提</w:t>
      </w:r>
      <w:r>
        <w:rPr>
          <w:rFonts w:hint="eastAsia" w:ascii="仿宋_GB2312" w:hAnsi="宋体" w:cs="宋体"/>
          <w:b w:val="0"/>
          <w:color w:val="auto"/>
          <w:kern w:val="0"/>
          <w:szCs w:val="24"/>
          <w:highlight w:val="yellow"/>
          <w:u w:val="none"/>
          <w:lang w:eastAsia="zh-CN"/>
        </w:rPr>
        <w:t>浮动管理费</w:t>
      </w:r>
      <w:r>
        <w:rPr>
          <w:rFonts w:hint="default" w:ascii="仿宋_GB2312" w:hAnsi="宋体" w:cs="宋体"/>
          <w:b w:val="0"/>
          <w:color w:val="auto"/>
          <w:kern w:val="0"/>
          <w:szCs w:val="24"/>
          <w:highlight w:val="yellow"/>
          <w:u w:val="none"/>
        </w:rPr>
        <w:t>时，本理财产品的产品份额净值存在下跌风险。</w:t>
      </w:r>
    </w:p>
    <w:p w14:paraId="32900227">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（十七）托管及清算风险</w:t>
      </w:r>
    </w:p>
    <w:p w14:paraId="10F46A27">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本理财产品存在托管人，若因托管人操作失误或因任何原因未能按约履行托管人职责，或丧失进行托管的能力或法定资格，均可能给本理财产品带来风险。</w:t>
      </w:r>
    </w:p>
    <w:p w14:paraId="107A5DE4">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（十八）税务风险</w:t>
      </w:r>
    </w:p>
    <w:p w14:paraId="6EDFE883">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根据国家相关法律法规，理财产品运营过程中发生的应由理财产品承担的增值税应税行为，由产品管理人申报和缴纳增值税及附加税费。该等税款将直接从理财产品中扣付缴纳，本理财产品将因为前述增值税等税负承担导致税费支出增加、理财产品净值或实际收益降低，从而降低投资者的收益水平。</w:t>
      </w:r>
    </w:p>
    <w:p w14:paraId="5044B000">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（十九）不同理财产品份额类别存在差异的风险</w:t>
      </w:r>
    </w:p>
    <w:p w14:paraId="0EA1847C">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管理人有权根据投资者购买理财产品的金额、销售渠道、客户类型等因素，对投资者所持有的理财产品份额设置不同的理财产品份额类别。不同类别的理财产品份额可能在产品销售名称、产品</w:t>
      </w:r>
      <w:r>
        <w:rPr>
          <w:rFonts w:hint="eastAsia" w:ascii="仿宋_GB2312" w:hAnsi="宋体" w:cs="宋体"/>
          <w:b w:val="0"/>
          <w:color w:val="auto"/>
          <w:kern w:val="0"/>
          <w:szCs w:val="24"/>
          <w:highlight w:val="yellow"/>
          <w:u w:val="none"/>
          <w:lang w:eastAsia="zh-CN"/>
        </w:rPr>
        <w:t>份额</w:t>
      </w:r>
      <w:r>
        <w:rPr>
          <w:rFonts w:hint="default" w:ascii="仿宋_GB2312" w:hAnsi="宋体" w:cs="宋体"/>
          <w:b w:val="0"/>
          <w:color w:val="auto"/>
          <w:kern w:val="0"/>
          <w:szCs w:val="24"/>
          <w:highlight w:val="yellow"/>
          <w:u w:val="none"/>
        </w:rPr>
        <w:t>代码、销售渠道、销售</w:t>
      </w:r>
      <w:r>
        <w:rPr>
          <w:rFonts w:hint="eastAsia" w:ascii="仿宋_GB2312" w:hAnsi="宋体" w:cs="宋体"/>
          <w:b w:val="0"/>
          <w:color w:val="auto"/>
          <w:kern w:val="0"/>
          <w:szCs w:val="24"/>
          <w:highlight w:val="yellow"/>
          <w:u w:val="none"/>
          <w:lang w:eastAsia="zh-CN"/>
        </w:rPr>
        <w:t>对象</w:t>
      </w:r>
      <w:r>
        <w:rPr>
          <w:rFonts w:hint="default" w:ascii="仿宋_GB2312" w:hAnsi="宋体" w:cs="宋体"/>
          <w:b w:val="0"/>
          <w:color w:val="auto"/>
          <w:kern w:val="0"/>
          <w:szCs w:val="24"/>
          <w:highlight w:val="yellow"/>
          <w:u w:val="none"/>
        </w:rPr>
        <w:t>、销售服务费率、托管费率、收费方式、业绩比较基准、起点</w:t>
      </w:r>
      <w:r>
        <w:rPr>
          <w:rFonts w:hint="eastAsia" w:ascii="仿宋_GB2312" w:hAnsi="宋体" w:cs="宋体"/>
          <w:b w:val="0"/>
          <w:color w:val="auto"/>
          <w:kern w:val="0"/>
          <w:szCs w:val="24"/>
          <w:highlight w:val="yellow"/>
          <w:u w:val="none"/>
          <w:lang w:eastAsia="zh-CN"/>
        </w:rPr>
        <w:t>销售</w:t>
      </w:r>
      <w:r>
        <w:rPr>
          <w:rFonts w:hint="default" w:ascii="仿宋_GB2312" w:hAnsi="宋体" w:cs="宋体"/>
          <w:b w:val="0"/>
          <w:color w:val="auto"/>
          <w:kern w:val="0"/>
          <w:szCs w:val="24"/>
          <w:highlight w:val="yellow"/>
          <w:u w:val="none"/>
        </w:rPr>
        <w:t>金额及</w:t>
      </w:r>
      <w:r>
        <w:rPr>
          <w:rFonts w:hint="eastAsia" w:ascii="仿宋_GB2312" w:hAnsi="宋体" w:cs="宋体"/>
          <w:b w:val="0"/>
          <w:color w:val="auto"/>
          <w:kern w:val="0"/>
          <w:szCs w:val="24"/>
          <w:highlight w:val="yellow"/>
          <w:u w:val="none"/>
          <w:lang w:eastAsia="zh-CN"/>
        </w:rPr>
        <w:t>追加</w:t>
      </w:r>
      <w:r>
        <w:rPr>
          <w:rFonts w:hint="default" w:ascii="仿宋_GB2312" w:hAnsi="宋体" w:cs="宋体"/>
          <w:b w:val="0"/>
          <w:color w:val="auto"/>
          <w:kern w:val="0"/>
          <w:szCs w:val="24"/>
          <w:highlight w:val="yellow"/>
          <w:u w:val="none"/>
        </w:rPr>
        <w:t>递增金额、认/申购上限金额、认/申购和赎回数量限制、持有金额上/下限、单一投资者持有份额占比上限、产品规模上限、产品份额净值的计算结果及信息披露等方面存在差异。</w:t>
      </w:r>
    </w:p>
    <w:p w14:paraId="1E77FE4E">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（二十）投资特定风险</w:t>
      </w:r>
    </w:p>
    <w:p w14:paraId="7E8A26E0">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本理财产品因拟投资市场和资产类别可能面临的特定风险如下：</w:t>
      </w:r>
    </w:p>
    <w:p w14:paraId="0DB6A8C8">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1.投资于固定收益类资产</w:t>
      </w:r>
      <w:r>
        <w:rPr>
          <w:rFonts w:hint="eastAsia" w:ascii="仿宋_GB2312" w:hAnsi="宋体" w:cs="宋体"/>
          <w:b/>
          <w:bCs/>
          <w:color w:val="auto"/>
          <w:kern w:val="0"/>
          <w:szCs w:val="24"/>
          <w:highlight w:val="yellow"/>
          <w:u w:val="none"/>
          <w:lang w:eastAsia="zh-CN"/>
        </w:rPr>
        <w:t>（如有）</w:t>
      </w:r>
      <w:r>
        <w:rPr>
          <w:rFonts w:hint="default" w:ascii="仿宋_GB2312" w:hAnsi="宋体" w:cs="宋体"/>
          <w:b/>
          <w:bCs/>
          <w:color w:val="auto"/>
          <w:kern w:val="0"/>
          <w:szCs w:val="24"/>
          <w:highlight w:val="yellow"/>
          <w:u w:val="none"/>
        </w:rPr>
        <w:t>的可能风险：</w:t>
      </w:r>
    </w:p>
    <w:p w14:paraId="0B4AC342">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1）国家政策、经济周期、利率、汇率等因素可能发生的变化导致的市场风险。（2）债券发行人、担保人的经营状况、信用质量降低等可能发生的变化导致的信用风险。（3）债券发行人、担保人信用等级降低导致债券价格下降，可能影响投资者收益，甚至使产品本金遭受损失。（4）非公开定向债务融资工具的流通和转让限制导致的流动性风险。（5）债券市场出现整体下跌，导致债券市场的系统性风险等。（6）可转/交换债券投资风险（如有）：可转/交换债券收益与对应标的股票股价直接挂钩，债券价格可能受之影响；转股期内，对应标的股票价格可能低于转股价格，若选择转股，产品将承受标的股票价格低于转股价格之间的价差；转股价格向下修正条款触发时，存在发行方不同意修正转股价格的风险；赎回条款可能导致债券提前兑付或转股期缩短而影响投资收益的风险；存在因政策限制导致无法转股的风险，可转/交换债券投资受到包括但不限于上述因素影响时，可能影响投资者收益，甚至使产品本金遭受损失。（7）永续债投资风险（如有）：永续债发行人可能延期支付利息，且永续债无到期日，可能因流动性差无法变现、无法收回本金，使产品出现流动性风险；永续债附加的回售或赎回权，可能会导致管理人以不利价格出售永续债，从而影响投资者收益。</w:t>
      </w:r>
    </w:p>
    <w:p w14:paraId="019AA902">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2.投资于股票等权益类资产（如有）的可能风险：</w:t>
      </w:r>
    </w:p>
    <w:p w14:paraId="783C00B7">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国家货币、财政、产业等政策变化对证券市场产生一定的影响，导致市场价格水平波动的风险；宏观经济运行周期性波动，对股票市场的收益水平产生影响的风险；上市公司的经营状况受多种因素影响，如市场、技术、竞争、管理、财务等都可能导致公司盈利发生变化，从而导致股票价格下跌，影响投资者收益，甚至使产品本金遭受损失；股票遭流通和转让限制导致的流动性风险；投资于不同板块、不同市场股票，如投资科创板、创业板、港股通股票等，可能面临因投资标的、市场制度、交易规则、监管法规等差异造成的风险等。</w:t>
      </w:r>
    </w:p>
    <w:p w14:paraId="5F327182">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优先股具有固定收益证券的特征，但优先股发行方无到期归还本金的义务，可能发生发行人经营状况恶化、无法足额支付股息的风险，从而影响产品和投资者收益；优先股属于权益类资产，价格受国家各类政策、宏观经济、行业发展等多种因素影响，可能发生波动从而影响产品收益，甚至使产品本金遭受损失。</w:t>
      </w:r>
    </w:p>
    <w:p w14:paraId="4838FA4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3.投资于商品及金融衍生品类资产（如有）的可能风险：</w:t>
      </w:r>
    </w:p>
    <w:p w14:paraId="29C660D4">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基础产品价格波动造成衍生品价格波动，高杠杆和跨期交易可能加剧衍生品价格波动的市场风险；衍生品发行方或交易对手方违约或不履行合约的导致的信用风险；缺乏交易对手导致无法平仓/变现、流动资金不足或无法追加保证金导致被迫平仓造成亏损的风险；因内部程序、人员、系统操作不当或因外部事件导致损失的操作风险；部分衍生品操作相关法律法规的滞后，交易合约在法律范围内无效而无法履约或交易合约订立不当产生的法律风险。由于期货与现货间的价差的波动，影响套期保值或套利效果，使之发生意外损益的基差风险。</w:t>
      </w:r>
    </w:p>
    <w:p w14:paraId="523F95F1">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（二十一）其他风险</w:t>
      </w:r>
    </w:p>
    <w:p w14:paraId="0F4A5D84">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自然灾害、疫情、战争、金融危机等不能预见、不能避免、不能克服的不可抗力因素的出现，或系统故障、通讯故障、投资市场停止交易等意外事件的发生，可能对本理财产品的受理、成立、投资运作、资金返还、信息披露等造成影响，甚至可能导致本理财产品本金和收益的降低或损失，以及本金和收益延迟支付。对于由不可抗力及意外事件风险导致的任何损失和延迟支付，须投资者承担。</w:t>
      </w:r>
    </w:p>
    <w:p w14:paraId="069336AE">
      <w:pPr>
        <w:widowControl/>
        <w:tabs>
          <w:tab w:val="left" w:pos="709"/>
        </w:tabs>
        <w:adjustRightInd w:val="0"/>
        <w:snapToGrid w:val="0"/>
        <w:spacing w:line="360" w:lineRule="auto"/>
        <w:ind w:firstLine="420" w:firstLineChars="200"/>
        <w:rPr>
          <w:rFonts w:hint="eastAsia" w:ascii="仿宋_GB2312" w:hAnsi="宋体" w:cs="宋体"/>
          <w:b w:val="0"/>
          <w:bCs w:val="0"/>
          <w:color w:val="auto"/>
          <w:kern w:val="0"/>
          <w:sz w:val="24"/>
          <w:szCs w:val="24"/>
          <w:highlight w:val="yellow"/>
          <w:u w:val="none"/>
          <w:lang w:eastAsia="zh-CN"/>
        </w:rPr>
      </w:pPr>
      <w:r>
        <w:rPr>
          <w:rFonts w:hint="default" w:ascii="仿宋_GB2312" w:hAnsi="宋体" w:cs="宋体"/>
          <w:b w:val="0"/>
          <w:color w:val="auto"/>
          <w:kern w:val="0"/>
          <w:szCs w:val="24"/>
          <w:highlight w:val="yellow"/>
          <w:u w:val="none"/>
        </w:rPr>
        <w:t>以上所揭示事项仅为列举性质，未能尽述列明投资者投资本理财产品所面临的全部风险和可能导致投资者资产损失的所有因素。投资者应充分认识投资风险，谨慎投资</w:t>
      </w:r>
      <w:r>
        <w:rPr>
          <w:rFonts w:hint="default" w:ascii="仿宋_GB2312" w:hAnsi="宋体" w:eastAsia="仿宋_GB2312" w:cs="宋体"/>
          <w:b w:val="0"/>
          <w:bCs w:val="0"/>
          <w:color w:val="auto"/>
          <w:kern w:val="0"/>
          <w:sz w:val="24"/>
          <w:szCs w:val="24"/>
          <w:highlight w:val="yellow"/>
          <w:u w:val="none"/>
        </w:rPr>
        <w:t>。</w:t>
      </w:r>
      <w:r>
        <w:rPr>
          <w:rFonts w:hint="eastAsia" w:ascii="仿宋_GB2312" w:hAnsi="宋体" w:cs="宋体"/>
          <w:b w:val="0"/>
          <w:bCs w:val="0"/>
          <w:color w:val="auto"/>
          <w:kern w:val="0"/>
          <w:sz w:val="24"/>
          <w:szCs w:val="24"/>
          <w:highlight w:val="yellow"/>
          <w:u w:val="none"/>
          <w:lang w:eastAsia="zh-CN"/>
        </w:rPr>
        <w:t>】</w:t>
      </w:r>
    </w:p>
    <w:p w14:paraId="7A2DD0E6">
      <w:pPr>
        <w:rPr>
          <w:rFonts w:hint="eastAsia" w:ascii="仿宋_GB2312" w:hAnsi="宋体" w:cs="宋体"/>
          <w:b w:val="0"/>
          <w:bCs w:val="0"/>
          <w:color w:val="auto"/>
          <w:kern w:val="0"/>
          <w:sz w:val="24"/>
          <w:szCs w:val="24"/>
          <w:highlight w:val="yellow"/>
          <w:u w:val="none"/>
          <w:lang w:eastAsia="zh-CN"/>
        </w:rPr>
      </w:pPr>
      <w:r>
        <w:rPr>
          <w:rFonts w:hint="eastAsia" w:ascii="仿宋_GB2312" w:hAnsi="宋体" w:cs="宋体"/>
          <w:b w:val="0"/>
          <w:bCs w:val="0"/>
          <w:color w:val="auto"/>
          <w:kern w:val="0"/>
          <w:sz w:val="24"/>
          <w:szCs w:val="24"/>
          <w:highlight w:val="yellow"/>
          <w:u w:val="none"/>
          <w:lang w:eastAsia="zh-CN"/>
        </w:rPr>
        <w:br w:type="page"/>
      </w:r>
    </w:p>
    <w:p w14:paraId="17BFCED0">
      <w:pPr>
        <w:pStyle w:val="2"/>
        <w:numPr>
          <w:ilvl w:val="0"/>
          <w:numId w:val="12"/>
        </w:numPr>
      </w:pPr>
      <w:r>
        <w:rPr>
          <w:rFonts w:hint="eastAsia"/>
          <w:color w:val="auto"/>
          <w:highlight w:val="none"/>
          <w:u w:val="none"/>
          <w:lang w:eastAsia="zh-CN"/>
        </w:rPr>
        <w:t>特别提示</w:t>
      </w:r>
    </w:p>
    <w:p w14:paraId="58449ED3">
      <w:pPr>
        <w:widowControl/>
        <w:tabs>
          <w:tab w:val="left" w:pos="709"/>
        </w:tabs>
        <w:snapToGrid w:val="0"/>
        <w:spacing w:line="360" w:lineRule="auto"/>
        <w:ind w:firstLine="422" w:firstLineChars="20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若本理财产品所投资资产到期不能全部偿付导致资产减值甚至本金大幅损失，则浙银理财将以产品管理人名义，代表投资者利益行使诉讼权利或者实施其他法律行为。</w:t>
      </w:r>
    </w:p>
    <w:p w14:paraId="6285AC56">
      <w:pPr>
        <w:widowControl/>
        <w:tabs>
          <w:tab w:val="left" w:pos="709"/>
        </w:tabs>
        <w:snapToGrid w:val="0"/>
        <w:spacing w:line="360" w:lineRule="auto"/>
        <w:ind w:firstLine="422" w:firstLineChars="20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产品管理人对投资者信息负有保密义务，不得无故向任何组织、个人提供或泄露与投资者有关的业务资料及信息。产品管理人向确有知悉必要的雇员提供投资者信息，或按照有关法律、法规、监管要求向司法机关、行政机关等有关政府部门、投资合作机构及第三方专业机构提供的，不视为对保密义务的违反。</w:t>
      </w:r>
    </w:p>
    <w:p w14:paraId="1564499F">
      <w:pPr>
        <w:widowControl/>
        <w:tabs>
          <w:tab w:val="left" w:pos="709"/>
        </w:tabs>
        <w:snapToGrid w:val="0"/>
        <w:spacing w:line="360" w:lineRule="auto"/>
        <w:ind w:firstLine="422" w:firstLineChars="20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产品管理人根据适用的法律法规和监管机构要求，向监管机构和/或其他有权机关（包括但不限于理财登记中心数据交换平台）报送投资者身份信息及投资者持有本产品份额及其变动情况等相关信息。产品管理人对向监管机构和/或监管机构指定机构报送的相关信息负有保密义务,并在报送信息过程中,采取有效措施确保信息安全与保密。</w:t>
      </w:r>
    </w:p>
    <w:p w14:paraId="5F5EBB72">
      <w:pPr>
        <w:widowControl/>
        <w:tabs>
          <w:tab w:val="left" w:pos="709"/>
        </w:tabs>
        <w:snapToGrid w:val="0"/>
        <w:spacing w:line="360" w:lineRule="auto"/>
        <w:ind w:firstLine="420" w:firstLineChars="200"/>
        <w:rPr>
          <w:rFonts w:ascii="仿宋_GB2312" w:hAnsi="宋体" w:cs="宋体"/>
          <w:b/>
          <w:bCs/>
          <w:color w:val="auto"/>
          <w:kern w:val="0"/>
          <w:szCs w:val="24"/>
          <w:highlight w:val="none"/>
          <w:u w:val="none"/>
        </w:rPr>
      </w:pPr>
      <w:r>
        <w:rPr>
          <w:rFonts w:hint="eastAsia"/>
          <w:color w:val="auto"/>
          <w:highlight w:val="none"/>
          <w:u w:val="none"/>
        </w:rPr>
        <w:t>本产品的转让将依照理财产品销售文件及销售机构的业务政策执行。</w:t>
      </w:r>
    </w:p>
    <w:p w14:paraId="2EE5DC30">
      <w:pPr>
        <w:tabs>
          <w:tab w:val="left" w:pos="709"/>
        </w:tabs>
        <w:snapToGrid w:val="0"/>
        <w:spacing w:line="360" w:lineRule="auto"/>
        <w:ind w:firstLine="420" w:firstLineChars="200"/>
        <w:rPr>
          <w:color w:val="auto"/>
          <w:highlight w:val="none"/>
          <w:u w:val="none"/>
        </w:rPr>
      </w:pPr>
      <w:r>
        <w:rPr>
          <w:rFonts w:hint="eastAsia" w:ascii="仿宋_GB2312" w:hAnsi="宋体" w:cs="宋体"/>
          <w:bCs/>
          <w:color w:val="auto"/>
          <w:kern w:val="0"/>
          <w:szCs w:val="24"/>
          <w:highlight w:val="none"/>
          <w:u w:val="none"/>
        </w:rPr>
        <w:t>投资者对本理财产品有任何意见或异议，</w:t>
      </w:r>
      <w:r>
        <w:rPr>
          <w:rFonts w:hint="eastAsia" w:ascii="仿宋_GB2312" w:cs="宋体" w:hAnsiTheme="minorEastAsia"/>
          <w:bCs/>
          <w:color w:val="auto"/>
          <w:kern w:val="0"/>
          <w:szCs w:val="32"/>
          <w:highlight w:val="none"/>
          <w:u w:val="none"/>
        </w:rPr>
        <w:t>敬请联系您的销售服务机构，具体联系方式以《产品说明书》等销售文件的披露为准;或反馈至浙银理财，浙银理财服务电话：0571-57192881。</w:t>
      </w:r>
    </w:p>
    <w:p w14:paraId="30B842DD">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60229D78">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33E479EB">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532F627C">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2FF695BD">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55DC4ABC">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3BE36376">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45383975">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4E956866">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63CD282A">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333D1DF6">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53C1D5B3">
      <w:pPr>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br w:type="page"/>
      </w:r>
    </w:p>
    <w:p w14:paraId="0B8F4BD0">
      <w:pPr>
        <w:widowControl/>
        <w:tabs>
          <w:tab w:val="left" w:pos="709"/>
        </w:tabs>
        <w:snapToGrid w:val="0"/>
        <w:spacing w:line="360" w:lineRule="auto"/>
        <w:ind w:firstLine="420" w:firstLineChars="200"/>
        <w:rPr>
          <w:rFonts w:hint="eastAsia"/>
          <w:color w:val="auto"/>
          <w:highlight w:val="none"/>
          <w:u w:val="none"/>
          <w:lang w:val="en-US" w:eastAsia="zh-CN"/>
        </w:rPr>
      </w:pPr>
      <w:r>
        <w:rPr>
          <w:rFonts w:hint="eastAsia"/>
          <w:color w:val="auto"/>
          <w:highlight w:val="none"/>
          <w:u w:val="none"/>
          <w:lang w:val="en-US" w:eastAsia="zh-CN"/>
        </w:rPr>
        <w:t xml:space="preserve">（本页为签署页，无正文） </w:t>
      </w:r>
    </w:p>
    <w:p w14:paraId="20435F44">
      <w:pPr>
        <w:widowControl/>
        <w:tabs>
          <w:tab w:val="left" w:pos="709"/>
        </w:tabs>
        <w:snapToGrid w:val="0"/>
        <w:spacing w:line="360" w:lineRule="auto"/>
        <w:ind w:firstLine="420" w:firstLineChars="200"/>
        <w:rPr>
          <w:rFonts w:hint="eastAsia"/>
          <w:color w:val="auto"/>
          <w:highlight w:val="none"/>
          <w:u w:val="none"/>
          <w:lang w:val="en-US" w:eastAsia="zh-CN"/>
        </w:rPr>
      </w:pPr>
      <w:r>
        <w:rPr>
          <w:rFonts w:hint="eastAsia"/>
          <w:color w:val="auto"/>
          <w:highlight w:val="none"/>
          <w:u w:val="none"/>
          <w:lang w:val="en-US" w:eastAsia="zh-CN"/>
        </w:rPr>
        <w:t>投资者（个人客户签名） ：</w:t>
      </w:r>
    </w:p>
    <w:p w14:paraId="64972B48">
      <w:pPr>
        <w:widowControl/>
        <w:tabs>
          <w:tab w:val="left" w:pos="709"/>
        </w:tabs>
        <w:snapToGrid w:val="0"/>
        <w:spacing w:line="360" w:lineRule="auto"/>
        <w:ind w:firstLine="420" w:firstLineChars="200"/>
        <w:rPr>
          <w:rFonts w:hint="eastAsia"/>
          <w:color w:val="auto"/>
          <w:highlight w:val="none"/>
          <w:u w:val="none"/>
          <w:lang w:val="en-US" w:eastAsia="zh-CN"/>
        </w:rPr>
      </w:pPr>
    </w:p>
    <w:p w14:paraId="4531F289">
      <w:pPr>
        <w:widowControl/>
        <w:tabs>
          <w:tab w:val="left" w:pos="709"/>
        </w:tabs>
        <w:snapToGrid w:val="0"/>
        <w:spacing w:line="360" w:lineRule="auto"/>
        <w:ind w:firstLine="420" w:firstLineChars="200"/>
        <w:rPr>
          <w:rFonts w:hint="eastAsia"/>
          <w:color w:val="auto"/>
          <w:highlight w:val="none"/>
          <w:u w:val="none"/>
        </w:rPr>
      </w:pPr>
      <w:r>
        <w:rPr>
          <w:rFonts w:hint="eastAsia"/>
          <w:color w:val="auto"/>
          <w:highlight w:val="none"/>
          <w:u w:val="none"/>
          <w:lang w:val="en-US" w:eastAsia="zh-CN"/>
        </w:rPr>
        <w:t>投资者（机构客户盖公章） ：</w:t>
      </w:r>
    </w:p>
    <w:p w14:paraId="46CC9951">
      <w:pPr>
        <w:widowControl/>
        <w:tabs>
          <w:tab w:val="left" w:pos="709"/>
        </w:tabs>
        <w:snapToGrid w:val="0"/>
        <w:spacing w:line="360" w:lineRule="auto"/>
        <w:ind w:firstLine="420" w:firstLineChars="200"/>
        <w:rPr>
          <w:rFonts w:hint="eastAsia"/>
          <w:color w:val="auto"/>
          <w:highlight w:val="none"/>
          <w:u w:val="none"/>
        </w:rPr>
      </w:pPr>
      <w:r>
        <w:rPr>
          <w:rFonts w:hint="eastAsia"/>
          <w:color w:val="auto"/>
          <w:highlight w:val="none"/>
          <w:u w:val="none"/>
          <w:lang w:val="en-US" w:eastAsia="zh-CN"/>
        </w:rPr>
        <w:t xml:space="preserve">法定代表人或授权代理人（签名或盖个人名章）： </w:t>
      </w:r>
    </w:p>
    <w:p w14:paraId="4BB0C1F1">
      <w:pPr>
        <w:widowControl/>
        <w:tabs>
          <w:tab w:val="left" w:pos="709"/>
        </w:tabs>
        <w:snapToGrid w:val="0"/>
        <w:spacing w:line="360" w:lineRule="auto"/>
        <w:ind w:firstLine="420" w:firstLineChars="200"/>
        <w:rPr>
          <w:rFonts w:hint="eastAsia"/>
          <w:color w:val="auto"/>
          <w:highlight w:val="none"/>
          <w:u w:val="none"/>
          <w:lang w:val="en-US" w:eastAsia="zh-CN"/>
        </w:rPr>
      </w:pPr>
    </w:p>
    <w:p w14:paraId="0B93C791">
      <w:pPr>
        <w:widowControl/>
        <w:tabs>
          <w:tab w:val="left" w:pos="709"/>
        </w:tabs>
        <w:snapToGrid w:val="0"/>
        <w:spacing w:line="360" w:lineRule="auto"/>
        <w:ind w:firstLine="420" w:firstLineChars="200"/>
        <w:rPr>
          <w:rFonts w:hint="eastAsia"/>
          <w:color w:val="auto"/>
          <w:highlight w:val="none"/>
          <w:u w:val="none"/>
        </w:rPr>
      </w:pPr>
      <w:r>
        <w:rPr>
          <w:rFonts w:hint="eastAsia"/>
          <w:color w:val="auto"/>
          <w:highlight w:val="none"/>
          <w:u w:val="none"/>
          <w:lang w:val="en-US" w:eastAsia="zh-CN"/>
        </w:rPr>
        <w:t>签约日期:_______年______月______日</w:t>
      </w:r>
    </w:p>
    <w:p w14:paraId="3147D826">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p>
    <w:p w14:paraId="0C108D4A">
      <w:pPr>
        <w:widowControl/>
        <w:jc w:val="left"/>
        <w:rPr>
          <w:szCs w:val="24"/>
        </w:rPr>
      </w:pPr>
    </w:p>
    <w:p w14:paraId="7800FB72">
      <w:pPr>
        <w:jc w:val="left"/>
        <w:rPr>
          <w:rFonts w:hint="eastAsia" w:ascii="黑体" w:hAnsi="黑体" w:eastAsia="黑体" w:cs="黑体"/>
          <w:i w:val="0"/>
          <w:iCs w:val="0"/>
          <w:caps w:val="0"/>
          <w:color w:val="auto"/>
          <w:spacing w:val="0"/>
          <w:sz w:val="32"/>
          <w:szCs w:val="32"/>
          <w:shd w:val="clear" w:fill="FFFFFF"/>
          <w:lang w:val="en-US" w:eastAsia="zh-CN"/>
        </w:rPr>
      </w:pPr>
    </w:p>
    <w:p w14:paraId="7CF658CD">
      <w:pPr>
        <w:rPr>
          <w:rFonts w:hint="eastAsia"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br w:type="page"/>
      </w:r>
    </w:p>
    <w:p w14:paraId="6AA019DC">
      <w:pPr>
        <w:jc w:val="left"/>
        <w:rPr>
          <w:rFonts w:hint="eastAsia"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t>附件9：</w:t>
      </w:r>
    </w:p>
    <w:p w14:paraId="2013BACB">
      <w:pPr>
        <w:widowControl/>
        <w:snapToGrid w:val="0"/>
        <w:jc w:val="center"/>
        <w:rPr>
          <w:rFonts w:hint="eastAsia" w:ascii="方正小标宋简体" w:hAnsi="宋体" w:eastAsia="方正小标宋简体" w:cs="宋体"/>
          <w:bCs/>
          <w:color w:val="auto"/>
          <w:kern w:val="0"/>
          <w:sz w:val="36"/>
          <w:szCs w:val="36"/>
          <w:highlight w:val="none"/>
          <w:lang w:eastAsia="zh-CN"/>
        </w:rPr>
      </w:pPr>
      <w:r>
        <w:rPr>
          <w:rFonts w:hint="eastAsia" w:ascii="方正小标宋简体" w:hAnsi="宋体" w:eastAsia="方正小标宋简体" w:cs="宋体"/>
          <w:bCs/>
          <w:color w:val="auto"/>
          <w:kern w:val="0"/>
          <w:sz w:val="36"/>
          <w:szCs w:val="36"/>
          <w:highlight w:val="none"/>
        </w:rPr>
        <w:t>浙银理财</w:t>
      </w:r>
      <w:r>
        <w:rPr>
          <w:rFonts w:hint="eastAsia" w:ascii="方正小标宋简体" w:hAnsi="宋体" w:eastAsia="方正小标宋简体" w:cs="宋体"/>
          <w:bCs/>
          <w:color w:val="auto"/>
          <w:kern w:val="0"/>
          <w:sz w:val="36"/>
          <w:szCs w:val="36"/>
          <w:highlight w:val="yellow"/>
          <w:lang w:eastAsia="zh-CN"/>
        </w:rPr>
        <w:t>【】</w:t>
      </w:r>
    </w:p>
    <w:p w14:paraId="1EE8431F">
      <w:pPr>
        <w:widowControl/>
        <w:snapToGrid w:val="0"/>
        <w:jc w:val="center"/>
        <w:rPr>
          <w:rFonts w:hint="eastAsia" w:ascii="方正小标宋简体" w:hAnsi="宋体" w:eastAsia="方正小标宋简体" w:cs="宋体"/>
          <w:bCs/>
          <w:color w:val="auto"/>
          <w:kern w:val="0"/>
          <w:sz w:val="36"/>
          <w:szCs w:val="36"/>
          <w:highlight w:val="none"/>
        </w:rPr>
      </w:pPr>
      <w:r>
        <w:rPr>
          <w:rFonts w:hint="eastAsia" w:ascii="方正小标宋简体" w:hAnsi="宋体" w:eastAsia="方正小标宋简体" w:cs="宋体"/>
          <w:bCs/>
          <w:color w:val="auto"/>
          <w:kern w:val="0"/>
          <w:sz w:val="36"/>
          <w:szCs w:val="36"/>
          <w:highlight w:val="none"/>
        </w:rPr>
        <w:t>理财产品说明书</w:t>
      </w:r>
    </w:p>
    <w:p w14:paraId="5FD16C4A">
      <w:pPr>
        <w:widowControl/>
        <w:snapToGrid w:val="0"/>
        <w:jc w:val="center"/>
        <w:rPr>
          <w:rFonts w:hint="eastAsia" w:ascii="方正小标宋简体" w:hAnsi="宋体" w:eastAsia="方正小标宋简体" w:cs="宋体"/>
          <w:bCs/>
          <w:color w:val="auto"/>
          <w:kern w:val="0"/>
          <w:sz w:val="36"/>
          <w:szCs w:val="36"/>
          <w:highlight w:val="none"/>
        </w:rPr>
      </w:pPr>
      <w:r>
        <w:rPr>
          <w:rFonts w:hint="eastAsia" w:ascii="方正小标宋简体" w:hAnsi="宋体" w:eastAsia="方正小标宋简体" w:cs="宋体"/>
          <w:bCs/>
          <w:color w:val="auto"/>
          <w:kern w:val="0"/>
          <w:sz w:val="28"/>
          <w:szCs w:val="28"/>
          <w:highlight w:val="none"/>
        </w:rPr>
        <w:t>（全国银行业理财信息登记系统产品登记编码：</w:t>
      </w:r>
      <w:r>
        <w:rPr>
          <w:rFonts w:hint="eastAsia" w:ascii="宋体" w:hAnsi="宋体" w:eastAsia="宋体" w:cs="宋体"/>
          <w:b/>
          <w:bCs/>
          <w:color w:val="auto"/>
          <w:kern w:val="0"/>
          <w:sz w:val="28"/>
          <w:szCs w:val="28"/>
          <w:highlight w:val="yellow"/>
          <w:lang w:eastAsia="zh-CN" w:bidi="ar"/>
        </w:rPr>
        <w:t>【】</w:t>
      </w:r>
      <w:r>
        <w:rPr>
          <w:rFonts w:hint="eastAsia" w:ascii="方正小标宋简体" w:hAnsi="宋体" w:eastAsia="方正小标宋简体" w:cs="宋体"/>
          <w:bCs/>
          <w:color w:val="auto"/>
          <w:kern w:val="0"/>
          <w:sz w:val="28"/>
          <w:szCs w:val="28"/>
          <w:highlight w:val="none"/>
        </w:rPr>
        <w:t>）</w:t>
      </w:r>
    </w:p>
    <w:p w14:paraId="2D674B28">
      <w:pPr>
        <w:widowControl/>
        <w:snapToGrid w:val="0"/>
        <w:jc w:val="center"/>
        <w:rPr>
          <w:rFonts w:hint="eastAsia" w:ascii="方正小标宋简体" w:hAnsi="宋体" w:eastAsia="方正小标宋简体" w:cs="宋体"/>
          <w:bCs/>
          <w:color w:val="auto"/>
          <w:kern w:val="0"/>
          <w:sz w:val="18"/>
          <w:szCs w:val="18"/>
          <w:highlight w:val="none"/>
        </w:rPr>
      </w:pPr>
      <w:r>
        <w:rPr>
          <w:rFonts w:hint="eastAsia" w:ascii="方正小标宋简体" w:hAnsi="宋体" w:eastAsia="方正小标宋简体" w:cs="宋体"/>
          <w:bCs/>
          <w:color w:val="auto"/>
          <w:kern w:val="0"/>
          <w:sz w:val="18"/>
          <w:szCs w:val="18"/>
          <w:highlight w:val="none"/>
        </w:rPr>
        <w:t>（投资者可依据该编码在中国理财网www.chinawealth.com.cn查询产品信息）</w:t>
      </w:r>
    </w:p>
    <w:p w14:paraId="37B2D032">
      <w:pPr>
        <w:widowControl/>
        <w:snapToGrid w:val="0"/>
        <w:ind w:firstLine="420" w:firstLineChars="200"/>
        <w:rPr>
          <w:rFonts w:hint="eastAsia" w:ascii="黑体" w:hAnsi="宋体" w:eastAsia="黑体" w:cs="宋体"/>
          <w:bCs/>
          <w:color w:val="auto"/>
          <w:kern w:val="0"/>
          <w:szCs w:val="32"/>
          <w:highlight w:val="none"/>
        </w:rPr>
      </w:pPr>
    </w:p>
    <w:p w14:paraId="599661F7">
      <w:pPr>
        <w:pStyle w:val="2"/>
        <w:numPr>
          <w:ilvl w:val="0"/>
          <w:numId w:val="13"/>
        </w:numPr>
        <w:rPr>
          <w:rFonts w:hint="eastAsia"/>
          <w:color w:val="auto"/>
          <w:highlight w:val="none"/>
          <w:u w:val="none"/>
        </w:rPr>
      </w:pPr>
      <w:r>
        <w:rPr>
          <w:rFonts w:hint="eastAsia"/>
          <w:color w:val="auto"/>
          <w:highlight w:val="none"/>
          <w:u w:val="none"/>
        </w:rPr>
        <w:t>理财产品</w:t>
      </w:r>
      <w:r>
        <w:rPr>
          <w:rFonts w:hint="eastAsia"/>
          <w:color w:val="auto"/>
          <w:highlight w:val="none"/>
          <w:u w:val="none"/>
          <w:lang w:eastAsia="zh-CN"/>
        </w:rPr>
        <w:t>说明书关键要素</w:t>
      </w:r>
    </w:p>
    <w:tbl>
      <w:tblPr>
        <w:tblStyle w:val="7"/>
        <w:tblW w:w="9425" w:type="dxa"/>
        <w:tblInd w:w="-491" w:type="dxa"/>
        <w:tblLayout w:type="fixed"/>
        <w:tblCellMar>
          <w:top w:w="0" w:type="dxa"/>
          <w:left w:w="108" w:type="dxa"/>
          <w:bottom w:w="0" w:type="dxa"/>
          <w:right w:w="108" w:type="dxa"/>
        </w:tblCellMar>
      </w:tblPr>
      <w:tblGrid>
        <w:gridCol w:w="2453"/>
        <w:gridCol w:w="6972"/>
      </w:tblGrid>
      <w:tr w14:paraId="6134C9A3">
        <w:tblPrEx>
          <w:tblCellMar>
            <w:top w:w="0" w:type="dxa"/>
            <w:left w:w="108" w:type="dxa"/>
            <w:bottom w:w="0" w:type="dxa"/>
            <w:right w:w="108" w:type="dxa"/>
          </w:tblCellMar>
        </w:tblPrEx>
        <w:trPr>
          <w:trHeight w:val="1394" w:hRule="atLeast"/>
        </w:trPr>
        <w:tc>
          <w:tcPr>
            <w:tcW w:w="9425" w:type="dxa"/>
            <w:gridSpan w:val="2"/>
            <w:tcBorders>
              <w:top w:val="single" w:color="000000" w:sz="8" w:space="0"/>
              <w:left w:val="single" w:color="000000" w:sz="8" w:space="0"/>
              <w:bottom w:val="single" w:color="000000" w:sz="4" w:space="0"/>
              <w:right w:val="single" w:color="000000" w:sz="8" w:space="0"/>
            </w:tcBorders>
            <w:vAlign w:val="center"/>
          </w:tcPr>
          <w:p w14:paraId="03EA06BB">
            <w:pPr>
              <w:widowControl/>
              <w:spacing w:line="600" w:lineRule="exact"/>
              <w:jc w:val="center"/>
              <w:textAlignment w:val="center"/>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kern w:val="0"/>
                <w:sz w:val="40"/>
                <w:szCs w:val="40"/>
                <w:highlight w:val="none"/>
                <w:lang w:bidi="ar"/>
              </w:rPr>
              <w:t>理财产品说明书关键要素</w:t>
            </w:r>
          </w:p>
        </w:tc>
      </w:tr>
      <w:tr w14:paraId="17864459">
        <w:tblPrEx>
          <w:tblCellMar>
            <w:top w:w="0" w:type="dxa"/>
            <w:left w:w="108" w:type="dxa"/>
            <w:bottom w:w="0" w:type="dxa"/>
            <w:right w:w="108" w:type="dxa"/>
          </w:tblCellMar>
        </w:tblPrEx>
        <w:trPr>
          <w:trHeight w:val="980" w:hRule="atLeast"/>
        </w:trPr>
        <w:tc>
          <w:tcPr>
            <w:tcW w:w="9425" w:type="dxa"/>
            <w:gridSpan w:val="2"/>
            <w:tcBorders>
              <w:top w:val="single" w:color="000000" w:sz="4" w:space="0"/>
              <w:left w:val="single" w:color="000000" w:sz="8" w:space="0"/>
              <w:bottom w:val="nil"/>
              <w:right w:val="single" w:color="000000" w:sz="8" w:space="0"/>
            </w:tcBorders>
            <w:vAlign w:val="center"/>
          </w:tcPr>
          <w:p w14:paraId="4B9E9641">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cs="仿宋_GB2312"/>
                <w:color w:val="auto"/>
                <w:sz w:val="22"/>
                <w:szCs w:val="22"/>
                <w:highlight w:val="none"/>
                <w:lang w:bidi="ar"/>
              </w:rPr>
              <w:t>本表格提供本理财产品的重要信息，是理财产品说明书的一部分。</w:t>
            </w:r>
            <w:r>
              <w:rPr>
                <w:rFonts w:hint="eastAsia" w:cs="仿宋_GB2312"/>
                <w:color w:val="auto"/>
                <w:sz w:val="22"/>
                <w:szCs w:val="22"/>
                <w:highlight w:val="none"/>
                <w:lang w:bidi="ar"/>
              </w:rPr>
              <w:br w:type="textWrapping"/>
            </w:r>
            <w:r>
              <w:rPr>
                <w:rFonts w:hint="eastAsia" w:cs="仿宋_GB2312"/>
                <w:color w:val="auto"/>
                <w:sz w:val="22"/>
                <w:szCs w:val="22"/>
                <w:highlight w:val="none"/>
                <w:lang w:bidi="ar"/>
              </w:rPr>
              <w:t>作出投资决定前，请阅读完整的理财产品说明书等销售文件。</w:t>
            </w:r>
          </w:p>
        </w:tc>
      </w:tr>
      <w:tr w14:paraId="50E71C9C">
        <w:tblPrEx>
          <w:tblCellMar>
            <w:top w:w="0" w:type="dxa"/>
            <w:left w:w="108" w:type="dxa"/>
            <w:bottom w:w="0" w:type="dxa"/>
            <w:right w:w="108" w:type="dxa"/>
          </w:tblCellMar>
        </w:tblPrEx>
        <w:trPr>
          <w:trHeight w:val="270" w:hRule="atLeast"/>
        </w:trPr>
        <w:tc>
          <w:tcPr>
            <w:tcW w:w="9425" w:type="dxa"/>
            <w:gridSpan w:val="2"/>
            <w:tcBorders>
              <w:top w:val="single" w:color="000000" w:sz="4" w:space="0"/>
              <w:left w:val="single" w:color="000000" w:sz="8" w:space="0"/>
              <w:bottom w:val="single" w:color="auto" w:sz="4" w:space="0"/>
              <w:right w:val="single" w:color="000000" w:sz="8" w:space="0"/>
            </w:tcBorders>
            <w:vAlign w:val="center"/>
          </w:tcPr>
          <w:p w14:paraId="3A490DDF">
            <w:pPr>
              <w:widowControl/>
              <w:spacing w:line="400" w:lineRule="exact"/>
              <w:jc w:val="center"/>
              <w:textAlignment w:val="center"/>
              <w:rPr>
                <w:rFonts w:hint="eastAsia" w:ascii="楷体_GB2312" w:hAnsi="等线" w:eastAsia="楷体_GB2312" w:cs="楷体_GB2312"/>
                <w:b/>
                <w:bCs/>
                <w:color w:val="auto"/>
                <w:sz w:val="24"/>
                <w:highlight w:val="none"/>
              </w:rPr>
            </w:pPr>
            <w:r>
              <w:rPr>
                <w:rFonts w:hint="eastAsia" w:ascii="楷体_GB2312" w:hAnsi="等线" w:eastAsia="楷体_GB2312" w:cs="楷体_GB2312"/>
                <w:b/>
                <w:bCs/>
                <w:color w:val="auto"/>
                <w:kern w:val="0"/>
                <w:sz w:val="24"/>
                <w:highlight w:val="none"/>
                <w:lang w:bidi="ar"/>
              </w:rPr>
              <w:t>（一）理财产品基本信息</w:t>
            </w:r>
          </w:p>
        </w:tc>
      </w:tr>
      <w:tr w14:paraId="4C86693D">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2FB79F9A">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auto"/>
                <w:kern w:val="0"/>
                <w:sz w:val="24"/>
                <w:highlight w:val="none"/>
                <w:lang w:bidi="ar"/>
              </w:rPr>
              <w:t>产品登记编码</w:t>
            </w:r>
          </w:p>
        </w:tc>
        <w:tc>
          <w:tcPr>
            <w:tcW w:w="6972" w:type="dxa"/>
            <w:tcBorders>
              <w:top w:val="single" w:color="auto" w:sz="4" w:space="0"/>
              <w:left w:val="single" w:color="auto" w:sz="4" w:space="0"/>
              <w:bottom w:val="single" w:color="auto" w:sz="4" w:space="0"/>
              <w:right w:val="single" w:color="auto" w:sz="4" w:space="0"/>
            </w:tcBorders>
            <w:vAlign w:val="center"/>
          </w:tcPr>
          <w:p w14:paraId="5811293D">
            <w:pPr>
              <w:widowControl/>
              <w:spacing w:line="400" w:lineRule="exact"/>
              <w:jc w:val="left"/>
              <w:textAlignment w:val="center"/>
              <w:rPr>
                <w:rFonts w:hint="eastAsia" w:ascii="宋体" w:hAnsi="宋体"/>
                <w:color w:val="auto"/>
                <w:szCs w:val="24"/>
                <w:highlight w:val="yellow"/>
                <w:u w:val="none"/>
              </w:rPr>
            </w:pPr>
            <w:r>
              <w:rPr>
                <w:rFonts w:hint="eastAsia" w:ascii="宋体" w:hAnsi="宋体"/>
                <w:color w:val="auto"/>
                <w:szCs w:val="24"/>
                <w:highlight w:val="yellow"/>
                <w:u w:val="none"/>
              </w:rPr>
              <w:t>【】</w:t>
            </w:r>
          </w:p>
          <w:p w14:paraId="27285F9D">
            <w:pPr>
              <w:widowControl/>
              <w:spacing w:line="400" w:lineRule="exact"/>
              <w:jc w:val="left"/>
              <w:textAlignment w:val="center"/>
              <w:rPr>
                <w:rFonts w:hint="eastAsia" w:ascii="仿宋_GB2312" w:hAnsi="等线" w:eastAsia="仿宋_GB2312" w:cs="仿宋_GB2312"/>
                <w:color w:val="auto"/>
                <w:kern w:val="0"/>
                <w:sz w:val="24"/>
                <w:highlight w:val="none"/>
                <w:lang w:bidi="ar"/>
              </w:rPr>
            </w:pPr>
            <w:r>
              <w:rPr>
                <w:rFonts w:hint="eastAsia" w:ascii="仿宋_GB2312" w:hAnsi="仿宋_GB2312" w:cs="仿宋_GB2312"/>
                <w:sz w:val="22"/>
                <w:szCs w:val="22"/>
                <w:highlight w:val="none"/>
                <w:lang w:bidi="ar"/>
              </w:rPr>
              <w:t>（重要提示：可依据该登记编码在中国理财网www.chinawealth.com.cn查询产品信息）</w:t>
            </w:r>
          </w:p>
        </w:tc>
      </w:tr>
      <w:tr w14:paraId="428B8AC7">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280B8E4">
            <w:pPr>
              <w:widowControl/>
              <w:spacing w:line="400" w:lineRule="exact"/>
              <w:jc w:val="center"/>
              <w:textAlignment w:val="center"/>
              <w:rPr>
                <w:rFonts w:hint="eastAsia" w:ascii="仿宋_GB2312" w:hAnsi="等线" w:cs="仿宋_GB2312"/>
                <w:color w:val="auto"/>
                <w:kern w:val="0"/>
                <w:sz w:val="24"/>
                <w:highlight w:val="none"/>
                <w:lang w:eastAsia="zh-CN" w:bidi="ar"/>
              </w:rPr>
            </w:pPr>
            <w:r>
              <w:rPr>
                <w:rFonts w:hint="eastAsia" w:ascii="仿宋_GB2312" w:hAnsi="等线" w:cs="仿宋_GB2312"/>
                <w:color w:val="auto"/>
                <w:kern w:val="0"/>
                <w:sz w:val="24"/>
                <w:highlight w:val="none"/>
                <w:lang w:eastAsia="zh-CN" w:bidi="ar"/>
              </w:rPr>
              <w:t>产品代码</w:t>
            </w:r>
          </w:p>
        </w:tc>
        <w:tc>
          <w:tcPr>
            <w:tcW w:w="6972" w:type="dxa"/>
            <w:tcBorders>
              <w:top w:val="single" w:color="auto" w:sz="4" w:space="0"/>
              <w:left w:val="single" w:color="auto" w:sz="4" w:space="0"/>
              <w:bottom w:val="single" w:color="auto" w:sz="4" w:space="0"/>
              <w:right w:val="single" w:color="auto" w:sz="4" w:space="0"/>
            </w:tcBorders>
            <w:vAlign w:val="center"/>
          </w:tcPr>
          <w:p w14:paraId="2DF1F913">
            <w:pPr>
              <w:widowControl/>
              <w:spacing w:line="400" w:lineRule="exact"/>
              <w:jc w:val="left"/>
              <w:textAlignment w:val="center"/>
              <w:rPr>
                <w:rFonts w:hint="eastAsia" w:ascii="宋体" w:hAnsi="宋体"/>
                <w:color w:val="auto"/>
                <w:szCs w:val="24"/>
                <w:highlight w:val="none"/>
                <w:u w:val="none"/>
              </w:rPr>
            </w:pPr>
            <w:r>
              <w:rPr>
                <w:rFonts w:hint="eastAsia" w:ascii="宋体" w:hAnsi="宋体"/>
                <w:color w:val="auto"/>
                <w:szCs w:val="24"/>
                <w:highlight w:val="yellow"/>
                <w:u w:val="none"/>
              </w:rPr>
              <w:t>【】</w:t>
            </w:r>
          </w:p>
        </w:tc>
      </w:tr>
      <w:tr w14:paraId="62F77F4C">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B8023E4">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cs="仿宋_GB2312"/>
                <w:color w:val="auto"/>
                <w:kern w:val="0"/>
                <w:sz w:val="24"/>
                <w:highlight w:val="none"/>
                <w:lang w:eastAsia="zh-CN" w:bidi="ar"/>
              </w:rPr>
              <w:t>理财</w:t>
            </w:r>
            <w:r>
              <w:rPr>
                <w:rFonts w:hint="eastAsia" w:ascii="仿宋_GB2312" w:hAnsi="等线" w:eastAsia="仿宋_GB2312" w:cs="仿宋_GB2312"/>
                <w:color w:val="auto"/>
                <w:kern w:val="0"/>
                <w:sz w:val="24"/>
                <w:highlight w:val="none"/>
                <w:lang w:bidi="ar"/>
              </w:rPr>
              <w:t>产品名称</w:t>
            </w:r>
          </w:p>
        </w:tc>
        <w:tc>
          <w:tcPr>
            <w:tcW w:w="6972" w:type="dxa"/>
            <w:tcBorders>
              <w:top w:val="single" w:color="auto" w:sz="4" w:space="0"/>
              <w:left w:val="single" w:color="auto" w:sz="4" w:space="0"/>
              <w:bottom w:val="single" w:color="auto" w:sz="4" w:space="0"/>
              <w:right w:val="single" w:color="auto" w:sz="4" w:space="0"/>
            </w:tcBorders>
            <w:vAlign w:val="center"/>
          </w:tcPr>
          <w:p w14:paraId="1D192DC2">
            <w:pPr>
              <w:widowControl/>
              <w:spacing w:line="400" w:lineRule="exact"/>
              <w:jc w:val="left"/>
              <w:textAlignment w:val="center"/>
              <w:rPr>
                <w:rFonts w:hint="eastAsia" w:ascii="仿宋_GB2312" w:hAnsi="等线" w:eastAsia="仿宋_GB2312" w:cs="仿宋_GB2312"/>
                <w:bCs/>
                <w:color w:val="auto"/>
                <w:sz w:val="24"/>
                <w:highlight w:val="none"/>
              </w:rPr>
            </w:pPr>
            <w:r>
              <w:rPr>
                <w:rFonts w:hint="eastAsia" w:ascii="宋体" w:hAnsi="宋体"/>
                <w:color w:val="auto"/>
                <w:szCs w:val="24"/>
                <w:highlight w:val="yellow"/>
                <w:u w:val="none"/>
              </w:rPr>
              <w:t>【】</w:t>
            </w:r>
          </w:p>
        </w:tc>
      </w:tr>
      <w:tr w14:paraId="686D582F">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BDD9E5D">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auto"/>
                <w:kern w:val="0"/>
                <w:sz w:val="24"/>
                <w:highlight w:val="none"/>
                <w:lang w:bidi="ar"/>
              </w:rPr>
              <w:t>份额代码</w:t>
            </w:r>
          </w:p>
        </w:tc>
        <w:tc>
          <w:tcPr>
            <w:tcW w:w="6972" w:type="dxa"/>
            <w:tcBorders>
              <w:top w:val="single" w:color="auto" w:sz="4" w:space="0"/>
              <w:left w:val="single" w:color="auto" w:sz="4" w:space="0"/>
              <w:bottom w:val="single" w:color="auto" w:sz="4" w:space="0"/>
              <w:right w:val="single" w:color="auto" w:sz="4" w:space="0"/>
            </w:tcBorders>
            <w:vAlign w:val="center"/>
          </w:tcPr>
          <w:p w14:paraId="72D6E0AA">
            <w:pPr>
              <w:snapToGrid w:val="0"/>
              <w:jc w:val="left"/>
              <w:rPr>
                <w:rFonts w:ascii="宋体" w:hAnsi="宋体" w:cs="宋体"/>
                <w:color w:val="auto"/>
                <w:kern w:val="0"/>
                <w:szCs w:val="24"/>
                <w:highlight w:val="none"/>
              </w:rPr>
            </w:pPr>
            <w:r>
              <w:rPr>
                <w:rFonts w:hint="eastAsia" w:ascii="宋体" w:hAnsi="宋体" w:cs="宋体"/>
                <w:color w:val="auto"/>
                <w:kern w:val="0"/>
                <w:szCs w:val="24"/>
                <w:highlight w:val="none"/>
              </w:rPr>
              <w:t>本产品根据投资者购买理财产品的金额、销售渠道、客户类型等因素设置不同的产品份额类别，各类产品份额可能分别设置不同的销售名称、</w:t>
            </w:r>
            <w:r>
              <w:rPr>
                <w:rFonts w:hint="eastAsia" w:ascii="宋体" w:hAnsi="宋体" w:cs="宋体"/>
                <w:color w:val="auto"/>
                <w:kern w:val="0"/>
                <w:szCs w:val="24"/>
                <w:highlight w:val="none"/>
                <w:lang w:eastAsia="zh-CN"/>
              </w:rPr>
              <w:t>份额</w:t>
            </w:r>
            <w:r>
              <w:rPr>
                <w:rFonts w:hint="eastAsia" w:ascii="宋体" w:hAnsi="宋体" w:cs="宋体"/>
                <w:color w:val="auto"/>
                <w:kern w:val="0"/>
                <w:szCs w:val="24"/>
                <w:highlight w:val="none"/>
              </w:rPr>
              <w:t>代码、销售渠道、销售</w:t>
            </w:r>
            <w:r>
              <w:rPr>
                <w:rFonts w:hint="eastAsia" w:ascii="宋体" w:hAnsi="宋体" w:cs="宋体"/>
                <w:color w:val="auto"/>
                <w:kern w:val="0"/>
                <w:szCs w:val="24"/>
                <w:highlight w:val="none"/>
                <w:lang w:eastAsia="zh-CN"/>
              </w:rPr>
              <w:t>对象</w:t>
            </w:r>
            <w:r>
              <w:rPr>
                <w:rFonts w:hint="eastAsia" w:ascii="宋体" w:hAnsi="宋体" w:cs="宋体"/>
                <w:color w:val="auto"/>
                <w:kern w:val="0"/>
                <w:szCs w:val="24"/>
                <w:highlight w:val="none"/>
              </w:rPr>
              <w:t>、销售服务费率、收费方式、业绩比较基准、</w:t>
            </w:r>
            <w:r>
              <w:rPr>
                <w:rFonts w:hint="eastAsia" w:ascii="宋体" w:hAnsi="宋体" w:cs="宋体"/>
                <w:color w:val="auto"/>
                <w:kern w:val="0"/>
                <w:szCs w:val="24"/>
                <w:highlight w:val="none"/>
                <w:lang w:eastAsia="zh-CN"/>
              </w:rPr>
              <w:t>起点销售</w:t>
            </w:r>
            <w:r>
              <w:rPr>
                <w:rFonts w:hint="eastAsia" w:ascii="宋体" w:hAnsi="宋体" w:cs="宋体"/>
                <w:color w:val="auto"/>
                <w:kern w:val="0"/>
                <w:szCs w:val="24"/>
                <w:highlight w:val="none"/>
              </w:rPr>
              <w:t>金额</w:t>
            </w:r>
            <w:r>
              <w:rPr>
                <w:rFonts w:hint="eastAsia" w:ascii="仿宋_GB2312" w:hAnsi="宋体" w:cs="宋体"/>
                <w:color w:val="auto"/>
                <w:kern w:val="0"/>
                <w:szCs w:val="24"/>
                <w:highlight w:val="none"/>
              </w:rPr>
              <w:t>及</w:t>
            </w:r>
            <w:r>
              <w:rPr>
                <w:rFonts w:hint="eastAsia" w:ascii="仿宋_GB2312" w:hAnsi="宋体" w:cs="宋体"/>
                <w:color w:val="auto"/>
                <w:kern w:val="0"/>
                <w:szCs w:val="24"/>
                <w:highlight w:val="none"/>
                <w:lang w:eastAsia="zh-CN"/>
              </w:rPr>
              <w:t>追加</w:t>
            </w:r>
            <w:r>
              <w:rPr>
                <w:rFonts w:hint="eastAsia" w:ascii="仿宋_GB2312" w:hAnsi="宋体" w:cs="宋体"/>
                <w:color w:val="auto"/>
                <w:kern w:val="0"/>
                <w:szCs w:val="24"/>
                <w:highlight w:val="none"/>
              </w:rPr>
              <w:t>递增金额</w:t>
            </w:r>
            <w:r>
              <w:rPr>
                <w:rFonts w:hint="eastAsia" w:ascii="宋体" w:hAnsi="宋体" w:cs="宋体"/>
                <w:color w:val="auto"/>
                <w:kern w:val="0"/>
                <w:szCs w:val="24"/>
                <w:highlight w:val="none"/>
              </w:rPr>
              <w:t>、认</w:t>
            </w:r>
            <w:r>
              <w:rPr>
                <w:rFonts w:ascii="宋体" w:hAnsi="宋体" w:cs="宋体"/>
                <w:color w:val="auto"/>
                <w:kern w:val="0"/>
                <w:szCs w:val="24"/>
                <w:highlight w:val="none"/>
              </w:rPr>
              <w:t>/</w:t>
            </w:r>
            <w:r>
              <w:rPr>
                <w:rFonts w:hint="eastAsia" w:ascii="宋体" w:hAnsi="宋体" w:cs="宋体"/>
                <w:color w:val="auto"/>
                <w:kern w:val="0"/>
                <w:szCs w:val="24"/>
                <w:highlight w:val="none"/>
              </w:rPr>
              <w:t>申购上限</w:t>
            </w:r>
            <w:r>
              <w:rPr>
                <w:rFonts w:ascii="宋体" w:hAnsi="宋体" w:cs="宋体"/>
                <w:color w:val="auto"/>
                <w:kern w:val="0"/>
                <w:szCs w:val="24"/>
                <w:highlight w:val="none"/>
              </w:rPr>
              <w:t>金额、</w:t>
            </w:r>
            <w:r>
              <w:rPr>
                <w:rFonts w:hint="eastAsia" w:ascii="宋体" w:hAnsi="宋体" w:cs="宋体"/>
                <w:color w:val="auto"/>
                <w:kern w:val="0"/>
                <w:szCs w:val="24"/>
                <w:highlight w:val="none"/>
              </w:rPr>
              <w:t>认</w:t>
            </w:r>
            <w:r>
              <w:rPr>
                <w:rFonts w:ascii="宋体" w:hAnsi="宋体" w:cs="宋体"/>
                <w:color w:val="auto"/>
                <w:kern w:val="0"/>
                <w:szCs w:val="24"/>
                <w:highlight w:val="none"/>
              </w:rPr>
              <w:t>/</w:t>
            </w:r>
            <w:r>
              <w:rPr>
                <w:rFonts w:hint="eastAsia" w:ascii="宋体" w:hAnsi="宋体" w:cs="宋体"/>
                <w:color w:val="auto"/>
                <w:kern w:val="0"/>
                <w:szCs w:val="24"/>
                <w:highlight w:val="none"/>
              </w:rPr>
              <w:t>申购和赎回数量限制、持有金额上/下限</w:t>
            </w:r>
            <w:r>
              <w:rPr>
                <w:rFonts w:hint="eastAsia"/>
                <w:color w:val="auto"/>
                <w:highlight w:val="none"/>
              </w:rPr>
              <w:t>、单一投资者持有份额占比上限、产品规模上限</w:t>
            </w:r>
            <w:r>
              <w:rPr>
                <w:rFonts w:hint="eastAsia" w:ascii="宋体" w:hAnsi="宋体" w:cs="宋体"/>
                <w:color w:val="auto"/>
                <w:kern w:val="0"/>
                <w:szCs w:val="24"/>
                <w:highlight w:val="none"/>
              </w:rPr>
              <w:t>等要素，并分别计算和公告各类产品份额单位净值，具体以对应的理财产品销售文件约定为准。</w:t>
            </w:r>
          </w:p>
          <w:p w14:paraId="41127B12">
            <w:pPr>
              <w:snapToGrid w:val="0"/>
              <w:jc w:val="left"/>
              <w:rPr>
                <w:rFonts w:ascii="宋体" w:hAnsi="宋体" w:cs="宋体"/>
                <w:color w:val="auto"/>
                <w:kern w:val="0"/>
                <w:szCs w:val="24"/>
                <w:highlight w:val="none"/>
              </w:rPr>
            </w:pPr>
            <w:r>
              <w:rPr>
                <w:rFonts w:hint="eastAsia" w:ascii="宋体" w:hAnsi="宋体" w:cs="宋体"/>
                <w:color w:val="auto"/>
                <w:kern w:val="0"/>
                <w:szCs w:val="24"/>
                <w:highlight w:val="none"/>
              </w:rPr>
              <w:t>投资者可根据实际情况自行选择认/申购的产品份额类别。</w:t>
            </w:r>
          </w:p>
          <w:p w14:paraId="32A556F9">
            <w:pPr>
              <w:widowControl/>
              <w:spacing w:line="400" w:lineRule="exact"/>
              <w:jc w:val="left"/>
              <w:textAlignment w:val="center"/>
              <w:rPr>
                <w:rFonts w:hint="eastAsia" w:ascii="宋体" w:hAnsi="宋体" w:eastAsia="仿宋_GB2312" w:cstheme="minorBidi"/>
                <w:bCs w:val="0"/>
                <w:color w:val="auto"/>
                <w:kern w:val="2"/>
                <w:sz w:val="24"/>
                <w:szCs w:val="24"/>
                <w:highlight w:val="none"/>
                <w:u w:val="none"/>
                <w:lang w:bidi="ar"/>
              </w:rPr>
            </w:pPr>
            <w:r>
              <w:rPr>
                <w:rFonts w:hint="eastAsia" w:ascii="宋体" w:hAnsi="宋体" w:cs="宋体"/>
                <w:b/>
                <w:bCs/>
                <w:color w:val="auto"/>
                <w:kern w:val="0"/>
                <w:szCs w:val="24"/>
                <w:highlight w:val="none"/>
              </w:rPr>
              <w:t>产品管理人有权在本理财产品项下增设</w:t>
            </w:r>
            <w:r>
              <w:rPr>
                <w:rFonts w:hint="eastAsia" w:ascii="宋体" w:hAnsi="宋体" w:cs="宋体"/>
                <w:b/>
                <w:bCs/>
                <w:color w:val="auto"/>
                <w:kern w:val="0"/>
                <w:szCs w:val="24"/>
                <w:highlight w:val="none"/>
                <w:lang w:val="en-US" w:eastAsia="zh-CN"/>
              </w:rPr>
              <w:t>/终止</w:t>
            </w:r>
            <w:r>
              <w:rPr>
                <w:rFonts w:hint="eastAsia" w:ascii="宋体" w:hAnsi="宋体" w:cs="宋体"/>
                <w:b/>
                <w:bCs/>
                <w:color w:val="auto"/>
                <w:kern w:val="0"/>
                <w:szCs w:val="24"/>
                <w:highlight w:val="none"/>
              </w:rPr>
              <w:t>产品份额类别，届时，产品管理人将依据本理财产品销售文件的约定进行信息披露。</w:t>
            </w:r>
          </w:p>
          <w:p w14:paraId="79884B9E">
            <w:pPr>
              <w:widowControl/>
              <w:spacing w:line="400" w:lineRule="exact"/>
              <w:jc w:val="both"/>
              <w:textAlignment w:val="center"/>
              <w:rPr>
                <w:rFonts w:hint="eastAsia" w:ascii="宋体" w:hAnsi="宋体" w:eastAsia="仿宋_GB2312" w:cstheme="minorBidi"/>
                <w:bCs w:val="0"/>
                <w:color w:val="auto"/>
                <w:kern w:val="2"/>
                <w:sz w:val="24"/>
                <w:szCs w:val="24"/>
                <w:highlight w:val="none"/>
                <w:u w:val="none"/>
                <w:lang w:bidi="ar"/>
              </w:rPr>
            </w:pPr>
            <w:r>
              <w:rPr>
                <w:rFonts w:hint="eastAsia" w:ascii="宋体" w:hAnsi="宋体" w:cstheme="minorBidi"/>
                <w:bCs w:val="0"/>
                <w:color w:val="auto"/>
                <w:kern w:val="2"/>
                <w:sz w:val="24"/>
                <w:szCs w:val="24"/>
                <w:highlight w:val="yellow"/>
                <w:u w:val="none"/>
                <w:lang w:eastAsia="zh-CN" w:bidi="ar"/>
              </w:rPr>
              <w:t>【</w:t>
            </w:r>
            <w:r>
              <w:rPr>
                <w:rFonts w:hint="eastAsia" w:ascii="宋体" w:hAnsi="宋体" w:eastAsia="仿宋_GB2312" w:cstheme="minorBidi"/>
                <w:bCs w:val="0"/>
                <w:color w:val="auto"/>
                <w:kern w:val="2"/>
                <w:sz w:val="24"/>
                <w:szCs w:val="24"/>
                <w:highlight w:val="yellow"/>
                <w:u w:val="none"/>
                <w:lang w:bidi="ar"/>
              </w:rPr>
              <w:t>A类份额</w:t>
            </w:r>
            <w:r>
              <w:rPr>
                <w:rFonts w:hint="eastAsia" w:ascii="宋体" w:hAnsi="宋体" w:cstheme="minorBidi"/>
                <w:bCs w:val="0"/>
                <w:color w:val="auto"/>
                <w:kern w:val="2"/>
                <w:sz w:val="24"/>
                <w:szCs w:val="24"/>
                <w:highlight w:val="yellow"/>
                <w:u w:val="none"/>
                <w:lang w:eastAsia="zh-CN" w:bidi="ar"/>
              </w:rPr>
              <w:t>】</w:t>
            </w:r>
            <w:r>
              <w:rPr>
                <w:rFonts w:hint="eastAsia" w:ascii="宋体" w:hAnsi="宋体" w:eastAsia="仿宋_GB2312" w:cstheme="minorBidi"/>
                <w:bCs w:val="0"/>
                <w:color w:val="auto"/>
                <w:kern w:val="2"/>
                <w:sz w:val="24"/>
                <w:szCs w:val="24"/>
                <w:highlight w:val="none"/>
                <w:u w:val="none"/>
                <w:lang w:bidi="ar"/>
              </w:rPr>
              <w:t>：份额代码</w:t>
            </w:r>
            <w:r>
              <w:rPr>
                <w:rFonts w:hint="eastAsia" w:ascii="宋体" w:hAnsi="宋体"/>
                <w:color w:val="auto"/>
                <w:szCs w:val="24"/>
                <w:highlight w:val="yellow"/>
                <w:u w:val="none"/>
              </w:rPr>
              <w:t>【】</w:t>
            </w:r>
          </w:p>
        </w:tc>
      </w:tr>
      <w:tr w14:paraId="7B434845">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746882E">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auto"/>
                <w:kern w:val="0"/>
                <w:sz w:val="24"/>
                <w:highlight w:val="none"/>
                <w:lang w:bidi="ar"/>
              </w:rPr>
              <w:t>发行机构名称</w:t>
            </w:r>
          </w:p>
        </w:tc>
        <w:tc>
          <w:tcPr>
            <w:tcW w:w="6972" w:type="dxa"/>
            <w:tcBorders>
              <w:top w:val="single" w:color="auto" w:sz="4" w:space="0"/>
              <w:left w:val="single" w:color="auto" w:sz="4" w:space="0"/>
              <w:bottom w:val="single" w:color="auto" w:sz="4" w:space="0"/>
              <w:right w:val="single" w:color="auto" w:sz="4" w:space="0"/>
            </w:tcBorders>
            <w:vAlign w:val="center"/>
          </w:tcPr>
          <w:p w14:paraId="3F4E4643">
            <w:pPr>
              <w:widowControl/>
              <w:spacing w:line="400" w:lineRule="exact"/>
              <w:jc w:val="left"/>
              <w:textAlignment w:val="center"/>
              <w:rPr>
                <w:rFonts w:hint="eastAsia" w:ascii="仿宋_GB2312" w:hAnsi="等线" w:eastAsia="仿宋_GB2312" w:cs="仿宋_GB2312"/>
                <w:bCs/>
                <w:color w:val="auto"/>
                <w:sz w:val="24"/>
                <w:highlight w:val="none"/>
              </w:rPr>
            </w:pPr>
            <w:r>
              <w:rPr>
                <w:rFonts w:hint="eastAsia" w:ascii="宋体" w:hAnsi="宋体" w:cs="宋体"/>
                <w:color w:val="auto"/>
                <w:kern w:val="0"/>
                <w:szCs w:val="24"/>
                <w:highlight w:val="none"/>
                <w:u w:val="none"/>
              </w:rPr>
              <w:t>浙银理财有限责任公司</w:t>
            </w:r>
          </w:p>
        </w:tc>
      </w:tr>
      <w:tr w14:paraId="68F52AA2">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C8A2B07">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auto"/>
                <w:kern w:val="0"/>
                <w:sz w:val="24"/>
                <w:highlight w:val="none"/>
                <w:lang w:bidi="ar"/>
              </w:rPr>
              <w:t>销售机构名称</w:t>
            </w:r>
          </w:p>
        </w:tc>
        <w:tc>
          <w:tcPr>
            <w:tcW w:w="6972" w:type="dxa"/>
            <w:tcBorders>
              <w:top w:val="single" w:color="auto" w:sz="4" w:space="0"/>
              <w:left w:val="single" w:color="auto" w:sz="4" w:space="0"/>
              <w:bottom w:val="single" w:color="auto" w:sz="4" w:space="0"/>
              <w:right w:val="single" w:color="auto" w:sz="4" w:space="0"/>
            </w:tcBorders>
            <w:vAlign w:val="center"/>
          </w:tcPr>
          <w:p w14:paraId="13DC3897">
            <w:pPr>
              <w:widowControl/>
              <w:spacing w:line="400" w:lineRule="exact"/>
              <w:jc w:val="left"/>
              <w:textAlignment w:val="center"/>
              <w:rPr>
                <w:rFonts w:hint="eastAsia" w:ascii="宋体" w:hAnsi="宋体"/>
                <w:color w:val="auto"/>
                <w:szCs w:val="24"/>
                <w:highlight w:val="none"/>
                <w:u w:val="none"/>
                <w:lang w:val="en-US" w:eastAsia="zh-CN"/>
              </w:rPr>
            </w:pPr>
            <w:r>
              <w:rPr>
                <w:rFonts w:hint="eastAsia" w:ascii="宋体" w:hAnsi="宋体" w:cstheme="minorBidi"/>
                <w:bCs w:val="0"/>
                <w:color w:val="auto"/>
                <w:kern w:val="2"/>
                <w:sz w:val="24"/>
                <w:szCs w:val="24"/>
                <w:highlight w:val="yellow"/>
                <w:u w:val="none"/>
                <w:lang w:eastAsia="zh-CN" w:bidi="ar"/>
              </w:rPr>
              <w:t>【销售机构】</w:t>
            </w:r>
            <w:r>
              <w:rPr>
                <w:rFonts w:hint="eastAsia" w:ascii="宋体" w:hAnsi="宋体" w:cs="宋体"/>
                <w:color w:val="auto"/>
                <w:kern w:val="0"/>
                <w:szCs w:val="24"/>
                <w:highlight w:val="none"/>
                <w:lang w:val="en-US" w:eastAsia="zh-CN"/>
              </w:rPr>
              <w:t>：</w:t>
            </w:r>
            <w:r>
              <w:rPr>
                <w:rFonts w:hint="eastAsia" w:ascii="宋体" w:hAnsi="宋体" w:cstheme="minorBidi"/>
                <w:bCs w:val="0"/>
                <w:color w:val="auto"/>
                <w:kern w:val="2"/>
                <w:sz w:val="24"/>
                <w:szCs w:val="24"/>
                <w:highlight w:val="yellow"/>
                <w:u w:val="none"/>
                <w:lang w:eastAsia="zh-CN" w:bidi="ar"/>
              </w:rPr>
              <w:t>【份额代码】</w:t>
            </w:r>
          </w:p>
          <w:p w14:paraId="5F526FF9">
            <w:pPr>
              <w:widowControl/>
              <w:spacing w:line="400" w:lineRule="exact"/>
              <w:jc w:val="left"/>
              <w:textAlignment w:val="center"/>
              <w:rPr>
                <w:rFonts w:hint="eastAsia" w:ascii="宋体" w:hAnsi="宋体"/>
                <w:color w:val="auto"/>
                <w:szCs w:val="24"/>
                <w:highlight w:val="none"/>
                <w:u w:val="none"/>
                <w:lang w:val="en-US" w:eastAsia="zh-CN"/>
              </w:rPr>
            </w:pPr>
            <w:r>
              <w:rPr>
                <w:rFonts w:hint="eastAsia" w:ascii="宋体" w:hAnsi="宋体" w:eastAsia="仿宋_GB2312" w:cs="宋体"/>
                <w:color w:val="auto"/>
                <w:kern w:val="0"/>
                <w:sz w:val="24"/>
                <w:szCs w:val="24"/>
                <w:highlight w:val="none"/>
                <w:lang w:val="en-US" w:eastAsia="zh-CN" w:bidi="ar"/>
              </w:rPr>
              <w:t>后续销售机构如有新增、减少和变更，以</w:t>
            </w:r>
            <w:r>
              <w:rPr>
                <w:rFonts w:hint="eastAsia" w:ascii="宋体" w:hAnsi="宋体" w:cs="宋体"/>
                <w:color w:val="auto"/>
                <w:kern w:val="0"/>
                <w:sz w:val="24"/>
                <w:szCs w:val="24"/>
                <w:highlight w:val="none"/>
                <w:lang w:val="en-US" w:eastAsia="zh-CN" w:bidi="ar"/>
              </w:rPr>
              <w:t>产品</w:t>
            </w:r>
            <w:r>
              <w:rPr>
                <w:rFonts w:hint="eastAsia" w:ascii="宋体" w:hAnsi="宋体" w:eastAsia="仿宋_GB2312" w:cs="宋体"/>
                <w:color w:val="auto"/>
                <w:kern w:val="0"/>
                <w:sz w:val="24"/>
                <w:szCs w:val="24"/>
                <w:highlight w:val="none"/>
                <w:lang w:val="en-US" w:eastAsia="zh-CN" w:bidi="ar"/>
              </w:rPr>
              <w:t>管理人信息披露为准。</w:t>
            </w:r>
          </w:p>
        </w:tc>
      </w:tr>
      <w:tr w14:paraId="09CC9652">
        <w:tblPrEx>
          <w:tblCellMar>
            <w:top w:w="0" w:type="dxa"/>
            <w:left w:w="108" w:type="dxa"/>
            <w:bottom w:w="0" w:type="dxa"/>
            <w:right w:w="108" w:type="dxa"/>
          </w:tblCellMar>
        </w:tblPrEx>
        <w:trPr>
          <w:trHeight w:val="600" w:hRule="atLeast"/>
        </w:trPr>
        <w:tc>
          <w:tcPr>
            <w:tcW w:w="2453" w:type="dxa"/>
            <w:tcBorders>
              <w:top w:val="single" w:color="auto" w:sz="4" w:space="0"/>
              <w:left w:val="single" w:color="auto" w:sz="4" w:space="0"/>
              <w:bottom w:val="single" w:color="auto" w:sz="4" w:space="0"/>
              <w:right w:val="single" w:color="auto" w:sz="4" w:space="0"/>
            </w:tcBorders>
            <w:vAlign w:val="center"/>
          </w:tcPr>
          <w:p w14:paraId="2807ED2F">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境内托管机构名称</w:t>
            </w:r>
          </w:p>
        </w:tc>
        <w:tc>
          <w:tcPr>
            <w:tcW w:w="6972" w:type="dxa"/>
            <w:tcBorders>
              <w:top w:val="single" w:color="auto" w:sz="4" w:space="0"/>
              <w:left w:val="single" w:color="auto" w:sz="4" w:space="0"/>
              <w:bottom w:val="single" w:color="auto" w:sz="4" w:space="0"/>
              <w:right w:val="single" w:color="auto" w:sz="4" w:space="0"/>
            </w:tcBorders>
            <w:vAlign w:val="center"/>
          </w:tcPr>
          <w:p w14:paraId="457BD9A8">
            <w:pPr>
              <w:widowControl/>
              <w:spacing w:line="400" w:lineRule="exact"/>
              <w:jc w:val="left"/>
              <w:textAlignment w:val="center"/>
              <w:rPr>
                <w:rFonts w:hint="eastAsia" w:ascii="仿宋_GB2312" w:hAnsi="等线" w:eastAsia="仿宋_GB2312" w:cs="仿宋_GB2312"/>
                <w:bCs/>
                <w:color w:val="auto"/>
                <w:sz w:val="24"/>
                <w:highlight w:val="none"/>
                <w:lang w:eastAsia="zh-CN"/>
              </w:rPr>
            </w:pPr>
            <w:r>
              <w:rPr>
                <w:rFonts w:hint="eastAsia" w:ascii="宋体" w:hAnsi="宋体"/>
                <w:color w:val="auto"/>
                <w:szCs w:val="24"/>
                <w:highlight w:val="yellow"/>
                <w:u w:val="none"/>
              </w:rPr>
              <w:t>【】</w:t>
            </w:r>
          </w:p>
        </w:tc>
      </w:tr>
      <w:tr w14:paraId="141AAFFE">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shd w:val="clear" w:color="auto" w:fill="auto"/>
            <w:vAlign w:val="center"/>
          </w:tcPr>
          <w:p w14:paraId="0E92F4DF">
            <w:pPr>
              <w:widowControl/>
              <w:spacing w:line="400" w:lineRule="exact"/>
              <w:jc w:val="center"/>
              <w:textAlignment w:val="center"/>
              <w:rPr>
                <w:rFonts w:hint="eastAsia" w:ascii="仿宋_GB2312" w:hAnsi="等线" w:cs="仿宋_GB2312"/>
                <w:color w:val="auto"/>
                <w:kern w:val="0"/>
                <w:sz w:val="24"/>
                <w:highlight w:val="none"/>
                <w:lang w:eastAsia="zh-CN" w:bidi="ar"/>
              </w:rPr>
            </w:pPr>
            <w:r>
              <w:rPr>
                <w:rFonts w:hint="eastAsia" w:ascii="仿宋_GB2312" w:hAnsi="等线" w:cs="仿宋_GB2312"/>
                <w:color w:val="000000" w:themeColor="text1"/>
                <w:kern w:val="0"/>
                <w:sz w:val="24"/>
                <w:highlight w:val="yellow"/>
                <w:lang w:eastAsia="zh-CN" w:bidi="ar"/>
                <w14:textFill>
                  <w14:solidFill>
                    <w14:schemeClr w14:val="tx1"/>
                  </w14:solidFill>
                </w14:textFill>
              </w:rPr>
              <w:t>【</w:t>
            </w:r>
            <w:r>
              <w:rPr>
                <w:rFonts w:hint="eastAsia" w:ascii="仿宋_GB2312" w:hAnsi="等线" w:eastAsia="仿宋_GB2312" w:cs="仿宋_GB2312"/>
                <w:color w:val="000000" w:themeColor="text1"/>
                <w:kern w:val="0"/>
                <w:sz w:val="24"/>
                <w:highlight w:val="yellow"/>
                <w:lang w:bidi="ar"/>
                <w14:textFill>
                  <w14:solidFill>
                    <w14:schemeClr w14:val="tx1"/>
                  </w14:solidFill>
                </w14:textFill>
              </w:rPr>
              <w:t>境外托管机构名称</w:t>
            </w:r>
            <w:r>
              <w:rPr>
                <w:rFonts w:hint="eastAsia" w:ascii="仿宋_GB2312" w:hAnsi="等线" w:cs="仿宋_GB2312"/>
                <w:color w:val="000000" w:themeColor="text1"/>
                <w:kern w:val="0"/>
                <w:sz w:val="24"/>
                <w:highlight w:val="yellow"/>
                <w:lang w:eastAsia="zh-CN" w:bidi="ar"/>
                <w14:textFill>
                  <w14:solidFill>
                    <w14:schemeClr w14:val="tx1"/>
                  </w14:solidFill>
                </w14:textFill>
              </w:rPr>
              <w:t>】</w:t>
            </w:r>
          </w:p>
        </w:tc>
        <w:tc>
          <w:tcPr>
            <w:tcW w:w="6972" w:type="dxa"/>
            <w:tcBorders>
              <w:top w:val="single" w:color="auto" w:sz="4" w:space="0"/>
              <w:left w:val="single" w:color="auto" w:sz="4" w:space="0"/>
              <w:bottom w:val="single" w:color="auto" w:sz="4" w:space="0"/>
              <w:right w:val="single" w:color="auto" w:sz="4" w:space="0"/>
            </w:tcBorders>
            <w:shd w:val="clear" w:color="auto" w:fill="auto"/>
            <w:vAlign w:val="center"/>
          </w:tcPr>
          <w:p w14:paraId="330F3679">
            <w:pPr>
              <w:widowControl/>
              <w:jc w:val="left"/>
              <w:rPr>
                <w:rFonts w:hint="eastAsia" w:ascii="宋体" w:hAnsi="宋体"/>
                <w:color w:val="auto"/>
                <w:szCs w:val="24"/>
                <w:highlight w:val="none"/>
                <w:u w:val="none"/>
              </w:rPr>
            </w:pPr>
            <w:r>
              <w:rPr>
                <w:rFonts w:hint="eastAsia" w:ascii="仿宋" w:hAnsi="仿宋" w:eastAsia="仿宋" w:cs="宋体"/>
                <w:bCs/>
                <w:color w:val="000000" w:themeColor="text1"/>
                <w:kern w:val="0"/>
                <w:sz w:val="24"/>
                <w:highlight w:val="yellow"/>
                <w:lang w:eastAsia="zh-CN" w:bidi="ar"/>
                <w14:textFill>
                  <w14:solidFill>
                    <w14:schemeClr w14:val="tx1"/>
                  </w14:solidFill>
                </w14:textFill>
              </w:rPr>
              <w:t>【】</w:t>
            </w:r>
          </w:p>
        </w:tc>
      </w:tr>
      <w:tr w14:paraId="2A47F8A3">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shd w:val="clear" w:color="auto" w:fill="auto"/>
            <w:vAlign w:val="center"/>
          </w:tcPr>
          <w:p w14:paraId="0EE0C7E7">
            <w:pPr>
              <w:widowControl/>
              <w:spacing w:line="400" w:lineRule="exact"/>
              <w:jc w:val="center"/>
              <w:textAlignment w:val="center"/>
              <w:rPr>
                <w:rFonts w:hint="eastAsia" w:ascii="仿宋_GB2312" w:hAnsi="等线" w:eastAsia="仿宋_GB2312" w:cs="仿宋_GB2312"/>
                <w:color w:val="auto"/>
                <w:kern w:val="2"/>
                <w:sz w:val="24"/>
                <w:szCs w:val="22"/>
                <w:highlight w:val="none"/>
                <w:lang w:val="en-US" w:eastAsia="zh-CN" w:bidi="ar-SA"/>
              </w:rPr>
            </w:pPr>
            <w:r>
              <w:rPr>
                <w:rFonts w:hint="eastAsia" w:ascii="仿宋_GB2312" w:hAnsi="等线" w:cs="仿宋_GB2312"/>
                <w:color w:val="auto"/>
                <w:kern w:val="0"/>
                <w:sz w:val="24"/>
                <w:highlight w:val="none"/>
                <w:lang w:eastAsia="zh-CN" w:bidi="ar"/>
              </w:rPr>
              <w:t>投资者范围</w:t>
            </w:r>
          </w:p>
        </w:tc>
        <w:tc>
          <w:tcPr>
            <w:tcW w:w="6972" w:type="dxa"/>
            <w:tcBorders>
              <w:top w:val="single" w:color="auto" w:sz="4" w:space="0"/>
              <w:left w:val="single" w:color="auto" w:sz="4" w:space="0"/>
              <w:bottom w:val="single" w:color="auto" w:sz="4" w:space="0"/>
              <w:right w:val="single" w:color="auto" w:sz="4" w:space="0"/>
            </w:tcBorders>
            <w:shd w:val="clear" w:color="auto" w:fill="auto"/>
            <w:vAlign w:val="center"/>
          </w:tcPr>
          <w:p w14:paraId="15A5B12F">
            <w:pPr>
              <w:snapToGrid w:val="0"/>
              <w:rPr>
                <w:rFonts w:ascii="宋体" w:hAnsi="宋体"/>
                <w:color w:val="auto"/>
                <w:szCs w:val="24"/>
                <w:highlight w:val="none"/>
                <w:u w:val="none"/>
              </w:rPr>
            </w:pPr>
            <w:r>
              <w:rPr>
                <w:rFonts w:hint="eastAsia" w:ascii="宋体" w:hAnsi="宋体"/>
                <w:color w:val="auto"/>
                <w:szCs w:val="24"/>
                <w:highlight w:val="none"/>
                <w:u w:val="none"/>
              </w:rPr>
              <w:t>不特定社会公众（个人、机构投资者）；其中，普通投资者应符合相关法律法规、监管规定，经销售机构评估评定投资者风险承受能力与本产品风险等级相适应。</w:t>
            </w:r>
          </w:p>
          <w:p w14:paraId="60934D2A">
            <w:pPr>
              <w:widowControl/>
              <w:spacing w:line="400" w:lineRule="exact"/>
              <w:jc w:val="left"/>
              <w:textAlignment w:val="center"/>
              <w:rPr>
                <w:rFonts w:hint="eastAsia" w:ascii="仿宋_GB2312" w:hAnsi="等线" w:eastAsia="仿宋_GB2312" w:cs="仿宋_GB2312"/>
                <w:bCs/>
                <w:color w:val="auto"/>
                <w:kern w:val="2"/>
                <w:sz w:val="24"/>
                <w:szCs w:val="22"/>
                <w:highlight w:val="none"/>
                <w:lang w:val="en-US" w:eastAsia="zh-CN" w:bidi="ar-SA"/>
              </w:rPr>
            </w:pPr>
            <w:r>
              <w:rPr>
                <w:rFonts w:hint="eastAsia" w:ascii="宋体" w:hAnsi="宋体"/>
                <w:color w:val="auto"/>
                <w:szCs w:val="24"/>
                <w:highlight w:val="none"/>
                <w:u w:val="none"/>
              </w:rPr>
              <w:t>本产品通过销售机构销售的，产品风险等级应当以销售机构最终披露的评级结果为准。</w:t>
            </w:r>
          </w:p>
        </w:tc>
      </w:tr>
      <w:tr w14:paraId="770218C9">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67898C1">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auto"/>
                <w:kern w:val="0"/>
                <w:sz w:val="24"/>
                <w:highlight w:val="none"/>
                <w:lang w:bidi="ar"/>
              </w:rPr>
              <w:t>销售对象</w:t>
            </w:r>
          </w:p>
        </w:tc>
        <w:tc>
          <w:tcPr>
            <w:tcW w:w="6972" w:type="dxa"/>
            <w:tcBorders>
              <w:top w:val="single" w:color="auto" w:sz="4" w:space="0"/>
              <w:left w:val="single" w:color="auto" w:sz="4" w:space="0"/>
              <w:bottom w:val="single" w:color="auto" w:sz="4" w:space="0"/>
              <w:right w:val="single" w:color="auto" w:sz="4" w:space="0"/>
            </w:tcBorders>
            <w:vAlign w:val="center"/>
          </w:tcPr>
          <w:p w14:paraId="1DA4C5ED">
            <w:pPr>
              <w:widowControl/>
              <w:spacing w:line="400" w:lineRule="exact"/>
              <w:jc w:val="left"/>
              <w:textAlignment w:val="center"/>
              <w:rPr>
                <w:rFonts w:hint="eastAsia" w:ascii="仿宋_GB2312" w:hAnsi="宋体" w:cs="宋体"/>
                <w:bCs/>
                <w:color w:val="auto"/>
                <w:kern w:val="0"/>
                <w:szCs w:val="24"/>
                <w:highlight w:val="none"/>
                <w:lang w:val="en-US" w:eastAsia="zh-CN"/>
              </w:rPr>
            </w:pPr>
          </w:p>
          <w:tbl>
            <w:tblPr>
              <w:tblStyle w:val="8"/>
              <w:tblW w:w="6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9"/>
              <w:gridCol w:w="2386"/>
              <w:gridCol w:w="2721"/>
            </w:tblGrid>
            <w:tr w14:paraId="4C83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9" w:type="dxa"/>
                </w:tcPr>
                <w:p w14:paraId="7E22DE10">
                  <w:pPr>
                    <w:widowControl/>
                    <w:spacing w:line="400" w:lineRule="exact"/>
                    <w:jc w:val="center"/>
                    <w:textAlignment w:val="center"/>
                    <w:rPr>
                      <w:rFonts w:hint="eastAsia" w:eastAsia="仿宋_GB2312"/>
                      <w:color w:val="auto"/>
                      <w:highlight w:val="none"/>
                      <w:vertAlign w:val="baseline"/>
                      <w:lang w:eastAsia="zh-CN"/>
                    </w:rPr>
                  </w:pPr>
                  <w:r>
                    <w:rPr>
                      <w:rFonts w:hint="eastAsia"/>
                      <w:color w:val="auto"/>
                      <w:highlight w:val="none"/>
                      <w:vertAlign w:val="baseline"/>
                      <w:lang w:eastAsia="zh-CN"/>
                    </w:rPr>
                    <w:t>份额代码</w:t>
                  </w:r>
                </w:p>
              </w:tc>
              <w:tc>
                <w:tcPr>
                  <w:tcW w:w="2386" w:type="dxa"/>
                </w:tcPr>
                <w:p w14:paraId="71C0649B">
                  <w:pPr>
                    <w:widowControl/>
                    <w:spacing w:line="400" w:lineRule="exact"/>
                    <w:jc w:val="center"/>
                    <w:textAlignment w:val="center"/>
                    <w:rPr>
                      <w:rFonts w:hint="eastAsia" w:eastAsia="仿宋_GB2312"/>
                      <w:color w:val="auto"/>
                      <w:highlight w:val="none"/>
                      <w:vertAlign w:val="baseline"/>
                      <w:lang w:eastAsia="zh-CN"/>
                    </w:rPr>
                  </w:pPr>
                  <w:r>
                    <w:rPr>
                      <w:rFonts w:hint="eastAsia"/>
                      <w:color w:val="auto"/>
                      <w:highlight w:val="none"/>
                      <w:vertAlign w:val="baseline"/>
                      <w:lang w:eastAsia="zh-CN"/>
                    </w:rPr>
                    <w:t>销售对象</w:t>
                  </w:r>
                </w:p>
              </w:tc>
              <w:tc>
                <w:tcPr>
                  <w:tcW w:w="2721" w:type="dxa"/>
                </w:tcPr>
                <w:p w14:paraId="70403709">
                  <w:pPr>
                    <w:widowControl/>
                    <w:spacing w:line="400" w:lineRule="exact"/>
                    <w:jc w:val="center"/>
                    <w:textAlignment w:val="center"/>
                    <w:rPr>
                      <w:rFonts w:hint="eastAsia" w:eastAsia="仿宋_GB2312"/>
                      <w:color w:val="auto"/>
                      <w:highlight w:val="none"/>
                      <w:vertAlign w:val="baseline"/>
                      <w:lang w:eastAsia="zh-CN"/>
                    </w:rPr>
                  </w:pPr>
                  <w:r>
                    <w:rPr>
                      <w:rFonts w:hint="eastAsia"/>
                      <w:color w:val="auto"/>
                      <w:highlight w:val="none"/>
                      <w:vertAlign w:val="baseline"/>
                      <w:lang w:eastAsia="zh-CN"/>
                    </w:rPr>
                    <w:t>销售机构</w:t>
                  </w:r>
                </w:p>
              </w:tc>
            </w:tr>
            <w:tr w14:paraId="2A79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9" w:type="dxa"/>
                </w:tcPr>
                <w:p w14:paraId="48BA6DFB">
                  <w:pPr>
                    <w:widowControl/>
                    <w:spacing w:line="400" w:lineRule="exact"/>
                    <w:jc w:val="center"/>
                    <w:textAlignment w:val="center"/>
                    <w:rPr>
                      <w:color w:val="auto"/>
                      <w:highlight w:val="none"/>
                      <w:vertAlign w:val="baseline"/>
                    </w:rPr>
                  </w:pPr>
                  <w:r>
                    <w:rPr>
                      <w:rFonts w:hint="eastAsia" w:ascii="宋体" w:hAnsi="宋体"/>
                      <w:color w:val="auto"/>
                      <w:szCs w:val="24"/>
                      <w:highlight w:val="none"/>
                    </w:rPr>
                    <w:t>MQ6M01</w:t>
                  </w:r>
                </w:p>
              </w:tc>
              <w:tc>
                <w:tcPr>
                  <w:tcW w:w="2386" w:type="dxa"/>
                </w:tcPr>
                <w:p w14:paraId="460C856B">
                  <w:pPr>
                    <w:widowControl/>
                    <w:spacing w:line="400" w:lineRule="exact"/>
                    <w:jc w:val="center"/>
                    <w:textAlignment w:val="center"/>
                    <w:rPr>
                      <w:rFonts w:hint="eastAsia" w:eastAsia="仿宋_GB2312"/>
                      <w:color w:val="auto"/>
                      <w:highlight w:val="none"/>
                      <w:vertAlign w:val="baseline"/>
                      <w:lang w:eastAsia="zh-CN"/>
                    </w:rPr>
                  </w:pPr>
                  <w:r>
                    <w:rPr>
                      <w:rFonts w:hint="eastAsia"/>
                      <w:color w:val="auto"/>
                      <w:highlight w:val="none"/>
                      <w:vertAlign w:val="baseline"/>
                      <w:lang w:eastAsia="zh-CN"/>
                    </w:rPr>
                    <w:t>个人、机构客户</w:t>
                  </w:r>
                </w:p>
              </w:tc>
              <w:tc>
                <w:tcPr>
                  <w:tcW w:w="2721" w:type="dxa"/>
                </w:tcPr>
                <w:p w14:paraId="330AFD6C">
                  <w:pPr>
                    <w:widowControl/>
                    <w:spacing w:line="400" w:lineRule="exact"/>
                    <w:jc w:val="center"/>
                    <w:textAlignment w:val="center"/>
                    <w:rPr>
                      <w:color w:val="auto"/>
                      <w:highlight w:val="none"/>
                      <w:vertAlign w:val="baseline"/>
                    </w:rPr>
                  </w:pPr>
                  <w:r>
                    <w:rPr>
                      <w:rFonts w:hint="eastAsia" w:ascii="宋体" w:hAnsi="宋体" w:cs="宋体"/>
                      <w:color w:val="auto"/>
                      <w:kern w:val="0"/>
                      <w:szCs w:val="24"/>
                      <w:highlight w:val="none"/>
                      <w:lang w:val="en-US" w:eastAsia="zh-CN"/>
                    </w:rPr>
                    <w:t>浙商银行股份有限公司</w:t>
                  </w:r>
                </w:p>
              </w:tc>
            </w:tr>
          </w:tbl>
          <w:p w14:paraId="3D5F2F9F">
            <w:pPr>
              <w:widowControl/>
              <w:spacing w:line="400" w:lineRule="exact"/>
              <w:jc w:val="left"/>
              <w:textAlignment w:val="center"/>
              <w:rPr>
                <w:rFonts w:hint="eastAsia"/>
                <w:color w:val="auto"/>
                <w:highlight w:val="none"/>
                <w:lang w:eastAsia="zh-CN"/>
              </w:rPr>
            </w:pPr>
          </w:p>
        </w:tc>
      </w:tr>
      <w:tr w14:paraId="68D796F7">
        <w:tblPrEx>
          <w:tblCellMar>
            <w:top w:w="0" w:type="dxa"/>
            <w:left w:w="108" w:type="dxa"/>
            <w:bottom w:w="0" w:type="dxa"/>
            <w:right w:w="108" w:type="dxa"/>
          </w:tblCellMar>
        </w:tblPrEx>
        <w:trPr>
          <w:trHeight w:val="38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1D8DD0F9">
            <w:pPr>
              <w:widowControl/>
              <w:spacing w:line="400" w:lineRule="exact"/>
              <w:jc w:val="center"/>
              <w:textAlignment w:val="center"/>
              <w:rPr>
                <w:rFonts w:hint="eastAsia" w:ascii="楷体_GB2312" w:hAnsi="等线" w:eastAsia="楷体_GB2312" w:cs="楷体_GB2312"/>
                <w:b/>
                <w:bCs/>
                <w:color w:val="auto"/>
                <w:sz w:val="24"/>
                <w:highlight w:val="none"/>
              </w:rPr>
            </w:pPr>
            <w:r>
              <w:rPr>
                <w:rFonts w:hint="eastAsia" w:ascii="楷体_GB2312" w:hAnsi="等线" w:eastAsia="楷体_GB2312" w:cs="楷体_GB2312"/>
                <w:b/>
                <w:bCs/>
                <w:color w:val="auto"/>
                <w:kern w:val="0"/>
                <w:sz w:val="24"/>
                <w:highlight w:val="none"/>
                <w:lang w:bidi="ar"/>
              </w:rPr>
              <w:t>（二）交易规则</w:t>
            </w:r>
          </w:p>
        </w:tc>
      </w:tr>
      <w:tr w14:paraId="487AC774">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8AE0CDA">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募集币种</w:t>
            </w:r>
          </w:p>
        </w:tc>
        <w:tc>
          <w:tcPr>
            <w:tcW w:w="6972" w:type="dxa"/>
            <w:tcBorders>
              <w:top w:val="single" w:color="auto" w:sz="4" w:space="0"/>
              <w:left w:val="single" w:color="auto" w:sz="4" w:space="0"/>
              <w:bottom w:val="single" w:color="auto" w:sz="4" w:space="0"/>
              <w:right w:val="single" w:color="auto" w:sz="4" w:space="0"/>
            </w:tcBorders>
            <w:vAlign w:val="center"/>
          </w:tcPr>
          <w:p w14:paraId="19E6BC3C">
            <w:pPr>
              <w:widowControl/>
              <w:spacing w:line="400" w:lineRule="exact"/>
              <w:jc w:val="left"/>
              <w:textAlignment w:val="center"/>
              <w:rPr>
                <w:rFonts w:hint="eastAsia" w:ascii="仿宋_GB2312" w:hAnsi="等线" w:eastAsia="仿宋_GB2312" w:cs="仿宋_GB2312"/>
                <w:bCs/>
                <w:color w:val="auto"/>
                <w:sz w:val="24"/>
                <w:highlight w:val="none"/>
                <w:lang w:eastAsia="zh-CN"/>
              </w:rPr>
            </w:pPr>
            <w:r>
              <w:rPr>
                <w:rFonts w:hint="eastAsia" w:ascii="宋体" w:hAnsi="宋体" w:cstheme="minorBidi"/>
                <w:bCs w:val="0"/>
                <w:color w:val="auto"/>
                <w:kern w:val="2"/>
                <w:sz w:val="24"/>
                <w:szCs w:val="24"/>
                <w:highlight w:val="yellow"/>
                <w:u w:val="none"/>
                <w:lang w:eastAsia="zh-CN" w:bidi="ar"/>
              </w:rPr>
              <w:t>【人民币】</w:t>
            </w:r>
          </w:p>
        </w:tc>
      </w:tr>
      <w:tr w14:paraId="5628508B">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8135FB9">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起点销售金额</w:t>
            </w:r>
          </w:p>
        </w:tc>
        <w:tc>
          <w:tcPr>
            <w:tcW w:w="6972" w:type="dxa"/>
            <w:tcBorders>
              <w:top w:val="single" w:color="auto" w:sz="4" w:space="0"/>
              <w:left w:val="single" w:color="auto" w:sz="4" w:space="0"/>
              <w:bottom w:val="single" w:color="auto" w:sz="4" w:space="0"/>
              <w:right w:val="single" w:color="auto" w:sz="4" w:space="0"/>
            </w:tcBorders>
            <w:vAlign w:val="center"/>
          </w:tcPr>
          <w:p w14:paraId="6F444D1C">
            <w:pPr>
              <w:widowControl/>
              <w:spacing w:line="400" w:lineRule="exact"/>
              <w:jc w:val="left"/>
              <w:textAlignment w:val="center"/>
              <w:rPr>
                <w:rFonts w:hint="default" w:ascii="宋体" w:hAnsi="宋体"/>
                <w:color w:val="auto"/>
                <w:szCs w:val="24"/>
                <w:highlight w:val="none"/>
                <w:u w:val="none"/>
                <w:lang w:val="en-US" w:eastAsia="zh-CN"/>
              </w:rPr>
            </w:pPr>
            <w:r>
              <w:rPr>
                <w:rFonts w:hint="eastAsia" w:ascii="宋体" w:hAnsi="宋体" w:cstheme="minorBidi"/>
                <w:bCs w:val="0"/>
                <w:color w:val="auto"/>
                <w:kern w:val="2"/>
                <w:sz w:val="24"/>
                <w:szCs w:val="24"/>
                <w:highlight w:val="yellow"/>
                <w:u w:val="none"/>
                <w:lang w:eastAsia="zh-CN" w:bidi="ar"/>
              </w:rPr>
              <w:t>【份额代码】</w:t>
            </w:r>
            <w:r>
              <w:rPr>
                <w:rFonts w:hint="eastAsia" w:ascii="宋体" w:hAnsi="宋体"/>
                <w:color w:val="auto"/>
                <w:szCs w:val="24"/>
                <w:highlight w:val="none"/>
                <w:u w:val="none"/>
                <w:lang w:val="en-US" w:eastAsia="zh-CN"/>
              </w:rPr>
              <w:t>：</w:t>
            </w:r>
            <w:r>
              <w:rPr>
                <w:rFonts w:hint="eastAsia" w:ascii="宋体" w:hAnsi="宋体" w:cstheme="minorBidi"/>
                <w:bCs w:val="0"/>
                <w:color w:val="auto"/>
                <w:kern w:val="2"/>
                <w:sz w:val="24"/>
                <w:szCs w:val="24"/>
                <w:highlight w:val="yellow"/>
                <w:u w:val="none"/>
                <w:lang w:eastAsia="zh-CN" w:bidi="ar"/>
              </w:rPr>
              <w:t>【】</w:t>
            </w:r>
            <w:r>
              <w:rPr>
                <w:rFonts w:hint="eastAsia" w:ascii="宋体" w:hAnsi="宋体"/>
                <w:color w:val="auto"/>
                <w:szCs w:val="24"/>
                <w:highlight w:val="none"/>
                <w:u w:val="none"/>
                <w:lang w:val="en-US" w:eastAsia="zh-CN"/>
              </w:rPr>
              <w:t>元</w:t>
            </w:r>
          </w:p>
          <w:p w14:paraId="73E40853">
            <w:pPr>
              <w:widowControl/>
              <w:spacing w:line="400" w:lineRule="exact"/>
              <w:jc w:val="left"/>
              <w:textAlignment w:val="center"/>
              <w:rPr>
                <w:rFonts w:hint="default" w:ascii="宋体" w:hAnsi="宋体"/>
                <w:color w:val="auto"/>
                <w:szCs w:val="24"/>
                <w:highlight w:val="none"/>
                <w:u w:val="none"/>
                <w:lang w:val="en-US" w:eastAsia="zh-CN"/>
              </w:rPr>
            </w:pPr>
            <w:r>
              <w:rPr>
                <w:rFonts w:hint="eastAsia" w:ascii="宋体" w:hAnsi="宋体"/>
                <w:b/>
                <w:color w:val="auto"/>
                <w:szCs w:val="24"/>
                <w:highlight w:val="none"/>
                <w:u w:val="none"/>
              </w:rPr>
              <w:t>管理人有权以公告形式调整投资者起点</w:t>
            </w:r>
            <w:r>
              <w:rPr>
                <w:rFonts w:hint="eastAsia" w:ascii="宋体" w:hAnsi="宋体"/>
                <w:b/>
                <w:color w:val="auto"/>
                <w:szCs w:val="24"/>
                <w:highlight w:val="none"/>
                <w:u w:val="none"/>
                <w:lang w:eastAsia="zh-CN"/>
              </w:rPr>
              <w:t>销售</w:t>
            </w:r>
            <w:r>
              <w:rPr>
                <w:rFonts w:hint="eastAsia" w:ascii="宋体" w:hAnsi="宋体"/>
                <w:b/>
                <w:color w:val="auto"/>
                <w:szCs w:val="24"/>
                <w:highlight w:val="none"/>
                <w:u w:val="none"/>
              </w:rPr>
              <w:t>金额。销售机构的认购、申购起点</w:t>
            </w:r>
            <w:r>
              <w:rPr>
                <w:rFonts w:hint="eastAsia" w:ascii="宋体" w:hAnsi="宋体"/>
                <w:b/>
                <w:color w:val="auto"/>
                <w:szCs w:val="24"/>
                <w:highlight w:val="none"/>
                <w:u w:val="none"/>
                <w:lang w:eastAsia="zh-CN"/>
              </w:rPr>
              <w:t>销售</w:t>
            </w:r>
            <w:r>
              <w:rPr>
                <w:rFonts w:hint="eastAsia" w:ascii="宋体" w:hAnsi="宋体"/>
                <w:b/>
                <w:color w:val="auto"/>
                <w:szCs w:val="24"/>
                <w:highlight w:val="none"/>
                <w:u w:val="none"/>
              </w:rPr>
              <w:t>金额可能</w:t>
            </w:r>
            <w:r>
              <w:rPr>
                <w:rFonts w:ascii="宋体" w:hAnsi="宋体"/>
                <w:b/>
                <w:color w:val="auto"/>
                <w:szCs w:val="24"/>
                <w:highlight w:val="none"/>
                <w:u w:val="none"/>
              </w:rPr>
              <w:t>与本</w:t>
            </w:r>
            <w:r>
              <w:rPr>
                <w:rFonts w:hint="eastAsia" w:ascii="宋体" w:hAnsi="宋体"/>
                <w:b/>
                <w:color w:val="auto"/>
                <w:szCs w:val="24"/>
                <w:highlight w:val="none"/>
                <w:u w:val="none"/>
              </w:rPr>
              <w:t>产品</w:t>
            </w:r>
            <w:r>
              <w:rPr>
                <w:rFonts w:ascii="宋体" w:hAnsi="宋体"/>
                <w:b/>
                <w:color w:val="auto"/>
                <w:szCs w:val="24"/>
                <w:highlight w:val="none"/>
                <w:u w:val="none"/>
              </w:rPr>
              <w:t>说明书</w:t>
            </w:r>
            <w:r>
              <w:rPr>
                <w:rFonts w:hint="eastAsia" w:ascii="宋体" w:hAnsi="宋体"/>
                <w:b/>
                <w:color w:val="auto"/>
                <w:szCs w:val="24"/>
                <w:highlight w:val="none"/>
                <w:u w:val="none"/>
              </w:rPr>
              <w:t>不一致</w:t>
            </w:r>
            <w:r>
              <w:rPr>
                <w:rFonts w:ascii="宋体" w:hAnsi="宋体"/>
                <w:b/>
                <w:color w:val="auto"/>
                <w:szCs w:val="24"/>
                <w:highlight w:val="none"/>
                <w:u w:val="none"/>
              </w:rPr>
              <w:t>，</w:t>
            </w:r>
            <w:r>
              <w:rPr>
                <w:rFonts w:hint="eastAsia" w:ascii="宋体" w:hAnsi="宋体"/>
                <w:b/>
                <w:color w:val="auto"/>
                <w:szCs w:val="24"/>
                <w:highlight w:val="none"/>
                <w:u w:val="none"/>
              </w:rPr>
              <w:t>通过销售机构认购、申购</w:t>
            </w:r>
            <w:r>
              <w:rPr>
                <w:rFonts w:ascii="宋体" w:hAnsi="宋体"/>
                <w:b/>
                <w:color w:val="auto"/>
                <w:szCs w:val="24"/>
                <w:highlight w:val="none"/>
                <w:u w:val="none"/>
              </w:rPr>
              <w:t>的</w:t>
            </w:r>
            <w:r>
              <w:rPr>
                <w:rFonts w:hint="eastAsia" w:ascii="宋体" w:hAnsi="宋体"/>
                <w:b/>
                <w:color w:val="auto"/>
                <w:szCs w:val="24"/>
                <w:highlight w:val="none"/>
                <w:u w:val="none"/>
              </w:rPr>
              <w:t>具体以销售机构展示为准。销售机构的实际起点销售金额，不得低于本产品说明书约定的起点销售金额。</w:t>
            </w:r>
          </w:p>
        </w:tc>
      </w:tr>
      <w:tr w14:paraId="0EB333DA">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75CF789">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追加递增金额</w:t>
            </w:r>
          </w:p>
        </w:tc>
        <w:tc>
          <w:tcPr>
            <w:tcW w:w="6972" w:type="dxa"/>
            <w:tcBorders>
              <w:top w:val="single" w:color="auto" w:sz="4" w:space="0"/>
              <w:left w:val="single" w:color="auto" w:sz="4" w:space="0"/>
              <w:bottom w:val="single" w:color="auto" w:sz="4" w:space="0"/>
              <w:right w:val="single" w:color="auto" w:sz="4" w:space="0"/>
            </w:tcBorders>
            <w:vAlign w:val="center"/>
          </w:tcPr>
          <w:p w14:paraId="1AA7F83B">
            <w:pPr>
              <w:widowControl/>
              <w:spacing w:line="400" w:lineRule="exact"/>
              <w:jc w:val="left"/>
              <w:textAlignment w:val="center"/>
              <w:rPr>
                <w:rFonts w:hint="eastAsia" w:ascii="仿宋_GB2312" w:hAnsi="等线" w:eastAsia="仿宋_GB2312" w:cs="仿宋_GB2312"/>
                <w:bCs/>
                <w:color w:val="auto"/>
                <w:sz w:val="24"/>
                <w:highlight w:val="none"/>
                <w:lang w:eastAsia="zh-CN"/>
              </w:rPr>
            </w:pPr>
            <w:r>
              <w:rPr>
                <w:rFonts w:hint="eastAsia" w:ascii="宋体" w:hAnsi="宋体" w:cstheme="minorBidi"/>
                <w:bCs w:val="0"/>
                <w:color w:val="auto"/>
                <w:kern w:val="2"/>
                <w:sz w:val="24"/>
                <w:szCs w:val="24"/>
                <w:highlight w:val="yellow"/>
                <w:u w:val="none"/>
                <w:lang w:eastAsia="zh-CN" w:bidi="ar"/>
              </w:rPr>
              <w:t>【份额代码】</w:t>
            </w:r>
            <w:r>
              <w:rPr>
                <w:rFonts w:hint="eastAsia" w:ascii="宋体" w:hAnsi="宋体"/>
                <w:color w:val="auto"/>
                <w:szCs w:val="24"/>
                <w:highlight w:val="none"/>
                <w:u w:val="none"/>
                <w:lang w:val="en-US" w:eastAsia="zh-CN"/>
              </w:rPr>
              <w:t>：</w:t>
            </w:r>
            <w:r>
              <w:rPr>
                <w:rFonts w:hint="eastAsia" w:ascii="宋体" w:hAnsi="宋体" w:cstheme="minorBidi"/>
                <w:bCs w:val="0"/>
                <w:color w:val="auto"/>
                <w:kern w:val="2"/>
                <w:sz w:val="24"/>
                <w:szCs w:val="24"/>
                <w:highlight w:val="yellow"/>
                <w:u w:val="none"/>
                <w:lang w:eastAsia="zh-CN" w:bidi="ar"/>
              </w:rPr>
              <w:t>【】</w:t>
            </w:r>
            <w:r>
              <w:rPr>
                <w:rFonts w:hint="eastAsia" w:ascii="宋体" w:hAnsi="宋体"/>
                <w:color w:val="auto"/>
                <w:szCs w:val="24"/>
                <w:highlight w:val="none"/>
                <w:u w:val="none"/>
                <w:lang w:val="en-US" w:eastAsia="zh-CN"/>
              </w:rPr>
              <w:t>元</w:t>
            </w:r>
          </w:p>
        </w:tc>
      </w:tr>
      <w:tr w14:paraId="3A1E5862">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6FD300D">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计划募集金额</w:t>
            </w:r>
          </w:p>
        </w:tc>
        <w:tc>
          <w:tcPr>
            <w:tcW w:w="6972" w:type="dxa"/>
            <w:tcBorders>
              <w:top w:val="single" w:color="auto" w:sz="4" w:space="0"/>
              <w:left w:val="single" w:color="auto" w:sz="4" w:space="0"/>
              <w:bottom w:val="single" w:color="auto" w:sz="4" w:space="0"/>
              <w:right w:val="single" w:color="auto" w:sz="4" w:space="0"/>
            </w:tcBorders>
            <w:vAlign w:val="center"/>
          </w:tcPr>
          <w:p w14:paraId="3546B3E9">
            <w:pPr>
              <w:widowControl/>
              <w:spacing w:line="400" w:lineRule="exact"/>
              <w:jc w:val="left"/>
              <w:textAlignment w:val="center"/>
              <w:rPr>
                <w:rFonts w:hint="eastAsia" w:ascii="宋体" w:hAnsi="宋体"/>
                <w:color w:val="auto"/>
                <w:szCs w:val="24"/>
                <w:highlight w:val="none"/>
                <w:u w:val="none"/>
                <w:lang w:val="en-US" w:eastAsia="zh-CN"/>
              </w:rPr>
            </w:pPr>
            <w:r>
              <w:rPr>
                <w:rFonts w:hint="eastAsia" w:ascii="宋体" w:hAnsi="宋体" w:cstheme="minorBidi"/>
                <w:bCs w:val="0"/>
                <w:color w:val="auto"/>
                <w:kern w:val="2"/>
                <w:sz w:val="24"/>
                <w:szCs w:val="24"/>
                <w:highlight w:val="yellow"/>
                <w:u w:val="none"/>
                <w:lang w:eastAsia="zh-CN" w:bidi="ar"/>
              </w:rPr>
              <w:t>【】</w:t>
            </w:r>
            <w:r>
              <w:rPr>
                <w:rFonts w:hint="eastAsia" w:ascii="宋体" w:hAnsi="宋体"/>
                <w:color w:val="auto"/>
                <w:szCs w:val="24"/>
                <w:highlight w:val="none"/>
                <w:u w:val="none"/>
                <w:lang w:val="en-US" w:eastAsia="zh-CN"/>
              </w:rPr>
              <w:t>亿元。</w:t>
            </w:r>
          </w:p>
          <w:p w14:paraId="72AE0C61">
            <w:pPr>
              <w:widowControl/>
              <w:spacing w:line="400" w:lineRule="exact"/>
              <w:jc w:val="left"/>
              <w:textAlignment w:val="center"/>
              <w:rPr>
                <w:rFonts w:hint="eastAsia" w:ascii="宋体" w:hAnsi="宋体"/>
                <w:color w:val="auto"/>
                <w:szCs w:val="24"/>
                <w:highlight w:val="none"/>
                <w:u w:val="none"/>
                <w:lang w:val="en-US" w:eastAsia="zh-CN"/>
              </w:rPr>
            </w:pPr>
            <w:r>
              <w:rPr>
                <w:rFonts w:hint="eastAsia"/>
                <w:b/>
                <w:bCs/>
                <w:color w:val="auto"/>
                <w:szCs w:val="24"/>
                <w:highlight w:val="none"/>
                <w:u w:val="none"/>
              </w:rPr>
              <w:t>管理人有权根据实际需要调整</w:t>
            </w:r>
            <w:r>
              <w:rPr>
                <w:rFonts w:hint="eastAsia"/>
                <w:b/>
                <w:bCs/>
                <w:color w:val="auto"/>
                <w:szCs w:val="24"/>
                <w:highlight w:val="none"/>
                <w:u w:val="none"/>
                <w:lang w:eastAsia="zh-CN"/>
              </w:rPr>
              <w:t>计划募集金额</w:t>
            </w:r>
            <w:r>
              <w:rPr>
                <w:rFonts w:hint="eastAsia"/>
                <w:b/>
                <w:bCs/>
                <w:color w:val="auto"/>
                <w:szCs w:val="24"/>
                <w:highlight w:val="none"/>
                <w:u w:val="none"/>
              </w:rPr>
              <w:t>上限。</w:t>
            </w:r>
          </w:p>
        </w:tc>
      </w:tr>
      <w:tr w14:paraId="392A5C0C">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59EB15C">
            <w:pPr>
              <w:snapToGrid w:val="0"/>
              <w:ind w:left="-140" w:leftChars="-74" w:hanging="15" w:firstLineChars="0"/>
              <w:jc w:val="center"/>
              <w:rPr>
                <w:rFonts w:hint="eastAsia" w:ascii="宋体" w:hAnsi="宋体"/>
                <w:color w:val="auto"/>
                <w:szCs w:val="24"/>
                <w:highlight w:val="none"/>
                <w:u w:val="none"/>
              </w:rPr>
            </w:pPr>
            <w:r>
              <w:rPr>
                <w:rFonts w:hint="eastAsia" w:ascii="宋体" w:hAnsi="宋体"/>
                <w:color w:val="auto"/>
                <w:kern w:val="0"/>
                <w:szCs w:val="24"/>
                <w:highlight w:val="none"/>
              </w:rPr>
              <w:t>产品</w:t>
            </w:r>
            <w:r>
              <w:rPr>
                <w:rFonts w:hint="eastAsia" w:ascii="宋体" w:hAnsi="宋体"/>
                <w:color w:val="auto"/>
                <w:kern w:val="0"/>
                <w:szCs w:val="24"/>
                <w:highlight w:val="none"/>
                <w:lang w:eastAsia="zh-CN"/>
              </w:rPr>
              <w:t>募集期</w:t>
            </w:r>
            <w:r>
              <w:rPr>
                <w:rFonts w:hint="eastAsia" w:ascii="宋体" w:hAnsi="宋体"/>
                <w:color w:val="auto"/>
                <w:kern w:val="0"/>
                <w:szCs w:val="24"/>
                <w:highlight w:val="none"/>
              </w:rPr>
              <w:t>规模上限</w:t>
            </w:r>
          </w:p>
        </w:tc>
        <w:tc>
          <w:tcPr>
            <w:tcW w:w="6972" w:type="dxa"/>
            <w:tcBorders>
              <w:top w:val="single" w:color="auto" w:sz="4" w:space="0"/>
              <w:left w:val="single" w:color="auto" w:sz="4" w:space="0"/>
              <w:bottom w:val="single" w:color="auto" w:sz="4" w:space="0"/>
              <w:right w:val="single" w:color="auto" w:sz="4" w:space="0"/>
            </w:tcBorders>
            <w:vAlign w:val="center"/>
          </w:tcPr>
          <w:p w14:paraId="3A2520BF">
            <w:pPr>
              <w:widowControl/>
              <w:tabs>
                <w:tab w:val="left" w:pos="709"/>
              </w:tabs>
              <w:snapToGrid w:val="0"/>
              <w:rPr>
                <w:rFonts w:hint="eastAsia" w:ascii="宋体" w:hAnsi="宋体"/>
                <w:color w:val="auto"/>
                <w:szCs w:val="24"/>
                <w:highlight w:val="none"/>
              </w:rPr>
            </w:pPr>
            <w:r>
              <w:rPr>
                <w:rFonts w:hint="eastAsia" w:ascii="宋体" w:hAnsi="宋体"/>
                <w:color w:val="auto"/>
                <w:kern w:val="0"/>
                <w:szCs w:val="24"/>
                <w:highlight w:val="none"/>
              </w:rPr>
              <w:t>产品募集期规模上限</w:t>
            </w:r>
            <w:r>
              <w:rPr>
                <w:rFonts w:hint="eastAsia" w:ascii="宋体" w:hAnsi="宋体"/>
                <w:color w:val="auto"/>
                <w:kern w:val="0"/>
                <w:szCs w:val="24"/>
                <w:highlight w:val="yellow"/>
                <w:lang w:eastAsia="zh-CN"/>
              </w:rPr>
              <w:t>【</w:t>
            </w:r>
            <w:r>
              <w:rPr>
                <w:rFonts w:hint="eastAsia" w:ascii="宋体" w:hAnsi="宋体"/>
                <w:b/>
                <w:color w:val="auto"/>
                <w:kern w:val="0"/>
                <w:szCs w:val="24"/>
                <w:highlight w:val="yellow"/>
                <w:lang w:eastAsia="zh-CN"/>
              </w:rPr>
              <w:t>】</w:t>
            </w:r>
            <w:r>
              <w:rPr>
                <w:rFonts w:hint="eastAsia" w:ascii="宋体" w:hAnsi="宋体"/>
                <w:b/>
                <w:color w:val="auto"/>
                <w:kern w:val="0"/>
                <w:szCs w:val="24"/>
                <w:highlight w:val="none"/>
              </w:rPr>
              <w:t>亿元</w:t>
            </w:r>
            <w:r>
              <w:rPr>
                <w:rFonts w:hint="eastAsia" w:ascii="宋体" w:hAnsi="宋体"/>
                <w:color w:val="auto"/>
                <w:kern w:val="0"/>
                <w:szCs w:val="24"/>
                <w:highlight w:val="none"/>
              </w:rPr>
              <w:t>。若募集期产品认购金额达到产品规</w:t>
            </w:r>
            <w:r>
              <w:rPr>
                <w:rFonts w:hint="eastAsia" w:ascii="宋体" w:hAnsi="宋体"/>
                <w:color w:val="auto"/>
                <w:szCs w:val="24"/>
                <w:highlight w:val="none"/>
              </w:rPr>
              <w:t>模上限，则浙银理财有权停止产品的认购交易，对于超出产品规模上限的部分，浙银理财有权不进行确认。</w:t>
            </w:r>
          </w:p>
          <w:p w14:paraId="0B8E5FAB">
            <w:pPr>
              <w:widowControl/>
              <w:tabs>
                <w:tab w:val="left" w:pos="709"/>
              </w:tabs>
              <w:snapToGrid w:val="0"/>
              <w:rPr>
                <w:rFonts w:hint="eastAsia"/>
                <w:color w:val="auto"/>
                <w:szCs w:val="24"/>
                <w:highlight w:val="none"/>
                <w:u w:val="none"/>
              </w:rPr>
            </w:pPr>
            <w:r>
              <w:rPr>
                <w:rFonts w:hint="eastAsia" w:ascii="宋体" w:hAnsi="宋体"/>
                <w:color w:val="auto"/>
                <w:szCs w:val="24"/>
                <w:highlight w:val="none"/>
              </w:rPr>
              <w:t>管理人有权根据产品实际运作情况调整产品存续期间的规模上限，具体以</w:t>
            </w:r>
            <w:r>
              <w:rPr>
                <w:rFonts w:hint="eastAsia" w:ascii="宋体" w:hAnsi="宋体"/>
                <w:color w:val="auto"/>
                <w:szCs w:val="24"/>
                <w:highlight w:val="none"/>
                <w:lang w:val="en-US" w:eastAsia="zh-CN"/>
              </w:rPr>
              <w:t>管理人公告</w:t>
            </w:r>
            <w:r>
              <w:rPr>
                <w:rFonts w:hint="eastAsia" w:ascii="宋体" w:hAnsi="宋体"/>
                <w:color w:val="auto"/>
                <w:szCs w:val="24"/>
                <w:highlight w:val="none"/>
              </w:rPr>
              <w:t>为准。</w:t>
            </w:r>
          </w:p>
        </w:tc>
      </w:tr>
      <w:tr w14:paraId="2D1C07C6">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BE99545">
            <w:pPr>
              <w:snapToGrid w:val="0"/>
              <w:ind w:left="-140" w:leftChars="-74" w:hanging="15" w:firstLineChars="0"/>
              <w:jc w:val="center"/>
              <w:rPr>
                <w:rFonts w:hint="eastAsia" w:ascii="仿宋_GB2312" w:hAnsi="等线" w:eastAsia="仿宋_GB2312" w:cs="仿宋_GB2312"/>
                <w:color w:val="auto"/>
                <w:kern w:val="0"/>
                <w:sz w:val="24"/>
                <w:highlight w:val="none"/>
                <w:lang w:bidi="ar"/>
              </w:rPr>
            </w:pPr>
            <w:r>
              <w:rPr>
                <w:rFonts w:hint="eastAsia" w:ascii="宋体" w:hAnsi="宋体"/>
                <w:color w:val="auto"/>
                <w:szCs w:val="24"/>
                <w:highlight w:val="none"/>
                <w:u w:val="none"/>
              </w:rPr>
              <w:t>产品最低成立规模</w:t>
            </w:r>
          </w:p>
        </w:tc>
        <w:tc>
          <w:tcPr>
            <w:tcW w:w="6972" w:type="dxa"/>
            <w:tcBorders>
              <w:top w:val="single" w:color="auto" w:sz="4" w:space="0"/>
              <w:left w:val="single" w:color="auto" w:sz="4" w:space="0"/>
              <w:bottom w:val="single" w:color="auto" w:sz="4" w:space="0"/>
              <w:right w:val="single" w:color="auto" w:sz="4" w:space="0"/>
            </w:tcBorders>
            <w:vAlign w:val="center"/>
          </w:tcPr>
          <w:p w14:paraId="0D3A3233">
            <w:pPr>
              <w:widowControl/>
              <w:jc w:val="left"/>
              <w:rPr>
                <w:rFonts w:ascii="宋体" w:hAnsi="宋体"/>
                <w:bCs/>
                <w:color w:val="auto"/>
                <w:szCs w:val="24"/>
                <w:highlight w:val="none"/>
                <w:u w:val="none"/>
              </w:rPr>
            </w:pPr>
            <w:r>
              <w:rPr>
                <w:rFonts w:hint="eastAsia" w:ascii="宋体" w:hAnsi="宋体" w:cstheme="minorBidi"/>
                <w:bCs w:val="0"/>
                <w:color w:val="auto"/>
                <w:kern w:val="2"/>
                <w:sz w:val="24"/>
                <w:szCs w:val="24"/>
                <w:highlight w:val="yellow"/>
                <w:u w:val="none"/>
                <w:lang w:eastAsia="zh-CN" w:bidi="ar"/>
              </w:rPr>
              <w:t>【】</w:t>
            </w:r>
            <w:r>
              <w:rPr>
                <w:rFonts w:hint="eastAsia" w:ascii="宋体" w:hAnsi="宋体"/>
                <w:bCs/>
                <w:color w:val="auto"/>
                <w:szCs w:val="24"/>
                <w:highlight w:val="none"/>
                <w:u w:val="none"/>
              </w:rPr>
              <w:t>亿元。</w:t>
            </w:r>
          </w:p>
          <w:p w14:paraId="64C13A28">
            <w:pPr>
              <w:widowControl/>
              <w:jc w:val="left"/>
              <w:rPr>
                <w:rFonts w:hint="eastAsia"/>
                <w:b/>
                <w:bCs/>
                <w:color w:val="auto"/>
                <w:szCs w:val="24"/>
                <w:highlight w:val="none"/>
                <w:u w:val="none"/>
              </w:rPr>
            </w:pPr>
            <w:r>
              <w:rPr>
                <w:rFonts w:hint="eastAsia"/>
                <w:color w:val="auto"/>
                <w:szCs w:val="24"/>
                <w:highlight w:val="none"/>
                <w:u w:val="none"/>
              </w:rPr>
              <w:t>若认购金额不足</w:t>
            </w:r>
            <w:r>
              <w:rPr>
                <w:rFonts w:hint="eastAsia" w:ascii="宋体" w:hAnsi="宋体" w:cstheme="minorBidi"/>
                <w:bCs w:val="0"/>
                <w:color w:val="auto"/>
                <w:kern w:val="2"/>
                <w:sz w:val="24"/>
                <w:szCs w:val="24"/>
                <w:highlight w:val="yellow"/>
                <w:u w:val="none"/>
                <w:lang w:eastAsia="zh-CN" w:bidi="ar"/>
              </w:rPr>
              <w:t>【】</w:t>
            </w:r>
            <w:r>
              <w:rPr>
                <w:rFonts w:hint="eastAsia" w:ascii="宋体" w:hAnsi="宋体"/>
                <w:bCs/>
                <w:color w:val="auto"/>
                <w:szCs w:val="24"/>
                <w:highlight w:val="none"/>
                <w:u w:val="none"/>
              </w:rPr>
              <w:t>亿元</w:t>
            </w:r>
            <w:r>
              <w:rPr>
                <w:rFonts w:hint="eastAsia"/>
                <w:color w:val="auto"/>
                <w:szCs w:val="24"/>
                <w:highlight w:val="none"/>
                <w:u w:val="none"/>
              </w:rPr>
              <w:t>，</w:t>
            </w:r>
            <w:r>
              <w:rPr>
                <w:rFonts w:hint="eastAsia"/>
                <w:b/>
                <w:bCs/>
                <w:color w:val="auto"/>
                <w:szCs w:val="24"/>
                <w:highlight w:val="none"/>
                <w:u w:val="none"/>
              </w:rPr>
              <w:t>管理人有权宣布理财产品不成立，亦有权调整</w:t>
            </w:r>
            <w:r>
              <w:rPr>
                <w:rFonts w:hint="eastAsia" w:ascii="宋体" w:hAnsi="宋体"/>
                <w:b/>
                <w:bCs/>
                <w:color w:val="auto"/>
                <w:szCs w:val="24"/>
                <w:highlight w:val="none"/>
                <w:u w:val="none"/>
              </w:rPr>
              <w:t>产品最低成立规模，具体以管理人公告为准</w:t>
            </w:r>
            <w:r>
              <w:rPr>
                <w:rFonts w:hint="eastAsia"/>
                <w:color w:val="auto"/>
                <w:szCs w:val="24"/>
                <w:highlight w:val="none"/>
                <w:u w:val="none"/>
              </w:rPr>
              <w:t>。</w:t>
            </w:r>
          </w:p>
        </w:tc>
      </w:tr>
      <w:tr w14:paraId="30B23960">
        <w:tblPrEx>
          <w:tblCellMar>
            <w:top w:w="0" w:type="dxa"/>
            <w:left w:w="108" w:type="dxa"/>
            <w:bottom w:w="0" w:type="dxa"/>
            <w:right w:w="108" w:type="dxa"/>
          </w:tblCellMar>
        </w:tblPrEx>
        <w:trPr>
          <w:trHeight w:val="1280" w:hRule="atLeast"/>
        </w:trPr>
        <w:tc>
          <w:tcPr>
            <w:tcW w:w="2453" w:type="dxa"/>
            <w:tcBorders>
              <w:top w:val="single" w:color="auto" w:sz="4" w:space="0"/>
              <w:left w:val="single" w:color="auto" w:sz="4" w:space="0"/>
              <w:bottom w:val="single" w:color="auto" w:sz="4" w:space="0"/>
              <w:right w:val="single" w:color="auto" w:sz="4" w:space="0"/>
            </w:tcBorders>
            <w:vAlign w:val="center"/>
          </w:tcPr>
          <w:p w14:paraId="05628A5A">
            <w:pPr>
              <w:snapToGrid w:val="0"/>
              <w:ind w:left="-140" w:leftChars="-74" w:hanging="15" w:firstLineChars="0"/>
              <w:jc w:val="center"/>
              <w:rPr>
                <w:rFonts w:hint="eastAsia" w:ascii="仿宋_GB2312" w:hAnsi="等线" w:eastAsia="仿宋_GB2312" w:cs="仿宋_GB2312"/>
                <w:color w:val="auto"/>
                <w:sz w:val="24"/>
                <w:highlight w:val="none"/>
              </w:rPr>
            </w:pPr>
            <w:r>
              <w:rPr>
                <w:rFonts w:hint="eastAsia" w:ascii="宋体" w:hAnsi="宋体"/>
                <w:szCs w:val="24"/>
                <w:lang w:eastAsia="zh-CN"/>
              </w:rPr>
              <w:t>认购、申购、</w:t>
            </w:r>
            <w:r>
              <w:rPr>
                <w:rFonts w:hint="eastAsia" w:ascii="宋体" w:hAnsi="宋体"/>
                <w:szCs w:val="24"/>
              </w:rPr>
              <w:t>赎回安排</w:t>
            </w:r>
          </w:p>
        </w:tc>
        <w:tc>
          <w:tcPr>
            <w:tcW w:w="6972" w:type="dxa"/>
            <w:tcBorders>
              <w:top w:val="single" w:color="auto" w:sz="4" w:space="0"/>
              <w:left w:val="single" w:color="auto" w:sz="4" w:space="0"/>
              <w:bottom w:val="single" w:color="auto" w:sz="4" w:space="0"/>
              <w:right w:val="single" w:color="auto" w:sz="4" w:space="0"/>
            </w:tcBorders>
            <w:vAlign w:val="center"/>
          </w:tcPr>
          <w:p w14:paraId="56C24307">
            <w:pPr>
              <w:snapToGrid w:val="0"/>
              <w:rPr>
                <w:rFonts w:ascii="宋体" w:hAnsi="宋体"/>
                <w:szCs w:val="24"/>
              </w:rPr>
            </w:pPr>
            <w:r>
              <w:rPr>
                <w:rFonts w:hint="eastAsia" w:ascii="宋体" w:hAnsi="宋体"/>
                <w:szCs w:val="24"/>
                <w:highlight w:val="yellow"/>
                <w:lang w:eastAsia="zh-CN"/>
              </w:rPr>
              <w:t>【</w:t>
            </w:r>
            <w:r>
              <w:rPr>
                <w:rFonts w:hint="eastAsia" w:ascii="宋体" w:hAnsi="宋体"/>
                <w:szCs w:val="24"/>
                <w:highlight w:val="yellow"/>
                <w:lang w:val="en-US" w:eastAsia="zh-CN"/>
              </w:rPr>
              <w:t>1</w:t>
            </w:r>
            <w:r>
              <w:rPr>
                <w:rFonts w:hint="eastAsia" w:ascii="仿宋_GB2312" w:hAnsi="宋体" w:cs="宋体"/>
                <w:bCs/>
                <w:color w:val="auto"/>
                <w:kern w:val="0"/>
                <w:szCs w:val="24"/>
                <w:highlight w:val="none"/>
                <w:lang w:val="en-US" w:eastAsia="zh-CN"/>
              </w:rPr>
              <w:t>.产品募集期为募集起始日期至募集结束日期，</w:t>
            </w:r>
            <w:r>
              <w:rPr>
                <w:rFonts w:hint="eastAsia" w:ascii="仿宋_GB2312" w:hAnsi="宋体" w:cs="宋体"/>
                <w:bCs/>
                <w:color w:val="auto"/>
                <w:kern w:val="0"/>
                <w:szCs w:val="24"/>
                <w:highlight w:val="none"/>
              </w:rPr>
              <w:t>产品募集期内，投资者可多次对本产品认购、追加、</w:t>
            </w:r>
            <w:r>
              <w:rPr>
                <w:rFonts w:hint="eastAsia"/>
                <w:color w:val="auto"/>
                <w:highlight w:val="none"/>
              </w:rPr>
              <w:t>撤单</w:t>
            </w:r>
            <w:r>
              <w:rPr>
                <w:rFonts w:hint="eastAsia" w:ascii="仿宋_GB2312" w:hAnsi="宋体" w:cs="宋体"/>
                <w:bCs/>
                <w:color w:val="auto"/>
                <w:kern w:val="0"/>
                <w:szCs w:val="24"/>
                <w:highlight w:val="none"/>
              </w:rPr>
              <w:t>。</w:t>
            </w:r>
          </w:p>
          <w:p w14:paraId="2492AA0E">
            <w:pPr>
              <w:snapToGrid w:val="0"/>
              <w:rPr>
                <w:rFonts w:hint="eastAsia" w:ascii="宋体" w:hAnsi="宋体"/>
                <w:szCs w:val="24"/>
              </w:rPr>
            </w:pPr>
            <w:r>
              <w:rPr>
                <w:rFonts w:hint="eastAsia" w:ascii="宋体" w:hAnsi="宋体"/>
                <w:szCs w:val="24"/>
                <w:lang w:val="en-US" w:eastAsia="zh-CN"/>
              </w:rPr>
              <w:t>2</w:t>
            </w:r>
            <w:r>
              <w:rPr>
                <w:rFonts w:ascii="宋体" w:hAnsi="宋体"/>
                <w:szCs w:val="24"/>
              </w:rPr>
              <w:t>.</w:t>
            </w:r>
            <w:r>
              <w:rPr>
                <w:rFonts w:hint="eastAsia" w:ascii="宋体" w:hAnsi="宋体"/>
                <w:szCs w:val="24"/>
              </w:rPr>
              <w:t>本产品的封闭期</w:t>
            </w:r>
          </w:p>
          <w:p w14:paraId="1826AA1C">
            <w:pPr>
              <w:snapToGrid w:val="0"/>
              <w:rPr>
                <w:rFonts w:hint="eastAsia" w:ascii="宋体" w:hAnsi="宋体"/>
                <w:szCs w:val="24"/>
              </w:rPr>
            </w:pPr>
            <w:r>
              <w:rPr>
                <w:rFonts w:hint="eastAsia" w:ascii="宋体" w:hAnsi="宋体"/>
                <w:szCs w:val="24"/>
              </w:rPr>
              <w:t>本产品封闭期为产品存续期间除开放期及申购期以外的日期，封闭期内不接受申购</w:t>
            </w:r>
            <w:r>
              <w:rPr>
                <w:rFonts w:hint="eastAsia" w:ascii="宋体" w:hAnsi="宋体"/>
                <w:szCs w:val="24"/>
                <w:lang w:val="en-US" w:eastAsia="zh-CN"/>
              </w:rPr>
              <w:t>赎回</w:t>
            </w:r>
            <w:r>
              <w:rPr>
                <w:rFonts w:hint="eastAsia" w:ascii="宋体" w:hAnsi="宋体"/>
                <w:szCs w:val="24"/>
              </w:rPr>
              <w:t>申请。</w:t>
            </w:r>
          </w:p>
          <w:p w14:paraId="762A6A15">
            <w:pPr>
              <w:snapToGrid w:val="0"/>
              <w:rPr>
                <w:rFonts w:hint="eastAsia" w:ascii="宋体" w:hAnsi="宋体"/>
                <w:szCs w:val="24"/>
              </w:rPr>
            </w:pPr>
            <w:r>
              <w:rPr>
                <w:rFonts w:hint="eastAsia" w:ascii="宋体" w:hAnsi="宋体"/>
                <w:szCs w:val="24"/>
                <w:lang w:val="en-US" w:eastAsia="zh-CN"/>
              </w:rPr>
              <w:t>3</w:t>
            </w:r>
            <w:r>
              <w:rPr>
                <w:rFonts w:ascii="宋体" w:hAnsi="宋体"/>
                <w:szCs w:val="24"/>
              </w:rPr>
              <w:t>.</w:t>
            </w:r>
            <w:r>
              <w:rPr>
                <w:rFonts w:hint="eastAsia" w:ascii="宋体" w:hAnsi="宋体"/>
                <w:szCs w:val="24"/>
              </w:rPr>
              <w:t>本产品的开放期</w:t>
            </w:r>
          </w:p>
          <w:p w14:paraId="24420D91">
            <w:pPr>
              <w:widowControl/>
              <w:jc w:val="left"/>
              <w:rPr>
                <w:rFonts w:hint="eastAsia" w:ascii="宋体" w:hAnsi="宋体" w:cs="宋体"/>
                <w:b/>
                <w:szCs w:val="24"/>
              </w:rPr>
            </w:pPr>
            <w:r>
              <w:rPr>
                <w:rFonts w:hint="eastAsia" w:ascii="宋体" w:hAnsi="宋体"/>
                <w:szCs w:val="24"/>
              </w:rPr>
              <w:t>本产品成立后的</w:t>
            </w:r>
            <w:r>
              <w:rPr>
                <w:rFonts w:hint="eastAsia" w:ascii="宋体" w:hAnsi="宋体" w:cs="宋体"/>
                <w:b/>
                <w:szCs w:val="24"/>
              </w:rPr>
              <w:t>每</w:t>
            </w:r>
            <w:r>
              <w:rPr>
                <w:rFonts w:hint="eastAsia" w:ascii="仿宋_GB2312" w:hAnsi="宋体" w:cs="宋体"/>
                <w:bCs/>
                <w:color w:val="000000"/>
                <w:kern w:val="0"/>
                <w:szCs w:val="24"/>
                <w:highlight w:val="yellow"/>
              </w:rPr>
              <w:t>【</w:t>
            </w:r>
            <w:r>
              <w:rPr>
                <w:rFonts w:hint="eastAsia" w:ascii="仿宋_GB2312" w:hAnsi="宋体"/>
                <w:color w:val="000000"/>
                <w:szCs w:val="24"/>
                <w:highlight w:val="yellow"/>
                <w:lang w:eastAsia="zh-CN"/>
              </w:rPr>
              <w:t>□年</w:t>
            </w:r>
            <w:r>
              <w:rPr>
                <w:rFonts w:ascii="仿宋_GB2312" w:hAnsi="宋体" w:cs="宋体"/>
                <w:bCs/>
                <w:color w:val="000000"/>
                <w:kern w:val="0"/>
                <w:szCs w:val="24"/>
                <w:highlight w:val="yellow"/>
              </w:rPr>
              <w:t>/</w:t>
            </w:r>
            <w:r>
              <w:rPr>
                <w:rFonts w:hint="eastAsia" w:ascii="仿宋_GB2312" w:hAnsi="宋体"/>
                <w:color w:val="000000"/>
                <w:szCs w:val="24"/>
                <w:highlight w:val="yellow"/>
              </w:rPr>
              <w:t>□</w:t>
            </w:r>
            <w:r>
              <w:rPr>
                <w:rFonts w:hint="eastAsia" w:ascii="仿宋_GB2312" w:hAnsi="宋体"/>
                <w:color w:val="000000"/>
                <w:szCs w:val="24"/>
                <w:highlight w:val="yellow"/>
                <w:lang w:eastAsia="zh-CN"/>
              </w:rPr>
              <w:t>月</w:t>
            </w:r>
            <w:r>
              <w:rPr>
                <w:rFonts w:ascii="仿宋_GB2312" w:hAnsi="宋体" w:cs="宋体"/>
                <w:bCs/>
                <w:color w:val="000000"/>
                <w:kern w:val="0"/>
                <w:szCs w:val="24"/>
                <w:highlight w:val="yellow"/>
              </w:rPr>
              <w:t>/</w:t>
            </w:r>
            <w:r>
              <w:rPr>
                <w:rFonts w:hint="eastAsia" w:ascii="仿宋_GB2312" w:hAnsi="宋体"/>
                <w:color w:val="000000"/>
                <w:szCs w:val="24"/>
                <w:highlight w:val="yellow"/>
              </w:rPr>
              <w:t>□</w:t>
            </w:r>
            <w:r>
              <w:rPr>
                <w:rFonts w:hint="eastAsia" w:ascii="仿宋_GB2312" w:hAnsi="宋体"/>
                <w:color w:val="000000"/>
                <w:szCs w:val="24"/>
                <w:highlight w:val="yellow"/>
                <w:lang w:eastAsia="zh-CN"/>
              </w:rPr>
              <w:t>周</w:t>
            </w:r>
            <w:r>
              <w:rPr>
                <w:rFonts w:hint="eastAsia" w:ascii="仿宋_GB2312" w:hAnsi="宋体" w:cs="宋体"/>
                <w:bCs/>
                <w:color w:val="000000"/>
                <w:kern w:val="0"/>
                <w:szCs w:val="24"/>
                <w:highlight w:val="yellow"/>
              </w:rPr>
              <w:t>】</w:t>
            </w:r>
            <w:r>
              <w:rPr>
                <w:rFonts w:hint="eastAsia" w:ascii="宋体" w:hAnsi="宋体" w:cs="宋体"/>
                <w:b/>
                <w:szCs w:val="24"/>
              </w:rPr>
              <w:t>的</w:t>
            </w:r>
            <w:r>
              <w:rPr>
                <w:rFonts w:hint="eastAsia" w:ascii="仿宋_GB2312" w:hAnsi="宋体" w:cs="宋体"/>
                <w:bCs/>
                <w:color w:val="000000"/>
                <w:kern w:val="0"/>
                <w:szCs w:val="24"/>
                <w:highlight w:val="yellow"/>
                <w:lang w:eastAsia="zh-CN"/>
              </w:rPr>
              <w:t>【</w:t>
            </w:r>
            <w:r>
              <w:rPr>
                <w:rFonts w:hint="eastAsia" w:ascii="仿宋_GB2312" w:hAnsi="宋体" w:cs="宋体"/>
                <w:bCs/>
                <w:color w:val="000000"/>
                <w:kern w:val="0"/>
                <w:szCs w:val="24"/>
                <w:highlight w:val="yellow"/>
              </w:rPr>
              <w:t>】</w:t>
            </w:r>
            <w:r>
              <w:rPr>
                <w:rFonts w:hint="eastAsia" w:ascii="宋体" w:hAnsi="宋体" w:cs="宋体"/>
                <w:b/>
                <w:szCs w:val="24"/>
              </w:rPr>
              <w:t>为产品开放日（</w:t>
            </w:r>
            <w:r>
              <w:rPr>
                <w:rFonts w:ascii="宋体" w:hAnsi="宋体" w:cs="宋体"/>
                <w:b/>
                <w:szCs w:val="24"/>
              </w:rPr>
              <w:t>如遇非</w:t>
            </w:r>
            <w:r>
              <w:rPr>
                <w:rFonts w:hint="eastAsia" w:ascii="仿宋_GB2312" w:hAnsi="宋体" w:cs="宋体"/>
                <w:bCs/>
                <w:color w:val="000000" w:themeColor="text1"/>
                <w:kern w:val="0"/>
                <w:szCs w:val="24"/>
                <w:highlight w:val="yellow"/>
                <w:lang w:eastAsia="zh-CN"/>
                <w14:textFill>
                  <w14:solidFill>
                    <w14:schemeClr w14:val="tx1"/>
                  </w14:solidFill>
                </w14:textFill>
              </w:rPr>
              <w:t>【□工作日/□交易日】</w:t>
            </w:r>
            <w:r>
              <w:rPr>
                <w:rFonts w:ascii="宋体" w:hAnsi="宋体" w:cs="宋体"/>
                <w:b/>
                <w:szCs w:val="24"/>
              </w:rPr>
              <w:t>则顺延至其后第一个</w:t>
            </w:r>
            <w:r>
              <w:rPr>
                <w:rFonts w:hint="eastAsia" w:ascii="仿宋_GB2312" w:hAnsi="宋体" w:cs="宋体"/>
                <w:bCs/>
                <w:color w:val="000000" w:themeColor="text1"/>
                <w:kern w:val="0"/>
                <w:szCs w:val="24"/>
                <w:highlight w:val="yellow"/>
                <w:lang w:eastAsia="zh-CN"/>
                <w14:textFill>
                  <w14:solidFill>
                    <w14:schemeClr w14:val="tx1"/>
                  </w14:solidFill>
                </w14:textFill>
              </w:rPr>
              <w:t>【□工作日/□交易日】</w:t>
            </w:r>
            <w:r>
              <w:rPr>
                <w:rFonts w:hint="eastAsia" w:ascii="宋体" w:hAnsi="宋体" w:cs="宋体"/>
                <w:b/>
                <w:szCs w:val="24"/>
              </w:rPr>
              <w:t>），产品开放日（含）及之前</w:t>
            </w:r>
            <w:r>
              <w:rPr>
                <w:rFonts w:hint="eastAsia" w:ascii="宋体" w:hAnsi="宋体" w:cs="宋体"/>
                <w:b/>
                <w:szCs w:val="24"/>
                <w:highlight w:val="yellow"/>
                <w:lang w:eastAsia="zh-CN"/>
              </w:rPr>
              <w:t>【】</w:t>
            </w:r>
            <w:r>
              <w:rPr>
                <w:rFonts w:ascii="宋体" w:hAnsi="宋体" w:cs="宋体"/>
                <w:b/>
                <w:szCs w:val="24"/>
              </w:rPr>
              <w:t>（含）</w:t>
            </w:r>
            <w:r>
              <w:rPr>
                <w:rFonts w:hint="eastAsia" w:ascii="宋体" w:hAnsi="宋体" w:cs="宋体"/>
                <w:b/>
                <w:szCs w:val="24"/>
              </w:rPr>
              <w:t>个</w:t>
            </w:r>
            <w:r>
              <w:rPr>
                <w:rFonts w:hint="eastAsia" w:ascii="仿宋_GB2312" w:hAnsi="宋体" w:cs="宋体"/>
                <w:bCs/>
                <w:color w:val="000000" w:themeColor="text1"/>
                <w:kern w:val="0"/>
                <w:szCs w:val="24"/>
                <w:highlight w:val="yellow"/>
                <w:lang w:eastAsia="zh-CN"/>
                <w14:textFill>
                  <w14:solidFill>
                    <w14:schemeClr w14:val="tx1"/>
                  </w14:solidFill>
                </w14:textFill>
              </w:rPr>
              <w:t>【□工作日/□交易日</w:t>
            </w:r>
            <w:r>
              <w:rPr>
                <w:rFonts w:hint="eastAsia" w:ascii="仿宋_GB2312" w:hAnsi="宋体" w:cs="宋体"/>
                <w:bCs/>
                <w:color w:val="000000" w:themeColor="text1"/>
                <w:kern w:val="0"/>
                <w:szCs w:val="24"/>
                <w:highlight w:val="yellow"/>
                <w:lang w:val="en-US" w:eastAsia="zh-CN"/>
                <w14:textFill>
                  <w14:solidFill>
                    <w14:schemeClr w14:val="tx1"/>
                  </w14:solidFill>
                </w14:textFill>
              </w:rPr>
              <w:t>/</w:t>
            </w:r>
            <w:r>
              <w:rPr>
                <w:rFonts w:hint="eastAsia" w:ascii="仿宋_GB2312" w:hAnsi="宋体" w:cs="宋体"/>
                <w:bCs/>
                <w:color w:val="000000" w:themeColor="text1"/>
                <w:kern w:val="0"/>
                <w:szCs w:val="24"/>
                <w:highlight w:val="yellow"/>
                <w:lang w:eastAsia="zh-CN"/>
                <w14:textFill>
                  <w14:solidFill>
                    <w14:schemeClr w14:val="tx1"/>
                  </w14:solidFill>
                </w14:textFill>
              </w:rPr>
              <w:t>□自然日】</w:t>
            </w:r>
            <w:r>
              <w:rPr>
                <w:rFonts w:hint="eastAsia" w:ascii="宋体" w:hAnsi="宋体" w:cs="宋体"/>
                <w:b/>
                <w:szCs w:val="24"/>
              </w:rPr>
              <w:t>为产品开放期，产品开放期第一日如遇非</w:t>
            </w:r>
            <w:r>
              <w:rPr>
                <w:rFonts w:hint="eastAsia" w:ascii="仿宋_GB2312" w:hAnsi="宋体" w:cs="宋体"/>
                <w:bCs/>
                <w:color w:val="000000" w:themeColor="text1"/>
                <w:kern w:val="0"/>
                <w:szCs w:val="24"/>
                <w:highlight w:val="yellow"/>
                <w:lang w:eastAsia="zh-CN"/>
                <w14:textFill>
                  <w14:solidFill>
                    <w14:schemeClr w14:val="tx1"/>
                  </w14:solidFill>
                </w14:textFill>
              </w:rPr>
              <w:t>【□工作日/□交易日】</w:t>
            </w:r>
            <w:r>
              <w:rPr>
                <w:rFonts w:hint="eastAsia" w:ascii="宋体" w:hAnsi="宋体" w:cs="宋体"/>
                <w:b/>
                <w:szCs w:val="24"/>
              </w:rPr>
              <w:t>，提前至非</w:t>
            </w:r>
            <w:r>
              <w:rPr>
                <w:rFonts w:hint="eastAsia" w:ascii="仿宋_GB2312" w:hAnsi="宋体" w:cs="宋体"/>
                <w:bCs/>
                <w:color w:val="000000" w:themeColor="text1"/>
                <w:kern w:val="0"/>
                <w:szCs w:val="24"/>
                <w:highlight w:val="yellow"/>
                <w:lang w:eastAsia="zh-CN"/>
                <w14:textFill>
                  <w14:solidFill>
                    <w14:schemeClr w14:val="tx1"/>
                  </w14:solidFill>
                </w14:textFill>
              </w:rPr>
              <w:t>【□工作日/□交易日】</w:t>
            </w:r>
            <w:r>
              <w:rPr>
                <w:rFonts w:hint="eastAsia" w:ascii="宋体" w:hAnsi="宋体" w:cs="宋体"/>
                <w:b/>
                <w:szCs w:val="24"/>
              </w:rPr>
              <w:t>前最后一个</w:t>
            </w:r>
            <w:r>
              <w:rPr>
                <w:rFonts w:hint="eastAsia" w:ascii="仿宋_GB2312" w:hAnsi="宋体" w:cs="宋体"/>
                <w:bCs/>
                <w:color w:val="000000" w:themeColor="text1"/>
                <w:kern w:val="0"/>
                <w:szCs w:val="24"/>
                <w:highlight w:val="yellow"/>
                <w:lang w:eastAsia="zh-CN"/>
                <w14:textFill>
                  <w14:solidFill>
                    <w14:schemeClr w14:val="tx1"/>
                  </w14:solidFill>
                </w14:textFill>
              </w:rPr>
              <w:t>【□工作日/☑交易日】</w:t>
            </w:r>
            <w:r>
              <w:rPr>
                <w:rFonts w:hint="eastAsia" w:ascii="宋体" w:hAnsi="宋体" w:cs="宋体"/>
                <w:b/>
                <w:szCs w:val="24"/>
              </w:rPr>
              <w:t>，投资者可在产品开放期规定时间内提交或撤销申购和赎回申请，申购和赎回交易申请在产品开放日统一处理，并于开放日后第一个</w:t>
            </w:r>
            <w:r>
              <w:rPr>
                <w:rFonts w:hint="eastAsia" w:ascii="仿宋_GB2312" w:hAnsi="宋体" w:cs="宋体"/>
                <w:bCs/>
                <w:color w:val="000000" w:themeColor="text1"/>
                <w:kern w:val="0"/>
                <w:szCs w:val="24"/>
                <w:highlight w:val="yellow"/>
                <w:lang w:eastAsia="zh-CN"/>
                <w14:textFill>
                  <w14:solidFill>
                    <w14:schemeClr w14:val="tx1"/>
                  </w14:solidFill>
                </w14:textFill>
              </w:rPr>
              <w:t>【□工作日/□交易日】</w:t>
            </w:r>
            <w:r>
              <w:rPr>
                <w:rFonts w:hint="eastAsia" w:ascii="宋体" w:hAnsi="宋体" w:cs="宋体"/>
                <w:b/>
                <w:szCs w:val="24"/>
                <w:highlight w:val="yellow"/>
              </w:rPr>
              <w:t>（开放确认日）</w:t>
            </w:r>
            <w:r>
              <w:rPr>
                <w:rFonts w:hint="eastAsia" w:ascii="宋体" w:hAnsi="宋体" w:cs="宋体"/>
                <w:b/>
                <w:szCs w:val="24"/>
              </w:rPr>
              <w:t>确认。</w:t>
            </w:r>
          </w:p>
          <w:p w14:paraId="2359E1B7">
            <w:pPr>
              <w:widowControl/>
              <w:jc w:val="left"/>
              <w:rPr>
                <w:rFonts w:hint="eastAsia" w:ascii="宋体" w:hAnsi="宋体" w:cs="宋体"/>
                <w:b/>
                <w:szCs w:val="24"/>
              </w:rPr>
            </w:pPr>
            <w:r>
              <w:rPr>
                <w:rFonts w:hint="eastAsia" w:ascii="宋体" w:hAnsi="宋体" w:cs="宋体"/>
                <w:b/>
                <w:bCs w:val="0"/>
                <w:szCs w:val="24"/>
              </w:rPr>
              <w:t>如遇特殊情况需调整产品开放日、产品开放期的，管理人将在调整前</w:t>
            </w:r>
            <w:r>
              <w:rPr>
                <w:rFonts w:hint="eastAsia" w:ascii="宋体" w:hAnsi="宋体" w:cs="宋体"/>
                <w:b/>
                <w:bCs w:val="0"/>
                <w:szCs w:val="24"/>
                <w:lang w:val="en-US" w:eastAsia="zh-CN"/>
              </w:rPr>
              <w:t>1</w:t>
            </w:r>
            <w:r>
              <w:rPr>
                <w:rFonts w:hint="eastAsia" w:ascii="宋体" w:hAnsi="宋体" w:cs="宋体"/>
                <w:b/>
                <w:bCs w:val="0"/>
                <w:szCs w:val="24"/>
              </w:rPr>
              <w:t>个工作日进行公告。</w:t>
            </w:r>
          </w:p>
          <w:p w14:paraId="0FB2368C">
            <w:pPr>
              <w:snapToGrid w:val="0"/>
              <w:rPr>
                <w:rFonts w:hint="eastAsia" w:ascii="宋体" w:hAnsi="宋体"/>
                <w:szCs w:val="24"/>
              </w:rPr>
            </w:pPr>
            <w:r>
              <w:rPr>
                <w:rFonts w:hint="eastAsia" w:ascii="宋体" w:hAnsi="宋体"/>
                <w:szCs w:val="24"/>
                <w:lang w:val="en-US" w:eastAsia="zh-CN"/>
              </w:rPr>
              <w:t>4</w:t>
            </w:r>
            <w:r>
              <w:rPr>
                <w:rFonts w:ascii="宋体" w:hAnsi="宋体"/>
                <w:szCs w:val="24"/>
              </w:rPr>
              <w:t>.</w:t>
            </w:r>
            <w:r>
              <w:rPr>
                <w:rFonts w:hint="eastAsia" w:ascii="宋体" w:hAnsi="宋体"/>
                <w:szCs w:val="24"/>
              </w:rPr>
              <w:t>申购安排：</w:t>
            </w:r>
          </w:p>
          <w:p w14:paraId="44C59D7C">
            <w:pPr>
              <w:widowControl/>
              <w:jc w:val="left"/>
              <w:rPr>
                <w:rFonts w:hint="eastAsia" w:ascii="宋体" w:hAnsi="宋体" w:cs="宋体"/>
                <w:b/>
                <w:szCs w:val="24"/>
              </w:rPr>
            </w:pPr>
            <w:r>
              <w:rPr>
                <w:rFonts w:hint="eastAsia" w:ascii="宋体" w:hAnsi="宋体" w:cs="宋体"/>
                <w:b/>
                <w:szCs w:val="24"/>
              </w:rPr>
              <w:t>（1）申购日及申购期</w:t>
            </w:r>
          </w:p>
          <w:p w14:paraId="1C347701">
            <w:pPr>
              <w:widowControl/>
              <w:jc w:val="left"/>
              <w:rPr>
                <w:rFonts w:hint="eastAsia" w:ascii="宋体" w:hAnsi="宋体" w:cs="宋体"/>
                <w:b/>
                <w:szCs w:val="24"/>
                <w:highlight w:val="yellow"/>
              </w:rPr>
            </w:pPr>
            <w:r>
              <w:rPr>
                <w:rFonts w:hint="eastAsia" w:ascii="宋体" w:hAnsi="宋体" w:cs="宋体"/>
                <w:b/>
                <w:szCs w:val="24"/>
                <w:highlight w:val="yellow"/>
              </w:rPr>
              <w:t>产品成立后</w:t>
            </w:r>
            <w:r>
              <w:rPr>
                <w:rFonts w:hint="eastAsia" w:ascii="仿宋_GB2312" w:hAnsi="宋体" w:cs="宋体"/>
                <w:bCs/>
                <w:color w:val="000000" w:themeColor="text1"/>
                <w:kern w:val="0"/>
                <w:szCs w:val="24"/>
                <w:highlight w:val="yellow"/>
                <w:lang w:eastAsia="zh-CN"/>
                <w14:textFill>
                  <w14:solidFill>
                    <w14:schemeClr w14:val="tx1"/>
                  </w14:solidFill>
                </w14:textFill>
              </w:rPr>
              <w:t>【】</w:t>
            </w:r>
            <w:r>
              <w:rPr>
                <w:rFonts w:ascii="宋体" w:hAnsi="宋体" w:cs="宋体"/>
                <w:b/>
                <w:szCs w:val="24"/>
                <w:highlight w:val="yellow"/>
              </w:rPr>
              <w:t>为产品</w:t>
            </w:r>
            <w:r>
              <w:rPr>
                <w:rFonts w:hint="eastAsia" w:ascii="宋体" w:hAnsi="宋体" w:cs="宋体"/>
                <w:b/>
                <w:szCs w:val="24"/>
                <w:highlight w:val="yellow"/>
              </w:rPr>
              <w:t>申购日（</w:t>
            </w:r>
            <w:r>
              <w:rPr>
                <w:rFonts w:ascii="宋体" w:hAnsi="宋体" w:cs="宋体"/>
                <w:b/>
                <w:szCs w:val="24"/>
                <w:highlight w:val="yellow"/>
              </w:rPr>
              <w:t>如遇非</w:t>
            </w:r>
            <w:r>
              <w:rPr>
                <w:rFonts w:hint="eastAsia" w:ascii="仿宋_GB2312" w:hAnsi="宋体" w:cs="宋体"/>
                <w:bCs/>
                <w:color w:val="000000" w:themeColor="text1"/>
                <w:kern w:val="0"/>
                <w:szCs w:val="24"/>
                <w:highlight w:val="yellow"/>
                <w:lang w:eastAsia="zh-CN"/>
                <w14:textFill>
                  <w14:solidFill>
                    <w14:schemeClr w14:val="tx1"/>
                  </w14:solidFill>
                </w14:textFill>
              </w:rPr>
              <w:t>【□工作日/□交易日】</w:t>
            </w:r>
            <w:r>
              <w:rPr>
                <w:rFonts w:ascii="宋体" w:hAnsi="宋体" w:cs="宋体"/>
                <w:b/>
                <w:szCs w:val="24"/>
                <w:highlight w:val="yellow"/>
              </w:rPr>
              <w:t>则顺延至其后第一个</w:t>
            </w:r>
            <w:r>
              <w:rPr>
                <w:rFonts w:hint="eastAsia" w:ascii="仿宋_GB2312" w:hAnsi="宋体" w:cs="宋体"/>
                <w:bCs/>
                <w:color w:val="000000" w:themeColor="text1"/>
                <w:kern w:val="0"/>
                <w:szCs w:val="24"/>
                <w:highlight w:val="yellow"/>
                <w:lang w:eastAsia="zh-CN"/>
                <w14:textFill>
                  <w14:solidFill>
                    <w14:schemeClr w14:val="tx1"/>
                  </w14:solidFill>
                </w14:textFill>
              </w:rPr>
              <w:t>【□工作日/□交易日】</w:t>
            </w:r>
            <w:r>
              <w:rPr>
                <w:rFonts w:hint="eastAsia" w:ascii="宋体" w:hAnsi="宋体" w:cs="宋体"/>
                <w:b/>
                <w:szCs w:val="24"/>
                <w:highlight w:val="yellow"/>
              </w:rPr>
              <w:t>），产品申购日（含）及之前</w:t>
            </w:r>
            <w:r>
              <w:rPr>
                <w:rFonts w:hint="eastAsia" w:ascii="仿宋_GB2312" w:hAnsi="宋体" w:cs="宋体"/>
                <w:bCs/>
                <w:color w:val="000000" w:themeColor="text1"/>
                <w:kern w:val="0"/>
                <w:szCs w:val="24"/>
                <w:highlight w:val="yellow"/>
                <w:lang w:eastAsia="zh-CN"/>
                <w14:textFill>
                  <w14:solidFill>
                    <w14:schemeClr w14:val="tx1"/>
                  </w14:solidFill>
                </w14:textFill>
              </w:rPr>
              <w:t>【】个【□工作日/□交易日</w:t>
            </w:r>
            <w:r>
              <w:rPr>
                <w:rFonts w:hint="eastAsia" w:ascii="仿宋_GB2312" w:hAnsi="宋体" w:cs="宋体"/>
                <w:bCs/>
                <w:color w:val="000000" w:themeColor="text1"/>
                <w:kern w:val="0"/>
                <w:szCs w:val="24"/>
                <w:highlight w:val="yellow"/>
                <w:lang w:val="en-US" w:eastAsia="zh-CN"/>
                <w14:textFill>
                  <w14:solidFill>
                    <w14:schemeClr w14:val="tx1"/>
                  </w14:solidFill>
                </w14:textFill>
              </w:rPr>
              <w:t>/</w:t>
            </w:r>
            <w:r>
              <w:rPr>
                <w:rFonts w:hint="eastAsia" w:ascii="仿宋_GB2312" w:hAnsi="宋体" w:cs="宋体"/>
                <w:bCs/>
                <w:color w:val="000000" w:themeColor="text1"/>
                <w:kern w:val="0"/>
                <w:szCs w:val="24"/>
                <w:highlight w:val="yellow"/>
                <w:lang w:eastAsia="zh-CN"/>
                <w14:textFill>
                  <w14:solidFill>
                    <w14:schemeClr w14:val="tx1"/>
                  </w14:solidFill>
                </w14:textFill>
              </w:rPr>
              <w:t>□自然日】</w:t>
            </w:r>
            <w:r>
              <w:rPr>
                <w:rFonts w:hint="eastAsia" w:ascii="宋体" w:hAnsi="宋体" w:cs="宋体"/>
                <w:b/>
                <w:szCs w:val="24"/>
                <w:highlight w:val="yellow"/>
              </w:rPr>
              <w:t>为申购期，申购期第一日如遇非</w:t>
            </w:r>
            <w:r>
              <w:rPr>
                <w:rFonts w:hint="eastAsia" w:ascii="仿宋_GB2312" w:hAnsi="宋体" w:cs="宋体"/>
                <w:bCs/>
                <w:color w:val="000000" w:themeColor="text1"/>
                <w:kern w:val="0"/>
                <w:szCs w:val="24"/>
                <w:highlight w:val="yellow"/>
                <w:lang w:eastAsia="zh-CN"/>
                <w14:textFill>
                  <w14:solidFill>
                    <w14:schemeClr w14:val="tx1"/>
                  </w14:solidFill>
                </w14:textFill>
              </w:rPr>
              <w:t>【□工作日/□交易日】</w:t>
            </w:r>
            <w:r>
              <w:rPr>
                <w:rFonts w:hint="eastAsia" w:ascii="宋体" w:hAnsi="宋体" w:cs="宋体"/>
                <w:b/>
                <w:szCs w:val="24"/>
                <w:highlight w:val="yellow"/>
              </w:rPr>
              <w:t>），提前至非</w:t>
            </w:r>
            <w:r>
              <w:rPr>
                <w:rFonts w:hint="eastAsia" w:ascii="仿宋_GB2312" w:hAnsi="宋体" w:cs="宋体"/>
                <w:bCs/>
                <w:color w:val="000000" w:themeColor="text1"/>
                <w:kern w:val="0"/>
                <w:szCs w:val="24"/>
                <w:highlight w:val="yellow"/>
                <w:lang w:eastAsia="zh-CN"/>
                <w14:textFill>
                  <w14:solidFill>
                    <w14:schemeClr w14:val="tx1"/>
                  </w14:solidFill>
                </w14:textFill>
              </w:rPr>
              <w:t>【□工作日/□交易日】</w:t>
            </w:r>
            <w:r>
              <w:rPr>
                <w:rFonts w:hint="eastAsia" w:ascii="宋体" w:hAnsi="宋体" w:cs="宋体"/>
                <w:b/>
                <w:szCs w:val="24"/>
                <w:highlight w:val="yellow"/>
              </w:rPr>
              <w:t>）前最后一个</w:t>
            </w:r>
            <w:r>
              <w:rPr>
                <w:rFonts w:hint="eastAsia" w:ascii="仿宋_GB2312" w:hAnsi="宋体" w:cs="宋体"/>
                <w:bCs/>
                <w:color w:val="000000" w:themeColor="text1"/>
                <w:kern w:val="0"/>
                <w:szCs w:val="24"/>
                <w:highlight w:val="yellow"/>
                <w:lang w:eastAsia="zh-CN"/>
                <w14:textFill>
                  <w14:solidFill>
                    <w14:schemeClr w14:val="tx1"/>
                  </w14:solidFill>
                </w14:textFill>
              </w:rPr>
              <w:t>【□工作日/□交易日】</w:t>
            </w:r>
            <w:r>
              <w:rPr>
                <w:rFonts w:hint="eastAsia" w:ascii="宋体" w:hAnsi="宋体" w:cs="宋体"/>
                <w:b/>
                <w:szCs w:val="24"/>
                <w:highlight w:val="yellow"/>
              </w:rPr>
              <w:t>），投资者可在申购期规定时间内提交或撤销申购申请，申购交易申请在产品申购日统一处理，并于申购日后第一个</w:t>
            </w:r>
            <w:r>
              <w:rPr>
                <w:rFonts w:hint="eastAsia" w:ascii="仿宋_GB2312" w:hAnsi="宋体" w:cs="宋体"/>
                <w:bCs/>
                <w:color w:val="000000" w:themeColor="text1"/>
                <w:kern w:val="0"/>
                <w:szCs w:val="24"/>
                <w:highlight w:val="yellow"/>
                <w:lang w:eastAsia="zh-CN"/>
                <w14:textFill>
                  <w14:solidFill>
                    <w14:schemeClr w14:val="tx1"/>
                  </w14:solidFill>
                </w14:textFill>
              </w:rPr>
              <w:t>【□工作日/□交易日】</w:t>
            </w:r>
            <w:r>
              <w:rPr>
                <w:rFonts w:hint="eastAsia" w:ascii="宋体" w:hAnsi="宋体" w:cs="宋体"/>
                <w:b/>
                <w:szCs w:val="24"/>
                <w:highlight w:val="yellow"/>
              </w:rPr>
              <w:t>）（申购确认日）确认。</w:t>
            </w:r>
          </w:p>
          <w:p w14:paraId="42F91D93">
            <w:pPr>
              <w:snapToGrid w:val="0"/>
              <w:rPr>
                <w:rFonts w:hint="eastAsia" w:ascii="宋体" w:hAnsi="宋体"/>
                <w:szCs w:val="24"/>
              </w:rPr>
            </w:pPr>
            <w:r>
              <w:rPr>
                <w:rFonts w:hint="eastAsia" w:ascii="宋体" w:hAnsi="宋体" w:cs="宋体"/>
                <w:b/>
                <w:szCs w:val="24"/>
              </w:rPr>
              <w:t>如遇特殊情况需调整产品申购日、申购期的，管理人将在调整前</w:t>
            </w:r>
            <w:r>
              <w:rPr>
                <w:rFonts w:hint="eastAsia" w:ascii="宋体" w:hAnsi="宋体" w:cs="宋体"/>
                <w:b/>
                <w:szCs w:val="24"/>
                <w:lang w:val="en-US" w:eastAsia="zh-CN"/>
              </w:rPr>
              <w:t>1</w:t>
            </w:r>
            <w:r>
              <w:rPr>
                <w:rFonts w:ascii="宋体" w:hAnsi="宋体" w:cs="宋体"/>
                <w:b/>
                <w:szCs w:val="24"/>
              </w:rPr>
              <w:t>个工作日进行公告。</w:t>
            </w:r>
          </w:p>
          <w:p w14:paraId="7FD41EE0">
            <w:pPr>
              <w:snapToGrid w:val="0"/>
              <w:rPr>
                <w:rFonts w:ascii="宋体" w:hAnsi="宋体"/>
                <w:szCs w:val="24"/>
              </w:rPr>
            </w:pPr>
            <w:r>
              <w:rPr>
                <w:rFonts w:hint="eastAsia" w:ascii="宋体" w:hAnsi="宋体"/>
                <w:szCs w:val="24"/>
                <w:lang w:val="en-US" w:eastAsia="zh-CN"/>
              </w:rPr>
              <w:t>5</w:t>
            </w:r>
            <w:r>
              <w:rPr>
                <w:rFonts w:ascii="宋体" w:hAnsi="宋体"/>
                <w:szCs w:val="24"/>
              </w:rPr>
              <w:t>.</w:t>
            </w:r>
            <w:r>
              <w:rPr>
                <w:rFonts w:hint="eastAsia" w:ascii="宋体" w:hAnsi="宋体"/>
                <w:szCs w:val="24"/>
              </w:rPr>
              <w:t>赎回款项于赎回</w:t>
            </w:r>
            <w:r>
              <w:rPr>
                <w:rFonts w:hint="eastAsia" w:ascii="宋体" w:hAnsi="宋体"/>
                <w:szCs w:val="24"/>
                <w:lang w:eastAsia="zh-CN"/>
              </w:rPr>
              <w:t>确认</w:t>
            </w:r>
            <w:r>
              <w:rPr>
                <w:rFonts w:hint="eastAsia" w:ascii="宋体" w:hAnsi="宋体"/>
                <w:szCs w:val="24"/>
              </w:rPr>
              <w:t>日后</w:t>
            </w:r>
            <w:r>
              <w:rPr>
                <w:rFonts w:hint="eastAsia" w:ascii="仿宋_GB2312" w:hAnsi="宋体" w:cs="宋体"/>
                <w:bCs/>
                <w:kern w:val="0"/>
                <w:szCs w:val="24"/>
                <w:highlight w:val="yellow"/>
                <w:lang w:val="en-US" w:eastAsia="zh-CN"/>
              </w:rPr>
              <w:t>【】</w:t>
            </w:r>
            <w:r>
              <w:rPr>
                <w:rFonts w:hint="eastAsia" w:ascii="宋体" w:hAnsi="宋体"/>
                <w:szCs w:val="24"/>
                <w:highlight w:val="yellow"/>
              </w:rPr>
              <w:t>个</w:t>
            </w:r>
            <w:r>
              <w:rPr>
                <w:rFonts w:hint="eastAsia" w:ascii="宋体" w:hAnsi="宋体"/>
                <w:szCs w:val="24"/>
                <w:lang w:eastAsia="zh-CN"/>
              </w:rPr>
              <w:t>【</w:t>
            </w:r>
            <w:r>
              <w:rPr>
                <w:rFonts w:hint="eastAsia" w:ascii="宋体" w:hAnsi="宋体"/>
                <w:szCs w:val="24"/>
                <w:highlight w:val="yellow"/>
                <w:lang w:eastAsia="zh-CN"/>
              </w:rPr>
              <w:t>□</w:t>
            </w:r>
            <w:r>
              <w:rPr>
                <w:rFonts w:hint="eastAsia" w:ascii="宋体" w:hAnsi="宋体"/>
                <w:szCs w:val="24"/>
                <w:highlight w:val="yellow"/>
              </w:rPr>
              <w:t>工作日</w:t>
            </w:r>
            <w:r>
              <w:rPr>
                <w:rFonts w:ascii="宋体" w:hAnsi="宋体"/>
                <w:szCs w:val="24"/>
                <w:highlight w:val="yellow"/>
              </w:rPr>
              <w:t>/</w:t>
            </w:r>
            <w:r>
              <w:rPr>
                <w:rFonts w:hint="eastAsia" w:ascii="宋体" w:hAnsi="宋体"/>
                <w:szCs w:val="24"/>
                <w:highlight w:val="yellow"/>
                <w:lang w:eastAsia="zh-CN"/>
              </w:rPr>
              <w:t>□</w:t>
            </w:r>
            <w:r>
              <w:rPr>
                <w:rFonts w:hint="eastAsia" w:ascii="宋体" w:hAnsi="宋体"/>
                <w:szCs w:val="24"/>
                <w:highlight w:val="yellow"/>
              </w:rPr>
              <w:t>交易日</w:t>
            </w:r>
            <w:r>
              <w:rPr>
                <w:rFonts w:hint="eastAsia" w:ascii="宋体" w:hAnsi="宋体"/>
                <w:szCs w:val="24"/>
                <w:lang w:eastAsia="zh-CN"/>
              </w:rPr>
              <w:t>】</w:t>
            </w:r>
            <w:r>
              <w:rPr>
                <w:rFonts w:hint="eastAsia" w:ascii="宋体" w:hAnsi="宋体"/>
                <w:szCs w:val="24"/>
              </w:rPr>
              <w:t>内支付给投资者。</w:t>
            </w:r>
          </w:p>
          <w:p w14:paraId="0DA686F4">
            <w:pPr>
              <w:numPr>
                <w:ilvl w:val="0"/>
                <w:numId w:val="0"/>
              </w:numPr>
              <w:snapToGrid w:val="0"/>
              <w:rPr>
                <w:rFonts w:hint="eastAsia" w:ascii="宋体" w:hAnsi="宋体" w:eastAsia="仿宋_GB2312"/>
                <w:szCs w:val="24"/>
                <w:lang w:eastAsia="zh-CN"/>
              </w:rPr>
            </w:pPr>
            <w:r>
              <w:rPr>
                <w:rFonts w:hint="eastAsia" w:ascii="宋体" w:hAnsi="宋体"/>
                <w:color w:val="000000"/>
                <w:szCs w:val="24"/>
                <w:lang w:val="en-US" w:eastAsia="zh-CN"/>
              </w:rPr>
              <w:t>6.</w:t>
            </w:r>
            <w:r>
              <w:rPr>
                <w:rFonts w:hint="eastAsia" w:ascii="宋体" w:hAnsi="宋体"/>
                <w:color w:val="000000"/>
                <w:szCs w:val="24"/>
              </w:rPr>
              <w:t>浙银理财有权提前</w:t>
            </w:r>
            <w:r>
              <w:rPr>
                <w:rFonts w:hint="eastAsia" w:ascii="宋体" w:hAnsi="宋体"/>
                <w:szCs w:val="24"/>
                <w:highlight w:val="yellow"/>
              </w:rPr>
              <w:t>【】</w:t>
            </w:r>
            <w:r>
              <w:rPr>
                <w:rFonts w:hint="eastAsia" w:ascii="宋体" w:hAnsi="宋体"/>
                <w:szCs w:val="24"/>
              </w:rPr>
              <w:t>个</w:t>
            </w:r>
            <w:r>
              <w:rPr>
                <w:rFonts w:hint="eastAsia" w:ascii="仿宋_GB2312" w:hAnsi="宋体" w:cs="宋体"/>
                <w:bCs/>
                <w:color w:val="000000"/>
                <w:kern w:val="0"/>
                <w:szCs w:val="24"/>
                <w:highlight w:val="yellow"/>
              </w:rPr>
              <w:t>工作日</w:t>
            </w:r>
            <w:r>
              <w:rPr>
                <w:rFonts w:hint="eastAsia" w:ascii="宋体" w:hAnsi="宋体"/>
                <w:color w:val="000000"/>
                <w:szCs w:val="24"/>
              </w:rPr>
              <w:t>公告并调整产品开放期限和开放时间。</w:t>
            </w:r>
            <w:r>
              <w:rPr>
                <w:rFonts w:hint="eastAsia" w:ascii="宋体" w:hAnsi="宋体"/>
                <w:color w:val="000000"/>
                <w:szCs w:val="24"/>
                <w:highlight w:val="yellow"/>
                <w:lang w:eastAsia="zh-CN"/>
              </w:rPr>
              <w:t>】</w:t>
            </w:r>
          </w:p>
          <w:p w14:paraId="39C547A1">
            <w:pPr>
              <w:snapToGrid w:val="0"/>
              <w:rPr>
                <w:rFonts w:hint="eastAsia" w:ascii="宋体" w:hAnsi="宋体"/>
                <w:szCs w:val="24"/>
              </w:rPr>
            </w:pPr>
          </w:p>
          <w:p w14:paraId="21958C0A">
            <w:pPr>
              <w:snapToGrid w:val="0"/>
              <w:rPr>
                <w:rFonts w:hint="eastAsia" w:ascii="宋体" w:hAnsi="宋体"/>
                <w:szCs w:val="24"/>
              </w:rPr>
            </w:pPr>
            <w:r>
              <w:rPr>
                <w:rFonts w:hint="eastAsia" w:ascii="宋体" w:hAnsi="宋体"/>
                <w:szCs w:val="24"/>
              </w:rPr>
              <w:t>★注：关于销售机构的实际工作服务时段的提示</w:t>
            </w:r>
          </w:p>
          <w:p w14:paraId="4A86365F">
            <w:pPr>
              <w:snapToGrid w:val="0"/>
              <w:rPr>
                <w:rFonts w:hint="eastAsia" w:ascii="宋体" w:hAnsi="宋体"/>
                <w:szCs w:val="24"/>
              </w:rPr>
            </w:pPr>
            <w:r>
              <w:rPr>
                <w:rFonts w:hint="eastAsia" w:ascii="宋体" w:hAnsi="宋体"/>
                <w:szCs w:val="24"/>
              </w:rPr>
              <w:t>①为本产品办理相关交易的实际工作服务时段，因销售机构的不同可能存在差异（可能晚于销售文件约定的起始时点开始或早于销售文件约定的终止时点结束），投资者应当以销售机构的展示为准。</w:t>
            </w:r>
          </w:p>
          <w:p w14:paraId="004C18DF">
            <w:pPr>
              <w:snapToGrid w:val="0"/>
              <w:rPr>
                <w:rFonts w:hint="eastAsia" w:ascii="仿宋_GB2312" w:hAnsi="等线" w:eastAsia="仿宋_GB2312" w:cs="仿宋_GB2312"/>
                <w:bCs/>
                <w:color w:val="auto"/>
                <w:sz w:val="24"/>
                <w:highlight w:val="none"/>
              </w:rPr>
            </w:pPr>
            <w:r>
              <w:rPr>
                <w:rFonts w:hint="eastAsia" w:ascii="宋体" w:hAnsi="宋体"/>
                <w:szCs w:val="24"/>
              </w:rPr>
              <w:t>②销售机构的实际工作服务时段，最早不得早于销售文件约定的起始时点、最晚不得晚于销售文件约定的终止时点。</w:t>
            </w:r>
          </w:p>
        </w:tc>
      </w:tr>
      <w:tr w14:paraId="0F24E3AF">
        <w:tblPrEx>
          <w:tblCellMar>
            <w:top w:w="0" w:type="dxa"/>
            <w:left w:w="108" w:type="dxa"/>
            <w:bottom w:w="0" w:type="dxa"/>
            <w:right w:w="108" w:type="dxa"/>
          </w:tblCellMar>
        </w:tblPrEx>
        <w:trPr>
          <w:trHeight w:val="1180" w:hRule="atLeast"/>
        </w:trPr>
        <w:tc>
          <w:tcPr>
            <w:tcW w:w="2453" w:type="dxa"/>
            <w:tcBorders>
              <w:top w:val="single" w:color="auto" w:sz="4" w:space="0"/>
              <w:left w:val="single" w:color="auto" w:sz="4" w:space="0"/>
              <w:bottom w:val="single" w:color="auto" w:sz="4" w:space="0"/>
              <w:right w:val="single" w:color="auto" w:sz="4" w:space="0"/>
            </w:tcBorders>
            <w:vAlign w:val="center"/>
          </w:tcPr>
          <w:p w14:paraId="787BEF37">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auto"/>
                <w:kern w:val="0"/>
                <w:sz w:val="24"/>
                <w:highlight w:val="none"/>
                <w:lang w:bidi="ar"/>
              </w:rPr>
              <w:t>巨额赎回</w:t>
            </w:r>
          </w:p>
        </w:tc>
        <w:tc>
          <w:tcPr>
            <w:tcW w:w="6972" w:type="dxa"/>
            <w:tcBorders>
              <w:top w:val="single" w:color="auto" w:sz="4" w:space="0"/>
              <w:left w:val="single" w:color="auto" w:sz="4" w:space="0"/>
              <w:bottom w:val="single" w:color="auto" w:sz="4" w:space="0"/>
              <w:right w:val="single" w:color="auto" w:sz="4" w:space="0"/>
            </w:tcBorders>
            <w:vAlign w:val="center"/>
          </w:tcPr>
          <w:p w14:paraId="045D72FD">
            <w:pPr>
              <w:snapToGrid w:val="0"/>
              <w:jc w:val="left"/>
              <w:rPr>
                <w:rFonts w:hint="eastAsia" w:asciiTheme="minorEastAsia" w:hAnsiTheme="minorEastAsia"/>
                <w:b/>
                <w:color w:val="000000"/>
                <w:szCs w:val="24"/>
              </w:rPr>
            </w:pPr>
            <w:r>
              <w:rPr>
                <w:rFonts w:hint="eastAsia" w:ascii="仿宋_GB2312" w:hAnsi="宋体" w:cs="宋体"/>
                <w:b/>
                <w:bCs/>
                <w:kern w:val="0"/>
                <w:szCs w:val="24"/>
              </w:rPr>
              <w:t>单个开放日内</w:t>
            </w:r>
            <w:r>
              <w:rPr>
                <w:rFonts w:ascii="仿宋_GB2312" w:hAnsi="宋体" w:cs="宋体"/>
                <w:b/>
                <w:bCs/>
                <w:kern w:val="0"/>
                <w:szCs w:val="24"/>
              </w:rPr>
              <w:t>，</w:t>
            </w:r>
            <w:r>
              <w:rPr>
                <w:rFonts w:hint="eastAsia" w:ascii="仿宋_GB2312" w:hAnsi="宋体" w:cs="宋体"/>
                <w:b/>
                <w:bCs/>
                <w:kern w:val="0"/>
                <w:szCs w:val="24"/>
              </w:rPr>
              <w:t>产品净赎回申请（</w:t>
            </w:r>
            <w:r>
              <w:rPr>
                <w:rFonts w:ascii="仿宋_GB2312" w:hAnsi="宋体" w:cs="宋体"/>
                <w:b/>
                <w:bCs/>
                <w:kern w:val="0"/>
                <w:szCs w:val="24"/>
              </w:rPr>
              <w:t>赎回</w:t>
            </w:r>
            <w:r>
              <w:rPr>
                <w:rFonts w:hint="eastAsia" w:ascii="仿宋_GB2312" w:hAnsi="宋体" w:cs="宋体"/>
                <w:b/>
                <w:bCs/>
                <w:kern w:val="0"/>
                <w:szCs w:val="24"/>
              </w:rPr>
              <w:t>申请总份额扣除申购总份额后的余额</w:t>
            </w:r>
            <w:r>
              <w:rPr>
                <w:rFonts w:ascii="仿宋_GB2312" w:hAnsi="宋体" w:cs="宋体"/>
                <w:b/>
                <w:bCs/>
                <w:kern w:val="0"/>
                <w:szCs w:val="24"/>
              </w:rPr>
              <w:t>,下同）</w:t>
            </w:r>
            <w:r>
              <w:rPr>
                <w:rFonts w:hint="eastAsia" w:ascii="仿宋_GB2312" w:hAnsi="宋体" w:cs="宋体"/>
                <w:b/>
                <w:bCs/>
                <w:kern w:val="0"/>
                <w:szCs w:val="24"/>
              </w:rPr>
              <w:t>超过前一日终理财产品总份额的【</w:t>
            </w:r>
            <w:r>
              <w:rPr>
                <w:rFonts w:ascii="仿宋_GB2312" w:hAnsi="宋体" w:cs="宋体"/>
                <w:b/>
                <w:bCs/>
                <w:kern w:val="0"/>
                <w:szCs w:val="24"/>
              </w:rPr>
              <w:t>10</w:t>
            </w:r>
            <w:r>
              <w:rPr>
                <w:rFonts w:hint="eastAsia" w:ascii="仿宋_GB2312" w:hAnsi="宋体" w:cs="宋体"/>
                <w:b/>
                <w:bCs/>
                <w:kern w:val="0"/>
                <w:szCs w:val="24"/>
              </w:rPr>
              <w:t>％】</w:t>
            </w:r>
            <w:r>
              <w:rPr>
                <w:rFonts w:hint="eastAsia" w:asciiTheme="minorEastAsia" w:hAnsiTheme="minorEastAsia"/>
                <w:b/>
                <w:color w:val="000000"/>
                <w:szCs w:val="24"/>
              </w:rPr>
              <w:t>，即为发生巨额赎回。</w:t>
            </w:r>
          </w:p>
          <w:p w14:paraId="29766D92">
            <w:pPr>
              <w:snapToGrid w:val="0"/>
              <w:jc w:val="left"/>
              <w:rPr>
                <w:rFonts w:hint="eastAsia" w:asciiTheme="minorEastAsia" w:hAnsiTheme="minorEastAsia"/>
                <w:b/>
                <w:color w:val="000000"/>
                <w:szCs w:val="24"/>
              </w:rPr>
            </w:pPr>
            <w:r>
              <w:rPr>
                <w:rFonts w:hint="eastAsia" w:asciiTheme="minorEastAsia" w:hAnsiTheme="minorEastAsia"/>
                <w:b/>
                <w:color w:val="000000"/>
                <w:szCs w:val="24"/>
              </w:rPr>
              <w:t>本理财产品在开放日发生巨额赎回时，管理人有权根据产品的实际运作情况采取如下措施中的一种：</w:t>
            </w:r>
          </w:p>
          <w:p w14:paraId="12B6A3E1">
            <w:pPr>
              <w:snapToGrid w:val="0"/>
              <w:jc w:val="left"/>
              <w:rPr>
                <w:rFonts w:hint="eastAsia" w:asciiTheme="minorEastAsia" w:hAnsiTheme="minorEastAsia"/>
                <w:b/>
                <w:color w:val="000000"/>
                <w:szCs w:val="24"/>
              </w:rPr>
            </w:pPr>
            <w:r>
              <w:rPr>
                <w:rFonts w:asciiTheme="minorEastAsia" w:hAnsiTheme="minorEastAsia"/>
                <w:b/>
                <w:color w:val="000000"/>
                <w:szCs w:val="24"/>
              </w:rPr>
              <w:t>1.</w:t>
            </w:r>
            <w:r>
              <w:rPr>
                <w:rFonts w:hint="eastAsia" w:asciiTheme="minorEastAsia" w:hAnsiTheme="minorEastAsia"/>
                <w:b/>
                <w:color w:val="000000"/>
                <w:szCs w:val="24"/>
              </w:rPr>
              <w:t>接受全额赎回：当管理人认为有能力兑付投资者的全部赎回申请时，将在赎回确认日按正常赎回程序执行；</w:t>
            </w:r>
          </w:p>
          <w:p w14:paraId="7B65A040">
            <w:pPr>
              <w:snapToGrid w:val="0"/>
              <w:jc w:val="left"/>
              <w:rPr>
                <w:rFonts w:hint="eastAsia" w:asciiTheme="minorEastAsia" w:hAnsiTheme="minorEastAsia"/>
                <w:b/>
                <w:color w:val="000000"/>
                <w:szCs w:val="24"/>
              </w:rPr>
            </w:pPr>
            <w:r>
              <w:rPr>
                <w:rFonts w:asciiTheme="minorEastAsia" w:hAnsiTheme="minorEastAsia"/>
                <w:b/>
                <w:color w:val="000000"/>
                <w:szCs w:val="24"/>
              </w:rPr>
              <w:t>2.</w:t>
            </w:r>
            <w:r>
              <w:rPr>
                <w:rFonts w:hint="eastAsia" w:asciiTheme="minorEastAsia" w:hAnsiTheme="minorEastAsia"/>
                <w:b/>
                <w:color w:val="000000"/>
                <w:szCs w:val="24"/>
              </w:rPr>
              <w:t>接受部分赎回：当管理人认为兑付投资者的赎回申请有困难，或认为兑付投资者的赎回申请可能会对本理财产品的资产净值造成较大波动时，在赎回确认日管理人办理的赎回份额将不低于前一日终理财产品总份额的</w:t>
            </w:r>
            <w:r>
              <w:rPr>
                <w:rFonts w:hint="eastAsia" w:ascii="仿宋_GB2312" w:hAnsi="宋体" w:cs="宋体"/>
                <w:b/>
                <w:bCs/>
                <w:kern w:val="0"/>
                <w:szCs w:val="24"/>
              </w:rPr>
              <w:t>【</w:t>
            </w:r>
            <w:r>
              <w:rPr>
                <w:rFonts w:ascii="仿宋_GB2312" w:hAnsi="宋体" w:cs="宋体"/>
                <w:b/>
                <w:bCs/>
                <w:kern w:val="0"/>
                <w:szCs w:val="24"/>
              </w:rPr>
              <w:t>10</w:t>
            </w:r>
            <w:r>
              <w:rPr>
                <w:rFonts w:hint="eastAsia" w:ascii="仿宋_GB2312" w:hAnsi="宋体" w:cs="宋体"/>
                <w:b/>
                <w:bCs/>
                <w:kern w:val="0"/>
                <w:szCs w:val="24"/>
              </w:rPr>
              <w:t>％】</w:t>
            </w:r>
            <w:r>
              <w:rPr>
                <w:rFonts w:hint="eastAsia" w:asciiTheme="minorEastAsia" w:hAnsiTheme="minorEastAsia"/>
                <w:b/>
                <w:color w:val="000000"/>
                <w:szCs w:val="24"/>
              </w:rPr>
              <w:t>，对于其余赎回申请管理人可暂停接受或延期办理。</w:t>
            </w:r>
          </w:p>
          <w:p w14:paraId="5E5929F0">
            <w:pPr>
              <w:snapToGrid w:val="0"/>
              <w:jc w:val="left"/>
              <w:rPr>
                <w:rFonts w:hint="eastAsia" w:asciiTheme="minorEastAsia" w:hAnsiTheme="minorEastAsia"/>
                <w:b/>
                <w:color w:val="000000"/>
                <w:szCs w:val="24"/>
              </w:rPr>
            </w:pPr>
            <w:r>
              <w:rPr>
                <w:rFonts w:hint="eastAsia" w:asciiTheme="minorEastAsia" w:hAnsiTheme="minorEastAsia"/>
                <w:b/>
                <w:color w:val="000000"/>
                <w:szCs w:val="24"/>
              </w:rPr>
              <w:t>（</w:t>
            </w:r>
            <w:r>
              <w:rPr>
                <w:rFonts w:asciiTheme="minorEastAsia" w:hAnsiTheme="minorEastAsia"/>
                <w:b/>
                <w:color w:val="000000"/>
                <w:szCs w:val="24"/>
              </w:rPr>
              <w:t>1</w:t>
            </w:r>
            <w:r>
              <w:rPr>
                <w:rFonts w:hint="eastAsia" w:asciiTheme="minorEastAsia" w:hAnsiTheme="minorEastAsia"/>
                <w:b/>
                <w:color w:val="000000"/>
                <w:szCs w:val="24"/>
              </w:rPr>
              <w:t>）对于接受赎回申请的部分，管理人将按单个投资者的赎回申请份额占当日所有投资者的</w:t>
            </w:r>
            <w:r>
              <w:rPr>
                <w:rFonts w:hint="eastAsia" w:asciiTheme="minorEastAsia" w:hAnsiTheme="minorEastAsia"/>
                <w:b/>
                <w:color w:val="000000"/>
                <w:szCs w:val="24"/>
                <w:lang w:eastAsia="zh-CN"/>
              </w:rPr>
              <w:t>净</w:t>
            </w:r>
            <w:r>
              <w:rPr>
                <w:rFonts w:hint="eastAsia" w:asciiTheme="minorEastAsia" w:hAnsiTheme="minorEastAsia"/>
                <w:b/>
                <w:color w:val="000000"/>
                <w:szCs w:val="24"/>
              </w:rPr>
              <w:t>赎回申请总份额的比例，确认该投资者当日办理的赎回申请份额。</w:t>
            </w:r>
          </w:p>
          <w:p w14:paraId="64CDBDDB">
            <w:pPr>
              <w:snapToGrid w:val="0"/>
              <w:jc w:val="left"/>
              <w:rPr>
                <w:rFonts w:hint="eastAsia" w:asciiTheme="minorEastAsia" w:hAnsiTheme="minorEastAsia"/>
                <w:b/>
                <w:color w:val="000000"/>
                <w:szCs w:val="24"/>
              </w:rPr>
            </w:pPr>
            <w:r>
              <w:rPr>
                <w:rFonts w:hint="eastAsia" w:asciiTheme="minorEastAsia" w:hAnsiTheme="minorEastAsia"/>
                <w:b/>
                <w:color w:val="000000"/>
                <w:szCs w:val="24"/>
              </w:rPr>
              <w:t>（</w:t>
            </w:r>
            <w:r>
              <w:rPr>
                <w:rFonts w:asciiTheme="minorEastAsia" w:hAnsiTheme="minorEastAsia"/>
                <w:b/>
                <w:color w:val="000000"/>
                <w:szCs w:val="24"/>
              </w:rPr>
              <w:t>2</w:t>
            </w:r>
            <w:r>
              <w:rPr>
                <w:rFonts w:hint="eastAsia" w:asciiTheme="minorEastAsia" w:hAnsiTheme="minorEastAsia"/>
                <w:b/>
                <w:color w:val="000000"/>
                <w:szCs w:val="24"/>
              </w:rPr>
              <w:t>）对于暂停接受的部分，管理人将拒绝该部分赎回申请，投资者可在下一个产品开放日及对应开放期再次发起赎回申请。</w:t>
            </w:r>
          </w:p>
          <w:p w14:paraId="6AC47011">
            <w:pPr>
              <w:keepNext w:val="0"/>
              <w:keepLines w:val="0"/>
              <w:widowControl/>
              <w:numPr>
                <w:ilvl w:val="-1"/>
                <w:numId w:val="0"/>
              </w:numPr>
              <w:suppressLineNumbers w:val="0"/>
              <w:spacing w:line="400" w:lineRule="exact"/>
              <w:jc w:val="left"/>
              <w:textAlignment w:val="center"/>
              <w:rPr>
                <w:rFonts w:hint="eastAsia" w:asciiTheme="minorEastAsia" w:hAnsiTheme="minorEastAsia"/>
                <w:b/>
                <w:color w:val="000000"/>
                <w:szCs w:val="24"/>
              </w:rPr>
            </w:pPr>
            <w:r>
              <w:rPr>
                <w:rFonts w:hint="eastAsia" w:asciiTheme="minorEastAsia" w:hAnsiTheme="minorEastAsia"/>
                <w:b/>
                <w:color w:val="000000"/>
                <w:szCs w:val="24"/>
              </w:rPr>
              <w:t>（</w:t>
            </w:r>
            <w:r>
              <w:rPr>
                <w:rFonts w:asciiTheme="minorEastAsia" w:hAnsiTheme="minorEastAsia"/>
                <w:b/>
                <w:color w:val="000000"/>
                <w:szCs w:val="24"/>
              </w:rPr>
              <w:t>3</w:t>
            </w:r>
            <w:r>
              <w:rPr>
                <w:rFonts w:hint="eastAsia" w:asciiTheme="minorEastAsia" w:hAnsiTheme="minorEastAsia"/>
                <w:b/>
                <w:color w:val="000000"/>
                <w:szCs w:val="24"/>
              </w:rPr>
              <w:t>）对于延期办理的部分，管理人将在下一个产品开放日自动为投资者发起该部分的赎回，延期赎回的申请与下一个</w:t>
            </w:r>
            <w:r>
              <w:rPr>
                <w:rFonts w:hint="eastAsia" w:ascii="仿宋_GB2312" w:hAnsi="宋体" w:cs="宋体"/>
                <w:bCs/>
                <w:color w:val="000000" w:themeColor="text1"/>
                <w:kern w:val="0"/>
                <w:szCs w:val="24"/>
                <w:highlight w:val="yellow"/>
                <w:lang w:eastAsia="zh-CN"/>
                <w14:textFill>
                  <w14:solidFill>
                    <w14:schemeClr w14:val="tx1"/>
                  </w14:solidFill>
                </w14:textFill>
              </w:rPr>
              <w:t>【□开放日</w:t>
            </w:r>
            <w:r>
              <w:rPr>
                <w:rFonts w:hint="eastAsia" w:ascii="仿宋_GB2312" w:hAnsi="宋体" w:cs="宋体"/>
                <w:bCs/>
                <w:color w:val="000000" w:themeColor="text1"/>
                <w:kern w:val="0"/>
                <w:szCs w:val="24"/>
                <w:highlight w:val="yellow"/>
                <w:lang w:val="en-US" w:eastAsia="zh-CN"/>
                <w14:textFill>
                  <w14:solidFill>
                    <w14:schemeClr w14:val="tx1"/>
                  </w14:solidFill>
                </w14:textFill>
              </w:rPr>
              <w:t>/</w:t>
            </w:r>
            <w:r>
              <w:rPr>
                <w:rFonts w:hint="eastAsia" w:ascii="仿宋_GB2312" w:hAnsi="宋体" w:cs="宋体"/>
                <w:bCs/>
                <w:color w:val="000000" w:themeColor="text1"/>
                <w:kern w:val="0"/>
                <w:szCs w:val="24"/>
                <w:highlight w:val="yellow"/>
                <w:lang w:eastAsia="zh-CN"/>
                <w14:textFill>
                  <w14:solidFill>
                    <w14:schemeClr w14:val="tx1"/>
                  </w14:solidFill>
                </w14:textFill>
              </w:rPr>
              <w:t>□工作日/□交易日】</w:t>
            </w:r>
            <w:r>
              <w:rPr>
                <w:rFonts w:hint="eastAsia" w:asciiTheme="minorEastAsia" w:hAnsiTheme="minorEastAsia"/>
                <w:b/>
                <w:color w:val="000000"/>
                <w:szCs w:val="24"/>
              </w:rPr>
              <w:t>赎回申请一并处理，不享有优先确认权，且赎回净值为下一个产品开放日的净值，直至该部分全部被确认。在延期办理的部分全部被确认前，投资者不可撤销该部分的赎回申请。本理财产品发生巨额赎回、管理人接受部分赎回时，对于暂停接受和延期办理的部分，管理人可能需在下一个申购或赎回开放日才可确认，可能影响投资者的资金安排。根据不同销售机构提供的服务，投资者可以在申请赎回时选择在触发巨额赎回情形下将当日未获办理部分取消或者顺延。投资者选择取消的，未获办理部分管理人将参考“</w:t>
            </w:r>
            <w:r>
              <w:rPr>
                <w:rFonts w:asciiTheme="minorEastAsia" w:hAnsiTheme="minorEastAsia"/>
                <w:b/>
                <w:color w:val="000000"/>
                <w:szCs w:val="24"/>
              </w:rPr>
              <w:t>2.</w:t>
            </w:r>
            <w:r>
              <w:rPr>
                <w:rFonts w:hint="eastAsia" w:asciiTheme="minorEastAsia" w:hAnsiTheme="minorEastAsia"/>
                <w:b/>
                <w:color w:val="000000"/>
                <w:szCs w:val="24"/>
              </w:rPr>
              <w:t>接受部分赎回（</w:t>
            </w:r>
            <w:r>
              <w:rPr>
                <w:rFonts w:asciiTheme="minorEastAsia" w:hAnsiTheme="minorEastAsia"/>
                <w:b/>
                <w:color w:val="000000"/>
                <w:szCs w:val="24"/>
              </w:rPr>
              <w:t>2</w:t>
            </w:r>
            <w:r>
              <w:rPr>
                <w:rFonts w:hint="eastAsia" w:asciiTheme="minorEastAsia" w:hAnsiTheme="minorEastAsia"/>
                <w:b/>
                <w:color w:val="000000"/>
                <w:szCs w:val="24"/>
              </w:rPr>
              <w:t>）对于暂停接受的部分”采取措施；投资者选择顺延的，顺延部分管理人将参考“</w:t>
            </w:r>
            <w:r>
              <w:rPr>
                <w:rFonts w:asciiTheme="minorEastAsia" w:hAnsiTheme="minorEastAsia"/>
                <w:b/>
                <w:color w:val="000000"/>
                <w:szCs w:val="24"/>
              </w:rPr>
              <w:t>2.</w:t>
            </w:r>
            <w:r>
              <w:rPr>
                <w:rFonts w:hint="eastAsia" w:asciiTheme="minorEastAsia" w:hAnsiTheme="minorEastAsia"/>
                <w:b/>
                <w:color w:val="000000"/>
                <w:szCs w:val="24"/>
              </w:rPr>
              <w:t>接受部分赎回（</w:t>
            </w:r>
            <w:r>
              <w:rPr>
                <w:rFonts w:asciiTheme="minorEastAsia" w:hAnsiTheme="minorEastAsia"/>
                <w:b/>
                <w:color w:val="000000"/>
                <w:szCs w:val="24"/>
              </w:rPr>
              <w:t>3</w:t>
            </w:r>
            <w:r>
              <w:rPr>
                <w:rFonts w:hint="eastAsia" w:asciiTheme="minorEastAsia" w:hAnsiTheme="minorEastAsia"/>
                <w:b/>
                <w:color w:val="000000"/>
                <w:szCs w:val="24"/>
              </w:rPr>
              <w:t>）对于延期办理的部分”采取措施。具体服务投资者可详询销售机构，最终以销售机构提供的服务为准。</w:t>
            </w:r>
          </w:p>
          <w:p w14:paraId="152B0F25">
            <w:pPr>
              <w:keepNext w:val="0"/>
              <w:keepLines w:val="0"/>
              <w:widowControl/>
              <w:numPr>
                <w:ilvl w:val="-1"/>
                <w:numId w:val="0"/>
              </w:numPr>
              <w:suppressLineNumbers w:val="0"/>
              <w:spacing w:line="400" w:lineRule="exact"/>
              <w:jc w:val="left"/>
              <w:textAlignment w:val="center"/>
              <w:rPr>
                <w:rFonts w:hint="eastAsia" w:ascii="宋体" w:hAnsi="宋体"/>
                <w:b/>
                <w:bCs w:val="0"/>
                <w:color w:val="auto"/>
                <w:szCs w:val="24"/>
                <w:highlight w:val="none"/>
                <w:u w:val="none"/>
              </w:rPr>
            </w:pPr>
            <w:r>
              <w:rPr>
                <w:rFonts w:hint="eastAsia" w:ascii="宋体" w:hAnsi="宋体" w:cstheme="minorBidi"/>
                <w:b/>
                <w:bCs w:val="0"/>
                <w:color w:val="auto"/>
                <w:kern w:val="2"/>
                <w:sz w:val="24"/>
                <w:szCs w:val="24"/>
                <w:highlight w:val="none"/>
                <w:u w:val="none"/>
                <w:lang w:val="en-US" w:eastAsia="zh-CN" w:bidi="ar"/>
              </w:rPr>
              <w:t>3.</w:t>
            </w:r>
            <w:r>
              <w:rPr>
                <w:rFonts w:hint="eastAsia" w:ascii="宋体" w:hAnsi="宋体" w:eastAsia="仿宋_GB2312" w:cstheme="minorBidi"/>
                <w:b/>
                <w:bCs w:val="0"/>
                <w:color w:val="auto"/>
                <w:kern w:val="2"/>
                <w:sz w:val="24"/>
                <w:szCs w:val="24"/>
                <w:highlight w:val="none"/>
                <w:u w:val="none"/>
                <w:lang w:val="en-US" w:eastAsia="zh-CN" w:bidi="ar"/>
              </w:rPr>
              <w:t>收取短期赎回费：产品发生巨额赎回或产品管理人认为可能会导致产品流动性风险的其他情形下，产品管理人可向连续持有少于7日的开放式理财产品投资者收取短期赎回费，并将上述短期赎回费全额计入理财产品财产。产品管理人将在收取短期赎回费后3个</w:t>
            </w:r>
            <w:r>
              <w:rPr>
                <w:rFonts w:hint="eastAsia" w:ascii="宋体" w:hAnsi="宋体" w:cstheme="minorBidi"/>
                <w:b/>
                <w:bCs w:val="0"/>
                <w:color w:val="auto"/>
                <w:kern w:val="2"/>
                <w:sz w:val="24"/>
                <w:szCs w:val="24"/>
                <w:highlight w:val="none"/>
                <w:u w:val="none"/>
                <w:lang w:val="en-US" w:eastAsia="zh-CN" w:bidi="ar"/>
              </w:rPr>
              <w:t>交易日</w:t>
            </w:r>
            <w:r>
              <w:rPr>
                <w:rFonts w:hint="eastAsia" w:ascii="宋体" w:hAnsi="宋体" w:eastAsia="仿宋_GB2312" w:cstheme="minorBidi"/>
                <w:b/>
                <w:bCs w:val="0"/>
                <w:color w:val="auto"/>
                <w:kern w:val="2"/>
                <w:sz w:val="24"/>
                <w:szCs w:val="24"/>
                <w:highlight w:val="none"/>
                <w:u w:val="none"/>
                <w:lang w:val="en-US" w:eastAsia="zh-CN" w:bidi="ar"/>
              </w:rPr>
              <w:t>内通过公告的形式向相关投资者披露短期赎回费率、费用计算方式、收费方式等信息。</w:t>
            </w:r>
          </w:p>
          <w:p w14:paraId="02C2A996">
            <w:pPr>
              <w:widowControl/>
              <w:spacing w:line="400" w:lineRule="exact"/>
              <w:jc w:val="left"/>
              <w:textAlignment w:val="center"/>
              <w:rPr>
                <w:rFonts w:hint="eastAsia" w:asciiTheme="minorEastAsia" w:hAnsiTheme="minorEastAsia"/>
                <w:b/>
                <w:color w:val="auto"/>
                <w:szCs w:val="24"/>
                <w:highlight w:val="none"/>
                <w:u w:val="none"/>
              </w:rPr>
            </w:pPr>
          </w:p>
          <w:p w14:paraId="603F206A">
            <w:pPr>
              <w:widowControl/>
              <w:spacing w:line="400" w:lineRule="exact"/>
              <w:jc w:val="left"/>
              <w:textAlignment w:val="center"/>
              <w:rPr>
                <w:rFonts w:hint="eastAsia" w:ascii="仿宋_GB2312" w:hAnsi="宋体" w:cs="宋体"/>
                <w:b/>
                <w:bCs/>
                <w:color w:val="auto"/>
                <w:kern w:val="0"/>
                <w:szCs w:val="24"/>
                <w:highlight w:val="none"/>
                <w:u w:val="none"/>
              </w:rPr>
            </w:pPr>
            <w:bookmarkStart w:id="1" w:name="_Hlk218057823"/>
            <w:r>
              <w:rPr>
                <w:rFonts w:hint="eastAsia" w:ascii="仿宋_GB2312" w:hAnsi="宋体" w:cs="宋体"/>
                <w:b/>
                <w:bCs/>
                <w:kern w:val="0"/>
                <w:szCs w:val="24"/>
                <w:highlight w:val="none"/>
              </w:rPr>
              <w:t>当本理财产品连续</w:t>
            </w:r>
            <w:r>
              <w:rPr>
                <w:rFonts w:ascii="仿宋_GB2312" w:hAnsi="宋体" w:cs="宋体"/>
                <w:b/>
                <w:bCs/>
                <w:kern w:val="0"/>
                <w:szCs w:val="24"/>
                <w:highlight w:val="none"/>
              </w:rPr>
              <w:t>2</w:t>
            </w:r>
            <w:r>
              <w:rPr>
                <w:rFonts w:hint="eastAsia" w:ascii="仿宋_GB2312" w:hAnsi="宋体" w:cs="宋体"/>
                <w:b/>
                <w:bCs/>
                <w:kern w:val="0"/>
                <w:szCs w:val="24"/>
                <w:highlight w:val="none"/>
              </w:rPr>
              <w:t>个以上</w:t>
            </w:r>
            <w:r>
              <w:rPr>
                <w:rFonts w:hint="eastAsia" w:ascii="仿宋_GB2312" w:hAnsi="宋体" w:cs="宋体"/>
                <w:b/>
                <w:bCs/>
                <w:kern w:val="0"/>
                <w:szCs w:val="24"/>
                <w:highlight w:val="yellow"/>
              </w:rPr>
              <w:t>开放日</w:t>
            </w:r>
            <w:r>
              <w:rPr>
                <w:rFonts w:hint="eastAsia" w:ascii="仿宋_GB2312" w:hAnsi="宋体" w:cs="宋体"/>
                <w:b/>
                <w:bCs/>
                <w:kern w:val="0"/>
                <w:szCs w:val="24"/>
                <w:highlight w:val="none"/>
              </w:rPr>
              <w:t>发生巨额赎回时，除采取上述措施外，对于已经接受的赎回</w:t>
            </w:r>
            <w:r>
              <w:rPr>
                <w:rFonts w:hint="eastAsia" w:ascii="仿宋_GB2312" w:hAnsi="宋体" w:cs="宋体"/>
                <w:b/>
                <w:bCs/>
                <w:kern w:val="0"/>
                <w:szCs w:val="24"/>
                <w:highlight w:val="none"/>
                <w:lang w:eastAsia="zh-CN"/>
              </w:rPr>
              <w:t>申请</w:t>
            </w:r>
            <w:r>
              <w:rPr>
                <w:rFonts w:hint="eastAsia" w:ascii="仿宋_GB2312" w:hAnsi="宋体" w:cs="宋体"/>
                <w:b/>
                <w:bCs/>
                <w:kern w:val="0"/>
                <w:szCs w:val="24"/>
                <w:highlight w:val="none"/>
              </w:rPr>
              <w:t>，管理人有权延缓支付赎回款项，但延缓期限不得超过</w:t>
            </w:r>
            <w:r>
              <w:rPr>
                <w:rFonts w:ascii="仿宋_GB2312" w:hAnsi="宋体" w:cs="宋体"/>
                <w:b/>
                <w:bCs/>
                <w:kern w:val="0"/>
                <w:szCs w:val="24"/>
                <w:highlight w:val="none"/>
              </w:rPr>
              <w:t>20</w:t>
            </w:r>
            <w:r>
              <w:rPr>
                <w:rFonts w:hint="eastAsia" w:ascii="仿宋_GB2312" w:hAnsi="宋体" w:cs="宋体"/>
                <w:b/>
                <w:bCs/>
                <w:kern w:val="0"/>
                <w:szCs w:val="24"/>
                <w:highlight w:val="none"/>
              </w:rPr>
              <w:t>个工作日。</w:t>
            </w:r>
            <w:bookmarkEnd w:id="1"/>
          </w:p>
        </w:tc>
      </w:tr>
      <w:tr w14:paraId="2654C6BB">
        <w:tblPrEx>
          <w:tblCellMar>
            <w:top w:w="0" w:type="dxa"/>
            <w:left w:w="108" w:type="dxa"/>
            <w:bottom w:w="0" w:type="dxa"/>
            <w:right w:w="108" w:type="dxa"/>
          </w:tblCellMar>
        </w:tblPrEx>
        <w:trPr>
          <w:trHeight w:val="1516" w:hRule="atLeast"/>
        </w:trPr>
        <w:tc>
          <w:tcPr>
            <w:tcW w:w="2453" w:type="dxa"/>
            <w:tcBorders>
              <w:top w:val="single" w:color="auto" w:sz="4" w:space="0"/>
              <w:left w:val="single" w:color="auto" w:sz="4" w:space="0"/>
              <w:bottom w:val="single" w:color="auto" w:sz="4" w:space="0"/>
              <w:right w:val="single" w:color="auto" w:sz="4" w:space="0"/>
            </w:tcBorders>
            <w:vAlign w:val="center"/>
          </w:tcPr>
          <w:p w14:paraId="026E3918">
            <w:pPr>
              <w:snapToGrid w:val="0"/>
              <w:ind w:left="-140" w:leftChars="-74" w:hanging="15" w:firstLineChars="0"/>
              <w:jc w:val="center"/>
              <w:rPr>
                <w:rFonts w:hint="eastAsia" w:ascii="仿宋_GB2312" w:hAnsi="等线" w:eastAsia="仿宋_GB2312" w:cs="仿宋_GB2312"/>
                <w:color w:val="auto"/>
                <w:kern w:val="0"/>
                <w:sz w:val="24"/>
                <w:highlight w:val="none"/>
                <w:lang w:bidi="ar"/>
              </w:rPr>
            </w:pPr>
            <w:r>
              <w:rPr>
                <w:rFonts w:hint="eastAsia" w:asciiTheme="minorEastAsia" w:hAnsiTheme="minorEastAsia"/>
                <w:color w:val="auto"/>
                <w:kern w:val="0"/>
                <w:szCs w:val="24"/>
                <w:highlight w:val="none"/>
                <w:u w:val="none"/>
              </w:rPr>
              <w:t>撤销规则</w:t>
            </w:r>
          </w:p>
        </w:tc>
        <w:tc>
          <w:tcPr>
            <w:tcW w:w="6972" w:type="dxa"/>
            <w:tcBorders>
              <w:top w:val="single" w:color="auto" w:sz="4" w:space="0"/>
              <w:left w:val="single" w:color="auto" w:sz="4" w:space="0"/>
              <w:bottom w:val="single" w:color="auto" w:sz="4" w:space="0"/>
              <w:right w:val="single" w:color="auto" w:sz="4" w:space="0"/>
            </w:tcBorders>
            <w:vAlign w:val="center"/>
          </w:tcPr>
          <w:p w14:paraId="07ECC79D">
            <w:pPr>
              <w:snapToGrid w:val="0"/>
              <w:jc w:val="left"/>
              <w:rPr>
                <w:rFonts w:hint="eastAsia" w:asciiTheme="minorEastAsia" w:hAnsiTheme="minorEastAsia"/>
                <w:color w:val="000000"/>
                <w:szCs w:val="24"/>
                <w:highlight w:val="none"/>
              </w:rPr>
            </w:pPr>
            <w:r>
              <w:rPr>
                <w:rFonts w:hint="eastAsia" w:asciiTheme="minorEastAsia" w:hAnsiTheme="minorEastAsia"/>
                <w:color w:val="000000"/>
                <w:szCs w:val="24"/>
                <w:highlight w:val="none"/>
              </w:rPr>
              <w:t>1.投资者可在本理财产品募集期结束前撤销已成功提交的产品认购申请；</w:t>
            </w:r>
          </w:p>
          <w:p w14:paraId="15F0C474">
            <w:pPr>
              <w:snapToGrid w:val="0"/>
              <w:jc w:val="left"/>
              <w:rPr>
                <w:rFonts w:hint="eastAsia" w:asciiTheme="minorEastAsia" w:hAnsiTheme="minorEastAsia"/>
                <w:color w:val="000000"/>
                <w:szCs w:val="24"/>
                <w:highlight w:val="none"/>
              </w:rPr>
            </w:pPr>
            <w:r>
              <w:rPr>
                <w:rFonts w:hint="eastAsia" w:asciiTheme="minorEastAsia" w:hAnsiTheme="minorEastAsia"/>
                <w:color w:val="000000"/>
                <w:szCs w:val="24"/>
                <w:highlight w:val="none"/>
              </w:rPr>
              <w:t>2.</w:t>
            </w:r>
            <w:bookmarkStart w:id="2" w:name="_Hlk218056586"/>
            <w:r>
              <w:rPr>
                <w:rFonts w:hint="eastAsia" w:asciiTheme="minorEastAsia" w:hAnsiTheme="minorEastAsia"/>
                <w:color w:val="000000"/>
                <w:szCs w:val="24"/>
                <w:highlight w:val="none"/>
              </w:rPr>
              <w:t>投资者可</w:t>
            </w:r>
            <w:r>
              <w:rPr>
                <w:rFonts w:hint="eastAsia" w:asciiTheme="minorEastAsia" w:hAnsiTheme="minorEastAsia"/>
                <w:b/>
                <w:color w:val="000000"/>
                <w:szCs w:val="24"/>
                <w:highlight w:val="none"/>
              </w:rPr>
              <w:t>在申购日</w:t>
            </w:r>
            <w:r>
              <w:rPr>
                <w:rFonts w:hint="eastAsia" w:asciiTheme="minorEastAsia" w:hAnsiTheme="minorEastAsia"/>
                <w:b/>
                <w:color w:val="000000"/>
                <w:szCs w:val="24"/>
                <w:highlight w:val="yellow"/>
                <w:lang w:eastAsia="zh-CN"/>
              </w:rPr>
              <w:t>【</w:t>
            </w:r>
            <w:r>
              <w:rPr>
                <w:rFonts w:hint="eastAsia" w:asciiTheme="minorEastAsia" w:hAnsiTheme="minorEastAsia"/>
                <w:b/>
                <w:color w:val="000000"/>
                <w:szCs w:val="24"/>
                <w:highlight w:val="yellow"/>
                <w:lang w:val="en-US" w:eastAsia="zh-CN"/>
              </w:rPr>
              <w:t>xx:xx</w:t>
            </w:r>
            <w:r>
              <w:rPr>
                <w:rFonts w:hint="eastAsia" w:asciiTheme="minorEastAsia" w:hAnsiTheme="minorEastAsia"/>
                <w:b/>
                <w:color w:val="000000"/>
                <w:szCs w:val="24"/>
                <w:highlight w:val="yellow"/>
              </w:rPr>
              <w:t>】</w:t>
            </w:r>
            <w:r>
              <w:rPr>
                <w:rFonts w:hint="eastAsia" w:asciiTheme="minorEastAsia" w:hAnsiTheme="minorEastAsia"/>
                <w:b/>
                <w:color w:val="000000"/>
                <w:szCs w:val="24"/>
                <w:highlight w:val="none"/>
              </w:rPr>
              <w:t>前（含）撤销该申购日已成功提交的理财产品申购申请，</w:t>
            </w:r>
            <w:r>
              <w:rPr>
                <w:rFonts w:hint="eastAsia" w:asciiTheme="minorEastAsia" w:hAnsiTheme="minorEastAsia"/>
                <w:b/>
                <w:color w:val="000000"/>
                <w:szCs w:val="24"/>
                <w:highlight w:val="yellow"/>
                <w:lang w:eastAsia="zh-CN"/>
              </w:rPr>
              <w:t>【</w:t>
            </w:r>
            <w:r>
              <w:rPr>
                <w:rFonts w:hint="eastAsia" w:asciiTheme="minorEastAsia" w:hAnsiTheme="minorEastAsia"/>
                <w:b/>
                <w:color w:val="000000"/>
                <w:szCs w:val="24"/>
                <w:highlight w:val="yellow"/>
                <w:lang w:val="en-US" w:eastAsia="zh-CN"/>
              </w:rPr>
              <w:t>xx:xx</w:t>
            </w:r>
            <w:r>
              <w:rPr>
                <w:rFonts w:hint="eastAsia" w:asciiTheme="minorEastAsia" w:hAnsiTheme="minorEastAsia"/>
                <w:b/>
                <w:color w:val="000000"/>
                <w:szCs w:val="24"/>
                <w:highlight w:val="yellow"/>
              </w:rPr>
              <w:t>】</w:t>
            </w:r>
            <w:r>
              <w:rPr>
                <w:rFonts w:hint="eastAsia" w:asciiTheme="minorEastAsia" w:hAnsiTheme="minorEastAsia"/>
                <w:b/>
                <w:color w:val="000000"/>
                <w:szCs w:val="24"/>
                <w:highlight w:val="none"/>
              </w:rPr>
              <w:t>后不可撤销</w:t>
            </w:r>
            <w:r>
              <w:rPr>
                <w:rFonts w:hint="eastAsia" w:asciiTheme="minorEastAsia" w:hAnsiTheme="minorEastAsia"/>
                <w:color w:val="000000"/>
                <w:szCs w:val="24"/>
                <w:highlight w:val="none"/>
              </w:rPr>
              <w:t>；</w:t>
            </w:r>
            <w:bookmarkEnd w:id="2"/>
          </w:p>
          <w:p w14:paraId="2EC899C4">
            <w:pPr>
              <w:snapToGrid w:val="0"/>
              <w:jc w:val="left"/>
              <w:rPr>
                <w:rFonts w:hint="eastAsia" w:eastAsia="仿宋_GB2312" w:asciiTheme="minorEastAsia" w:hAnsiTheme="minorEastAsia"/>
                <w:color w:val="000000"/>
                <w:szCs w:val="24"/>
                <w:highlight w:val="none"/>
                <w:lang w:val="en-US" w:eastAsia="zh-CN"/>
              </w:rPr>
            </w:pPr>
            <w:r>
              <w:rPr>
                <w:rFonts w:hint="eastAsia" w:asciiTheme="minorEastAsia" w:hAnsiTheme="minorEastAsia"/>
                <w:color w:val="000000"/>
                <w:szCs w:val="24"/>
                <w:highlight w:val="none"/>
              </w:rPr>
              <w:t>3.投资者可</w:t>
            </w:r>
            <w:r>
              <w:rPr>
                <w:rFonts w:hint="eastAsia" w:asciiTheme="minorEastAsia" w:hAnsiTheme="minorEastAsia"/>
                <w:b/>
                <w:color w:val="000000"/>
                <w:szCs w:val="24"/>
                <w:highlight w:val="none"/>
              </w:rPr>
              <w:t>在开放日</w:t>
            </w:r>
            <w:r>
              <w:rPr>
                <w:rFonts w:hint="eastAsia" w:asciiTheme="minorEastAsia" w:hAnsiTheme="minorEastAsia"/>
                <w:b/>
                <w:color w:val="000000"/>
                <w:szCs w:val="24"/>
                <w:highlight w:val="yellow"/>
                <w:lang w:eastAsia="zh-CN"/>
              </w:rPr>
              <w:t>【</w:t>
            </w:r>
            <w:r>
              <w:rPr>
                <w:rFonts w:hint="eastAsia" w:asciiTheme="minorEastAsia" w:hAnsiTheme="minorEastAsia"/>
                <w:b/>
                <w:color w:val="000000"/>
                <w:szCs w:val="24"/>
                <w:highlight w:val="yellow"/>
                <w:lang w:val="en-US" w:eastAsia="zh-CN"/>
              </w:rPr>
              <w:t>xx:xx</w:t>
            </w:r>
            <w:r>
              <w:rPr>
                <w:rFonts w:hint="eastAsia" w:asciiTheme="minorEastAsia" w:hAnsiTheme="minorEastAsia"/>
                <w:b/>
                <w:color w:val="000000"/>
                <w:szCs w:val="24"/>
                <w:highlight w:val="yellow"/>
              </w:rPr>
              <w:t>】</w:t>
            </w:r>
            <w:r>
              <w:rPr>
                <w:rFonts w:hint="eastAsia" w:asciiTheme="minorEastAsia" w:hAnsiTheme="minorEastAsia"/>
                <w:b/>
                <w:color w:val="000000"/>
                <w:szCs w:val="24"/>
                <w:highlight w:val="none"/>
              </w:rPr>
              <w:t>前（含）撤销该</w:t>
            </w:r>
            <w:r>
              <w:rPr>
                <w:rFonts w:hint="eastAsia" w:asciiTheme="minorEastAsia" w:hAnsiTheme="minorEastAsia"/>
                <w:b/>
                <w:color w:val="000000"/>
                <w:szCs w:val="24"/>
                <w:highlight w:val="none"/>
                <w:lang w:eastAsia="zh-CN"/>
              </w:rPr>
              <w:t>开放</w:t>
            </w:r>
            <w:r>
              <w:rPr>
                <w:rFonts w:hint="eastAsia" w:asciiTheme="minorEastAsia" w:hAnsiTheme="minorEastAsia"/>
                <w:b/>
                <w:color w:val="000000"/>
                <w:szCs w:val="24"/>
                <w:highlight w:val="none"/>
              </w:rPr>
              <w:t>日已成功提交的理财产品申购、赎回申请，</w:t>
            </w:r>
            <w:r>
              <w:rPr>
                <w:rFonts w:hint="eastAsia" w:asciiTheme="minorEastAsia" w:hAnsiTheme="minorEastAsia"/>
                <w:b/>
                <w:color w:val="000000"/>
                <w:szCs w:val="24"/>
                <w:highlight w:val="yellow"/>
                <w:lang w:eastAsia="zh-CN"/>
              </w:rPr>
              <w:t>【</w:t>
            </w:r>
            <w:r>
              <w:rPr>
                <w:rFonts w:hint="eastAsia" w:asciiTheme="minorEastAsia" w:hAnsiTheme="minorEastAsia"/>
                <w:b/>
                <w:color w:val="000000"/>
                <w:szCs w:val="24"/>
                <w:highlight w:val="yellow"/>
                <w:lang w:val="en-US" w:eastAsia="zh-CN"/>
              </w:rPr>
              <w:t>xx:xx</w:t>
            </w:r>
            <w:r>
              <w:rPr>
                <w:rFonts w:hint="eastAsia" w:asciiTheme="minorEastAsia" w:hAnsiTheme="minorEastAsia"/>
                <w:b/>
                <w:color w:val="000000"/>
                <w:szCs w:val="24"/>
                <w:highlight w:val="yellow"/>
              </w:rPr>
              <w:t>】</w:t>
            </w:r>
            <w:r>
              <w:rPr>
                <w:rFonts w:hint="eastAsia" w:asciiTheme="minorEastAsia" w:hAnsiTheme="minorEastAsia"/>
                <w:b/>
                <w:color w:val="000000"/>
                <w:szCs w:val="24"/>
                <w:highlight w:val="none"/>
              </w:rPr>
              <w:t>后不可撤销</w:t>
            </w:r>
            <w:r>
              <w:rPr>
                <w:rFonts w:hint="eastAsia" w:asciiTheme="minorEastAsia" w:hAnsiTheme="minorEastAsia"/>
                <w:b/>
                <w:color w:val="000000"/>
                <w:szCs w:val="24"/>
                <w:highlight w:val="none"/>
                <w:lang w:eastAsia="zh-CN"/>
              </w:rPr>
              <w:t>。</w:t>
            </w:r>
          </w:p>
          <w:p w14:paraId="299675EC">
            <w:pPr>
              <w:snapToGrid w:val="0"/>
              <w:jc w:val="left"/>
              <w:rPr>
                <w:rFonts w:hint="eastAsia" w:ascii="仿宋" w:hAnsi="仿宋" w:eastAsia="仿宋" w:cs="宋体"/>
                <w:bCs/>
                <w:color w:val="auto"/>
                <w:kern w:val="0"/>
                <w:sz w:val="24"/>
                <w:highlight w:val="none"/>
                <w:lang w:bidi="ar"/>
              </w:rPr>
            </w:pPr>
            <w:r>
              <w:rPr>
                <w:rFonts w:hint="eastAsia" w:asciiTheme="minorEastAsia" w:hAnsiTheme="minorEastAsia"/>
                <w:color w:val="000000"/>
                <w:szCs w:val="24"/>
                <w:highlight w:val="none"/>
              </w:rPr>
              <w:t>3.</w:t>
            </w:r>
            <w:r>
              <w:rPr>
                <w:rFonts w:hint="eastAsia"/>
                <w:b/>
                <w:szCs w:val="24"/>
                <w:highlight w:val="none"/>
              </w:rPr>
              <w:t>销售机构实际受理撤销申请时间可能与说明书不一致，具体以销售机构展示为准。</w:t>
            </w:r>
          </w:p>
        </w:tc>
      </w:tr>
      <w:tr w14:paraId="1E1C5BA5">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9D362E6">
            <w:pPr>
              <w:snapToGrid w:val="0"/>
              <w:ind w:left="-140" w:leftChars="-74" w:hanging="15" w:firstLineChars="0"/>
              <w:jc w:val="center"/>
              <w:rPr>
                <w:rFonts w:hint="eastAsia" w:ascii="仿宋_GB2312" w:hAnsi="等线" w:eastAsia="仿宋_GB2312" w:cs="仿宋_GB2312"/>
                <w:color w:val="auto"/>
                <w:kern w:val="0"/>
                <w:sz w:val="24"/>
                <w:highlight w:val="none"/>
                <w:lang w:bidi="ar"/>
              </w:rPr>
            </w:pPr>
            <w:r>
              <w:rPr>
                <w:rFonts w:hint="eastAsia" w:ascii="宋体" w:hAnsi="宋体"/>
                <w:bCs/>
                <w:color w:val="auto"/>
                <w:szCs w:val="24"/>
                <w:highlight w:val="none"/>
                <w:u w:val="none"/>
              </w:rPr>
              <w:t>认/申购数量</w:t>
            </w:r>
            <w:r>
              <w:rPr>
                <w:rFonts w:ascii="宋体" w:hAnsi="宋体"/>
                <w:bCs/>
                <w:color w:val="auto"/>
                <w:szCs w:val="24"/>
                <w:highlight w:val="none"/>
                <w:u w:val="none"/>
              </w:rPr>
              <w:t>限制</w:t>
            </w:r>
          </w:p>
        </w:tc>
        <w:tc>
          <w:tcPr>
            <w:tcW w:w="6972" w:type="dxa"/>
            <w:tcBorders>
              <w:top w:val="single" w:color="auto" w:sz="4" w:space="0"/>
              <w:left w:val="single" w:color="auto" w:sz="4" w:space="0"/>
              <w:bottom w:val="single" w:color="auto" w:sz="4" w:space="0"/>
              <w:right w:val="single" w:color="auto" w:sz="4" w:space="0"/>
            </w:tcBorders>
            <w:vAlign w:val="center"/>
          </w:tcPr>
          <w:p w14:paraId="4455900D">
            <w:pPr>
              <w:widowControl/>
              <w:numPr>
                <w:ilvl w:val="0"/>
                <w:numId w:val="6"/>
              </w:numPr>
              <w:jc w:val="left"/>
              <w:rPr>
                <w:rFonts w:asciiTheme="minorEastAsia" w:hAnsiTheme="minorEastAsia"/>
                <w:color w:val="auto"/>
                <w:szCs w:val="24"/>
                <w:highlight w:val="none"/>
                <w:u w:val="none"/>
              </w:rPr>
            </w:pPr>
            <w:r>
              <w:rPr>
                <w:rFonts w:hint="eastAsia" w:ascii="宋体" w:hAnsi="宋体"/>
                <w:bCs/>
                <w:color w:val="auto"/>
                <w:szCs w:val="24"/>
                <w:highlight w:val="yellow"/>
                <w:u w:val="none"/>
                <w:lang w:val="en-US" w:eastAsia="zh-CN"/>
              </w:rPr>
              <w:t>【A类份额】</w:t>
            </w:r>
            <w:r>
              <w:rPr>
                <w:rFonts w:hint="eastAsia" w:ascii="宋体" w:hAnsi="宋体"/>
                <w:bCs/>
                <w:color w:val="auto"/>
                <w:szCs w:val="24"/>
                <w:highlight w:val="none"/>
                <w:u w:val="none"/>
                <w:lang w:val="en-US" w:eastAsia="zh-CN"/>
              </w:rPr>
              <w:t>：</w:t>
            </w:r>
            <w:r>
              <w:rPr>
                <w:rFonts w:hint="eastAsia" w:ascii="宋体" w:hAnsi="宋体"/>
                <w:bCs/>
                <w:color w:val="auto"/>
                <w:szCs w:val="24"/>
                <w:highlight w:val="yellow"/>
                <w:u w:val="none"/>
                <w:lang w:val="en-US" w:eastAsia="zh-CN"/>
              </w:rPr>
              <w:t>【</w:t>
            </w:r>
            <w:r>
              <w:rPr>
                <w:rFonts w:hint="eastAsia" w:ascii="宋体" w:hAnsi="宋体"/>
                <w:bCs/>
                <w:color w:val="auto"/>
                <w:szCs w:val="24"/>
                <w:highlight w:val="yellow"/>
                <w:u w:val="none"/>
                <w:lang w:eastAsia="zh-CN"/>
              </w:rPr>
              <w:t>单一</w:t>
            </w:r>
            <w:r>
              <w:rPr>
                <w:rFonts w:hint="eastAsia" w:ascii="宋体" w:hAnsi="宋体"/>
                <w:bCs/>
                <w:color w:val="auto"/>
                <w:szCs w:val="24"/>
                <w:highlight w:val="yellow"/>
                <w:u w:val="none"/>
                <w:lang w:val="en-US" w:eastAsia="zh-CN"/>
              </w:rPr>
              <w:t>/个人/机构</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投资者认购上限为</w:t>
            </w:r>
            <w:r>
              <w:rPr>
                <w:rFonts w:hint="eastAsia" w:ascii="宋体" w:hAnsi="宋体"/>
                <w:bCs/>
                <w:color w:val="auto"/>
                <w:szCs w:val="24"/>
                <w:highlight w:val="yellow"/>
                <w:u w:val="none"/>
              </w:rPr>
              <w:t>【】</w:t>
            </w:r>
            <w:r>
              <w:rPr>
                <w:rFonts w:hint="eastAsia" w:ascii="宋体" w:hAnsi="宋体"/>
                <w:bCs/>
                <w:color w:val="auto"/>
                <w:szCs w:val="24"/>
                <w:highlight w:val="none"/>
                <w:u w:val="none"/>
              </w:rPr>
              <w:t>万元。</w:t>
            </w:r>
            <w:r>
              <w:rPr>
                <w:rFonts w:hint="eastAsia" w:ascii="宋体" w:hAnsi="宋体"/>
                <w:bCs/>
                <w:color w:val="auto"/>
                <w:szCs w:val="24"/>
                <w:highlight w:val="yellow"/>
                <w:u w:val="none"/>
                <w:lang w:val="en-US" w:eastAsia="zh-CN"/>
              </w:rPr>
              <w:t>【</w:t>
            </w:r>
            <w:r>
              <w:rPr>
                <w:rFonts w:hint="eastAsia" w:ascii="宋体" w:hAnsi="宋体"/>
                <w:bCs/>
                <w:color w:val="auto"/>
                <w:szCs w:val="24"/>
                <w:highlight w:val="yellow"/>
                <w:u w:val="none"/>
                <w:lang w:eastAsia="zh-CN"/>
              </w:rPr>
              <w:t>单一</w:t>
            </w:r>
            <w:r>
              <w:rPr>
                <w:rFonts w:hint="eastAsia" w:ascii="宋体" w:hAnsi="宋体"/>
                <w:bCs/>
                <w:color w:val="auto"/>
                <w:szCs w:val="24"/>
                <w:highlight w:val="yellow"/>
                <w:u w:val="none"/>
                <w:lang w:val="en-US" w:eastAsia="zh-CN"/>
              </w:rPr>
              <w:t>/个人/机构</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投资者申购上限为</w:t>
            </w:r>
            <w:r>
              <w:rPr>
                <w:rFonts w:hint="eastAsia" w:ascii="宋体" w:hAnsi="宋体"/>
                <w:bCs/>
                <w:color w:val="auto"/>
                <w:szCs w:val="24"/>
                <w:highlight w:val="yellow"/>
                <w:u w:val="none"/>
              </w:rPr>
              <w:t>【】</w:t>
            </w:r>
            <w:r>
              <w:rPr>
                <w:rFonts w:hint="eastAsia" w:ascii="宋体" w:hAnsi="宋体"/>
                <w:bCs/>
                <w:color w:val="auto"/>
                <w:szCs w:val="24"/>
                <w:highlight w:val="none"/>
                <w:u w:val="none"/>
              </w:rPr>
              <w:t>万元，在产品运作过程中因收益分配、净值波动等被动超上限的情形除外。</w:t>
            </w:r>
          </w:p>
          <w:p w14:paraId="78E8E889">
            <w:pPr>
              <w:widowControl/>
              <w:numPr>
                <w:ilvl w:val="0"/>
                <w:numId w:val="6"/>
              </w:numPr>
              <w:jc w:val="left"/>
              <w:rPr>
                <w:rFonts w:asciiTheme="minorEastAsia" w:hAnsiTheme="minorEastAsia"/>
                <w:color w:val="auto"/>
                <w:szCs w:val="24"/>
                <w:highlight w:val="none"/>
                <w:u w:val="none"/>
              </w:rPr>
            </w:pPr>
            <w:r>
              <w:rPr>
                <w:rFonts w:hint="eastAsia" w:ascii="宋体" w:hAnsi="宋体"/>
                <w:bCs/>
                <w:color w:val="auto"/>
                <w:szCs w:val="24"/>
                <w:highlight w:val="none"/>
                <w:u w:val="none"/>
              </w:rPr>
              <w:t>如果</w:t>
            </w:r>
            <w:r>
              <w:rPr>
                <w:rFonts w:ascii="宋体" w:hAnsi="宋体"/>
                <w:bCs/>
                <w:color w:val="auto"/>
                <w:szCs w:val="24"/>
                <w:highlight w:val="none"/>
                <w:u w:val="none"/>
              </w:rPr>
              <w:t>单一投资者</w:t>
            </w:r>
            <w:r>
              <w:rPr>
                <w:rFonts w:hint="eastAsia" w:ascii="宋体" w:hAnsi="宋体"/>
                <w:bCs/>
                <w:color w:val="auto"/>
                <w:szCs w:val="24"/>
                <w:highlight w:val="none"/>
                <w:u w:val="none"/>
              </w:rPr>
              <w:t>认购或申购申请确认后将导致其持有份额超过产品总份额</w:t>
            </w:r>
            <w:r>
              <w:rPr>
                <w:rFonts w:ascii="宋体" w:hAnsi="宋体"/>
                <w:bCs/>
                <w:color w:val="auto"/>
                <w:szCs w:val="24"/>
                <w:highlight w:val="none"/>
                <w:u w:val="none"/>
              </w:rPr>
              <w:t>50%</w:t>
            </w:r>
            <w:r>
              <w:rPr>
                <w:rFonts w:hint="eastAsia" w:ascii="宋体" w:hAnsi="宋体"/>
                <w:bCs/>
                <w:color w:val="auto"/>
                <w:szCs w:val="24"/>
                <w:highlight w:val="none"/>
                <w:u w:val="none"/>
              </w:rPr>
              <w:t>的</w:t>
            </w:r>
            <w:r>
              <w:rPr>
                <w:rFonts w:ascii="宋体" w:hAnsi="宋体"/>
                <w:bCs/>
                <w:color w:val="auto"/>
                <w:szCs w:val="24"/>
                <w:highlight w:val="none"/>
                <w:u w:val="none"/>
              </w:rPr>
              <w:t>，管理人有权拒绝或暂停</w:t>
            </w:r>
            <w:r>
              <w:rPr>
                <w:rFonts w:hint="eastAsia" w:ascii="宋体" w:hAnsi="宋体"/>
                <w:bCs/>
                <w:color w:val="auto"/>
                <w:szCs w:val="24"/>
                <w:highlight w:val="none"/>
                <w:u w:val="none"/>
              </w:rPr>
              <w:t>接受超出部分的</w:t>
            </w:r>
            <w:r>
              <w:rPr>
                <w:rFonts w:ascii="宋体" w:hAnsi="宋体"/>
                <w:bCs/>
                <w:color w:val="auto"/>
                <w:szCs w:val="24"/>
                <w:highlight w:val="none"/>
                <w:u w:val="none"/>
              </w:rPr>
              <w:t>认购、申购</w:t>
            </w:r>
            <w:r>
              <w:rPr>
                <w:rFonts w:hint="eastAsia" w:ascii="宋体" w:hAnsi="宋体"/>
                <w:bCs/>
                <w:color w:val="auto"/>
                <w:szCs w:val="24"/>
                <w:highlight w:val="none"/>
                <w:u w:val="none"/>
              </w:rPr>
              <w:t>申请</w:t>
            </w:r>
            <w:r>
              <w:rPr>
                <w:rFonts w:ascii="宋体" w:hAnsi="宋体"/>
                <w:bCs/>
                <w:color w:val="auto"/>
                <w:szCs w:val="24"/>
                <w:highlight w:val="none"/>
                <w:u w:val="none"/>
              </w:rPr>
              <w:t>。非因管理人主观因素导致突破该比例限制的，在单一投资者持有比例降至50%以下之前，管理人不再接受该投资者对本产品的认购</w:t>
            </w:r>
            <w:r>
              <w:rPr>
                <w:rFonts w:hint="eastAsia" w:ascii="宋体" w:hAnsi="宋体"/>
                <w:bCs/>
                <w:color w:val="auto"/>
                <w:szCs w:val="24"/>
                <w:highlight w:val="none"/>
                <w:u w:val="none"/>
              </w:rPr>
              <w:t>、申购申请。投资者持有份额的计算以管理人登记为准。</w:t>
            </w:r>
          </w:p>
          <w:p w14:paraId="1AC71BB8">
            <w:pPr>
              <w:widowControl/>
              <w:numPr>
                <w:ilvl w:val="-1"/>
                <w:numId w:val="0"/>
              </w:numPr>
              <w:ind w:left="0" w:leftChars="0" w:firstLine="0" w:firstLineChars="0"/>
              <w:jc w:val="left"/>
              <w:rPr>
                <w:rFonts w:hint="eastAsia" w:ascii="仿宋" w:hAnsi="仿宋" w:eastAsia="仿宋" w:cs="宋体"/>
                <w:bCs/>
                <w:color w:val="auto"/>
                <w:kern w:val="0"/>
                <w:sz w:val="24"/>
                <w:highlight w:val="none"/>
                <w:lang w:bidi="ar"/>
              </w:rPr>
            </w:pPr>
            <w:r>
              <w:rPr>
                <w:rFonts w:hint="eastAsia" w:ascii="宋体" w:hAnsi="宋体"/>
                <w:bCs/>
                <w:color w:val="auto"/>
                <w:szCs w:val="24"/>
                <w:highlight w:val="none"/>
                <w:u w:val="none"/>
                <w:lang w:val="en-US" w:eastAsia="zh-CN"/>
              </w:rPr>
              <w:t>3.</w:t>
            </w:r>
            <w:r>
              <w:rPr>
                <w:rFonts w:hint="eastAsia" w:ascii="宋体" w:hAnsi="宋体"/>
                <w:bCs/>
                <w:color w:val="auto"/>
                <w:szCs w:val="24"/>
                <w:highlight w:val="none"/>
                <w:u w:val="none"/>
              </w:rPr>
              <w:t>如投资者认/申购超过上述限额，管理人有权根据实际情况接受、拒绝或确认失败。</w:t>
            </w:r>
            <w:r>
              <w:rPr>
                <w:rFonts w:hint="eastAsia" w:ascii="宋体" w:hAnsi="宋体"/>
                <w:b/>
                <w:bCs w:val="0"/>
                <w:color w:val="auto"/>
                <w:szCs w:val="24"/>
                <w:highlight w:val="none"/>
                <w:u w:val="none"/>
              </w:rPr>
              <w:t>管理人有权以公告形式调整投资者累计认/申购上限。</w:t>
            </w:r>
          </w:p>
        </w:tc>
      </w:tr>
      <w:tr w14:paraId="529030B3">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67711EE7">
            <w:pPr>
              <w:snapToGrid w:val="0"/>
              <w:ind w:left="-140" w:leftChars="-74" w:hanging="15" w:firstLineChars="0"/>
              <w:jc w:val="center"/>
              <w:rPr>
                <w:rFonts w:hint="eastAsia" w:ascii="宋体" w:hAnsi="宋体"/>
                <w:bCs/>
                <w:color w:val="auto"/>
                <w:szCs w:val="24"/>
                <w:highlight w:val="none"/>
                <w:u w:val="none"/>
              </w:rPr>
            </w:pPr>
            <w:r>
              <w:rPr>
                <w:rFonts w:hint="eastAsia" w:ascii="宋体" w:hAnsi="宋体"/>
                <w:bCs/>
                <w:color w:val="auto"/>
                <w:szCs w:val="24"/>
                <w:highlight w:val="none"/>
                <w:u w:val="none"/>
              </w:rPr>
              <w:t>最高持有限额</w:t>
            </w:r>
          </w:p>
        </w:tc>
        <w:tc>
          <w:tcPr>
            <w:tcW w:w="6972" w:type="dxa"/>
            <w:tcBorders>
              <w:top w:val="single" w:color="auto" w:sz="4" w:space="0"/>
              <w:left w:val="single" w:color="auto" w:sz="4" w:space="0"/>
              <w:bottom w:val="single" w:color="auto" w:sz="4" w:space="0"/>
              <w:right w:val="single" w:color="auto" w:sz="4" w:space="0"/>
            </w:tcBorders>
            <w:vAlign w:val="center"/>
          </w:tcPr>
          <w:p w14:paraId="5EA00599">
            <w:pPr>
              <w:keepNext w:val="0"/>
              <w:keepLines w:val="0"/>
              <w:widowControl/>
              <w:numPr>
                <w:ilvl w:val="0"/>
                <w:numId w:val="0"/>
              </w:numPr>
              <w:suppressLineNumbers w:val="0"/>
              <w:jc w:val="left"/>
              <w:rPr>
                <w:rFonts w:hint="eastAsia" w:ascii="宋体" w:hAnsi="宋体"/>
                <w:b/>
                <w:color w:val="auto"/>
                <w:szCs w:val="24"/>
                <w:highlight w:val="none"/>
                <w:u w:val="none"/>
              </w:rPr>
            </w:pPr>
            <w:r>
              <w:rPr>
                <w:rFonts w:hint="eastAsia" w:ascii="宋体" w:hAnsi="宋体" w:eastAsia="仿宋_GB2312" w:cstheme="minorBidi"/>
                <w:b/>
                <w:bCs w:val="0"/>
                <w:color w:val="auto"/>
                <w:kern w:val="2"/>
                <w:sz w:val="24"/>
                <w:szCs w:val="24"/>
                <w:highlight w:val="none"/>
                <w:u w:val="none"/>
                <w:lang w:val="en-US" w:eastAsia="zh-CN" w:bidi="ar"/>
              </w:rPr>
              <w:t>单一投资者持有份额</w:t>
            </w:r>
            <w:r>
              <w:rPr>
                <w:rFonts w:hint="eastAsia" w:ascii="宋体" w:hAnsi="宋体" w:cstheme="minorBidi"/>
                <w:b/>
                <w:bCs w:val="0"/>
                <w:color w:val="auto"/>
                <w:kern w:val="2"/>
                <w:sz w:val="24"/>
                <w:szCs w:val="24"/>
                <w:highlight w:val="yellow"/>
                <w:u w:val="none"/>
                <w:lang w:val="en-US" w:eastAsia="zh-CN" w:bidi="ar"/>
              </w:rPr>
              <w:t>【不得/可以】</w:t>
            </w:r>
            <w:r>
              <w:rPr>
                <w:rFonts w:hint="eastAsia" w:ascii="宋体" w:hAnsi="宋体" w:eastAsia="仿宋_GB2312" w:cstheme="minorBidi"/>
                <w:b/>
                <w:bCs w:val="0"/>
                <w:color w:val="auto"/>
                <w:kern w:val="2"/>
                <w:sz w:val="24"/>
                <w:szCs w:val="24"/>
                <w:highlight w:val="none"/>
                <w:u w:val="none"/>
                <w:lang w:val="en-US" w:eastAsia="zh-CN" w:bidi="ar"/>
              </w:rPr>
              <w:t>超过本理财产品总份额的50%。</w:t>
            </w:r>
          </w:p>
          <w:p w14:paraId="70AF1DDB">
            <w:pPr>
              <w:widowControl/>
              <w:numPr>
                <w:ilvl w:val="-1"/>
                <w:numId w:val="0"/>
              </w:numPr>
              <w:jc w:val="left"/>
              <w:rPr>
                <w:rFonts w:hint="eastAsia" w:ascii="宋体" w:hAnsi="宋体"/>
                <w:b/>
                <w:bCs w:val="0"/>
                <w:color w:val="auto"/>
                <w:szCs w:val="24"/>
                <w:highlight w:val="none"/>
                <w:u w:val="none"/>
                <w:lang w:val="en-US" w:eastAsia="zh-CN"/>
              </w:rPr>
            </w:pPr>
            <w:r>
              <w:rPr>
                <w:rFonts w:hint="eastAsia" w:ascii="宋体" w:hAnsi="宋体"/>
                <w:b/>
                <w:bCs w:val="0"/>
                <w:color w:val="auto"/>
                <w:szCs w:val="24"/>
                <w:highlight w:val="none"/>
                <w:u w:val="none"/>
                <w:lang w:val="en-US" w:eastAsia="zh-CN"/>
              </w:rPr>
              <w:t>如销售机构规定与本规则不一致的，则以各销售机构规定为准，但不得高于最高持有限额。</w:t>
            </w:r>
          </w:p>
        </w:tc>
      </w:tr>
      <w:tr w14:paraId="5E186C4A">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5CDAE63">
            <w:pPr>
              <w:snapToGrid w:val="0"/>
              <w:ind w:left="-140" w:leftChars="-74" w:hanging="15" w:firstLineChars="0"/>
              <w:jc w:val="center"/>
              <w:rPr>
                <w:rFonts w:hint="eastAsia" w:ascii="仿宋_GB2312" w:hAnsi="等线" w:eastAsia="仿宋_GB2312" w:cs="仿宋_GB2312"/>
                <w:color w:val="auto"/>
                <w:kern w:val="0"/>
                <w:sz w:val="24"/>
                <w:highlight w:val="none"/>
                <w:lang w:bidi="ar"/>
              </w:rPr>
            </w:pPr>
            <w:r>
              <w:rPr>
                <w:rFonts w:hint="eastAsia" w:ascii="宋体" w:hAnsi="宋体"/>
                <w:bCs/>
                <w:color w:val="auto"/>
                <w:szCs w:val="24"/>
                <w:highlight w:val="none"/>
                <w:u w:val="none"/>
              </w:rPr>
              <w:t>赎回</w:t>
            </w:r>
            <w:r>
              <w:rPr>
                <w:rFonts w:ascii="宋体" w:hAnsi="宋体"/>
                <w:bCs/>
                <w:color w:val="auto"/>
                <w:szCs w:val="24"/>
                <w:highlight w:val="none"/>
                <w:u w:val="none"/>
              </w:rPr>
              <w:t>数量限制</w:t>
            </w:r>
          </w:p>
        </w:tc>
        <w:tc>
          <w:tcPr>
            <w:tcW w:w="6972" w:type="dxa"/>
            <w:tcBorders>
              <w:top w:val="single" w:color="auto" w:sz="4" w:space="0"/>
              <w:left w:val="single" w:color="auto" w:sz="4" w:space="0"/>
              <w:bottom w:val="single" w:color="auto" w:sz="4" w:space="0"/>
              <w:right w:val="single" w:color="auto" w:sz="4" w:space="0"/>
            </w:tcBorders>
            <w:vAlign w:val="center"/>
          </w:tcPr>
          <w:p w14:paraId="43D9C0DE">
            <w:pPr>
              <w:widowControl/>
              <w:numPr>
                <w:ilvl w:val="0"/>
                <w:numId w:val="7"/>
              </w:numPr>
              <w:jc w:val="left"/>
              <w:rPr>
                <w:rFonts w:ascii="宋体" w:hAnsi="宋体"/>
                <w:bCs/>
                <w:color w:val="auto"/>
                <w:szCs w:val="24"/>
                <w:highlight w:val="none"/>
                <w:u w:val="none"/>
              </w:rPr>
            </w:pPr>
            <w:r>
              <w:rPr>
                <w:rFonts w:hint="eastAsia" w:ascii="宋体" w:hAnsi="宋体"/>
                <w:color w:val="auto"/>
                <w:szCs w:val="24"/>
                <w:highlight w:val="yellow"/>
                <w:u w:val="none"/>
                <w:lang w:val="en-US" w:eastAsia="zh-CN"/>
              </w:rPr>
              <w:t>【】</w:t>
            </w:r>
            <w:r>
              <w:rPr>
                <w:rFonts w:hint="eastAsia" w:ascii="宋体" w:hAnsi="宋体"/>
                <w:color w:val="auto"/>
                <w:szCs w:val="24"/>
                <w:highlight w:val="none"/>
                <w:u w:val="none"/>
                <w:lang w:val="en-US" w:eastAsia="zh-CN"/>
              </w:rPr>
              <w:t>：</w:t>
            </w:r>
            <w:r>
              <w:rPr>
                <w:rFonts w:hint="eastAsia" w:ascii="宋体" w:hAnsi="宋体"/>
                <w:color w:val="auto"/>
                <w:szCs w:val="24"/>
                <w:highlight w:val="none"/>
                <w:u w:val="none"/>
              </w:rPr>
              <w:t>单笔最小赎回份额</w:t>
            </w:r>
            <w:r>
              <w:rPr>
                <w:rFonts w:hint="eastAsia" w:ascii="宋体" w:hAnsi="宋体"/>
                <w:color w:val="auto"/>
                <w:szCs w:val="24"/>
                <w:highlight w:val="yellow"/>
                <w:u w:val="none"/>
              </w:rPr>
              <w:t>【</w:t>
            </w:r>
            <w:r>
              <w:rPr>
                <w:rFonts w:ascii="宋体" w:hAnsi="宋体"/>
                <w:color w:val="auto"/>
                <w:szCs w:val="24"/>
                <w:highlight w:val="yellow"/>
                <w:u w:val="none"/>
              </w:rPr>
              <w:t>】</w:t>
            </w:r>
            <w:r>
              <w:rPr>
                <w:rFonts w:hint="eastAsia" w:ascii="宋体" w:hAnsi="宋体"/>
                <w:color w:val="auto"/>
                <w:szCs w:val="24"/>
                <w:highlight w:val="none"/>
                <w:u w:val="none"/>
                <w:lang w:eastAsia="zh-CN"/>
              </w:rPr>
              <w:t>份</w:t>
            </w:r>
            <w:r>
              <w:rPr>
                <w:rFonts w:hint="eastAsia" w:ascii="宋体" w:hAnsi="宋体"/>
                <w:bCs/>
                <w:color w:val="auto"/>
                <w:szCs w:val="24"/>
                <w:highlight w:val="none"/>
                <w:u w:val="none"/>
              </w:rPr>
              <w:t>。</w:t>
            </w:r>
            <w:r>
              <w:rPr>
                <w:rFonts w:ascii="宋体" w:hAnsi="宋体"/>
                <w:bCs/>
                <w:color w:val="auto"/>
                <w:szCs w:val="24"/>
                <w:highlight w:val="none"/>
                <w:u w:val="none"/>
              </w:rPr>
              <w:t xml:space="preserve"> </w:t>
            </w:r>
          </w:p>
          <w:p w14:paraId="254A5738">
            <w:pPr>
              <w:widowControl/>
              <w:numPr>
                <w:ilvl w:val="0"/>
                <w:numId w:val="7"/>
              </w:numPr>
              <w:jc w:val="left"/>
              <w:rPr>
                <w:rFonts w:ascii="宋体" w:hAnsi="宋体"/>
                <w:bCs/>
                <w:color w:val="auto"/>
                <w:szCs w:val="24"/>
                <w:highlight w:val="none"/>
                <w:u w:val="none"/>
              </w:rPr>
            </w:pPr>
            <w:r>
              <w:rPr>
                <w:rFonts w:hint="eastAsia" w:ascii="宋体" w:hAnsi="宋体"/>
                <w:color w:val="auto"/>
                <w:szCs w:val="24"/>
                <w:highlight w:val="yellow"/>
                <w:u w:val="none"/>
                <w:lang w:val="en-US" w:eastAsia="zh-CN"/>
              </w:rPr>
              <w:t>【】</w:t>
            </w:r>
            <w:r>
              <w:rPr>
                <w:rFonts w:hint="eastAsia" w:ascii="宋体" w:hAnsi="宋体"/>
                <w:color w:val="auto"/>
                <w:szCs w:val="24"/>
                <w:highlight w:val="none"/>
                <w:u w:val="none"/>
                <w:lang w:val="en-US" w:eastAsia="zh-CN"/>
              </w:rPr>
              <w:t>：</w:t>
            </w:r>
            <w:r>
              <w:rPr>
                <w:rFonts w:hint="eastAsia" w:ascii="宋体" w:hAnsi="宋体"/>
                <w:color w:val="auto"/>
                <w:szCs w:val="24"/>
                <w:highlight w:val="none"/>
                <w:u w:val="none"/>
              </w:rPr>
              <w:t>单笔最</w:t>
            </w:r>
            <w:r>
              <w:rPr>
                <w:rFonts w:hint="eastAsia" w:ascii="宋体" w:hAnsi="宋体"/>
                <w:color w:val="auto"/>
                <w:szCs w:val="24"/>
                <w:highlight w:val="none"/>
                <w:u w:val="none"/>
                <w:lang w:eastAsia="zh-CN"/>
              </w:rPr>
              <w:t>大</w:t>
            </w:r>
            <w:r>
              <w:rPr>
                <w:rFonts w:hint="eastAsia" w:ascii="宋体" w:hAnsi="宋体"/>
                <w:color w:val="auto"/>
                <w:szCs w:val="24"/>
                <w:highlight w:val="none"/>
                <w:u w:val="none"/>
              </w:rPr>
              <w:t>赎回份额</w:t>
            </w:r>
            <w:r>
              <w:rPr>
                <w:rFonts w:hint="eastAsia" w:ascii="宋体" w:hAnsi="宋体"/>
                <w:color w:val="auto"/>
                <w:szCs w:val="24"/>
                <w:highlight w:val="yellow"/>
                <w:u w:val="none"/>
              </w:rPr>
              <w:t>【</w:t>
            </w:r>
            <w:r>
              <w:rPr>
                <w:rFonts w:ascii="宋体" w:hAnsi="宋体"/>
                <w:color w:val="auto"/>
                <w:szCs w:val="24"/>
                <w:highlight w:val="yellow"/>
                <w:u w:val="none"/>
              </w:rPr>
              <w:t>】</w:t>
            </w:r>
            <w:r>
              <w:rPr>
                <w:rFonts w:hint="eastAsia" w:ascii="宋体" w:hAnsi="宋体"/>
                <w:color w:val="auto"/>
                <w:szCs w:val="24"/>
                <w:highlight w:val="none"/>
                <w:u w:val="none"/>
                <w:lang w:eastAsia="zh-CN"/>
              </w:rPr>
              <w:t>份</w:t>
            </w:r>
            <w:r>
              <w:rPr>
                <w:rFonts w:hint="eastAsia" w:ascii="宋体" w:hAnsi="宋体"/>
                <w:bCs/>
                <w:color w:val="auto"/>
                <w:szCs w:val="24"/>
                <w:highlight w:val="none"/>
                <w:u w:val="none"/>
              </w:rPr>
              <w:t>。</w:t>
            </w:r>
            <w:r>
              <w:rPr>
                <w:rFonts w:ascii="宋体" w:hAnsi="宋体"/>
                <w:bCs/>
                <w:color w:val="auto"/>
                <w:szCs w:val="24"/>
                <w:highlight w:val="none"/>
                <w:u w:val="none"/>
              </w:rPr>
              <w:t xml:space="preserve"> </w:t>
            </w:r>
          </w:p>
          <w:p w14:paraId="0CBA5FFB">
            <w:pPr>
              <w:widowControl/>
              <w:numPr>
                <w:ilvl w:val="0"/>
                <w:numId w:val="7"/>
              </w:numPr>
              <w:jc w:val="left"/>
              <w:rPr>
                <w:rFonts w:ascii="宋体" w:hAnsi="宋体"/>
                <w:bCs/>
                <w:color w:val="auto"/>
                <w:szCs w:val="24"/>
                <w:highlight w:val="none"/>
                <w:u w:val="none"/>
              </w:rPr>
            </w:pPr>
            <w:r>
              <w:rPr>
                <w:rFonts w:hint="eastAsia" w:ascii="宋体" w:hAnsi="宋体"/>
                <w:bCs/>
                <w:color w:val="auto"/>
                <w:szCs w:val="24"/>
                <w:highlight w:val="none"/>
                <w:u w:val="none"/>
              </w:rPr>
              <w:t>投资者可全部或部分赎回其理财份额，但是部分赎回后单一投资者持有产品份额不得低于【/】份。受理财</w:t>
            </w:r>
            <w:r>
              <w:rPr>
                <w:rFonts w:hint="eastAsia" w:ascii="宋体" w:hAnsi="宋体"/>
                <w:bCs/>
                <w:color w:val="auto"/>
                <w:szCs w:val="24"/>
                <w:highlight w:val="none"/>
                <w:u w:val="none"/>
                <w:lang w:eastAsia="zh-CN"/>
              </w:rPr>
              <w:t>收益</w:t>
            </w:r>
            <w:r>
              <w:rPr>
                <w:rFonts w:hint="eastAsia" w:ascii="宋体" w:hAnsi="宋体"/>
                <w:bCs/>
                <w:color w:val="auto"/>
                <w:szCs w:val="24"/>
                <w:highlight w:val="none"/>
                <w:u w:val="none"/>
              </w:rPr>
              <w:t>分配去尾规则的影响，投资者持有产品份额较低时可能无法取得利益。巨额赎回情景发生时，投资者的可赎回份额需要根据巨额赎回规则确定。</w:t>
            </w:r>
          </w:p>
          <w:p w14:paraId="3B987BCE">
            <w:pPr>
              <w:widowControl/>
              <w:numPr>
                <w:ilvl w:val="-1"/>
                <w:numId w:val="0"/>
              </w:numPr>
              <w:jc w:val="left"/>
              <w:rPr>
                <w:rFonts w:hint="eastAsia" w:ascii="仿宋" w:hAnsi="仿宋" w:eastAsia="仿宋" w:cs="宋体"/>
                <w:bCs/>
                <w:color w:val="auto"/>
                <w:kern w:val="0"/>
                <w:sz w:val="24"/>
                <w:highlight w:val="none"/>
                <w:lang w:bidi="ar"/>
              </w:rPr>
            </w:pPr>
            <w:r>
              <w:rPr>
                <w:rFonts w:hint="eastAsia" w:ascii="宋体" w:hAnsi="宋体"/>
                <w:b/>
                <w:bCs w:val="0"/>
                <w:color w:val="auto"/>
                <w:szCs w:val="24"/>
                <w:highlight w:val="none"/>
                <w:u w:val="none"/>
                <w:lang w:val="en-US" w:eastAsia="zh-CN"/>
              </w:rPr>
              <w:t>4.管</w:t>
            </w:r>
            <w:r>
              <w:rPr>
                <w:rFonts w:hint="eastAsia" w:ascii="宋体" w:hAnsi="宋体"/>
                <w:b/>
                <w:bCs w:val="0"/>
                <w:color w:val="auto"/>
                <w:szCs w:val="24"/>
                <w:highlight w:val="none"/>
                <w:u w:val="none"/>
              </w:rPr>
              <w:t>理人有权以公告形式设置或调整赎回上限。</w:t>
            </w:r>
          </w:p>
        </w:tc>
      </w:tr>
      <w:tr w14:paraId="11233B1E">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159EBF2">
            <w:pPr>
              <w:snapToGrid w:val="0"/>
              <w:ind w:left="-140" w:leftChars="-74" w:hanging="15" w:firstLineChars="0"/>
              <w:jc w:val="center"/>
              <w:rPr>
                <w:rFonts w:hint="eastAsia" w:ascii="仿宋_GB2312" w:hAnsi="等线" w:eastAsia="仿宋_GB2312" w:cs="仿宋_GB2312"/>
                <w:color w:val="auto"/>
                <w:kern w:val="0"/>
                <w:sz w:val="24"/>
                <w:highlight w:val="none"/>
                <w:lang w:bidi="ar"/>
              </w:rPr>
            </w:pPr>
            <w:r>
              <w:rPr>
                <w:rFonts w:hint="eastAsia" w:ascii="宋体" w:hAnsi="宋体"/>
                <w:color w:val="auto"/>
                <w:szCs w:val="24"/>
                <w:highlight w:val="none"/>
                <w:u w:val="none"/>
              </w:rPr>
              <w:t>产品份额净值</w:t>
            </w:r>
          </w:p>
        </w:tc>
        <w:tc>
          <w:tcPr>
            <w:tcW w:w="6972" w:type="dxa"/>
            <w:tcBorders>
              <w:top w:val="single" w:color="auto" w:sz="4" w:space="0"/>
              <w:left w:val="single" w:color="auto" w:sz="4" w:space="0"/>
              <w:bottom w:val="single" w:color="auto" w:sz="4" w:space="0"/>
              <w:right w:val="single" w:color="auto" w:sz="4" w:space="0"/>
            </w:tcBorders>
            <w:vAlign w:val="center"/>
          </w:tcPr>
          <w:p w14:paraId="43709610">
            <w:pPr>
              <w:snapToGrid w:val="0"/>
              <w:rPr>
                <w:rFonts w:ascii="宋体" w:hAnsi="宋体"/>
                <w:color w:val="auto"/>
                <w:szCs w:val="24"/>
                <w:highlight w:val="none"/>
                <w:u w:val="none"/>
              </w:rPr>
            </w:pPr>
            <w:r>
              <w:rPr>
                <w:rFonts w:hint="eastAsia" w:ascii="宋体" w:hAnsi="宋体"/>
                <w:color w:val="auto"/>
                <w:szCs w:val="24"/>
                <w:highlight w:val="none"/>
                <w:u w:val="none"/>
              </w:rPr>
              <w:t>理财产品份额净值是提取相关税费后单位理财产品份额的净值；份额净值随理财产品投资运行情况变化而变化。</w:t>
            </w:r>
          </w:p>
          <w:p w14:paraId="7EBA9ECA">
            <w:pPr>
              <w:snapToGrid w:val="0"/>
              <w:rPr>
                <w:rFonts w:ascii="宋体" w:hAnsi="宋体"/>
                <w:color w:val="auto"/>
                <w:szCs w:val="24"/>
                <w:highlight w:val="none"/>
                <w:u w:val="none"/>
              </w:rPr>
            </w:pPr>
            <w:r>
              <w:rPr>
                <w:rFonts w:hint="eastAsia" w:ascii="宋体" w:hAnsi="宋体"/>
                <w:color w:val="auto"/>
                <w:szCs w:val="24"/>
                <w:highlight w:val="none"/>
                <w:u w:val="none"/>
              </w:rPr>
              <w:t>本产品募集期内，投资者按份额净值进行认购。</w:t>
            </w:r>
          </w:p>
          <w:p w14:paraId="03C82027">
            <w:pPr>
              <w:snapToGrid w:val="0"/>
              <w:rPr>
                <w:rFonts w:hint="eastAsia" w:ascii="宋体" w:hAnsi="宋体" w:eastAsia="仿宋_GB2312"/>
                <w:b/>
                <w:bCs/>
                <w:color w:val="auto"/>
                <w:szCs w:val="24"/>
                <w:highlight w:val="none"/>
                <w:u w:val="none"/>
                <w:lang w:eastAsia="zh-CN"/>
              </w:rPr>
            </w:pPr>
            <w:r>
              <w:rPr>
                <w:rFonts w:hint="eastAsia" w:ascii="宋体" w:hAnsi="宋体"/>
                <w:b/>
                <w:bCs/>
                <w:color w:val="auto"/>
                <w:szCs w:val="24"/>
                <w:highlight w:val="none"/>
                <w:u w:val="none"/>
              </w:rPr>
              <w:t>本产品初始份额净值为1.00</w:t>
            </w:r>
            <w:r>
              <w:rPr>
                <w:rFonts w:hint="eastAsia" w:ascii="宋体" w:hAnsi="宋体"/>
                <w:b/>
                <w:bCs/>
                <w:color w:val="auto"/>
                <w:szCs w:val="24"/>
                <w:highlight w:val="none"/>
                <w:u w:val="none"/>
                <w:lang w:val="en-US" w:eastAsia="zh-CN"/>
              </w:rPr>
              <w:t>0000</w:t>
            </w:r>
            <w:r>
              <w:rPr>
                <w:rFonts w:hint="eastAsia" w:ascii="宋体" w:hAnsi="宋体"/>
                <w:b/>
                <w:bCs/>
                <w:color w:val="auto"/>
                <w:szCs w:val="24"/>
                <w:highlight w:val="none"/>
                <w:u w:val="none"/>
              </w:rPr>
              <w:t>元/份。</w:t>
            </w:r>
          </w:p>
        </w:tc>
      </w:tr>
      <w:tr w14:paraId="7ECBEEAA">
        <w:tblPrEx>
          <w:tblCellMar>
            <w:top w:w="0" w:type="dxa"/>
            <w:left w:w="108" w:type="dxa"/>
            <w:bottom w:w="0" w:type="dxa"/>
            <w:right w:w="108" w:type="dxa"/>
          </w:tblCellMar>
        </w:tblPrEx>
        <w:trPr>
          <w:trHeight w:val="643" w:hRule="atLeast"/>
        </w:trPr>
        <w:tc>
          <w:tcPr>
            <w:tcW w:w="2453" w:type="dxa"/>
            <w:tcBorders>
              <w:top w:val="single" w:color="auto" w:sz="4" w:space="0"/>
              <w:left w:val="single" w:color="auto" w:sz="4" w:space="0"/>
              <w:bottom w:val="single" w:color="auto" w:sz="4" w:space="0"/>
              <w:right w:val="single" w:color="auto" w:sz="4" w:space="0"/>
            </w:tcBorders>
            <w:vAlign w:val="center"/>
          </w:tcPr>
          <w:p w14:paraId="06BBD509">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000000" w:themeColor="text1"/>
                <w:kern w:val="0"/>
                <w:sz w:val="24"/>
                <w:lang w:bidi="ar"/>
                <w14:textFill>
                  <w14:solidFill>
                    <w14:schemeClr w14:val="tx1"/>
                  </w14:solidFill>
                </w14:textFill>
              </w:rPr>
              <w:t>收益分配方式</w:t>
            </w:r>
          </w:p>
        </w:tc>
        <w:tc>
          <w:tcPr>
            <w:tcW w:w="6972" w:type="dxa"/>
            <w:tcBorders>
              <w:top w:val="single" w:color="auto" w:sz="4" w:space="0"/>
              <w:left w:val="single" w:color="auto" w:sz="4" w:space="0"/>
              <w:bottom w:val="single" w:color="auto" w:sz="4" w:space="0"/>
              <w:right w:val="single" w:color="auto" w:sz="4" w:space="0"/>
            </w:tcBorders>
            <w:vAlign w:val="center"/>
          </w:tcPr>
          <w:p w14:paraId="763495EC">
            <w:pPr>
              <w:widowControl/>
              <w:spacing w:line="400" w:lineRule="exact"/>
              <w:jc w:val="left"/>
              <w:textAlignment w:val="center"/>
              <w:rPr>
                <w:rFonts w:hint="eastAsia" w:ascii="仿宋_GB2312" w:hAnsi="等线" w:cs="仿宋_GB2312"/>
                <w:bCs/>
                <w:color w:val="000000" w:themeColor="text1"/>
                <w:sz w:val="24"/>
                <w:highlight w:val="yellow"/>
                <w:lang w:eastAsia="zh-CN"/>
                <w14:textFill>
                  <w14:solidFill>
                    <w14:schemeClr w14:val="tx1"/>
                  </w14:solidFill>
                </w14:textFill>
              </w:rPr>
            </w:pPr>
            <w:r>
              <w:rPr>
                <w:rFonts w:hint="eastAsia" w:ascii="仿宋_GB2312" w:hAnsi="等线" w:cs="仿宋_GB2312"/>
                <w:bCs/>
                <w:color w:val="000000" w:themeColor="text1"/>
                <w:sz w:val="24"/>
                <w:highlight w:val="yellow"/>
                <w:lang w:eastAsia="zh-CN"/>
                <w14:textFill>
                  <w14:solidFill>
                    <w14:schemeClr w14:val="tx1"/>
                  </w14:solidFill>
                </w14:textFill>
              </w:rPr>
              <w:t>【现金分配】</w:t>
            </w:r>
          </w:p>
          <w:p w14:paraId="19178AE7">
            <w:pPr>
              <w:snapToGrid w:val="0"/>
              <w:rPr>
                <w:rFonts w:hint="eastAsia" w:ascii="宋体" w:hAnsi="宋体"/>
                <w:sz w:val="24"/>
                <w:szCs w:val="24"/>
                <w:highlight w:val="yellow"/>
              </w:rPr>
            </w:pPr>
            <w:r>
              <w:rPr>
                <w:rFonts w:hint="eastAsia" w:ascii="宋体" w:hAnsi="宋体"/>
                <w:sz w:val="24"/>
                <w:szCs w:val="24"/>
                <w:highlight w:val="yellow"/>
                <w:lang w:eastAsia="zh-CN"/>
              </w:rPr>
              <w:t>【</w:t>
            </w:r>
            <w:r>
              <w:rPr>
                <w:rFonts w:hint="eastAsia" w:ascii="宋体" w:hAnsi="宋体"/>
                <w:sz w:val="24"/>
                <w:szCs w:val="24"/>
                <w:highlight w:val="yellow"/>
              </w:rPr>
              <w:t>产品存续期内，管理人有权</w:t>
            </w:r>
            <w:r>
              <w:rPr>
                <w:rFonts w:hint="eastAsia" w:ascii="宋体" w:hAnsi="宋体"/>
                <w:sz w:val="24"/>
                <w:szCs w:val="24"/>
                <w:highlight w:val="yellow"/>
                <w:lang w:eastAsia="zh-CN"/>
              </w:rPr>
              <w:t>【</w:t>
            </w:r>
            <w:r>
              <w:rPr>
                <w:rFonts w:hint="eastAsia" w:ascii="宋体" w:hAnsi="宋体"/>
                <w:sz w:val="24"/>
                <w:szCs w:val="24"/>
                <w:highlight w:val="yellow"/>
              </w:rPr>
              <w:t>每半年</w:t>
            </w:r>
            <w:r>
              <w:rPr>
                <w:rFonts w:hint="eastAsia" w:ascii="宋体" w:hAnsi="宋体"/>
                <w:sz w:val="24"/>
                <w:szCs w:val="24"/>
                <w:highlight w:val="yellow"/>
                <w:lang w:eastAsia="zh-CN"/>
              </w:rPr>
              <w:t>】</w:t>
            </w:r>
            <w:r>
              <w:rPr>
                <w:rFonts w:hint="eastAsia" w:ascii="宋体" w:hAnsi="宋体"/>
                <w:sz w:val="24"/>
                <w:szCs w:val="24"/>
                <w:highlight w:val="yellow"/>
              </w:rPr>
              <w:t>根据投资运作情况对本理财产品进行</w:t>
            </w:r>
            <w:r>
              <w:rPr>
                <w:rFonts w:hint="eastAsia" w:ascii="宋体" w:hAnsi="宋体"/>
                <w:sz w:val="24"/>
                <w:szCs w:val="24"/>
                <w:highlight w:val="yellow"/>
                <w:lang w:eastAsia="zh-CN"/>
              </w:rPr>
              <w:t>收益分配</w:t>
            </w:r>
            <w:r>
              <w:rPr>
                <w:rFonts w:hint="eastAsia" w:ascii="宋体" w:hAnsi="宋体"/>
                <w:sz w:val="24"/>
                <w:szCs w:val="24"/>
                <w:highlight w:val="yellow"/>
              </w:rPr>
              <w:t>，分配方式为</w:t>
            </w:r>
            <w:r>
              <w:rPr>
                <w:rFonts w:hint="eastAsia" w:ascii="宋体" w:hAnsi="宋体"/>
                <w:sz w:val="24"/>
                <w:szCs w:val="24"/>
                <w:highlight w:val="yellow"/>
                <w:lang w:eastAsia="zh-CN"/>
              </w:rPr>
              <w:t>【</w:t>
            </w:r>
            <w:r>
              <w:rPr>
                <w:rFonts w:hint="eastAsia" w:ascii="宋体" w:hAnsi="宋体"/>
                <w:sz w:val="24"/>
                <w:szCs w:val="24"/>
                <w:highlight w:val="yellow"/>
              </w:rPr>
              <w:t>现金</w:t>
            </w:r>
            <w:r>
              <w:rPr>
                <w:rFonts w:hint="eastAsia" w:ascii="宋体" w:hAnsi="宋体"/>
                <w:sz w:val="24"/>
                <w:szCs w:val="24"/>
                <w:highlight w:val="yellow"/>
                <w:lang w:eastAsia="zh-CN"/>
              </w:rPr>
              <w:t>分配】</w:t>
            </w:r>
            <w:r>
              <w:rPr>
                <w:rFonts w:hint="eastAsia" w:ascii="宋体" w:hAnsi="宋体"/>
                <w:sz w:val="24"/>
                <w:szCs w:val="24"/>
                <w:highlight w:val="yellow"/>
              </w:rPr>
              <w:t>（</w:t>
            </w:r>
            <w:r>
              <w:rPr>
                <w:rFonts w:hint="eastAsia" w:ascii="宋体" w:hAnsi="宋体"/>
                <w:sz w:val="24"/>
                <w:szCs w:val="24"/>
                <w:highlight w:val="yellow"/>
                <w:lang w:eastAsia="zh-CN"/>
              </w:rPr>
              <w:t>分配</w:t>
            </w:r>
            <w:r>
              <w:rPr>
                <w:rFonts w:hint="eastAsia" w:ascii="宋体" w:hAnsi="宋体"/>
                <w:sz w:val="24"/>
                <w:szCs w:val="24"/>
                <w:highlight w:val="yellow"/>
              </w:rPr>
              <w:t>前提条件为</w:t>
            </w:r>
            <w:r>
              <w:rPr>
                <w:rFonts w:hint="eastAsia" w:ascii="宋体" w:hAnsi="宋体"/>
                <w:sz w:val="24"/>
                <w:szCs w:val="24"/>
                <w:highlight w:val="yellow"/>
                <w:lang w:eastAsia="zh-CN"/>
              </w:rPr>
              <w:t>【</w:t>
            </w:r>
            <w:r>
              <w:rPr>
                <w:rFonts w:hint="eastAsia" w:ascii="宋体" w:hAnsi="宋体"/>
                <w:sz w:val="24"/>
                <w:szCs w:val="24"/>
                <w:highlight w:val="yellow"/>
              </w:rPr>
              <w:t>本理财产品在对应收益分配基准日的份额净值大于1.000</w:t>
            </w:r>
            <w:r>
              <w:rPr>
                <w:rFonts w:hint="eastAsia" w:ascii="宋体" w:hAnsi="宋体"/>
                <w:sz w:val="24"/>
                <w:szCs w:val="24"/>
                <w:highlight w:val="yellow"/>
                <w:lang w:val="en-US" w:eastAsia="zh-CN"/>
              </w:rPr>
              <w:t>00</w:t>
            </w:r>
            <w:r>
              <w:rPr>
                <w:rFonts w:hint="eastAsia" w:ascii="宋体" w:hAnsi="宋体"/>
                <w:sz w:val="24"/>
                <w:szCs w:val="24"/>
                <w:highlight w:val="yellow"/>
              </w:rPr>
              <w:t>0元/份</w:t>
            </w:r>
            <w:r>
              <w:rPr>
                <w:rFonts w:hint="eastAsia" w:ascii="宋体" w:hAnsi="宋体"/>
                <w:sz w:val="24"/>
                <w:szCs w:val="24"/>
                <w:highlight w:val="yellow"/>
                <w:lang w:eastAsia="zh-CN"/>
              </w:rPr>
              <w:t>】</w:t>
            </w:r>
            <w:r>
              <w:rPr>
                <w:rFonts w:hint="eastAsia" w:ascii="宋体" w:hAnsi="宋体"/>
                <w:sz w:val="24"/>
                <w:szCs w:val="24"/>
                <w:highlight w:val="yellow"/>
              </w:rPr>
              <w:t>）。权益登记日为收益分配基准日后的第</w:t>
            </w:r>
            <w:r>
              <w:rPr>
                <w:rFonts w:hint="eastAsia" w:ascii="宋体" w:hAnsi="宋体"/>
                <w:sz w:val="24"/>
                <w:szCs w:val="24"/>
                <w:highlight w:val="yellow"/>
                <w:lang w:eastAsia="zh-CN"/>
              </w:rPr>
              <w:t>【</w:t>
            </w:r>
            <w:r>
              <w:rPr>
                <w:rFonts w:hint="eastAsia" w:ascii="宋体" w:hAnsi="宋体"/>
                <w:sz w:val="24"/>
                <w:szCs w:val="24"/>
                <w:highlight w:val="yellow"/>
              </w:rPr>
              <w:t>5</w:t>
            </w:r>
            <w:r>
              <w:rPr>
                <w:rFonts w:hint="eastAsia" w:ascii="宋体" w:hAnsi="宋体"/>
                <w:sz w:val="24"/>
                <w:szCs w:val="24"/>
                <w:highlight w:val="yellow"/>
                <w:lang w:eastAsia="zh-CN"/>
              </w:rPr>
              <w:t>】</w:t>
            </w:r>
            <w:r>
              <w:rPr>
                <w:rFonts w:hint="eastAsia" w:ascii="宋体" w:hAnsi="宋体"/>
                <w:sz w:val="24"/>
                <w:szCs w:val="24"/>
                <w:highlight w:val="yellow"/>
              </w:rPr>
              <w:t>个</w:t>
            </w:r>
            <w:r>
              <w:rPr>
                <w:rFonts w:hint="eastAsia" w:ascii="宋体" w:hAnsi="宋体"/>
                <w:sz w:val="24"/>
                <w:szCs w:val="24"/>
                <w:highlight w:val="yellow"/>
                <w:lang w:eastAsia="zh-CN"/>
              </w:rPr>
              <w:t>【交易</w:t>
            </w:r>
            <w:r>
              <w:rPr>
                <w:rFonts w:hint="eastAsia" w:ascii="宋体" w:hAnsi="宋体"/>
                <w:sz w:val="24"/>
                <w:szCs w:val="24"/>
                <w:highlight w:val="yellow"/>
              </w:rPr>
              <w:t>日</w:t>
            </w:r>
            <w:r>
              <w:rPr>
                <w:rFonts w:hint="eastAsia" w:ascii="宋体" w:hAnsi="宋体"/>
                <w:sz w:val="24"/>
                <w:szCs w:val="24"/>
                <w:highlight w:val="yellow"/>
                <w:lang w:eastAsia="zh-CN"/>
              </w:rPr>
              <w:t>】</w:t>
            </w:r>
            <w:r>
              <w:rPr>
                <w:rFonts w:hint="eastAsia" w:ascii="宋体" w:hAnsi="宋体"/>
                <w:sz w:val="24"/>
                <w:szCs w:val="24"/>
                <w:highlight w:val="yellow"/>
              </w:rPr>
              <w:t>。管理人将根据理财产品投资收益情况决定当次的分配比例和金额等</w:t>
            </w:r>
            <w:r>
              <w:rPr>
                <w:rFonts w:hint="eastAsia" w:ascii="宋体" w:hAnsi="宋体"/>
                <w:sz w:val="24"/>
                <w:szCs w:val="24"/>
                <w:highlight w:val="yellow"/>
                <w:lang w:eastAsia="zh-CN"/>
              </w:rPr>
              <w:t>分配</w:t>
            </w:r>
            <w:r>
              <w:rPr>
                <w:rFonts w:hint="eastAsia" w:ascii="宋体" w:hAnsi="宋体"/>
                <w:sz w:val="24"/>
                <w:szCs w:val="24"/>
                <w:highlight w:val="yellow"/>
              </w:rPr>
              <w:t>要素，并于权益登记日前</w:t>
            </w:r>
            <w:r>
              <w:rPr>
                <w:rFonts w:hint="eastAsia" w:ascii="宋体" w:hAnsi="宋体"/>
                <w:sz w:val="24"/>
                <w:szCs w:val="24"/>
                <w:highlight w:val="yellow"/>
                <w:lang w:val="en-US" w:eastAsia="zh-CN"/>
              </w:rPr>
              <w:t>1</w:t>
            </w:r>
            <w:r>
              <w:rPr>
                <w:rFonts w:hint="eastAsia" w:ascii="宋体" w:hAnsi="宋体"/>
                <w:sz w:val="24"/>
                <w:szCs w:val="24"/>
                <w:highlight w:val="yellow"/>
              </w:rPr>
              <w:t>个工作日通过本产品说明书约定的方式向投资者披露</w:t>
            </w:r>
            <w:r>
              <w:rPr>
                <w:rFonts w:hint="eastAsia" w:ascii="宋体" w:hAnsi="宋体"/>
                <w:sz w:val="24"/>
                <w:szCs w:val="24"/>
                <w:highlight w:val="yellow"/>
                <w:lang w:eastAsia="zh-CN"/>
              </w:rPr>
              <w:t>分配</w:t>
            </w:r>
            <w:r>
              <w:rPr>
                <w:rFonts w:hint="eastAsia" w:ascii="宋体" w:hAnsi="宋体"/>
                <w:sz w:val="24"/>
                <w:szCs w:val="24"/>
                <w:highlight w:val="yellow"/>
              </w:rPr>
              <w:t>方案。管理人在权益登记日后5个工作日内向投资者分配收益。</w:t>
            </w:r>
          </w:p>
          <w:p w14:paraId="07F317AA">
            <w:pPr>
              <w:snapToGrid w:val="0"/>
              <w:rPr>
                <w:rFonts w:hint="eastAsia" w:ascii="宋体" w:hAnsi="宋体" w:eastAsia="仿宋_GB2312"/>
                <w:sz w:val="24"/>
                <w:szCs w:val="24"/>
                <w:highlight w:val="yellow"/>
                <w:lang w:eastAsia="zh-CN"/>
              </w:rPr>
            </w:pPr>
            <w:r>
              <w:rPr>
                <w:rFonts w:hint="eastAsia" w:ascii="宋体" w:hAnsi="宋体"/>
                <w:sz w:val="24"/>
                <w:szCs w:val="24"/>
                <w:highlight w:val="yellow"/>
              </w:rPr>
              <w:t>理财产品存续期间，产品管理人有权视理财产品收益情况进行主动分配，相应分配基准日、分配方案由管理人及时披露。</w:t>
            </w:r>
            <w:r>
              <w:rPr>
                <w:rFonts w:hint="eastAsia"/>
                <w:highlight w:val="yellow"/>
                <w:lang w:eastAsia="zh-CN"/>
              </w:rPr>
              <w:t>】</w:t>
            </w:r>
          </w:p>
          <w:tbl>
            <w:tblPr>
              <w:tblStyle w:val="7"/>
              <w:tblW w:w="6751" w:type="dxa"/>
              <w:tblInd w:w="0" w:type="dxa"/>
              <w:tblLayout w:type="fixed"/>
              <w:tblCellMar>
                <w:top w:w="0" w:type="dxa"/>
                <w:left w:w="108" w:type="dxa"/>
                <w:bottom w:w="0" w:type="dxa"/>
                <w:right w:w="108" w:type="dxa"/>
              </w:tblCellMar>
            </w:tblPr>
            <w:tblGrid>
              <w:gridCol w:w="2290"/>
              <w:gridCol w:w="2238"/>
              <w:gridCol w:w="2223"/>
            </w:tblGrid>
            <w:tr w14:paraId="05E619C0">
              <w:tblPrEx>
                <w:tblCellMar>
                  <w:top w:w="0" w:type="dxa"/>
                  <w:left w:w="108" w:type="dxa"/>
                  <w:bottom w:w="0" w:type="dxa"/>
                  <w:right w:w="108" w:type="dxa"/>
                </w:tblCellMar>
              </w:tblPrEx>
              <w:trPr>
                <w:trHeight w:val="285" w:hRule="atLeast"/>
              </w:trPr>
              <w:tc>
                <w:tcPr>
                  <w:tcW w:w="2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DC3F2D">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收益分配基准日</w:t>
                  </w:r>
                </w:p>
              </w:tc>
              <w:tc>
                <w:tcPr>
                  <w:tcW w:w="2238" w:type="dxa"/>
                  <w:tcBorders>
                    <w:top w:val="single" w:color="auto" w:sz="4" w:space="0"/>
                    <w:left w:val="nil"/>
                    <w:bottom w:val="single" w:color="auto" w:sz="4" w:space="0"/>
                    <w:right w:val="single" w:color="auto" w:sz="4" w:space="0"/>
                  </w:tcBorders>
                  <w:shd w:val="clear" w:color="auto" w:fill="auto"/>
                  <w:noWrap/>
                  <w:vAlign w:val="center"/>
                </w:tcPr>
                <w:p w14:paraId="63D25530">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权益登记日</w:t>
                  </w:r>
                </w:p>
              </w:tc>
              <w:tc>
                <w:tcPr>
                  <w:tcW w:w="2223" w:type="dxa"/>
                  <w:tcBorders>
                    <w:top w:val="single" w:color="auto" w:sz="4" w:space="0"/>
                    <w:left w:val="nil"/>
                    <w:bottom w:val="single" w:color="auto" w:sz="4" w:space="0"/>
                    <w:right w:val="single" w:color="auto" w:sz="4" w:space="0"/>
                  </w:tcBorders>
                  <w:shd w:val="clear" w:color="auto" w:fill="auto"/>
                  <w:noWrap/>
                  <w:vAlign w:val="center"/>
                </w:tcPr>
                <w:p w14:paraId="29A85071">
                  <w:pPr>
                    <w:widowControl/>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除权日</w:t>
                  </w:r>
                </w:p>
              </w:tc>
            </w:tr>
            <w:tr w14:paraId="7AF7AEDB">
              <w:tblPrEx>
                <w:tblCellMar>
                  <w:top w:w="0" w:type="dxa"/>
                  <w:left w:w="108" w:type="dxa"/>
                  <w:bottom w:w="0" w:type="dxa"/>
                  <w:right w:w="108" w:type="dxa"/>
                </w:tblCellMar>
              </w:tblPrEx>
              <w:trPr>
                <w:trHeight w:val="285" w:hRule="atLeast"/>
              </w:trPr>
              <w:tc>
                <w:tcPr>
                  <w:tcW w:w="2290" w:type="dxa"/>
                  <w:tcBorders>
                    <w:top w:val="nil"/>
                    <w:left w:val="single" w:color="auto" w:sz="4" w:space="0"/>
                    <w:bottom w:val="single" w:color="auto" w:sz="4" w:space="0"/>
                    <w:right w:val="single" w:color="auto" w:sz="4" w:space="0"/>
                  </w:tcBorders>
                  <w:shd w:val="clear" w:color="auto" w:fill="auto"/>
                  <w:noWrap/>
                  <w:vAlign w:val="center"/>
                </w:tcPr>
                <w:p w14:paraId="5F9AA902">
                  <w:pPr>
                    <w:widowControl/>
                    <w:jc w:val="center"/>
                    <w:rPr>
                      <w:rFonts w:ascii="宋体" w:hAnsi="宋体" w:eastAsia="宋体" w:cs="宋体"/>
                      <w:color w:val="000000"/>
                      <w:kern w:val="0"/>
                      <w:sz w:val="24"/>
                      <w:szCs w:val="24"/>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p>
              </w:tc>
              <w:tc>
                <w:tcPr>
                  <w:tcW w:w="2238" w:type="dxa"/>
                  <w:tcBorders>
                    <w:top w:val="nil"/>
                    <w:left w:val="nil"/>
                    <w:bottom w:val="single" w:color="auto" w:sz="4" w:space="0"/>
                    <w:right w:val="single" w:color="auto" w:sz="4" w:space="0"/>
                  </w:tcBorders>
                  <w:shd w:val="clear" w:color="auto" w:fill="auto"/>
                  <w:noWrap/>
                  <w:vAlign w:val="center"/>
                </w:tcPr>
                <w:p w14:paraId="51AB5840">
                  <w:pPr>
                    <w:widowControl/>
                    <w:jc w:val="center"/>
                    <w:rPr>
                      <w:rFonts w:ascii="宋体" w:hAnsi="宋体" w:eastAsia="宋体" w:cs="宋体"/>
                      <w:color w:val="000000"/>
                      <w:kern w:val="0"/>
                      <w:sz w:val="24"/>
                      <w:szCs w:val="24"/>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p>
              </w:tc>
              <w:tc>
                <w:tcPr>
                  <w:tcW w:w="2223" w:type="dxa"/>
                  <w:tcBorders>
                    <w:top w:val="nil"/>
                    <w:left w:val="nil"/>
                    <w:bottom w:val="single" w:color="auto" w:sz="4" w:space="0"/>
                    <w:right w:val="single" w:color="auto" w:sz="4" w:space="0"/>
                  </w:tcBorders>
                  <w:shd w:val="clear" w:color="auto" w:fill="auto"/>
                  <w:noWrap/>
                  <w:vAlign w:val="center"/>
                </w:tcPr>
                <w:p w14:paraId="460426C2">
                  <w:pPr>
                    <w:widowControl/>
                    <w:jc w:val="center"/>
                    <w:rPr>
                      <w:rFonts w:ascii="宋体" w:hAnsi="宋体" w:eastAsia="宋体" w:cs="宋体"/>
                      <w:color w:val="000000"/>
                      <w:kern w:val="0"/>
                      <w:sz w:val="24"/>
                      <w:szCs w:val="24"/>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p>
              </w:tc>
            </w:tr>
          </w:tbl>
          <w:p w14:paraId="0A0E47B2">
            <w:pPr>
              <w:widowControl/>
              <w:spacing w:line="400" w:lineRule="exact"/>
              <w:jc w:val="left"/>
              <w:textAlignment w:val="center"/>
              <w:rPr>
                <w:rFonts w:hint="eastAsia" w:ascii="仿宋_GB2312" w:hAnsi="等线" w:cs="仿宋_GB2312"/>
                <w:bCs/>
                <w:color w:val="auto"/>
                <w:sz w:val="24"/>
                <w:highlight w:val="none"/>
                <w:lang w:eastAsia="zh-CN"/>
              </w:rPr>
            </w:pPr>
          </w:p>
        </w:tc>
      </w:tr>
      <w:tr w14:paraId="442A21CE">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4E031C6E">
            <w:pPr>
              <w:widowControl/>
              <w:spacing w:line="400" w:lineRule="exact"/>
              <w:jc w:val="center"/>
              <w:textAlignment w:val="center"/>
              <w:rPr>
                <w:rFonts w:hint="eastAsia" w:ascii="楷体_GB2312" w:hAnsi="等线" w:eastAsia="楷体_GB2312" w:cs="楷体_GB2312"/>
                <w:b/>
                <w:bCs/>
                <w:color w:val="auto"/>
                <w:sz w:val="24"/>
                <w:highlight w:val="none"/>
              </w:rPr>
            </w:pPr>
            <w:r>
              <w:rPr>
                <w:rFonts w:hint="eastAsia" w:ascii="楷体_GB2312" w:hAnsi="等线" w:eastAsia="楷体_GB2312" w:cs="楷体_GB2312"/>
                <w:b/>
                <w:bCs/>
                <w:color w:val="auto"/>
                <w:kern w:val="0"/>
                <w:sz w:val="24"/>
                <w:highlight w:val="none"/>
                <w:lang w:bidi="ar"/>
              </w:rPr>
              <w:t>（三）产品性质与类型</w:t>
            </w:r>
          </w:p>
        </w:tc>
      </w:tr>
      <w:tr w14:paraId="394F5AFE">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C662D24">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000000" w:themeColor="text1"/>
                <w:kern w:val="0"/>
                <w:sz w:val="24"/>
                <w:lang w:bidi="ar"/>
                <w14:textFill>
                  <w14:solidFill>
                    <w14:schemeClr w14:val="tx1"/>
                  </w14:solidFill>
                </w14:textFill>
              </w:rPr>
              <w:t>募集方式</w:t>
            </w:r>
          </w:p>
        </w:tc>
        <w:tc>
          <w:tcPr>
            <w:tcW w:w="6972" w:type="dxa"/>
            <w:tcBorders>
              <w:top w:val="single" w:color="auto" w:sz="4" w:space="0"/>
              <w:left w:val="single" w:color="auto" w:sz="4" w:space="0"/>
              <w:bottom w:val="single" w:color="auto" w:sz="4" w:space="0"/>
              <w:right w:val="single" w:color="auto" w:sz="4" w:space="0"/>
            </w:tcBorders>
            <w:vAlign w:val="center"/>
          </w:tcPr>
          <w:p w14:paraId="15820107">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eastAsia="zh-CN"/>
              </w:rPr>
            </w:pPr>
            <w:r>
              <w:rPr>
                <w:rFonts w:hint="eastAsia" w:ascii="宋体" w:hAnsi="宋体"/>
                <w:b/>
                <w:szCs w:val="24"/>
                <w:highlight w:val="yellow"/>
                <w:lang w:eastAsia="zh-CN"/>
              </w:rPr>
              <w:t>【公募</w:t>
            </w:r>
            <w:r>
              <w:rPr>
                <w:rFonts w:hint="eastAsia" w:ascii="宋体" w:hAnsi="宋体"/>
                <w:b/>
                <w:szCs w:val="24"/>
                <w:highlight w:val="yellow"/>
                <w:lang w:val="en-US" w:eastAsia="zh-CN"/>
              </w:rPr>
              <w:t>/私募</w:t>
            </w:r>
            <w:r>
              <w:rPr>
                <w:rFonts w:hint="eastAsia" w:ascii="宋体" w:hAnsi="宋体"/>
                <w:b/>
                <w:szCs w:val="24"/>
                <w:highlight w:val="yellow"/>
                <w:lang w:eastAsia="zh-CN"/>
              </w:rPr>
              <w:t>】</w:t>
            </w:r>
          </w:p>
        </w:tc>
      </w:tr>
      <w:tr w14:paraId="41218E7B">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6AE96C2A">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000000" w:themeColor="text1"/>
                <w:kern w:val="0"/>
                <w:sz w:val="24"/>
                <w:lang w:bidi="ar"/>
                <w14:textFill>
                  <w14:solidFill>
                    <w14:schemeClr w14:val="tx1"/>
                  </w14:solidFill>
                </w14:textFill>
              </w:rPr>
              <w:t>投资性质</w:t>
            </w:r>
          </w:p>
        </w:tc>
        <w:tc>
          <w:tcPr>
            <w:tcW w:w="6972" w:type="dxa"/>
            <w:tcBorders>
              <w:top w:val="single" w:color="auto" w:sz="4" w:space="0"/>
              <w:left w:val="single" w:color="auto" w:sz="4" w:space="0"/>
              <w:bottom w:val="single" w:color="auto" w:sz="4" w:space="0"/>
              <w:right w:val="single" w:color="auto" w:sz="4" w:space="0"/>
            </w:tcBorders>
            <w:vAlign w:val="center"/>
          </w:tcPr>
          <w:p w14:paraId="1C6326D1">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bidi="ar"/>
              </w:rPr>
            </w:pPr>
            <w:r>
              <w:rPr>
                <w:rFonts w:hint="eastAsia" w:ascii="宋体" w:hAnsi="宋体"/>
                <w:b/>
                <w:szCs w:val="24"/>
                <w:highlight w:val="yellow"/>
                <w:lang w:eastAsia="zh-CN"/>
              </w:rPr>
              <w:t>【固定收益类、权益类、商品及金融衍生品类、混合类】</w:t>
            </w:r>
          </w:p>
        </w:tc>
      </w:tr>
      <w:tr w14:paraId="0C47C0E6">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AE9D1CF">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000000" w:themeColor="text1"/>
                <w:kern w:val="0"/>
                <w:sz w:val="24"/>
                <w:lang w:bidi="ar"/>
                <w14:textFill>
                  <w14:solidFill>
                    <w14:schemeClr w14:val="tx1"/>
                  </w14:solidFill>
                </w14:textFill>
              </w:rPr>
              <w:t>运作模式</w:t>
            </w:r>
          </w:p>
        </w:tc>
        <w:tc>
          <w:tcPr>
            <w:tcW w:w="6972" w:type="dxa"/>
            <w:tcBorders>
              <w:top w:val="single" w:color="auto" w:sz="4" w:space="0"/>
              <w:left w:val="single" w:color="auto" w:sz="4" w:space="0"/>
              <w:bottom w:val="single" w:color="auto" w:sz="4" w:space="0"/>
              <w:right w:val="single" w:color="auto" w:sz="4" w:space="0"/>
            </w:tcBorders>
            <w:vAlign w:val="center"/>
          </w:tcPr>
          <w:p w14:paraId="5BF50FE5">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bidi="ar"/>
              </w:rPr>
            </w:pPr>
            <w:r>
              <w:rPr>
                <w:rFonts w:hint="eastAsia" w:ascii="宋体" w:hAnsi="宋体"/>
                <w:b/>
                <w:szCs w:val="24"/>
                <w:highlight w:val="yellow"/>
                <w:lang w:eastAsia="zh-CN"/>
              </w:rPr>
              <w:t>【开放式</w:t>
            </w:r>
            <w:r>
              <w:rPr>
                <w:rFonts w:hint="eastAsia" w:ascii="宋体" w:hAnsi="宋体"/>
                <w:b/>
                <w:szCs w:val="24"/>
                <w:highlight w:val="yellow"/>
                <w:lang w:val="en-US" w:eastAsia="zh-CN"/>
              </w:rPr>
              <w:t>/封闭式</w:t>
            </w:r>
            <w:r>
              <w:rPr>
                <w:rFonts w:hint="eastAsia" w:ascii="宋体" w:hAnsi="宋体"/>
                <w:b/>
                <w:szCs w:val="24"/>
                <w:highlight w:val="yellow"/>
                <w:lang w:eastAsia="zh-CN"/>
              </w:rPr>
              <w:t>】</w:t>
            </w:r>
          </w:p>
        </w:tc>
      </w:tr>
      <w:tr w14:paraId="70F13D6A">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85B1BF1">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auto"/>
                <w:kern w:val="0"/>
                <w:sz w:val="24"/>
                <w:highlight w:val="none"/>
                <w:lang w:bidi="ar"/>
              </w:rPr>
              <w:t>运作模式（二级）</w:t>
            </w:r>
          </w:p>
        </w:tc>
        <w:tc>
          <w:tcPr>
            <w:tcW w:w="6972" w:type="dxa"/>
            <w:tcBorders>
              <w:top w:val="single" w:color="auto" w:sz="4" w:space="0"/>
              <w:left w:val="single" w:color="auto" w:sz="4" w:space="0"/>
              <w:bottom w:val="single" w:color="auto" w:sz="4" w:space="0"/>
              <w:right w:val="single" w:color="auto" w:sz="4" w:space="0"/>
            </w:tcBorders>
            <w:vAlign w:val="center"/>
          </w:tcPr>
          <w:p w14:paraId="2D1F200B">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eastAsia="zh-CN" w:bidi="ar"/>
              </w:rPr>
            </w:pPr>
            <w:r>
              <w:rPr>
                <w:rFonts w:hint="eastAsia" w:ascii="仿宋_GB2312" w:hAnsi="宋体" w:cs="宋体"/>
                <w:b/>
                <w:bCs/>
                <w:color w:val="auto"/>
                <w:kern w:val="0"/>
                <w:sz w:val="24"/>
                <w:szCs w:val="24"/>
                <w:highlight w:val="yellow"/>
                <w:u w:val="none"/>
                <w:lang w:eastAsia="zh-CN" w:bidi="ar"/>
              </w:rPr>
              <w:t>【申赎分离型</w:t>
            </w:r>
            <w:r>
              <w:rPr>
                <w:rFonts w:hint="eastAsia" w:ascii="仿宋_GB2312" w:hAnsi="宋体" w:eastAsia="仿宋_GB2312" w:cs="宋体"/>
                <w:b/>
                <w:bCs/>
                <w:color w:val="auto"/>
                <w:kern w:val="0"/>
                <w:sz w:val="24"/>
                <w:szCs w:val="24"/>
                <w:highlight w:val="yellow"/>
                <w:u w:val="none"/>
                <w:lang w:bidi="ar"/>
              </w:rPr>
              <w:t>产品</w:t>
            </w:r>
            <w:r>
              <w:rPr>
                <w:rFonts w:hint="eastAsia" w:ascii="仿宋_GB2312" w:hAnsi="宋体" w:cs="宋体"/>
                <w:b/>
                <w:bCs/>
                <w:color w:val="auto"/>
                <w:kern w:val="0"/>
                <w:sz w:val="24"/>
                <w:szCs w:val="24"/>
                <w:highlight w:val="yellow"/>
                <w:u w:val="none"/>
                <w:lang w:eastAsia="zh-CN" w:bidi="ar"/>
              </w:rPr>
              <w:t>】</w:t>
            </w:r>
          </w:p>
        </w:tc>
      </w:tr>
      <w:tr w14:paraId="7ABD0A15">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402CE5AB">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auto"/>
                <w:kern w:val="0"/>
                <w:sz w:val="24"/>
                <w:highlight w:val="none"/>
                <w:lang w:bidi="ar"/>
              </w:rPr>
              <w:t>风险等级</w:t>
            </w:r>
          </w:p>
        </w:tc>
        <w:tc>
          <w:tcPr>
            <w:tcW w:w="6972" w:type="dxa"/>
            <w:tcBorders>
              <w:top w:val="single" w:color="auto" w:sz="4" w:space="0"/>
              <w:left w:val="single" w:color="auto" w:sz="4" w:space="0"/>
              <w:bottom w:val="single" w:color="auto" w:sz="4" w:space="0"/>
              <w:right w:val="single" w:color="auto" w:sz="4" w:space="0"/>
            </w:tcBorders>
            <w:vAlign w:val="center"/>
          </w:tcPr>
          <w:p w14:paraId="2B2574CC">
            <w:pPr>
              <w:widowControl/>
              <w:tabs>
                <w:tab w:val="left" w:pos="709"/>
              </w:tabs>
              <w:snapToGrid w:val="0"/>
              <w:rPr>
                <w:rFonts w:ascii="宋体" w:hAnsi="宋体"/>
                <w:color w:val="auto"/>
                <w:szCs w:val="24"/>
                <w:highlight w:val="none"/>
                <w:u w:val="none"/>
              </w:rPr>
            </w:pPr>
            <w:r>
              <w:rPr>
                <w:rFonts w:hint="eastAsia" w:ascii="宋体" w:hAnsi="宋体"/>
                <w:b/>
                <w:bCs/>
                <w:color w:val="auto"/>
                <w:szCs w:val="24"/>
                <w:highlight w:val="yellow"/>
                <w:u w:val="none"/>
              </w:rPr>
              <w:t>【</w:t>
            </w:r>
            <w:r>
              <w:rPr>
                <w:rFonts w:hint="eastAsia" w:ascii="宋体" w:hAnsi="宋体"/>
                <w:b/>
                <w:bCs/>
                <w:color w:val="auto"/>
                <w:szCs w:val="24"/>
                <w:highlight w:val="yellow"/>
                <w:u w:val="none"/>
                <w:lang w:val="en-US" w:eastAsia="zh-CN"/>
              </w:rPr>
              <w:t>R2</w:t>
            </w:r>
            <w:r>
              <w:rPr>
                <w:rFonts w:hint="eastAsia" w:ascii="宋体" w:hAnsi="宋体"/>
                <w:b/>
                <w:bCs/>
                <w:color w:val="auto"/>
                <w:szCs w:val="24"/>
                <w:highlight w:val="yellow"/>
                <w:u w:val="none"/>
              </w:rPr>
              <w:t>】</w:t>
            </w:r>
            <w:r>
              <w:rPr>
                <w:rFonts w:hint="eastAsia" w:ascii="宋体" w:hAnsi="宋体"/>
                <w:b/>
                <w:bCs/>
                <w:color w:val="auto"/>
                <w:szCs w:val="24"/>
                <w:highlight w:val="none"/>
                <w:u w:val="none"/>
              </w:rPr>
              <w:t>对应风险等级为</w:t>
            </w:r>
            <w:r>
              <w:rPr>
                <w:rFonts w:hint="eastAsia" w:ascii="宋体" w:hAnsi="宋体"/>
                <w:b/>
                <w:bCs/>
                <w:color w:val="auto"/>
                <w:szCs w:val="24"/>
                <w:highlight w:val="yellow"/>
                <w:u w:val="none"/>
              </w:rPr>
              <w:t>【</w:t>
            </w:r>
            <w:r>
              <w:rPr>
                <w:rFonts w:hint="eastAsia" w:ascii="宋体" w:hAnsi="宋体"/>
                <w:b/>
                <w:bCs/>
                <w:color w:val="auto"/>
                <w:szCs w:val="24"/>
                <w:highlight w:val="yellow"/>
                <w:u w:val="none"/>
                <w:lang w:eastAsia="zh-CN"/>
              </w:rPr>
              <w:t>中低风险</w:t>
            </w:r>
            <w:r>
              <w:rPr>
                <w:rFonts w:hint="eastAsia" w:ascii="宋体" w:hAnsi="宋体"/>
                <w:b/>
                <w:bCs/>
                <w:color w:val="auto"/>
                <w:szCs w:val="24"/>
                <w:highlight w:val="yellow"/>
                <w:u w:val="none"/>
              </w:rPr>
              <w:t>】</w:t>
            </w:r>
            <w:r>
              <w:rPr>
                <w:rFonts w:hint="eastAsia" w:ascii="仿宋_GB2312" w:hAnsi="等线" w:eastAsia="仿宋_GB2312" w:cs="仿宋_GB2312"/>
                <w:b/>
                <w:bCs w:val="0"/>
                <w:color w:val="auto"/>
                <w:kern w:val="0"/>
                <w:sz w:val="24"/>
                <w:highlight w:val="none"/>
                <w:lang w:bidi="ar"/>
              </w:rPr>
              <w:br w:type="textWrapping"/>
            </w:r>
            <w:r>
              <w:rPr>
                <w:rFonts w:hint="eastAsia" w:ascii="宋体" w:hAnsi="宋体"/>
                <w:color w:val="auto"/>
                <w:szCs w:val="24"/>
                <w:highlight w:val="none"/>
                <w:u w:val="none"/>
              </w:rPr>
              <w:t>本评级为管理人内部测评结果，仅供投资者参考。</w:t>
            </w:r>
            <w:r>
              <w:rPr>
                <w:rFonts w:hint="eastAsia" w:ascii="宋体" w:hAnsi="宋体"/>
                <w:b/>
                <w:color w:val="auto"/>
                <w:szCs w:val="24"/>
                <w:highlight w:val="none"/>
                <w:u w:val="none"/>
              </w:rPr>
              <w:t>本产品通过代理销售机构渠道销售的，理财产品评级应当以代理销售机构最终披露的评级结果为准。</w:t>
            </w:r>
            <w:r>
              <w:rPr>
                <w:rFonts w:ascii="宋体" w:hAnsi="宋体"/>
                <w:color w:val="auto"/>
                <w:szCs w:val="24"/>
                <w:highlight w:val="none"/>
                <w:u w:val="none"/>
              </w:rPr>
              <w:t>(</w:t>
            </w:r>
            <w:r>
              <w:rPr>
                <w:rFonts w:hint="eastAsia" w:ascii="宋体" w:hAnsi="宋体"/>
                <w:color w:val="auto"/>
                <w:szCs w:val="24"/>
                <w:highlight w:val="none"/>
                <w:u w:val="none"/>
              </w:rPr>
              <w:t>管理</w:t>
            </w:r>
            <w:r>
              <w:rPr>
                <w:rFonts w:ascii="宋体" w:hAnsi="宋体"/>
                <w:color w:val="auto"/>
                <w:szCs w:val="24"/>
                <w:highlight w:val="none"/>
                <w:u w:val="none"/>
              </w:rPr>
              <w:t>人与</w:t>
            </w:r>
            <w:r>
              <w:rPr>
                <w:rFonts w:hint="eastAsia" w:ascii="宋体" w:hAnsi="宋体"/>
                <w:color w:val="auto"/>
                <w:szCs w:val="24"/>
                <w:highlight w:val="none"/>
                <w:u w:val="none"/>
              </w:rPr>
              <w:t>代理</w:t>
            </w:r>
            <w:r>
              <w:rPr>
                <w:rFonts w:ascii="宋体" w:hAnsi="宋体"/>
                <w:color w:val="auto"/>
                <w:szCs w:val="24"/>
                <w:highlight w:val="none"/>
                <w:u w:val="none"/>
              </w:rPr>
              <w:t>销售机构</w:t>
            </w:r>
            <w:r>
              <w:rPr>
                <w:rFonts w:hint="eastAsia" w:ascii="宋体" w:hAnsi="宋体"/>
                <w:color w:val="auto"/>
                <w:szCs w:val="24"/>
                <w:highlight w:val="none"/>
                <w:u w:val="none"/>
              </w:rPr>
              <w:t>的</w:t>
            </w:r>
            <w:r>
              <w:rPr>
                <w:rFonts w:ascii="宋体" w:hAnsi="宋体"/>
                <w:color w:val="auto"/>
                <w:szCs w:val="24"/>
                <w:highlight w:val="none"/>
                <w:u w:val="none"/>
              </w:rPr>
              <w:t>风险</w:t>
            </w:r>
            <w:r>
              <w:rPr>
                <w:rFonts w:hint="eastAsia" w:ascii="宋体" w:hAnsi="宋体"/>
                <w:color w:val="auto"/>
                <w:szCs w:val="24"/>
                <w:highlight w:val="none"/>
                <w:u w:val="none"/>
              </w:rPr>
              <w:t>等级评估结果</w:t>
            </w:r>
            <w:r>
              <w:rPr>
                <w:rFonts w:ascii="宋体" w:hAnsi="宋体"/>
                <w:color w:val="auto"/>
                <w:szCs w:val="24"/>
                <w:highlight w:val="none"/>
                <w:u w:val="none"/>
              </w:rPr>
              <w:t>不一致的应采用</w:t>
            </w:r>
            <w:r>
              <w:rPr>
                <w:rFonts w:hint="eastAsia" w:ascii="宋体" w:hAnsi="宋体"/>
                <w:color w:val="auto"/>
                <w:szCs w:val="24"/>
                <w:highlight w:val="none"/>
                <w:u w:val="none"/>
              </w:rPr>
              <w:t>对应</w:t>
            </w:r>
            <w:r>
              <w:rPr>
                <w:rFonts w:ascii="宋体" w:hAnsi="宋体"/>
                <w:color w:val="auto"/>
                <w:szCs w:val="24"/>
                <w:highlight w:val="none"/>
                <w:u w:val="none"/>
              </w:rPr>
              <w:t>较高风险</w:t>
            </w:r>
            <w:r>
              <w:rPr>
                <w:rFonts w:hint="eastAsia" w:ascii="宋体" w:hAnsi="宋体"/>
                <w:color w:val="auto"/>
                <w:szCs w:val="24"/>
                <w:highlight w:val="none"/>
                <w:u w:val="none"/>
              </w:rPr>
              <w:t>的</w:t>
            </w:r>
            <w:r>
              <w:rPr>
                <w:rFonts w:ascii="宋体" w:hAnsi="宋体"/>
                <w:color w:val="auto"/>
                <w:szCs w:val="24"/>
                <w:highlight w:val="none"/>
                <w:u w:val="none"/>
              </w:rPr>
              <w:t>评级</w:t>
            </w:r>
            <w:r>
              <w:rPr>
                <w:rFonts w:hint="eastAsia" w:ascii="宋体" w:hAnsi="宋体"/>
                <w:color w:val="auto"/>
                <w:szCs w:val="24"/>
                <w:highlight w:val="none"/>
                <w:u w:val="none"/>
              </w:rPr>
              <w:t>结果。</w:t>
            </w:r>
            <w:r>
              <w:rPr>
                <w:rFonts w:ascii="宋体" w:hAnsi="宋体"/>
                <w:color w:val="auto"/>
                <w:szCs w:val="24"/>
                <w:highlight w:val="none"/>
                <w:u w:val="none"/>
              </w:rPr>
              <w:t>)</w:t>
            </w:r>
          </w:p>
          <w:p w14:paraId="0336D477">
            <w:pPr>
              <w:widowControl/>
              <w:tabs>
                <w:tab w:val="left" w:pos="709"/>
              </w:tabs>
              <w:snapToGrid w:val="0"/>
              <w:spacing w:line="240" w:lineRule="auto"/>
              <w:jc w:val="left"/>
              <w:textAlignment w:val="auto"/>
              <w:rPr>
                <w:rFonts w:hint="eastAsia" w:ascii="仿宋_GB2312" w:hAnsi="等线" w:eastAsia="仿宋_GB2312" w:cs="仿宋_GB2312"/>
                <w:bCs/>
                <w:color w:val="auto"/>
                <w:sz w:val="24"/>
                <w:highlight w:val="none"/>
              </w:rPr>
            </w:pPr>
            <w:r>
              <w:rPr>
                <w:rFonts w:hint="eastAsia" w:ascii="宋体" w:hAnsi="宋体"/>
                <w:b/>
                <w:bCs/>
                <w:color w:val="auto"/>
                <w:szCs w:val="24"/>
                <w:highlight w:val="none"/>
                <w:u w:val="none"/>
              </w:rPr>
              <w:t>产品管理人在符合监管政策的前提下可对产品风险评级进行动态管理，如产品风险等级发生调整，将提前通过本《产品说明书》“信息披露”约定的方式通知投资者。</w:t>
            </w:r>
          </w:p>
        </w:tc>
      </w:tr>
      <w:tr w14:paraId="56430134">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5AA15ECF">
            <w:pPr>
              <w:widowControl/>
              <w:spacing w:line="400" w:lineRule="exact"/>
              <w:jc w:val="center"/>
              <w:textAlignment w:val="center"/>
              <w:rPr>
                <w:rFonts w:hint="eastAsia" w:ascii="仿宋_GB2312" w:hAnsi="等线" w:eastAsia="仿宋_GB2312" w:cs="仿宋_GB2312"/>
                <w:color w:val="auto"/>
                <w:kern w:val="0"/>
                <w:sz w:val="24"/>
                <w:highlight w:val="none"/>
                <w:lang w:bidi="ar"/>
              </w:rPr>
            </w:pPr>
            <w:r>
              <w:rPr>
                <w:rFonts w:hint="eastAsia" w:ascii="仿宋_GB2312" w:hAnsi="等线" w:eastAsia="仿宋_GB2312" w:cs="仿宋_GB2312"/>
                <w:color w:val="auto"/>
                <w:kern w:val="0"/>
                <w:sz w:val="24"/>
                <w:highlight w:val="none"/>
                <w:lang w:bidi="ar"/>
              </w:rPr>
              <w:t>是否为现金管理类产品</w:t>
            </w:r>
          </w:p>
        </w:tc>
        <w:tc>
          <w:tcPr>
            <w:tcW w:w="6972" w:type="dxa"/>
            <w:tcBorders>
              <w:top w:val="single" w:color="auto" w:sz="4" w:space="0"/>
              <w:left w:val="single" w:color="auto" w:sz="4" w:space="0"/>
              <w:bottom w:val="single" w:color="auto" w:sz="4" w:space="0"/>
              <w:right w:val="single" w:color="auto" w:sz="4" w:space="0"/>
            </w:tcBorders>
            <w:vAlign w:val="center"/>
          </w:tcPr>
          <w:p w14:paraId="2879648E">
            <w:pPr>
              <w:widowControl/>
              <w:spacing w:line="400" w:lineRule="exact"/>
              <w:jc w:val="left"/>
              <w:textAlignment w:val="center"/>
              <w:rPr>
                <w:rFonts w:hint="eastAsia" w:ascii="仿宋_GB2312" w:hAnsi="等线" w:eastAsia="仿宋_GB2312" w:cs="仿宋_GB2312"/>
                <w:bCs/>
                <w:color w:val="auto"/>
                <w:kern w:val="0"/>
                <w:sz w:val="24"/>
                <w:highlight w:val="none"/>
                <w:lang w:eastAsia="zh-CN" w:bidi="ar"/>
              </w:rPr>
            </w:pPr>
            <w:r>
              <w:rPr>
                <w:rFonts w:hint="eastAsia" w:ascii="仿宋_GB2312" w:hAnsi="等线" w:cs="仿宋_GB2312"/>
                <w:bCs/>
                <w:color w:val="auto"/>
                <w:kern w:val="0"/>
                <w:sz w:val="24"/>
                <w:highlight w:val="yellow"/>
                <w:lang w:eastAsia="zh-CN" w:bidi="ar"/>
              </w:rPr>
              <w:t>【否】</w:t>
            </w:r>
          </w:p>
        </w:tc>
      </w:tr>
      <w:tr w14:paraId="6C1DD393">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14DA49A9">
            <w:pPr>
              <w:snapToGrid w:val="0"/>
              <w:ind w:left="-140" w:leftChars="-74" w:hanging="15" w:firstLineChars="0"/>
              <w:jc w:val="center"/>
              <w:rPr>
                <w:rFonts w:hint="eastAsia" w:ascii="仿宋_GB2312" w:hAnsi="等线" w:eastAsia="仿宋_GB2312" w:cs="仿宋_GB2312"/>
                <w:color w:val="auto"/>
                <w:kern w:val="0"/>
                <w:sz w:val="24"/>
                <w:highlight w:val="none"/>
                <w:lang w:bidi="ar"/>
              </w:rPr>
            </w:pPr>
            <w:r>
              <w:rPr>
                <w:rFonts w:hint="eastAsia" w:ascii="宋体" w:hAnsi="宋体"/>
                <w:color w:val="auto"/>
                <w:szCs w:val="24"/>
                <w:highlight w:val="none"/>
                <w:u w:val="none"/>
              </w:rPr>
              <w:t>本金及收益类型</w:t>
            </w:r>
          </w:p>
        </w:tc>
        <w:tc>
          <w:tcPr>
            <w:tcW w:w="6972" w:type="dxa"/>
            <w:tcBorders>
              <w:top w:val="single" w:color="auto" w:sz="4" w:space="0"/>
              <w:left w:val="single" w:color="auto" w:sz="4" w:space="0"/>
              <w:bottom w:val="single" w:color="auto" w:sz="4" w:space="0"/>
              <w:right w:val="single" w:color="auto" w:sz="4" w:space="0"/>
            </w:tcBorders>
            <w:vAlign w:val="center"/>
          </w:tcPr>
          <w:p w14:paraId="37230915">
            <w:pPr>
              <w:snapToGrid w:val="0"/>
              <w:rPr>
                <w:rFonts w:ascii="宋体" w:hAnsi="宋体"/>
                <w:color w:val="auto"/>
                <w:szCs w:val="24"/>
                <w:highlight w:val="none"/>
                <w:u w:val="none"/>
              </w:rPr>
            </w:pPr>
            <w:r>
              <w:rPr>
                <w:rFonts w:hint="eastAsia" w:ascii="宋体" w:hAnsi="宋体"/>
                <w:color w:val="auto"/>
                <w:szCs w:val="24"/>
                <w:highlight w:val="none"/>
                <w:u w:val="none"/>
              </w:rPr>
              <w:t>非保本浮动收益。本产品不保证理财本金且不保证收益。本产品的收益随投资收益浮动，投资者可能会因市场变动而蒙受损失。</w:t>
            </w:r>
          </w:p>
          <w:p w14:paraId="2FC43434">
            <w:pPr>
              <w:snapToGrid w:val="0"/>
              <w:rPr>
                <w:rFonts w:hint="eastAsia" w:ascii="仿宋_GB2312" w:hAnsi="等线" w:cs="仿宋_GB2312"/>
                <w:bCs/>
                <w:color w:val="auto"/>
                <w:kern w:val="0"/>
                <w:sz w:val="24"/>
                <w:highlight w:val="none"/>
                <w:lang w:eastAsia="zh-CN" w:bidi="ar"/>
              </w:rPr>
            </w:pPr>
            <w:r>
              <w:rPr>
                <w:rFonts w:hint="eastAsia" w:ascii="宋体" w:hAnsi="宋体"/>
                <w:color w:val="auto"/>
                <w:szCs w:val="24"/>
                <w:highlight w:val="none"/>
                <w:u w:val="none"/>
              </w:rPr>
              <w:t>理财产品管理人对本产品的本金并不提供保证，也不承诺任何固定收益。</w:t>
            </w:r>
          </w:p>
        </w:tc>
      </w:tr>
      <w:tr w14:paraId="3C12B876">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1F51DDC9">
            <w:pPr>
              <w:widowControl/>
              <w:spacing w:line="400" w:lineRule="exact"/>
              <w:jc w:val="center"/>
              <w:textAlignment w:val="center"/>
              <w:rPr>
                <w:rFonts w:hint="eastAsia" w:ascii="楷体_GB2312" w:hAnsi="等线" w:eastAsia="楷体_GB2312" w:cs="楷体_GB2312"/>
                <w:bCs/>
                <w:color w:val="auto"/>
                <w:sz w:val="24"/>
                <w:highlight w:val="none"/>
              </w:rPr>
            </w:pPr>
            <w:r>
              <w:rPr>
                <w:rFonts w:hint="eastAsia" w:ascii="楷体_GB2312" w:hAnsi="等线" w:eastAsia="楷体_GB2312" w:cs="楷体_GB2312"/>
                <w:b/>
                <w:color w:val="auto"/>
                <w:kern w:val="0"/>
                <w:sz w:val="24"/>
                <w:highlight w:val="none"/>
                <w:lang w:bidi="ar"/>
              </w:rPr>
              <w:t>（四）产品期限</w:t>
            </w:r>
          </w:p>
        </w:tc>
      </w:tr>
      <w:tr w14:paraId="7B343877">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026A3B7">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auto"/>
                <w:kern w:val="0"/>
                <w:sz w:val="24"/>
                <w:highlight w:val="none"/>
                <w:lang w:bidi="ar"/>
              </w:rPr>
              <w:t>募集起始日期</w:t>
            </w:r>
          </w:p>
        </w:tc>
        <w:tc>
          <w:tcPr>
            <w:tcW w:w="6972" w:type="dxa"/>
            <w:tcBorders>
              <w:top w:val="single" w:color="auto" w:sz="4" w:space="0"/>
              <w:left w:val="single" w:color="auto" w:sz="4" w:space="0"/>
              <w:bottom w:val="single" w:color="auto" w:sz="4" w:space="0"/>
              <w:right w:val="single" w:color="auto" w:sz="4" w:space="0"/>
            </w:tcBorders>
            <w:vAlign w:val="center"/>
          </w:tcPr>
          <w:p w14:paraId="52171680">
            <w:pPr>
              <w:widowControl/>
              <w:autoSpaceDE w:val="0"/>
              <w:autoSpaceDN w:val="0"/>
              <w:adjustRightInd w:val="0"/>
              <w:snapToGrid w:val="0"/>
              <w:spacing w:line="240" w:lineRule="auto"/>
              <w:jc w:val="left"/>
              <w:textAlignment w:val="auto"/>
              <w:rPr>
                <w:rFonts w:hint="eastAsia" w:ascii="仿宋_GB2312" w:hAnsi="等线" w:eastAsia="仿宋_GB2312" w:cs="仿宋_GB2312"/>
                <w:bCs/>
                <w:color w:val="auto"/>
                <w:sz w:val="24"/>
                <w:highlight w:val="none"/>
              </w:rPr>
            </w:pPr>
            <w:r>
              <w:rPr>
                <w:rFonts w:hint="eastAsia" w:ascii="宋体" w:hAnsi="宋体"/>
                <w:color w:val="auto"/>
                <w:szCs w:val="24"/>
                <w:highlight w:val="yellow"/>
                <w:u w:val="none"/>
              </w:rPr>
              <w:t>【</w:t>
            </w:r>
            <w:r>
              <w:rPr>
                <w:rFonts w:hint="eastAsia" w:ascii="宋体" w:hAnsi="宋体"/>
                <w:b/>
                <w:color w:val="auto"/>
                <w:szCs w:val="24"/>
                <w:highlight w:val="yellow"/>
                <w:u w:val="none"/>
              </w:rPr>
              <w:t>】年【】月【】日【】</w:t>
            </w:r>
          </w:p>
        </w:tc>
      </w:tr>
      <w:tr w14:paraId="012507EF">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916D6E3">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auto"/>
                <w:kern w:val="0"/>
                <w:sz w:val="24"/>
                <w:highlight w:val="none"/>
                <w:lang w:bidi="ar"/>
              </w:rPr>
              <w:t>募集结束日期</w:t>
            </w:r>
          </w:p>
        </w:tc>
        <w:tc>
          <w:tcPr>
            <w:tcW w:w="6972" w:type="dxa"/>
            <w:tcBorders>
              <w:top w:val="single" w:color="auto" w:sz="4" w:space="0"/>
              <w:left w:val="single" w:color="auto" w:sz="4" w:space="0"/>
              <w:bottom w:val="single" w:color="auto" w:sz="4" w:space="0"/>
              <w:right w:val="single" w:color="auto" w:sz="4" w:space="0"/>
            </w:tcBorders>
            <w:vAlign w:val="center"/>
          </w:tcPr>
          <w:p w14:paraId="3B632F82">
            <w:pPr>
              <w:widowControl/>
              <w:autoSpaceDE w:val="0"/>
              <w:autoSpaceDN w:val="0"/>
              <w:adjustRightInd w:val="0"/>
              <w:snapToGrid w:val="0"/>
              <w:spacing w:line="240" w:lineRule="auto"/>
              <w:jc w:val="left"/>
              <w:textAlignment w:val="auto"/>
              <w:rPr>
                <w:rFonts w:hint="eastAsia" w:ascii="宋体" w:hAnsi="宋体"/>
                <w:b/>
                <w:color w:val="auto"/>
                <w:szCs w:val="24"/>
                <w:highlight w:val="yellow"/>
                <w:u w:val="none"/>
              </w:rPr>
            </w:pPr>
            <w:r>
              <w:rPr>
                <w:rFonts w:hint="eastAsia" w:ascii="宋体" w:hAnsi="宋体"/>
                <w:color w:val="auto"/>
                <w:szCs w:val="24"/>
                <w:highlight w:val="yellow"/>
                <w:u w:val="none"/>
              </w:rPr>
              <w:t>【</w:t>
            </w:r>
            <w:r>
              <w:rPr>
                <w:rFonts w:hint="eastAsia" w:ascii="宋体" w:hAnsi="宋体"/>
                <w:b/>
                <w:color w:val="auto"/>
                <w:szCs w:val="24"/>
                <w:highlight w:val="yellow"/>
                <w:u w:val="none"/>
              </w:rPr>
              <w:t>】年【】月【】日【】</w:t>
            </w:r>
          </w:p>
          <w:p w14:paraId="4AFC7BF5">
            <w:pPr>
              <w:widowControl/>
              <w:autoSpaceDE w:val="0"/>
              <w:autoSpaceDN w:val="0"/>
              <w:adjustRightInd w:val="0"/>
              <w:snapToGrid w:val="0"/>
              <w:spacing w:line="240" w:lineRule="auto"/>
              <w:jc w:val="left"/>
              <w:textAlignment w:val="auto"/>
              <w:rPr>
                <w:rFonts w:hint="eastAsia" w:ascii="仿宋_GB2312" w:hAnsi="等线" w:eastAsia="仿宋_GB2312" w:cs="仿宋_GB2312"/>
                <w:bCs/>
                <w:color w:val="auto"/>
                <w:sz w:val="24"/>
                <w:highlight w:val="none"/>
              </w:rPr>
            </w:pPr>
            <w:r>
              <w:rPr>
                <w:rFonts w:hint="eastAsia"/>
                <w:color w:val="auto"/>
                <w:szCs w:val="24"/>
                <w:highlight w:val="none"/>
                <w:u w:val="none"/>
              </w:rPr>
              <w:t>销售机构实际受理时间可能与说明书不一致，具体以销售机构通知为准。</w:t>
            </w:r>
            <w:r>
              <w:rPr>
                <w:rFonts w:hint="eastAsia" w:ascii="宋体" w:hAnsi="宋体"/>
                <w:b/>
                <w:color w:val="auto"/>
                <w:szCs w:val="24"/>
                <w:highlight w:val="none"/>
                <w:u w:val="none"/>
              </w:rPr>
              <w:t>管理人有权提前结束募集并提前成立理财产品或延长募集期，具体以管理人或销售机构公告为准。</w:t>
            </w:r>
          </w:p>
        </w:tc>
      </w:tr>
      <w:tr w14:paraId="03BAA28E">
        <w:tblPrEx>
          <w:tblCellMar>
            <w:top w:w="0" w:type="dxa"/>
            <w:left w:w="108" w:type="dxa"/>
            <w:bottom w:w="0" w:type="dxa"/>
            <w:right w:w="108" w:type="dxa"/>
          </w:tblCellMar>
        </w:tblPrEx>
        <w:trPr>
          <w:trHeight w:val="888" w:hRule="atLeast"/>
        </w:trPr>
        <w:tc>
          <w:tcPr>
            <w:tcW w:w="2453" w:type="dxa"/>
            <w:tcBorders>
              <w:top w:val="single" w:color="auto" w:sz="4" w:space="0"/>
              <w:left w:val="single" w:color="auto" w:sz="4" w:space="0"/>
              <w:bottom w:val="single" w:color="auto" w:sz="4" w:space="0"/>
              <w:right w:val="single" w:color="auto" w:sz="4" w:space="0"/>
            </w:tcBorders>
            <w:vAlign w:val="center"/>
          </w:tcPr>
          <w:p w14:paraId="3A221BCD">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auto"/>
                <w:kern w:val="0"/>
                <w:sz w:val="24"/>
                <w:highlight w:val="none"/>
                <w:lang w:bidi="ar"/>
              </w:rPr>
              <w:t>产品成立日期</w:t>
            </w:r>
          </w:p>
        </w:tc>
        <w:tc>
          <w:tcPr>
            <w:tcW w:w="6972" w:type="dxa"/>
            <w:tcBorders>
              <w:top w:val="single" w:color="auto" w:sz="4" w:space="0"/>
              <w:left w:val="single" w:color="auto" w:sz="4" w:space="0"/>
              <w:bottom w:val="single" w:color="auto" w:sz="4" w:space="0"/>
              <w:right w:val="single" w:color="auto" w:sz="4" w:space="0"/>
            </w:tcBorders>
            <w:vAlign w:val="center"/>
          </w:tcPr>
          <w:p w14:paraId="4D4E2441">
            <w:pPr>
              <w:widowControl/>
              <w:autoSpaceDE w:val="0"/>
              <w:autoSpaceDN w:val="0"/>
              <w:adjustRightInd w:val="0"/>
              <w:snapToGrid w:val="0"/>
              <w:spacing w:line="240" w:lineRule="auto"/>
              <w:jc w:val="left"/>
              <w:textAlignment w:val="auto"/>
              <w:rPr>
                <w:rFonts w:hint="eastAsia" w:ascii="宋体" w:hAnsi="宋体"/>
                <w:b/>
                <w:color w:val="auto"/>
                <w:szCs w:val="24"/>
                <w:highlight w:val="yellow"/>
                <w:u w:val="none"/>
              </w:rPr>
            </w:pPr>
            <w:r>
              <w:rPr>
                <w:rFonts w:hint="eastAsia" w:ascii="宋体" w:hAnsi="宋体"/>
                <w:color w:val="auto"/>
                <w:szCs w:val="24"/>
                <w:highlight w:val="yellow"/>
                <w:u w:val="none"/>
              </w:rPr>
              <w:t>【</w:t>
            </w:r>
            <w:r>
              <w:rPr>
                <w:rFonts w:hint="eastAsia" w:ascii="宋体" w:hAnsi="宋体"/>
                <w:b/>
                <w:color w:val="auto"/>
                <w:szCs w:val="24"/>
                <w:highlight w:val="yellow"/>
                <w:u w:val="none"/>
              </w:rPr>
              <w:t>】年【】月【】日【】</w:t>
            </w:r>
          </w:p>
          <w:p w14:paraId="5F42E642">
            <w:pPr>
              <w:snapToGrid w:val="0"/>
              <w:rPr>
                <w:rFonts w:ascii="宋体" w:hAnsi="宋体"/>
                <w:b/>
                <w:color w:val="auto"/>
                <w:szCs w:val="24"/>
                <w:highlight w:val="none"/>
                <w:u w:val="none"/>
              </w:rPr>
            </w:pPr>
            <w:r>
              <w:rPr>
                <w:rFonts w:hint="eastAsia" w:ascii="宋体" w:hAnsi="宋体"/>
                <w:b/>
                <w:color w:val="auto"/>
                <w:szCs w:val="24"/>
                <w:highlight w:val="none"/>
                <w:u w:val="none"/>
              </w:rPr>
              <w:t>如遇非</w:t>
            </w:r>
            <w:r>
              <w:rPr>
                <w:rFonts w:hint="eastAsia" w:ascii="宋体" w:hAnsi="宋体"/>
                <w:color w:val="auto"/>
                <w:szCs w:val="24"/>
                <w:highlight w:val="yellow"/>
              </w:rPr>
              <w:t>【</w:t>
            </w:r>
            <w:r>
              <w:rPr>
                <w:rFonts w:hint="eastAsia" w:ascii="宋体" w:hAnsi="宋体"/>
                <w:color w:val="auto"/>
                <w:szCs w:val="24"/>
                <w:highlight w:val="yellow"/>
                <w:lang w:eastAsia="zh-CN"/>
              </w:rPr>
              <w:t>□</w:t>
            </w:r>
            <w:r>
              <w:rPr>
                <w:rFonts w:hint="eastAsia" w:ascii="宋体" w:hAnsi="宋体"/>
                <w:color w:val="auto"/>
                <w:szCs w:val="24"/>
                <w:highlight w:val="yellow"/>
              </w:rPr>
              <w:t>工作日</w:t>
            </w:r>
            <w:r>
              <w:rPr>
                <w:rFonts w:ascii="宋体" w:hAnsi="宋体"/>
                <w:color w:val="auto"/>
                <w:szCs w:val="24"/>
                <w:highlight w:val="yellow"/>
              </w:rPr>
              <w:t>/</w:t>
            </w:r>
            <w:r>
              <w:rPr>
                <w:rFonts w:hint="eastAsia" w:ascii="宋体" w:hAnsi="宋体"/>
                <w:color w:val="auto"/>
                <w:szCs w:val="24"/>
                <w:highlight w:val="yellow"/>
                <w:lang w:eastAsia="zh-CN"/>
              </w:rPr>
              <w:t>□</w:t>
            </w:r>
            <w:r>
              <w:rPr>
                <w:rFonts w:hint="eastAsia" w:ascii="宋体" w:hAnsi="宋体"/>
                <w:color w:val="auto"/>
                <w:szCs w:val="24"/>
                <w:highlight w:val="yellow"/>
              </w:rPr>
              <w:t>交易日】</w:t>
            </w:r>
            <w:r>
              <w:rPr>
                <w:rFonts w:hint="eastAsia" w:ascii="宋体" w:hAnsi="宋体"/>
                <w:b/>
                <w:color w:val="auto"/>
                <w:szCs w:val="24"/>
                <w:highlight w:val="none"/>
                <w:u w:val="none"/>
              </w:rPr>
              <w:t>则顺延至下一</w:t>
            </w:r>
            <w:r>
              <w:rPr>
                <w:rFonts w:hint="eastAsia" w:ascii="宋体" w:hAnsi="宋体"/>
                <w:color w:val="auto"/>
                <w:szCs w:val="24"/>
                <w:highlight w:val="yellow"/>
              </w:rPr>
              <w:t>【</w:t>
            </w:r>
            <w:r>
              <w:rPr>
                <w:rFonts w:hint="eastAsia" w:ascii="宋体" w:hAnsi="宋体"/>
                <w:color w:val="auto"/>
                <w:szCs w:val="24"/>
                <w:highlight w:val="yellow"/>
                <w:lang w:eastAsia="zh-CN"/>
              </w:rPr>
              <w:t>□</w:t>
            </w:r>
            <w:r>
              <w:rPr>
                <w:rFonts w:hint="eastAsia" w:ascii="宋体" w:hAnsi="宋体"/>
                <w:color w:val="auto"/>
                <w:szCs w:val="24"/>
                <w:highlight w:val="yellow"/>
              </w:rPr>
              <w:t>工作日</w:t>
            </w:r>
            <w:r>
              <w:rPr>
                <w:rFonts w:ascii="宋体" w:hAnsi="宋体"/>
                <w:color w:val="auto"/>
                <w:szCs w:val="24"/>
                <w:highlight w:val="yellow"/>
              </w:rPr>
              <w:t>/</w:t>
            </w:r>
            <w:r>
              <w:rPr>
                <w:rFonts w:hint="eastAsia" w:ascii="宋体" w:hAnsi="宋体"/>
                <w:color w:val="auto"/>
                <w:szCs w:val="24"/>
                <w:highlight w:val="yellow"/>
                <w:lang w:eastAsia="zh-CN"/>
              </w:rPr>
              <w:t>□</w:t>
            </w:r>
            <w:r>
              <w:rPr>
                <w:rFonts w:hint="eastAsia" w:ascii="宋体" w:hAnsi="宋体"/>
                <w:color w:val="auto"/>
                <w:szCs w:val="24"/>
                <w:highlight w:val="yellow"/>
              </w:rPr>
              <w:t>交易日】</w:t>
            </w:r>
            <w:r>
              <w:rPr>
                <w:rFonts w:hint="eastAsia" w:ascii="宋体" w:hAnsi="宋体"/>
                <w:b/>
                <w:color w:val="auto"/>
                <w:szCs w:val="24"/>
                <w:highlight w:val="none"/>
                <w:u w:val="none"/>
              </w:rPr>
              <w:t>。</w:t>
            </w:r>
          </w:p>
          <w:p w14:paraId="4DB2644E">
            <w:pPr>
              <w:widowControl/>
              <w:spacing w:line="400" w:lineRule="exact"/>
              <w:jc w:val="left"/>
              <w:textAlignment w:val="center"/>
              <w:rPr>
                <w:rFonts w:hint="eastAsia" w:ascii="宋体" w:hAnsi="宋体"/>
                <w:color w:val="auto"/>
                <w:szCs w:val="24"/>
                <w:highlight w:val="none"/>
                <w:u w:val="none"/>
              </w:rPr>
            </w:pPr>
            <w:r>
              <w:rPr>
                <w:rFonts w:hint="eastAsia" w:ascii="宋体" w:hAnsi="宋体"/>
                <w:b/>
                <w:color w:val="auto"/>
                <w:szCs w:val="24"/>
                <w:highlight w:val="none"/>
                <w:u w:val="none"/>
              </w:rPr>
              <w:t>如本理财产品募集期提前终止或延长，实际成立日以管理人或销售机构公告为准。</w:t>
            </w:r>
          </w:p>
        </w:tc>
      </w:tr>
      <w:tr w14:paraId="7470125D">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38538E4">
            <w:pPr>
              <w:widowControl/>
              <w:spacing w:line="400" w:lineRule="exact"/>
              <w:jc w:val="center"/>
              <w:textAlignment w:val="center"/>
              <w:rPr>
                <w:rFonts w:hint="eastAsia" w:ascii="仿宋_GB2312" w:hAnsi="等线" w:eastAsia="仿宋_GB2312" w:cs="仿宋_GB2312"/>
                <w:color w:val="auto"/>
                <w:kern w:val="0"/>
                <w:sz w:val="24"/>
                <w:highlight w:val="none"/>
                <w:lang w:bidi="ar"/>
              </w:rPr>
            </w:pPr>
            <w:r>
              <w:rPr>
                <w:rFonts w:hint="eastAsia" w:ascii="仿宋_GB2312" w:hAnsi="等线" w:eastAsia="仿宋_GB2312" w:cs="仿宋_GB2312"/>
                <w:color w:val="000000" w:themeColor="text1"/>
                <w:kern w:val="0"/>
                <w:sz w:val="24"/>
                <w:lang w:bidi="ar"/>
                <w14:textFill>
                  <w14:solidFill>
                    <w14:schemeClr w14:val="tx1"/>
                  </w14:solidFill>
                </w14:textFill>
              </w:rPr>
              <w:t>产品到期日期</w:t>
            </w:r>
          </w:p>
        </w:tc>
        <w:tc>
          <w:tcPr>
            <w:tcW w:w="6972" w:type="dxa"/>
            <w:tcBorders>
              <w:top w:val="single" w:color="auto" w:sz="4" w:space="0"/>
              <w:left w:val="single" w:color="auto" w:sz="4" w:space="0"/>
              <w:bottom w:val="single" w:color="auto" w:sz="4" w:space="0"/>
              <w:right w:val="single" w:color="auto" w:sz="4" w:space="0"/>
            </w:tcBorders>
            <w:vAlign w:val="center"/>
          </w:tcPr>
          <w:p w14:paraId="75C1C71D">
            <w:pPr>
              <w:widowControl/>
              <w:spacing w:line="400" w:lineRule="exact"/>
              <w:jc w:val="left"/>
              <w:textAlignment w:val="center"/>
              <w:rPr>
                <w:rFonts w:hint="eastAsia" w:ascii="仿宋_GB2312" w:hAnsi="等线" w:cs="仿宋_GB2312"/>
                <w:bCs/>
                <w:color w:val="000000" w:themeColor="text1"/>
                <w:sz w:val="24"/>
                <w:lang w:eastAsia="zh-CN"/>
                <w14:textFill>
                  <w14:solidFill>
                    <w14:schemeClr w14:val="tx1"/>
                  </w14:solidFill>
                </w14:textFill>
              </w:rPr>
            </w:pPr>
            <w:r>
              <w:rPr>
                <w:rFonts w:hint="eastAsia" w:ascii="宋体" w:hAnsi="宋体"/>
                <w:szCs w:val="24"/>
                <w:highlight w:val="yellow"/>
                <w:lang w:eastAsia="zh-CN"/>
              </w:rPr>
              <w:t>【无固定期限</w:t>
            </w:r>
            <w:r>
              <w:rPr>
                <w:rFonts w:hint="eastAsia" w:ascii="宋体" w:hAnsi="宋体"/>
                <w:szCs w:val="24"/>
                <w:highlight w:val="yellow"/>
                <w:lang w:val="en-US" w:eastAsia="zh-CN"/>
              </w:rPr>
              <w:t>/xxxx年xx月xx日</w:t>
            </w:r>
            <w:r>
              <w:rPr>
                <w:rFonts w:hint="eastAsia" w:ascii="宋体" w:hAnsi="宋体"/>
                <w:b/>
                <w:szCs w:val="24"/>
                <w:highlight w:val="yellow"/>
                <w:lang w:eastAsia="zh-CN"/>
              </w:rPr>
              <w:t>】</w:t>
            </w:r>
          </w:p>
          <w:p w14:paraId="3CB94F55">
            <w:pPr>
              <w:widowControl/>
              <w:spacing w:line="400" w:lineRule="exact"/>
              <w:jc w:val="left"/>
              <w:textAlignment w:val="center"/>
              <w:rPr>
                <w:rFonts w:hint="eastAsia" w:ascii="仿宋_GB2312" w:hAnsi="等线" w:cs="仿宋_GB2312"/>
                <w:bCs/>
                <w:color w:val="auto"/>
                <w:sz w:val="24"/>
                <w:highlight w:val="none"/>
                <w:lang w:eastAsia="zh-CN"/>
              </w:rPr>
            </w:pPr>
            <w:r>
              <w:rPr>
                <w:rFonts w:hint="eastAsia" w:ascii="宋体" w:hAnsi="宋体"/>
                <w:color w:val="auto"/>
                <w:szCs w:val="24"/>
                <w:highlight w:val="none"/>
                <w:u w:val="none"/>
              </w:rPr>
              <w:t>产品管理人有权根据实际情况提前终止，并提前</w:t>
            </w:r>
            <w:r>
              <w:rPr>
                <w:rFonts w:hint="eastAsia" w:ascii="宋体" w:hAnsi="宋体"/>
                <w:b/>
                <w:szCs w:val="24"/>
                <w:highlight w:val="yellow"/>
                <w:lang w:eastAsia="zh-CN"/>
              </w:rPr>
              <w:t>【</w:t>
            </w:r>
            <w:r>
              <w:rPr>
                <w:rFonts w:hint="eastAsia" w:ascii="宋体" w:hAnsi="宋体"/>
                <w:b/>
                <w:szCs w:val="24"/>
                <w:highlight w:val="yellow"/>
                <w:lang w:val="en-US" w:eastAsia="zh-CN"/>
              </w:rPr>
              <w:t>1</w:t>
            </w:r>
            <w:r>
              <w:rPr>
                <w:rFonts w:hint="eastAsia" w:ascii="宋体" w:hAnsi="宋体"/>
                <w:b/>
                <w:szCs w:val="24"/>
                <w:highlight w:val="yellow"/>
                <w:lang w:eastAsia="zh-CN"/>
              </w:rPr>
              <w:t>】</w:t>
            </w:r>
            <w:r>
              <w:rPr>
                <w:rFonts w:hint="eastAsia" w:ascii="宋体" w:hAnsi="宋体"/>
                <w:color w:val="auto"/>
                <w:szCs w:val="24"/>
                <w:highlight w:val="none"/>
                <w:u w:val="none"/>
              </w:rPr>
              <w:t>个</w:t>
            </w:r>
            <w:r>
              <w:rPr>
                <w:rFonts w:ascii="宋体" w:hAnsi="宋体"/>
                <w:color w:val="auto"/>
                <w:szCs w:val="24"/>
                <w:highlight w:val="none"/>
                <w:u w:val="none"/>
              </w:rPr>
              <w:t>工作</w:t>
            </w:r>
            <w:r>
              <w:rPr>
                <w:rFonts w:hint="eastAsia" w:ascii="宋体" w:hAnsi="宋体"/>
                <w:color w:val="auto"/>
                <w:szCs w:val="24"/>
                <w:highlight w:val="none"/>
                <w:u w:val="none"/>
              </w:rPr>
              <w:t>日按照本《产品说明书》“信息披露”约定的方式通知投资者。</w:t>
            </w:r>
          </w:p>
        </w:tc>
      </w:tr>
      <w:tr w14:paraId="6EC2172A">
        <w:tblPrEx>
          <w:tblCellMar>
            <w:top w:w="0" w:type="dxa"/>
            <w:left w:w="108" w:type="dxa"/>
            <w:bottom w:w="0" w:type="dxa"/>
            <w:right w:w="108" w:type="dxa"/>
          </w:tblCellMar>
        </w:tblPrEx>
        <w:trPr>
          <w:trHeight w:val="447" w:hRule="atLeast"/>
        </w:trPr>
        <w:tc>
          <w:tcPr>
            <w:tcW w:w="2453" w:type="dxa"/>
            <w:tcBorders>
              <w:top w:val="single" w:color="auto" w:sz="4" w:space="0"/>
              <w:left w:val="single" w:color="auto" w:sz="4" w:space="0"/>
              <w:bottom w:val="single" w:color="auto" w:sz="4" w:space="0"/>
              <w:right w:val="single" w:color="auto" w:sz="4" w:space="0"/>
            </w:tcBorders>
            <w:vAlign w:val="center"/>
          </w:tcPr>
          <w:p w14:paraId="4F0BE903">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000000" w:themeColor="text1"/>
                <w:kern w:val="0"/>
                <w:sz w:val="24"/>
                <w:lang w:bidi="ar"/>
                <w14:textFill>
                  <w14:solidFill>
                    <w14:schemeClr w14:val="tx1"/>
                  </w14:solidFill>
                </w14:textFill>
              </w:rPr>
              <w:t>资金到账日</w:t>
            </w:r>
          </w:p>
        </w:tc>
        <w:tc>
          <w:tcPr>
            <w:tcW w:w="6972" w:type="dxa"/>
            <w:tcBorders>
              <w:top w:val="single" w:color="auto" w:sz="4" w:space="0"/>
              <w:left w:val="single" w:color="auto" w:sz="4" w:space="0"/>
              <w:bottom w:val="single" w:color="auto" w:sz="4" w:space="0"/>
              <w:right w:val="single" w:color="auto" w:sz="4" w:space="0"/>
            </w:tcBorders>
            <w:vAlign w:val="center"/>
          </w:tcPr>
          <w:p w14:paraId="36DFE1EA">
            <w:pPr>
              <w:widowControl/>
              <w:spacing w:line="400" w:lineRule="exact"/>
              <w:jc w:val="left"/>
              <w:textAlignment w:val="center"/>
              <w:rPr>
                <w:rFonts w:hint="eastAsia" w:ascii="宋体" w:hAnsi="宋体" w:eastAsia="仿宋_GB2312" w:cstheme="minorBidi"/>
                <w:bCs w:val="0"/>
                <w:color w:val="auto"/>
                <w:sz w:val="24"/>
                <w:szCs w:val="24"/>
                <w:highlight w:val="none"/>
                <w:u w:val="none"/>
              </w:rPr>
            </w:pPr>
            <w:r>
              <w:rPr>
                <w:rFonts w:hint="eastAsia" w:ascii="宋体" w:hAnsi="宋体"/>
                <w:b/>
                <w:szCs w:val="24"/>
                <w:highlight w:val="yellow"/>
                <w:lang w:eastAsia="zh-CN"/>
              </w:rPr>
              <w:t>【T+0、T+1、T+2、T+3、T+4、T+5及以上】</w:t>
            </w:r>
          </w:p>
        </w:tc>
      </w:tr>
      <w:tr w14:paraId="488E51F9">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69A84FDD">
            <w:pPr>
              <w:widowControl/>
              <w:spacing w:line="400" w:lineRule="exact"/>
              <w:jc w:val="center"/>
              <w:textAlignment w:val="center"/>
              <w:rPr>
                <w:rFonts w:hint="eastAsia" w:ascii="楷体_GB2312" w:hAnsi="等线" w:eastAsia="楷体_GB2312" w:cs="楷体_GB2312"/>
                <w:b/>
                <w:bCs/>
                <w:color w:val="auto"/>
                <w:sz w:val="24"/>
                <w:highlight w:val="none"/>
              </w:rPr>
            </w:pPr>
            <w:r>
              <w:rPr>
                <w:rFonts w:hint="eastAsia" w:ascii="楷体_GB2312" w:hAnsi="等线" w:eastAsia="楷体_GB2312" w:cs="楷体_GB2312"/>
                <w:b/>
                <w:bCs/>
                <w:color w:val="auto"/>
                <w:kern w:val="0"/>
                <w:sz w:val="24"/>
                <w:highlight w:val="none"/>
                <w:lang w:bidi="ar"/>
              </w:rPr>
              <w:t>（五）产品费用</w:t>
            </w:r>
          </w:p>
        </w:tc>
      </w:tr>
      <w:tr w14:paraId="3C3EA75B">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09DABCA">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auto"/>
                <w:kern w:val="0"/>
                <w:sz w:val="24"/>
                <w:highlight w:val="none"/>
                <w:lang w:bidi="ar"/>
              </w:rPr>
              <w:t>销售</w:t>
            </w:r>
            <w:r>
              <w:rPr>
                <w:rFonts w:hint="eastAsia" w:ascii="仿宋_GB2312" w:hAnsi="等线" w:cs="仿宋_GB2312"/>
                <w:color w:val="auto"/>
                <w:kern w:val="0"/>
                <w:sz w:val="24"/>
                <w:highlight w:val="none"/>
                <w:lang w:eastAsia="zh-CN" w:bidi="ar"/>
              </w:rPr>
              <w:t>服务</w:t>
            </w:r>
            <w:r>
              <w:rPr>
                <w:rFonts w:hint="eastAsia" w:ascii="仿宋_GB2312" w:hAnsi="等线" w:eastAsia="仿宋_GB2312" w:cs="仿宋_GB2312"/>
                <w:color w:val="auto"/>
                <w:kern w:val="0"/>
                <w:sz w:val="24"/>
                <w:highlight w:val="none"/>
                <w:lang w:bidi="ar"/>
              </w:rPr>
              <w:t>费率（年化）</w:t>
            </w:r>
          </w:p>
        </w:tc>
        <w:tc>
          <w:tcPr>
            <w:tcW w:w="6972" w:type="dxa"/>
            <w:tcBorders>
              <w:top w:val="single" w:color="auto" w:sz="4" w:space="0"/>
              <w:left w:val="single" w:color="auto" w:sz="4" w:space="0"/>
              <w:bottom w:val="single" w:color="auto" w:sz="4" w:space="0"/>
              <w:right w:val="single" w:color="auto" w:sz="4" w:space="0"/>
            </w:tcBorders>
            <w:vAlign w:val="center"/>
          </w:tcPr>
          <w:p w14:paraId="086049A8">
            <w:pPr>
              <w:widowControl/>
              <w:spacing w:line="400" w:lineRule="exact"/>
              <w:jc w:val="left"/>
              <w:textAlignment w:val="center"/>
              <w:rPr>
                <w:rFonts w:hint="default" w:ascii="仿宋_GB2312" w:hAnsi="等线" w:eastAsia="仿宋_GB2312" w:cs="仿宋_GB2312"/>
                <w:bCs/>
                <w:color w:val="auto"/>
                <w:sz w:val="24"/>
                <w:highlight w:val="none"/>
                <w:lang w:val="en-US"/>
              </w:rPr>
            </w:pPr>
            <w:r>
              <w:rPr>
                <w:rFonts w:hint="eastAsia" w:ascii="宋体" w:hAnsi="宋体"/>
                <w:color w:val="auto"/>
                <w:szCs w:val="24"/>
                <w:highlight w:val="yellow"/>
                <w:lang w:eastAsia="zh-CN"/>
              </w:rPr>
              <w:t>【份额代码】</w:t>
            </w:r>
            <w:r>
              <w:rPr>
                <w:rFonts w:hint="eastAsia" w:ascii="宋体" w:hAnsi="宋体"/>
                <w:color w:val="auto"/>
                <w:szCs w:val="24"/>
                <w:highlight w:val="none"/>
                <w:u w:val="none"/>
                <w:lang w:val="en-US" w:eastAsia="zh-CN"/>
              </w:rPr>
              <w:t>：</w:t>
            </w:r>
            <w:r>
              <w:rPr>
                <w:rFonts w:hint="eastAsia" w:ascii="宋体" w:hAnsi="宋体"/>
                <w:color w:val="auto"/>
                <w:szCs w:val="24"/>
                <w:highlight w:val="yellow"/>
                <w:u w:val="none"/>
                <w:lang w:val="en-US" w:eastAsia="zh-CN"/>
              </w:rPr>
              <w:t>【%】</w:t>
            </w:r>
          </w:p>
        </w:tc>
      </w:tr>
      <w:tr w14:paraId="583021F1">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6670179">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auto"/>
                <w:kern w:val="0"/>
                <w:sz w:val="24"/>
                <w:highlight w:val="none"/>
                <w:lang w:bidi="ar"/>
              </w:rPr>
              <w:t>托管费率（年化）</w:t>
            </w:r>
          </w:p>
        </w:tc>
        <w:tc>
          <w:tcPr>
            <w:tcW w:w="6972" w:type="dxa"/>
            <w:tcBorders>
              <w:top w:val="single" w:color="auto" w:sz="4" w:space="0"/>
              <w:left w:val="single" w:color="auto" w:sz="4" w:space="0"/>
              <w:bottom w:val="single" w:color="auto" w:sz="4" w:space="0"/>
              <w:right w:val="single" w:color="auto" w:sz="4" w:space="0"/>
            </w:tcBorders>
            <w:vAlign w:val="center"/>
          </w:tcPr>
          <w:p w14:paraId="6F39FBE8">
            <w:pPr>
              <w:widowControl/>
              <w:spacing w:line="400" w:lineRule="exact"/>
              <w:jc w:val="left"/>
              <w:textAlignment w:val="center"/>
              <w:rPr>
                <w:rFonts w:hint="eastAsia" w:ascii="仿宋_GB2312" w:hAnsi="等线" w:eastAsia="仿宋_GB2312" w:cs="仿宋_GB2312"/>
                <w:bCs/>
                <w:color w:val="auto"/>
                <w:sz w:val="24"/>
                <w:highlight w:val="none"/>
              </w:rPr>
            </w:pPr>
            <w:r>
              <w:rPr>
                <w:rFonts w:hint="eastAsia" w:ascii="宋体" w:hAnsi="宋体"/>
                <w:color w:val="auto"/>
                <w:szCs w:val="24"/>
                <w:highlight w:val="yellow"/>
                <w:u w:val="none"/>
                <w:lang w:val="en-US" w:eastAsia="zh-CN"/>
              </w:rPr>
              <w:t>【%】</w:t>
            </w:r>
          </w:p>
        </w:tc>
      </w:tr>
      <w:tr w14:paraId="184BEF60">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8FEF615">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cs="仿宋_GB2312"/>
                <w:color w:val="auto"/>
                <w:kern w:val="0"/>
                <w:sz w:val="24"/>
                <w:highlight w:val="none"/>
                <w:lang w:eastAsia="zh-CN" w:bidi="ar"/>
              </w:rPr>
              <w:t>固定</w:t>
            </w:r>
            <w:r>
              <w:rPr>
                <w:rFonts w:hint="eastAsia" w:ascii="仿宋_GB2312" w:hAnsi="等线" w:eastAsia="仿宋_GB2312" w:cs="仿宋_GB2312"/>
                <w:color w:val="auto"/>
                <w:kern w:val="0"/>
                <w:sz w:val="24"/>
                <w:highlight w:val="none"/>
                <w:lang w:bidi="ar"/>
              </w:rPr>
              <w:t>管理费率（年化）</w:t>
            </w:r>
          </w:p>
        </w:tc>
        <w:tc>
          <w:tcPr>
            <w:tcW w:w="6972" w:type="dxa"/>
            <w:tcBorders>
              <w:top w:val="single" w:color="auto" w:sz="4" w:space="0"/>
              <w:left w:val="single" w:color="auto" w:sz="4" w:space="0"/>
              <w:bottom w:val="single" w:color="auto" w:sz="4" w:space="0"/>
              <w:right w:val="single" w:color="auto" w:sz="4" w:space="0"/>
            </w:tcBorders>
            <w:vAlign w:val="center"/>
          </w:tcPr>
          <w:p w14:paraId="1B6D5273">
            <w:pPr>
              <w:widowControl/>
              <w:spacing w:line="400" w:lineRule="exact"/>
              <w:jc w:val="left"/>
              <w:textAlignment w:val="center"/>
              <w:rPr>
                <w:rFonts w:hint="eastAsia" w:ascii="仿宋_GB2312" w:hAnsi="等线" w:eastAsia="仿宋_GB2312" w:cs="仿宋_GB2312"/>
                <w:bCs/>
                <w:color w:val="auto"/>
                <w:sz w:val="24"/>
                <w:highlight w:val="none"/>
              </w:rPr>
            </w:pPr>
            <w:r>
              <w:rPr>
                <w:rFonts w:hint="eastAsia" w:ascii="宋体" w:hAnsi="宋体"/>
                <w:color w:val="auto"/>
                <w:szCs w:val="24"/>
                <w:highlight w:val="yellow"/>
                <w:u w:val="none"/>
                <w:lang w:val="en-US" w:eastAsia="zh-CN"/>
              </w:rPr>
              <w:t>【%】</w:t>
            </w:r>
          </w:p>
        </w:tc>
      </w:tr>
      <w:tr w14:paraId="7D6ECB20">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45DBCE79">
            <w:pPr>
              <w:widowControl/>
              <w:spacing w:line="400" w:lineRule="exact"/>
              <w:jc w:val="center"/>
              <w:textAlignment w:val="center"/>
              <w:rPr>
                <w:rFonts w:hint="eastAsia" w:ascii="仿宋_GB2312" w:hAnsi="等线" w:eastAsia="仿宋_GB2312" w:cs="仿宋_GB2312"/>
                <w:color w:val="auto"/>
                <w:sz w:val="24"/>
                <w:highlight w:val="none"/>
                <w:lang w:eastAsia="zh-CN"/>
              </w:rPr>
            </w:pPr>
            <w:r>
              <w:rPr>
                <w:rFonts w:hint="eastAsia" w:ascii="仿宋_GB2312" w:hAnsi="等线" w:cs="仿宋_GB2312"/>
                <w:color w:val="auto"/>
                <w:kern w:val="0"/>
                <w:sz w:val="24"/>
                <w:highlight w:val="none"/>
                <w:lang w:eastAsia="zh-CN" w:bidi="ar"/>
              </w:rPr>
              <w:t>浮动管理费</w:t>
            </w:r>
          </w:p>
        </w:tc>
        <w:tc>
          <w:tcPr>
            <w:tcW w:w="6972" w:type="dxa"/>
            <w:tcBorders>
              <w:top w:val="single" w:color="auto" w:sz="4" w:space="0"/>
              <w:left w:val="single" w:color="auto" w:sz="4" w:space="0"/>
              <w:bottom w:val="single" w:color="auto" w:sz="4" w:space="0"/>
              <w:right w:val="single" w:color="auto" w:sz="4" w:space="0"/>
            </w:tcBorders>
            <w:vAlign w:val="center"/>
          </w:tcPr>
          <w:p w14:paraId="1B08BD02">
            <w:pPr>
              <w:widowControl/>
              <w:tabs>
                <w:tab w:val="left" w:pos="312"/>
              </w:tabs>
              <w:jc w:val="left"/>
              <w:rPr>
                <w:rFonts w:hint="eastAsia" w:ascii="宋体" w:hAnsi="宋体"/>
                <w:b/>
                <w:color w:val="auto"/>
                <w:szCs w:val="24"/>
                <w:highlight w:val="yellow"/>
                <w:lang w:eastAsia="zh-CN"/>
              </w:rPr>
            </w:pPr>
            <w:r>
              <w:rPr>
                <w:rFonts w:hint="eastAsia" w:ascii="宋体" w:hAnsi="宋体"/>
                <w:b/>
                <w:color w:val="auto"/>
                <w:szCs w:val="24"/>
                <w:highlight w:val="yellow"/>
                <w:lang w:eastAsia="zh-CN"/>
              </w:rPr>
              <w:t>【□</w:t>
            </w:r>
            <w:r>
              <w:rPr>
                <w:rFonts w:hint="eastAsia" w:ascii="宋体" w:hAnsi="宋体"/>
                <w:b/>
                <w:color w:val="auto"/>
                <w:szCs w:val="24"/>
                <w:highlight w:val="yellow"/>
              </w:rPr>
              <w:t xml:space="preserve"> 产品管理人</w:t>
            </w:r>
            <w:r>
              <w:rPr>
                <w:rFonts w:hint="eastAsia" w:ascii="宋体" w:hAnsi="宋体"/>
                <w:b/>
                <w:color w:val="auto"/>
                <w:szCs w:val="24"/>
                <w:highlight w:val="yellow"/>
                <w:lang w:eastAsia="zh-CN"/>
              </w:rPr>
              <w:t>设置浮动管理费</w:t>
            </w:r>
          </w:p>
          <w:p w14:paraId="695F2459">
            <w:pPr>
              <w:widowControl/>
              <w:tabs>
                <w:tab w:val="left" w:pos="312"/>
              </w:tabs>
              <w:jc w:val="left"/>
              <w:rPr>
                <w:rFonts w:hint="eastAsia" w:ascii="宋体" w:hAnsi="宋体"/>
                <w:b/>
                <w:color w:val="auto"/>
                <w:szCs w:val="24"/>
                <w:highlight w:val="yellow"/>
                <w:lang w:eastAsia="zh-CN"/>
              </w:rPr>
            </w:pPr>
          </w:p>
          <w:p w14:paraId="2314F9C0">
            <w:pPr>
              <w:widowControl/>
              <w:tabs>
                <w:tab w:val="left" w:pos="312"/>
              </w:tabs>
              <w:jc w:val="left"/>
              <w:rPr>
                <w:rFonts w:hint="eastAsia" w:ascii="宋体" w:hAnsi="宋体"/>
                <w:b/>
                <w:color w:val="auto"/>
                <w:szCs w:val="24"/>
                <w:highlight w:val="yellow"/>
                <w:lang w:eastAsia="zh-CN"/>
              </w:rPr>
            </w:pPr>
            <w:r>
              <w:rPr>
                <w:rFonts w:hint="eastAsia" w:ascii="宋体" w:hAnsi="宋体"/>
                <w:b/>
                <w:color w:val="auto"/>
                <w:szCs w:val="24"/>
                <w:highlight w:val="yellow"/>
                <w:lang w:eastAsia="zh-CN"/>
              </w:rPr>
              <w:t>□</w:t>
            </w:r>
            <w:r>
              <w:rPr>
                <w:rFonts w:hint="eastAsia" w:ascii="宋体" w:hAnsi="宋体"/>
                <w:b/>
                <w:color w:val="auto"/>
                <w:szCs w:val="24"/>
                <w:highlight w:val="yellow"/>
              </w:rPr>
              <w:t xml:space="preserve"> 产品管理人不设</w:t>
            </w:r>
            <w:r>
              <w:rPr>
                <w:rFonts w:hint="eastAsia" w:ascii="宋体" w:hAnsi="宋体"/>
                <w:b/>
                <w:color w:val="auto"/>
                <w:szCs w:val="24"/>
                <w:highlight w:val="yellow"/>
                <w:lang w:eastAsia="zh-CN"/>
              </w:rPr>
              <w:t>浮动管理费】</w:t>
            </w:r>
          </w:p>
          <w:p w14:paraId="1B8B3CC3">
            <w:pPr>
              <w:widowControl/>
              <w:jc w:val="left"/>
              <w:rPr>
                <w:rFonts w:hint="eastAsia" w:ascii="宋体" w:hAnsi="宋体" w:eastAsia="仿宋_GB2312"/>
                <w:b/>
                <w:color w:val="auto"/>
                <w:szCs w:val="24"/>
                <w:highlight w:val="none"/>
                <w:lang w:eastAsia="zh-CN"/>
              </w:rPr>
            </w:pPr>
            <w:r>
              <w:rPr>
                <w:rFonts w:hint="eastAsia" w:ascii="宋体" w:hAnsi="宋体"/>
                <w:b/>
                <w:color w:val="auto"/>
                <w:szCs w:val="24"/>
                <w:highlight w:val="none"/>
                <w:lang w:eastAsia="zh-CN"/>
              </w:rPr>
              <w:t>浮动管理费计提基准：</w:t>
            </w:r>
            <w:r>
              <w:rPr>
                <w:rFonts w:hint="eastAsia" w:ascii="宋体" w:hAnsi="宋体"/>
                <w:b/>
                <w:color w:val="auto"/>
                <w:szCs w:val="24"/>
                <w:highlight w:val="yellow"/>
                <w:lang w:eastAsia="zh-CN"/>
              </w:rPr>
              <w:t>【】</w:t>
            </w:r>
          </w:p>
          <w:p w14:paraId="77779186">
            <w:pPr>
              <w:snapToGrid w:val="0"/>
              <w:jc w:val="left"/>
              <w:rPr>
                <w:rFonts w:ascii="宋体" w:hAnsi="宋体"/>
                <w:b/>
                <w:color w:val="auto"/>
                <w:szCs w:val="24"/>
                <w:highlight w:val="none"/>
              </w:rPr>
            </w:pP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计提基准的提示：</w:t>
            </w:r>
          </w:p>
          <w:p w14:paraId="4AE7F10C">
            <w:pPr>
              <w:snapToGrid w:val="0"/>
              <w:jc w:val="left"/>
              <w:rPr>
                <w:rFonts w:ascii="宋体" w:hAnsi="宋体"/>
                <w:b/>
                <w:color w:val="auto"/>
                <w:szCs w:val="24"/>
                <w:highlight w:val="none"/>
              </w:rPr>
            </w:pPr>
            <w:r>
              <w:rPr>
                <w:rFonts w:hint="eastAsia" w:ascii="宋体" w:hAnsi="宋体"/>
                <w:b/>
                <w:color w:val="auto"/>
                <w:szCs w:val="24"/>
                <w:highlight w:val="none"/>
              </w:rPr>
              <w:t>（1）</w:t>
            </w:r>
            <w:r>
              <w:rPr>
                <w:rFonts w:hint="eastAsia" w:ascii="宋体" w:hAnsi="宋体"/>
                <w:b/>
                <w:color w:val="auto"/>
                <w:szCs w:val="24"/>
                <w:highlight w:val="none"/>
                <w:lang w:eastAsia="zh-CN"/>
              </w:rPr>
              <w:t>浮动管理费计</w:t>
            </w:r>
            <w:r>
              <w:rPr>
                <w:rFonts w:hint="eastAsia" w:ascii="宋体" w:hAnsi="宋体"/>
                <w:b/>
                <w:color w:val="auto"/>
                <w:szCs w:val="24"/>
                <w:highlight w:val="none"/>
              </w:rPr>
              <w:t>提基准仅作为管理人计算</w:t>
            </w:r>
            <w:r>
              <w:rPr>
                <w:rFonts w:hint="eastAsia" w:ascii="宋体" w:hAnsi="宋体"/>
                <w:b/>
                <w:color w:val="auto"/>
                <w:szCs w:val="24"/>
                <w:highlight w:val="none"/>
                <w:lang w:eastAsia="zh-CN"/>
              </w:rPr>
              <w:t>浮动管理费</w:t>
            </w:r>
            <w:r>
              <w:rPr>
                <w:rFonts w:hint="eastAsia" w:ascii="宋体" w:hAnsi="宋体"/>
                <w:b/>
                <w:color w:val="auto"/>
                <w:szCs w:val="24"/>
                <w:highlight w:val="none"/>
              </w:rPr>
              <w:t>的参照标准。</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计提基准不是预期收益率，不代表产品的未来表现和实际收益，不构成对产品收益的承诺。</w:t>
            </w:r>
          </w:p>
          <w:p w14:paraId="58779ACD">
            <w:pPr>
              <w:widowControl/>
              <w:spacing w:line="400" w:lineRule="exact"/>
              <w:jc w:val="left"/>
              <w:textAlignment w:val="center"/>
              <w:rPr>
                <w:rFonts w:hint="eastAsia" w:ascii="仿宋" w:hAnsi="仿宋" w:eastAsia="仿宋" w:cs="宋体"/>
                <w:bCs/>
                <w:color w:val="auto"/>
                <w:kern w:val="0"/>
                <w:sz w:val="24"/>
                <w:highlight w:val="none"/>
                <w:lang w:bidi="ar"/>
              </w:rPr>
            </w:pPr>
            <w:r>
              <w:rPr>
                <w:rFonts w:hint="eastAsia" w:ascii="宋体" w:hAnsi="宋体"/>
                <w:b/>
                <w:color w:val="auto"/>
                <w:szCs w:val="24"/>
                <w:highlight w:val="none"/>
              </w:rPr>
              <w:t>（2）如果法律法规、</w:t>
            </w:r>
            <w:r>
              <w:rPr>
                <w:rFonts w:ascii="宋体" w:hAnsi="宋体"/>
                <w:b/>
                <w:color w:val="auto"/>
                <w:szCs w:val="24"/>
                <w:highlight w:val="none"/>
              </w:rPr>
              <w:t>国家政策</w:t>
            </w:r>
            <w:r>
              <w:rPr>
                <w:rFonts w:hint="eastAsia" w:ascii="宋体" w:hAnsi="宋体"/>
                <w:b/>
                <w:color w:val="auto"/>
                <w:szCs w:val="24"/>
                <w:highlight w:val="none"/>
              </w:rPr>
              <w:t>发生变化，或者有其他代表性更强、更科学客观的</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计提基准适用于本产品时，经产品管理人和产品托管人协商一致后，本产品可以调整</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计提基准并及时公告。</w:t>
            </w:r>
          </w:p>
        </w:tc>
      </w:tr>
      <w:tr w14:paraId="146D6BA3">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4FEFB9A">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auto"/>
                <w:kern w:val="0"/>
                <w:sz w:val="24"/>
                <w:highlight w:val="none"/>
                <w:lang w:bidi="ar"/>
              </w:rPr>
              <w:t>认购费率</w:t>
            </w:r>
          </w:p>
        </w:tc>
        <w:tc>
          <w:tcPr>
            <w:tcW w:w="6972" w:type="dxa"/>
            <w:tcBorders>
              <w:top w:val="single" w:color="auto" w:sz="4" w:space="0"/>
              <w:left w:val="single" w:color="auto" w:sz="4" w:space="0"/>
              <w:bottom w:val="single" w:color="auto" w:sz="4" w:space="0"/>
              <w:right w:val="single" w:color="auto" w:sz="4" w:space="0"/>
            </w:tcBorders>
            <w:vAlign w:val="center"/>
          </w:tcPr>
          <w:p w14:paraId="09460C7D">
            <w:pPr>
              <w:widowControl/>
              <w:spacing w:line="400" w:lineRule="exact"/>
              <w:jc w:val="left"/>
              <w:textAlignment w:val="center"/>
              <w:rPr>
                <w:rFonts w:hint="eastAsia" w:ascii="仿宋_GB2312" w:hAnsi="等线" w:eastAsia="仿宋_GB2312" w:cs="仿宋_GB2312"/>
                <w:bCs/>
                <w:color w:val="auto"/>
                <w:sz w:val="24"/>
                <w:highlight w:val="none"/>
                <w:lang w:val="en-US" w:eastAsia="zh-CN"/>
              </w:rPr>
            </w:pPr>
            <w:r>
              <w:rPr>
                <w:rFonts w:hint="eastAsia" w:ascii="宋体" w:hAnsi="宋体" w:cstheme="minorBidi"/>
                <w:bCs w:val="0"/>
                <w:color w:val="auto"/>
                <w:kern w:val="2"/>
                <w:sz w:val="24"/>
                <w:szCs w:val="24"/>
                <w:highlight w:val="yellow"/>
                <w:u w:val="none"/>
                <w:lang w:eastAsia="zh-CN" w:bidi="ar"/>
              </w:rPr>
              <w:t>【】</w:t>
            </w:r>
          </w:p>
        </w:tc>
      </w:tr>
      <w:tr w14:paraId="60BFF2CC">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6150677B">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auto"/>
                <w:kern w:val="0"/>
                <w:sz w:val="24"/>
                <w:highlight w:val="none"/>
                <w:lang w:bidi="ar"/>
              </w:rPr>
              <w:t>申购费率</w:t>
            </w:r>
          </w:p>
        </w:tc>
        <w:tc>
          <w:tcPr>
            <w:tcW w:w="6972" w:type="dxa"/>
            <w:tcBorders>
              <w:top w:val="single" w:color="auto" w:sz="4" w:space="0"/>
              <w:left w:val="single" w:color="auto" w:sz="4" w:space="0"/>
              <w:bottom w:val="single" w:color="auto" w:sz="4" w:space="0"/>
              <w:right w:val="single" w:color="auto" w:sz="4" w:space="0"/>
            </w:tcBorders>
            <w:vAlign w:val="center"/>
          </w:tcPr>
          <w:p w14:paraId="399481A7">
            <w:pPr>
              <w:widowControl/>
              <w:spacing w:line="400" w:lineRule="exact"/>
              <w:jc w:val="left"/>
              <w:textAlignment w:val="center"/>
              <w:rPr>
                <w:rFonts w:hint="eastAsia" w:ascii="仿宋_GB2312" w:hAnsi="等线" w:eastAsia="仿宋_GB2312" w:cs="仿宋_GB2312"/>
                <w:bCs/>
                <w:color w:val="auto"/>
                <w:sz w:val="24"/>
                <w:highlight w:val="none"/>
              </w:rPr>
            </w:pPr>
            <w:r>
              <w:rPr>
                <w:rFonts w:hint="eastAsia" w:ascii="宋体" w:hAnsi="宋体" w:cstheme="minorBidi"/>
                <w:bCs w:val="0"/>
                <w:color w:val="auto"/>
                <w:kern w:val="2"/>
                <w:sz w:val="24"/>
                <w:szCs w:val="24"/>
                <w:highlight w:val="yellow"/>
                <w:u w:val="none"/>
                <w:lang w:eastAsia="zh-CN" w:bidi="ar"/>
              </w:rPr>
              <w:t>【】</w:t>
            </w:r>
          </w:p>
        </w:tc>
      </w:tr>
      <w:tr w14:paraId="6A5E2E7E">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14F7B6F">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auto"/>
                <w:kern w:val="0"/>
                <w:sz w:val="24"/>
                <w:highlight w:val="none"/>
                <w:lang w:bidi="ar"/>
              </w:rPr>
              <w:t>赎回费率</w:t>
            </w:r>
          </w:p>
        </w:tc>
        <w:tc>
          <w:tcPr>
            <w:tcW w:w="6972" w:type="dxa"/>
            <w:tcBorders>
              <w:top w:val="single" w:color="auto" w:sz="4" w:space="0"/>
              <w:left w:val="single" w:color="auto" w:sz="4" w:space="0"/>
              <w:bottom w:val="single" w:color="auto" w:sz="4" w:space="0"/>
              <w:right w:val="single" w:color="auto" w:sz="4" w:space="0"/>
            </w:tcBorders>
            <w:vAlign w:val="center"/>
          </w:tcPr>
          <w:p w14:paraId="5A5E7FEA">
            <w:pPr>
              <w:widowControl/>
              <w:spacing w:line="400" w:lineRule="exact"/>
              <w:jc w:val="left"/>
              <w:textAlignment w:val="center"/>
              <w:rPr>
                <w:rFonts w:hint="eastAsia" w:ascii="仿宋_GB2312" w:hAnsi="等线" w:eastAsia="仿宋_GB2312" w:cs="仿宋_GB2312"/>
                <w:bCs/>
                <w:color w:val="auto"/>
                <w:sz w:val="24"/>
                <w:highlight w:val="none"/>
              </w:rPr>
            </w:pPr>
            <w:r>
              <w:rPr>
                <w:rFonts w:hint="eastAsia" w:ascii="宋体" w:hAnsi="宋体" w:cstheme="minorBidi"/>
                <w:bCs w:val="0"/>
                <w:color w:val="auto"/>
                <w:kern w:val="2"/>
                <w:sz w:val="24"/>
                <w:szCs w:val="24"/>
                <w:highlight w:val="yellow"/>
                <w:u w:val="none"/>
                <w:lang w:eastAsia="zh-CN" w:bidi="ar"/>
              </w:rPr>
              <w:t>【】</w:t>
            </w:r>
          </w:p>
        </w:tc>
      </w:tr>
      <w:tr w14:paraId="5AEFB5BC">
        <w:tblPrEx>
          <w:tblCellMar>
            <w:top w:w="0" w:type="dxa"/>
            <w:left w:w="108" w:type="dxa"/>
            <w:bottom w:w="0" w:type="dxa"/>
            <w:right w:w="108" w:type="dxa"/>
          </w:tblCellMar>
        </w:tblPrEx>
        <w:trPr>
          <w:trHeight w:val="830" w:hRule="atLeast"/>
        </w:trPr>
        <w:tc>
          <w:tcPr>
            <w:tcW w:w="2453" w:type="dxa"/>
            <w:tcBorders>
              <w:top w:val="single" w:color="auto" w:sz="4" w:space="0"/>
              <w:left w:val="single" w:color="auto" w:sz="4" w:space="0"/>
              <w:bottom w:val="single" w:color="auto" w:sz="4" w:space="0"/>
              <w:right w:val="single" w:color="auto" w:sz="4" w:space="0"/>
            </w:tcBorders>
            <w:vAlign w:val="center"/>
          </w:tcPr>
          <w:p w14:paraId="2D8F5F87">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auto"/>
                <w:kern w:val="0"/>
                <w:sz w:val="24"/>
                <w:highlight w:val="none"/>
                <w:lang w:bidi="ar"/>
              </w:rPr>
              <w:t>其他费用说明</w:t>
            </w:r>
          </w:p>
        </w:tc>
        <w:tc>
          <w:tcPr>
            <w:tcW w:w="6972" w:type="dxa"/>
            <w:tcBorders>
              <w:top w:val="single" w:color="auto" w:sz="4" w:space="0"/>
              <w:left w:val="single" w:color="auto" w:sz="4" w:space="0"/>
              <w:bottom w:val="single" w:color="auto" w:sz="4" w:space="0"/>
              <w:right w:val="single" w:color="auto" w:sz="4" w:space="0"/>
            </w:tcBorders>
            <w:vAlign w:val="center"/>
          </w:tcPr>
          <w:p w14:paraId="3E3B26F1">
            <w:pPr>
              <w:widowControl/>
              <w:spacing w:line="400" w:lineRule="exact"/>
              <w:jc w:val="left"/>
              <w:textAlignment w:val="center"/>
              <w:rPr>
                <w:rFonts w:hint="eastAsia" w:ascii="宋体" w:hAnsi="宋体"/>
                <w:color w:val="auto"/>
                <w:szCs w:val="24"/>
                <w:highlight w:val="none"/>
                <w:u w:val="none"/>
              </w:rPr>
            </w:pPr>
            <w:r>
              <w:rPr>
                <w:rFonts w:hint="eastAsia" w:ascii="宋体" w:hAnsi="宋体"/>
                <w:color w:val="auto"/>
                <w:szCs w:val="24"/>
                <w:highlight w:val="none"/>
                <w:u w:val="none"/>
              </w:rPr>
              <w:t>产品管理人保留调整上述理财产品收取费率标准的权利。以上费用精确到小数点后2位，小数点2位以后四舍五入。</w:t>
            </w:r>
          </w:p>
          <w:p w14:paraId="01D0A9C4">
            <w:pPr>
              <w:widowControl/>
              <w:spacing w:line="400" w:lineRule="exact"/>
              <w:jc w:val="left"/>
              <w:textAlignment w:val="center"/>
              <w:rPr>
                <w:rFonts w:hint="eastAsia" w:ascii="仿宋_GB2312" w:hAnsi="等线" w:eastAsia="仿宋_GB2312" w:cs="仿宋_GB2312"/>
                <w:bCs/>
                <w:color w:val="auto"/>
                <w:sz w:val="24"/>
                <w:highlight w:val="none"/>
              </w:rPr>
            </w:pPr>
            <w:r>
              <w:rPr>
                <w:rFonts w:hint="eastAsia" w:ascii="宋体" w:hAnsi="宋体"/>
                <w:b/>
                <w:bCs/>
                <w:color w:val="auto"/>
                <w:szCs w:val="24"/>
                <w:highlight w:val="none"/>
                <w:u w:val="none"/>
                <w:lang w:eastAsia="zh-CN"/>
              </w:rPr>
              <w:t>其他费用说明</w:t>
            </w:r>
            <w:r>
              <w:rPr>
                <w:rFonts w:hint="eastAsia" w:ascii="宋体" w:hAnsi="宋体"/>
                <w:b/>
                <w:bCs/>
                <w:color w:val="auto"/>
                <w:szCs w:val="24"/>
                <w:highlight w:val="none"/>
                <w:u w:val="none"/>
              </w:rPr>
              <w:t>详见</w:t>
            </w:r>
            <w:r>
              <w:rPr>
                <w:rFonts w:ascii="宋体" w:hAnsi="宋体"/>
                <w:b/>
                <w:bCs/>
                <w:color w:val="auto"/>
                <w:szCs w:val="24"/>
                <w:highlight w:val="none"/>
                <w:u w:val="none"/>
              </w:rPr>
              <w:t>第</w:t>
            </w:r>
            <w:r>
              <w:rPr>
                <w:rFonts w:hint="eastAsia" w:ascii="宋体" w:hAnsi="宋体"/>
                <w:b/>
                <w:bCs/>
                <w:color w:val="auto"/>
                <w:szCs w:val="24"/>
                <w:highlight w:val="none"/>
                <w:u w:val="none"/>
                <w:lang w:val="en-US" w:eastAsia="zh-CN"/>
              </w:rPr>
              <w:t>十</w:t>
            </w:r>
            <w:r>
              <w:rPr>
                <w:rFonts w:ascii="宋体" w:hAnsi="宋体"/>
                <w:b/>
                <w:bCs/>
                <w:color w:val="auto"/>
                <w:szCs w:val="24"/>
                <w:highlight w:val="none"/>
                <w:u w:val="none"/>
              </w:rPr>
              <w:t>节</w:t>
            </w:r>
            <w:r>
              <w:rPr>
                <w:rFonts w:hint="eastAsia" w:ascii="宋体" w:hAnsi="宋体"/>
                <w:b/>
                <w:bCs/>
                <w:color w:val="auto"/>
                <w:szCs w:val="24"/>
                <w:highlight w:val="none"/>
                <w:u w:val="none"/>
              </w:rPr>
              <w:t xml:space="preserve"> “理财</w:t>
            </w:r>
            <w:r>
              <w:rPr>
                <w:rFonts w:ascii="宋体" w:hAnsi="宋体"/>
                <w:b/>
                <w:bCs/>
                <w:color w:val="auto"/>
                <w:szCs w:val="24"/>
                <w:highlight w:val="none"/>
                <w:u w:val="none"/>
              </w:rPr>
              <w:t>产品</w:t>
            </w:r>
            <w:r>
              <w:rPr>
                <w:rFonts w:hint="eastAsia" w:ascii="宋体" w:hAnsi="宋体"/>
                <w:b/>
                <w:bCs/>
                <w:color w:val="auto"/>
                <w:szCs w:val="24"/>
                <w:highlight w:val="none"/>
                <w:u w:val="none"/>
                <w:lang w:eastAsia="zh-CN"/>
              </w:rPr>
              <w:t>的</w:t>
            </w:r>
            <w:r>
              <w:rPr>
                <w:rFonts w:ascii="宋体" w:hAnsi="宋体"/>
                <w:b/>
                <w:bCs/>
                <w:color w:val="auto"/>
                <w:szCs w:val="24"/>
                <w:highlight w:val="none"/>
                <w:u w:val="none"/>
              </w:rPr>
              <w:t>费用与税收”</w:t>
            </w:r>
            <w:r>
              <w:rPr>
                <w:rFonts w:hint="eastAsia" w:ascii="宋体" w:hAnsi="宋体"/>
                <w:b/>
                <w:bCs/>
                <w:color w:val="auto"/>
                <w:szCs w:val="24"/>
                <w:highlight w:val="none"/>
                <w:u w:val="none"/>
              </w:rPr>
              <w:t>。</w:t>
            </w:r>
          </w:p>
        </w:tc>
      </w:tr>
      <w:tr w14:paraId="286D7644">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3F2C80F4">
            <w:pPr>
              <w:widowControl/>
              <w:spacing w:line="400" w:lineRule="exact"/>
              <w:jc w:val="center"/>
              <w:textAlignment w:val="center"/>
              <w:rPr>
                <w:rFonts w:hint="eastAsia" w:ascii="楷体_GB2312" w:hAnsi="等线" w:eastAsia="楷体_GB2312" w:cs="楷体_GB2312"/>
                <w:b/>
                <w:bCs/>
                <w:color w:val="auto"/>
                <w:sz w:val="24"/>
                <w:highlight w:val="none"/>
              </w:rPr>
            </w:pPr>
            <w:r>
              <w:rPr>
                <w:rFonts w:hint="eastAsia" w:ascii="楷体_GB2312" w:hAnsi="等线" w:eastAsia="楷体_GB2312" w:cs="楷体_GB2312"/>
                <w:b/>
                <w:bCs/>
                <w:color w:val="auto"/>
                <w:kern w:val="0"/>
                <w:sz w:val="24"/>
                <w:highlight w:val="none"/>
                <w:lang w:bidi="ar"/>
              </w:rPr>
              <w:t>（六）业绩比较基准</w:t>
            </w:r>
          </w:p>
        </w:tc>
      </w:tr>
      <w:tr w14:paraId="5F7B7004">
        <w:tblPrEx>
          <w:tblCellMar>
            <w:top w:w="0" w:type="dxa"/>
            <w:left w:w="108" w:type="dxa"/>
            <w:bottom w:w="0" w:type="dxa"/>
            <w:right w:w="108" w:type="dxa"/>
          </w:tblCellMar>
        </w:tblPrEx>
        <w:trPr>
          <w:trHeight w:val="1180" w:hRule="atLeast"/>
        </w:trPr>
        <w:tc>
          <w:tcPr>
            <w:tcW w:w="2453" w:type="dxa"/>
            <w:tcBorders>
              <w:top w:val="single" w:color="auto" w:sz="4" w:space="0"/>
              <w:left w:val="single" w:color="auto" w:sz="4" w:space="0"/>
              <w:bottom w:val="single" w:color="auto" w:sz="4" w:space="0"/>
              <w:right w:val="single" w:color="auto" w:sz="4" w:space="0"/>
            </w:tcBorders>
            <w:vAlign w:val="center"/>
          </w:tcPr>
          <w:p w14:paraId="41A79F30">
            <w:pPr>
              <w:widowControl/>
              <w:spacing w:line="40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auto"/>
                <w:kern w:val="0"/>
                <w:sz w:val="24"/>
                <w:highlight w:val="none"/>
                <w:lang w:bidi="ar"/>
              </w:rPr>
              <w:t>业绩比较基准</w:t>
            </w:r>
          </w:p>
        </w:tc>
        <w:tc>
          <w:tcPr>
            <w:tcW w:w="6972" w:type="dxa"/>
            <w:tcBorders>
              <w:top w:val="single" w:color="auto" w:sz="4" w:space="0"/>
              <w:left w:val="single" w:color="auto" w:sz="4" w:space="0"/>
              <w:bottom w:val="single" w:color="auto" w:sz="4" w:space="0"/>
              <w:right w:val="single" w:color="auto" w:sz="4" w:space="0"/>
            </w:tcBorders>
            <w:vAlign w:val="center"/>
          </w:tcPr>
          <w:p w14:paraId="2239C95B">
            <w:pPr>
              <w:widowControl/>
              <w:spacing w:line="400" w:lineRule="exact"/>
              <w:jc w:val="left"/>
              <w:textAlignment w:val="center"/>
              <w:rPr>
                <w:rFonts w:hint="eastAsia" w:ascii="宋体" w:hAnsi="宋体"/>
                <w:b/>
                <w:color w:val="auto"/>
                <w:szCs w:val="24"/>
                <w:highlight w:val="none"/>
                <w:u w:val="none"/>
              </w:rPr>
            </w:pPr>
            <w:r>
              <w:rPr>
                <w:rFonts w:hint="eastAsia" w:ascii="宋体" w:hAnsi="宋体"/>
                <w:b/>
                <w:color w:val="auto"/>
                <w:szCs w:val="24"/>
                <w:highlight w:val="none"/>
                <w:u w:val="none"/>
              </w:rPr>
              <w:t>业绩比较基准设置</w:t>
            </w:r>
          </w:p>
          <w:p w14:paraId="256F27E4">
            <w:pPr>
              <w:widowControl/>
              <w:spacing w:line="400" w:lineRule="exact"/>
              <w:jc w:val="left"/>
              <w:textAlignment w:val="center"/>
              <w:rPr>
                <w:rFonts w:ascii="宋体" w:hAnsi="宋体"/>
                <w:b/>
                <w:color w:val="auto"/>
                <w:szCs w:val="24"/>
                <w:highlight w:val="yellow"/>
                <w:u w:val="none"/>
              </w:rPr>
            </w:pPr>
            <w:r>
              <w:rPr>
                <w:rFonts w:hint="eastAsia" w:ascii="宋体" w:hAnsi="宋体"/>
                <w:b/>
                <w:color w:val="auto"/>
                <w:szCs w:val="24"/>
                <w:highlight w:val="yellow"/>
                <w:u w:val="none"/>
                <w:lang w:eastAsia="zh-CN"/>
              </w:rPr>
              <w:t>【</w:t>
            </w:r>
            <w:r>
              <w:rPr>
                <w:rFonts w:hint="eastAsia" w:ascii="宋体" w:hAnsi="宋体"/>
                <w:b/>
                <w:color w:val="auto"/>
                <w:szCs w:val="24"/>
                <w:highlight w:val="yellow"/>
                <w:u w:val="none"/>
              </w:rPr>
              <w:t>■ 设置业绩比较基准。</w:t>
            </w:r>
          </w:p>
          <w:p w14:paraId="5D94CB6C">
            <w:pPr>
              <w:widowControl/>
              <w:spacing w:line="400" w:lineRule="exact"/>
              <w:jc w:val="left"/>
              <w:textAlignment w:val="center"/>
              <w:rPr>
                <w:rFonts w:hint="eastAsia" w:ascii="宋体" w:hAnsi="宋体"/>
                <w:b/>
                <w:color w:val="auto"/>
                <w:szCs w:val="24"/>
                <w:highlight w:val="yellow"/>
                <w:u w:val="none"/>
                <w:lang w:eastAsia="zh-CN"/>
              </w:rPr>
            </w:pPr>
            <w:r>
              <w:rPr>
                <w:rFonts w:hint="eastAsia" w:ascii="宋体" w:hAnsi="宋体"/>
                <w:szCs w:val="24"/>
                <w:highlight w:val="yellow"/>
                <w:lang w:eastAsia="zh-CN"/>
              </w:rPr>
              <w:t>【】</w:t>
            </w:r>
            <w:r>
              <w:rPr>
                <w:rFonts w:hint="eastAsia" w:ascii="宋体" w:hAnsi="宋体"/>
                <w:color w:val="auto"/>
                <w:szCs w:val="24"/>
                <w:highlight w:val="yellow"/>
                <w:u w:val="none"/>
                <w:lang w:val="en-US" w:eastAsia="zh-CN"/>
              </w:rPr>
              <w:t>：</w:t>
            </w:r>
          </w:p>
          <w:p w14:paraId="1EF4A5AF">
            <w:pPr>
              <w:widowControl/>
              <w:spacing w:line="400" w:lineRule="exact"/>
              <w:jc w:val="left"/>
              <w:textAlignment w:val="center"/>
              <w:rPr>
                <w:rFonts w:hint="eastAsia" w:ascii="宋体" w:hAnsi="宋体" w:eastAsia="仿宋_GB2312"/>
                <w:b/>
                <w:color w:val="auto"/>
                <w:szCs w:val="24"/>
                <w:highlight w:val="yellow"/>
                <w:u w:val="none"/>
                <w:lang w:eastAsia="zh-CN"/>
              </w:rPr>
            </w:pPr>
            <w:r>
              <w:rPr>
                <w:rFonts w:hint="eastAsia" w:ascii="宋体" w:hAnsi="宋体"/>
                <w:b/>
                <w:color w:val="auto"/>
                <w:szCs w:val="24"/>
                <w:highlight w:val="yellow"/>
                <w:u w:val="none"/>
              </w:rPr>
              <w:t xml:space="preserve">□ </w:t>
            </w:r>
            <w:r>
              <w:rPr>
                <w:rFonts w:hint="eastAsia" w:ascii="宋体" w:hAnsi="宋体"/>
                <w:b/>
                <w:color w:val="auto"/>
                <w:szCs w:val="24"/>
                <w:highlight w:val="yellow"/>
                <w:u w:val="none"/>
                <w:lang w:eastAsia="zh-CN"/>
              </w:rPr>
              <w:t>无</w:t>
            </w:r>
            <w:r>
              <w:rPr>
                <w:rFonts w:hint="eastAsia" w:ascii="宋体" w:hAnsi="宋体"/>
                <w:b/>
                <w:color w:val="auto"/>
                <w:szCs w:val="24"/>
                <w:highlight w:val="yellow"/>
                <w:u w:val="none"/>
              </w:rPr>
              <w:t>业绩比较基准。</w:t>
            </w:r>
            <w:r>
              <w:rPr>
                <w:rFonts w:hint="eastAsia" w:ascii="宋体" w:hAnsi="宋体"/>
                <w:b/>
                <w:color w:val="auto"/>
                <w:szCs w:val="24"/>
                <w:highlight w:val="yellow"/>
                <w:u w:val="none"/>
                <w:lang w:eastAsia="zh-CN"/>
              </w:rPr>
              <w:t>】</w:t>
            </w:r>
          </w:p>
          <w:p w14:paraId="314F705A">
            <w:pPr>
              <w:widowControl/>
              <w:spacing w:line="400" w:lineRule="exact"/>
              <w:jc w:val="left"/>
              <w:textAlignment w:val="center"/>
              <w:rPr>
                <w:rFonts w:hint="eastAsia" w:ascii="宋体" w:hAnsi="宋体"/>
                <w:b/>
                <w:color w:val="auto"/>
                <w:szCs w:val="24"/>
                <w:highlight w:val="none"/>
                <w:u w:val="none"/>
                <w:lang w:eastAsia="zh-CN"/>
              </w:rPr>
            </w:pPr>
            <w:r>
              <w:rPr>
                <w:rFonts w:hint="eastAsia" w:ascii="宋体" w:hAnsi="宋体"/>
                <w:b/>
                <w:color w:val="auto"/>
                <w:szCs w:val="24"/>
                <w:highlight w:val="none"/>
                <w:u w:val="none"/>
              </w:rPr>
              <w:t>2</w:t>
            </w:r>
            <w:r>
              <w:rPr>
                <w:rFonts w:ascii="宋体" w:hAnsi="宋体"/>
                <w:b/>
                <w:color w:val="auto"/>
                <w:szCs w:val="24"/>
                <w:highlight w:val="none"/>
                <w:u w:val="none"/>
              </w:rPr>
              <w:t>.</w:t>
            </w:r>
            <w:r>
              <w:rPr>
                <w:rFonts w:hint="eastAsia" w:ascii="宋体" w:hAnsi="宋体"/>
                <w:b/>
                <w:color w:val="auto"/>
                <w:szCs w:val="24"/>
                <w:highlight w:val="none"/>
                <w:u w:val="none"/>
              </w:rPr>
              <w:t>业绩</w:t>
            </w:r>
            <w:r>
              <w:rPr>
                <w:rFonts w:ascii="宋体" w:hAnsi="宋体"/>
                <w:b/>
                <w:color w:val="auto"/>
                <w:szCs w:val="24"/>
                <w:highlight w:val="none"/>
                <w:u w:val="none"/>
              </w:rPr>
              <w:t>比较基准</w:t>
            </w:r>
            <w:r>
              <w:rPr>
                <w:rFonts w:hint="eastAsia" w:ascii="宋体" w:hAnsi="宋体"/>
                <w:b/>
                <w:color w:val="auto"/>
                <w:szCs w:val="24"/>
                <w:highlight w:val="none"/>
                <w:u w:val="none"/>
              </w:rPr>
              <w:t>提示</w:t>
            </w:r>
          </w:p>
          <w:p w14:paraId="44B5AFBF">
            <w:pPr>
              <w:widowControl/>
              <w:spacing w:line="400" w:lineRule="exact"/>
              <w:jc w:val="left"/>
              <w:textAlignment w:val="center"/>
              <w:rPr>
                <w:rFonts w:ascii="宋体" w:hAnsi="宋体"/>
                <w:b/>
                <w:color w:val="auto"/>
                <w:szCs w:val="24"/>
                <w:highlight w:val="none"/>
                <w:u w:val="none"/>
              </w:rPr>
            </w:pPr>
            <w:r>
              <w:rPr>
                <w:rFonts w:hint="eastAsia" w:ascii="宋体" w:hAnsi="宋体"/>
                <w:b/>
                <w:color w:val="auto"/>
                <w:szCs w:val="24"/>
                <w:highlight w:val="none"/>
                <w:u w:val="none"/>
              </w:rPr>
              <w:t>本理财产品为净值型产品，业绩表现将随市场波动，具有不确定性。业绩比较基准是管理人基于投资范围内各类资产的收益率水平、投资比例、市场情况等因素进行静态测算和情景分析所得出和设定的投资目标。</w:t>
            </w:r>
          </w:p>
          <w:p w14:paraId="14150127">
            <w:pPr>
              <w:widowControl/>
              <w:snapToGrid/>
              <w:spacing w:line="400" w:lineRule="exact"/>
              <w:jc w:val="left"/>
              <w:textAlignment w:val="center"/>
              <w:rPr>
                <w:rFonts w:ascii="宋体" w:hAnsi="宋体"/>
                <w:b/>
                <w:bCs/>
                <w:color w:val="auto"/>
                <w:szCs w:val="24"/>
                <w:highlight w:val="none"/>
                <w:u w:val="none"/>
              </w:rPr>
            </w:pPr>
            <w:r>
              <w:rPr>
                <w:rFonts w:hint="eastAsia" w:asciiTheme="minorEastAsia" w:hAnsiTheme="minorEastAsia"/>
                <w:color w:val="auto"/>
                <w:kern w:val="0"/>
                <w:szCs w:val="24"/>
                <w:highlight w:val="none"/>
                <w:u w:val="none"/>
              </w:rPr>
              <w:t>本理财产品</w:t>
            </w:r>
            <w:r>
              <w:rPr>
                <w:rFonts w:hint="eastAsia" w:ascii="宋体" w:hAnsi="宋体"/>
                <w:b/>
                <w:color w:val="auto"/>
                <w:szCs w:val="24"/>
                <w:highlight w:val="none"/>
                <w:u w:val="none"/>
              </w:rPr>
              <w:t>投向</w:t>
            </w:r>
            <w:r>
              <w:rPr>
                <w:rFonts w:hint="eastAsia" w:ascii="宋体" w:hAnsi="宋体"/>
                <w:b/>
                <w:color w:val="auto"/>
                <w:szCs w:val="24"/>
                <w:highlight w:val="yellow"/>
                <w:u w:val="none"/>
                <w:lang w:eastAsia="zh-CN"/>
              </w:rPr>
              <w:t>【债权类</w:t>
            </w:r>
            <w:r>
              <w:rPr>
                <w:rFonts w:hint="eastAsia" w:ascii="宋体" w:hAnsi="宋体"/>
                <w:b/>
                <w:color w:val="auto"/>
                <w:szCs w:val="24"/>
                <w:highlight w:val="yellow"/>
                <w:u w:val="none"/>
              </w:rPr>
              <w:t>资产投资比例不低于80%，投向权益类资产、商品及金融衍生品类资产不高于20%。</w:t>
            </w:r>
            <w:r>
              <w:rPr>
                <w:rFonts w:hint="eastAsia" w:ascii="仿宋_GB2312" w:hAnsi="宋体" w:cs="宋体"/>
                <w:bCs/>
                <w:color w:val="auto"/>
                <w:kern w:val="0"/>
                <w:szCs w:val="24"/>
                <w:highlight w:val="yellow"/>
                <w:u w:val="none"/>
              </w:rPr>
              <w:t>本理财</w:t>
            </w:r>
            <w:r>
              <w:rPr>
                <w:rFonts w:ascii="仿宋_GB2312" w:hAnsi="宋体" w:cs="宋体"/>
                <w:bCs/>
                <w:color w:val="auto"/>
                <w:kern w:val="0"/>
                <w:szCs w:val="24"/>
                <w:highlight w:val="yellow"/>
                <w:u w:val="none"/>
              </w:rPr>
              <w:t>产品在投资</w:t>
            </w:r>
            <w:r>
              <w:rPr>
                <w:rFonts w:hint="eastAsia" w:ascii="仿宋_GB2312" w:hAnsi="宋体" w:cs="宋体"/>
                <w:bCs/>
                <w:color w:val="auto"/>
                <w:kern w:val="0"/>
                <w:szCs w:val="24"/>
                <w:highlight w:val="yellow"/>
                <w:u w:val="none"/>
              </w:rPr>
              <w:t>于</w:t>
            </w:r>
            <w:r>
              <w:rPr>
                <w:rFonts w:ascii="仿宋_GB2312" w:hAnsi="宋体" w:cs="宋体"/>
                <w:bCs/>
                <w:color w:val="auto"/>
                <w:kern w:val="0"/>
                <w:szCs w:val="24"/>
                <w:highlight w:val="yellow"/>
                <w:u w:val="none"/>
              </w:rPr>
              <w:t>商品及金融衍生品类资产之前</w:t>
            </w:r>
            <w:r>
              <w:rPr>
                <w:rFonts w:hint="eastAsia" w:ascii="仿宋_GB2312" w:hAnsi="宋体" w:cs="宋体"/>
                <w:bCs/>
                <w:color w:val="auto"/>
                <w:kern w:val="0"/>
                <w:szCs w:val="24"/>
                <w:highlight w:val="yellow"/>
                <w:u w:val="none"/>
                <w:lang w:eastAsia="zh-CN"/>
              </w:rPr>
              <w:t>】</w:t>
            </w:r>
            <w:r>
              <w:rPr>
                <w:rFonts w:ascii="仿宋_GB2312" w:hAnsi="宋体" w:cs="宋体"/>
                <w:bCs/>
                <w:color w:val="auto"/>
                <w:kern w:val="0"/>
                <w:szCs w:val="24"/>
                <w:highlight w:val="none"/>
                <w:u w:val="none"/>
              </w:rPr>
              <w:t>，管理人应获得相应的业务经营范围或投资交易资格</w:t>
            </w:r>
            <w:r>
              <w:rPr>
                <w:rFonts w:hint="eastAsia" w:ascii="宋体" w:hAnsi="宋体"/>
                <w:b/>
                <w:bCs/>
                <w:color w:val="auto"/>
                <w:szCs w:val="24"/>
                <w:highlight w:val="none"/>
                <w:u w:val="none"/>
              </w:rPr>
              <w:t>，管理人根据拟投资资产种类、配置比例、运作策略等因素，结合宏观经济情况和市场趋势的预判分析，综合测算、确定本理财产品的业绩比较基准。</w:t>
            </w:r>
          </w:p>
          <w:p w14:paraId="125DC180">
            <w:pPr>
              <w:widowControl/>
              <w:snapToGrid/>
              <w:spacing w:line="400" w:lineRule="exact"/>
              <w:jc w:val="left"/>
              <w:textAlignment w:val="center"/>
              <w:rPr>
                <w:rFonts w:asciiTheme="minorEastAsia" w:hAnsiTheme="minorEastAsia" w:cstheme="minorEastAsia"/>
                <w:b/>
                <w:color w:val="auto"/>
                <w:highlight w:val="none"/>
                <w:u w:val="none"/>
              </w:rPr>
            </w:pPr>
            <w:r>
              <w:rPr>
                <w:rFonts w:hint="eastAsia" w:asciiTheme="minorEastAsia" w:hAnsiTheme="minorEastAsia" w:cstheme="minorEastAsia"/>
                <w:b/>
                <w:color w:val="auto"/>
                <w:highlight w:val="none"/>
                <w:u w:val="none"/>
              </w:rPr>
              <w:t>业绩比较基准不是预期收益率，不代表产品的未来表现和实际收益，仅作为业绩参考和</w:t>
            </w:r>
            <w:r>
              <w:rPr>
                <w:rFonts w:asciiTheme="minorEastAsia" w:hAnsiTheme="minorEastAsia" w:cstheme="minorEastAsia"/>
                <w:b/>
                <w:color w:val="auto"/>
                <w:highlight w:val="none"/>
                <w:u w:val="none"/>
              </w:rPr>
              <w:t>计算</w:t>
            </w:r>
            <w:r>
              <w:rPr>
                <w:rFonts w:hint="eastAsia" w:asciiTheme="minorEastAsia" w:hAnsiTheme="minorEastAsia" w:cstheme="minorEastAsia"/>
                <w:b/>
                <w:color w:val="auto"/>
                <w:highlight w:val="none"/>
                <w:u w:val="none"/>
                <w:lang w:eastAsia="zh-CN"/>
              </w:rPr>
              <w:t>浮动管理费</w:t>
            </w:r>
            <w:r>
              <w:rPr>
                <w:rFonts w:hint="eastAsia" w:asciiTheme="minorEastAsia" w:hAnsiTheme="minorEastAsia" w:cstheme="minorEastAsia"/>
                <w:b/>
                <w:color w:val="auto"/>
                <w:highlight w:val="none"/>
                <w:u w:val="none"/>
              </w:rPr>
              <w:t>（如有）的依据，不构成对该理财产品的任何收益承诺，投资者能获得的最终收益以实际支付为准。</w:t>
            </w:r>
          </w:p>
          <w:p w14:paraId="62611EF7">
            <w:pPr>
              <w:widowControl/>
              <w:spacing w:line="400" w:lineRule="exact"/>
              <w:jc w:val="left"/>
              <w:textAlignment w:val="center"/>
              <w:rPr>
                <w:rFonts w:hint="eastAsia" w:ascii="仿宋_GB2312" w:hAnsi="等线" w:eastAsia="仿宋_GB2312" w:cs="仿宋_GB2312"/>
                <w:bCs/>
                <w:color w:val="auto"/>
                <w:sz w:val="24"/>
                <w:highlight w:val="none"/>
              </w:rPr>
            </w:pPr>
            <w:r>
              <w:rPr>
                <w:rFonts w:hint="eastAsia" w:asciiTheme="minorEastAsia" w:hAnsiTheme="minorEastAsia" w:cstheme="minorEastAsia"/>
                <w:b/>
                <w:color w:val="auto"/>
                <w:highlight w:val="none"/>
                <w:u w:val="none"/>
              </w:rPr>
              <w:t>理财产品存续期内，管理人有权根据市场情况对业绩比较基准进行调整，该调整将通过本《产品说明书》之“信息披露”约定的方式进行信息披露，如未披露调整，以最新披露的业绩比较基准为准。</w:t>
            </w:r>
          </w:p>
        </w:tc>
      </w:tr>
      <w:tr w14:paraId="64BAE241">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315CCCBD">
            <w:pPr>
              <w:widowControl/>
              <w:spacing w:line="400" w:lineRule="exact"/>
              <w:jc w:val="center"/>
              <w:textAlignment w:val="center"/>
              <w:rPr>
                <w:rFonts w:hint="eastAsia" w:ascii="楷体_GB2312" w:hAnsi="等线" w:eastAsia="楷体_GB2312" w:cs="楷体_GB2312"/>
                <w:bCs/>
                <w:color w:val="auto"/>
                <w:sz w:val="24"/>
                <w:highlight w:val="none"/>
              </w:rPr>
            </w:pPr>
            <w:r>
              <w:rPr>
                <w:rFonts w:hint="eastAsia" w:ascii="楷体_GB2312" w:hAnsi="等线" w:eastAsia="楷体_GB2312" w:cs="楷体_GB2312"/>
                <w:b/>
                <w:color w:val="auto"/>
                <w:kern w:val="0"/>
                <w:sz w:val="24"/>
                <w:highlight w:val="none"/>
                <w:lang w:bidi="ar"/>
              </w:rPr>
              <w:t>（七）投资范围与策略</w:t>
            </w:r>
          </w:p>
        </w:tc>
      </w:tr>
      <w:tr w14:paraId="0D46EBA1">
        <w:tblPrEx>
          <w:tblCellMar>
            <w:top w:w="0" w:type="dxa"/>
            <w:left w:w="108" w:type="dxa"/>
            <w:bottom w:w="0" w:type="dxa"/>
            <w:right w:w="108" w:type="dxa"/>
          </w:tblCellMar>
        </w:tblPrEx>
        <w:trPr>
          <w:trHeight w:val="1001" w:hRule="atLeast"/>
        </w:trPr>
        <w:tc>
          <w:tcPr>
            <w:tcW w:w="2453" w:type="dxa"/>
            <w:tcBorders>
              <w:top w:val="single" w:color="auto" w:sz="4" w:space="0"/>
              <w:left w:val="single" w:color="auto" w:sz="4" w:space="0"/>
              <w:bottom w:val="single" w:color="auto" w:sz="4" w:space="0"/>
              <w:right w:val="single" w:color="auto" w:sz="4" w:space="0"/>
            </w:tcBorders>
            <w:vAlign w:val="center"/>
          </w:tcPr>
          <w:p w14:paraId="125DFDFD">
            <w:pPr>
              <w:widowControl/>
              <w:spacing w:line="56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auto"/>
                <w:kern w:val="0"/>
                <w:sz w:val="24"/>
                <w:highlight w:val="none"/>
                <w:lang w:bidi="ar"/>
              </w:rPr>
              <w:t>投资范围</w:t>
            </w:r>
          </w:p>
        </w:tc>
        <w:tc>
          <w:tcPr>
            <w:tcW w:w="6972" w:type="dxa"/>
            <w:tcBorders>
              <w:top w:val="single" w:color="auto" w:sz="4" w:space="0"/>
              <w:left w:val="single" w:color="auto" w:sz="4" w:space="0"/>
              <w:bottom w:val="single" w:color="auto" w:sz="4" w:space="0"/>
              <w:right w:val="single" w:color="auto" w:sz="4" w:space="0"/>
            </w:tcBorders>
            <w:vAlign w:val="center"/>
          </w:tcPr>
          <w:p w14:paraId="761B008C">
            <w:pPr>
              <w:widowControl/>
              <w:tabs>
                <w:tab w:val="left" w:pos="3119"/>
              </w:tabs>
              <w:autoSpaceDE w:val="0"/>
              <w:autoSpaceDN w:val="0"/>
              <w:spacing w:line="360" w:lineRule="auto"/>
              <w:ind w:right="31" w:rightChars="15"/>
              <w:jc w:val="left"/>
              <w:textAlignment w:val="auto"/>
              <w:rPr>
                <w:rFonts w:hint="eastAsia" w:ascii="仿宋_GB2312" w:hAnsi="等线" w:eastAsia="仿宋_GB2312" w:cs="仿宋_GB2312"/>
                <w:bCs/>
                <w:color w:val="auto"/>
                <w:sz w:val="24"/>
                <w:highlight w:val="yellow"/>
                <w:lang w:eastAsia="zh-CN"/>
              </w:rPr>
            </w:pPr>
            <w:r>
              <w:rPr>
                <w:rFonts w:hint="eastAsia" w:ascii="仿宋_GB2312" w:hAnsi="等线" w:cs="仿宋_GB2312"/>
                <w:bCs/>
                <w:color w:val="auto"/>
                <w:sz w:val="24"/>
                <w:highlight w:val="yellow"/>
                <w:lang w:eastAsia="zh-CN"/>
              </w:rPr>
              <w:t>【】</w:t>
            </w:r>
          </w:p>
        </w:tc>
      </w:tr>
      <w:tr w14:paraId="783DEA05">
        <w:tblPrEx>
          <w:tblCellMar>
            <w:top w:w="0" w:type="dxa"/>
            <w:left w:w="108" w:type="dxa"/>
            <w:bottom w:w="0" w:type="dxa"/>
            <w:right w:w="108" w:type="dxa"/>
          </w:tblCellMar>
        </w:tblPrEx>
        <w:trPr>
          <w:trHeight w:val="780" w:hRule="atLeast"/>
        </w:trPr>
        <w:tc>
          <w:tcPr>
            <w:tcW w:w="2453" w:type="dxa"/>
            <w:tcBorders>
              <w:top w:val="single" w:color="auto" w:sz="4" w:space="0"/>
              <w:left w:val="single" w:color="auto" w:sz="4" w:space="0"/>
              <w:bottom w:val="single" w:color="auto" w:sz="4" w:space="0"/>
              <w:right w:val="single" w:color="auto" w:sz="4" w:space="0"/>
            </w:tcBorders>
            <w:vAlign w:val="center"/>
          </w:tcPr>
          <w:p w14:paraId="6468A779">
            <w:pPr>
              <w:widowControl/>
              <w:spacing w:line="56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auto"/>
                <w:kern w:val="0"/>
                <w:sz w:val="24"/>
                <w:highlight w:val="none"/>
                <w:lang w:bidi="ar"/>
              </w:rPr>
              <w:t>投资策略</w:t>
            </w:r>
          </w:p>
        </w:tc>
        <w:tc>
          <w:tcPr>
            <w:tcW w:w="6972" w:type="dxa"/>
            <w:tcBorders>
              <w:top w:val="single" w:color="auto" w:sz="4" w:space="0"/>
              <w:left w:val="single" w:color="auto" w:sz="4" w:space="0"/>
              <w:bottom w:val="single" w:color="auto" w:sz="4" w:space="0"/>
              <w:right w:val="single" w:color="auto" w:sz="4" w:space="0"/>
            </w:tcBorders>
            <w:vAlign w:val="center"/>
          </w:tcPr>
          <w:p w14:paraId="64AB7456">
            <w:pPr>
              <w:tabs>
                <w:tab w:val="left" w:pos="3119"/>
              </w:tabs>
              <w:autoSpaceDE w:val="0"/>
              <w:autoSpaceDN w:val="0"/>
              <w:adjustRightInd w:val="0"/>
              <w:snapToGrid w:val="0"/>
              <w:spacing w:line="360" w:lineRule="auto"/>
              <w:rPr>
                <w:rFonts w:hint="eastAsia" w:ascii="仿宋_GB2312" w:hAnsi="等线" w:eastAsia="仿宋_GB2312" w:cs="仿宋_GB2312"/>
                <w:bCs/>
                <w:color w:val="auto"/>
                <w:sz w:val="24"/>
                <w:highlight w:val="yellow"/>
                <w:lang w:eastAsia="zh-CN"/>
              </w:rPr>
            </w:pPr>
            <w:r>
              <w:rPr>
                <w:rFonts w:hint="eastAsia" w:ascii="仿宋_GB2312" w:hAnsi="等线" w:cs="仿宋_GB2312"/>
                <w:bCs/>
                <w:color w:val="auto"/>
                <w:sz w:val="24"/>
                <w:highlight w:val="yellow"/>
                <w:lang w:eastAsia="zh-CN"/>
              </w:rPr>
              <w:t>【】</w:t>
            </w:r>
          </w:p>
        </w:tc>
      </w:tr>
      <w:tr w14:paraId="19F83205">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4CDAE702">
            <w:pPr>
              <w:widowControl/>
              <w:spacing w:line="560" w:lineRule="exact"/>
              <w:jc w:val="center"/>
              <w:textAlignment w:val="center"/>
              <w:rPr>
                <w:rFonts w:hint="eastAsia" w:ascii="仿宋_GB2312" w:hAnsi="等线" w:eastAsia="仿宋_GB2312" w:cs="仿宋_GB2312"/>
                <w:color w:val="auto"/>
                <w:sz w:val="24"/>
                <w:highlight w:val="none"/>
              </w:rPr>
            </w:pPr>
            <w:r>
              <w:rPr>
                <w:rFonts w:hint="eastAsia" w:ascii="仿宋_GB2312" w:hAnsi="等线" w:cs="仿宋_GB2312"/>
                <w:color w:val="auto"/>
                <w:kern w:val="0"/>
                <w:sz w:val="24"/>
                <w:highlight w:val="none"/>
                <w:lang w:eastAsia="zh-CN" w:bidi="ar"/>
              </w:rPr>
              <w:t>债权类</w:t>
            </w:r>
            <w:r>
              <w:rPr>
                <w:rFonts w:hint="eastAsia" w:ascii="仿宋_GB2312" w:hAnsi="等线" w:eastAsia="仿宋_GB2312" w:cs="仿宋_GB2312"/>
                <w:color w:val="auto"/>
                <w:kern w:val="0"/>
                <w:sz w:val="24"/>
                <w:highlight w:val="none"/>
                <w:lang w:bidi="ar"/>
              </w:rPr>
              <w:t>资产投资上限</w:t>
            </w:r>
          </w:p>
        </w:tc>
        <w:tc>
          <w:tcPr>
            <w:tcW w:w="6972" w:type="dxa"/>
            <w:tcBorders>
              <w:top w:val="single" w:color="auto" w:sz="4" w:space="0"/>
              <w:left w:val="single" w:color="auto" w:sz="4" w:space="0"/>
              <w:bottom w:val="single" w:color="auto" w:sz="4" w:space="0"/>
              <w:right w:val="single" w:color="auto" w:sz="4" w:space="0"/>
            </w:tcBorders>
            <w:vAlign w:val="center"/>
          </w:tcPr>
          <w:p w14:paraId="6C24F665">
            <w:pPr>
              <w:widowControl/>
              <w:spacing w:line="560" w:lineRule="exact"/>
              <w:jc w:val="left"/>
              <w:textAlignment w:val="center"/>
              <w:rPr>
                <w:rFonts w:hint="eastAsia" w:ascii="仿宋_GB2312" w:hAnsi="等线" w:eastAsia="仿宋_GB2312" w:cs="仿宋_GB2312"/>
                <w:bCs/>
                <w:color w:val="auto"/>
                <w:sz w:val="24"/>
                <w:highlight w:val="none"/>
              </w:rPr>
            </w:pPr>
            <w:r>
              <w:rPr>
                <w:rFonts w:hint="eastAsia" w:ascii="仿宋_GB2312" w:hAnsi="等线" w:cs="仿宋_GB2312"/>
                <w:bCs/>
                <w:color w:val="auto"/>
                <w:sz w:val="24"/>
                <w:highlight w:val="yellow"/>
                <w:lang w:eastAsia="zh-CN"/>
              </w:rPr>
              <w:t>【】</w:t>
            </w:r>
          </w:p>
        </w:tc>
      </w:tr>
      <w:tr w14:paraId="7B5241AB">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51391D58">
            <w:pPr>
              <w:widowControl/>
              <w:spacing w:line="560" w:lineRule="exact"/>
              <w:jc w:val="center"/>
              <w:textAlignment w:val="center"/>
              <w:rPr>
                <w:rFonts w:hint="eastAsia" w:ascii="仿宋_GB2312" w:hAnsi="等线" w:eastAsia="仿宋_GB2312" w:cs="仿宋_GB2312"/>
                <w:color w:val="auto"/>
                <w:sz w:val="24"/>
                <w:highlight w:val="none"/>
              </w:rPr>
            </w:pPr>
            <w:r>
              <w:rPr>
                <w:rFonts w:hint="eastAsia" w:ascii="仿宋_GB2312" w:hAnsi="等线" w:cs="仿宋_GB2312"/>
                <w:color w:val="auto"/>
                <w:kern w:val="0"/>
                <w:sz w:val="24"/>
                <w:highlight w:val="none"/>
                <w:lang w:eastAsia="zh-CN" w:bidi="ar"/>
              </w:rPr>
              <w:t>债权类</w:t>
            </w:r>
            <w:r>
              <w:rPr>
                <w:rFonts w:hint="eastAsia" w:ascii="仿宋_GB2312" w:hAnsi="等线" w:eastAsia="仿宋_GB2312" w:cs="仿宋_GB2312"/>
                <w:color w:val="auto"/>
                <w:kern w:val="0"/>
                <w:sz w:val="24"/>
                <w:highlight w:val="none"/>
                <w:lang w:bidi="ar"/>
              </w:rPr>
              <w:t>资产投资下限</w:t>
            </w:r>
          </w:p>
        </w:tc>
        <w:tc>
          <w:tcPr>
            <w:tcW w:w="6972" w:type="dxa"/>
            <w:tcBorders>
              <w:top w:val="single" w:color="auto" w:sz="4" w:space="0"/>
              <w:left w:val="single" w:color="auto" w:sz="4" w:space="0"/>
              <w:bottom w:val="single" w:color="auto" w:sz="4" w:space="0"/>
              <w:right w:val="single" w:color="auto" w:sz="4" w:space="0"/>
            </w:tcBorders>
            <w:vAlign w:val="center"/>
          </w:tcPr>
          <w:p w14:paraId="3889891B">
            <w:pPr>
              <w:widowControl/>
              <w:spacing w:line="560" w:lineRule="exact"/>
              <w:jc w:val="left"/>
              <w:textAlignment w:val="center"/>
              <w:rPr>
                <w:rFonts w:hint="eastAsia" w:ascii="仿宋_GB2312" w:hAnsi="等线" w:eastAsia="仿宋_GB2312" w:cs="仿宋_GB2312"/>
                <w:bCs/>
                <w:color w:val="auto"/>
                <w:sz w:val="24"/>
                <w:highlight w:val="none"/>
              </w:rPr>
            </w:pPr>
            <w:r>
              <w:rPr>
                <w:rFonts w:hint="eastAsia" w:ascii="仿宋_GB2312" w:hAnsi="等线" w:cs="仿宋_GB2312"/>
                <w:bCs/>
                <w:color w:val="auto"/>
                <w:sz w:val="24"/>
                <w:highlight w:val="yellow"/>
                <w:lang w:eastAsia="zh-CN"/>
              </w:rPr>
              <w:t>【】</w:t>
            </w:r>
          </w:p>
        </w:tc>
      </w:tr>
      <w:tr w14:paraId="601E90EA">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35927365">
            <w:pPr>
              <w:widowControl/>
              <w:spacing w:line="56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auto"/>
                <w:kern w:val="0"/>
                <w:sz w:val="24"/>
                <w:highlight w:val="none"/>
                <w:lang w:bidi="ar"/>
              </w:rPr>
              <w:t>权益类资产投资上限</w:t>
            </w:r>
          </w:p>
        </w:tc>
        <w:tc>
          <w:tcPr>
            <w:tcW w:w="6972" w:type="dxa"/>
            <w:tcBorders>
              <w:top w:val="single" w:color="auto" w:sz="4" w:space="0"/>
              <w:left w:val="single" w:color="auto" w:sz="4" w:space="0"/>
              <w:bottom w:val="single" w:color="auto" w:sz="4" w:space="0"/>
              <w:right w:val="single" w:color="auto" w:sz="4" w:space="0"/>
            </w:tcBorders>
            <w:vAlign w:val="center"/>
          </w:tcPr>
          <w:p w14:paraId="5D804585">
            <w:pPr>
              <w:widowControl/>
              <w:spacing w:line="560" w:lineRule="exact"/>
              <w:jc w:val="left"/>
              <w:textAlignment w:val="center"/>
              <w:rPr>
                <w:rFonts w:hint="eastAsia" w:ascii="仿宋_GB2312" w:hAnsi="等线" w:eastAsia="仿宋_GB2312" w:cs="仿宋_GB2312"/>
                <w:bCs/>
                <w:color w:val="auto"/>
                <w:sz w:val="24"/>
                <w:highlight w:val="none"/>
              </w:rPr>
            </w:pPr>
            <w:r>
              <w:rPr>
                <w:rFonts w:hint="eastAsia" w:ascii="仿宋_GB2312" w:hAnsi="等线" w:cs="仿宋_GB2312"/>
                <w:bCs/>
                <w:color w:val="auto"/>
                <w:sz w:val="24"/>
                <w:highlight w:val="yellow"/>
                <w:lang w:eastAsia="zh-CN"/>
              </w:rPr>
              <w:t>【】</w:t>
            </w:r>
          </w:p>
        </w:tc>
      </w:tr>
      <w:tr w14:paraId="391A490A">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41BA4A28">
            <w:pPr>
              <w:widowControl/>
              <w:spacing w:line="56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auto"/>
                <w:kern w:val="0"/>
                <w:sz w:val="24"/>
                <w:highlight w:val="none"/>
                <w:lang w:bidi="ar"/>
              </w:rPr>
              <w:t>权益类资产投资下限</w:t>
            </w:r>
          </w:p>
        </w:tc>
        <w:tc>
          <w:tcPr>
            <w:tcW w:w="6972" w:type="dxa"/>
            <w:tcBorders>
              <w:top w:val="single" w:color="auto" w:sz="4" w:space="0"/>
              <w:left w:val="single" w:color="auto" w:sz="4" w:space="0"/>
              <w:bottom w:val="single" w:color="auto" w:sz="4" w:space="0"/>
              <w:right w:val="single" w:color="auto" w:sz="4" w:space="0"/>
            </w:tcBorders>
            <w:vAlign w:val="center"/>
          </w:tcPr>
          <w:p w14:paraId="59075FFE">
            <w:pPr>
              <w:widowControl/>
              <w:spacing w:line="560" w:lineRule="exact"/>
              <w:jc w:val="left"/>
              <w:textAlignment w:val="center"/>
              <w:rPr>
                <w:rFonts w:hint="eastAsia" w:ascii="仿宋_GB2312" w:hAnsi="等线" w:eastAsia="仿宋_GB2312" w:cs="仿宋_GB2312"/>
                <w:bCs/>
                <w:color w:val="auto"/>
                <w:sz w:val="24"/>
                <w:highlight w:val="none"/>
              </w:rPr>
            </w:pPr>
            <w:r>
              <w:rPr>
                <w:rFonts w:hint="eastAsia" w:ascii="仿宋_GB2312" w:hAnsi="等线" w:cs="仿宋_GB2312"/>
                <w:bCs/>
                <w:color w:val="auto"/>
                <w:sz w:val="24"/>
                <w:highlight w:val="yellow"/>
                <w:lang w:eastAsia="zh-CN"/>
              </w:rPr>
              <w:t>【】</w:t>
            </w:r>
          </w:p>
        </w:tc>
      </w:tr>
      <w:tr w14:paraId="1787FDFD">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5C4376CD">
            <w:pPr>
              <w:widowControl/>
              <w:spacing w:line="56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auto"/>
                <w:kern w:val="0"/>
                <w:sz w:val="24"/>
                <w:highlight w:val="none"/>
                <w:lang w:bidi="ar"/>
              </w:rPr>
              <w:t>商品及金融衍生品类资产投资上限</w:t>
            </w:r>
          </w:p>
        </w:tc>
        <w:tc>
          <w:tcPr>
            <w:tcW w:w="6972" w:type="dxa"/>
            <w:tcBorders>
              <w:top w:val="single" w:color="auto" w:sz="4" w:space="0"/>
              <w:left w:val="single" w:color="auto" w:sz="4" w:space="0"/>
              <w:bottom w:val="single" w:color="auto" w:sz="4" w:space="0"/>
              <w:right w:val="single" w:color="auto" w:sz="4" w:space="0"/>
            </w:tcBorders>
            <w:vAlign w:val="center"/>
          </w:tcPr>
          <w:p w14:paraId="5B6B4082">
            <w:pPr>
              <w:widowControl/>
              <w:spacing w:line="560" w:lineRule="exact"/>
              <w:jc w:val="left"/>
              <w:textAlignment w:val="center"/>
              <w:rPr>
                <w:rFonts w:hint="eastAsia" w:ascii="仿宋_GB2312" w:hAnsi="等线" w:eastAsia="仿宋_GB2312" w:cs="仿宋_GB2312"/>
                <w:bCs/>
                <w:color w:val="auto"/>
                <w:sz w:val="24"/>
                <w:highlight w:val="none"/>
              </w:rPr>
            </w:pPr>
            <w:r>
              <w:rPr>
                <w:rFonts w:hint="eastAsia" w:ascii="仿宋_GB2312" w:hAnsi="等线" w:cs="仿宋_GB2312"/>
                <w:bCs/>
                <w:color w:val="auto"/>
                <w:sz w:val="24"/>
                <w:highlight w:val="yellow"/>
                <w:lang w:eastAsia="zh-CN"/>
              </w:rPr>
              <w:t>【】</w:t>
            </w:r>
          </w:p>
        </w:tc>
      </w:tr>
      <w:tr w14:paraId="4C405889">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035F20B9">
            <w:pPr>
              <w:widowControl/>
              <w:spacing w:line="56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auto"/>
                <w:kern w:val="0"/>
                <w:sz w:val="24"/>
                <w:highlight w:val="none"/>
                <w:lang w:bidi="ar"/>
              </w:rPr>
              <w:t>商品及金融衍生品类资产投资下限</w:t>
            </w:r>
          </w:p>
        </w:tc>
        <w:tc>
          <w:tcPr>
            <w:tcW w:w="6972" w:type="dxa"/>
            <w:tcBorders>
              <w:top w:val="single" w:color="auto" w:sz="4" w:space="0"/>
              <w:left w:val="single" w:color="auto" w:sz="4" w:space="0"/>
              <w:bottom w:val="single" w:color="auto" w:sz="4" w:space="0"/>
              <w:right w:val="single" w:color="auto" w:sz="4" w:space="0"/>
            </w:tcBorders>
            <w:vAlign w:val="center"/>
          </w:tcPr>
          <w:p w14:paraId="3AEF1667">
            <w:pPr>
              <w:widowControl/>
              <w:spacing w:line="560" w:lineRule="exact"/>
              <w:jc w:val="left"/>
              <w:textAlignment w:val="center"/>
              <w:rPr>
                <w:rFonts w:hint="default" w:ascii="仿宋_GB2312" w:hAnsi="等线" w:eastAsia="仿宋_GB2312" w:cs="仿宋_GB2312"/>
                <w:bCs/>
                <w:color w:val="auto"/>
                <w:sz w:val="24"/>
                <w:highlight w:val="none"/>
                <w:lang w:val="en-US" w:eastAsia="zh-CN"/>
              </w:rPr>
            </w:pPr>
            <w:r>
              <w:rPr>
                <w:rFonts w:hint="eastAsia" w:ascii="仿宋_GB2312" w:hAnsi="等线" w:cs="仿宋_GB2312"/>
                <w:bCs/>
                <w:color w:val="auto"/>
                <w:sz w:val="24"/>
                <w:highlight w:val="yellow"/>
                <w:lang w:eastAsia="zh-CN"/>
              </w:rPr>
              <w:t>【】</w:t>
            </w:r>
          </w:p>
        </w:tc>
      </w:tr>
      <w:tr w14:paraId="18E897BC">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0EB17A8B">
            <w:pPr>
              <w:widowControl/>
              <w:spacing w:line="560" w:lineRule="exact"/>
              <w:jc w:val="center"/>
              <w:textAlignment w:val="center"/>
              <w:rPr>
                <w:rFonts w:hint="eastAsia" w:ascii="楷体_GB2312" w:hAnsi="等线" w:eastAsia="楷体_GB2312" w:cs="楷体_GB2312"/>
                <w:bCs/>
                <w:color w:val="auto"/>
                <w:sz w:val="24"/>
                <w:highlight w:val="none"/>
              </w:rPr>
            </w:pPr>
            <w:r>
              <w:rPr>
                <w:rFonts w:hint="eastAsia" w:ascii="楷体_GB2312" w:hAnsi="等线" w:eastAsia="楷体_GB2312" w:cs="楷体_GB2312"/>
                <w:b/>
                <w:color w:val="auto"/>
                <w:kern w:val="0"/>
                <w:sz w:val="24"/>
                <w:highlight w:val="none"/>
                <w:lang w:bidi="ar"/>
              </w:rPr>
              <w:t>（八）其他约定</w:t>
            </w:r>
          </w:p>
        </w:tc>
      </w:tr>
      <w:tr w14:paraId="77FDBF92">
        <w:tblPrEx>
          <w:tblCellMar>
            <w:top w:w="0" w:type="dxa"/>
            <w:left w:w="108" w:type="dxa"/>
            <w:bottom w:w="0" w:type="dxa"/>
            <w:right w:w="108" w:type="dxa"/>
          </w:tblCellMar>
        </w:tblPrEx>
        <w:trPr>
          <w:trHeight w:val="1010" w:hRule="atLeast"/>
        </w:trPr>
        <w:tc>
          <w:tcPr>
            <w:tcW w:w="2453" w:type="dxa"/>
            <w:tcBorders>
              <w:top w:val="single" w:color="auto" w:sz="4" w:space="0"/>
              <w:left w:val="single" w:color="auto" w:sz="4" w:space="0"/>
              <w:bottom w:val="single" w:color="auto" w:sz="4" w:space="0"/>
              <w:right w:val="single" w:color="auto" w:sz="4" w:space="0"/>
            </w:tcBorders>
            <w:vAlign w:val="center"/>
          </w:tcPr>
          <w:p w14:paraId="2E4FAA6E">
            <w:pPr>
              <w:snapToGrid w:val="0"/>
              <w:ind w:left="-140" w:leftChars="-74" w:hanging="15" w:firstLineChars="0"/>
              <w:jc w:val="center"/>
              <w:rPr>
                <w:rFonts w:hint="eastAsia" w:ascii="仿宋_GB2312" w:hAnsi="等线" w:eastAsia="仿宋_GB2312" w:cs="仿宋_GB2312"/>
                <w:color w:val="auto"/>
                <w:kern w:val="0"/>
                <w:sz w:val="24"/>
                <w:highlight w:val="none"/>
                <w:lang w:bidi="ar"/>
              </w:rPr>
            </w:pPr>
            <w:r>
              <w:rPr>
                <w:rFonts w:hint="eastAsia" w:ascii="宋体" w:hAnsi="宋体"/>
                <w:color w:val="auto"/>
                <w:kern w:val="0"/>
                <w:szCs w:val="24"/>
                <w:highlight w:val="none"/>
                <w:u w:val="none"/>
              </w:rPr>
              <w:t>信息披露</w:t>
            </w:r>
          </w:p>
        </w:tc>
        <w:tc>
          <w:tcPr>
            <w:tcW w:w="6972" w:type="dxa"/>
            <w:tcBorders>
              <w:top w:val="single" w:color="auto" w:sz="4" w:space="0"/>
              <w:left w:val="single" w:color="auto" w:sz="4" w:space="0"/>
              <w:bottom w:val="single" w:color="auto" w:sz="4" w:space="0"/>
              <w:right w:val="single" w:color="auto" w:sz="4" w:space="0"/>
            </w:tcBorders>
            <w:vAlign w:val="center"/>
          </w:tcPr>
          <w:p w14:paraId="0BA36A37">
            <w:pPr>
              <w:snapToGrid w:val="0"/>
              <w:rPr>
                <w:rFonts w:hint="eastAsia" w:ascii="仿宋_GB2312" w:hAnsi="宋体" w:eastAsia="仿宋_GB2312" w:cs="宋体"/>
                <w:b/>
                <w:kern w:val="0"/>
                <w:szCs w:val="24"/>
                <w:highlight w:val="yellow"/>
                <w:lang w:eastAsia="zh-CN"/>
              </w:rPr>
            </w:pPr>
            <w:r>
              <w:rPr>
                <w:rFonts w:hint="eastAsia" w:ascii="宋体" w:hAnsi="宋体"/>
                <w:b/>
                <w:szCs w:val="24"/>
                <w:highlight w:val="yellow"/>
                <w:lang w:eastAsia="zh-CN"/>
              </w:rPr>
              <w:t>【</w:t>
            </w:r>
            <w:r>
              <w:rPr>
                <w:rFonts w:hint="eastAsia" w:ascii="宋体" w:hAnsi="宋体"/>
                <w:b/>
                <w:szCs w:val="24"/>
                <w:highlight w:val="yellow"/>
              </w:rPr>
              <w:t>本产品成立后，管理人将通过《产品说明书》之“信息披露”约定的方式进行信息披露。 详细内容见本《产品说明书》之“信息披露”。</w:t>
            </w:r>
            <w:r>
              <w:rPr>
                <w:rFonts w:hint="eastAsia" w:ascii="宋体" w:hAnsi="宋体"/>
                <w:b/>
                <w:szCs w:val="24"/>
                <w:highlight w:val="yellow"/>
                <w:lang w:eastAsia="zh-CN"/>
              </w:rPr>
              <w:t>】</w:t>
            </w:r>
          </w:p>
          <w:p w14:paraId="441F9B2D">
            <w:pPr>
              <w:snapToGrid w:val="0"/>
              <w:rPr>
                <w:rFonts w:hint="eastAsia" w:ascii="宋体" w:hAnsi="宋体"/>
                <w:b/>
                <w:bCs/>
                <w:iCs/>
                <w:color w:val="auto"/>
                <w:szCs w:val="24"/>
                <w:highlight w:val="none"/>
                <w:u w:val="none"/>
              </w:rPr>
            </w:pPr>
            <w:r>
              <w:rPr>
                <w:rFonts w:hint="eastAsia" w:asciiTheme="minorEastAsia" w:hAnsiTheme="minorEastAsia"/>
                <w:color w:val="auto"/>
                <w:szCs w:val="24"/>
                <w:highlight w:val="none"/>
                <w:u w:val="none"/>
              </w:rPr>
              <w:t>本产品成立、运行、到期、净值等信息将通过</w:t>
            </w:r>
            <w:r>
              <w:rPr>
                <w:rFonts w:hint="eastAsia" w:asciiTheme="minorEastAsia" w:hAnsiTheme="minorEastAsia"/>
                <w:color w:val="auto"/>
                <w:szCs w:val="24"/>
                <w:highlight w:val="none"/>
                <w:u w:val="none"/>
                <w:lang w:eastAsia="zh-CN"/>
              </w:rPr>
              <w:t>产品</w:t>
            </w:r>
            <w:r>
              <w:rPr>
                <w:rFonts w:hint="eastAsia" w:asciiTheme="minorEastAsia" w:hAnsiTheme="minorEastAsia"/>
                <w:color w:val="auto"/>
                <w:szCs w:val="24"/>
                <w:highlight w:val="none"/>
                <w:u w:val="none"/>
              </w:rPr>
              <w:t>管理人</w:t>
            </w:r>
            <w:r>
              <w:rPr>
                <w:rFonts w:asciiTheme="minorEastAsia" w:hAnsiTheme="minorEastAsia"/>
                <w:color w:val="auto"/>
                <w:szCs w:val="24"/>
                <w:highlight w:val="none"/>
                <w:u w:val="none"/>
              </w:rPr>
              <w:t>官方网站</w:t>
            </w: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www.czbank-wm.com</w:t>
            </w:r>
            <w:r>
              <w:rPr>
                <w:rFonts w:hint="eastAsia" w:ascii="仿宋_GB2312" w:hAnsi="宋体" w:cs="宋体"/>
                <w:color w:val="auto"/>
                <w:kern w:val="0"/>
                <w:szCs w:val="24"/>
                <w:highlight w:val="none"/>
                <w:u w:val="none"/>
              </w:rPr>
              <w:t>】、销售机构官方网站、个人手机银行或其他约定的方式等</w:t>
            </w:r>
            <w:r>
              <w:rPr>
                <w:rFonts w:hint="eastAsia" w:cs="宋体" w:asciiTheme="minorEastAsia" w:hAnsiTheme="minorEastAsia"/>
                <w:color w:val="auto"/>
                <w:kern w:val="0"/>
                <w:szCs w:val="24"/>
                <w:highlight w:val="none"/>
                <w:u w:val="none"/>
              </w:rPr>
              <w:t>一种或多种渠道进行信息披露，</w:t>
            </w:r>
            <w:r>
              <w:rPr>
                <w:rFonts w:hint="eastAsia" w:asciiTheme="minorEastAsia" w:hAnsiTheme="minorEastAsia"/>
                <w:color w:val="auto"/>
                <w:szCs w:val="24"/>
                <w:highlight w:val="none"/>
                <w:u w:val="none"/>
              </w:rPr>
              <w:t>请投资者持续关注并及时查看。</w:t>
            </w:r>
          </w:p>
        </w:tc>
      </w:tr>
      <w:tr w14:paraId="5E492919">
        <w:tblPrEx>
          <w:tblCellMar>
            <w:top w:w="0" w:type="dxa"/>
            <w:left w:w="108" w:type="dxa"/>
            <w:bottom w:w="0" w:type="dxa"/>
            <w:right w:w="108" w:type="dxa"/>
          </w:tblCellMar>
        </w:tblPrEx>
        <w:trPr>
          <w:trHeight w:val="1010" w:hRule="atLeast"/>
        </w:trPr>
        <w:tc>
          <w:tcPr>
            <w:tcW w:w="2453" w:type="dxa"/>
            <w:tcBorders>
              <w:top w:val="single" w:color="auto" w:sz="4" w:space="0"/>
              <w:left w:val="single" w:color="auto" w:sz="4" w:space="0"/>
              <w:bottom w:val="single" w:color="auto" w:sz="4" w:space="0"/>
              <w:right w:val="single" w:color="auto" w:sz="4" w:space="0"/>
            </w:tcBorders>
            <w:vAlign w:val="center"/>
          </w:tcPr>
          <w:p w14:paraId="270465A9">
            <w:pPr>
              <w:widowControl/>
              <w:spacing w:line="560" w:lineRule="exact"/>
              <w:jc w:val="center"/>
              <w:textAlignment w:val="center"/>
              <w:rPr>
                <w:rFonts w:hint="eastAsia" w:ascii="仿宋_GB2312" w:hAnsi="等线" w:eastAsia="仿宋_GB2312" w:cs="仿宋_GB2312"/>
                <w:color w:val="auto"/>
                <w:sz w:val="24"/>
                <w:highlight w:val="none"/>
              </w:rPr>
            </w:pPr>
            <w:r>
              <w:rPr>
                <w:rFonts w:hint="eastAsia" w:ascii="仿宋_GB2312" w:hAnsi="等线" w:eastAsia="仿宋_GB2312" w:cs="仿宋_GB2312"/>
                <w:color w:val="auto"/>
                <w:kern w:val="0"/>
                <w:sz w:val="24"/>
                <w:highlight w:val="none"/>
                <w:lang w:bidi="ar"/>
              </w:rPr>
              <w:t>其他约定</w:t>
            </w:r>
          </w:p>
        </w:tc>
        <w:tc>
          <w:tcPr>
            <w:tcW w:w="6972" w:type="dxa"/>
            <w:tcBorders>
              <w:top w:val="single" w:color="auto" w:sz="4" w:space="0"/>
              <w:left w:val="single" w:color="auto" w:sz="4" w:space="0"/>
              <w:bottom w:val="single" w:color="auto" w:sz="4" w:space="0"/>
              <w:right w:val="single" w:color="auto" w:sz="4" w:space="0"/>
            </w:tcBorders>
            <w:vAlign w:val="center"/>
          </w:tcPr>
          <w:p w14:paraId="61DE0D27">
            <w:pPr>
              <w:snapToGrid w:val="0"/>
              <w:jc w:val="left"/>
              <w:rPr>
                <w:rFonts w:ascii="宋体" w:hAnsi="宋体"/>
                <w:b/>
                <w:bCs/>
                <w:iCs/>
                <w:color w:val="auto"/>
                <w:szCs w:val="24"/>
                <w:highlight w:val="none"/>
                <w:u w:val="none"/>
              </w:rPr>
            </w:pPr>
            <w:r>
              <w:rPr>
                <w:rFonts w:ascii="宋体" w:hAnsi="宋体"/>
                <w:b/>
                <w:bCs/>
                <w:iCs/>
                <w:color w:val="auto"/>
                <w:szCs w:val="24"/>
                <w:highlight w:val="none"/>
                <w:u w:val="none"/>
              </w:rPr>
              <w:t>1.</w:t>
            </w:r>
            <w:r>
              <w:rPr>
                <w:rFonts w:hint="eastAsia" w:ascii="宋体" w:hAnsi="宋体"/>
                <w:b/>
                <w:bCs/>
                <w:iCs/>
                <w:color w:val="auto"/>
                <w:szCs w:val="24"/>
                <w:highlight w:val="none"/>
                <w:u w:val="none"/>
              </w:rPr>
              <w:t>募集期内认购资金是否计息以销售机构为准，但利息不计入认购本金份额。</w:t>
            </w:r>
          </w:p>
          <w:p w14:paraId="29A7B2A3">
            <w:pPr>
              <w:widowControl/>
              <w:snapToGrid w:val="0"/>
              <w:spacing w:line="240" w:lineRule="auto"/>
              <w:jc w:val="left"/>
              <w:textAlignment w:val="auto"/>
              <w:rPr>
                <w:rFonts w:hint="eastAsia" w:ascii="宋体" w:hAnsi="宋体"/>
                <w:b/>
                <w:bCs/>
                <w:iCs/>
                <w:color w:val="auto"/>
                <w:szCs w:val="24"/>
                <w:highlight w:val="none"/>
                <w:u w:val="none"/>
              </w:rPr>
            </w:pPr>
            <w:r>
              <w:rPr>
                <w:rFonts w:hint="eastAsia" w:ascii="宋体" w:hAnsi="宋体"/>
                <w:b/>
                <w:bCs/>
                <w:iCs/>
                <w:color w:val="auto"/>
                <w:szCs w:val="24"/>
                <w:highlight w:val="none"/>
                <w:u w:val="none"/>
              </w:rPr>
              <w:t>2.本产品到期日（或提前/延期终止日）至资金到账日期间，投资者理财资金如因清算安排实际产生利息的，相关利息归投资者所有。</w:t>
            </w:r>
          </w:p>
          <w:p w14:paraId="2921B5BF">
            <w:pPr>
              <w:widowControl/>
              <w:snapToGrid w:val="0"/>
              <w:spacing w:line="240" w:lineRule="auto"/>
              <w:jc w:val="left"/>
              <w:textAlignment w:val="auto"/>
              <w:rPr>
                <w:rFonts w:hint="eastAsia" w:ascii="仿宋_GB2312" w:hAnsi="等线" w:eastAsia="仿宋_GB2312" w:cs="仿宋_GB2312"/>
                <w:bCs/>
                <w:color w:val="auto"/>
                <w:sz w:val="24"/>
                <w:highlight w:val="none"/>
              </w:rPr>
            </w:pPr>
            <w:r>
              <w:rPr>
                <w:rFonts w:hint="eastAsia" w:ascii="宋体" w:hAnsi="宋体"/>
                <w:b/>
                <w:bCs/>
                <w:iCs/>
                <w:color w:val="auto"/>
                <w:szCs w:val="24"/>
                <w:highlight w:val="none"/>
                <w:u w:val="none"/>
              </w:rPr>
              <w:t>3.理财产品份额转让</w:t>
            </w:r>
            <w:r>
              <w:rPr>
                <w:rFonts w:ascii="宋体" w:hAnsi="宋体"/>
                <w:b/>
                <w:bCs/>
                <w:iCs/>
                <w:color w:val="auto"/>
                <w:szCs w:val="24"/>
                <w:highlight w:val="none"/>
                <w:u w:val="none"/>
              </w:rPr>
              <w:t>、</w:t>
            </w:r>
            <w:r>
              <w:rPr>
                <w:rFonts w:hint="eastAsia" w:ascii="宋体" w:hAnsi="宋体"/>
                <w:b/>
                <w:bCs/>
                <w:iCs/>
                <w:color w:val="auto"/>
                <w:szCs w:val="24"/>
                <w:highlight w:val="none"/>
                <w:u w:val="none"/>
              </w:rPr>
              <w:t>质押将依照销售机构</w:t>
            </w:r>
            <w:r>
              <w:rPr>
                <w:rFonts w:hint="eastAsia" w:ascii="宋体" w:hAnsi="宋体"/>
                <w:b/>
                <w:bCs/>
                <w:iCs/>
                <w:color w:val="auto"/>
                <w:szCs w:val="24"/>
                <w:highlight w:val="none"/>
                <w:u w:val="none"/>
                <w:lang w:eastAsia="zh-CN"/>
              </w:rPr>
              <w:t>与管理人</w:t>
            </w:r>
            <w:r>
              <w:rPr>
                <w:rFonts w:hint="eastAsia" w:ascii="宋体" w:hAnsi="宋体"/>
                <w:b/>
                <w:bCs/>
                <w:iCs/>
                <w:color w:val="auto"/>
                <w:szCs w:val="24"/>
                <w:highlight w:val="none"/>
                <w:u w:val="none"/>
              </w:rPr>
              <w:t>的业务政策执行。</w:t>
            </w:r>
          </w:p>
        </w:tc>
      </w:tr>
    </w:tbl>
    <w:p w14:paraId="059D04EE">
      <w:pPr>
        <w:widowControl/>
        <w:snapToGrid w:val="0"/>
        <w:ind w:firstLine="420" w:firstLineChars="200"/>
        <w:rPr>
          <w:rFonts w:hint="eastAsia" w:ascii="黑体" w:hAnsi="宋体" w:eastAsia="黑体" w:cs="宋体"/>
          <w:bCs/>
          <w:color w:val="auto"/>
          <w:kern w:val="0"/>
          <w:szCs w:val="32"/>
          <w:highlight w:val="none"/>
        </w:rPr>
      </w:pPr>
    </w:p>
    <w:p w14:paraId="5441B107">
      <w:pPr>
        <w:widowControl/>
        <w:snapToGrid w:val="0"/>
        <w:ind w:firstLine="420" w:firstLineChars="200"/>
        <w:rPr>
          <w:rFonts w:hint="eastAsia" w:ascii="黑体" w:hAnsi="宋体" w:eastAsia="黑体" w:cs="宋体"/>
          <w:bCs/>
          <w:color w:val="auto"/>
          <w:kern w:val="0"/>
          <w:szCs w:val="32"/>
          <w:highlight w:val="none"/>
        </w:rPr>
      </w:pPr>
    </w:p>
    <w:p w14:paraId="7A3A2F21">
      <w:pPr>
        <w:widowControl/>
        <w:snapToGrid w:val="0"/>
        <w:ind w:firstLine="420" w:firstLineChars="200"/>
        <w:rPr>
          <w:rFonts w:hint="eastAsia" w:ascii="黑体" w:hAnsi="宋体" w:eastAsia="黑体" w:cs="宋体"/>
          <w:bCs/>
          <w:color w:val="auto"/>
          <w:kern w:val="0"/>
          <w:szCs w:val="32"/>
          <w:highlight w:val="none"/>
        </w:rPr>
      </w:pPr>
    </w:p>
    <w:p w14:paraId="0B2013F1">
      <w:pPr>
        <w:rPr>
          <w:rFonts w:hint="eastAsia" w:ascii="黑体" w:hAnsi="宋体" w:eastAsia="黑体" w:cs="宋体"/>
          <w:bCs/>
          <w:color w:val="auto"/>
          <w:kern w:val="0"/>
          <w:szCs w:val="32"/>
          <w:highlight w:val="none"/>
        </w:rPr>
      </w:pPr>
      <w:r>
        <w:rPr>
          <w:rFonts w:hint="eastAsia" w:ascii="黑体" w:hAnsi="宋体" w:eastAsia="黑体" w:cs="宋体"/>
          <w:bCs/>
          <w:color w:val="auto"/>
          <w:kern w:val="0"/>
          <w:szCs w:val="32"/>
          <w:highlight w:val="none"/>
        </w:rPr>
        <w:br w:type="page"/>
      </w:r>
    </w:p>
    <w:p w14:paraId="1DEC4364">
      <w:pPr>
        <w:pStyle w:val="2"/>
        <w:numPr>
          <w:ilvl w:val="0"/>
          <w:numId w:val="13"/>
        </w:numPr>
        <w:bidi w:val="0"/>
        <w:ind w:left="0" w:leftChars="0" w:firstLine="0" w:firstLineChars="0"/>
        <w:rPr>
          <w:rFonts w:hint="eastAsia" w:ascii="黑体" w:hAnsi="宋体" w:eastAsia="黑体" w:cs="宋体"/>
          <w:bCs/>
          <w:color w:val="auto"/>
          <w:kern w:val="0"/>
          <w:sz w:val="28"/>
          <w:szCs w:val="28"/>
          <w:highlight w:val="none"/>
        </w:rPr>
      </w:pPr>
      <w:r>
        <w:rPr>
          <w:rFonts w:hint="eastAsia" w:ascii="黑体" w:hAnsi="宋体" w:eastAsia="黑体" w:cs="宋体"/>
          <w:bCs/>
          <w:color w:val="auto"/>
          <w:kern w:val="0"/>
          <w:sz w:val="28"/>
          <w:szCs w:val="28"/>
          <w:highlight w:val="none"/>
        </w:rPr>
        <w:t>重要提示</w:t>
      </w:r>
    </w:p>
    <w:p w14:paraId="6CDD85F6">
      <w:pPr>
        <w:widowControl/>
        <w:tabs>
          <w:tab w:val="left" w:pos="709"/>
        </w:tabs>
        <w:snapToGrid w:val="0"/>
        <w:spacing w:line="360" w:lineRule="auto"/>
        <w:rPr>
          <w:rFonts w:hint="eastAsia" w:ascii="仿宋_GB2312" w:hAnsi="宋体" w:cs="宋体"/>
          <w:b/>
          <w:bCs/>
          <w:color w:val="auto"/>
          <w:kern w:val="0"/>
          <w:szCs w:val="24"/>
          <w:highlight w:val="none"/>
        </w:rPr>
      </w:pPr>
      <w:r>
        <w:rPr>
          <w:rFonts w:hint="eastAsia" w:ascii="仿宋_GB2312" w:cs="宋体" w:hAnsiTheme="minorEastAsia"/>
          <w:b/>
          <w:bCs/>
          <w:color w:val="auto"/>
          <w:kern w:val="0"/>
          <w:szCs w:val="32"/>
          <w:highlight w:val="none"/>
        </w:rPr>
        <w:t>●</w:t>
      </w:r>
      <w:r>
        <w:rPr>
          <w:rFonts w:hint="eastAsia" w:ascii="仿宋_GB2312" w:hAnsi="宋体" w:cs="宋体"/>
          <w:b/>
          <w:bCs/>
          <w:color w:val="auto"/>
          <w:kern w:val="0"/>
          <w:szCs w:val="24"/>
          <w:highlight w:val="none"/>
        </w:rPr>
        <w:t>理财非存款、产品有风险、投资须谨慎。</w:t>
      </w:r>
    </w:p>
    <w:p w14:paraId="302856E4">
      <w:pPr>
        <w:widowControl/>
        <w:tabs>
          <w:tab w:val="left" w:pos="709"/>
        </w:tabs>
        <w:snapToGrid w:val="0"/>
        <w:spacing w:line="360" w:lineRule="auto"/>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●浙银理财有限责任公司（以下称“浙银</w:t>
      </w:r>
      <w:r>
        <w:rPr>
          <w:rFonts w:ascii="仿宋_GB2312" w:hAnsi="宋体" w:cs="宋体"/>
          <w:b/>
          <w:bCs/>
          <w:color w:val="auto"/>
          <w:kern w:val="0"/>
          <w:szCs w:val="24"/>
          <w:highlight w:val="none"/>
        </w:rPr>
        <w:t>理财</w:t>
      </w:r>
      <w:r>
        <w:rPr>
          <w:rFonts w:hint="eastAsia" w:ascii="仿宋_GB2312" w:hAnsi="宋体" w:cs="宋体"/>
          <w:b/>
          <w:bCs/>
          <w:color w:val="auto"/>
          <w:kern w:val="0"/>
          <w:szCs w:val="24"/>
          <w:highlight w:val="none"/>
        </w:rPr>
        <w:t>”）郑重提示：在购买理财产品前，请投资者应确保自己完全明白该项投资的性质和所涉及的风险，详细了解和审慎评估该理财产品的资金投资方向及风险类型等基本情况，在慎重考虑后自行决定购买与自身风险承受能力和资产管理需求匹配的理财产品，并承受由此产生的收益与风险。如影响投资者风险承受能力的因素发生变化，请及时完成风险承受能力评估</w:t>
      </w:r>
      <w:r>
        <w:rPr>
          <w:rFonts w:hint="eastAsia"/>
          <w:b/>
          <w:color w:val="auto"/>
          <w:highlight w:val="none"/>
        </w:rPr>
        <w:t>。</w:t>
      </w:r>
    </w:p>
    <w:p w14:paraId="7017C937">
      <w:pPr>
        <w:pStyle w:val="13"/>
        <w:spacing w:line="360" w:lineRule="auto"/>
        <w:ind w:firstLine="0" w:firstLineChars="0"/>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w:t>
      </w:r>
      <w:r>
        <w:rPr>
          <w:rFonts w:hint="eastAsia" w:ascii="仿宋_GB2312" w:hAnsi="宋体" w:cs="宋体"/>
          <w:bCs/>
          <w:color w:val="auto"/>
          <w:kern w:val="0"/>
          <w:szCs w:val="24"/>
          <w:highlight w:val="none"/>
        </w:rPr>
        <w:t>本理财产品说明书与《风险揭示书》《投资协议书》《投资者权益须知》《（代理）销售协议书》等共同构成本理财产品完整</w:t>
      </w:r>
      <w:r>
        <w:rPr>
          <w:rFonts w:ascii="仿宋_GB2312" w:hAnsi="宋体" w:cs="宋体"/>
          <w:bCs/>
          <w:color w:val="auto"/>
          <w:kern w:val="0"/>
          <w:szCs w:val="24"/>
          <w:highlight w:val="none"/>
        </w:rPr>
        <w:t>的</w:t>
      </w:r>
      <w:r>
        <w:rPr>
          <w:rFonts w:hint="eastAsia" w:ascii="仿宋_GB2312" w:hAnsi="宋体" w:cs="宋体"/>
          <w:bCs/>
          <w:color w:val="auto"/>
          <w:kern w:val="0"/>
          <w:szCs w:val="24"/>
          <w:highlight w:val="none"/>
        </w:rPr>
        <w:t>、</w:t>
      </w:r>
      <w:r>
        <w:rPr>
          <w:rFonts w:ascii="仿宋_GB2312" w:hAnsi="宋体" w:cs="宋体"/>
          <w:bCs/>
          <w:color w:val="auto"/>
          <w:kern w:val="0"/>
          <w:szCs w:val="24"/>
          <w:highlight w:val="none"/>
        </w:rPr>
        <w:t>不可</w:t>
      </w:r>
      <w:r>
        <w:rPr>
          <w:rFonts w:hint="eastAsia" w:ascii="仿宋_GB2312" w:hAnsi="宋体" w:cs="宋体"/>
          <w:bCs/>
          <w:color w:val="auto"/>
          <w:kern w:val="0"/>
          <w:szCs w:val="24"/>
          <w:highlight w:val="none"/>
        </w:rPr>
        <w:t>分割</w:t>
      </w:r>
      <w:r>
        <w:rPr>
          <w:rFonts w:ascii="仿宋_GB2312" w:hAnsi="宋体" w:cs="宋体"/>
          <w:bCs/>
          <w:color w:val="auto"/>
          <w:kern w:val="0"/>
          <w:szCs w:val="24"/>
          <w:highlight w:val="none"/>
        </w:rPr>
        <w:t>的</w:t>
      </w:r>
      <w:r>
        <w:rPr>
          <w:rFonts w:hint="eastAsia" w:ascii="仿宋_GB2312" w:hAnsi="宋体" w:cs="宋体"/>
          <w:bCs/>
          <w:color w:val="auto"/>
          <w:kern w:val="0"/>
          <w:szCs w:val="24"/>
          <w:highlight w:val="none"/>
        </w:rPr>
        <w:t>销售文件。</w:t>
      </w:r>
      <w:r>
        <w:rPr>
          <w:rFonts w:hint="eastAsia" w:ascii="仿宋_GB2312" w:hAnsi="宋体" w:cs="宋体"/>
          <w:b/>
          <w:bCs/>
          <w:color w:val="auto"/>
          <w:kern w:val="0"/>
          <w:szCs w:val="24"/>
          <w:highlight w:val="none"/>
        </w:rPr>
        <w:t>为了维护投资者的合法权益，请在投资前仔细阅读本说明书及其他销售文件，了解理财产品具体情况。</w:t>
      </w:r>
    </w:p>
    <w:p w14:paraId="7DB244E0">
      <w:pPr>
        <w:pStyle w:val="13"/>
        <w:spacing w:line="360" w:lineRule="auto"/>
        <w:ind w:firstLine="0" w:firstLineChars="0"/>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w:t>
      </w:r>
      <w:r>
        <w:rPr>
          <w:rFonts w:hint="eastAsia" w:ascii="仿宋_GB2312" w:hAnsi="宋体" w:cs="宋体"/>
          <w:bCs/>
          <w:color w:val="auto"/>
          <w:kern w:val="0"/>
          <w:szCs w:val="24"/>
          <w:highlight w:val="none"/>
        </w:rPr>
        <w:t>本理财产品为</w:t>
      </w:r>
      <w:r>
        <w:rPr>
          <w:rFonts w:hint="eastAsia" w:ascii="仿宋_GB2312" w:hAnsi="宋体" w:cs="宋体"/>
          <w:b/>
          <w:bCs/>
          <w:color w:val="auto"/>
          <w:kern w:val="0"/>
          <w:szCs w:val="24"/>
          <w:highlight w:val="none"/>
        </w:rPr>
        <w:t>非保本浮动收益型理财产品，与银行存款存在显著区别，不受</w:t>
      </w:r>
      <w:r>
        <w:rPr>
          <w:rFonts w:hint="eastAsia" w:ascii="仿宋_GB2312" w:cs="宋体" w:hAnsiTheme="minorEastAsia"/>
          <w:b/>
          <w:bCs/>
          <w:color w:val="auto"/>
          <w:kern w:val="0"/>
          <w:szCs w:val="32"/>
          <w:highlight w:val="none"/>
        </w:rPr>
        <w:t>存款保险及其他保障机制的保障。</w:t>
      </w:r>
      <w:r>
        <w:rPr>
          <w:rFonts w:hint="eastAsia" w:ascii="仿宋_GB2312" w:hAnsi="宋体" w:cs="宋体"/>
          <w:b/>
          <w:bCs/>
          <w:color w:val="auto"/>
          <w:kern w:val="0"/>
          <w:szCs w:val="24"/>
          <w:highlight w:val="none"/>
        </w:rPr>
        <w:t>本理财产品不保证投资者理财本金安全及最低收益，投资者投资/持有本理财产品可能因市场变化、突发事件等因素遭受收益乃至本金损失</w:t>
      </w:r>
      <w:r>
        <w:rPr>
          <w:rFonts w:hint="eastAsia" w:ascii="仿宋_GB2312" w:cs="宋体" w:hAnsiTheme="minorEastAsia"/>
          <w:b/>
          <w:bCs/>
          <w:color w:val="auto"/>
          <w:kern w:val="0"/>
          <w:szCs w:val="32"/>
          <w:highlight w:val="none"/>
        </w:rPr>
        <w:t>，</w:t>
      </w:r>
      <w:r>
        <w:rPr>
          <w:rFonts w:hint="eastAsia" w:cs="宋体" w:asciiTheme="minorEastAsia" w:hAnsiTheme="minorEastAsia"/>
          <w:b/>
          <w:bCs/>
          <w:color w:val="auto"/>
          <w:kern w:val="0"/>
          <w:szCs w:val="24"/>
          <w:highlight w:val="none"/>
        </w:rPr>
        <w:t>请</w:t>
      </w:r>
      <w:r>
        <w:rPr>
          <w:rFonts w:hint="eastAsia" w:ascii="仿宋_GB2312" w:hAnsi="宋体" w:cs="宋体"/>
          <w:b/>
          <w:bCs/>
          <w:color w:val="auto"/>
          <w:kern w:val="0"/>
          <w:szCs w:val="24"/>
          <w:highlight w:val="none"/>
        </w:rPr>
        <w:t>投资者充分知晓、理解投资风险，谨慎投资。</w:t>
      </w:r>
    </w:p>
    <w:p w14:paraId="13E9034F">
      <w:pPr>
        <w:pStyle w:val="13"/>
        <w:spacing w:line="360" w:lineRule="auto"/>
        <w:ind w:firstLine="0" w:firstLineChars="0"/>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w:t>
      </w:r>
      <w:r>
        <w:rPr>
          <w:rFonts w:hint="eastAsia" w:ascii="仿宋_GB2312" w:hAnsi="宋体" w:cs="宋体"/>
          <w:bCs/>
          <w:color w:val="auto"/>
          <w:kern w:val="0"/>
          <w:szCs w:val="24"/>
          <w:highlight w:val="none"/>
        </w:rPr>
        <w:t>本理财产品涉及的主要风险包括政策风险、信用风险、市场风险、流动性风险、经营管理风险、交易对手风险、操作风险、代销风险、募集期延长/缩短风险、产品不成立风险、提前终止风险、延期分配风险、信息传递风险、关联关系及关联交易风险、再投资风险、估值风险、托管及清算风险、税务风险、不同理财产品份额类别存在差异的风险、其他风险等，</w:t>
      </w:r>
      <w:r>
        <w:rPr>
          <w:rFonts w:hint="eastAsia" w:ascii="仿宋_GB2312" w:hAnsi="宋体" w:cs="宋体"/>
          <w:b/>
          <w:bCs/>
          <w:color w:val="auto"/>
          <w:kern w:val="0"/>
          <w:szCs w:val="24"/>
          <w:highlight w:val="none"/>
        </w:rPr>
        <w:t>请投资者仔细阅读《风险揭示书》。●本理财产品销售文件中的任何“业绩比较基准”“业绩比较基准区间”以及其他类似表述均不代表投资者可能获得的实际收益，亦不构成管理人对本理财产品的任何收益承诺，不具有法律效力。</w:t>
      </w:r>
    </w:p>
    <w:p w14:paraId="7267DDDC">
      <w:pPr>
        <w:pStyle w:val="13"/>
        <w:spacing w:line="360" w:lineRule="auto"/>
        <w:ind w:firstLine="0" w:firstLineChars="0"/>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●本理财</w:t>
      </w:r>
      <w:r>
        <w:rPr>
          <w:rFonts w:ascii="仿宋_GB2312" w:hAnsi="宋体" w:cs="宋体"/>
          <w:b/>
          <w:bCs/>
          <w:color w:val="auto"/>
          <w:kern w:val="0"/>
          <w:szCs w:val="24"/>
          <w:highlight w:val="none"/>
        </w:rPr>
        <w:t>产品的投资运作情况体现为产品净值变化，</w:t>
      </w:r>
      <w:r>
        <w:rPr>
          <w:rFonts w:hint="eastAsia" w:ascii="仿宋_GB2312" w:hAnsi="宋体" w:cs="宋体"/>
          <w:b/>
          <w:bCs/>
          <w:color w:val="auto"/>
          <w:kern w:val="0"/>
          <w:szCs w:val="24"/>
          <w:highlight w:val="none"/>
        </w:rPr>
        <w:t>投资者最终理财收益以实际到账为准。本理财产品过往业绩不代表其未来表现，不等于投资者未来可获得的实际收益。</w:t>
      </w:r>
    </w:p>
    <w:p w14:paraId="536B54D1">
      <w:pPr>
        <w:pStyle w:val="13"/>
        <w:numPr>
          <w:ilvl w:val="255"/>
          <w:numId w:val="0"/>
        </w:numPr>
        <w:spacing w:line="360" w:lineRule="auto"/>
        <w:jc w:val="left"/>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●投资者认购/申购本理财产品份额后，在封闭期及/或其他不可赎回时段内不可赎回，可能导致投资者持有份额无法及时变现。</w:t>
      </w:r>
    </w:p>
    <w:p w14:paraId="00680CE2">
      <w:pPr>
        <w:tabs>
          <w:tab w:val="left" w:pos="709"/>
        </w:tabs>
        <w:snapToGrid w:val="0"/>
        <w:spacing w:line="360" w:lineRule="auto"/>
        <w:rPr>
          <w:rFonts w:hint="eastAsia" w:ascii="仿宋_GB2312" w:hAnsi="宋体" w:cs="宋体"/>
          <w:bCs/>
          <w:color w:val="auto"/>
          <w:kern w:val="0"/>
          <w:szCs w:val="24"/>
          <w:highlight w:val="none"/>
        </w:rPr>
      </w:pPr>
      <w:r>
        <w:rPr>
          <w:rFonts w:hint="eastAsia" w:ascii="仿宋_GB2312" w:hAnsi="宋体" w:cs="宋体"/>
          <w:b/>
          <w:bCs/>
          <w:color w:val="auto"/>
          <w:kern w:val="0"/>
          <w:szCs w:val="24"/>
          <w:highlight w:val="none"/>
        </w:rPr>
        <w:t>●本理财产品仅向依据中华人民共和国法律法规及监管规定可以购买本类理财产品的投资者发售。</w:t>
      </w:r>
      <w:r>
        <w:rPr>
          <w:rFonts w:ascii="仿宋_GB2312" w:hAnsi="宋体" w:cs="宋体"/>
          <w:b/>
          <w:color w:val="auto"/>
          <w:kern w:val="0"/>
          <w:szCs w:val="24"/>
          <w:highlight w:val="none"/>
        </w:rPr>
        <w:t>投资者通过销售机构与浙银理财签订理财产品销售文件后，销售机构或浙银理财在划款时，不再通过任何方式与投资者进行最后确认，直接划款。</w:t>
      </w:r>
      <w:r>
        <w:rPr>
          <w:rFonts w:hint="eastAsia"/>
          <w:b/>
          <w:color w:val="auto"/>
          <w:highlight w:val="none"/>
        </w:rPr>
        <w:t>投</w:t>
      </w:r>
      <w:r>
        <w:rPr>
          <w:rFonts w:ascii="仿宋_GB2312" w:hAnsi="宋体" w:cs="宋体"/>
          <w:b/>
          <w:color w:val="auto"/>
          <w:kern w:val="0"/>
          <w:szCs w:val="24"/>
          <w:highlight w:val="none"/>
        </w:rPr>
        <w:t>资者通过销售机构电子渠道购买本理财产品，成功提交认购/申购申请后视同为投资者已完全知悉并接受本理财产品销售文件载明的风险揭示、重要提示以及其他约定，与浙银理财已完成理财产品销售</w:t>
      </w:r>
      <w:r>
        <w:rPr>
          <w:rFonts w:hint="eastAsia" w:ascii="仿宋_GB2312" w:hAnsi="宋体" w:cs="宋体"/>
          <w:b/>
          <w:color w:val="auto"/>
          <w:kern w:val="0"/>
          <w:szCs w:val="24"/>
          <w:highlight w:val="none"/>
        </w:rPr>
        <w:t>文件</w:t>
      </w:r>
      <w:r>
        <w:rPr>
          <w:rFonts w:ascii="仿宋_GB2312" w:hAnsi="宋体" w:cs="宋体"/>
          <w:b/>
          <w:color w:val="auto"/>
          <w:kern w:val="0"/>
          <w:szCs w:val="24"/>
          <w:highlight w:val="none"/>
        </w:rPr>
        <w:t>的签订。</w:t>
      </w:r>
    </w:p>
    <w:p w14:paraId="513754F8">
      <w:pPr>
        <w:tabs>
          <w:tab w:val="left" w:pos="709"/>
        </w:tabs>
        <w:snapToGrid w:val="0"/>
        <w:spacing w:line="360" w:lineRule="auto"/>
        <w:rPr>
          <w:rFonts w:hint="eastAsia" w:ascii="仿宋_GB2312" w:hAnsi="宋体" w:cs="宋体"/>
          <w:bCs/>
          <w:color w:val="auto"/>
          <w:kern w:val="0"/>
          <w:szCs w:val="24"/>
          <w:highlight w:val="none"/>
        </w:rPr>
      </w:pPr>
      <w:r>
        <w:rPr>
          <w:rFonts w:hint="eastAsia" w:ascii="仿宋_GB2312" w:hAnsi="宋体" w:cs="宋体"/>
          <w:b/>
          <w:bCs/>
          <w:color w:val="auto"/>
          <w:kern w:val="0"/>
          <w:szCs w:val="24"/>
          <w:highlight w:val="none"/>
        </w:rPr>
        <w:t>●</w:t>
      </w:r>
      <w:r>
        <w:rPr>
          <w:rFonts w:hint="eastAsia" w:ascii="仿宋_GB2312" w:hAnsi="宋体" w:cs="宋体"/>
          <w:bCs/>
          <w:color w:val="auto"/>
          <w:kern w:val="0"/>
          <w:szCs w:val="24"/>
          <w:highlight w:val="none"/>
        </w:rPr>
        <w:t>投资本理财产品后，投资者应随时关注本理财产品的信息披露情况，及时获取相关信息。相关信息以销售文件约定的信息披露方式进行披露。</w:t>
      </w:r>
    </w:p>
    <w:p w14:paraId="31CF7D13">
      <w:pPr>
        <w:tabs>
          <w:tab w:val="left" w:pos="709"/>
        </w:tabs>
        <w:snapToGrid w:val="0"/>
        <w:spacing w:line="360" w:lineRule="auto"/>
        <w:rPr>
          <w:rFonts w:hint="eastAsia" w:ascii="仿宋_GB2312" w:hAnsi="宋体" w:cs="宋体"/>
          <w:bCs/>
          <w:color w:val="auto"/>
          <w:kern w:val="0"/>
          <w:szCs w:val="24"/>
          <w:highlight w:val="none"/>
        </w:rPr>
      </w:pPr>
      <w:r>
        <w:rPr>
          <w:rFonts w:hint="eastAsia" w:ascii="仿宋_GB2312" w:hAnsi="宋体" w:cs="宋体"/>
          <w:b/>
          <w:bCs/>
          <w:color w:val="auto"/>
          <w:kern w:val="0"/>
          <w:szCs w:val="24"/>
          <w:highlight w:val="none"/>
        </w:rPr>
        <w:t>●</w:t>
      </w:r>
      <w:r>
        <w:rPr>
          <w:rFonts w:hint="eastAsia" w:ascii="仿宋_GB2312" w:hAnsi="宋体" w:cs="宋体"/>
          <w:bCs/>
          <w:color w:val="auto"/>
          <w:kern w:val="0"/>
          <w:szCs w:val="24"/>
          <w:highlight w:val="none"/>
        </w:rPr>
        <w:t>投资者承诺其用于购买本理财产品的资金来源合法合规，并且其系为合法之目的投资本理财产品，而非为洗钱等违法犯罪目的；投资者应确保用于投资本理财产品的资金不来源于贷款、发行债券等筹集的非自有资金。（受托管理的资产管理产品除外）</w:t>
      </w:r>
    </w:p>
    <w:p w14:paraId="3DAC7441">
      <w:pPr>
        <w:tabs>
          <w:tab w:val="left" w:pos="709"/>
        </w:tabs>
        <w:snapToGrid w:val="0"/>
        <w:spacing w:line="360" w:lineRule="auto"/>
        <w:rPr>
          <w:rFonts w:hint="eastAsia" w:ascii="仿宋_GB2312" w:hAnsi="宋体" w:cs="宋体"/>
          <w:bCs/>
          <w:color w:val="auto"/>
          <w:kern w:val="0"/>
          <w:szCs w:val="24"/>
          <w:highlight w:val="none"/>
        </w:rPr>
      </w:pPr>
      <w:r>
        <w:rPr>
          <w:rFonts w:hint="eastAsia" w:ascii="仿宋_GB2312" w:hAnsi="宋体" w:cs="宋体"/>
          <w:b/>
          <w:bCs/>
          <w:color w:val="auto"/>
          <w:kern w:val="0"/>
          <w:szCs w:val="24"/>
          <w:highlight w:val="none"/>
        </w:rPr>
        <w:t>●</w:t>
      </w:r>
      <w:r>
        <w:rPr>
          <w:rFonts w:ascii="仿宋_GB2312" w:hAnsi="宋体" w:cs="宋体"/>
          <w:b/>
          <w:color w:val="auto"/>
          <w:kern w:val="0"/>
          <w:szCs w:val="24"/>
          <w:highlight w:val="none"/>
        </w:rPr>
        <w:t>在本理财产品存续期内，</w:t>
      </w:r>
      <w:r>
        <w:rPr>
          <w:rFonts w:ascii="仿宋_GB2312" w:cs="宋体" w:hAnsiTheme="minorEastAsia"/>
          <w:b/>
          <w:color w:val="auto"/>
          <w:kern w:val="0"/>
          <w:szCs w:val="32"/>
          <w:highlight w:val="none"/>
        </w:rPr>
        <w:t>如因维持本理财产品正常运营的需要且在不损害投资者利益的前提下，或因监管政策、法律法规发生变化</w:t>
      </w:r>
      <w:r>
        <w:rPr>
          <w:rFonts w:ascii="仿宋_GB2312" w:hAnsi="宋体" w:cs="宋体"/>
          <w:b/>
          <w:color w:val="auto"/>
          <w:kern w:val="0"/>
          <w:szCs w:val="24"/>
          <w:highlight w:val="none"/>
        </w:rPr>
        <w:t>，浙银理财有权单方对本理财产品销售文件条款进行修订，并按本理财产品说明书约定的披露方式向投资者进行信息披露。浙银理财按照前述规则发布该信息披露即视为该修订通知已送达投资者并对投资者具有法律约束力。</w:t>
      </w:r>
    </w:p>
    <w:p w14:paraId="53F2CE66">
      <w:pPr>
        <w:tabs>
          <w:tab w:val="left" w:pos="709"/>
        </w:tabs>
        <w:snapToGrid w:val="0"/>
        <w:spacing w:line="360" w:lineRule="auto"/>
        <w:rPr>
          <w:color w:val="auto"/>
          <w:highlight w:val="none"/>
        </w:rPr>
      </w:pPr>
      <w:r>
        <w:rPr>
          <w:rFonts w:hint="eastAsia" w:ascii="仿宋_GB2312" w:cs="宋体" w:hAnsiTheme="minorEastAsia"/>
          <w:bCs/>
          <w:color w:val="auto"/>
          <w:kern w:val="0"/>
          <w:szCs w:val="32"/>
          <w:highlight w:val="none"/>
        </w:rPr>
        <w:t>●如对本理财产品、服务有任何疑问、意见或建议，敬请联系您的销售服务机构，具体联系方式以《产品说明书》等销售文件的披露为准；或反馈至浙银理财服务电话：0571-57192881。</w:t>
      </w:r>
    </w:p>
    <w:p w14:paraId="54767FC6">
      <w:pPr>
        <w:rPr>
          <w:color w:val="auto"/>
          <w:highlight w:val="none"/>
        </w:rPr>
      </w:pPr>
      <w:r>
        <w:rPr>
          <w:color w:val="auto"/>
          <w:highlight w:val="none"/>
        </w:rPr>
        <w:br w:type="page"/>
      </w:r>
    </w:p>
    <w:p w14:paraId="2C58E6E0">
      <w:pPr>
        <w:pStyle w:val="2"/>
        <w:numPr>
          <w:ilvl w:val="0"/>
          <w:numId w:val="13"/>
        </w:numPr>
        <w:bidi w:val="0"/>
        <w:ind w:left="0" w:leftChars="0" w:firstLine="0" w:firstLineChars="0"/>
        <w:rPr>
          <w:color w:val="auto"/>
          <w:highlight w:val="none"/>
        </w:rPr>
      </w:pPr>
      <w:r>
        <w:rPr>
          <w:rFonts w:hint="eastAsia"/>
          <w:color w:val="auto"/>
          <w:highlight w:val="none"/>
        </w:rPr>
        <w:t>释义</w:t>
      </w:r>
    </w:p>
    <w:p w14:paraId="0BFFFB75">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本说明书中，除非另有明确说明，否则下列词语或简称具有如下含义：</w:t>
      </w:r>
    </w:p>
    <w:p w14:paraId="6DE0D0B7">
      <w:pPr>
        <w:pStyle w:val="3"/>
        <w:numPr>
          <w:ilvl w:val="1"/>
          <w:numId w:val="13"/>
        </w:numPr>
        <w:tabs>
          <w:tab w:val="left" w:pos="0"/>
          <w:tab w:val="left" w:pos="3261"/>
        </w:tabs>
        <w:bidi w:val="0"/>
        <w:ind w:left="3261" w:leftChars="0" w:hanging="2785" w:firstLineChars="0"/>
        <w:rPr>
          <w:rFonts w:hint="eastAsia"/>
          <w:color w:val="auto"/>
          <w:highlight w:val="none"/>
        </w:rPr>
      </w:pPr>
      <w:r>
        <w:rPr>
          <w:rFonts w:hint="eastAsia"/>
          <w:color w:val="auto"/>
          <w:highlight w:val="none"/>
        </w:rPr>
        <w:t>产品参与主体用语</w:t>
      </w:r>
    </w:p>
    <w:p w14:paraId="1A90272C">
      <w:pPr>
        <w:tabs>
          <w:tab w:val="left" w:pos="709"/>
        </w:tabs>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w:t>
      </w:r>
      <w:r>
        <w:rPr>
          <w:rFonts w:ascii="仿宋_GB2312" w:hAnsi="宋体" w:cs="宋体"/>
          <w:bCs/>
          <w:color w:val="auto"/>
          <w:kern w:val="0"/>
          <w:szCs w:val="24"/>
          <w:highlight w:val="none"/>
        </w:rPr>
        <w:t>管理人/产品管理人/理财产品管理人</w:t>
      </w:r>
      <w:r>
        <w:rPr>
          <w:rFonts w:hint="eastAsia" w:ascii="仿宋_GB2312" w:hAnsi="宋体" w:cs="宋体"/>
          <w:bCs/>
          <w:color w:val="auto"/>
          <w:kern w:val="0"/>
          <w:szCs w:val="24"/>
          <w:highlight w:val="none"/>
          <w:u w:val="none"/>
          <w:lang w:val="en-US" w:eastAsia="zh-CN"/>
        </w:rPr>
        <w:t>/发行机构</w:t>
      </w:r>
      <w:r>
        <w:rPr>
          <w:rFonts w:ascii="仿宋_GB2312" w:hAnsi="宋体" w:cs="宋体"/>
          <w:bCs/>
          <w:color w:val="auto"/>
          <w:kern w:val="0"/>
          <w:szCs w:val="24"/>
          <w:highlight w:val="none"/>
        </w:rPr>
        <w:t>：指浙银理财有限责任公司（简称“浙银理财”）。</w:t>
      </w:r>
    </w:p>
    <w:p w14:paraId="63D562E3">
      <w:pPr>
        <w:tabs>
          <w:tab w:val="left" w:pos="709"/>
        </w:tabs>
        <w:snapToGrid w:val="0"/>
        <w:spacing w:line="360" w:lineRule="auto"/>
        <w:ind w:firstLine="42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2.</w:t>
      </w:r>
      <w:r>
        <w:rPr>
          <w:rFonts w:hint="eastAsia" w:ascii="仿宋_GB2312" w:hAnsi="宋体" w:cs="宋体"/>
          <w:bCs/>
          <w:color w:val="auto"/>
          <w:kern w:val="0"/>
          <w:szCs w:val="24"/>
          <w:highlight w:val="none"/>
        </w:rPr>
        <w:t>销售机构/理财产品销售机构：指符合</w:t>
      </w:r>
      <w:r>
        <w:rPr>
          <w:rFonts w:ascii="仿宋_GB2312" w:hAnsi="宋体" w:cs="宋体"/>
          <w:bCs/>
          <w:color w:val="auto"/>
          <w:kern w:val="0"/>
          <w:szCs w:val="24"/>
          <w:highlight w:val="none"/>
        </w:rPr>
        <w:t>监管</w:t>
      </w:r>
      <w:r>
        <w:rPr>
          <w:rFonts w:hint="eastAsia" w:ascii="仿宋_GB2312" w:hAnsi="宋体" w:cs="宋体"/>
          <w:bCs/>
          <w:color w:val="auto"/>
          <w:kern w:val="0"/>
          <w:szCs w:val="24"/>
          <w:highlight w:val="none"/>
        </w:rPr>
        <w:t>规定</w:t>
      </w:r>
      <w:r>
        <w:rPr>
          <w:rFonts w:ascii="仿宋_GB2312" w:hAnsi="宋体" w:cs="宋体"/>
          <w:bCs/>
          <w:color w:val="auto"/>
          <w:kern w:val="0"/>
          <w:szCs w:val="24"/>
          <w:highlight w:val="none"/>
        </w:rPr>
        <w:t>具备理财产品销售资格</w:t>
      </w:r>
      <w:r>
        <w:rPr>
          <w:rFonts w:hint="eastAsia" w:ascii="仿宋_GB2312" w:hAnsi="宋体" w:cs="宋体"/>
          <w:bCs/>
          <w:color w:val="auto"/>
          <w:kern w:val="0"/>
          <w:szCs w:val="24"/>
          <w:highlight w:val="none"/>
        </w:rPr>
        <w:t>的</w:t>
      </w:r>
      <w:r>
        <w:rPr>
          <w:rFonts w:ascii="仿宋_GB2312" w:hAnsi="宋体" w:cs="宋体"/>
          <w:bCs/>
          <w:color w:val="auto"/>
          <w:kern w:val="0"/>
          <w:szCs w:val="24"/>
          <w:highlight w:val="none"/>
        </w:rPr>
        <w:t>机构</w:t>
      </w:r>
      <w:r>
        <w:rPr>
          <w:rFonts w:hint="eastAsia" w:ascii="仿宋_GB2312" w:hAnsi="宋体" w:cs="宋体"/>
          <w:bCs/>
          <w:color w:val="auto"/>
          <w:kern w:val="0"/>
          <w:szCs w:val="24"/>
          <w:highlight w:val="none"/>
        </w:rPr>
        <w:t>，</w:t>
      </w:r>
      <w:r>
        <w:rPr>
          <w:rFonts w:ascii="仿宋_GB2312" w:hAnsi="宋体" w:cs="宋体"/>
          <w:bCs/>
          <w:color w:val="auto"/>
          <w:kern w:val="0"/>
          <w:szCs w:val="24"/>
          <w:highlight w:val="none"/>
        </w:rPr>
        <w:t>销售机构在其渠道开展向投资者</w:t>
      </w:r>
      <w:r>
        <w:rPr>
          <w:rFonts w:hint="eastAsia" w:ascii="仿宋_GB2312" w:hAnsi="宋体" w:cs="宋体"/>
          <w:bCs/>
          <w:color w:val="auto"/>
          <w:kern w:val="0"/>
          <w:szCs w:val="24"/>
          <w:highlight w:val="none"/>
        </w:rPr>
        <w:t>进行</w:t>
      </w:r>
      <w:r>
        <w:rPr>
          <w:rFonts w:ascii="仿宋_GB2312" w:hAnsi="宋体" w:cs="宋体"/>
          <w:bCs/>
          <w:color w:val="auto"/>
          <w:kern w:val="0"/>
          <w:szCs w:val="24"/>
          <w:highlight w:val="none"/>
        </w:rPr>
        <w:t>宣传推介</w:t>
      </w:r>
      <w:r>
        <w:rPr>
          <w:rFonts w:hint="eastAsia" w:ascii="仿宋_GB2312" w:hAnsi="宋体" w:cs="宋体"/>
          <w:bCs/>
          <w:color w:val="auto"/>
          <w:kern w:val="0"/>
          <w:szCs w:val="24"/>
          <w:highlight w:val="none"/>
        </w:rPr>
        <w:t>，为</w:t>
      </w:r>
      <w:r>
        <w:rPr>
          <w:rFonts w:ascii="仿宋_GB2312" w:hAnsi="宋体" w:cs="宋体"/>
          <w:bCs/>
          <w:color w:val="auto"/>
          <w:kern w:val="0"/>
          <w:szCs w:val="24"/>
          <w:highlight w:val="none"/>
        </w:rPr>
        <w:t>投资者</w:t>
      </w:r>
      <w:r>
        <w:rPr>
          <w:rFonts w:hint="eastAsia" w:ascii="仿宋_GB2312" w:hAnsi="宋体" w:cs="宋体"/>
          <w:bCs/>
          <w:color w:val="auto"/>
          <w:kern w:val="0"/>
          <w:szCs w:val="24"/>
          <w:highlight w:val="none"/>
        </w:rPr>
        <w:t>办理理财产品认购、申购和赎回，以及监管许可的其他销售活动。理财</w:t>
      </w:r>
      <w:r>
        <w:rPr>
          <w:rFonts w:ascii="仿宋_GB2312" w:hAnsi="宋体" w:cs="宋体"/>
          <w:bCs/>
          <w:color w:val="auto"/>
          <w:kern w:val="0"/>
          <w:szCs w:val="24"/>
          <w:highlight w:val="none"/>
        </w:rPr>
        <w:t>产品</w:t>
      </w:r>
      <w:r>
        <w:rPr>
          <w:rFonts w:hint="eastAsia" w:ascii="仿宋_GB2312" w:hAnsi="宋体" w:cs="宋体"/>
          <w:bCs/>
          <w:color w:val="auto"/>
          <w:kern w:val="0"/>
          <w:szCs w:val="24"/>
          <w:highlight w:val="none"/>
        </w:rPr>
        <w:t>销售可分为直销和代理</w:t>
      </w:r>
      <w:r>
        <w:rPr>
          <w:rFonts w:ascii="仿宋_GB2312" w:hAnsi="宋体" w:cs="宋体"/>
          <w:bCs/>
          <w:color w:val="auto"/>
          <w:kern w:val="0"/>
          <w:szCs w:val="24"/>
          <w:highlight w:val="none"/>
        </w:rPr>
        <w:t>销售</w:t>
      </w:r>
      <w:r>
        <w:rPr>
          <w:rFonts w:hint="eastAsia" w:ascii="仿宋_GB2312" w:hAnsi="宋体" w:cs="宋体"/>
          <w:bCs/>
          <w:color w:val="auto"/>
          <w:kern w:val="0"/>
          <w:szCs w:val="24"/>
          <w:highlight w:val="none"/>
        </w:rPr>
        <w:t>，直销机构指销售本公司发行理财产品的理财公司，代销机构指接受理财公司委托销售发行理财产品的代理销售机构。销售机构在其渠道开展向投资者宣传推介、销售产品管理人依法发行的资产管理产品的活动。</w:t>
      </w:r>
    </w:p>
    <w:p w14:paraId="5AFE2B80">
      <w:pPr>
        <w:tabs>
          <w:tab w:val="left" w:pos="709"/>
        </w:tabs>
        <w:snapToGrid w:val="0"/>
        <w:spacing w:line="360" w:lineRule="auto"/>
        <w:ind w:firstLine="420" w:firstLineChars="200"/>
        <w:rPr>
          <w:rFonts w:ascii="仿宋_GB2312" w:hAnsi="宋体" w:cs="宋体"/>
          <w:bCs/>
          <w:color w:val="auto"/>
          <w:kern w:val="0"/>
          <w:szCs w:val="24"/>
          <w:highlight w:val="none"/>
        </w:rPr>
      </w:pPr>
      <w:r>
        <w:rPr>
          <w:rFonts w:ascii="仿宋_GB2312" w:hAnsi="宋体" w:cs="宋体"/>
          <w:bCs/>
          <w:color w:val="auto"/>
          <w:kern w:val="0"/>
          <w:szCs w:val="24"/>
          <w:highlight w:val="none"/>
        </w:rPr>
        <w:t>3.</w:t>
      </w:r>
      <w:r>
        <w:rPr>
          <w:rFonts w:hint="eastAsia" w:ascii="仿宋_GB2312" w:hAnsi="宋体" w:cs="宋体"/>
          <w:bCs/>
          <w:color w:val="auto"/>
          <w:kern w:val="0"/>
          <w:szCs w:val="24"/>
          <w:highlight w:val="none"/>
        </w:rPr>
        <w:t>托管人</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产品托管人</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理财产品托管人</w:t>
      </w:r>
      <w:r>
        <w:rPr>
          <w:rFonts w:hint="eastAsia" w:ascii="仿宋_GB2312" w:hAnsi="宋体" w:cs="宋体"/>
          <w:bCs/>
          <w:color w:val="auto"/>
          <w:kern w:val="0"/>
          <w:szCs w:val="24"/>
          <w:highlight w:val="none"/>
          <w:u w:val="none"/>
          <w:lang w:val="en-US" w:eastAsia="zh-CN"/>
        </w:rPr>
        <w:t>/托管机构</w:t>
      </w:r>
      <w:r>
        <w:rPr>
          <w:rFonts w:hint="eastAsia" w:ascii="仿宋_GB2312" w:hAnsi="宋体" w:cs="宋体"/>
          <w:bCs/>
          <w:color w:val="auto"/>
          <w:kern w:val="0"/>
          <w:szCs w:val="24"/>
          <w:highlight w:val="none"/>
        </w:rPr>
        <w:t>：</w:t>
      </w:r>
      <w:r>
        <w:rPr>
          <w:rFonts w:ascii="仿宋_GB2312" w:hAnsi="宋体" w:cs="宋体"/>
          <w:bCs/>
          <w:color w:val="auto"/>
          <w:kern w:val="0"/>
          <w:szCs w:val="24"/>
          <w:highlight w:val="none"/>
        </w:rPr>
        <w:t>指</w:t>
      </w:r>
      <w:r>
        <w:rPr>
          <w:rFonts w:hint="eastAsia" w:ascii="仿宋_GB2312" w:hAnsi="宋体" w:cs="宋体"/>
          <w:bCs/>
          <w:color w:val="auto"/>
          <w:kern w:val="0"/>
          <w:szCs w:val="24"/>
          <w:highlight w:val="none"/>
        </w:rPr>
        <w:t>根据管理人委托对理财产品财产进行托管的机构。本理财</w:t>
      </w:r>
      <w:r>
        <w:rPr>
          <w:rFonts w:ascii="仿宋_GB2312" w:hAnsi="宋体" w:cs="宋体"/>
          <w:bCs/>
          <w:color w:val="auto"/>
          <w:kern w:val="0"/>
          <w:szCs w:val="24"/>
          <w:highlight w:val="none"/>
        </w:rPr>
        <w:t>产品托管人</w:t>
      </w:r>
      <w:r>
        <w:rPr>
          <w:rFonts w:hint="eastAsia" w:ascii="仿宋_GB2312" w:hAnsi="宋体" w:cs="宋体"/>
          <w:bCs/>
          <w:color w:val="auto"/>
          <w:kern w:val="0"/>
          <w:szCs w:val="24"/>
          <w:highlight w:val="none"/>
        </w:rPr>
        <w:t>指</w:t>
      </w:r>
      <w:r>
        <w:rPr>
          <w:rFonts w:hint="eastAsia" w:ascii="仿宋_GB2312" w:hAnsi="宋体" w:cs="宋体"/>
          <w:bCs/>
          <w:color w:val="auto"/>
          <w:kern w:val="0"/>
          <w:szCs w:val="24"/>
          <w:highlight w:val="yellow"/>
        </w:rPr>
        <w:t>【】（简称【】）。【】</w:t>
      </w:r>
      <w:r>
        <w:rPr>
          <w:rFonts w:hint="eastAsia" w:ascii="仿宋_GB2312" w:hAnsi="宋体" w:cs="宋体"/>
          <w:bCs/>
          <w:color w:val="auto"/>
          <w:kern w:val="0"/>
          <w:szCs w:val="24"/>
          <w:highlight w:val="none"/>
        </w:rPr>
        <w:t>具备理财产品托管资格。</w:t>
      </w:r>
    </w:p>
    <w:p w14:paraId="314E1CF0">
      <w:pPr>
        <w:tabs>
          <w:tab w:val="left" w:pos="709"/>
        </w:tabs>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4.投资者：指符合相关法律法规、监管规定要求的，可以购买理财产品份额的自然人、法人及</w:t>
      </w:r>
      <w:r>
        <w:rPr>
          <w:rFonts w:ascii="仿宋_GB2312" w:hAnsi="宋体" w:cs="宋体"/>
          <w:bCs/>
          <w:color w:val="auto"/>
          <w:kern w:val="0"/>
          <w:szCs w:val="24"/>
          <w:highlight w:val="none"/>
        </w:rPr>
        <w:t>依法成立的</w:t>
      </w:r>
      <w:r>
        <w:rPr>
          <w:rFonts w:hint="eastAsia" w:ascii="仿宋_GB2312" w:hAnsi="宋体" w:cs="宋体"/>
          <w:bCs/>
          <w:color w:val="auto"/>
          <w:kern w:val="0"/>
          <w:szCs w:val="24"/>
          <w:highlight w:val="none"/>
        </w:rPr>
        <w:t>其他</w:t>
      </w:r>
      <w:r>
        <w:rPr>
          <w:rFonts w:ascii="仿宋_GB2312" w:hAnsi="宋体" w:cs="宋体"/>
          <w:bCs/>
          <w:color w:val="auto"/>
          <w:kern w:val="0"/>
          <w:szCs w:val="24"/>
          <w:highlight w:val="none"/>
        </w:rPr>
        <w:t>组织</w:t>
      </w:r>
      <w:r>
        <w:rPr>
          <w:rFonts w:hint="eastAsia" w:ascii="仿宋_GB2312" w:hAnsi="宋体" w:cs="宋体"/>
          <w:bCs/>
          <w:color w:val="auto"/>
          <w:kern w:val="0"/>
          <w:szCs w:val="24"/>
          <w:highlight w:val="none"/>
        </w:rPr>
        <w:t>。</w:t>
      </w:r>
    </w:p>
    <w:p w14:paraId="2CE8154A">
      <w:pPr>
        <w:tabs>
          <w:tab w:val="left" w:pos="709"/>
        </w:tabs>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5.合格投资者：合格投资者是指具备相应风险识别能力和风险承受能力，投资于单只理财产品不低于一定金额且符合下列条件的自然人、法人或者依法成立的其他组织：</w:t>
      </w:r>
    </w:p>
    <w:p w14:paraId="2158D8B4">
      <w:pPr>
        <w:tabs>
          <w:tab w:val="left" w:pos="709"/>
        </w:tabs>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（1）具有2年以上投资经历，且满足家庭金融净资产不低于300万元人民币，或者家庭金融资产不低于500万元人民币，或者近3年本人年均收入不低于40万元人民币；</w:t>
      </w:r>
    </w:p>
    <w:p w14:paraId="1FD549B9">
      <w:pPr>
        <w:tabs>
          <w:tab w:val="left" w:pos="709"/>
        </w:tabs>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（2）最近1年末净资产不低于1000万元人民币的法人或者依法成立的其他组织；</w:t>
      </w:r>
    </w:p>
    <w:p w14:paraId="77166374">
      <w:pPr>
        <w:tabs>
          <w:tab w:val="left" w:pos="709"/>
        </w:tabs>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（3）国务院银行业监督管理机构规定的其他情形。</w:t>
      </w:r>
    </w:p>
    <w:p w14:paraId="5B9F29F1">
      <w:pPr>
        <w:tabs>
          <w:tab w:val="left" w:pos="709"/>
        </w:tabs>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6.专业投资者：符合下列条件之一的是专业投资者：</w:t>
      </w:r>
    </w:p>
    <w:p w14:paraId="5099A158">
      <w:pPr>
        <w:tabs>
          <w:tab w:val="left" w:pos="709"/>
        </w:tabs>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（1）银行业金融机构、保险业金融机构、金融控股公司、证券基金期货经营机构、私募基金管理人；</w:t>
      </w:r>
    </w:p>
    <w:p w14:paraId="4097F338">
      <w:pPr>
        <w:tabs>
          <w:tab w:val="left" w:pos="709"/>
        </w:tabs>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（2）上述机构面向投资者发行的金融产品，信托公司管理的资产服务信托、公益慈善信托；</w:t>
      </w:r>
    </w:p>
    <w:p w14:paraId="23EC2C02">
      <w:pPr>
        <w:tabs>
          <w:tab w:val="left" w:pos="709"/>
        </w:tabs>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（3）社会保障基金、企业年金、职业年金等养老基金，慈善基金等社会公益基金，合格境外机构投资者（QFII）、人民币合格境外机构投资者（RQFII）。</w:t>
      </w:r>
    </w:p>
    <w:p w14:paraId="61D5F1BA">
      <w:pPr>
        <w:tabs>
          <w:tab w:val="left" w:pos="709"/>
        </w:tabs>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7.普通投资者：专业投资者之外的投资者为普通投资者。</w:t>
      </w:r>
    </w:p>
    <w:p w14:paraId="0835E7F4">
      <w:pPr>
        <w:tabs>
          <w:tab w:val="left" w:pos="709"/>
        </w:tabs>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8.全国银行业理财信息登记系统：指供商业银行及商业银行理财公司进行理财产品电子化报告和信息登记的电子信息系统。</w:t>
      </w:r>
    </w:p>
    <w:p w14:paraId="79786023">
      <w:pPr>
        <w:pStyle w:val="3"/>
        <w:numPr>
          <w:ilvl w:val="1"/>
          <w:numId w:val="13"/>
        </w:numPr>
        <w:tabs>
          <w:tab w:val="left" w:pos="0"/>
          <w:tab w:val="left" w:pos="3261"/>
        </w:tabs>
        <w:bidi w:val="0"/>
        <w:ind w:left="3261" w:leftChars="0" w:hanging="2785" w:firstLineChars="0"/>
        <w:rPr>
          <w:rFonts w:hint="eastAsia"/>
          <w:color w:val="auto"/>
          <w:highlight w:val="none"/>
        </w:rPr>
      </w:pPr>
      <w:r>
        <w:rPr>
          <w:rFonts w:hint="eastAsia"/>
          <w:color w:val="auto"/>
          <w:highlight w:val="none"/>
        </w:rPr>
        <w:t xml:space="preserve">法律文件用语 </w:t>
      </w:r>
    </w:p>
    <w:p w14:paraId="17B7BA38">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1.理财产品销售文件/销售文件：指产品管理人向投资者提供的，用于描述产品特征，约定权利义务的文件。具体指</w:t>
      </w: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none"/>
        </w:rPr>
        <w:t>理财产品</w:t>
      </w:r>
      <w:r>
        <w:rPr>
          <w:rFonts w:hint="eastAsia" w:ascii="仿宋_GB2312" w:hAnsi="宋体" w:cs="宋体"/>
          <w:bCs/>
          <w:color w:val="auto"/>
          <w:kern w:val="0"/>
          <w:szCs w:val="24"/>
          <w:highlight w:val="none"/>
          <w:u w:val="none"/>
        </w:rPr>
        <w:t>全套销售文件，包括《投资协议书》、《产品说明书》、《（代理）销售协议书》、《风险揭示书》、《投资者权益须知》以及对该文件的有效修改或补充。上述文件共同构成一份完整且不可分割的理财产品销售文件。经产品管理人委托，代理销售机构可以编制《（代理）销售协议书》、《风险揭示书》、《投资者权益须知》。</w:t>
      </w:r>
    </w:p>
    <w:p w14:paraId="02C7443A">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2.《投资协议书》：指管理人统一编制的《浙银理财理财产品投资协议书》，以及对该文件的有效修改或补充。</w:t>
      </w:r>
    </w:p>
    <w:p w14:paraId="66E5FB76">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3.《产品说明书》：指管理人统一编制的《</w:t>
      </w: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none"/>
        </w:rPr>
        <w:t>理财产品</w:t>
      </w:r>
      <w:r>
        <w:rPr>
          <w:rFonts w:hint="eastAsia" w:ascii="仿宋_GB2312" w:hAnsi="宋体" w:cs="宋体"/>
          <w:bCs/>
          <w:color w:val="auto"/>
          <w:kern w:val="0"/>
          <w:szCs w:val="24"/>
          <w:highlight w:val="none"/>
          <w:u w:val="none"/>
        </w:rPr>
        <w:t>说明书》，以及对该文件的有效修改或补充。</w:t>
      </w:r>
    </w:p>
    <w:p w14:paraId="50BD607A">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代理）销售协议书》：指管理人统一编制的《浙银理财理财产品（代理）销售协议书》或代理销售机构接受产品管理人委托自行编制的《理财产品（代理）销售协议书》（文件名称以代理销售机构实际编制为准），以及对该文件的有效修改或补充。</w:t>
      </w:r>
    </w:p>
    <w:p w14:paraId="10C6EFA4">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5.《风险揭示书》：指管理人统一编制的《</w:t>
      </w: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none"/>
        </w:rPr>
        <w:t>理财产品</w:t>
      </w:r>
      <w:r>
        <w:rPr>
          <w:rFonts w:hint="eastAsia" w:ascii="仿宋_GB2312" w:hAnsi="宋体" w:cs="宋体"/>
          <w:bCs/>
          <w:color w:val="auto"/>
          <w:kern w:val="0"/>
          <w:szCs w:val="24"/>
          <w:highlight w:val="none"/>
          <w:u w:val="none"/>
        </w:rPr>
        <w:t>风险揭示书》或代理销售机构接受产品管理人委托自行编制的《</w:t>
      </w: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none"/>
        </w:rPr>
        <w:t>理财产品</w:t>
      </w:r>
      <w:r>
        <w:rPr>
          <w:rFonts w:hint="eastAsia" w:ascii="仿宋_GB2312" w:hAnsi="宋体" w:cs="宋体"/>
          <w:bCs/>
          <w:color w:val="auto"/>
          <w:kern w:val="0"/>
          <w:szCs w:val="24"/>
          <w:highlight w:val="none"/>
          <w:u w:val="none"/>
        </w:rPr>
        <w:t>风险揭示书》（文件名称以代理销售机构实际编制为准），以及对该文件的有效修改或补充。</w:t>
      </w:r>
    </w:p>
    <w:p w14:paraId="7DE47BAF">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投资者权益须知》：指管理人统一编制的《理财产品投资者权益须知》或代理销售机构接受产品管理人委托自行编制的《理财产品投资者权益须知》（文件名称以代理销售机构实际编制为准），以及对该文件的有效修改或补充。</w:t>
      </w:r>
    </w:p>
    <w:p w14:paraId="17D20AE0">
      <w:pPr>
        <w:pStyle w:val="3"/>
        <w:numPr>
          <w:ilvl w:val="1"/>
          <w:numId w:val="13"/>
        </w:numPr>
        <w:tabs>
          <w:tab w:val="left" w:pos="0"/>
          <w:tab w:val="left" w:pos="3261"/>
        </w:tabs>
        <w:bidi w:val="0"/>
        <w:ind w:left="3261" w:leftChars="0" w:hanging="2785" w:firstLineChars="0"/>
        <w:rPr>
          <w:rFonts w:hint="eastAsia"/>
          <w:color w:val="auto"/>
          <w:highlight w:val="none"/>
        </w:rPr>
      </w:pPr>
      <w:r>
        <w:rPr>
          <w:rFonts w:hint="eastAsia"/>
          <w:color w:val="auto"/>
          <w:highlight w:val="none"/>
        </w:rPr>
        <w:t xml:space="preserve">理财产品用语 </w:t>
      </w:r>
    </w:p>
    <w:p w14:paraId="483D44BC">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1.理财产品登记编码</w:t>
      </w:r>
      <w:r>
        <w:rPr>
          <w:rFonts w:hint="eastAsia" w:ascii="仿宋_GB2312" w:hAnsi="宋体" w:cs="宋体"/>
          <w:bCs/>
          <w:color w:val="auto"/>
          <w:kern w:val="0"/>
          <w:szCs w:val="24"/>
          <w:highlight w:val="none"/>
          <w:u w:val="none"/>
          <w:lang w:val="en-US" w:eastAsia="zh-CN"/>
        </w:rPr>
        <w:t>/产品登记编码</w:t>
      </w:r>
      <w:r>
        <w:rPr>
          <w:rFonts w:hint="eastAsia" w:ascii="仿宋_GB2312" w:hAnsi="宋体" w:cs="宋体"/>
          <w:bCs/>
          <w:color w:val="auto"/>
          <w:kern w:val="0"/>
          <w:szCs w:val="24"/>
          <w:highlight w:val="none"/>
          <w:u w:val="none"/>
        </w:rPr>
        <w:t>：指本款理财产品在全国银行业理财信息登记系统对理财产品进行信息登记后，由全国银行业理财信息登记系统发放的唯一性的理财产品编码。投资者可依据登记编码在中国理财网（www.chinawealth.com.cn）查询产品信息。</w:t>
      </w:r>
    </w:p>
    <w:p w14:paraId="17799F36">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2.理财产品代码/产品代码：指产品管理人在全国银行业理财信息登记系统中为理财产品设置的内部识别码。</w:t>
      </w:r>
    </w:p>
    <w:p w14:paraId="25B8DB09">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3.理财产品销售代码/销售代码</w:t>
      </w:r>
      <w:r>
        <w:rPr>
          <w:rFonts w:hint="eastAsia" w:ascii="仿宋_GB2312" w:hAnsi="宋体" w:cs="宋体"/>
          <w:bCs/>
          <w:color w:val="auto"/>
          <w:kern w:val="0"/>
          <w:szCs w:val="24"/>
          <w:highlight w:val="none"/>
          <w:u w:val="none"/>
          <w:lang w:val="en-US" w:eastAsia="zh-CN"/>
        </w:rPr>
        <w:t>/份额代码</w:t>
      </w:r>
      <w:r>
        <w:rPr>
          <w:rFonts w:hint="eastAsia" w:ascii="仿宋_GB2312" w:hAnsi="宋体" w:cs="宋体"/>
          <w:bCs/>
          <w:color w:val="auto"/>
          <w:kern w:val="0"/>
          <w:szCs w:val="24"/>
          <w:highlight w:val="none"/>
          <w:u w:val="none"/>
        </w:rPr>
        <w:t>：指本款理财产品若设置不同产品份额类别，为在理财产品销售管理过程中区分不同产品份额类别，管理人在同一理财产品代码项下，为每类份额类别设置的唯一性内部识别码。</w:t>
      </w:r>
    </w:p>
    <w:p w14:paraId="373546AF">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理财产品风险等级：理财产品风险等级为产品管理人和销售机构经过审慎评估后确定的产品风险等级。若本产品通过代理销售机构销售的，理财产品风险等级以代理销售机构最终披露的风险等级结果为准。产品管理人和代理销售机构对理财产品的风险等级评估结果不一致时，代理销售机构应采用对应较高风险的评级结果。</w:t>
      </w:r>
      <w:r>
        <w:rPr>
          <w:rFonts w:hint="eastAsia" w:ascii="宋体" w:hAnsi="宋体"/>
          <w:b/>
          <w:bCs/>
          <w:color w:val="auto"/>
          <w:szCs w:val="24"/>
          <w:highlight w:val="none"/>
          <w:u w:val="none"/>
        </w:rPr>
        <w:t>产品管理人在符合监管政策的前提下可对产品风险评级进行动态管理，如产品风险等级发生调整，将提前通过本《产品说明书》“信息披露”约定的方式通知投资者。</w:t>
      </w:r>
    </w:p>
    <w:p w14:paraId="06A78026">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5.投资者风险承受能力评估：指销售机构对理财投资者的风险承受能力进行评价的过程。</w:t>
      </w:r>
    </w:p>
    <w:p w14:paraId="360474CC">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6.理财产品份额：指投资者持有本理财产品的单位数额。投资者基于其所持有的理财产品单位数额享有理财产品利益、承担理财产品风险。理财产品份额四舍五入保留2位小数。</w:t>
      </w:r>
    </w:p>
    <w:p w14:paraId="746D7BF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7.理财产品资产净值/理财资产净值/产品资产净值：理财产品资产净值=理财产品资产总值-理财产品负债总值。</w:t>
      </w:r>
    </w:p>
    <w:p w14:paraId="64747324">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理财产品资产总值是指理财产品拥有的各类有价证券、银行存款、应收款项及其他资产的价值总和。</w:t>
      </w:r>
    </w:p>
    <w:p w14:paraId="68C407AD">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理财产品负债总值是指理财产品运作及融资时形成的负债价值总和，包括融资资金本息、</w:t>
      </w:r>
      <w:r>
        <w:rPr>
          <w:rFonts w:hint="eastAsia" w:ascii="仿宋_GB2312" w:hAnsi="宋体" w:cs="宋体"/>
          <w:bCs/>
          <w:color w:val="auto"/>
          <w:kern w:val="0"/>
          <w:sz w:val="22"/>
          <w:highlight w:val="none"/>
          <w:u w:val="none"/>
        </w:rPr>
        <w:t>应付各项费用</w:t>
      </w:r>
      <w:r>
        <w:rPr>
          <w:rFonts w:hint="eastAsia" w:ascii="仿宋_GB2312" w:hAnsi="宋体" w:cs="宋体"/>
          <w:bCs/>
          <w:color w:val="auto"/>
          <w:kern w:val="0"/>
          <w:szCs w:val="24"/>
          <w:highlight w:val="none"/>
          <w:u w:val="none"/>
        </w:rPr>
        <w:t>（包括</w:t>
      </w:r>
      <w:r>
        <w:rPr>
          <w:rFonts w:hint="eastAsia" w:ascii="仿宋_GB2312" w:hAnsi="宋体" w:cs="宋体"/>
          <w:bCs/>
          <w:color w:val="auto"/>
          <w:kern w:val="0"/>
          <w:szCs w:val="24"/>
          <w:highlight w:val="none"/>
          <w:u w:val="none"/>
          <w:lang w:eastAsia="zh-CN"/>
        </w:rPr>
        <w:t>托管费</w:t>
      </w:r>
      <w:r>
        <w:rPr>
          <w:rFonts w:hint="eastAsia" w:ascii="仿宋_GB2312" w:hAnsi="宋体" w:cs="宋体"/>
          <w:bCs/>
          <w:color w:val="auto"/>
          <w:kern w:val="0"/>
          <w:szCs w:val="24"/>
          <w:highlight w:val="none"/>
          <w:u w:val="none"/>
        </w:rPr>
        <w:t>、认购费、</w:t>
      </w:r>
      <w:r>
        <w:rPr>
          <w:rFonts w:hint="eastAsia" w:ascii="仿宋_GB2312" w:hAnsi="宋体" w:cs="宋体"/>
          <w:bCs/>
          <w:color w:val="auto"/>
          <w:kern w:val="0"/>
          <w:szCs w:val="24"/>
          <w:highlight w:val="none"/>
          <w:u w:val="none"/>
          <w:lang w:eastAsia="zh-CN"/>
        </w:rPr>
        <w:t>固定管理费</w:t>
      </w:r>
      <w:r>
        <w:rPr>
          <w:rFonts w:hint="eastAsia"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lang w:eastAsia="zh-CN"/>
        </w:rPr>
        <w:t>浮动管理费</w:t>
      </w:r>
      <w:r>
        <w:rPr>
          <w:rFonts w:hint="eastAsia" w:ascii="仿宋_GB2312" w:hAnsi="宋体" w:cs="宋体"/>
          <w:bCs/>
          <w:color w:val="auto"/>
          <w:kern w:val="0"/>
          <w:szCs w:val="24"/>
          <w:highlight w:val="none"/>
          <w:u w:val="none"/>
        </w:rPr>
        <w:t>、其他费用等）、应付税金及其他应付款项等。</w:t>
      </w:r>
    </w:p>
    <w:p w14:paraId="42328853">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8.理财产品份额净值/理财份额净值/产品份额净值：指理财产品份额的单位净值，即每1份理财产品份额以人民币计价的价格。理财产品份额净值=理财资产净值/产品总份额。投资者按该份额净值进行理财产品申购、赎回时分配。理财产品份额净值四舍五入保留</w:t>
      </w:r>
      <w:r>
        <w:rPr>
          <w:rFonts w:hint="eastAsia" w:ascii="仿宋_GB2312" w:hAnsi="宋体" w:cs="宋体"/>
          <w:bCs/>
          <w:color w:val="auto"/>
          <w:kern w:val="0"/>
          <w:szCs w:val="24"/>
          <w:highlight w:val="yellow"/>
          <w:u w:val="none"/>
          <w:lang w:val="en-US" w:eastAsia="zh-CN"/>
        </w:rPr>
        <w:t>【位】</w:t>
      </w:r>
      <w:r>
        <w:rPr>
          <w:rFonts w:hint="eastAsia" w:ascii="仿宋_GB2312" w:hAnsi="宋体" w:cs="宋体"/>
          <w:bCs/>
          <w:color w:val="auto"/>
          <w:kern w:val="0"/>
          <w:szCs w:val="24"/>
          <w:highlight w:val="none"/>
          <w:u w:val="none"/>
        </w:rPr>
        <w:t>小数。</w:t>
      </w:r>
    </w:p>
    <w:p w14:paraId="0B348BB8">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理财产品份额净值可以展示为</w:t>
      </w:r>
      <w:r>
        <w:rPr>
          <w:rFonts w:ascii="仿宋_GB2312" w:hAnsi="宋体" w:cs="宋体"/>
          <w:b/>
          <w:color w:val="auto"/>
          <w:kern w:val="0"/>
          <w:szCs w:val="24"/>
          <w:highlight w:val="none"/>
          <w:u w:val="none"/>
        </w:rPr>
        <w:t>当前理财产品份额净值</w:t>
      </w:r>
      <w:r>
        <w:rPr>
          <w:rFonts w:hint="eastAsia" w:ascii="仿宋_GB2312" w:hAnsi="宋体" w:cs="宋体"/>
          <w:bCs/>
          <w:color w:val="auto"/>
          <w:kern w:val="0"/>
          <w:szCs w:val="24"/>
          <w:highlight w:val="none"/>
          <w:u w:val="none"/>
        </w:rPr>
        <w:t>和</w:t>
      </w:r>
      <w:r>
        <w:rPr>
          <w:rFonts w:ascii="仿宋_GB2312" w:hAnsi="宋体" w:cs="宋体"/>
          <w:b/>
          <w:color w:val="auto"/>
          <w:kern w:val="0"/>
          <w:szCs w:val="24"/>
          <w:highlight w:val="none"/>
          <w:u w:val="none"/>
        </w:rPr>
        <w:t>累计理财产品份额净值</w:t>
      </w:r>
      <w:r>
        <w:rPr>
          <w:rFonts w:hint="eastAsia" w:ascii="仿宋_GB2312" w:hAnsi="宋体" w:cs="宋体"/>
          <w:bCs/>
          <w:color w:val="auto"/>
          <w:kern w:val="0"/>
          <w:szCs w:val="24"/>
          <w:highlight w:val="none"/>
          <w:u w:val="none"/>
        </w:rPr>
        <w:t>。</w:t>
      </w:r>
    </w:p>
    <w:p w14:paraId="61467DD8">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当前理财产品份额净值，指产品当前的份额净值。</w:t>
      </w:r>
    </w:p>
    <w:p w14:paraId="2ADECC01">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累计理财产品份额净值，指产品当前份额净值及产品成立到现在单位理财产品份额分红之和。</w:t>
      </w:r>
    </w:p>
    <w:p w14:paraId="05AF2E2C">
      <w:pPr>
        <w:tabs>
          <w:tab w:val="left" w:pos="709"/>
        </w:tabs>
        <w:snapToGrid w:val="0"/>
        <w:spacing w:line="360" w:lineRule="auto"/>
        <w:ind w:firstLine="422" w:firstLineChars="200"/>
        <w:rPr>
          <w:rFonts w:ascii="仿宋_GB2312" w:hAnsi="宋体" w:cs="宋体"/>
          <w:b/>
          <w:color w:val="auto"/>
          <w:kern w:val="0"/>
          <w:szCs w:val="24"/>
          <w:highlight w:val="none"/>
          <w:u w:val="none"/>
        </w:rPr>
      </w:pPr>
      <w:r>
        <w:rPr>
          <w:rFonts w:ascii="仿宋_GB2312" w:hAnsi="宋体" w:cs="宋体"/>
          <w:b/>
          <w:color w:val="auto"/>
          <w:kern w:val="0"/>
          <w:szCs w:val="24"/>
          <w:highlight w:val="none"/>
          <w:u w:val="none"/>
        </w:rPr>
        <w:t>（注：若无特别说明，理财产品份额净值通常指当前理财产品份额净值）</w:t>
      </w:r>
    </w:p>
    <w:p w14:paraId="74A411AC">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9.理财产品估值：指计算评估理财产品资产和理财产品负债的价值，以确定理财产品份额净值的过程。</w:t>
      </w:r>
    </w:p>
    <w:p w14:paraId="40953CD5">
      <w:pPr>
        <w:tabs>
          <w:tab w:val="left" w:pos="709"/>
        </w:tabs>
        <w:snapToGrid w:val="0"/>
        <w:spacing w:line="360" w:lineRule="auto"/>
        <w:ind w:firstLine="420" w:firstLineChars="200"/>
        <w:rPr>
          <w:rFonts w:ascii="仿宋_GB2312" w:hAnsi="宋体" w:cs="宋体"/>
          <w:b/>
          <w:color w:val="auto"/>
          <w:kern w:val="0"/>
          <w:szCs w:val="24"/>
          <w:highlight w:val="none"/>
          <w:u w:val="none"/>
        </w:rPr>
      </w:pPr>
      <w:r>
        <w:rPr>
          <w:rFonts w:hint="eastAsia" w:ascii="仿宋_GB2312" w:hAnsi="宋体" w:cs="宋体"/>
          <w:bCs/>
          <w:color w:val="auto"/>
          <w:kern w:val="0"/>
          <w:szCs w:val="24"/>
          <w:highlight w:val="none"/>
          <w:u w:val="none"/>
        </w:rPr>
        <w:t>10.业绩比较基准：指管理人基于过往投资经验及对产品存续期投资市场波动的预判而对本产品所设定的投资目标。</w:t>
      </w:r>
      <w:r>
        <w:rPr>
          <w:rFonts w:ascii="仿宋_GB2312" w:hAnsi="宋体" w:cs="宋体"/>
          <w:b/>
          <w:color w:val="auto"/>
          <w:kern w:val="0"/>
          <w:szCs w:val="24"/>
          <w:highlight w:val="none"/>
          <w:u w:val="none"/>
        </w:rPr>
        <w:t>业绩比较基准不代表理财产品未来表现，不等于理财产品实际收益，不作为产品收益的业绩保证，投资须谨慎。</w:t>
      </w:r>
    </w:p>
    <w:p w14:paraId="55233411">
      <w:pPr>
        <w:tabs>
          <w:tab w:val="left" w:pos="709"/>
        </w:tabs>
        <w:snapToGrid w:val="0"/>
        <w:spacing w:line="360" w:lineRule="auto"/>
        <w:ind w:firstLine="420" w:firstLineChars="200"/>
        <w:rPr>
          <w:rFonts w:ascii="仿宋_GB2312" w:hAnsi="宋体" w:cs="宋体"/>
          <w:b/>
          <w:color w:val="auto"/>
          <w:kern w:val="0"/>
          <w:szCs w:val="24"/>
          <w:highlight w:val="none"/>
          <w:u w:val="none"/>
        </w:rPr>
      </w:pPr>
      <w:r>
        <w:rPr>
          <w:rFonts w:ascii="仿宋_GB2312" w:hAnsi="宋体" w:cs="宋体"/>
          <w:bCs/>
          <w:color w:val="auto"/>
          <w:kern w:val="0"/>
          <w:szCs w:val="24"/>
          <w:highlight w:val="none"/>
          <w:u w:val="none"/>
        </w:rPr>
        <w:t>11.</w:t>
      </w:r>
      <w:r>
        <w:rPr>
          <w:rFonts w:hint="eastAsia" w:ascii="仿宋_GB2312" w:hAnsi="宋体" w:cs="宋体"/>
          <w:bCs/>
          <w:color w:val="auto"/>
          <w:kern w:val="0"/>
          <w:szCs w:val="24"/>
          <w:highlight w:val="none"/>
          <w:u w:val="none"/>
          <w:lang w:eastAsia="zh-CN"/>
        </w:rPr>
        <w:t>浮动管理费</w:t>
      </w:r>
      <w:r>
        <w:rPr>
          <w:rFonts w:ascii="仿宋_GB2312" w:hAnsi="宋体" w:cs="宋体"/>
          <w:bCs/>
          <w:color w:val="auto"/>
          <w:kern w:val="0"/>
          <w:szCs w:val="24"/>
          <w:highlight w:val="none"/>
          <w:u w:val="none"/>
        </w:rPr>
        <w:t>计提基准：指管理人收取</w:t>
      </w:r>
      <w:r>
        <w:rPr>
          <w:rFonts w:hint="eastAsia" w:ascii="仿宋_GB2312" w:hAnsi="宋体" w:cs="宋体"/>
          <w:bCs/>
          <w:color w:val="auto"/>
          <w:kern w:val="0"/>
          <w:szCs w:val="24"/>
          <w:highlight w:val="none"/>
          <w:u w:val="none"/>
          <w:lang w:eastAsia="zh-CN"/>
        </w:rPr>
        <w:t>浮动管理费</w:t>
      </w:r>
      <w:r>
        <w:rPr>
          <w:rFonts w:ascii="仿宋_GB2312" w:hAnsi="宋体" w:cs="宋体"/>
          <w:bCs/>
          <w:color w:val="auto"/>
          <w:kern w:val="0"/>
          <w:szCs w:val="24"/>
          <w:highlight w:val="none"/>
          <w:u w:val="none"/>
        </w:rPr>
        <w:t>的参照相关数值标准。</w:t>
      </w:r>
      <w:r>
        <w:rPr>
          <w:rFonts w:hint="eastAsia" w:ascii="仿宋_GB2312" w:hAnsi="宋体" w:cs="宋体"/>
          <w:b/>
          <w:color w:val="auto"/>
          <w:kern w:val="0"/>
          <w:szCs w:val="24"/>
          <w:highlight w:val="none"/>
          <w:u w:val="none"/>
          <w:lang w:eastAsia="zh-CN"/>
        </w:rPr>
        <w:t>浮动管理费</w:t>
      </w:r>
      <w:r>
        <w:rPr>
          <w:rFonts w:ascii="仿宋_GB2312" w:hAnsi="宋体" w:cs="宋体"/>
          <w:b/>
          <w:color w:val="auto"/>
          <w:kern w:val="0"/>
          <w:szCs w:val="24"/>
          <w:highlight w:val="none"/>
          <w:u w:val="none"/>
        </w:rPr>
        <w:t>计提基准不代表理财产品未来表现，不等于理财产品实际收益，不作为产品收益的业绩保证，投资须谨慎。</w:t>
      </w:r>
    </w:p>
    <w:p w14:paraId="3D3E0B44">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12.理财产品利益/理财利益</w:t>
      </w:r>
      <w:r>
        <w:rPr>
          <w:rFonts w:hint="eastAsia" w:ascii="仿宋_GB2312" w:hAnsi="宋体" w:cs="宋体"/>
          <w:bCs/>
          <w:color w:val="auto"/>
          <w:kern w:val="0"/>
          <w:szCs w:val="24"/>
          <w:highlight w:val="none"/>
          <w:u w:val="none"/>
          <w:lang w:val="en-US" w:eastAsia="zh-CN"/>
        </w:rPr>
        <w:t>/理财产品收益/理财收益</w:t>
      </w:r>
      <w:r>
        <w:rPr>
          <w:rFonts w:hint="eastAsia" w:ascii="仿宋_GB2312" w:hAnsi="宋体" w:cs="宋体"/>
          <w:bCs/>
          <w:color w:val="auto"/>
          <w:kern w:val="0"/>
          <w:szCs w:val="24"/>
          <w:highlight w:val="none"/>
          <w:u w:val="none"/>
        </w:rPr>
        <w:t>：指投资者因持有理财产品份额，按照销售文件约定取得或有权取得的理财产品管理人分配的理财产品资产。</w:t>
      </w:r>
    </w:p>
    <w:p w14:paraId="3173C53B">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13.</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分配：指产品管理人向投资者进行理财产品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 xml:space="preserve">分配。 </w:t>
      </w:r>
    </w:p>
    <w:p w14:paraId="606690E4">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14.期间分配：指在理财产品终止日（不含当日）前的理财产品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 xml:space="preserve">分配。 </w:t>
      </w:r>
    </w:p>
    <w:p w14:paraId="00609363">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15.终止分配：指在理财产品终止日当日及之后的理财产品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w:t>
      </w:r>
    </w:p>
    <w:p w14:paraId="408065FD">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 xml:space="preserve">16.认购：指投资者根据本协议约定在认购期/募集期内申请购买本产品理财产品份额的行为。 </w:t>
      </w:r>
    </w:p>
    <w:p w14:paraId="2BD8EA42">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17.申购：指理财产品成立后，在理财产品申购期</w:t>
      </w:r>
      <w:r>
        <w:rPr>
          <w:rFonts w:hint="eastAsia" w:ascii="仿宋_GB2312" w:hAnsi="宋体" w:cs="宋体"/>
          <w:bCs/>
          <w:color w:val="auto"/>
          <w:kern w:val="0"/>
          <w:szCs w:val="24"/>
          <w:highlight w:val="none"/>
          <w:lang w:val="en-US" w:eastAsia="zh-CN"/>
        </w:rPr>
        <w:t>/开放期</w:t>
      </w:r>
      <w:r>
        <w:rPr>
          <w:rFonts w:hint="eastAsia" w:ascii="仿宋_GB2312" w:hAnsi="宋体" w:cs="宋体"/>
          <w:bCs/>
          <w:color w:val="auto"/>
          <w:kern w:val="0"/>
          <w:szCs w:val="24"/>
          <w:highlight w:val="none"/>
        </w:rPr>
        <w:t>内，投资者申请购买理财产品份额的行为。</w:t>
      </w:r>
    </w:p>
    <w:p w14:paraId="069FC8FC">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首次申购，指未进行认购的投资者，在理财产品成立后申请购买理财产品份额的行为。投资者全额赎回不再持有理财产品份额后再次申购的，视同首次申购处理。</w:t>
      </w:r>
    </w:p>
    <w:p w14:paraId="3DBDE35F">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追加申购，指已经完成认购或首次申购的投资者，在理财产品成立后申请购买理财产品份额的行为。</w:t>
      </w:r>
    </w:p>
    <w:p w14:paraId="73CAEC7E">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18.赎回：指理财产品成立后，在理财产品</w:t>
      </w:r>
      <w:r>
        <w:rPr>
          <w:rFonts w:hint="eastAsia" w:ascii="仿宋_GB2312" w:hAnsi="宋体" w:cs="宋体"/>
          <w:bCs/>
          <w:color w:val="auto"/>
          <w:kern w:val="0"/>
          <w:szCs w:val="24"/>
          <w:highlight w:val="none"/>
          <w:lang w:eastAsia="zh-CN"/>
        </w:rPr>
        <w:t>开放</w:t>
      </w:r>
      <w:r>
        <w:rPr>
          <w:rFonts w:hint="eastAsia" w:ascii="仿宋_GB2312" w:hAnsi="宋体" w:cs="宋体"/>
          <w:bCs/>
          <w:color w:val="auto"/>
          <w:kern w:val="0"/>
          <w:szCs w:val="24"/>
          <w:highlight w:val="none"/>
        </w:rPr>
        <w:t>期内，投资者申请赎回理财产品份额的行为，即投资者申请将理财产品份额兑换为现金。</w:t>
      </w:r>
    </w:p>
    <w:p w14:paraId="4DF248D8">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19.巨额赎回：</w:t>
      </w:r>
      <w:r>
        <w:rPr>
          <w:rFonts w:hint="eastAsia" w:ascii="仿宋_GB2312" w:hAnsi="宋体" w:cs="宋体"/>
          <w:bCs/>
          <w:color w:val="auto"/>
          <w:kern w:val="0"/>
          <w:szCs w:val="24"/>
          <w:highlight w:val="none"/>
        </w:rPr>
        <w:t>指</w:t>
      </w:r>
      <w:r>
        <w:rPr>
          <w:rFonts w:ascii="仿宋_GB2312" w:hAnsi="宋体" w:cs="宋体"/>
          <w:bCs/>
          <w:color w:val="auto"/>
          <w:kern w:val="0"/>
          <w:szCs w:val="24"/>
          <w:highlight w:val="none"/>
        </w:rPr>
        <w:t>在理财产品存续期内，单个开放日内产品净赎回申请</w:t>
      </w:r>
      <w:r>
        <w:rPr>
          <w:rFonts w:hint="eastAsia" w:ascii="仿宋_GB2312" w:hAnsi="宋体" w:cs="宋体"/>
          <w:bCs/>
          <w:color w:val="auto"/>
          <w:kern w:val="0"/>
          <w:szCs w:val="24"/>
          <w:highlight w:val="none"/>
        </w:rPr>
        <w:t>（</w:t>
      </w:r>
      <w:r>
        <w:rPr>
          <w:rFonts w:ascii="仿宋_GB2312" w:hAnsi="宋体" w:cs="宋体"/>
          <w:bCs/>
          <w:color w:val="auto"/>
          <w:kern w:val="0"/>
          <w:szCs w:val="24"/>
          <w:highlight w:val="none"/>
        </w:rPr>
        <w:t>赎回</w:t>
      </w:r>
      <w:r>
        <w:rPr>
          <w:rFonts w:hint="eastAsia" w:ascii="仿宋_GB2312" w:hAnsi="宋体" w:cs="宋体"/>
          <w:bCs/>
          <w:color w:val="auto"/>
          <w:kern w:val="0"/>
          <w:szCs w:val="24"/>
          <w:highlight w:val="none"/>
        </w:rPr>
        <w:t>申请总份额扣除申购总份额后的余额</w:t>
      </w:r>
      <w:r>
        <w:rPr>
          <w:rFonts w:ascii="仿宋_GB2312" w:hAnsi="宋体" w:cs="宋体"/>
          <w:bCs/>
          <w:color w:val="auto"/>
          <w:kern w:val="0"/>
          <w:szCs w:val="24"/>
          <w:highlight w:val="none"/>
        </w:rPr>
        <w:t>,下同）</w:t>
      </w:r>
      <w:r>
        <w:rPr>
          <w:rFonts w:hint="eastAsia" w:ascii="仿宋_GB2312" w:hAnsi="宋体" w:cs="宋体"/>
          <w:bCs/>
          <w:color w:val="auto"/>
          <w:kern w:val="0"/>
          <w:szCs w:val="24"/>
          <w:highlight w:val="none"/>
        </w:rPr>
        <w:t>超过前一日终理财产品总份额的</w:t>
      </w:r>
      <w:r>
        <w:rPr>
          <w:rFonts w:ascii="仿宋_GB2312" w:hAnsi="宋体" w:cs="宋体"/>
          <w:bCs/>
          <w:color w:val="auto"/>
          <w:kern w:val="0"/>
          <w:szCs w:val="24"/>
          <w:highlight w:val="none"/>
        </w:rPr>
        <w:t>10</w:t>
      </w:r>
      <w:r>
        <w:rPr>
          <w:rFonts w:hint="eastAsia" w:ascii="仿宋_GB2312" w:hAnsi="宋体" w:cs="宋体"/>
          <w:bCs/>
          <w:color w:val="auto"/>
          <w:kern w:val="0"/>
          <w:szCs w:val="24"/>
          <w:highlight w:val="none"/>
        </w:rPr>
        <w:t>％的赎回行为，国家金融监督管理总局另有规定的除外。</w:t>
      </w:r>
    </w:p>
    <w:p w14:paraId="4B8870BD">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20.流动性受限资产：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14:paraId="3B64D3A1">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21.7个工作日可变现资产：包括可在交易所、银行间市场正常交易的股票、债券、非金融企业债务融资工具、期货及期权合约以及同业存单，7个工作日内到期或可支取的买入返售、银行存款，7个工作日内能够确认收到的各类应收款项等。</w:t>
      </w:r>
    </w:p>
    <w:p w14:paraId="4246121D">
      <w:pPr>
        <w:numPr>
          <w:ilvl w:val="0"/>
          <w:numId w:val="0"/>
        </w:num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lang w:val="en-US" w:eastAsia="zh-CN"/>
        </w:rPr>
        <w:t>22.</w:t>
      </w:r>
      <w:r>
        <w:rPr>
          <w:rFonts w:hint="eastAsia" w:ascii="仿宋_GB2312" w:hAnsi="宋体" w:cs="宋体"/>
          <w:bCs/>
          <w:color w:val="auto"/>
          <w:kern w:val="0"/>
          <w:szCs w:val="24"/>
          <w:highlight w:val="none"/>
        </w:rPr>
        <w:t>摆动定价机制：指当开放式公募理财产品遭遇大额认/申购或赎回时，通过调整理财产品份额净值的方式，将理财产品调整投资组合的市场冲击成本分配给实际认/申购、赎回的投资者，从而减少对存量理财产品份额持有人利益的不利影响，确保投资者的合法权益不受损害并得到公平对待。</w:t>
      </w:r>
    </w:p>
    <w:p w14:paraId="63687A82">
      <w:pPr>
        <w:keepNext w:val="0"/>
        <w:keepLines w:val="0"/>
        <w:widowControl/>
        <w:numPr>
          <w:ilvl w:val="0"/>
          <w:numId w:val="0"/>
        </w:numPr>
        <w:suppressLineNumbers w:val="0"/>
        <w:tabs>
          <w:tab w:val="left" w:pos="709"/>
        </w:tabs>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u w:val="none"/>
          <w:lang w:val="en-US" w:eastAsia="zh-CN"/>
        </w:rPr>
        <w:t>23.</w:t>
      </w:r>
      <w:r>
        <w:rPr>
          <w:rFonts w:hint="eastAsia" w:ascii="仿宋_GB2312" w:hAnsi="宋体" w:eastAsia="仿宋_GB2312" w:cs="宋体"/>
          <w:b w:val="0"/>
          <w:bCs/>
          <w:color w:val="auto"/>
          <w:kern w:val="0"/>
          <w:sz w:val="24"/>
          <w:szCs w:val="24"/>
          <w:highlight w:val="none"/>
          <w:u w:val="none"/>
          <w:lang w:val="en-US" w:eastAsia="zh-CN" w:bidi="ar"/>
        </w:rPr>
        <w:t>短期赎回费机制：</w:t>
      </w:r>
      <w:r>
        <w:rPr>
          <w:rFonts w:hint="eastAsia" w:ascii="仿宋_GB2312" w:hAnsi="宋体" w:eastAsia="仿宋_GB2312" w:cs="宋体"/>
          <w:bCs/>
          <w:color w:val="auto"/>
          <w:kern w:val="0"/>
          <w:sz w:val="24"/>
          <w:szCs w:val="24"/>
          <w:highlight w:val="none"/>
          <w:u w:val="none"/>
          <w:lang w:val="en-US" w:eastAsia="zh-CN" w:bidi="ar"/>
        </w:rPr>
        <w:t>指当理财计划发生巨额赎回或管理人认为可能导致理财计划流动性风险的其他情形下，理财计划管理人可临时性收取短期赎回费以应对流动性风险事件，并将上述产生费用全额计入理财计划</w:t>
      </w:r>
      <w:r>
        <w:rPr>
          <w:rFonts w:hint="eastAsia" w:ascii="仿宋_GB2312" w:hAnsi="宋体" w:cs="宋体"/>
          <w:bCs/>
          <w:color w:val="auto"/>
          <w:kern w:val="0"/>
          <w:sz w:val="24"/>
          <w:szCs w:val="24"/>
          <w:highlight w:val="none"/>
          <w:u w:val="none"/>
          <w:lang w:val="en-US" w:eastAsia="zh-CN" w:bidi="ar"/>
        </w:rPr>
        <w:t>财产。</w:t>
      </w:r>
      <w:r>
        <w:rPr>
          <w:rFonts w:hint="eastAsia" w:ascii="仿宋_GB2312" w:hAnsi="宋体" w:eastAsia="仿宋_GB2312" w:cs="宋体"/>
          <w:bCs/>
          <w:color w:val="auto"/>
          <w:kern w:val="0"/>
          <w:sz w:val="24"/>
          <w:szCs w:val="24"/>
          <w:highlight w:val="none"/>
          <w:u w:val="none"/>
          <w:lang w:val="en-US" w:eastAsia="zh-CN" w:bidi="ar"/>
        </w:rPr>
        <w:t>在此情形下，投资者在提交赎回申请时，实际赎回金额可能少于按照赎回申请当日理财产品份额净值计算出的赎回金额。</w:t>
      </w:r>
    </w:p>
    <w:p w14:paraId="621F2C6C">
      <w:pPr>
        <w:pStyle w:val="3"/>
        <w:numPr>
          <w:ilvl w:val="1"/>
          <w:numId w:val="13"/>
        </w:numPr>
        <w:tabs>
          <w:tab w:val="left" w:pos="0"/>
          <w:tab w:val="left" w:pos="3261"/>
        </w:tabs>
        <w:bidi w:val="0"/>
        <w:ind w:left="3261" w:leftChars="0" w:hanging="2785" w:firstLineChars="0"/>
        <w:rPr>
          <w:rFonts w:hint="eastAsia"/>
          <w:color w:val="auto"/>
          <w:highlight w:val="none"/>
        </w:rPr>
      </w:pPr>
      <w:r>
        <w:rPr>
          <w:rFonts w:hint="eastAsia"/>
          <w:color w:val="auto"/>
          <w:highlight w:val="none"/>
        </w:rPr>
        <w:t xml:space="preserve">期间与日期 </w:t>
      </w:r>
    </w:p>
    <w:p w14:paraId="4343668F">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1.日：指自然日。</w:t>
      </w:r>
    </w:p>
    <w:p w14:paraId="28F3BC5B">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 xml:space="preserve">2.交易日：指证券交易所的正常开盘交易日。 </w:t>
      </w:r>
    </w:p>
    <w:p w14:paraId="275503BF">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 xml:space="preserve">3.工作日：指国家法定工作日。 </w:t>
      </w:r>
    </w:p>
    <w:p w14:paraId="4487EAC9">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4.成立日：指达到《产品说明书》约定的成立条件后本产品开始运作的日期。</w:t>
      </w:r>
    </w:p>
    <w:p w14:paraId="5955894C">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5.到期日/终止日：指本产品终止的日期，包括理财产品正常到期之日、提前终止之日及延期终止之日。根据《产品说明书》</w:t>
      </w:r>
      <w:r>
        <w:rPr>
          <w:rFonts w:hint="eastAsia" w:ascii="仿宋_GB2312" w:hAnsi="宋体" w:cs="宋体"/>
          <w:b w:val="0"/>
          <w:bCs/>
          <w:color w:val="auto"/>
          <w:kern w:val="0"/>
          <w:szCs w:val="24"/>
          <w:highlight w:val="none"/>
        </w:rPr>
        <w:t>的约定，本产品</w:t>
      </w:r>
      <w:r>
        <w:rPr>
          <w:rFonts w:hint="eastAsia" w:ascii="宋体" w:hAnsi="宋体"/>
          <w:b w:val="0"/>
          <w:bCs/>
          <w:color w:val="auto"/>
          <w:szCs w:val="24"/>
          <w:highlight w:val="none"/>
        </w:rPr>
        <w:t>无固定</w:t>
      </w:r>
      <w:r>
        <w:rPr>
          <w:rFonts w:hint="eastAsia" w:ascii="宋体" w:hAnsi="宋体"/>
          <w:b w:val="0"/>
          <w:bCs/>
          <w:color w:val="auto"/>
          <w:szCs w:val="24"/>
          <w:highlight w:val="none"/>
          <w:lang w:eastAsia="zh-CN"/>
        </w:rPr>
        <w:t>期限</w:t>
      </w:r>
      <w:r>
        <w:rPr>
          <w:rFonts w:hint="eastAsia" w:ascii="仿宋_GB2312" w:hAnsi="宋体" w:cs="宋体"/>
          <w:b w:val="0"/>
          <w:bCs/>
          <w:color w:val="auto"/>
          <w:kern w:val="0"/>
          <w:szCs w:val="24"/>
          <w:highlight w:val="none"/>
        </w:rPr>
        <w:t>，但管</w:t>
      </w:r>
      <w:r>
        <w:rPr>
          <w:rFonts w:hint="eastAsia" w:ascii="仿宋_GB2312" w:hAnsi="宋体" w:cs="宋体"/>
          <w:bCs/>
          <w:color w:val="auto"/>
          <w:kern w:val="0"/>
          <w:szCs w:val="24"/>
          <w:highlight w:val="none"/>
        </w:rPr>
        <w:t>理人有权在发生终止事件时终止该理财产品。如管理人终止理财产品，将通过约定方式向投资者进行信息披露。</w:t>
      </w:r>
    </w:p>
    <w:p w14:paraId="005BD2A6">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分配基准日</w:t>
      </w:r>
      <w:r>
        <w:rPr>
          <w:rFonts w:hint="eastAsia" w:ascii="仿宋_GB2312" w:hAnsi="宋体" w:cs="宋体"/>
          <w:bCs/>
          <w:color w:val="auto"/>
          <w:kern w:val="0"/>
          <w:szCs w:val="24"/>
          <w:highlight w:val="none"/>
          <w:u w:val="none"/>
          <w:lang w:val="en-US" w:eastAsia="zh-CN"/>
        </w:rPr>
        <w:t>/</w:t>
      </w:r>
      <w:r>
        <w:rPr>
          <w:rFonts w:hint="eastAsia" w:ascii="仿宋_GB2312" w:hAnsi="宋体" w:cs="宋体"/>
          <w:bCs/>
          <w:color w:val="auto"/>
          <w:kern w:val="0"/>
          <w:szCs w:val="24"/>
          <w:highlight w:val="none"/>
          <w:u w:val="none"/>
        </w:rPr>
        <w:t>分配基准日：指本产品管理人以该日日终产品份额净值计算并确定可供分配的投资期间理财</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的日期。</w:t>
      </w:r>
    </w:p>
    <w:p w14:paraId="6FD2678D">
      <w:pPr>
        <w:tabs>
          <w:tab w:val="left" w:pos="709"/>
        </w:tabs>
        <w:snapToGrid w:val="0"/>
        <w:spacing w:line="360" w:lineRule="auto"/>
        <w:ind w:firstLine="420" w:firstLineChars="200"/>
        <w:rPr>
          <w:rFonts w:hint="eastAsia" w:ascii="仿宋_GB2312" w:hAnsi="宋体" w:eastAsia="仿宋_GB2312" w:cs="宋体"/>
          <w:bCs/>
          <w:color w:val="auto"/>
          <w:kern w:val="0"/>
          <w:szCs w:val="24"/>
          <w:highlight w:val="none"/>
          <w:u w:val="none"/>
          <w:lang w:eastAsia="zh-CN"/>
        </w:rPr>
      </w:pPr>
      <w:r>
        <w:rPr>
          <w:rFonts w:hint="eastAsia" w:ascii="仿宋_GB2312" w:hAnsi="宋体" w:cs="宋体"/>
          <w:bCs/>
          <w:color w:val="auto"/>
          <w:kern w:val="0"/>
          <w:szCs w:val="24"/>
          <w:highlight w:val="none"/>
          <w:u w:val="none"/>
          <w:lang w:val="en-US" w:eastAsia="zh-CN"/>
        </w:rPr>
        <w:t>7.</w:t>
      </w:r>
      <w:r>
        <w:rPr>
          <w:rFonts w:hint="eastAsia" w:ascii="仿宋_GB2312" w:hAnsi="宋体" w:cs="宋体"/>
          <w:bCs/>
          <w:color w:val="auto"/>
          <w:kern w:val="0"/>
          <w:szCs w:val="24"/>
          <w:highlight w:val="none"/>
          <w:u w:val="none"/>
        </w:rPr>
        <w:t>除权日</w:t>
      </w:r>
      <w:r>
        <w:rPr>
          <w:rFonts w:hint="eastAsia" w:ascii="仿宋_GB2312" w:hAnsi="宋体" w:cs="宋体"/>
          <w:bCs/>
          <w:color w:val="auto"/>
          <w:kern w:val="0"/>
          <w:szCs w:val="24"/>
          <w:highlight w:val="none"/>
          <w:u w:val="none"/>
          <w:lang w:eastAsia="zh-CN"/>
        </w:rPr>
        <w:t>：指本产品的份额净值扣除收益分配金额的日期。</w:t>
      </w:r>
    </w:p>
    <w:p w14:paraId="5F271039">
      <w:pPr>
        <w:tabs>
          <w:tab w:val="left" w:pos="709"/>
        </w:tabs>
        <w:snapToGrid w:val="0"/>
        <w:spacing w:line="360" w:lineRule="auto"/>
        <w:ind w:firstLine="420" w:firstLineChars="200"/>
        <w:rPr>
          <w:rFonts w:hint="eastAsia" w:ascii="仿宋_GB2312" w:hAnsi="宋体" w:eastAsia="仿宋_GB2312" w:cs="宋体"/>
          <w:bCs/>
          <w:color w:val="auto"/>
          <w:kern w:val="0"/>
          <w:szCs w:val="24"/>
          <w:highlight w:val="none"/>
          <w:u w:val="none"/>
          <w:lang w:eastAsia="zh-CN"/>
        </w:rPr>
      </w:pPr>
      <w:r>
        <w:rPr>
          <w:rFonts w:hint="eastAsia" w:ascii="仿宋_GB2312" w:hAnsi="宋体" w:cs="宋体"/>
          <w:bCs/>
          <w:color w:val="auto"/>
          <w:kern w:val="0"/>
          <w:szCs w:val="24"/>
          <w:highlight w:val="none"/>
          <w:u w:val="none"/>
          <w:lang w:val="en-US" w:eastAsia="zh-CN"/>
        </w:rPr>
        <w:t>8.</w:t>
      </w:r>
      <w:r>
        <w:rPr>
          <w:rFonts w:hint="eastAsia" w:ascii="仿宋_GB2312" w:hAnsi="宋体" w:cs="宋体"/>
          <w:bCs/>
          <w:color w:val="auto"/>
          <w:kern w:val="0"/>
          <w:szCs w:val="24"/>
          <w:highlight w:val="none"/>
          <w:u w:val="none"/>
          <w:lang w:eastAsia="zh-CN"/>
        </w:rPr>
        <w:t>权益登记日：指本产品理财产品收益分配时，权益登记日登记在册的理财产品份额持有人为分配对象。</w:t>
      </w:r>
    </w:p>
    <w:p w14:paraId="5F6DDB13">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lang w:val="en-US" w:eastAsia="zh-CN"/>
        </w:rPr>
        <w:t>9</w:t>
      </w:r>
      <w:r>
        <w:rPr>
          <w:rFonts w:hint="eastAsia" w:ascii="仿宋_GB2312" w:hAnsi="宋体" w:cs="宋体"/>
          <w:bCs/>
          <w:color w:val="auto"/>
          <w:kern w:val="0"/>
          <w:szCs w:val="24"/>
          <w:highlight w:val="none"/>
        </w:rPr>
        <w:t>.分配日：指产品管理人向投资者进行理财产品</w:t>
      </w:r>
      <w:r>
        <w:rPr>
          <w:rFonts w:hint="eastAsia" w:ascii="仿宋_GB2312" w:hAnsi="宋体" w:cs="宋体"/>
          <w:bCs/>
          <w:color w:val="auto"/>
          <w:kern w:val="0"/>
          <w:szCs w:val="24"/>
          <w:highlight w:val="none"/>
          <w:lang w:eastAsia="zh-CN"/>
        </w:rPr>
        <w:t>收益</w:t>
      </w:r>
      <w:r>
        <w:rPr>
          <w:rFonts w:hint="eastAsia" w:ascii="仿宋_GB2312" w:hAnsi="宋体" w:cs="宋体"/>
          <w:bCs/>
          <w:color w:val="auto"/>
          <w:kern w:val="0"/>
          <w:szCs w:val="24"/>
          <w:highlight w:val="none"/>
        </w:rPr>
        <w:t>分配的日期。</w:t>
      </w:r>
    </w:p>
    <w:p w14:paraId="44A5306F">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8.募集期/认购期：指理财产品成立前，理财产品管理人接受理财产品认购的时间。但在该期间内如认购人提交认购申请的认购份额提前达到《产品说明书》所载的发行规模上限的，管理人有权选择认购期提前结束并停止接受认购申请。该情形下，产品成立日维持《产品说明书》的约定，保持不变。</w:t>
      </w:r>
    </w:p>
    <w:p w14:paraId="4FE7C276">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9.持有期：指自产品成立日/申购确认日起，投资者持有该产品份额的期间。</w:t>
      </w:r>
    </w:p>
    <w:p w14:paraId="4AC4CB62">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10.最短</w:t>
      </w:r>
      <w:r>
        <w:rPr>
          <w:rFonts w:ascii="仿宋_GB2312" w:hAnsi="宋体" w:cs="宋体"/>
          <w:bCs/>
          <w:color w:val="auto"/>
          <w:kern w:val="0"/>
          <w:szCs w:val="24"/>
          <w:highlight w:val="none"/>
        </w:rPr>
        <w:t>持有期：</w:t>
      </w:r>
      <w:r>
        <w:rPr>
          <w:rFonts w:hint="eastAsia" w:ascii="仿宋_GB2312" w:hAnsi="宋体" w:cs="宋体"/>
          <w:bCs/>
          <w:color w:val="auto"/>
          <w:kern w:val="0"/>
          <w:szCs w:val="24"/>
          <w:highlight w:val="none"/>
        </w:rPr>
        <w:t>指自产品成立日/申购确认日起，投资者持有的产品份额被锁定持有的最短期间。在最短持有期内，投资者不能提出赎回申请，最短持有期届满后，投资者可赎回该等份额。</w:t>
      </w:r>
    </w:p>
    <w:p w14:paraId="73EB1FDA">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w:t>
      </w:r>
      <w:r>
        <w:rPr>
          <w:rFonts w:ascii="仿宋_GB2312" w:hAnsi="宋体" w:cs="宋体"/>
          <w:bCs/>
          <w:color w:val="auto"/>
          <w:kern w:val="0"/>
          <w:szCs w:val="24"/>
          <w:highlight w:val="none"/>
        </w:rPr>
        <w:t>1.</w:t>
      </w:r>
      <w:r>
        <w:rPr>
          <w:rFonts w:hint="eastAsia" w:ascii="仿宋_GB2312" w:hAnsi="宋体" w:cs="宋体"/>
          <w:bCs/>
          <w:color w:val="auto"/>
          <w:kern w:val="0"/>
          <w:szCs w:val="24"/>
          <w:highlight w:val="none"/>
        </w:rPr>
        <w:t>投资周期：投资周期指投资者持有理财产品份额所对应的理财资金由产品管理人进行</w:t>
      </w:r>
      <w:r>
        <w:rPr>
          <w:rFonts w:hint="eastAsia" w:ascii="仿宋_GB2312" w:hAnsi="宋体" w:cs="宋体"/>
          <w:bCs/>
          <w:color w:val="auto"/>
          <w:kern w:val="0"/>
          <w:szCs w:val="24"/>
          <w:highlight w:val="none"/>
          <w:lang w:eastAsia="zh-CN"/>
        </w:rPr>
        <w:t>最短</w:t>
      </w:r>
      <w:r>
        <w:rPr>
          <w:rFonts w:hint="eastAsia" w:ascii="仿宋_GB2312" w:hAnsi="宋体" w:cs="宋体"/>
          <w:bCs/>
          <w:color w:val="auto"/>
          <w:kern w:val="0"/>
          <w:szCs w:val="24"/>
          <w:highlight w:val="none"/>
        </w:rPr>
        <w:t>投资运作的一段完整期间，每一个投资周期为该投资周期起始日至该投资周期终止日的理财期间。</w:t>
      </w:r>
    </w:p>
    <w:p w14:paraId="779BC61A">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投资周期起始日：指每一个投资周期开始的日期。</w:t>
      </w:r>
    </w:p>
    <w:p w14:paraId="428BF194">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投资周期终止日：指每一个投资周期结束的日期。</w:t>
      </w:r>
    </w:p>
    <w:p w14:paraId="06EE2691">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w:t>
      </w:r>
      <w:r>
        <w:rPr>
          <w:rFonts w:ascii="仿宋_GB2312" w:hAnsi="宋体" w:cs="宋体"/>
          <w:bCs/>
          <w:color w:val="auto"/>
          <w:kern w:val="0"/>
          <w:szCs w:val="24"/>
          <w:highlight w:val="none"/>
        </w:rPr>
        <w:t>2</w:t>
      </w:r>
      <w:r>
        <w:rPr>
          <w:rFonts w:hint="eastAsia" w:ascii="仿宋_GB2312" w:hAnsi="宋体" w:cs="宋体"/>
          <w:bCs/>
          <w:color w:val="auto"/>
          <w:kern w:val="0"/>
          <w:szCs w:val="24"/>
          <w:highlight w:val="none"/>
        </w:rPr>
        <w:t>.产品存续期：指自理财产品成立日起，至理财产品终止日的期间。</w:t>
      </w:r>
    </w:p>
    <w:p w14:paraId="5200DA9E">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w:t>
      </w:r>
      <w:r>
        <w:rPr>
          <w:rFonts w:ascii="仿宋_GB2312" w:hAnsi="宋体" w:cs="宋体"/>
          <w:bCs/>
          <w:color w:val="auto"/>
          <w:kern w:val="0"/>
          <w:szCs w:val="24"/>
          <w:highlight w:val="none"/>
        </w:rPr>
        <w:t>3</w:t>
      </w:r>
      <w:r>
        <w:rPr>
          <w:rFonts w:hint="eastAsia" w:ascii="仿宋_GB2312" w:hAnsi="宋体" w:cs="宋体"/>
          <w:bCs/>
          <w:color w:val="auto"/>
          <w:kern w:val="0"/>
          <w:szCs w:val="24"/>
          <w:highlight w:val="none"/>
        </w:rPr>
        <w:t>.清算期：指自本理财产品终止日至投资者理财</w:t>
      </w:r>
      <w:r>
        <w:rPr>
          <w:rFonts w:hint="eastAsia" w:ascii="仿宋_GB2312" w:hAnsi="宋体" w:cs="宋体"/>
          <w:bCs/>
          <w:color w:val="auto"/>
          <w:kern w:val="0"/>
          <w:szCs w:val="24"/>
          <w:highlight w:val="none"/>
          <w:lang w:eastAsia="zh-CN"/>
        </w:rPr>
        <w:t>收益</w:t>
      </w:r>
      <w:r>
        <w:rPr>
          <w:rFonts w:hint="eastAsia" w:ascii="仿宋_GB2312" w:hAnsi="宋体" w:cs="宋体"/>
          <w:bCs/>
          <w:color w:val="auto"/>
          <w:kern w:val="0"/>
          <w:szCs w:val="24"/>
          <w:highlight w:val="none"/>
        </w:rPr>
        <w:t>到账日之间的期间。</w:t>
      </w:r>
    </w:p>
    <w:p w14:paraId="20242398">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w:t>
      </w:r>
      <w:r>
        <w:rPr>
          <w:rFonts w:hint="eastAsia" w:ascii="仿宋_GB2312" w:hAnsi="宋体" w:cs="宋体"/>
          <w:bCs/>
          <w:color w:val="auto"/>
          <w:kern w:val="0"/>
          <w:szCs w:val="24"/>
          <w:highlight w:val="none"/>
          <w:lang w:val="en-US" w:eastAsia="zh-CN"/>
        </w:rPr>
        <w:t>4</w:t>
      </w:r>
      <w:r>
        <w:rPr>
          <w:rFonts w:hint="eastAsia" w:ascii="仿宋_GB2312" w:hAnsi="宋体" w:cs="宋体"/>
          <w:bCs/>
          <w:color w:val="auto"/>
          <w:kern w:val="0"/>
          <w:szCs w:val="24"/>
          <w:highlight w:val="none"/>
        </w:rPr>
        <w:t>.申购期：指管理人接受投资者提交申购申请的期间。</w:t>
      </w:r>
    </w:p>
    <w:p w14:paraId="70916E43">
      <w:pPr>
        <w:tabs>
          <w:tab w:val="left" w:pos="709"/>
        </w:tabs>
        <w:snapToGrid w:val="0"/>
        <w:spacing w:line="360" w:lineRule="auto"/>
        <w:ind w:firstLine="420" w:firstLineChars="200"/>
        <w:rPr>
          <w:rFonts w:hint="default" w:ascii="仿宋_GB2312" w:hAnsi="宋体" w:eastAsia="仿宋_GB2312" w:cs="宋体"/>
          <w:bCs/>
          <w:color w:val="auto"/>
          <w:kern w:val="0"/>
          <w:szCs w:val="24"/>
          <w:highlight w:val="none"/>
          <w:lang w:val="en-US" w:eastAsia="zh-CN"/>
        </w:rPr>
      </w:pPr>
      <w:r>
        <w:rPr>
          <w:rFonts w:hint="eastAsia" w:ascii="仿宋_GB2312" w:hAnsi="宋体" w:cs="宋体"/>
          <w:bCs/>
          <w:color w:val="auto"/>
          <w:kern w:val="0"/>
          <w:szCs w:val="24"/>
          <w:highlight w:val="none"/>
          <w:lang w:val="en-US" w:eastAsia="zh-CN"/>
        </w:rPr>
        <w:t>15</w:t>
      </w:r>
      <w:r>
        <w:rPr>
          <w:rFonts w:hint="eastAsia" w:ascii="仿宋_GB2312" w:hAnsi="宋体" w:cs="宋体"/>
          <w:bCs/>
          <w:color w:val="auto"/>
          <w:kern w:val="0"/>
          <w:szCs w:val="24"/>
          <w:highlight w:val="none"/>
        </w:rPr>
        <w:t>.</w:t>
      </w:r>
      <w:r>
        <w:rPr>
          <w:rFonts w:hint="eastAsia" w:ascii="仿宋_GB2312" w:hAnsi="宋体" w:cs="宋体"/>
          <w:bCs/>
          <w:color w:val="auto"/>
          <w:kern w:val="0"/>
          <w:szCs w:val="24"/>
          <w:highlight w:val="none"/>
          <w:lang w:eastAsia="zh-CN"/>
        </w:rPr>
        <w:t>开</w:t>
      </w:r>
      <w:r>
        <w:rPr>
          <w:rFonts w:hint="eastAsia" w:ascii="仿宋_GB2312" w:hAnsi="宋体" w:cs="宋体"/>
          <w:bCs/>
          <w:color w:val="auto"/>
          <w:kern w:val="0"/>
          <w:szCs w:val="24"/>
          <w:highlight w:val="none"/>
        </w:rPr>
        <w:t>放期：指管理人接受投资者提交申购、赎回申请的期间。</w:t>
      </w:r>
    </w:p>
    <w:p w14:paraId="79F1F55A">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w:t>
      </w:r>
      <w:r>
        <w:rPr>
          <w:rFonts w:hint="eastAsia" w:ascii="仿宋_GB2312" w:hAnsi="宋体" w:cs="宋体"/>
          <w:bCs/>
          <w:color w:val="auto"/>
          <w:kern w:val="0"/>
          <w:szCs w:val="24"/>
          <w:highlight w:val="none"/>
          <w:lang w:val="en-US" w:eastAsia="zh-CN"/>
        </w:rPr>
        <w:t>6</w:t>
      </w:r>
      <w:r>
        <w:rPr>
          <w:rFonts w:hint="eastAsia" w:ascii="仿宋_GB2312" w:hAnsi="宋体" w:cs="宋体"/>
          <w:bCs/>
          <w:color w:val="auto"/>
          <w:kern w:val="0"/>
          <w:szCs w:val="24"/>
          <w:highlight w:val="none"/>
        </w:rPr>
        <w:t>.</w:t>
      </w:r>
      <w:r>
        <w:rPr>
          <w:rFonts w:hint="eastAsia" w:ascii="仿宋_GB2312" w:hAnsi="宋体" w:cs="宋体"/>
          <w:bCs/>
          <w:color w:val="auto"/>
          <w:kern w:val="0"/>
          <w:szCs w:val="24"/>
          <w:highlight w:val="none"/>
          <w:lang w:eastAsia="zh-CN"/>
        </w:rPr>
        <w:t>申购</w:t>
      </w:r>
      <w:r>
        <w:rPr>
          <w:rFonts w:hint="eastAsia" w:ascii="仿宋_GB2312" w:hAnsi="宋体" w:cs="宋体"/>
          <w:bCs/>
          <w:color w:val="auto"/>
          <w:kern w:val="0"/>
          <w:szCs w:val="24"/>
          <w:highlight w:val="none"/>
        </w:rPr>
        <w:t>日：指本理财产品</w:t>
      </w:r>
      <w:r>
        <w:rPr>
          <w:rFonts w:hint="eastAsia" w:ascii="仿宋_GB2312" w:hAnsi="宋体" w:cs="宋体"/>
          <w:bCs/>
          <w:color w:val="auto"/>
          <w:kern w:val="0"/>
          <w:szCs w:val="24"/>
          <w:highlight w:val="none"/>
          <w:lang w:eastAsia="zh-CN"/>
        </w:rPr>
        <w:t>申购</w:t>
      </w:r>
      <w:r>
        <w:rPr>
          <w:rFonts w:hint="eastAsia" w:ascii="仿宋_GB2312" w:hAnsi="宋体" w:cs="宋体"/>
          <w:bCs/>
          <w:color w:val="auto"/>
          <w:kern w:val="0"/>
          <w:szCs w:val="24"/>
          <w:highlight w:val="none"/>
        </w:rPr>
        <w:t>期的最后一个</w:t>
      </w:r>
      <w:r>
        <w:rPr>
          <w:rFonts w:hint="eastAsia" w:ascii="仿宋_GB2312" w:hAnsi="宋体" w:cs="宋体"/>
          <w:bCs/>
          <w:color w:val="auto"/>
          <w:kern w:val="0"/>
          <w:szCs w:val="24"/>
          <w:highlight w:val="yellow"/>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工作日</w:t>
      </w:r>
      <w:r>
        <w:rPr>
          <w:rFonts w:ascii="仿宋_GB2312" w:hAnsi="宋体" w:cs="宋体"/>
          <w:bCs/>
          <w:color w:val="auto"/>
          <w:kern w:val="0"/>
          <w:szCs w:val="24"/>
          <w:highlight w:val="yellow"/>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交易日】</w:t>
      </w:r>
      <w:r>
        <w:rPr>
          <w:rFonts w:hint="eastAsia" w:ascii="仿宋_GB2312" w:hAnsi="宋体" w:cs="宋体"/>
          <w:bCs/>
          <w:color w:val="auto"/>
          <w:kern w:val="0"/>
          <w:szCs w:val="24"/>
          <w:highlight w:val="none"/>
        </w:rPr>
        <w:t>为理财产品</w:t>
      </w:r>
      <w:r>
        <w:rPr>
          <w:rFonts w:hint="eastAsia" w:ascii="仿宋_GB2312" w:hAnsi="宋体" w:cs="宋体"/>
          <w:bCs/>
          <w:color w:val="auto"/>
          <w:kern w:val="0"/>
          <w:szCs w:val="24"/>
          <w:highlight w:val="none"/>
          <w:lang w:eastAsia="zh-CN"/>
        </w:rPr>
        <w:t>申购</w:t>
      </w:r>
      <w:r>
        <w:rPr>
          <w:rFonts w:hint="eastAsia" w:ascii="仿宋_GB2312" w:hAnsi="宋体" w:cs="宋体"/>
          <w:bCs/>
          <w:color w:val="auto"/>
          <w:kern w:val="0"/>
          <w:szCs w:val="24"/>
          <w:highlight w:val="none"/>
        </w:rPr>
        <w:t>日。</w:t>
      </w:r>
    </w:p>
    <w:p w14:paraId="5209EAB4">
      <w:pPr>
        <w:tabs>
          <w:tab w:val="left" w:pos="709"/>
        </w:tabs>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w:t>
      </w:r>
      <w:r>
        <w:rPr>
          <w:rFonts w:hint="eastAsia" w:ascii="仿宋_GB2312" w:hAnsi="宋体" w:cs="宋体"/>
          <w:bCs/>
          <w:color w:val="auto"/>
          <w:kern w:val="0"/>
          <w:szCs w:val="24"/>
          <w:highlight w:val="none"/>
          <w:lang w:val="en-US" w:eastAsia="zh-CN"/>
        </w:rPr>
        <w:t>7</w:t>
      </w:r>
      <w:r>
        <w:rPr>
          <w:rFonts w:hint="eastAsia" w:ascii="仿宋_GB2312" w:hAnsi="宋体" w:cs="宋体"/>
          <w:bCs/>
          <w:color w:val="auto"/>
          <w:kern w:val="0"/>
          <w:szCs w:val="24"/>
          <w:highlight w:val="none"/>
        </w:rPr>
        <w:t>.开放日：指本理财产品开放期的最后一个</w:t>
      </w:r>
      <w:r>
        <w:rPr>
          <w:rFonts w:hint="eastAsia" w:ascii="仿宋_GB2312" w:hAnsi="宋体" w:cs="宋体"/>
          <w:bCs/>
          <w:color w:val="auto"/>
          <w:kern w:val="0"/>
          <w:szCs w:val="24"/>
          <w:highlight w:val="yellow"/>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工作日</w:t>
      </w:r>
      <w:r>
        <w:rPr>
          <w:rFonts w:ascii="仿宋_GB2312" w:hAnsi="宋体" w:cs="宋体"/>
          <w:bCs/>
          <w:color w:val="auto"/>
          <w:kern w:val="0"/>
          <w:szCs w:val="24"/>
          <w:highlight w:val="yellow"/>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交易日】</w:t>
      </w:r>
      <w:r>
        <w:rPr>
          <w:rFonts w:hint="eastAsia" w:ascii="仿宋_GB2312" w:hAnsi="宋体" w:cs="宋体"/>
          <w:bCs/>
          <w:color w:val="auto"/>
          <w:kern w:val="0"/>
          <w:szCs w:val="24"/>
          <w:highlight w:val="none"/>
        </w:rPr>
        <w:t>为理财产品开放日。</w:t>
      </w:r>
    </w:p>
    <w:p w14:paraId="79C019A1">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w:t>
      </w:r>
      <w:r>
        <w:rPr>
          <w:rFonts w:hint="eastAsia" w:ascii="仿宋_GB2312" w:hAnsi="宋体" w:cs="宋体"/>
          <w:bCs/>
          <w:color w:val="auto"/>
          <w:kern w:val="0"/>
          <w:szCs w:val="24"/>
          <w:highlight w:val="none"/>
          <w:lang w:val="en-US" w:eastAsia="zh-CN"/>
        </w:rPr>
        <w:t>8</w:t>
      </w:r>
      <w:r>
        <w:rPr>
          <w:rFonts w:hint="eastAsia" w:ascii="仿宋_GB2312" w:hAnsi="宋体" w:cs="宋体"/>
          <w:bCs/>
          <w:color w:val="auto"/>
          <w:kern w:val="0"/>
          <w:szCs w:val="24"/>
          <w:highlight w:val="none"/>
        </w:rPr>
        <w:t>.申购/</w:t>
      </w:r>
      <w:r>
        <w:rPr>
          <w:rFonts w:hint="eastAsia" w:ascii="仿宋_GB2312" w:hAnsi="宋体" w:cs="宋体"/>
          <w:bCs/>
          <w:color w:val="auto"/>
          <w:kern w:val="0"/>
          <w:szCs w:val="24"/>
          <w:highlight w:val="none"/>
          <w:lang w:eastAsia="zh-CN"/>
        </w:rPr>
        <w:t>开放</w:t>
      </w:r>
      <w:r>
        <w:rPr>
          <w:rFonts w:hint="eastAsia" w:ascii="仿宋_GB2312" w:hAnsi="宋体" w:cs="宋体"/>
          <w:bCs/>
          <w:color w:val="auto"/>
          <w:kern w:val="0"/>
          <w:szCs w:val="24"/>
          <w:highlight w:val="none"/>
        </w:rPr>
        <w:t>确认日：指投资者提交申购、赎回申请后，管理人对申购、赎回申请进行确认的日期。</w:t>
      </w:r>
    </w:p>
    <w:p w14:paraId="0D9648FA">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w:t>
      </w:r>
      <w:r>
        <w:rPr>
          <w:rFonts w:hint="eastAsia" w:ascii="仿宋_GB2312" w:hAnsi="宋体" w:cs="宋体"/>
          <w:bCs/>
          <w:color w:val="auto"/>
          <w:kern w:val="0"/>
          <w:szCs w:val="24"/>
          <w:highlight w:val="none"/>
          <w:lang w:val="en-US" w:eastAsia="zh-CN"/>
        </w:rPr>
        <w:t>9</w:t>
      </w:r>
      <w:r>
        <w:rPr>
          <w:rFonts w:hint="eastAsia" w:ascii="仿宋_GB2312" w:hAnsi="宋体" w:cs="宋体"/>
          <w:bCs/>
          <w:color w:val="auto"/>
          <w:kern w:val="0"/>
          <w:szCs w:val="24"/>
          <w:highlight w:val="none"/>
        </w:rPr>
        <w:t>.T日：指某一事件或行为发生的当日。</w:t>
      </w:r>
    </w:p>
    <w:p w14:paraId="2A6C21E4">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lang w:val="en-US" w:eastAsia="zh-CN"/>
        </w:rPr>
        <w:t>20</w:t>
      </w:r>
      <w:r>
        <w:rPr>
          <w:rFonts w:hint="eastAsia" w:ascii="仿宋_GB2312" w:hAnsi="宋体" w:cs="宋体"/>
          <w:bCs/>
          <w:color w:val="auto"/>
          <w:kern w:val="0"/>
          <w:szCs w:val="24"/>
          <w:highlight w:val="none"/>
        </w:rPr>
        <w:t>.T+n日：指T日后（不包括T日）的第n个</w:t>
      </w:r>
      <w:r>
        <w:rPr>
          <w:rFonts w:hint="eastAsia" w:ascii="仿宋_GB2312" w:hAnsi="宋体" w:cs="宋体"/>
          <w:bCs/>
          <w:color w:val="auto"/>
          <w:kern w:val="0"/>
          <w:szCs w:val="24"/>
          <w:highlight w:val="yellow"/>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工作日</w:t>
      </w:r>
      <w:r>
        <w:rPr>
          <w:rFonts w:ascii="仿宋_GB2312" w:hAnsi="宋体" w:cs="宋体"/>
          <w:bCs/>
          <w:color w:val="auto"/>
          <w:kern w:val="0"/>
          <w:szCs w:val="24"/>
          <w:highlight w:val="yellow"/>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交易日】</w:t>
      </w:r>
      <w:r>
        <w:rPr>
          <w:rFonts w:hint="eastAsia" w:ascii="仿宋_GB2312" w:hAnsi="宋体" w:cs="宋体"/>
          <w:bCs/>
          <w:color w:val="auto"/>
          <w:kern w:val="0"/>
          <w:szCs w:val="24"/>
          <w:highlight w:val="none"/>
        </w:rPr>
        <w:t>。</w:t>
      </w:r>
    </w:p>
    <w:p w14:paraId="209D9484">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lang w:val="en-US" w:eastAsia="zh-CN"/>
        </w:rPr>
        <w:t>21</w:t>
      </w:r>
      <w:r>
        <w:rPr>
          <w:rFonts w:hint="eastAsia" w:ascii="仿宋_GB2312" w:hAnsi="宋体" w:cs="宋体"/>
          <w:bCs/>
          <w:color w:val="auto"/>
          <w:kern w:val="0"/>
          <w:szCs w:val="24"/>
          <w:highlight w:val="none"/>
        </w:rPr>
        <w:t>.T-n日：指T前（不包括T日）的第n个</w:t>
      </w:r>
      <w:r>
        <w:rPr>
          <w:rFonts w:hint="eastAsia" w:ascii="仿宋_GB2312" w:hAnsi="宋体" w:cs="宋体"/>
          <w:bCs/>
          <w:color w:val="auto"/>
          <w:kern w:val="0"/>
          <w:szCs w:val="24"/>
          <w:highlight w:val="yellow"/>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工作日</w:t>
      </w:r>
      <w:r>
        <w:rPr>
          <w:rFonts w:ascii="仿宋_GB2312" w:hAnsi="宋体" w:cs="宋体"/>
          <w:bCs/>
          <w:color w:val="auto"/>
          <w:kern w:val="0"/>
          <w:szCs w:val="24"/>
          <w:highlight w:val="yellow"/>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交易日】</w:t>
      </w:r>
      <w:r>
        <w:rPr>
          <w:rFonts w:hint="eastAsia" w:ascii="仿宋_GB2312" w:hAnsi="宋体" w:cs="宋体"/>
          <w:bCs/>
          <w:color w:val="auto"/>
          <w:kern w:val="0"/>
          <w:szCs w:val="24"/>
          <w:highlight w:val="none"/>
        </w:rPr>
        <w:t>。</w:t>
      </w:r>
    </w:p>
    <w:p w14:paraId="374395D7">
      <w:pPr>
        <w:pStyle w:val="3"/>
        <w:numPr>
          <w:ilvl w:val="1"/>
          <w:numId w:val="13"/>
        </w:numPr>
        <w:tabs>
          <w:tab w:val="left" w:pos="0"/>
          <w:tab w:val="left" w:pos="3261"/>
        </w:tabs>
        <w:bidi w:val="0"/>
        <w:ind w:left="3261" w:leftChars="0" w:hanging="2785" w:firstLineChars="0"/>
        <w:rPr>
          <w:rFonts w:hint="eastAsia"/>
          <w:color w:val="auto"/>
          <w:highlight w:val="none"/>
        </w:rPr>
      </w:pPr>
      <w:r>
        <w:rPr>
          <w:rFonts w:hint="eastAsia"/>
          <w:color w:val="auto"/>
          <w:highlight w:val="none"/>
        </w:rPr>
        <w:t>费用</w:t>
      </w:r>
    </w:p>
    <w:p w14:paraId="43513A5D">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1.认购费：指投资者认购产品时需缴纳的费用。</w:t>
      </w:r>
    </w:p>
    <w:p w14:paraId="05713123">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2.申购费：指投资者申购产品时需缴纳的费用。</w:t>
      </w:r>
    </w:p>
    <w:p w14:paraId="7E4260FE">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3.赎回费：指投资者赎回产品时需缴纳的费用。</w:t>
      </w:r>
    </w:p>
    <w:p w14:paraId="3D606C40">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4.销售服务费：指因理财产品销售行为产生，销售机构所收取的费用。</w:t>
      </w:r>
    </w:p>
    <w:p w14:paraId="272F8924">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w:t>
      </w:r>
      <w:r>
        <w:rPr>
          <w:rFonts w:hint="eastAsia" w:ascii="仿宋_GB2312" w:hAnsi="宋体" w:cs="宋体"/>
          <w:bCs/>
          <w:color w:val="auto"/>
          <w:kern w:val="0"/>
          <w:szCs w:val="24"/>
          <w:highlight w:val="none"/>
          <w:u w:val="none"/>
          <w:lang w:eastAsia="zh-CN"/>
        </w:rPr>
        <w:t>固定</w:t>
      </w:r>
      <w:r>
        <w:rPr>
          <w:rFonts w:hint="eastAsia" w:ascii="仿宋_GB2312" w:hAnsi="宋体" w:cs="宋体"/>
          <w:bCs/>
          <w:color w:val="auto"/>
          <w:kern w:val="0"/>
          <w:szCs w:val="24"/>
          <w:highlight w:val="none"/>
          <w:u w:val="none"/>
        </w:rPr>
        <w:t>管理费：指因理财产品投资管理产生，管理人所收取的费用。</w:t>
      </w:r>
    </w:p>
    <w:p w14:paraId="224EC521">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6.托管费：指因理财产品进行托管产生，托管人收取的费用。</w:t>
      </w:r>
    </w:p>
    <w:p w14:paraId="218C833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7.</w:t>
      </w:r>
      <w:r>
        <w:rPr>
          <w:rFonts w:hint="eastAsia" w:ascii="仿宋_GB2312" w:hAnsi="宋体" w:cs="宋体"/>
          <w:bCs/>
          <w:color w:val="auto"/>
          <w:kern w:val="0"/>
          <w:szCs w:val="24"/>
          <w:highlight w:val="none"/>
          <w:u w:val="none"/>
          <w:lang w:eastAsia="zh-CN"/>
        </w:rPr>
        <w:t>浮动管理费</w:t>
      </w:r>
      <w:r>
        <w:rPr>
          <w:rFonts w:hint="eastAsia" w:ascii="仿宋_GB2312" w:hAnsi="宋体" w:cs="宋体"/>
          <w:bCs/>
          <w:color w:val="auto"/>
          <w:kern w:val="0"/>
          <w:szCs w:val="24"/>
          <w:highlight w:val="none"/>
          <w:u w:val="none"/>
        </w:rPr>
        <w:t>：指产品管理人依照理财产品销售文件约定规则收取的浮动性质的管理费用。</w:t>
      </w:r>
    </w:p>
    <w:p w14:paraId="17C08EAF">
      <w:pPr>
        <w:tabs>
          <w:tab w:val="left" w:pos="709"/>
        </w:tabs>
        <w:snapToGrid w:val="0"/>
        <w:spacing w:line="360" w:lineRule="auto"/>
        <w:ind w:firstLine="420" w:firstLineChars="200"/>
        <w:rPr>
          <w:color w:val="auto"/>
          <w:highlight w:val="none"/>
          <w:u w:val="none"/>
        </w:rPr>
      </w:pPr>
      <w:r>
        <w:rPr>
          <w:rFonts w:hint="eastAsia" w:ascii="仿宋_GB2312" w:hAnsi="宋体" w:cs="宋体"/>
          <w:bCs/>
          <w:color w:val="auto"/>
          <w:kern w:val="0"/>
          <w:szCs w:val="24"/>
          <w:highlight w:val="none"/>
          <w:u w:val="none"/>
        </w:rPr>
        <w:t>8.其他费用（如有）：</w:t>
      </w:r>
      <w:r>
        <w:rPr>
          <w:rFonts w:hint="eastAsia"/>
          <w:color w:val="auto"/>
          <w:highlight w:val="none"/>
          <w:u w:val="none"/>
        </w:rPr>
        <w:t>与理财</w:t>
      </w:r>
      <w:r>
        <w:rPr>
          <w:color w:val="auto"/>
          <w:highlight w:val="none"/>
          <w:u w:val="none"/>
        </w:rPr>
        <w:t>产品相关的</w:t>
      </w:r>
      <w:r>
        <w:rPr>
          <w:rFonts w:hint="eastAsia"/>
          <w:color w:val="auto"/>
          <w:highlight w:val="none"/>
          <w:u w:val="none"/>
        </w:rPr>
        <w:t>账户服务费用、资产服务费用、交易费用（包括但不限于交易佣金、撮合费用等）、注册登记费、验资费、审计费、信息披露费</w:t>
      </w:r>
      <w:r>
        <w:rPr>
          <w:rFonts w:hint="eastAsia"/>
          <w:color w:val="auto"/>
          <w:highlight w:val="none"/>
          <w:u w:val="none"/>
          <w:lang w:eastAsia="zh-CN"/>
        </w:rPr>
        <w:t>、</w:t>
      </w:r>
      <w:r>
        <w:rPr>
          <w:rFonts w:hint="eastAsia"/>
          <w:color w:val="auto"/>
          <w:highlight w:val="yellow"/>
          <w:u w:val="none"/>
          <w:lang w:eastAsia="zh-CN"/>
        </w:rPr>
        <w:t>【信息服务费用】</w:t>
      </w:r>
      <w:r>
        <w:rPr>
          <w:rFonts w:hint="eastAsia"/>
          <w:color w:val="auto"/>
          <w:highlight w:val="none"/>
          <w:u w:val="none"/>
          <w:lang w:eastAsia="zh-CN"/>
        </w:rPr>
        <w:t>、</w:t>
      </w:r>
      <w:r>
        <w:rPr>
          <w:rFonts w:hint="eastAsia"/>
          <w:color w:val="auto"/>
          <w:highlight w:val="none"/>
          <w:u w:val="none"/>
        </w:rPr>
        <w:t>清算费用、执行费用（包括但不限于律师费、诉讼费、仲裁费、公证费、保全费、执行费等）以及按照法律法规、监管规定和理财产品销售文件约定可以列入的其他费用，具体以实际发生为准。</w:t>
      </w:r>
    </w:p>
    <w:p w14:paraId="5F3888C9">
      <w:pPr>
        <w:tabs>
          <w:tab w:val="left" w:pos="709"/>
        </w:tabs>
        <w:snapToGrid w:val="0"/>
        <w:spacing w:line="360" w:lineRule="auto"/>
        <w:ind w:firstLine="422" w:firstLineChars="200"/>
        <w:rPr>
          <w:rFonts w:ascii="仿宋_GB2312" w:hAnsi="宋体" w:cs="宋体"/>
          <w:bCs/>
          <w:color w:val="auto"/>
          <w:kern w:val="0"/>
          <w:szCs w:val="24"/>
          <w:highlight w:val="none"/>
          <w:u w:val="none"/>
        </w:rPr>
      </w:pPr>
      <w:r>
        <w:rPr>
          <w:rFonts w:hint="eastAsia" w:ascii="仿宋_GB2312" w:hAnsi="宋体" w:cs="宋体"/>
          <w:b/>
          <w:bCs/>
          <w:color w:val="auto"/>
          <w:kern w:val="0"/>
          <w:szCs w:val="24"/>
          <w:highlight w:val="none"/>
          <w:u w:val="none"/>
        </w:rPr>
        <w:t>（六）其他</w:t>
      </w:r>
      <w:r>
        <w:rPr>
          <w:rFonts w:hint="eastAsia" w:ascii="仿宋_GB2312" w:hAnsi="宋体" w:cs="宋体"/>
          <w:bCs/>
          <w:color w:val="auto"/>
          <w:kern w:val="0"/>
          <w:szCs w:val="24"/>
          <w:highlight w:val="none"/>
          <w:u w:val="none"/>
        </w:rPr>
        <w:t xml:space="preserve"> </w:t>
      </w:r>
    </w:p>
    <w:p w14:paraId="7DA93729">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1.不可抗力：指理财产品各方不能预见、不能避免且不能克服的客观情况，该事件妨碍、影响或延误任何一方依相关理财产品销售文件履行其全部或部分义务。该事件包括但不限于：</w:t>
      </w:r>
    </w:p>
    <w:p w14:paraId="2C92C01A">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A、地震、台风、海啸、洪水、火灾、停电、瘟疫；</w:t>
      </w:r>
    </w:p>
    <w:p w14:paraId="716DFAD9">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B、战争、政变、恐怖主义行动、骚乱、罢工；</w:t>
      </w:r>
    </w:p>
    <w:p w14:paraId="1154BC14">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C、新的适用法律或国家政策的颁布或实施、对原适用法律或国家政策的修改；</w:t>
      </w:r>
    </w:p>
    <w:p w14:paraId="3F285A6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D、金融管理部门强制要求终止理财产品（该等强制要求不可归咎于任何一方）；</w:t>
      </w:r>
    </w:p>
    <w:p w14:paraId="24A87970">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E、因理财产品各方和/或其关联方运营网络系统遭受黑客攻击、电信部门技术调整或故障等原因而造成的理财产品各方和/或其关联方之服务、营业的中断或者延迟。</w:t>
      </w:r>
    </w:p>
    <w:p w14:paraId="71725169">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2.元：指人民币元。 </w:t>
      </w:r>
    </w:p>
    <w:p w14:paraId="43FE76C8">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适用法律：指在理财产品销售文件签署日和履行过程中，适用中华人民共和国法律（为本协议之目的，在此不包括香港、澳门特别行政区和台湾地区的法律），包括中国任何立法机构、政府部门、银行业理财登记托管中心、银行间交易商协会、证券交易所、证券登记结算机构、相关行业协会依法颁布的，适用于本理财产品相关事宜的法律、行政法规、地方法规、部委规章、地方政府规章、规范性文件、规则、通知、须知、业务指南、指引或操作规程，及其有效的修改、更新或补充。</w:t>
      </w:r>
    </w:p>
    <w:p w14:paraId="165D00F0">
      <w:pPr>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br w:type="page"/>
      </w:r>
    </w:p>
    <w:p w14:paraId="5257D135">
      <w:pPr>
        <w:pStyle w:val="2"/>
        <w:numPr>
          <w:ilvl w:val="0"/>
          <w:numId w:val="13"/>
        </w:numPr>
        <w:bidi w:val="0"/>
        <w:ind w:left="0" w:leftChars="0" w:firstLine="0" w:firstLineChars="0"/>
        <w:rPr>
          <w:color w:val="auto"/>
          <w:highlight w:val="none"/>
        </w:rPr>
      </w:pPr>
      <w:r>
        <w:rPr>
          <w:rFonts w:hint="eastAsia"/>
          <w:color w:val="auto"/>
          <w:highlight w:val="none"/>
        </w:rPr>
        <w:t>理财产品的认购与成立</w:t>
      </w:r>
    </w:p>
    <w:p w14:paraId="040C2F6E">
      <w:pPr>
        <w:pStyle w:val="3"/>
        <w:numPr>
          <w:ilvl w:val="1"/>
          <w:numId w:val="13"/>
        </w:numPr>
        <w:tabs>
          <w:tab w:val="left" w:pos="0"/>
          <w:tab w:val="left" w:pos="3261"/>
        </w:tabs>
        <w:bidi w:val="0"/>
        <w:ind w:left="3261" w:leftChars="0" w:hanging="2785" w:firstLineChars="0"/>
        <w:rPr>
          <w:rFonts w:hint="eastAsia"/>
          <w:color w:val="auto"/>
          <w:highlight w:val="none"/>
        </w:rPr>
      </w:pPr>
      <w:r>
        <w:rPr>
          <w:rFonts w:hint="eastAsia"/>
          <w:color w:val="auto"/>
          <w:highlight w:val="none"/>
        </w:rPr>
        <w:t>参与主体及主要职责</w:t>
      </w:r>
    </w:p>
    <w:p w14:paraId="5A2B7E3B">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1.</w:t>
      </w:r>
      <w:r>
        <w:rPr>
          <w:rFonts w:hint="eastAsia" w:ascii="仿宋_GB2312" w:hAnsi="宋体" w:cs="宋体"/>
          <w:bCs/>
          <w:color w:val="auto"/>
          <w:kern w:val="0"/>
          <w:szCs w:val="24"/>
          <w:highlight w:val="none"/>
        </w:rPr>
        <w:t>产品管理人</w:t>
      </w:r>
    </w:p>
    <w:p w14:paraId="1EE49F06">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名称：浙银理财有限责任公司</w:t>
      </w:r>
    </w:p>
    <w:p w14:paraId="143DF662">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注册地：浙江省杭州市萧山区宁围街道民和路939号浙江商会大厦2幢20-22楼</w:t>
      </w:r>
    </w:p>
    <w:p w14:paraId="3ED6FEFC">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浙银理财负责本产品的投资运作和产品管理，</w:t>
      </w:r>
      <w:r>
        <w:rPr>
          <w:rFonts w:hint="eastAsia" w:ascii="仿宋_GB2312" w:hAnsi="宋体" w:cs="宋体"/>
          <w:b/>
          <w:color w:val="auto"/>
          <w:kern w:val="0"/>
          <w:szCs w:val="24"/>
          <w:highlight w:val="none"/>
        </w:rPr>
        <w:t>投资者在此授权并同意浙银理财享有以下权利</w:t>
      </w:r>
      <w:r>
        <w:rPr>
          <w:rFonts w:hint="eastAsia" w:ascii="仿宋_GB2312" w:hAnsi="宋体" w:cs="宋体"/>
          <w:bCs/>
          <w:color w:val="auto"/>
          <w:kern w:val="0"/>
          <w:szCs w:val="24"/>
          <w:highlight w:val="none"/>
        </w:rPr>
        <w:t>：</w:t>
      </w:r>
    </w:p>
    <w:p w14:paraId="3949B8C5">
      <w:pPr>
        <w:widowControl/>
        <w:numPr>
          <w:ilvl w:val="0"/>
          <w:numId w:val="8"/>
        </w:numPr>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按照本产品销售文件的约定，管理、运用和处分理财产品资金；</w:t>
      </w:r>
    </w:p>
    <w:p w14:paraId="2AE1B7E9">
      <w:pPr>
        <w:widowControl/>
        <w:numPr>
          <w:ilvl w:val="0"/>
          <w:numId w:val="8"/>
        </w:numPr>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按照本产品销售文件的约定，及时、足额获得管理费和本产品说明书约定的其他费用（如有）；</w:t>
      </w:r>
    </w:p>
    <w:p w14:paraId="40C3614B">
      <w:pPr>
        <w:widowControl/>
        <w:numPr>
          <w:ilvl w:val="0"/>
          <w:numId w:val="8"/>
        </w:numPr>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管理人以其固有财产先行垫付因处理本产品相关事务所支出的理财产品费用及税费的，对理财产品资金享有优先受偿权；</w:t>
      </w:r>
    </w:p>
    <w:p w14:paraId="3725C897">
      <w:pPr>
        <w:widowControl/>
        <w:numPr>
          <w:ilvl w:val="0"/>
          <w:numId w:val="8"/>
        </w:numPr>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管理人有权根据本产品销售文件的约定提前终止或延长本理财产品的期限；</w:t>
      </w:r>
    </w:p>
    <w:p w14:paraId="63F64BEF">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（5）管理人有权单方调整本产品的发行规模上限、认/申购起点金额、投资者累计认/申购上限、赎回上限等要素；</w:t>
      </w:r>
    </w:p>
    <w:p w14:paraId="024A4B8B">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（6）管理人有权按照法律法规和监管机构的要求将投资者的信息向有权部门或相关机构披露；</w:t>
      </w:r>
    </w:p>
    <w:p w14:paraId="70156695">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（7）以理财产品管理人的名义，依照法律法规相关规定以及为理财产品的利益，对被投资的各类资产行使出资人/投资者权利（包括但不限于表决投票的权利）；</w:t>
      </w:r>
    </w:p>
    <w:p w14:paraId="75D93398">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8）以理财产品管理人的名义，依照法律法规相关规定以及代表理财产品份额持有人的利益代为行使追索的权利（包括但不限于提起诉讼/仲裁、申请保全/执行的权利）或者实施其他风险处置、行使、放弃、变更相关权利义务的法律行为；</w:t>
      </w:r>
    </w:p>
    <w:p w14:paraId="09E1083C">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（9）法律法规、监管政策及本产品销售文件约定的其他权利。</w:t>
      </w:r>
    </w:p>
    <w:p w14:paraId="41784BB1">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2.产品托管机构</w:t>
      </w:r>
    </w:p>
    <w:p w14:paraId="063389C6">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lang w:eastAsia="zh-CN"/>
        </w:rPr>
      </w:pPr>
      <w:r>
        <w:rPr>
          <w:rFonts w:hint="eastAsia" w:ascii="仿宋_GB2312" w:hAnsi="宋体" w:cs="宋体"/>
          <w:bCs/>
          <w:color w:val="auto"/>
          <w:kern w:val="0"/>
          <w:szCs w:val="24"/>
        </w:rPr>
        <w:t>名称：</w:t>
      </w:r>
      <w:r>
        <w:rPr>
          <w:rFonts w:hint="eastAsia" w:ascii="仿宋_GB2312" w:hAnsi="宋体" w:cs="宋体"/>
          <w:bCs/>
          <w:color w:val="auto"/>
          <w:kern w:val="0"/>
          <w:szCs w:val="24"/>
          <w:highlight w:val="yellow"/>
          <w:lang w:eastAsia="zh-CN"/>
        </w:rPr>
        <w:t>【】</w:t>
      </w:r>
    </w:p>
    <w:p w14:paraId="7B013FD8">
      <w:pPr>
        <w:widowControl/>
        <w:tabs>
          <w:tab w:val="left" w:pos="709"/>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注册地：</w:t>
      </w:r>
      <w:r>
        <w:rPr>
          <w:rFonts w:hint="eastAsia" w:ascii="仿宋_GB2312" w:hAnsi="宋体" w:cs="宋体"/>
          <w:bCs/>
          <w:color w:val="auto"/>
          <w:kern w:val="0"/>
          <w:szCs w:val="24"/>
          <w:highlight w:val="yellow"/>
          <w:lang w:eastAsia="zh-CN"/>
        </w:rPr>
        <w:t>【】</w:t>
      </w:r>
    </w:p>
    <w:p w14:paraId="46CAC24D">
      <w:pPr>
        <w:widowControl/>
        <w:tabs>
          <w:tab w:val="left" w:pos="709"/>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客户服务热线：</w:t>
      </w:r>
      <w:r>
        <w:rPr>
          <w:rFonts w:hint="eastAsia" w:ascii="仿宋_GB2312" w:hAnsi="宋体" w:cs="宋体"/>
          <w:bCs/>
          <w:color w:val="auto"/>
          <w:kern w:val="0"/>
          <w:szCs w:val="24"/>
          <w:highlight w:val="yellow"/>
          <w:lang w:eastAsia="zh-CN"/>
        </w:rPr>
        <w:t>【】</w:t>
      </w:r>
    </w:p>
    <w:p w14:paraId="434FBF5A">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托管机构主要职责：提供包括账户开立、资金保管、资金清算、估值核算、投资监督等理财产品托管服务。</w:t>
      </w:r>
    </w:p>
    <w:p w14:paraId="54BFEE28">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产品管理人为理财产品资金管理之目的，以本产品的名义在托管人处单独开立资金账户，理财产品资金的一切收支活动，包括但不限于划付对外投资资金、缴纳理财产品税费、接收理财产品回收资金、支付理财产品费用，均必须通过该账户进行。</w:t>
      </w:r>
    </w:p>
    <w:p w14:paraId="1B8EE797">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3.</w:t>
      </w:r>
      <w:r>
        <w:rPr>
          <w:rFonts w:hint="eastAsia" w:ascii="仿宋_GB2312" w:hAnsi="宋体" w:cs="宋体"/>
          <w:bCs/>
          <w:color w:val="auto"/>
          <w:kern w:val="0"/>
          <w:szCs w:val="24"/>
          <w:highlight w:val="none"/>
        </w:rPr>
        <w:t>产品销售机构</w:t>
      </w:r>
    </w:p>
    <w:p w14:paraId="1BEAFCC5">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名称：</w:t>
      </w:r>
      <w:r>
        <w:rPr>
          <w:rFonts w:hint="eastAsia" w:ascii="仿宋_GB2312" w:hAnsi="宋体" w:cs="宋体"/>
          <w:bCs/>
          <w:color w:val="auto"/>
          <w:kern w:val="0"/>
          <w:szCs w:val="24"/>
          <w:highlight w:val="yellow"/>
          <w:lang w:eastAsia="zh-CN"/>
        </w:rPr>
        <w:t>【】</w:t>
      </w:r>
    </w:p>
    <w:p w14:paraId="7C3C2015">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注册地：</w:t>
      </w:r>
      <w:r>
        <w:rPr>
          <w:rFonts w:hint="eastAsia" w:ascii="仿宋_GB2312" w:hAnsi="宋体" w:cs="宋体"/>
          <w:bCs/>
          <w:color w:val="auto"/>
          <w:kern w:val="0"/>
          <w:szCs w:val="24"/>
          <w:highlight w:val="yellow"/>
          <w:lang w:eastAsia="zh-CN"/>
        </w:rPr>
        <w:t>【】</w:t>
      </w:r>
    </w:p>
    <w:p w14:paraId="7AE6AA7E">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客户服务热线：</w:t>
      </w:r>
      <w:r>
        <w:rPr>
          <w:rFonts w:hint="eastAsia" w:ascii="仿宋_GB2312" w:hAnsi="宋体" w:cs="宋体"/>
          <w:bCs/>
          <w:color w:val="auto"/>
          <w:kern w:val="0"/>
          <w:szCs w:val="24"/>
          <w:highlight w:val="yellow"/>
          <w:lang w:eastAsia="zh-CN"/>
        </w:rPr>
        <w:t>【】</w:t>
      </w:r>
    </w:p>
    <w:p w14:paraId="57E79547">
      <w:pPr>
        <w:widowControl/>
        <w:tabs>
          <w:tab w:val="left" w:pos="709"/>
        </w:tabs>
        <w:adjustRightInd w:val="0"/>
        <w:snapToGrid w:val="0"/>
        <w:spacing w:line="360" w:lineRule="auto"/>
        <w:ind w:firstLine="420" w:firstLineChars="200"/>
        <w:rPr>
          <w:rFonts w:hint="eastAsia" w:ascii="仿宋_GB2312" w:hAnsi="宋体" w:cs="宋体"/>
          <w:b/>
          <w:bCs/>
          <w:color w:val="auto"/>
          <w:kern w:val="0"/>
          <w:szCs w:val="24"/>
          <w:highlight w:val="none"/>
        </w:rPr>
      </w:pPr>
      <w:r>
        <w:rPr>
          <w:rFonts w:hint="eastAsia" w:ascii="仿宋_GB2312" w:hAnsi="宋体" w:cs="宋体"/>
          <w:bCs/>
          <w:color w:val="auto"/>
          <w:kern w:val="0"/>
          <w:szCs w:val="24"/>
          <w:highlight w:val="none"/>
        </w:rPr>
        <w:t>本产品的认购将通过销售机构的</w:t>
      </w:r>
      <w:r>
        <w:rPr>
          <w:rFonts w:ascii="仿宋_GB2312" w:hAnsi="宋体" w:cs="宋体"/>
          <w:bCs/>
          <w:color w:val="auto"/>
          <w:kern w:val="0"/>
          <w:szCs w:val="24"/>
          <w:highlight w:val="none"/>
        </w:rPr>
        <w:t>销售渠道</w:t>
      </w:r>
      <w:r>
        <w:rPr>
          <w:rFonts w:hint="eastAsia" w:ascii="仿宋_GB2312" w:hAnsi="宋体" w:cs="宋体"/>
          <w:bCs/>
          <w:color w:val="auto"/>
          <w:kern w:val="0"/>
          <w:szCs w:val="24"/>
          <w:highlight w:val="none"/>
        </w:rPr>
        <w:t>进行（</w:t>
      </w:r>
      <w:r>
        <w:rPr>
          <w:rFonts w:ascii="仿宋_GB2312" w:hAnsi="宋体" w:cs="宋体"/>
          <w:bCs/>
          <w:color w:val="auto"/>
          <w:kern w:val="0"/>
          <w:szCs w:val="24"/>
          <w:highlight w:val="none"/>
        </w:rPr>
        <w:t>具体以销售机构提供的方式为准)。本产品销售机构包括但不限于</w:t>
      </w:r>
      <w:r>
        <w:rPr>
          <w:rFonts w:hint="eastAsia" w:ascii="仿宋_GB2312" w:hAnsi="宋体" w:cs="宋体"/>
          <w:bCs/>
          <w:color w:val="auto"/>
          <w:kern w:val="0"/>
          <w:szCs w:val="24"/>
          <w:highlight w:val="yellow"/>
        </w:rPr>
        <w:t>【】</w:t>
      </w:r>
      <w:r>
        <w:rPr>
          <w:rFonts w:hint="eastAsia" w:ascii="仿宋_GB2312" w:hAnsi="宋体" w:cs="宋体"/>
          <w:bCs/>
          <w:color w:val="auto"/>
          <w:kern w:val="0"/>
          <w:szCs w:val="24"/>
          <w:highlight w:val="none"/>
        </w:rPr>
        <w:t>等机构，如有</w:t>
      </w:r>
      <w:r>
        <w:rPr>
          <w:rFonts w:ascii="仿宋_GB2312" w:hAnsi="宋体" w:cs="宋体"/>
          <w:bCs/>
          <w:color w:val="auto"/>
          <w:kern w:val="0"/>
          <w:szCs w:val="24"/>
          <w:highlight w:val="none"/>
        </w:rPr>
        <w:t>变更以管理人</w:t>
      </w:r>
      <w:r>
        <w:rPr>
          <w:rFonts w:hint="eastAsia" w:ascii="仿宋_GB2312" w:hAnsi="宋体" w:cs="宋体"/>
          <w:bCs/>
          <w:color w:val="auto"/>
          <w:kern w:val="0"/>
          <w:szCs w:val="24"/>
          <w:highlight w:val="none"/>
        </w:rPr>
        <w:t>信息披露为准。</w:t>
      </w:r>
    </w:p>
    <w:p w14:paraId="478FCD7A">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销售</w:t>
      </w:r>
      <w:r>
        <w:rPr>
          <w:rFonts w:ascii="仿宋_GB2312" w:hAnsi="宋体" w:cs="宋体"/>
          <w:bCs/>
          <w:color w:val="auto"/>
          <w:kern w:val="0"/>
          <w:szCs w:val="24"/>
          <w:highlight w:val="none"/>
        </w:rPr>
        <w:t>机构</w:t>
      </w:r>
      <w:r>
        <w:rPr>
          <w:rFonts w:hint="eastAsia" w:ascii="仿宋_GB2312" w:hAnsi="宋体" w:cs="宋体"/>
          <w:bCs/>
          <w:color w:val="auto"/>
          <w:kern w:val="0"/>
          <w:szCs w:val="24"/>
          <w:highlight w:val="none"/>
        </w:rPr>
        <w:t>主要职责：理财产品宣传推介；为</w:t>
      </w:r>
      <w:r>
        <w:rPr>
          <w:rFonts w:ascii="仿宋_GB2312" w:hAnsi="宋体" w:cs="宋体"/>
          <w:bCs/>
          <w:color w:val="auto"/>
          <w:kern w:val="0"/>
          <w:szCs w:val="24"/>
          <w:highlight w:val="none"/>
        </w:rPr>
        <w:t>投资者办理</w:t>
      </w:r>
      <w:r>
        <w:rPr>
          <w:rFonts w:hint="eastAsia" w:ascii="仿宋_GB2312" w:hAnsi="宋体" w:cs="宋体"/>
          <w:bCs/>
          <w:color w:val="auto"/>
          <w:kern w:val="0"/>
          <w:szCs w:val="24"/>
          <w:highlight w:val="none"/>
        </w:rPr>
        <w:t>理财产品份额认购</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申购</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赎回服务；投资者风险承受能力评估和投资者适当性管理；</w:t>
      </w:r>
      <w:r>
        <w:rPr>
          <w:rFonts w:hint="eastAsia" w:ascii="仿宋_GB2312"/>
          <w:color w:val="auto"/>
          <w:highlight w:val="none"/>
        </w:rPr>
        <w:t>反洗钱、反恐怖融资、反扩散融资及非居民金融账户涉税信息尽职调查等</w:t>
      </w:r>
      <w:r>
        <w:rPr>
          <w:rFonts w:ascii="仿宋_GB2312"/>
          <w:color w:val="auto"/>
          <w:highlight w:val="none"/>
        </w:rPr>
        <w:t>；</w:t>
      </w:r>
      <w:r>
        <w:rPr>
          <w:rFonts w:hint="eastAsia" w:ascii="仿宋_GB2312"/>
          <w:color w:val="auto"/>
          <w:highlight w:val="none"/>
        </w:rPr>
        <w:t>协助投资者与管理人沟通</w:t>
      </w:r>
      <w:r>
        <w:rPr>
          <w:rFonts w:hint="eastAsia" w:ascii="仿宋_GB2312" w:hAnsi="宋体" w:cs="宋体"/>
          <w:bCs/>
          <w:color w:val="auto"/>
          <w:kern w:val="0"/>
          <w:szCs w:val="24"/>
          <w:highlight w:val="none"/>
        </w:rPr>
        <w:t>和客户维护等销售服务；国务院银行业监督管理机构规定的其他职责。</w:t>
      </w:r>
    </w:p>
    <w:p w14:paraId="34491315">
      <w:pPr>
        <w:widowControl/>
        <w:tabs>
          <w:tab w:val="left" w:pos="709"/>
        </w:tabs>
        <w:adjustRightInd w:val="0"/>
        <w:snapToGrid w:val="0"/>
        <w:spacing w:line="360" w:lineRule="auto"/>
        <w:ind w:firstLine="422" w:firstLineChars="200"/>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★重要</w:t>
      </w:r>
      <w:r>
        <w:rPr>
          <w:rFonts w:ascii="仿宋_GB2312" w:hAnsi="宋体" w:cs="宋体"/>
          <w:b/>
          <w:bCs/>
          <w:color w:val="auto"/>
          <w:kern w:val="0"/>
          <w:szCs w:val="24"/>
          <w:highlight w:val="none"/>
        </w:rPr>
        <w:t>提示：</w:t>
      </w:r>
      <w:r>
        <w:rPr>
          <w:rFonts w:hint="eastAsia" w:ascii="仿宋_GB2312" w:hAnsi="宋体" w:cs="宋体"/>
          <w:b/>
          <w:bCs/>
          <w:color w:val="auto"/>
          <w:kern w:val="0"/>
          <w:szCs w:val="24"/>
          <w:highlight w:val="none"/>
        </w:rPr>
        <w:t>浙银理财委托托管机构托管理财产品或委托销售机构销售理财产品的，可能涉及委托浙商银行股份有限公司（以下简称“浙商银行”）担任理财产品的托管机构或销售机构。浙银理财是浙商银行控股的子公司，双方存在关联关系。如浙银理财委托浙商银行托管或销售本理财产品，将严格</w:t>
      </w:r>
      <w:r>
        <w:rPr>
          <w:rFonts w:ascii="仿宋_GB2312" w:hAnsi="宋体" w:cs="宋体"/>
          <w:b/>
          <w:bCs/>
          <w:color w:val="auto"/>
          <w:kern w:val="0"/>
          <w:szCs w:val="24"/>
          <w:highlight w:val="none"/>
        </w:rPr>
        <w:t>履行</w:t>
      </w:r>
      <w:r>
        <w:rPr>
          <w:rFonts w:hint="eastAsia" w:ascii="仿宋_GB2312" w:hAnsi="宋体" w:cs="宋体"/>
          <w:b/>
          <w:bCs/>
          <w:color w:val="auto"/>
          <w:kern w:val="0"/>
          <w:szCs w:val="24"/>
          <w:highlight w:val="none"/>
        </w:rPr>
        <w:t>现行法律</w:t>
      </w:r>
      <w:r>
        <w:rPr>
          <w:rFonts w:ascii="仿宋_GB2312" w:hAnsi="宋体" w:cs="宋体"/>
          <w:b/>
          <w:bCs/>
          <w:color w:val="auto"/>
          <w:kern w:val="0"/>
          <w:szCs w:val="24"/>
          <w:highlight w:val="none"/>
        </w:rPr>
        <w:t>法规和</w:t>
      </w:r>
      <w:r>
        <w:rPr>
          <w:rFonts w:hint="eastAsia" w:ascii="仿宋_GB2312" w:hAnsi="宋体" w:cs="宋体"/>
          <w:b/>
          <w:bCs/>
          <w:color w:val="auto"/>
          <w:kern w:val="0"/>
          <w:szCs w:val="24"/>
          <w:highlight w:val="none"/>
        </w:rPr>
        <w:t>监管</w:t>
      </w:r>
      <w:r>
        <w:rPr>
          <w:rFonts w:ascii="仿宋_GB2312" w:hAnsi="宋体" w:cs="宋体"/>
          <w:b/>
          <w:bCs/>
          <w:color w:val="auto"/>
          <w:kern w:val="0"/>
          <w:szCs w:val="24"/>
          <w:highlight w:val="none"/>
        </w:rPr>
        <w:t>规定</w:t>
      </w:r>
      <w:r>
        <w:rPr>
          <w:rFonts w:hint="eastAsia" w:ascii="仿宋_GB2312" w:hAnsi="宋体" w:cs="宋体"/>
          <w:b/>
          <w:bCs/>
          <w:color w:val="auto"/>
          <w:kern w:val="0"/>
          <w:szCs w:val="24"/>
          <w:highlight w:val="none"/>
        </w:rPr>
        <w:t>所</w:t>
      </w:r>
      <w:r>
        <w:rPr>
          <w:rFonts w:ascii="仿宋_GB2312" w:hAnsi="宋体" w:cs="宋体"/>
          <w:b/>
          <w:bCs/>
          <w:color w:val="auto"/>
          <w:kern w:val="0"/>
          <w:szCs w:val="24"/>
          <w:highlight w:val="none"/>
        </w:rPr>
        <w:t>规定</w:t>
      </w:r>
      <w:r>
        <w:rPr>
          <w:rFonts w:hint="eastAsia" w:ascii="仿宋_GB2312" w:hAnsi="宋体" w:cs="宋体"/>
          <w:b/>
          <w:bCs/>
          <w:color w:val="auto"/>
          <w:kern w:val="0"/>
          <w:szCs w:val="24"/>
          <w:highlight w:val="none"/>
        </w:rPr>
        <w:t>必须</w:t>
      </w:r>
      <w:r>
        <w:rPr>
          <w:rFonts w:ascii="仿宋_GB2312" w:hAnsi="宋体" w:cs="宋体"/>
          <w:b/>
          <w:bCs/>
          <w:color w:val="auto"/>
          <w:kern w:val="0"/>
          <w:szCs w:val="24"/>
          <w:highlight w:val="none"/>
        </w:rPr>
        <w:t>履行的</w:t>
      </w:r>
      <w:r>
        <w:rPr>
          <w:rFonts w:hint="eastAsia" w:ascii="仿宋_GB2312" w:hAnsi="宋体" w:cs="宋体"/>
          <w:b/>
          <w:bCs/>
          <w:color w:val="auto"/>
          <w:kern w:val="0"/>
          <w:szCs w:val="24"/>
          <w:highlight w:val="none"/>
        </w:rPr>
        <w:t>程序。前述关联</w:t>
      </w:r>
      <w:r>
        <w:rPr>
          <w:rFonts w:ascii="仿宋_GB2312" w:hAnsi="宋体" w:cs="宋体"/>
          <w:b/>
          <w:bCs/>
          <w:color w:val="auto"/>
          <w:kern w:val="0"/>
          <w:szCs w:val="24"/>
          <w:highlight w:val="none"/>
        </w:rPr>
        <w:t>关系</w:t>
      </w:r>
      <w:r>
        <w:rPr>
          <w:rFonts w:hint="eastAsia" w:ascii="仿宋_GB2312" w:hAnsi="宋体" w:cs="宋体"/>
          <w:b/>
          <w:bCs/>
          <w:color w:val="auto"/>
          <w:kern w:val="0"/>
          <w:szCs w:val="24"/>
          <w:highlight w:val="none"/>
        </w:rPr>
        <w:t>可能</w:t>
      </w:r>
      <w:r>
        <w:rPr>
          <w:rFonts w:ascii="仿宋_GB2312" w:hAnsi="宋体" w:cs="宋体"/>
          <w:b/>
          <w:bCs/>
          <w:color w:val="auto"/>
          <w:kern w:val="0"/>
          <w:szCs w:val="24"/>
          <w:highlight w:val="none"/>
        </w:rPr>
        <w:t>导致</w:t>
      </w:r>
      <w:r>
        <w:rPr>
          <w:rFonts w:hint="eastAsia" w:ascii="仿宋_GB2312" w:hAnsi="宋体" w:cs="宋体"/>
          <w:b/>
          <w:bCs/>
          <w:color w:val="auto"/>
          <w:kern w:val="0"/>
          <w:szCs w:val="24"/>
          <w:highlight w:val="none"/>
        </w:rPr>
        <w:t>影响</w:t>
      </w:r>
      <w:r>
        <w:rPr>
          <w:rFonts w:ascii="仿宋_GB2312" w:hAnsi="宋体" w:cs="宋体"/>
          <w:b/>
          <w:bCs/>
          <w:color w:val="auto"/>
          <w:kern w:val="0"/>
          <w:szCs w:val="24"/>
          <w:highlight w:val="none"/>
        </w:rPr>
        <w:t>管理人</w:t>
      </w:r>
      <w:r>
        <w:rPr>
          <w:rFonts w:hint="eastAsia" w:ascii="仿宋_GB2312" w:hAnsi="宋体" w:cs="宋体"/>
          <w:b/>
          <w:bCs/>
          <w:color w:val="auto"/>
          <w:kern w:val="0"/>
          <w:szCs w:val="24"/>
          <w:highlight w:val="none"/>
        </w:rPr>
        <w:t>独立</w:t>
      </w:r>
      <w:r>
        <w:rPr>
          <w:rFonts w:ascii="仿宋_GB2312" w:hAnsi="宋体" w:cs="宋体"/>
          <w:b/>
          <w:bCs/>
          <w:color w:val="auto"/>
          <w:kern w:val="0"/>
          <w:szCs w:val="24"/>
          <w:highlight w:val="none"/>
        </w:rPr>
        <w:t>决策的</w:t>
      </w:r>
      <w:r>
        <w:rPr>
          <w:rFonts w:hint="eastAsia" w:ascii="仿宋_GB2312" w:hAnsi="宋体" w:cs="宋体"/>
          <w:b/>
          <w:bCs/>
          <w:color w:val="auto"/>
          <w:kern w:val="0"/>
          <w:szCs w:val="24"/>
          <w:highlight w:val="none"/>
        </w:rPr>
        <w:t>潜在</w:t>
      </w:r>
      <w:r>
        <w:rPr>
          <w:rFonts w:ascii="仿宋_GB2312" w:hAnsi="宋体" w:cs="宋体"/>
          <w:b/>
          <w:bCs/>
          <w:color w:val="auto"/>
          <w:kern w:val="0"/>
          <w:szCs w:val="24"/>
          <w:highlight w:val="none"/>
        </w:rPr>
        <w:t>风险</w:t>
      </w:r>
      <w:r>
        <w:rPr>
          <w:rFonts w:hint="eastAsia" w:ascii="仿宋_GB2312" w:hAnsi="宋体" w:cs="宋体"/>
          <w:b/>
          <w:bCs/>
          <w:color w:val="auto"/>
          <w:kern w:val="0"/>
          <w:szCs w:val="24"/>
          <w:highlight w:val="none"/>
        </w:rPr>
        <w:t>。</w:t>
      </w:r>
      <w:r>
        <w:rPr>
          <w:rFonts w:ascii="仿宋_GB2312" w:hAnsi="宋体" w:cs="宋体"/>
          <w:b/>
          <w:bCs/>
          <w:color w:val="auto"/>
          <w:kern w:val="0"/>
          <w:szCs w:val="24"/>
          <w:highlight w:val="none"/>
        </w:rPr>
        <w:t>投资者</w:t>
      </w:r>
      <w:r>
        <w:rPr>
          <w:rFonts w:hint="eastAsia" w:ascii="仿宋_GB2312" w:hAnsi="宋体" w:cs="宋体"/>
          <w:b/>
          <w:bCs/>
          <w:color w:val="auto"/>
          <w:kern w:val="0"/>
          <w:szCs w:val="24"/>
          <w:highlight w:val="none"/>
        </w:rPr>
        <w:t>确认已充分</w:t>
      </w:r>
      <w:r>
        <w:rPr>
          <w:rFonts w:ascii="仿宋_GB2312" w:hAnsi="宋体" w:cs="宋体"/>
          <w:b/>
          <w:bCs/>
          <w:color w:val="auto"/>
          <w:kern w:val="0"/>
          <w:szCs w:val="24"/>
          <w:highlight w:val="none"/>
        </w:rPr>
        <w:t>知悉前述</w:t>
      </w:r>
      <w:r>
        <w:rPr>
          <w:rFonts w:hint="eastAsia" w:ascii="仿宋_GB2312" w:hAnsi="宋体" w:cs="宋体"/>
          <w:b/>
          <w:bCs/>
          <w:color w:val="auto"/>
          <w:kern w:val="0"/>
          <w:szCs w:val="24"/>
          <w:highlight w:val="none"/>
        </w:rPr>
        <w:t>关联关系</w:t>
      </w:r>
      <w:r>
        <w:rPr>
          <w:rFonts w:ascii="仿宋_GB2312" w:hAnsi="宋体" w:cs="宋体"/>
          <w:b/>
          <w:bCs/>
          <w:color w:val="auto"/>
          <w:kern w:val="0"/>
          <w:szCs w:val="24"/>
          <w:highlight w:val="none"/>
        </w:rPr>
        <w:t>，</w:t>
      </w:r>
      <w:r>
        <w:rPr>
          <w:rFonts w:hint="eastAsia" w:ascii="仿宋_GB2312" w:hAnsi="宋体" w:cs="宋体"/>
          <w:b/>
          <w:bCs/>
          <w:color w:val="auto"/>
          <w:kern w:val="0"/>
          <w:szCs w:val="24"/>
          <w:highlight w:val="none"/>
        </w:rPr>
        <w:t>并</w:t>
      </w:r>
      <w:r>
        <w:rPr>
          <w:rFonts w:ascii="仿宋_GB2312" w:hAnsi="宋体" w:cs="宋体"/>
          <w:b/>
          <w:bCs/>
          <w:color w:val="auto"/>
          <w:kern w:val="0"/>
          <w:szCs w:val="24"/>
          <w:highlight w:val="none"/>
        </w:rPr>
        <w:t>接受</w:t>
      </w:r>
      <w:r>
        <w:rPr>
          <w:rFonts w:hint="eastAsia" w:ascii="仿宋_GB2312" w:hAnsi="宋体" w:cs="宋体"/>
          <w:b/>
          <w:bCs/>
          <w:color w:val="auto"/>
          <w:kern w:val="0"/>
          <w:szCs w:val="24"/>
          <w:highlight w:val="none"/>
        </w:rPr>
        <w:t>理财</w:t>
      </w:r>
      <w:r>
        <w:rPr>
          <w:rFonts w:ascii="仿宋_GB2312" w:hAnsi="宋体" w:cs="宋体"/>
          <w:b/>
          <w:bCs/>
          <w:color w:val="auto"/>
          <w:kern w:val="0"/>
          <w:szCs w:val="24"/>
          <w:highlight w:val="none"/>
        </w:rPr>
        <w:t>产品由</w:t>
      </w:r>
      <w:r>
        <w:rPr>
          <w:rFonts w:hint="eastAsia" w:ascii="仿宋_GB2312" w:hAnsi="宋体" w:cs="宋体"/>
          <w:b/>
          <w:bCs/>
          <w:color w:val="auto"/>
          <w:kern w:val="0"/>
          <w:szCs w:val="24"/>
          <w:highlight w:val="none"/>
        </w:rPr>
        <w:t>销售</w:t>
      </w:r>
      <w:r>
        <w:rPr>
          <w:rFonts w:ascii="仿宋_GB2312" w:hAnsi="宋体" w:cs="宋体"/>
          <w:b/>
          <w:bCs/>
          <w:color w:val="auto"/>
          <w:kern w:val="0"/>
          <w:szCs w:val="24"/>
          <w:highlight w:val="none"/>
        </w:rPr>
        <w:t>机构</w:t>
      </w:r>
      <w:r>
        <w:rPr>
          <w:rFonts w:hint="eastAsia" w:ascii="仿宋_GB2312" w:hAnsi="宋体" w:cs="宋体"/>
          <w:b/>
          <w:bCs/>
          <w:color w:val="auto"/>
          <w:kern w:val="0"/>
          <w:szCs w:val="24"/>
          <w:highlight w:val="none"/>
        </w:rPr>
        <w:t>代理</w:t>
      </w:r>
      <w:r>
        <w:rPr>
          <w:rFonts w:ascii="仿宋_GB2312" w:hAnsi="宋体" w:cs="宋体"/>
          <w:b/>
          <w:bCs/>
          <w:color w:val="auto"/>
          <w:kern w:val="0"/>
          <w:szCs w:val="24"/>
          <w:highlight w:val="none"/>
        </w:rPr>
        <w:t>销售</w:t>
      </w:r>
      <w:r>
        <w:rPr>
          <w:rFonts w:hint="eastAsia" w:ascii="仿宋_GB2312" w:hAnsi="宋体" w:cs="宋体"/>
          <w:b/>
          <w:bCs/>
          <w:color w:val="auto"/>
          <w:kern w:val="0"/>
          <w:szCs w:val="24"/>
          <w:highlight w:val="none"/>
        </w:rPr>
        <w:t>、托管机构</w:t>
      </w:r>
      <w:r>
        <w:rPr>
          <w:rFonts w:ascii="仿宋_GB2312" w:hAnsi="宋体" w:cs="宋体"/>
          <w:b/>
          <w:bCs/>
          <w:color w:val="auto"/>
          <w:kern w:val="0"/>
          <w:szCs w:val="24"/>
          <w:highlight w:val="none"/>
        </w:rPr>
        <w:t>托管。</w:t>
      </w:r>
    </w:p>
    <w:p w14:paraId="54DFB184">
      <w:pPr>
        <w:pStyle w:val="3"/>
        <w:numPr>
          <w:ilvl w:val="1"/>
          <w:numId w:val="13"/>
        </w:numPr>
        <w:tabs>
          <w:tab w:val="left" w:pos="0"/>
          <w:tab w:val="left" w:pos="3261"/>
        </w:tabs>
        <w:bidi w:val="0"/>
        <w:ind w:left="3261" w:leftChars="0" w:hanging="2785" w:firstLineChars="0"/>
        <w:rPr>
          <w:color w:val="auto"/>
          <w:highlight w:val="none"/>
        </w:rPr>
      </w:pPr>
      <w:r>
        <w:rPr>
          <w:color w:val="auto"/>
          <w:highlight w:val="none"/>
        </w:rPr>
        <w:t>募集期</w:t>
      </w:r>
    </w:p>
    <w:p w14:paraId="6B1F4E79">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产品募集期内，投资者可多次对本产品认购或</w:t>
      </w:r>
      <w:r>
        <w:rPr>
          <w:rFonts w:hint="eastAsia"/>
          <w:color w:val="auto"/>
          <w:highlight w:val="none"/>
        </w:rPr>
        <w:t>撤单</w:t>
      </w:r>
      <w:r>
        <w:rPr>
          <w:rFonts w:hint="eastAsia" w:ascii="仿宋_GB2312" w:hAnsi="宋体" w:cs="宋体"/>
          <w:bCs/>
          <w:color w:val="auto"/>
          <w:kern w:val="0"/>
          <w:szCs w:val="24"/>
          <w:highlight w:val="none"/>
        </w:rPr>
        <w:t>。如投资者认购成功，销售机构有权冻结投资者认购资金，</w:t>
      </w:r>
      <w:r>
        <w:rPr>
          <w:rFonts w:hint="eastAsia" w:ascii="仿宋_GB2312" w:hAnsi="宋体" w:cs="宋体"/>
          <w:b/>
          <w:color w:val="auto"/>
          <w:kern w:val="0"/>
          <w:szCs w:val="24"/>
          <w:highlight w:val="none"/>
        </w:rPr>
        <w:t>但募集期内认购资金是否计息以销售机构规则为准，利息不计入认购本金份额。</w:t>
      </w:r>
      <w:r>
        <w:rPr>
          <w:rFonts w:hint="eastAsia" w:ascii="仿宋_GB2312" w:hAnsi="宋体" w:cs="宋体"/>
          <w:bCs/>
          <w:color w:val="auto"/>
          <w:kern w:val="0"/>
          <w:szCs w:val="24"/>
          <w:highlight w:val="none"/>
        </w:rPr>
        <w:t>销售机构实际受理投资者成功提交的认购申请时间可能与说明书不一致，具体以销售机构信息为准。</w:t>
      </w:r>
    </w:p>
    <w:p w14:paraId="7FFE99E9">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本理财产品累计认购份额达到发行规模上限时，销售机构有权停止接受认购申请。管理人有权根据募集情况提前终止或延长产品募集期，</w:t>
      </w:r>
      <w:r>
        <w:rPr>
          <w:rFonts w:ascii="仿宋_GB2312" w:hAnsi="宋体" w:cs="宋体"/>
          <w:bCs/>
          <w:color w:val="auto"/>
          <w:kern w:val="0"/>
          <w:szCs w:val="24"/>
          <w:highlight w:val="none"/>
        </w:rPr>
        <w:t>如有变动</w:t>
      </w:r>
      <w:r>
        <w:rPr>
          <w:rFonts w:hint="eastAsia" w:ascii="仿宋_GB2312" w:hAnsi="宋体" w:cs="宋体"/>
          <w:bCs/>
          <w:color w:val="auto"/>
          <w:kern w:val="0"/>
          <w:szCs w:val="24"/>
          <w:highlight w:val="none"/>
        </w:rPr>
        <w:t>以管理人或销售机构公告为准。</w:t>
      </w:r>
    </w:p>
    <w:p w14:paraId="491853D4">
      <w:pPr>
        <w:pStyle w:val="3"/>
        <w:numPr>
          <w:ilvl w:val="1"/>
          <w:numId w:val="13"/>
        </w:numPr>
        <w:tabs>
          <w:tab w:val="left" w:pos="0"/>
          <w:tab w:val="left" w:pos="3261"/>
        </w:tabs>
        <w:bidi w:val="0"/>
        <w:ind w:left="3261" w:leftChars="0" w:hanging="2785" w:firstLineChars="0"/>
        <w:rPr>
          <w:rFonts w:hint="eastAsia"/>
          <w:color w:val="auto"/>
          <w:highlight w:val="none"/>
        </w:rPr>
      </w:pPr>
      <w:r>
        <w:rPr>
          <w:rFonts w:hint="eastAsia"/>
          <w:color w:val="auto"/>
          <w:highlight w:val="none"/>
        </w:rPr>
        <w:t>投资者</w:t>
      </w:r>
      <w:r>
        <w:rPr>
          <w:color w:val="auto"/>
          <w:highlight w:val="none"/>
        </w:rPr>
        <w:t>范围</w:t>
      </w:r>
    </w:p>
    <w:p w14:paraId="071321CB">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rPr>
        <w:t>”。</w:t>
      </w:r>
    </w:p>
    <w:p w14:paraId="5E40E814">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认购的</w:t>
      </w:r>
      <w:r>
        <w:rPr>
          <w:color w:val="auto"/>
          <w:highlight w:val="none"/>
        </w:rPr>
        <w:t>价格</w:t>
      </w:r>
    </w:p>
    <w:p w14:paraId="2143D078">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本产品的认购价格为每份理财份额人民币1.00</w:t>
      </w:r>
      <w:r>
        <w:rPr>
          <w:rFonts w:ascii="仿宋_GB2312" w:hAnsi="宋体" w:cs="宋体"/>
          <w:bCs/>
          <w:color w:val="auto"/>
          <w:kern w:val="0"/>
          <w:szCs w:val="24"/>
          <w:highlight w:val="none"/>
        </w:rPr>
        <w:t>00</w:t>
      </w:r>
      <w:r>
        <w:rPr>
          <w:rFonts w:hint="eastAsia" w:ascii="仿宋_GB2312" w:hAnsi="宋体" w:cs="宋体"/>
          <w:bCs/>
          <w:color w:val="auto"/>
          <w:kern w:val="0"/>
          <w:szCs w:val="24"/>
          <w:highlight w:val="none"/>
        </w:rPr>
        <w:t>元。</w:t>
      </w:r>
    </w:p>
    <w:p w14:paraId="79154AA2">
      <w:pPr>
        <w:pStyle w:val="3"/>
        <w:numPr>
          <w:ilvl w:val="1"/>
          <w:numId w:val="13"/>
        </w:numPr>
        <w:tabs>
          <w:tab w:val="left" w:pos="0"/>
          <w:tab w:val="left" w:pos="3261"/>
        </w:tabs>
        <w:bidi w:val="0"/>
        <w:ind w:left="3261" w:leftChars="0" w:hanging="2785" w:firstLineChars="0"/>
        <w:rPr>
          <w:rFonts w:hint="eastAsia"/>
          <w:color w:val="auto"/>
          <w:highlight w:val="none"/>
        </w:rPr>
      </w:pPr>
      <w:r>
        <w:rPr>
          <w:rFonts w:hint="eastAsia"/>
          <w:color w:val="auto"/>
          <w:highlight w:val="none"/>
        </w:rPr>
        <w:t>认购</w:t>
      </w:r>
      <w:r>
        <w:rPr>
          <w:color w:val="auto"/>
          <w:highlight w:val="none"/>
        </w:rPr>
        <w:t>份额</w:t>
      </w:r>
      <w:r>
        <w:rPr>
          <w:rFonts w:hint="eastAsia"/>
          <w:color w:val="auto"/>
          <w:highlight w:val="none"/>
        </w:rPr>
        <w:t>的</w:t>
      </w:r>
      <w:r>
        <w:rPr>
          <w:color w:val="auto"/>
          <w:highlight w:val="none"/>
        </w:rPr>
        <w:t>计算</w:t>
      </w:r>
    </w:p>
    <w:p w14:paraId="151334A7">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 xml:space="preserve">本产品采用金额认购方法，认购金额包括认购费用和净认购金额，认购时计算方法如下： </w:t>
      </w:r>
    </w:p>
    <w:p w14:paraId="490CABE9">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rPr>
      </w:pP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yellow"/>
        </w:rPr>
        <w:t>净认购金额=认购金额/（1+认购费率）（认购费率详见产品说明书关于费用的说明）</w:t>
      </w:r>
    </w:p>
    <w:p w14:paraId="2DD6648D">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rPr>
      </w:pPr>
      <w:r>
        <w:rPr>
          <w:rFonts w:hint="eastAsia" w:ascii="仿宋_GB2312" w:hAnsi="宋体" w:cs="宋体"/>
          <w:bCs/>
          <w:color w:val="auto"/>
          <w:kern w:val="0"/>
          <w:szCs w:val="24"/>
          <w:highlight w:val="yellow"/>
        </w:rPr>
        <w:t>认购费用=认购金额-净认购金额</w:t>
      </w:r>
    </w:p>
    <w:p w14:paraId="09EAF137">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lang w:eastAsia="zh-CN"/>
        </w:rPr>
      </w:pPr>
      <w:r>
        <w:rPr>
          <w:rFonts w:hint="eastAsia" w:ascii="仿宋_GB2312" w:hAnsi="宋体" w:cs="宋体"/>
          <w:bCs/>
          <w:color w:val="auto"/>
          <w:kern w:val="0"/>
          <w:szCs w:val="24"/>
          <w:highlight w:val="yellow"/>
        </w:rPr>
        <w:t>认购份额=净认购金额/理财产品单位份额净值</w:t>
      </w:r>
      <w:r>
        <w:rPr>
          <w:rFonts w:hint="eastAsia" w:ascii="仿宋_GB2312" w:hAnsi="宋体" w:cs="宋体"/>
          <w:bCs/>
          <w:color w:val="auto"/>
          <w:kern w:val="0"/>
          <w:szCs w:val="24"/>
          <w:highlight w:val="yellow"/>
          <w:lang w:eastAsia="zh-CN"/>
        </w:rPr>
        <w:t>】</w:t>
      </w:r>
    </w:p>
    <w:p w14:paraId="5BC1EEBC">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认购份额以四舍五入的方法保留到小数点后两位。</w:t>
      </w:r>
    </w:p>
    <w:p w14:paraId="51BD700C">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认购</w:t>
      </w:r>
      <w:r>
        <w:rPr>
          <w:rFonts w:hint="eastAsia"/>
          <w:color w:val="auto"/>
          <w:highlight w:val="none"/>
          <w:u w:val="none"/>
          <w:lang w:eastAsia="zh-CN"/>
        </w:rPr>
        <w:t>的</w:t>
      </w:r>
      <w:r>
        <w:rPr>
          <w:rFonts w:hint="eastAsia"/>
          <w:color w:val="auto"/>
          <w:highlight w:val="none"/>
          <w:u w:val="none"/>
        </w:rPr>
        <w:t>起点</w:t>
      </w:r>
      <w:r>
        <w:rPr>
          <w:rFonts w:hint="eastAsia"/>
          <w:color w:val="auto"/>
          <w:highlight w:val="none"/>
          <w:u w:val="none"/>
          <w:lang w:eastAsia="zh-CN"/>
        </w:rPr>
        <w:t>销售金额</w:t>
      </w:r>
      <w:r>
        <w:rPr>
          <w:rFonts w:hint="eastAsia"/>
          <w:color w:val="auto"/>
          <w:highlight w:val="none"/>
          <w:u w:val="none"/>
        </w:rPr>
        <w:t>和</w:t>
      </w:r>
      <w:r>
        <w:rPr>
          <w:rFonts w:hint="eastAsia"/>
          <w:color w:val="auto"/>
          <w:highlight w:val="none"/>
          <w:u w:val="none"/>
          <w:lang w:eastAsia="zh-CN"/>
        </w:rPr>
        <w:t>追加</w:t>
      </w:r>
      <w:r>
        <w:rPr>
          <w:rFonts w:hint="eastAsia"/>
          <w:color w:val="auto"/>
          <w:highlight w:val="none"/>
          <w:u w:val="none"/>
        </w:rPr>
        <w:t>递增</w:t>
      </w:r>
      <w:r>
        <w:rPr>
          <w:color w:val="auto"/>
          <w:highlight w:val="none"/>
          <w:u w:val="none"/>
        </w:rPr>
        <w:t>金额</w:t>
      </w:r>
    </w:p>
    <w:p w14:paraId="77BBB419">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4315C8F7">
      <w:pPr>
        <w:pStyle w:val="3"/>
        <w:numPr>
          <w:ilvl w:val="1"/>
          <w:numId w:val="13"/>
        </w:numPr>
        <w:tabs>
          <w:tab w:val="left" w:pos="0"/>
          <w:tab w:val="left" w:pos="3261"/>
        </w:tabs>
        <w:bidi w:val="0"/>
        <w:ind w:left="3261" w:leftChars="0" w:hanging="2785" w:firstLineChars="0"/>
        <w:rPr>
          <w:rFonts w:hint="eastAsia"/>
          <w:color w:val="auto"/>
          <w:highlight w:val="none"/>
        </w:rPr>
      </w:pPr>
      <w:r>
        <w:rPr>
          <w:rFonts w:hint="eastAsia"/>
          <w:color w:val="auto"/>
          <w:highlight w:val="none"/>
        </w:rPr>
        <w:t>认购确认</w:t>
      </w:r>
    </w:p>
    <w:p w14:paraId="6962E4D2">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投资者提交认购申请后，如管理人在认购</w:t>
      </w:r>
      <w:r>
        <w:rPr>
          <w:rFonts w:ascii="仿宋_GB2312" w:hAnsi="宋体" w:cs="宋体"/>
          <w:bCs/>
          <w:color w:val="auto"/>
          <w:kern w:val="0"/>
          <w:szCs w:val="24"/>
          <w:highlight w:val="none"/>
        </w:rPr>
        <w:t>确认日</w:t>
      </w:r>
      <w:r>
        <w:rPr>
          <w:rFonts w:hint="eastAsia" w:ascii="仿宋_GB2312" w:hAnsi="宋体" w:cs="宋体"/>
          <w:bCs/>
          <w:color w:val="auto"/>
          <w:kern w:val="0"/>
          <w:szCs w:val="24"/>
          <w:highlight w:val="none"/>
        </w:rPr>
        <w:t>成功登记投资者认购份额，则视为投资者的认购申请生效。销售机构成功登记投资者认购份额、投资者认购申请生效并不代表销售机构对该认购申请结果的成功确认或承诺，而仅代表其收到认购申请，认购申请结果是否成功以管理人确认为准。本产品认购确认日为本产品成立日。</w:t>
      </w:r>
    </w:p>
    <w:p w14:paraId="0F9A9BA3">
      <w:pPr>
        <w:pStyle w:val="3"/>
        <w:numPr>
          <w:ilvl w:val="1"/>
          <w:numId w:val="13"/>
        </w:numPr>
        <w:tabs>
          <w:tab w:val="left" w:pos="0"/>
          <w:tab w:val="left" w:pos="3261"/>
        </w:tabs>
        <w:bidi w:val="0"/>
        <w:ind w:left="3261" w:leftChars="0" w:hanging="2785" w:firstLineChars="0"/>
        <w:rPr>
          <w:rFonts w:hint="eastAsia"/>
          <w:color w:val="auto"/>
          <w:highlight w:val="none"/>
        </w:rPr>
      </w:pPr>
      <w:r>
        <w:rPr>
          <w:rFonts w:hint="eastAsia"/>
          <w:color w:val="auto"/>
          <w:highlight w:val="none"/>
        </w:rPr>
        <w:t>认购撤销</w:t>
      </w:r>
    </w:p>
    <w:p w14:paraId="03AECE37">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募集期内投资者可以撤销已提交的认购申请，具体请以销售机构规定为准。</w:t>
      </w:r>
    </w:p>
    <w:p w14:paraId="24517FB4">
      <w:pPr>
        <w:pStyle w:val="3"/>
        <w:numPr>
          <w:ilvl w:val="1"/>
          <w:numId w:val="13"/>
        </w:numPr>
        <w:tabs>
          <w:tab w:val="left" w:pos="0"/>
          <w:tab w:val="left" w:pos="3261"/>
        </w:tabs>
        <w:bidi w:val="0"/>
        <w:ind w:left="3261" w:leftChars="0" w:hanging="2785" w:firstLineChars="0"/>
        <w:rPr>
          <w:rFonts w:hint="eastAsia"/>
          <w:color w:val="auto"/>
          <w:highlight w:val="none"/>
        </w:rPr>
      </w:pPr>
      <w:r>
        <w:rPr>
          <w:rFonts w:hint="eastAsia"/>
          <w:color w:val="auto"/>
          <w:highlight w:val="none"/>
        </w:rPr>
        <w:t>认购数量</w:t>
      </w:r>
      <w:r>
        <w:rPr>
          <w:color w:val="auto"/>
          <w:highlight w:val="none"/>
        </w:rPr>
        <w:t>限制</w:t>
      </w:r>
    </w:p>
    <w:p w14:paraId="4415101F">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rPr>
        <w:t>”。</w:t>
      </w:r>
    </w:p>
    <w:p w14:paraId="1D8BB0AC">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产品成立</w:t>
      </w:r>
    </w:p>
    <w:p w14:paraId="30E0154C">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1.募集期届满，募集总资金累计金额不低于产品最低成立规模时，产品成立。</w:t>
      </w:r>
    </w:p>
    <w:p w14:paraId="0BFCE52D">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w:t>
      </w:r>
      <w:r>
        <w:rPr>
          <w:rFonts w:hint="eastAsia" w:ascii="仿宋_GB2312" w:hAnsi="宋体" w:cs="宋体"/>
          <w:b/>
          <w:bCs/>
          <w:color w:val="auto"/>
          <w:kern w:val="0"/>
          <w:szCs w:val="24"/>
          <w:highlight w:val="none"/>
        </w:rPr>
        <w:t>本产品募集期限内，如募集总金额未达到产品最低成立规模，或国家宏观政策以及市场相关法规政策发生变化，或市场发生剧烈波动，或发生其他经管理人合理判断难以履行本理财产品说明书约定或可能导致投资者权益受损的情形，管理人有权利但无义务宣布本理财产品不成立</w:t>
      </w:r>
      <w:r>
        <w:rPr>
          <w:rFonts w:hint="eastAsia" w:ascii="仿宋_GB2312" w:hAnsi="宋体"/>
          <w:b/>
          <w:color w:val="auto"/>
          <w:kern w:val="0"/>
          <w:szCs w:val="24"/>
          <w:highlight w:val="none"/>
        </w:rPr>
        <w:t>，亦有权延长募集期或调整募集规模</w:t>
      </w:r>
      <w:r>
        <w:rPr>
          <w:rFonts w:hint="eastAsia" w:ascii="仿宋_GB2312" w:hAnsi="宋体" w:cs="宋体"/>
          <w:b/>
          <w:bCs/>
          <w:color w:val="auto"/>
          <w:kern w:val="0"/>
          <w:szCs w:val="24"/>
          <w:highlight w:val="none"/>
        </w:rPr>
        <w:t>。</w:t>
      </w:r>
    </w:p>
    <w:p w14:paraId="63D31658">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（1）产品不成立：管理人决定理财产品不成立，将及时通过本产品说明书约定的</w:t>
      </w:r>
      <w:r>
        <w:rPr>
          <w:rFonts w:ascii="仿宋_GB2312" w:hAnsi="宋体" w:cs="宋体"/>
          <w:bCs/>
          <w:color w:val="auto"/>
          <w:kern w:val="0"/>
          <w:szCs w:val="24"/>
          <w:highlight w:val="none"/>
        </w:rPr>
        <w:t>方式</w:t>
      </w:r>
      <w:r>
        <w:rPr>
          <w:rFonts w:hint="eastAsia" w:ascii="仿宋_GB2312" w:hAnsi="宋体" w:cs="宋体"/>
          <w:bCs/>
          <w:color w:val="auto"/>
          <w:kern w:val="0"/>
          <w:szCs w:val="24"/>
          <w:highlight w:val="none"/>
        </w:rPr>
        <w:t>披露产品不成立相关信息，并在不晚于产品原计划成立日后的</w:t>
      </w: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yellow"/>
          <w:lang w:val="en-US" w:eastAsia="zh-CN"/>
        </w:rPr>
        <w:t>3</w:t>
      </w: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none"/>
        </w:rPr>
        <w:t>个</w:t>
      </w:r>
      <w:r>
        <w:rPr>
          <w:rFonts w:hint="eastAsia" w:ascii="仿宋_GB2312" w:hAnsi="宋体" w:cs="宋体"/>
          <w:bCs/>
          <w:color w:val="auto"/>
          <w:kern w:val="0"/>
          <w:szCs w:val="24"/>
          <w:highlight w:val="yellow"/>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工作日</w:t>
      </w:r>
      <w:r>
        <w:rPr>
          <w:rFonts w:ascii="仿宋_GB2312" w:hAnsi="宋体" w:cs="宋体"/>
          <w:bCs/>
          <w:color w:val="auto"/>
          <w:kern w:val="0"/>
          <w:szCs w:val="24"/>
          <w:highlight w:val="yellow"/>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交易日】</w:t>
      </w:r>
      <w:r>
        <w:rPr>
          <w:rFonts w:hint="eastAsia" w:ascii="仿宋_GB2312" w:hAnsi="宋体" w:cs="宋体"/>
          <w:bCs/>
          <w:color w:val="auto"/>
          <w:kern w:val="0"/>
          <w:szCs w:val="24"/>
          <w:highlight w:val="none"/>
        </w:rPr>
        <w:t>通过销售机构将理财投资本金退回投资者指定账户。</w:t>
      </w:r>
    </w:p>
    <w:p w14:paraId="26999C5E">
      <w:pPr>
        <w:widowControl/>
        <w:tabs>
          <w:tab w:val="left" w:pos="709"/>
        </w:tabs>
        <w:snapToGrid w:val="0"/>
        <w:spacing w:line="360" w:lineRule="auto"/>
        <w:ind w:firstLine="420" w:firstLineChars="200"/>
        <w:rPr>
          <w:rFonts w:ascii="仿宋_GB2312" w:hAnsi="宋体"/>
          <w:color w:val="auto"/>
          <w:kern w:val="0"/>
          <w:szCs w:val="24"/>
          <w:highlight w:val="none"/>
          <w:u w:val="none"/>
        </w:rPr>
      </w:pPr>
      <w:r>
        <w:rPr>
          <w:rFonts w:hint="eastAsia" w:ascii="仿宋_GB2312" w:hAnsi="宋体" w:cs="宋体"/>
          <w:bCs/>
          <w:color w:val="auto"/>
          <w:kern w:val="0"/>
          <w:szCs w:val="24"/>
          <w:highlight w:val="none"/>
        </w:rPr>
        <w:t>（2）</w:t>
      </w:r>
      <w:r>
        <w:rPr>
          <w:rFonts w:hint="eastAsia" w:ascii="仿宋_GB2312" w:hAnsi="宋体"/>
          <w:color w:val="auto"/>
          <w:kern w:val="0"/>
          <w:szCs w:val="24"/>
          <w:highlight w:val="none"/>
        </w:rPr>
        <w:t>延长产品募集期:</w:t>
      </w:r>
      <w:r>
        <w:rPr>
          <w:rFonts w:hint="eastAsia" w:ascii="仿宋_GB2312" w:hAnsi="宋体" w:cs="宋体"/>
          <w:bCs/>
          <w:color w:val="auto"/>
          <w:kern w:val="0"/>
          <w:szCs w:val="24"/>
          <w:highlight w:val="none"/>
        </w:rPr>
        <w:t>管理人决定延长产品募集期，</w:t>
      </w:r>
      <w:r>
        <w:rPr>
          <w:rFonts w:hint="eastAsia" w:ascii="仿宋_GB2312" w:hAnsi="宋体"/>
          <w:color w:val="auto"/>
          <w:kern w:val="0"/>
          <w:szCs w:val="24"/>
          <w:highlight w:val="none"/>
          <w:u w:val="none"/>
        </w:rPr>
        <w:t>将在理财</w:t>
      </w:r>
      <w:r>
        <w:rPr>
          <w:rFonts w:ascii="仿宋_GB2312" w:hAnsi="宋体"/>
          <w:color w:val="auto"/>
          <w:kern w:val="0"/>
          <w:szCs w:val="24"/>
          <w:highlight w:val="none"/>
          <w:u w:val="none"/>
        </w:rPr>
        <w:t>产品</w:t>
      </w:r>
      <w:r>
        <w:rPr>
          <w:rFonts w:hint="eastAsia" w:ascii="仿宋_GB2312" w:hAnsi="宋体"/>
          <w:color w:val="auto"/>
          <w:kern w:val="0"/>
          <w:szCs w:val="24"/>
          <w:highlight w:val="none"/>
          <w:u w:val="none"/>
        </w:rPr>
        <w:t>原定成立日前</w:t>
      </w:r>
      <w:r>
        <w:rPr>
          <w:rFonts w:hint="eastAsia" w:ascii="仿宋_GB2312" w:hAnsi="宋体" w:cs="宋体"/>
          <w:bCs/>
          <w:color w:val="auto"/>
          <w:kern w:val="0"/>
          <w:szCs w:val="24"/>
          <w:highlight w:val="none"/>
          <w:u w:val="none"/>
        </w:rPr>
        <w:t>通过本产品说明书约定</w:t>
      </w:r>
      <w:r>
        <w:rPr>
          <w:rFonts w:ascii="仿宋_GB2312" w:hAnsi="宋体" w:cs="宋体"/>
          <w:bCs/>
          <w:color w:val="auto"/>
          <w:kern w:val="0"/>
          <w:szCs w:val="24"/>
          <w:highlight w:val="none"/>
          <w:u w:val="none"/>
        </w:rPr>
        <w:t>方式</w:t>
      </w:r>
      <w:r>
        <w:rPr>
          <w:rFonts w:hint="eastAsia" w:ascii="仿宋_GB2312" w:hAnsi="宋体"/>
          <w:color w:val="auto"/>
          <w:kern w:val="0"/>
          <w:szCs w:val="24"/>
          <w:highlight w:val="none"/>
          <w:u w:val="none"/>
        </w:rPr>
        <w:t>发布募集期延长公告。</w:t>
      </w:r>
    </w:p>
    <w:p w14:paraId="0DDA7376">
      <w:pPr>
        <w:widowControl/>
        <w:tabs>
          <w:tab w:val="left" w:pos="709"/>
        </w:tabs>
        <w:snapToGrid w:val="0"/>
        <w:spacing w:line="360" w:lineRule="auto"/>
        <w:ind w:firstLine="420" w:firstLineChars="200"/>
        <w:rPr>
          <w:rFonts w:hint="eastAsia" w:ascii="仿宋_GB2312" w:hAnsi="宋体"/>
          <w:color w:val="auto"/>
          <w:kern w:val="0"/>
          <w:szCs w:val="24"/>
          <w:highlight w:val="none"/>
        </w:rPr>
      </w:pPr>
      <w:r>
        <w:rPr>
          <w:rFonts w:hint="eastAsia" w:ascii="仿宋_GB2312" w:hAnsi="宋体" w:cs="宋体"/>
          <w:bCs/>
          <w:color w:val="auto"/>
          <w:kern w:val="0"/>
          <w:szCs w:val="24"/>
          <w:highlight w:val="none"/>
        </w:rPr>
        <w:t>（3）</w:t>
      </w:r>
      <w:r>
        <w:rPr>
          <w:rFonts w:hint="eastAsia" w:ascii="仿宋_GB2312" w:hAnsi="宋体"/>
          <w:color w:val="auto"/>
          <w:kern w:val="0"/>
          <w:szCs w:val="24"/>
          <w:highlight w:val="none"/>
        </w:rPr>
        <w:t>调整产品募集规模：</w:t>
      </w:r>
      <w:r>
        <w:rPr>
          <w:rFonts w:hint="eastAsia" w:ascii="仿宋_GB2312" w:hAnsi="宋体" w:cs="宋体"/>
          <w:bCs/>
          <w:color w:val="auto"/>
          <w:kern w:val="0"/>
          <w:szCs w:val="24"/>
          <w:highlight w:val="none"/>
        </w:rPr>
        <w:t>管理人决定调整产品募集规模，</w:t>
      </w:r>
      <w:r>
        <w:rPr>
          <w:rFonts w:hint="eastAsia" w:ascii="仿宋_GB2312" w:hAnsi="宋体"/>
          <w:color w:val="auto"/>
          <w:kern w:val="0"/>
          <w:szCs w:val="24"/>
          <w:highlight w:val="none"/>
        </w:rPr>
        <w:t>将及时通过</w:t>
      </w:r>
      <w:r>
        <w:rPr>
          <w:rFonts w:hint="eastAsia" w:ascii="仿宋_GB2312" w:hAnsi="宋体" w:cs="宋体"/>
          <w:bCs/>
          <w:color w:val="auto"/>
          <w:kern w:val="0"/>
          <w:szCs w:val="24"/>
          <w:highlight w:val="none"/>
        </w:rPr>
        <w:t>本产品说明书约定</w:t>
      </w:r>
      <w:r>
        <w:rPr>
          <w:rFonts w:ascii="仿宋_GB2312" w:hAnsi="宋体" w:cs="宋体"/>
          <w:bCs/>
          <w:color w:val="auto"/>
          <w:kern w:val="0"/>
          <w:szCs w:val="24"/>
          <w:highlight w:val="none"/>
        </w:rPr>
        <w:t>方式</w:t>
      </w:r>
      <w:r>
        <w:rPr>
          <w:rFonts w:hint="eastAsia" w:ascii="仿宋_GB2312" w:hAnsi="宋体"/>
          <w:color w:val="auto"/>
          <w:kern w:val="0"/>
          <w:szCs w:val="24"/>
          <w:highlight w:val="none"/>
        </w:rPr>
        <w:t>发布产品募集规模调整公告。</w:t>
      </w:r>
    </w:p>
    <w:p w14:paraId="694CC4E1">
      <w:pPr>
        <w:widowControl/>
        <w:rPr>
          <w:rFonts w:hint="eastAsia" w:ascii="仿宋_GB2312" w:hAnsi="宋体"/>
          <w:color w:val="auto"/>
          <w:kern w:val="0"/>
          <w:szCs w:val="24"/>
          <w:highlight w:val="none"/>
        </w:rPr>
      </w:pPr>
      <w:r>
        <w:rPr>
          <w:rFonts w:hint="eastAsia" w:ascii="仿宋_GB2312" w:hAnsi="宋体"/>
          <w:color w:val="auto"/>
          <w:kern w:val="0"/>
          <w:szCs w:val="24"/>
          <w:highlight w:val="none"/>
        </w:rPr>
        <w:br w:type="page"/>
      </w:r>
    </w:p>
    <w:p w14:paraId="60CA4870">
      <w:pPr>
        <w:pStyle w:val="2"/>
        <w:numPr>
          <w:ilvl w:val="0"/>
          <w:numId w:val="13"/>
        </w:numPr>
        <w:bidi w:val="0"/>
        <w:ind w:left="0" w:leftChars="0" w:firstLine="0" w:firstLineChars="0"/>
        <w:rPr>
          <w:rFonts w:hint="eastAsia"/>
          <w:color w:val="auto"/>
          <w:highlight w:val="none"/>
        </w:rPr>
      </w:pPr>
      <w:r>
        <w:rPr>
          <w:rFonts w:hint="eastAsia"/>
          <w:color w:val="auto"/>
          <w:highlight w:val="none"/>
        </w:rPr>
        <w:t>理财产品的申购与赎回</w:t>
      </w:r>
    </w:p>
    <w:p w14:paraId="65B08724">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申购、赎回原则</w:t>
      </w:r>
    </w:p>
    <w:p w14:paraId="7A8E5AD8">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1.“金额申购、份额赎回”原则，即申购以金额申请，</w:t>
      </w:r>
      <w:r>
        <w:rPr>
          <w:rFonts w:ascii="仿宋_GB2312" w:hAnsi="宋体" w:cs="宋体"/>
          <w:bCs/>
          <w:color w:val="auto"/>
          <w:kern w:val="0"/>
          <w:szCs w:val="24"/>
          <w:highlight w:val="none"/>
        </w:rPr>
        <w:t>赎回以份额申请</w:t>
      </w:r>
      <w:r>
        <w:rPr>
          <w:rFonts w:hint="eastAsia" w:ascii="仿宋_GB2312" w:hAnsi="宋体" w:cs="宋体"/>
          <w:bCs/>
          <w:color w:val="auto"/>
          <w:kern w:val="0"/>
          <w:szCs w:val="24"/>
          <w:highlight w:val="none"/>
        </w:rPr>
        <w:t>。</w:t>
      </w:r>
    </w:p>
    <w:p w14:paraId="5A866DFD">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2.申购和赎回采用“未知价”原则，即</w:t>
      </w:r>
      <w:r>
        <w:rPr>
          <w:rFonts w:ascii="仿宋_GB2312" w:hAnsi="宋体" w:cs="宋体"/>
          <w:bCs/>
          <w:color w:val="auto"/>
          <w:kern w:val="0"/>
          <w:szCs w:val="24"/>
          <w:highlight w:val="none"/>
        </w:rPr>
        <w:t>本产品申购申请和赎回申请提交时</w:t>
      </w:r>
      <w:r>
        <w:rPr>
          <w:rFonts w:hint="eastAsia" w:ascii="仿宋_GB2312" w:hAnsi="宋体" w:cs="宋体"/>
          <w:bCs/>
          <w:color w:val="auto"/>
          <w:kern w:val="0"/>
          <w:szCs w:val="24"/>
          <w:highlight w:val="none"/>
        </w:rPr>
        <w:t>，适用的产品份额净值都是未知的。</w:t>
      </w:r>
    </w:p>
    <w:p w14:paraId="4586B0EE">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3.申购申请可以在对应申购日、开放日交易时间截止前撤销，</w:t>
      </w:r>
      <w:r>
        <w:rPr>
          <w:rFonts w:ascii="仿宋_GB2312" w:hAnsi="宋体" w:cs="宋体"/>
          <w:bCs/>
          <w:color w:val="auto"/>
          <w:kern w:val="0"/>
          <w:szCs w:val="24"/>
          <w:highlight w:val="none"/>
        </w:rPr>
        <w:t>赎回申请可以在对应</w:t>
      </w:r>
      <w:r>
        <w:rPr>
          <w:rFonts w:hint="eastAsia" w:ascii="仿宋_GB2312" w:hAnsi="宋体" w:cs="宋体"/>
          <w:bCs/>
          <w:color w:val="auto"/>
          <w:kern w:val="0"/>
          <w:szCs w:val="24"/>
          <w:highlight w:val="none"/>
        </w:rPr>
        <w:t>开放日</w:t>
      </w:r>
      <w:r>
        <w:rPr>
          <w:rFonts w:ascii="仿宋_GB2312" w:hAnsi="宋体" w:cs="宋体"/>
          <w:bCs/>
          <w:color w:val="auto"/>
          <w:kern w:val="0"/>
          <w:szCs w:val="24"/>
          <w:highlight w:val="none"/>
        </w:rPr>
        <w:t>交易时间截止前撤销</w:t>
      </w:r>
      <w:r>
        <w:rPr>
          <w:rFonts w:hint="eastAsia" w:ascii="仿宋_GB2312" w:hAnsi="宋体" w:cs="宋体"/>
          <w:bCs/>
          <w:color w:val="auto"/>
          <w:kern w:val="0"/>
          <w:szCs w:val="24"/>
          <w:highlight w:val="none"/>
        </w:rPr>
        <w:t>，最终申请确认情况以</w:t>
      </w:r>
      <w:r>
        <w:rPr>
          <w:rFonts w:hint="eastAsia" w:ascii="仿宋_GB2312" w:hAnsi="宋体" w:cs="宋体"/>
          <w:bCs/>
          <w:color w:val="auto"/>
          <w:kern w:val="0"/>
          <w:szCs w:val="24"/>
          <w:highlight w:val="none"/>
          <w:lang w:eastAsia="zh-CN"/>
        </w:rPr>
        <w:t>浙银理财</w:t>
      </w:r>
      <w:r>
        <w:rPr>
          <w:rFonts w:hint="eastAsia" w:ascii="仿宋_GB2312" w:hAnsi="宋体" w:cs="宋体"/>
          <w:bCs/>
          <w:color w:val="auto"/>
          <w:kern w:val="0"/>
          <w:szCs w:val="24"/>
          <w:highlight w:val="none"/>
        </w:rPr>
        <w:t>确认的结果为准。</w:t>
      </w:r>
    </w:p>
    <w:p w14:paraId="196CAA01">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4.赎回原则遵循“先进先出”原则或“指定赎回”原则，投资者赎回理财计划份额时适用的赎回原则以对应的销售服务机构提供的赎回服务为准。</w:t>
      </w:r>
    </w:p>
    <w:p w14:paraId="7D378B16">
      <w:pPr>
        <w:tabs>
          <w:tab w:val="left" w:pos="3119"/>
        </w:tabs>
        <w:autoSpaceDE w:val="0"/>
        <w:autoSpaceDN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lang w:val="en-US" w:eastAsia="zh-CN"/>
        </w:rPr>
        <w:t>5</w:t>
      </w:r>
      <w:r>
        <w:rPr>
          <w:rFonts w:hint="eastAsia" w:ascii="仿宋_GB2312" w:hAnsi="宋体" w:cs="宋体"/>
          <w:bCs/>
          <w:color w:val="auto"/>
          <w:kern w:val="0"/>
          <w:szCs w:val="24"/>
          <w:highlight w:val="none"/>
        </w:rPr>
        <w:t>.当开放式公募理财产品（现金管理类理财产品除外）遭遇大额申购或赎回时，产品管理人有权采用摆动定价机制，以确保估值的公平性。具体处理原则与操作方法遵循法律法规以及监管部门、自律规则的相关规定，产品管理人将提前发布相关公告。</w:t>
      </w:r>
    </w:p>
    <w:p w14:paraId="5585F538">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理财</w:t>
      </w:r>
      <w:r>
        <w:rPr>
          <w:color w:val="auto"/>
          <w:highlight w:val="none"/>
        </w:rPr>
        <w:t>产品</w:t>
      </w:r>
      <w:r>
        <w:rPr>
          <w:rFonts w:hint="eastAsia"/>
          <w:color w:val="auto"/>
          <w:highlight w:val="none"/>
        </w:rPr>
        <w:t>的</w:t>
      </w:r>
      <w:r>
        <w:rPr>
          <w:color w:val="auto"/>
          <w:highlight w:val="none"/>
        </w:rPr>
        <w:t>申购</w:t>
      </w:r>
    </w:p>
    <w:p w14:paraId="68FEE00B">
      <w:pPr>
        <w:tabs>
          <w:tab w:val="left" w:pos="312"/>
        </w:tabs>
        <w:adjustRightInd w:val="0"/>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1.申购的时间</w:t>
      </w:r>
    </w:p>
    <w:p w14:paraId="2CCB3860">
      <w:pPr>
        <w:tabs>
          <w:tab w:val="left" w:pos="312"/>
        </w:tabs>
        <w:adjustRightInd w:val="0"/>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本产品具体申购时间以《产品说明书》“</w:t>
      </w:r>
      <w:r>
        <w:rPr>
          <w:rFonts w:hint="eastAsia" w:ascii="仿宋_GB2312" w:hAnsi="宋体" w:cs="宋体"/>
          <w:bCs/>
          <w:color w:val="auto"/>
          <w:kern w:val="0"/>
          <w:szCs w:val="24"/>
          <w:highlight w:val="none"/>
          <w:lang w:eastAsia="zh-CN"/>
        </w:rPr>
        <w:t>第一节 理财产品说明书关键要素</w:t>
      </w:r>
      <w:r>
        <w:rPr>
          <w:rFonts w:hint="eastAsia" w:ascii="仿宋_GB2312" w:hAnsi="宋体" w:cs="宋体"/>
          <w:bCs/>
          <w:color w:val="auto"/>
          <w:kern w:val="0"/>
          <w:szCs w:val="24"/>
          <w:highlight w:val="none"/>
        </w:rPr>
        <w:t>”为准。</w:t>
      </w:r>
    </w:p>
    <w:p w14:paraId="54FDDAC0">
      <w:pPr>
        <w:tabs>
          <w:tab w:val="left" w:pos="312"/>
        </w:tabs>
        <w:adjustRightInd w:val="0"/>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2.申购的方式</w:t>
      </w:r>
    </w:p>
    <w:p w14:paraId="19E8DBC0">
      <w:pPr>
        <w:tabs>
          <w:tab w:val="left" w:pos="312"/>
        </w:tabs>
        <w:adjustRightInd w:val="0"/>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投资者可通过销售机构的销售渠道申购。不同销售机构的销售渠道，申购确认时效可能存在差异。</w:t>
      </w:r>
    </w:p>
    <w:p w14:paraId="3A0854AB">
      <w:pPr>
        <w:tabs>
          <w:tab w:val="left" w:pos="312"/>
        </w:tabs>
        <w:adjustRightInd w:val="0"/>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投资者通过销售机构线下渠道申购的，应签署有关理财产品销售文件。</w:t>
      </w:r>
    </w:p>
    <w:p w14:paraId="67F984EE">
      <w:pPr>
        <w:tabs>
          <w:tab w:val="left" w:pos="312"/>
        </w:tabs>
        <w:adjustRightInd w:val="0"/>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投资者通过销售机构线上渠道申购的，应根据销售机构线上渠道的具体要求执行。</w:t>
      </w:r>
    </w:p>
    <w:p w14:paraId="6C9B3C70">
      <w:pPr>
        <w:tabs>
          <w:tab w:val="left" w:pos="312"/>
        </w:tabs>
        <w:adjustRightInd w:val="0"/>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3.申购的确认</w:t>
      </w:r>
    </w:p>
    <w:p w14:paraId="3B4AEEC2">
      <w:pPr>
        <w:tabs>
          <w:tab w:val="left" w:pos="312"/>
        </w:tabs>
        <w:adjustRightInd w:val="0"/>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本产品申购确认详见《产品说明书》“</w:t>
      </w:r>
      <w:r>
        <w:rPr>
          <w:rFonts w:hint="eastAsia" w:ascii="仿宋_GB2312" w:hAnsi="宋体" w:cs="宋体"/>
          <w:bCs/>
          <w:color w:val="auto"/>
          <w:kern w:val="0"/>
          <w:szCs w:val="24"/>
          <w:highlight w:val="none"/>
          <w:lang w:eastAsia="zh-CN"/>
        </w:rPr>
        <w:t>第一节 理财产品说明书关键要素</w:t>
      </w:r>
      <w:r>
        <w:rPr>
          <w:rFonts w:hint="eastAsia" w:ascii="仿宋_GB2312" w:hAnsi="宋体" w:cs="宋体"/>
          <w:bCs/>
          <w:color w:val="auto"/>
          <w:kern w:val="0"/>
          <w:szCs w:val="24"/>
          <w:highlight w:val="none"/>
        </w:rPr>
        <w:t>”。</w:t>
      </w:r>
    </w:p>
    <w:p w14:paraId="1A3FABDA">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投资者提交申购申请并不代表申购成功，产品管理人将在申购确认日确认投资者是否申购成功。申购是否成功以管理人的确认结果为准。投资者可以在申购确认日系统完成处理后，查询产品份额。</w:t>
      </w:r>
    </w:p>
    <w:p w14:paraId="2C5EE0B1">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4.申购的价格</w:t>
      </w:r>
    </w:p>
    <w:p w14:paraId="07D5DDA2">
      <w:pPr>
        <w:tabs>
          <w:tab w:val="left" w:pos="312"/>
        </w:tabs>
        <w:adjustRightInd w:val="0"/>
        <w:snapToGrid w:val="0"/>
        <w:spacing w:line="360" w:lineRule="auto"/>
        <w:ind w:firstLine="420" w:firstLineChars="200"/>
        <w:rPr>
          <w:rFonts w:hint="eastAsia" w:ascii="仿宋_GB2312" w:hAnsi="宋体" w:eastAsia="仿宋_GB2312" w:cs="宋体"/>
          <w:bCs/>
          <w:color w:val="auto"/>
          <w:kern w:val="0"/>
          <w:szCs w:val="24"/>
          <w:highlight w:val="yellow"/>
          <w:lang w:eastAsia="zh-CN"/>
        </w:rPr>
      </w:pP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yellow"/>
        </w:rPr>
        <w:t>申购价格为开放</w:t>
      </w:r>
      <w:r>
        <w:rPr>
          <w:rFonts w:hint="eastAsia" w:ascii="仿宋_GB2312" w:hAnsi="宋体" w:cs="宋体"/>
          <w:bCs/>
          <w:color w:val="auto"/>
          <w:kern w:val="0"/>
          <w:szCs w:val="24"/>
          <w:highlight w:val="yellow"/>
          <w:lang w:eastAsia="zh-CN"/>
        </w:rPr>
        <w:t>确认</w:t>
      </w:r>
      <w:r>
        <w:rPr>
          <w:rFonts w:hint="eastAsia" w:ascii="仿宋_GB2312" w:hAnsi="宋体" w:cs="宋体"/>
          <w:bCs/>
          <w:color w:val="auto"/>
          <w:kern w:val="0"/>
          <w:szCs w:val="24"/>
          <w:highlight w:val="yellow"/>
        </w:rPr>
        <w:t>日</w:t>
      </w:r>
      <w:r>
        <w:rPr>
          <w:rFonts w:hint="eastAsia" w:ascii="仿宋_GB2312" w:hAnsi="宋体" w:cs="宋体"/>
          <w:bCs/>
          <w:color w:val="auto"/>
          <w:kern w:val="0"/>
          <w:szCs w:val="24"/>
          <w:highlight w:val="yellow"/>
          <w:lang w:eastAsia="zh-CN"/>
        </w:rPr>
        <w:t>（申购确认日）前一工作日</w:t>
      </w:r>
      <w:r>
        <w:rPr>
          <w:rFonts w:hint="eastAsia" w:ascii="仿宋_GB2312" w:hAnsi="宋体" w:cs="宋体"/>
          <w:bCs/>
          <w:color w:val="auto"/>
          <w:kern w:val="0"/>
          <w:szCs w:val="24"/>
          <w:highlight w:val="yellow"/>
          <w:lang w:val="en-US" w:eastAsia="zh-CN"/>
        </w:rPr>
        <w:t>/交易日/</w:t>
      </w:r>
      <w:r>
        <w:rPr>
          <w:rFonts w:hint="eastAsia" w:ascii="仿宋_GB2312" w:hAnsi="宋体" w:cs="宋体"/>
          <w:bCs/>
          <w:color w:val="auto"/>
          <w:kern w:val="0"/>
          <w:szCs w:val="24"/>
          <w:highlight w:val="yellow"/>
          <w:lang w:eastAsia="zh-CN"/>
        </w:rPr>
        <w:t>自然日</w:t>
      </w:r>
      <w:r>
        <w:rPr>
          <w:rFonts w:hint="eastAsia" w:ascii="仿宋_GB2312" w:hAnsi="宋体" w:cs="宋体"/>
          <w:bCs/>
          <w:color w:val="auto"/>
          <w:kern w:val="0"/>
          <w:szCs w:val="24"/>
          <w:highlight w:val="yellow"/>
        </w:rPr>
        <w:t>的产品份额净值。</w:t>
      </w:r>
      <w:r>
        <w:rPr>
          <w:rFonts w:hint="eastAsia" w:ascii="仿宋_GB2312" w:hAnsi="宋体" w:cs="宋体"/>
          <w:bCs/>
          <w:color w:val="auto"/>
          <w:kern w:val="0"/>
          <w:szCs w:val="24"/>
          <w:highlight w:val="yellow"/>
          <w:lang w:eastAsia="zh-CN"/>
        </w:rPr>
        <w:t>】</w:t>
      </w:r>
    </w:p>
    <w:p w14:paraId="77BEED27">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宋体" w:hAnsi="宋体" w:cs="宋体"/>
          <w:color w:val="auto"/>
          <w:kern w:val="0"/>
          <w:szCs w:val="24"/>
          <w:highlight w:val="none"/>
        </w:rPr>
        <w:t>如遇某一类产品份额类别存续期间产品份额被全部赎回的情况，符合该产品份额类别的投资者适当性要求的投资者仍可按照相关申购规则进行购买，投资者提交申购申请的首日，申购价格参照该产品份额类别的最近估值日的产品份额净值计算。请详见</w:t>
      </w:r>
      <w:r>
        <w:rPr>
          <w:rFonts w:hint="eastAsia" w:ascii="仿宋_GB2312" w:hAnsi="宋体" w:cs="宋体"/>
          <w:color w:val="auto"/>
          <w:kern w:val="0"/>
          <w:szCs w:val="24"/>
          <w:highlight w:val="none"/>
        </w:rPr>
        <w:t>产品管理人的开放</w:t>
      </w:r>
      <w:r>
        <w:rPr>
          <w:rFonts w:hint="eastAsia" w:ascii="仿宋_GB2312" w:hAnsi="宋体" w:cs="宋体"/>
          <w:color w:val="auto"/>
          <w:kern w:val="0"/>
          <w:szCs w:val="24"/>
          <w:highlight w:val="none"/>
          <w:lang w:eastAsia="zh-CN"/>
        </w:rPr>
        <w:t>日</w:t>
      </w:r>
      <w:r>
        <w:rPr>
          <w:rFonts w:hint="eastAsia" w:ascii="仿宋_GB2312" w:hAnsi="宋体" w:cs="宋体"/>
          <w:color w:val="auto"/>
          <w:kern w:val="0"/>
          <w:szCs w:val="24"/>
          <w:highlight w:val="none"/>
          <w:lang w:val="en-US" w:eastAsia="zh-CN"/>
        </w:rPr>
        <w:t>/申购</w:t>
      </w:r>
      <w:r>
        <w:rPr>
          <w:rFonts w:hint="eastAsia" w:ascii="仿宋_GB2312" w:hAnsi="宋体" w:cs="宋体"/>
          <w:color w:val="auto"/>
          <w:kern w:val="0"/>
          <w:szCs w:val="24"/>
          <w:highlight w:val="none"/>
        </w:rPr>
        <w:t>日公告。</w:t>
      </w:r>
    </w:p>
    <w:p w14:paraId="546CC062">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5.申购的费用</w:t>
      </w:r>
    </w:p>
    <w:p w14:paraId="1D7F1E21">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本产品申购费率详见《产品说明书》“</w:t>
      </w:r>
      <w:r>
        <w:rPr>
          <w:rFonts w:hint="eastAsia" w:ascii="仿宋_GB2312" w:hAnsi="宋体" w:cs="宋体"/>
          <w:bCs/>
          <w:color w:val="auto"/>
          <w:kern w:val="0"/>
          <w:szCs w:val="24"/>
          <w:highlight w:val="none"/>
          <w:lang w:eastAsia="zh-CN"/>
        </w:rPr>
        <w:t>第一节 理财产品说明书关键要素</w:t>
      </w:r>
      <w:r>
        <w:rPr>
          <w:rFonts w:hint="eastAsia" w:ascii="仿宋_GB2312" w:hAnsi="宋体" w:cs="宋体"/>
          <w:bCs/>
          <w:color w:val="auto"/>
          <w:kern w:val="0"/>
          <w:szCs w:val="24"/>
          <w:highlight w:val="none"/>
        </w:rPr>
        <w:t>”。</w:t>
      </w:r>
    </w:p>
    <w:p w14:paraId="483ED1F7">
      <w:pPr>
        <w:widowControl/>
        <w:tabs>
          <w:tab w:val="left" w:pos="709"/>
        </w:tabs>
        <w:snapToGrid w:val="0"/>
        <w:spacing w:line="360" w:lineRule="auto"/>
        <w:ind w:firstLine="420" w:firstLineChars="200"/>
        <w:rPr>
          <w:rFonts w:hint="eastAsia" w:ascii="仿宋_GB2312" w:hAnsi="宋体"/>
          <w:color w:val="auto"/>
          <w:kern w:val="0"/>
          <w:szCs w:val="24"/>
          <w:highlight w:val="none"/>
        </w:rPr>
      </w:pPr>
      <w:r>
        <w:rPr>
          <w:rFonts w:hint="eastAsia" w:ascii="仿宋_GB2312" w:hAnsi="宋体"/>
          <w:color w:val="auto"/>
          <w:kern w:val="0"/>
          <w:szCs w:val="24"/>
          <w:highlight w:val="none"/>
          <w:lang w:val="en-US" w:eastAsia="zh-CN"/>
        </w:rPr>
        <w:t>6</w:t>
      </w:r>
      <w:r>
        <w:rPr>
          <w:rFonts w:hint="eastAsia" w:ascii="仿宋_GB2312" w:hAnsi="宋体"/>
          <w:color w:val="auto"/>
          <w:kern w:val="0"/>
          <w:szCs w:val="24"/>
          <w:highlight w:val="none"/>
        </w:rPr>
        <w:t>.申购确认份额计算</w:t>
      </w:r>
    </w:p>
    <w:p w14:paraId="2E1732FE">
      <w:pPr>
        <w:widowControl/>
        <w:tabs>
          <w:tab w:val="left" w:pos="709"/>
        </w:tabs>
        <w:snapToGrid w:val="0"/>
        <w:spacing w:line="360" w:lineRule="auto"/>
        <w:ind w:firstLine="420" w:firstLineChars="200"/>
        <w:rPr>
          <w:rFonts w:hint="eastAsia" w:ascii="仿宋_GB2312" w:hAnsi="宋体" w:cs="宋体"/>
          <w:b/>
          <w:bCs/>
          <w:color w:val="auto"/>
          <w:kern w:val="0"/>
          <w:szCs w:val="24"/>
          <w:highlight w:val="yellow"/>
        </w:rPr>
      </w:pPr>
      <w:r>
        <w:rPr>
          <w:rFonts w:hint="eastAsia" w:ascii="仿宋_GB2312" w:hAnsi="宋体"/>
          <w:color w:val="auto"/>
          <w:kern w:val="0"/>
          <w:szCs w:val="24"/>
          <w:highlight w:val="yellow"/>
          <w:lang w:eastAsia="zh-CN"/>
        </w:rPr>
        <w:t>【</w:t>
      </w:r>
      <w:r>
        <w:rPr>
          <w:rFonts w:hint="eastAsia" w:ascii="仿宋_GB2312" w:hAnsi="宋体"/>
          <w:color w:val="auto"/>
          <w:kern w:val="0"/>
          <w:szCs w:val="24"/>
          <w:highlight w:val="yellow"/>
        </w:rPr>
        <w:t>本产品按金额申购，</w:t>
      </w:r>
      <w:r>
        <w:rPr>
          <w:rFonts w:hint="eastAsia" w:ascii="仿宋_GB2312" w:hAnsi="宋体" w:cs="宋体"/>
          <w:b/>
          <w:bCs/>
          <w:color w:val="auto"/>
          <w:kern w:val="0"/>
          <w:szCs w:val="24"/>
          <w:highlight w:val="yellow"/>
        </w:rPr>
        <w:t>申购、追加申购的价格采用产品申购确认日前一</w:t>
      </w:r>
      <w:r>
        <w:rPr>
          <w:rFonts w:hint="eastAsia" w:ascii="仿宋_GB2312" w:hAnsi="宋体" w:cs="宋体"/>
          <w:b/>
          <w:bCs/>
          <w:color w:val="auto"/>
          <w:kern w:val="0"/>
          <w:szCs w:val="24"/>
          <w:highlight w:val="yellow"/>
          <w:lang w:eastAsia="zh-CN"/>
        </w:rPr>
        <w:t>工作日</w:t>
      </w:r>
      <w:r>
        <w:rPr>
          <w:rFonts w:hint="eastAsia" w:ascii="仿宋_GB2312" w:hAnsi="宋体" w:cs="宋体"/>
          <w:b/>
          <w:bCs/>
          <w:color w:val="auto"/>
          <w:kern w:val="0"/>
          <w:szCs w:val="24"/>
          <w:highlight w:val="yellow"/>
          <w:lang w:val="en-US" w:eastAsia="zh-CN"/>
        </w:rPr>
        <w:t>/交易日/</w:t>
      </w:r>
      <w:r>
        <w:rPr>
          <w:rFonts w:hint="eastAsia" w:ascii="仿宋_GB2312" w:hAnsi="宋体" w:cs="宋体"/>
          <w:b/>
          <w:bCs/>
          <w:color w:val="auto"/>
          <w:kern w:val="0"/>
          <w:szCs w:val="24"/>
          <w:highlight w:val="yellow"/>
        </w:rPr>
        <w:t>自然日的产品份额净值。申购份额数值四舍五入后保留</w:t>
      </w:r>
      <w:r>
        <w:rPr>
          <w:rFonts w:ascii="仿宋_GB2312" w:hAnsi="宋体" w:cs="宋体"/>
          <w:b/>
          <w:bCs/>
          <w:color w:val="auto"/>
          <w:kern w:val="0"/>
          <w:szCs w:val="24"/>
          <w:highlight w:val="yellow"/>
        </w:rPr>
        <w:t>2位小数</w:t>
      </w:r>
      <w:r>
        <w:rPr>
          <w:rFonts w:hint="eastAsia" w:ascii="仿宋_GB2312" w:hAnsi="宋体" w:cs="宋体"/>
          <w:b/>
          <w:bCs/>
          <w:color w:val="auto"/>
          <w:kern w:val="0"/>
          <w:szCs w:val="24"/>
          <w:highlight w:val="yellow"/>
        </w:rPr>
        <w:t>,实际申购份额以浙银理财确认的份额为准。由此误差产生的损失由理财财产承担，产生的收益归理财财产所有。</w:t>
      </w:r>
    </w:p>
    <w:p w14:paraId="47CDA6B3">
      <w:pPr>
        <w:widowControl/>
        <w:tabs>
          <w:tab w:val="left" w:pos="709"/>
        </w:tabs>
        <w:snapToGrid w:val="0"/>
        <w:spacing w:line="360" w:lineRule="auto"/>
        <w:ind w:firstLine="420" w:firstLineChars="200"/>
        <w:rPr>
          <w:rFonts w:hint="eastAsia" w:ascii="仿宋_GB2312" w:hAnsi="宋体" w:eastAsia="仿宋_GB2312"/>
          <w:color w:val="auto"/>
          <w:kern w:val="0"/>
          <w:szCs w:val="24"/>
          <w:highlight w:val="yellow"/>
          <w:lang w:eastAsia="zh-CN"/>
        </w:rPr>
      </w:pPr>
      <w:r>
        <w:rPr>
          <w:rFonts w:hint="eastAsia" w:ascii="仿宋_GB2312" w:hAnsi="宋体"/>
          <w:color w:val="auto"/>
          <w:kern w:val="0"/>
          <w:szCs w:val="24"/>
          <w:highlight w:val="yellow"/>
        </w:rPr>
        <w:t>申购确认份额=投资者申购金额/申购价格</w:t>
      </w:r>
      <w:r>
        <w:rPr>
          <w:rFonts w:hint="eastAsia" w:ascii="仿宋_GB2312" w:hAnsi="宋体"/>
          <w:color w:val="auto"/>
          <w:kern w:val="0"/>
          <w:szCs w:val="24"/>
          <w:highlight w:val="yellow"/>
          <w:lang w:eastAsia="zh-CN"/>
        </w:rPr>
        <w:t>】</w:t>
      </w:r>
    </w:p>
    <w:p w14:paraId="6D0E8D24">
      <w:pPr>
        <w:widowControl/>
        <w:tabs>
          <w:tab w:val="left" w:pos="709"/>
        </w:tabs>
        <w:snapToGrid w:val="0"/>
        <w:spacing w:line="360" w:lineRule="auto"/>
        <w:ind w:firstLine="420" w:firstLineChars="200"/>
        <w:rPr>
          <w:rFonts w:hint="eastAsia" w:ascii="仿宋_GB2312" w:hAnsi="宋体"/>
          <w:color w:val="auto"/>
          <w:kern w:val="0"/>
          <w:szCs w:val="24"/>
          <w:highlight w:val="none"/>
        </w:rPr>
      </w:pPr>
      <w:r>
        <w:rPr>
          <w:rFonts w:hint="eastAsia" w:ascii="仿宋_GB2312" w:hAnsi="宋体"/>
          <w:color w:val="auto"/>
          <w:kern w:val="0"/>
          <w:szCs w:val="24"/>
          <w:highlight w:val="none"/>
        </w:rPr>
        <w:t>计算示例：假设投资者于产品存续期申购本产品，投资本金为100000.00元人民币，购买价格为1.123333元/份，则投资者申购确认份额为：</w:t>
      </w:r>
    </w:p>
    <w:p w14:paraId="7B114D02">
      <w:pPr>
        <w:widowControl/>
        <w:tabs>
          <w:tab w:val="left" w:pos="709"/>
        </w:tabs>
        <w:snapToGrid w:val="0"/>
        <w:spacing w:line="360" w:lineRule="auto"/>
        <w:ind w:firstLine="420" w:firstLineChars="200"/>
        <w:rPr>
          <w:rFonts w:hint="eastAsia" w:ascii="仿宋_GB2312" w:hAnsi="宋体"/>
          <w:color w:val="auto"/>
          <w:kern w:val="0"/>
          <w:szCs w:val="24"/>
          <w:highlight w:val="none"/>
        </w:rPr>
      </w:pPr>
      <w:r>
        <w:rPr>
          <w:rFonts w:hint="eastAsia" w:ascii="仿宋_GB2312" w:hAnsi="宋体"/>
          <w:color w:val="auto"/>
          <w:kern w:val="0"/>
          <w:szCs w:val="24"/>
          <w:highlight w:val="none"/>
        </w:rPr>
        <w:t>申购确认份额=100000.00÷1.123333=</w:t>
      </w:r>
      <w:r>
        <w:rPr>
          <w:rFonts w:ascii="仿宋_GB2312" w:hAnsi="宋体"/>
          <w:color w:val="auto"/>
          <w:kern w:val="0"/>
          <w:szCs w:val="24"/>
          <w:highlight w:val="none"/>
        </w:rPr>
        <w:t>890207.98</w:t>
      </w:r>
      <w:r>
        <w:rPr>
          <w:rFonts w:hint="eastAsia" w:ascii="仿宋_GB2312" w:hAnsi="宋体"/>
          <w:color w:val="auto"/>
          <w:kern w:val="0"/>
          <w:szCs w:val="24"/>
          <w:highlight w:val="none"/>
        </w:rPr>
        <w:t>（份）</w:t>
      </w:r>
    </w:p>
    <w:p w14:paraId="15130570">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 xml:space="preserve">7.申购的起点和递增金额 </w:t>
      </w:r>
    </w:p>
    <w:p w14:paraId="6FCC5AB3">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详见《产品说明书》“</w:t>
      </w:r>
      <w:r>
        <w:rPr>
          <w:rFonts w:hint="eastAsia" w:ascii="仿宋_GB2312" w:hAnsi="宋体" w:cs="宋体"/>
          <w:bCs/>
          <w:color w:val="auto"/>
          <w:kern w:val="0"/>
          <w:szCs w:val="24"/>
          <w:highlight w:val="none"/>
          <w:lang w:eastAsia="zh-CN"/>
        </w:rPr>
        <w:t>第一节 理财产品说明书关键要素</w:t>
      </w:r>
      <w:r>
        <w:rPr>
          <w:rFonts w:hint="eastAsia" w:ascii="仿宋_GB2312" w:hAnsi="宋体" w:cs="宋体"/>
          <w:bCs/>
          <w:color w:val="auto"/>
          <w:kern w:val="0"/>
          <w:szCs w:val="24"/>
          <w:highlight w:val="none"/>
        </w:rPr>
        <w:t>”。</w:t>
      </w:r>
    </w:p>
    <w:p w14:paraId="5C35CD12">
      <w:pPr>
        <w:tabs>
          <w:tab w:val="left" w:pos="312"/>
        </w:tabs>
        <w:adjustRightInd w:val="0"/>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8.申购的数量限制</w:t>
      </w:r>
    </w:p>
    <w:p w14:paraId="3282C4D0">
      <w:pPr>
        <w:tabs>
          <w:tab w:val="left" w:pos="312"/>
        </w:tabs>
        <w:adjustRightInd w:val="0"/>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详见《产品说明书》“</w:t>
      </w:r>
      <w:r>
        <w:rPr>
          <w:rFonts w:hint="eastAsia" w:ascii="仿宋_GB2312" w:hAnsi="宋体" w:cs="宋体"/>
          <w:bCs/>
          <w:color w:val="auto"/>
          <w:kern w:val="0"/>
          <w:szCs w:val="24"/>
          <w:highlight w:val="none"/>
          <w:lang w:eastAsia="zh-CN"/>
        </w:rPr>
        <w:t>第一节 理财产品说明书关键要素</w:t>
      </w:r>
      <w:r>
        <w:rPr>
          <w:rFonts w:hint="eastAsia" w:ascii="仿宋_GB2312" w:hAnsi="宋体" w:cs="宋体"/>
          <w:bCs/>
          <w:color w:val="auto"/>
          <w:kern w:val="0"/>
          <w:szCs w:val="24"/>
          <w:highlight w:val="none"/>
        </w:rPr>
        <w:t>”。</w:t>
      </w:r>
    </w:p>
    <w:p w14:paraId="5966E4A2">
      <w:pPr>
        <w:adjustRightInd w:val="0"/>
        <w:snapToGrid w:val="0"/>
        <w:spacing w:line="360" w:lineRule="auto"/>
        <w:ind w:firstLine="420" w:firstLineChars="200"/>
        <w:rPr>
          <w:rFonts w:hint="eastAsia" w:ascii="仿宋_GB2312" w:hAnsi="宋体"/>
          <w:color w:val="auto"/>
          <w:kern w:val="0"/>
          <w:szCs w:val="24"/>
          <w:highlight w:val="none"/>
        </w:rPr>
      </w:pPr>
      <w:r>
        <w:rPr>
          <w:rFonts w:hint="eastAsia" w:ascii="仿宋_GB2312" w:hAnsi="宋体"/>
          <w:color w:val="auto"/>
          <w:kern w:val="0"/>
          <w:szCs w:val="24"/>
          <w:highlight w:val="none"/>
          <w:lang w:val="en-US" w:eastAsia="zh-CN"/>
        </w:rPr>
        <w:t>9</w:t>
      </w:r>
      <w:r>
        <w:rPr>
          <w:rFonts w:hint="eastAsia" w:ascii="仿宋_GB2312" w:hAnsi="宋体"/>
          <w:color w:val="auto"/>
          <w:kern w:val="0"/>
          <w:szCs w:val="24"/>
          <w:highlight w:val="none"/>
        </w:rPr>
        <w:t>.拒绝或暂停申购</w:t>
      </w:r>
    </w:p>
    <w:p w14:paraId="3D8B1B5E">
      <w:pPr>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除本理财产品说明书另有规定外，当出现以下情形之一时，管理人有权拒绝投资者提交的理财产品申购申请并确认投资者申购失败，或通知销售机构暂停投资者申购并关闭系统申购交易功能，并在</w:t>
      </w:r>
      <w:r>
        <w:rPr>
          <w:rFonts w:hint="eastAsia" w:ascii="仿宋_GB2312" w:hAnsi="宋体" w:cs="宋体"/>
          <w:bCs/>
          <w:color w:val="auto"/>
          <w:kern w:val="0"/>
          <w:szCs w:val="24"/>
          <w:highlight w:val="none"/>
          <w:lang w:eastAsia="zh-CN"/>
        </w:rPr>
        <w:t>【</w:t>
      </w:r>
      <w:r>
        <w:rPr>
          <w:rFonts w:hint="eastAsia" w:ascii="仿宋_GB2312" w:hAnsi="宋体" w:cs="宋体"/>
          <w:bCs/>
          <w:color w:val="auto"/>
          <w:kern w:val="0"/>
          <w:szCs w:val="24"/>
          <w:highlight w:val="none"/>
          <w:lang w:val="en-US" w:eastAsia="zh-CN"/>
        </w:rPr>
        <w:t>3</w:t>
      </w:r>
      <w:r>
        <w:rPr>
          <w:rFonts w:hint="eastAsia" w:ascii="仿宋_GB2312" w:hAnsi="宋体" w:cs="宋体"/>
          <w:bCs/>
          <w:color w:val="auto"/>
          <w:kern w:val="0"/>
          <w:szCs w:val="24"/>
          <w:highlight w:val="none"/>
          <w:lang w:eastAsia="zh-CN"/>
        </w:rPr>
        <w:t>】</w:t>
      </w:r>
      <w:r>
        <w:rPr>
          <w:rFonts w:hint="eastAsia" w:ascii="仿宋_GB2312" w:hAnsi="宋体" w:cs="宋体"/>
          <w:bCs/>
          <w:color w:val="auto"/>
          <w:kern w:val="0"/>
          <w:szCs w:val="24"/>
          <w:highlight w:val="none"/>
        </w:rPr>
        <w:t>个</w:t>
      </w:r>
      <w:r>
        <w:rPr>
          <w:rFonts w:hint="eastAsia" w:ascii="仿宋_GB2312" w:hAnsi="宋体" w:cs="宋体"/>
          <w:bCs/>
          <w:color w:val="auto"/>
          <w:kern w:val="0"/>
          <w:szCs w:val="24"/>
          <w:highlight w:val="none"/>
          <w:lang w:eastAsia="zh-CN"/>
        </w:rPr>
        <w:t>工作日</w:t>
      </w:r>
      <w:r>
        <w:rPr>
          <w:rFonts w:hint="eastAsia" w:ascii="仿宋_GB2312" w:hAnsi="宋体" w:cs="宋体"/>
          <w:bCs/>
          <w:color w:val="auto"/>
          <w:kern w:val="0"/>
          <w:szCs w:val="24"/>
          <w:highlight w:val="none"/>
        </w:rPr>
        <w:t>内公告。在拒绝、暂停申购的情况消除后，管理人应及时通知销售机构恢复理财产品申购业务的办理。</w:t>
      </w:r>
    </w:p>
    <w:p w14:paraId="3C653101">
      <w:pPr>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（1）因不可抗力导致管理人无法接受投资者的申购申请；</w:t>
      </w:r>
    </w:p>
    <w:p w14:paraId="2390501C">
      <w:pPr>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（2）证券交易场所依法决定临时停市，导致管理人无法计算当日产品资产净值；</w:t>
      </w:r>
    </w:p>
    <w:p w14:paraId="07A30E8F">
      <w:pPr>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（3）当管理人认为某笔申购申请会有损于其他产品份额持有人利益时，可拒绝该笔申购申请；</w:t>
      </w:r>
    </w:p>
    <w:p w14:paraId="2AFF40BF">
      <w:pPr>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（4）法律、法规规定认定的其他情形。</w:t>
      </w:r>
    </w:p>
    <w:p w14:paraId="667D3C54">
      <w:pPr>
        <w:pStyle w:val="3"/>
        <w:numPr>
          <w:ilvl w:val="1"/>
          <w:numId w:val="13"/>
        </w:numPr>
        <w:tabs>
          <w:tab w:val="left" w:pos="0"/>
          <w:tab w:val="left" w:pos="3261"/>
        </w:tabs>
        <w:bidi w:val="0"/>
        <w:ind w:left="3261" w:leftChars="0" w:hanging="2785" w:firstLineChars="0"/>
        <w:rPr>
          <w:rFonts w:hint="eastAsia"/>
          <w:color w:val="auto"/>
          <w:highlight w:val="none"/>
        </w:rPr>
      </w:pPr>
      <w:r>
        <w:rPr>
          <w:rFonts w:hint="eastAsia"/>
          <w:color w:val="auto"/>
          <w:highlight w:val="none"/>
        </w:rPr>
        <w:t>理财产品</w:t>
      </w:r>
      <w:r>
        <w:rPr>
          <w:rFonts w:hint="eastAsia"/>
          <w:color w:val="auto"/>
          <w:highlight w:val="none"/>
          <w:lang w:eastAsia="zh-CN"/>
        </w:rPr>
        <w:t>的</w:t>
      </w:r>
      <w:r>
        <w:rPr>
          <w:rFonts w:hint="eastAsia"/>
          <w:color w:val="auto"/>
          <w:highlight w:val="none"/>
        </w:rPr>
        <w:t>赎回</w:t>
      </w:r>
      <w:r>
        <w:rPr>
          <w:color w:val="auto"/>
          <w:highlight w:val="none"/>
        </w:rPr>
        <w:t xml:space="preserve"> </w:t>
      </w:r>
    </w:p>
    <w:p w14:paraId="791E734D">
      <w:pPr>
        <w:tabs>
          <w:tab w:val="left" w:pos="312"/>
        </w:tabs>
        <w:adjustRightInd w:val="0"/>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1.赎回的时间</w:t>
      </w:r>
    </w:p>
    <w:p w14:paraId="65F75D02">
      <w:pPr>
        <w:tabs>
          <w:tab w:val="left" w:pos="312"/>
        </w:tabs>
        <w:adjustRightInd w:val="0"/>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本产品具体赎回时间以《产品说明书》“</w:t>
      </w:r>
      <w:r>
        <w:rPr>
          <w:rFonts w:hint="eastAsia" w:ascii="仿宋_GB2312" w:hAnsi="宋体" w:cs="宋体"/>
          <w:bCs/>
          <w:color w:val="auto"/>
          <w:kern w:val="0"/>
          <w:szCs w:val="24"/>
          <w:highlight w:val="none"/>
          <w:lang w:eastAsia="zh-CN"/>
        </w:rPr>
        <w:t>第一节 理财产品说明书关键要素</w:t>
      </w:r>
      <w:r>
        <w:rPr>
          <w:rFonts w:hint="eastAsia" w:ascii="仿宋_GB2312" w:hAnsi="宋体" w:cs="宋体"/>
          <w:bCs/>
          <w:color w:val="auto"/>
          <w:kern w:val="0"/>
          <w:szCs w:val="24"/>
          <w:highlight w:val="none"/>
        </w:rPr>
        <w:t>”为准。</w:t>
      </w:r>
    </w:p>
    <w:p w14:paraId="6D601991">
      <w:pPr>
        <w:tabs>
          <w:tab w:val="left" w:pos="312"/>
        </w:tabs>
        <w:adjustRightInd w:val="0"/>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2.赎回的方式</w:t>
      </w:r>
    </w:p>
    <w:p w14:paraId="75A8913A">
      <w:pPr>
        <w:tabs>
          <w:tab w:val="left" w:pos="312"/>
        </w:tabs>
        <w:adjustRightInd w:val="0"/>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投资者可通过销售机构的销售渠道赎回。不同销售机构的销售渠道，赎回确认时效可能存在差异。</w:t>
      </w:r>
    </w:p>
    <w:p w14:paraId="6CFB1414">
      <w:pPr>
        <w:tabs>
          <w:tab w:val="left" w:pos="312"/>
        </w:tabs>
        <w:adjustRightInd w:val="0"/>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投资者通过销售机构线下渠道赎回的，应签署有关理财产品销售文件。</w:t>
      </w:r>
    </w:p>
    <w:p w14:paraId="6AA52D7C">
      <w:pPr>
        <w:tabs>
          <w:tab w:val="left" w:pos="312"/>
        </w:tabs>
        <w:adjustRightInd w:val="0"/>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投资者通过销售机构线上渠道赎回的，应根据销售机构线上渠道的具体要求执行。</w:t>
      </w:r>
    </w:p>
    <w:p w14:paraId="223F2920">
      <w:pPr>
        <w:tabs>
          <w:tab w:val="left" w:pos="312"/>
        </w:tabs>
        <w:adjustRightInd w:val="0"/>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3.赎回的确认</w:t>
      </w:r>
    </w:p>
    <w:p w14:paraId="37631AD8">
      <w:pPr>
        <w:tabs>
          <w:tab w:val="left" w:pos="312"/>
        </w:tabs>
        <w:adjustRightInd w:val="0"/>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本产品赎回确认详见《产品说明书》“</w:t>
      </w:r>
      <w:r>
        <w:rPr>
          <w:rFonts w:hint="eastAsia" w:ascii="仿宋_GB2312" w:hAnsi="宋体" w:cs="宋体"/>
          <w:bCs/>
          <w:color w:val="auto"/>
          <w:kern w:val="0"/>
          <w:szCs w:val="24"/>
          <w:highlight w:val="none"/>
          <w:lang w:eastAsia="zh-CN"/>
        </w:rPr>
        <w:t>第一节 理财产品说明书关键要素</w:t>
      </w:r>
      <w:r>
        <w:rPr>
          <w:rFonts w:hint="eastAsia" w:ascii="仿宋_GB2312" w:hAnsi="宋体" w:cs="宋体"/>
          <w:bCs/>
          <w:color w:val="auto"/>
          <w:kern w:val="0"/>
          <w:szCs w:val="24"/>
          <w:highlight w:val="none"/>
        </w:rPr>
        <w:t>”。</w:t>
      </w:r>
    </w:p>
    <w:p w14:paraId="2344B36A">
      <w:pPr>
        <w:tabs>
          <w:tab w:val="left" w:pos="312"/>
        </w:tabs>
        <w:adjustRightInd w:val="0"/>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投资者提交赎回申请并不代表赎回成功，产品管理人将在赎回确认日确认投资者是否赎回成功。赎回是否成功以管理人的确认结果为准。</w:t>
      </w:r>
    </w:p>
    <w:p w14:paraId="36023C2D">
      <w:pPr>
        <w:tabs>
          <w:tab w:val="left" w:pos="312"/>
        </w:tabs>
        <w:adjustRightInd w:val="0"/>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4.赎回的价格</w:t>
      </w:r>
    </w:p>
    <w:p w14:paraId="0465D92B">
      <w:pPr>
        <w:tabs>
          <w:tab w:val="left" w:pos="312"/>
        </w:tabs>
        <w:adjustRightInd w:val="0"/>
        <w:snapToGrid w:val="0"/>
        <w:spacing w:line="360" w:lineRule="auto"/>
        <w:ind w:firstLine="420" w:firstLineChars="200"/>
        <w:rPr>
          <w:rFonts w:hint="eastAsia" w:ascii="仿宋_GB2312" w:hAnsi="宋体" w:eastAsia="仿宋_GB2312" w:cs="宋体"/>
          <w:bCs/>
          <w:color w:val="auto"/>
          <w:kern w:val="0"/>
          <w:szCs w:val="24"/>
          <w:highlight w:val="yellow"/>
          <w:lang w:eastAsia="zh-CN"/>
        </w:rPr>
      </w:pP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yellow"/>
        </w:rPr>
        <w:t>赎回价格为开放</w:t>
      </w:r>
      <w:r>
        <w:rPr>
          <w:rFonts w:hint="eastAsia" w:ascii="仿宋_GB2312" w:hAnsi="宋体" w:cs="宋体"/>
          <w:bCs/>
          <w:color w:val="auto"/>
          <w:kern w:val="0"/>
          <w:szCs w:val="24"/>
          <w:highlight w:val="yellow"/>
          <w:lang w:eastAsia="zh-CN"/>
        </w:rPr>
        <w:t>确认</w:t>
      </w:r>
      <w:r>
        <w:rPr>
          <w:rFonts w:hint="eastAsia" w:ascii="仿宋_GB2312" w:hAnsi="宋体" w:cs="宋体"/>
          <w:bCs/>
          <w:color w:val="auto"/>
          <w:kern w:val="0"/>
          <w:szCs w:val="24"/>
          <w:highlight w:val="yellow"/>
        </w:rPr>
        <w:t>日</w:t>
      </w:r>
      <w:r>
        <w:rPr>
          <w:rFonts w:hint="eastAsia" w:ascii="仿宋_GB2312" w:hAnsi="宋体" w:cs="宋体"/>
          <w:bCs/>
          <w:color w:val="auto"/>
          <w:kern w:val="0"/>
          <w:szCs w:val="24"/>
          <w:highlight w:val="yellow"/>
          <w:lang w:eastAsia="zh-CN"/>
        </w:rPr>
        <w:t>（赎回确认日）前一工作日</w:t>
      </w:r>
      <w:r>
        <w:rPr>
          <w:rFonts w:hint="eastAsia" w:ascii="仿宋_GB2312" w:hAnsi="宋体" w:cs="宋体"/>
          <w:bCs/>
          <w:color w:val="auto"/>
          <w:kern w:val="0"/>
          <w:szCs w:val="24"/>
          <w:highlight w:val="yellow"/>
          <w:lang w:val="en-US" w:eastAsia="zh-CN"/>
        </w:rPr>
        <w:t>/交易日/</w:t>
      </w:r>
      <w:r>
        <w:rPr>
          <w:rFonts w:hint="eastAsia" w:ascii="仿宋_GB2312" w:hAnsi="宋体" w:cs="宋体"/>
          <w:bCs/>
          <w:color w:val="auto"/>
          <w:kern w:val="0"/>
          <w:szCs w:val="24"/>
          <w:highlight w:val="yellow"/>
          <w:lang w:eastAsia="zh-CN"/>
        </w:rPr>
        <w:t>自然日的</w:t>
      </w:r>
      <w:r>
        <w:rPr>
          <w:rFonts w:hint="eastAsia" w:ascii="仿宋_GB2312" w:hAnsi="宋体" w:cs="宋体"/>
          <w:bCs/>
          <w:color w:val="auto"/>
          <w:kern w:val="0"/>
          <w:szCs w:val="24"/>
          <w:highlight w:val="yellow"/>
        </w:rPr>
        <w:t>产品份额净值</w:t>
      </w:r>
      <w:r>
        <w:rPr>
          <w:rFonts w:hint="eastAsia" w:ascii="仿宋_GB2312" w:hAnsi="宋体" w:cs="宋体"/>
          <w:bCs/>
          <w:color w:val="auto"/>
          <w:kern w:val="0"/>
          <w:szCs w:val="24"/>
          <w:highlight w:val="yellow"/>
          <w:lang w:eastAsia="zh-CN"/>
        </w:rPr>
        <w:t>。】</w:t>
      </w:r>
    </w:p>
    <w:p w14:paraId="2668ABBA">
      <w:pPr>
        <w:tabs>
          <w:tab w:val="left" w:pos="312"/>
        </w:tabs>
        <w:adjustRightInd w:val="0"/>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5.赎回的费用</w:t>
      </w:r>
    </w:p>
    <w:p w14:paraId="41A5DCA4">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本产品赎回费用详见《产品说明书》“</w:t>
      </w:r>
      <w:r>
        <w:rPr>
          <w:rFonts w:hint="eastAsia" w:ascii="仿宋_GB2312" w:hAnsi="宋体" w:cs="宋体"/>
          <w:bCs/>
          <w:color w:val="auto"/>
          <w:kern w:val="0"/>
          <w:szCs w:val="24"/>
          <w:highlight w:val="none"/>
          <w:lang w:eastAsia="zh-CN"/>
        </w:rPr>
        <w:t>第一节 理财产品说明书关键要素</w:t>
      </w:r>
      <w:r>
        <w:rPr>
          <w:rFonts w:hint="eastAsia" w:ascii="仿宋_GB2312" w:hAnsi="宋体" w:cs="宋体"/>
          <w:bCs/>
          <w:color w:val="auto"/>
          <w:kern w:val="0"/>
          <w:szCs w:val="24"/>
          <w:highlight w:val="none"/>
        </w:rPr>
        <w:t>”</w:t>
      </w:r>
    </w:p>
    <w:p w14:paraId="5AFFBB74">
      <w:pPr>
        <w:tabs>
          <w:tab w:val="left" w:pos="312"/>
        </w:tabs>
        <w:adjustRightInd w:val="0"/>
        <w:snapToGrid w:val="0"/>
        <w:spacing w:line="360" w:lineRule="auto"/>
        <w:ind w:firstLine="420" w:firstLineChars="200"/>
        <w:rPr>
          <w:rFonts w:hint="eastAsia" w:ascii="仿宋_GB2312" w:hAnsi="宋体"/>
          <w:color w:val="auto"/>
          <w:kern w:val="0"/>
          <w:szCs w:val="24"/>
          <w:highlight w:val="none"/>
        </w:rPr>
      </w:pPr>
      <w:r>
        <w:rPr>
          <w:rFonts w:hint="eastAsia" w:ascii="仿宋_GB2312" w:hAnsi="宋体" w:cs="宋体"/>
          <w:bCs/>
          <w:color w:val="auto"/>
          <w:kern w:val="0"/>
          <w:szCs w:val="24"/>
          <w:highlight w:val="none"/>
          <w:lang w:val="en-US" w:eastAsia="zh-CN"/>
        </w:rPr>
        <w:t>6.</w:t>
      </w:r>
      <w:r>
        <w:rPr>
          <w:rFonts w:hint="eastAsia" w:ascii="仿宋_GB2312" w:hAnsi="宋体"/>
          <w:color w:val="auto"/>
          <w:kern w:val="0"/>
          <w:szCs w:val="24"/>
          <w:highlight w:val="none"/>
        </w:rPr>
        <w:t>赎回确认金额计算：</w:t>
      </w:r>
    </w:p>
    <w:p w14:paraId="2BB80B2A">
      <w:pPr>
        <w:widowControl/>
        <w:numPr>
          <w:ilvl w:val="0"/>
          <w:numId w:val="0"/>
        </w:numPr>
        <w:tabs>
          <w:tab w:val="left" w:pos="709"/>
        </w:tabs>
        <w:snapToGrid w:val="0"/>
        <w:spacing w:line="360" w:lineRule="auto"/>
        <w:ind w:leftChars="0" w:firstLine="420" w:firstLineChars="200"/>
        <w:jc w:val="left"/>
        <w:rPr>
          <w:rFonts w:hint="eastAsia" w:ascii="仿宋_GB2312" w:hAnsi="宋体"/>
          <w:b/>
          <w:color w:val="auto"/>
          <w:kern w:val="0"/>
          <w:szCs w:val="24"/>
          <w:highlight w:val="yellow"/>
        </w:rPr>
      </w:pPr>
      <w:r>
        <w:rPr>
          <w:rFonts w:hint="eastAsia" w:ascii="仿宋_GB2312" w:hAnsi="宋体"/>
          <w:color w:val="auto"/>
          <w:kern w:val="0"/>
          <w:szCs w:val="24"/>
          <w:highlight w:val="yellow"/>
          <w:lang w:eastAsia="zh-CN"/>
        </w:rPr>
        <w:t>【</w:t>
      </w:r>
      <w:r>
        <w:rPr>
          <w:rFonts w:hint="eastAsia" w:ascii="仿宋_GB2312" w:hAnsi="宋体"/>
          <w:color w:val="auto"/>
          <w:kern w:val="0"/>
          <w:szCs w:val="24"/>
          <w:highlight w:val="yellow"/>
        </w:rPr>
        <w:t>本产品按份额赎回，</w:t>
      </w:r>
      <w:r>
        <w:rPr>
          <w:rFonts w:hint="eastAsia" w:ascii="仿宋_GB2312" w:hAnsi="宋体"/>
          <w:b/>
          <w:color w:val="auto"/>
          <w:kern w:val="0"/>
          <w:szCs w:val="24"/>
          <w:highlight w:val="yellow"/>
        </w:rPr>
        <w:t>赎回价格采用产品赎回确认日前一</w:t>
      </w:r>
      <w:r>
        <w:rPr>
          <w:rFonts w:hint="eastAsia" w:ascii="仿宋_GB2312" w:hAnsi="宋体"/>
          <w:b/>
          <w:color w:val="auto"/>
          <w:kern w:val="0"/>
          <w:szCs w:val="24"/>
          <w:highlight w:val="yellow"/>
          <w:lang w:eastAsia="zh-CN"/>
        </w:rPr>
        <w:t>工作日</w:t>
      </w:r>
      <w:r>
        <w:rPr>
          <w:rFonts w:hint="eastAsia" w:ascii="仿宋_GB2312" w:hAnsi="宋体"/>
          <w:b/>
          <w:color w:val="auto"/>
          <w:kern w:val="0"/>
          <w:szCs w:val="24"/>
          <w:highlight w:val="yellow"/>
          <w:lang w:val="en-US" w:eastAsia="zh-CN"/>
        </w:rPr>
        <w:t>/交易日/</w:t>
      </w:r>
      <w:r>
        <w:rPr>
          <w:rFonts w:hint="eastAsia" w:ascii="仿宋_GB2312" w:hAnsi="宋体"/>
          <w:b/>
          <w:color w:val="auto"/>
          <w:kern w:val="0"/>
          <w:szCs w:val="24"/>
          <w:highlight w:val="yellow"/>
        </w:rPr>
        <w:t>自然日的产品份额净值。赎回确认金额四舍五入后保留</w:t>
      </w:r>
      <w:r>
        <w:rPr>
          <w:rFonts w:ascii="仿宋_GB2312" w:hAnsi="宋体"/>
          <w:b/>
          <w:color w:val="auto"/>
          <w:kern w:val="0"/>
          <w:szCs w:val="24"/>
          <w:highlight w:val="yellow"/>
        </w:rPr>
        <w:t>2位小数</w:t>
      </w:r>
      <w:r>
        <w:rPr>
          <w:rFonts w:hint="eastAsia" w:ascii="仿宋_GB2312" w:hAnsi="宋体"/>
          <w:b/>
          <w:color w:val="auto"/>
          <w:kern w:val="0"/>
          <w:szCs w:val="24"/>
          <w:highlight w:val="yellow"/>
        </w:rPr>
        <w:t>，</w:t>
      </w:r>
      <w:r>
        <w:rPr>
          <w:rFonts w:hint="eastAsia" w:ascii="仿宋_GB2312" w:hAnsi="宋体" w:cs="宋体"/>
          <w:b/>
          <w:bCs/>
          <w:color w:val="auto"/>
          <w:kern w:val="0"/>
          <w:szCs w:val="24"/>
          <w:highlight w:val="yellow"/>
        </w:rPr>
        <w:t>以</w:t>
      </w:r>
      <w:r>
        <w:rPr>
          <w:rFonts w:hint="eastAsia" w:ascii="仿宋_GB2312" w:hAnsi="宋体" w:cs="宋体"/>
          <w:b/>
          <w:color w:val="auto"/>
          <w:kern w:val="0"/>
          <w:szCs w:val="24"/>
          <w:highlight w:val="yellow"/>
        </w:rPr>
        <w:t>浙银理财</w:t>
      </w:r>
      <w:r>
        <w:rPr>
          <w:rFonts w:hint="eastAsia" w:ascii="仿宋_GB2312" w:hAnsi="宋体" w:cs="宋体"/>
          <w:b/>
          <w:bCs/>
          <w:color w:val="auto"/>
          <w:kern w:val="0"/>
          <w:szCs w:val="24"/>
          <w:highlight w:val="yellow"/>
        </w:rPr>
        <w:t>确认结果为准。</w:t>
      </w:r>
      <w:r>
        <w:rPr>
          <w:rFonts w:hint="eastAsia" w:ascii="仿宋_GB2312" w:hAnsi="宋体"/>
          <w:b/>
          <w:color w:val="auto"/>
          <w:kern w:val="0"/>
          <w:szCs w:val="24"/>
          <w:highlight w:val="yellow"/>
        </w:rPr>
        <w:t>由此误差产生的损失由理财财产承担，产生的收益归理财财产所有。</w:t>
      </w:r>
    </w:p>
    <w:p w14:paraId="54A0B14B">
      <w:pPr>
        <w:widowControl/>
        <w:tabs>
          <w:tab w:val="left" w:pos="709"/>
        </w:tabs>
        <w:snapToGrid w:val="0"/>
        <w:spacing w:line="360" w:lineRule="auto"/>
        <w:ind w:firstLine="420" w:firstLineChars="200"/>
        <w:rPr>
          <w:rFonts w:hint="eastAsia" w:ascii="仿宋_GB2312" w:hAnsi="宋体"/>
          <w:color w:val="auto"/>
          <w:kern w:val="0"/>
          <w:szCs w:val="24"/>
          <w:highlight w:val="yellow"/>
        </w:rPr>
      </w:pPr>
      <w:r>
        <w:rPr>
          <w:rFonts w:hint="eastAsia" w:ascii="仿宋_GB2312" w:hAnsi="宋体"/>
          <w:color w:val="auto"/>
          <w:kern w:val="0"/>
          <w:szCs w:val="24"/>
          <w:highlight w:val="yellow"/>
        </w:rPr>
        <w:t>赎回确认金额=赎回份额×赎回价格</w:t>
      </w:r>
    </w:p>
    <w:p w14:paraId="3F4041CB">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yellow"/>
          <w:u w:val="none"/>
          <w:lang w:eastAsia="zh-CN"/>
        </w:rPr>
      </w:pPr>
      <w:r>
        <w:rPr>
          <w:rFonts w:hint="eastAsia" w:ascii="仿宋_GB2312" w:hAnsi="宋体" w:cs="宋体"/>
          <w:bCs/>
          <w:color w:val="auto"/>
          <w:kern w:val="0"/>
          <w:szCs w:val="24"/>
          <w:highlight w:val="yellow"/>
          <w:u w:val="none"/>
          <w:lang w:eastAsia="zh-CN"/>
        </w:rPr>
        <w:t>若本理财产品设置不同的产品份额类别，当某一份额类别因投资者赎回致使该份额类别剩余份额归零，产品管理人将以赎回</w:t>
      </w:r>
      <w:r>
        <w:rPr>
          <w:rFonts w:hint="eastAsia" w:ascii="仿宋_GB2312" w:hAnsi="宋体" w:cs="宋体"/>
          <w:bCs/>
          <w:color w:val="auto"/>
          <w:kern w:val="0"/>
          <w:szCs w:val="24"/>
          <w:highlight w:val="yellow"/>
          <w:lang w:eastAsia="zh-CN"/>
        </w:rPr>
        <w:t>确认</w:t>
      </w:r>
      <w:r>
        <w:rPr>
          <w:rFonts w:hint="eastAsia" w:ascii="仿宋_GB2312" w:hAnsi="宋体" w:cs="宋体"/>
          <w:bCs/>
          <w:color w:val="auto"/>
          <w:kern w:val="0"/>
          <w:szCs w:val="24"/>
          <w:highlight w:val="yellow"/>
        </w:rPr>
        <w:t>日</w:t>
      </w:r>
      <w:r>
        <w:rPr>
          <w:rFonts w:hint="eastAsia" w:ascii="仿宋_GB2312" w:hAnsi="宋体" w:cs="宋体"/>
          <w:bCs/>
          <w:color w:val="auto"/>
          <w:kern w:val="0"/>
          <w:szCs w:val="24"/>
          <w:highlight w:val="yellow"/>
          <w:lang w:eastAsia="zh-CN"/>
        </w:rPr>
        <w:t>前一工作日</w:t>
      </w:r>
      <w:r>
        <w:rPr>
          <w:rFonts w:hint="eastAsia" w:ascii="仿宋_GB2312" w:hAnsi="宋体" w:cs="宋体"/>
          <w:bCs/>
          <w:color w:val="auto"/>
          <w:kern w:val="0"/>
          <w:szCs w:val="24"/>
          <w:highlight w:val="yellow"/>
          <w:lang w:val="en-US" w:eastAsia="zh-CN"/>
        </w:rPr>
        <w:t>/交易日/</w:t>
      </w:r>
      <w:r>
        <w:rPr>
          <w:rFonts w:hint="eastAsia" w:ascii="仿宋_GB2312" w:hAnsi="宋体" w:cs="宋体"/>
          <w:bCs/>
          <w:color w:val="auto"/>
          <w:kern w:val="0"/>
          <w:szCs w:val="24"/>
          <w:highlight w:val="yellow"/>
          <w:lang w:eastAsia="zh-CN"/>
        </w:rPr>
        <w:t>自然日</w:t>
      </w:r>
      <w:r>
        <w:rPr>
          <w:rFonts w:hint="eastAsia" w:ascii="仿宋_GB2312" w:hAnsi="宋体" w:cs="宋体"/>
          <w:bCs/>
          <w:color w:val="auto"/>
          <w:kern w:val="0"/>
          <w:szCs w:val="24"/>
          <w:highlight w:val="yellow"/>
          <w:u w:val="none"/>
          <w:lang w:eastAsia="zh-CN"/>
        </w:rPr>
        <w:t>该份额类别对应的总资产净值，向持有该份额类别的投资者进行兑付。</w:t>
      </w:r>
    </w:p>
    <w:p w14:paraId="6A4CD706">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yellow"/>
          <w:u w:val="none"/>
          <w:lang w:eastAsia="zh-CN"/>
        </w:rPr>
      </w:pPr>
      <w:r>
        <w:rPr>
          <w:rFonts w:hint="eastAsia" w:ascii="仿宋_GB2312" w:hAnsi="宋体" w:cs="宋体"/>
          <w:bCs/>
          <w:color w:val="auto"/>
          <w:kern w:val="0"/>
          <w:szCs w:val="24"/>
          <w:highlight w:val="yellow"/>
          <w:u w:val="none"/>
          <w:lang w:eastAsia="zh-CN"/>
        </w:rPr>
        <w:t>该情形下投资者赎回金额计算公式如下：</w:t>
      </w:r>
    </w:p>
    <w:p w14:paraId="3D70EB27">
      <w:pPr>
        <w:tabs>
          <w:tab w:val="left" w:pos="312"/>
        </w:tabs>
        <w:adjustRightInd w:val="0"/>
        <w:snapToGrid w:val="0"/>
        <w:spacing w:line="360" w:lineRule="auto"/>
        <w:ind w:firstLine="420" w:firstLineChars="200"/>
        <w:rPr>
          <w:rFonts w:hint="eastAsia" w:ascii="仿宋_GB2312" w:hAnsi="宋体" w:eastAsia="仿宋_GB2312"/>
          <w:color w:val="auto"/>
          <w:kern w:val="0"/>
          <w:szCs w:val="24"/>
          <w:highlight w:val="yellow"/>
          <w:lang w:eastAsia="zh-CN"/>
        </w:rPr>
      </w:pPr>
      <w:r>
        <w:rPr>
          <w:rFonts w:hint="eastAsia" w:ascii="仿宋_GB2312" w:hAnsi="宋体" w:cs="宋体"/>
          <w:bCs/>
          <w:color w:val="auto"/>
          <w:kern w:val="0"/>
          <w:szCs w:val="24"/>
          <w:highlight w:val="yellow"/>
          <w:u w:val="none"/>
          <w:lang w:eastAsia="zh-CN"/>
        </w:rPr>
        <w:t>赎回确认金额=投资者在赎回确认日</w:t>
      </w:r>
      <w:r>
        <w:rPr>
          <w:rFonts w:hint="eastAsia" w:ascii="仿宋_GB2312" w:hAnsi="宋体" w:cs="宋体"/>
          <w:bCs/>
          <w:color w:val="auto"/>
          <w:kern w:val="0"/>
          <w:szCs w:val="24"/>
          <w:highlight w:val="yellow"/>
          <w:lang w:eastAsia="zh-CN"/>
        </w:rPr>
        <w:t>前一工作日</w:t>
      </w:r>
      <w:r>
        <w:rPr>
          <w:rFonts w:hint="eastAsia" w:ascii="仿宋_GB2312" w:hAnsi="宋体" w:cs="宋体"/>
          <w:bCs/>
          <w:color w:val="auto"/>
          <w:kern w:val="0"/>
          <w:szCs w:val="24"/>
          <w:highlight w:val="yellow"/>
          <w:lang w:val="en-US" w:eastAsia="zh-CN"/>
        </w:rPr>
        <w:t>/交易日/</w:t>
      </w:r>
      <w:r>
        <w:rPr>
          <w:rFonts w:hint="eastAsia" w:ascii="仿宋_GB2312" w:hAnsi="宋体" w:cs="宋体"/>
          <w:bCs/>
          <w:color w:val="auto"/>
          <w:kern w:val="0"/>
          <w:szCs w:val="24"/>
          <w:highlight w:val="yellow"/>
          <w:lang w:eastAsia="zh-CN"/>
        </w:rPr>
        <w:t>自然日</w:t>
      </w:r>
      <w:r>
        <w:rPr>
          <w:rFonts w:hint="eastAsia" w:ascii="仿宋_GB2312" w:hAnsi="宋体" w:cs="宋体"/>
          <w:bCs/>
          <w:color w:val="auto"/>
          <w:kern w:val="0"/>
          <w:szCs w:val="24"/>
          <w:highlight w:val="yellow"/>
          <w:u w:val="none"/>
          <w:lang w:eastAsia="zh-CN"/>
        </w:rPr>
        <w:t>持有的该份额类别份额/该份额类别总份额*该份额类别在赎回确认日</w:t>
      </w:r>
      <w:r>
        <w:rPr>
          <w:rFonts w:hint="eastAsia" w:ascii="仿宋_GB2312" w:hAnsi="宋体" w:cs="宋体"/>
          <w:bCs/>
          <w:color w:val="auto"/>
          <w:kern w:val="0"/>
          <w:szCs w:val="24"/>
          <w:highlight w:val="yellow"/>
          <w:lang w:eastAsia="zh-CN"/>
        </w:rPr>
        <w:t>前一工作日</w:t>
      </w:r>
      <w:r>
        <w:rPr>
          <w:rFonts w:hint="eastAsia" w:ascii="仿宋_GB2312" w:hAnsi="宋体" w:cs="宋体"/>
          <w:bCs/>
          <w:color w:val="auto"/>
          <w:kern w:val="0"/>
          <w:szCs w:val="24"/>
          <w:highlight w:val="yellow"/>
          <w:lang w:val="en-US" w:eastAsia="zh-CN"/>
        </w:rPr>
        <w:t>/交易日/</w:t>
      </w:r>
      <w:r>
        <w:rPr>
          <w:rFonts w:hint="eastAsia" w:ascii="仿宋_GB2312" w:hAnsi="宋体" w:cs="宋体"/>
          <w:bCs/>
          <w:color w:val="auto"/>
          <w:kern w:val="0"/>
          <w:szCs w:val="24"/>
          <w:highlight w:val="yellow"/>
          <w:lang w:eastAsia="zh-CN"/>
        </w:rPr>
        <w:t>自然日</w:t>
      </w:r>
      <w:r>
        <w:rPr>
          <w:rFonts w:hint="eastAsia" w:ascii="仿宋_GB2312" w:hAnsi="宋体" w:cs="宋体"/>
          <w:bCs/>
          <w:color w:val="auto"/>
          <w:kern w:val="0"/>
          <w:szCs w:val="24"/>
          <w:highlight w:val="yellow"/>
          <w:u w:val="none"/>
          <w:lang w:eastAsia="zh-CN"/>
        </w:rPr>
        <w:t>总资产净值</w:t>
      </w:r>
      <w:r>
        <w:rPr>
          <w:rFonts w:hint="eastAsia" w:ascii="仿宋_GB2312" w:hAnsi="宋体"/>
          <w:color w:val="auto"/>
          <w:kern w:val="0"/>
          <w:szCs w:val="24"/>
          <w:highlight w:val="yellow"/>
          <w:lang w:eastAsia="zh-CN"/>
        </w:rPr>
        <w:t>】</w:t>
      </w:r>
    </w:p>
    <w:p w14:paraId="73312AC3">
      <w:pPr>
        <w:widowControl/>
        <w:tabs>
          <w:tab w:val="left" w:pos="709"/>
        </w:tabs>
        <w:snapToGrid w:val="0"/>
        <w:spacing w:line="360" w:lineRule="auto"/>
        <w:ind w:firstLine="420" w:firstLineChars="200"/>
        <w:rPr>
          <w:rFonts w:hint="eastAsia" w:ascii="仿宋_GB2312" w:hAnsi="宋体"/>
          <w:color w:val="auto"/>
          <w:kern w:val="0"/>
          <w:szCs w:val="24"/>
          <w:highlight w:val="none"/>
        </w:rPr>
      </w:pPr>
      <w:r>
        <w:rPr>
          <w:rFonts w:hint="eastAsia" w:ascii="仿宋_GB2312" w:hAnsi="宋体"/>
          <w:color w:val="auto"/>
          <w:kern w:val="0"/>
          <w:szCs w:val="24"/>
          <w:highlight w:val="none"/>
        </w:rPr>
        <w:t>计算示例：假设投资者某日赎回持有份额1000000.88份，赎回价格为1.054321元/份，兑付投资者的赎回确认金额为：</w:t>
      </w:r>
    </w:p>
    <w:p w14:paraId="299A9D5E">
      <w:pPr>
        <w:widowControl/>
        <w:tabs>
          <w:tab w:val="left" w:pos="709"/>
        </w:tabs>
        <w:snapToGrid w:val="0"/>
        <w:spacing w:line="360" w:lineRule="auto"/>
        <w:ind w:firstLine="420" w:firstLineChars="200"/>
        <w:rPr>
          <w:rFonts w:hint="eastAsia" w:ascii="仿宋_GB2312" w:hAnsi="宋体"/>
          <w:color w:val="auto"/>
          <w:kern w:val="0"/>
          <w:szCs w:val="24"/>
          <w:highlight w:val="none"/>
        </w:rPr>
      </w:pPr>
      <w:r>
        <w:rPr>
          <w:rFonts w:hint="eastAsia" w:ascii="仿宋_GB2312" w:hAnsi="宋体"/>
          <w:color w:val="auto"/>
          <w:kern w:val="0"/>
          <w:szCs w:val="24"/>
          <w:highlight w:val="none"/>
        </w:rPr>
        <w:t>赎回确认金额=1000000.88×1.054321=1054321.93（元）</w:t>
      </w:r>
    </w:p>
    <w:p w14:paraId="3DBDB1E5">
      <w:pPr>
        <w:widowControl/>
        <w:tabs>
          <w:tab w:val="left" w:pos="709"/>
        </w:tabs>
        <w:snapToGrid w:val="0"/>
        <w:spacing w:line="360" w:lineRule="auto"/>
        <w:ind w:firstLine="422" w:firstLineChars="200"/>
        <w:rPr>
          <w:rFonts w:hint="eastAsia" w:ascii="仿宋_GB2312" w:hAnsi="宋体"/>
          <w:b/>
          <w:color w:val="auto"/>
          <w:kern w:val="0"/>
          <w:szCs w:val="24"/>
          <w:highlight w:val="none"/>
        </w:rPr>
      </w:pPr>
      <w:r>
        <w:rPr>
          <w:rFonts w:hint="eastAsia" w:ascii="仿宋_GB2312" w:hAnsi="宋体"/>
          <w:b/>
          <w:color w:val="auto"/>
          <w:kern w:val="0"/>
          <w:szCs w:val="24"/>
          <w:highlight w:val="none"/>
        </w:rPr>
        <w:t>测算收益不等于实际收益，投资须谨慎。</w:t>
      </w:r>
    </w:p>
    <w:p w14:paraId="18E15532">
      <w:pPr>
        <w:tabs>
          <w:tab w:val="left" w:pos="312"/>
        </w:tabs>
        <w:adjustRightInd w:val="0"/>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7.赎回的数量限制</w:t>
      </w:r>
    </w:p>
    <w:p w14:paraId="682E8AA3">
      <w:pPr>
        <w:tabs>
          <w:tab w:val="left" w:pos="312"/>
        </w:tabs>
        <w:adjustRightInd w:val="0"/>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详见《产品说明书》“</w:t>
      </w:r>
      <w:r>
        <w:rPr>
          <w:rFonts w:hint="eastAsia" w:ascii="仿宋_GB2312" w:hAnsi="宋体" w:cs="宋体"/>
          <w:bCs/>
          <w:color w:val="auto"/>
          <w:kern w:val="0"/>
          <w:szCs w:val="24"/>
          <w:highlight w:val="none"/>
          <w:lang w:eastAsia="zh-CN"/>
        </w:rPr>
        <w:t>第一节 理财产品说明书关键要素</w:t>
      </w:r>
      <w:r>
        <w:rPr>
          <w:rFonts w:hint="eastAsia" w:ascii="仿宋_GB2312" w:hAnsi="宋体" w:cs="宋体"/>
          <w:bCs/>
          <w:color w:val="auto"/>
          <w:kern w:val="0"/>
          <w:szCs w:val="24"/>
          <w:highlight w:val="none"/>
        </w:rPr>
        <w:t>”。</w:t>
      </w:r>
    </w:p>
    <w:p w14:paraId="5D111C13">
      <w:pPr>
        <w:widowControl/>
        <w:tabs>
          <w:tab w:val="left" w:pos="709"/>
        </w:tabs>
        <w:snapToGrid w:val="0"/>
        <w:spacing w:line="360" w:lineRule="auto"/>
        <w:ind w:firstLine="420" w:firstLineChars="200"/>
        <w:rPr>
          <w:rFonts w:hint="eastAsia" w:ascii="仿宋_GB2312" w:hAnsi="宋体"/>
          <w:b/>
          <w:color w:val="auto"/>
          <w:kern w:val="0"/>
          <w:szCs w:val="24"/>
          <w:highlight w:val="none"/>
        </w:rPr>
      </w:pPr>
      <w:r>
        <w:rPr>
          <w:rFonts w:hint="eastAsia" w:ascii="仿宋_GB2312" w:hAnsi="宋体"/>
          <w:color w:val="auto"/>
          <w:kern w:val="0"/>
          <w:szCs w:val="24"/>
          <w:highlight w:val="none"/>
          <w:lang w:val="en-US" w:eastAsia="zh-CN"/>
        </w:rPr>
        <w:t>8</w:t>
      </w:r>
      <w:r>
        <w:rPr>
          <w:rFonts w:hint="eastAsia" w:ascii="仿宋_GB2312" w:hAnsi="宋体"/>
          <w:color w:val="auto"/>
          <w:kern w:val="0"/>
          <w:szCs w:val="24"/>
          <w:highlight w:val="none"/>
        </w:rPr>
        <w:t>.其他：</w:t>
      </w:r>
      <w:r>
        <w:rPr>
          <w:rFonts w:hint="eastAsia" w:ascii="仿宋_GB2312" w:hAnsi="宋体"/>
          <w:b/>
          <w:color w:val="auto"/>
          <w:kern w:val="0"/>
          <w:szCs w:val="24"/>
          <w:highlight w:val="none"/>
        </w:rPr>
        <w:t>产品申购日（期），投资者不可以对本产品进行赎回。</w:t>
      </w:r>
    </w:p>
    <w:p w14:paraId="269774CF">
      <w:pPr>
        <w:pStyle w:val="3"/>
        <w:numPr>
          <w:ilvl w:val="255"/>
          <w:numId w:val="0"/>
        </w:numPr>
        <w:tabs>
          <w:tab w:val="left" w:pos="0"/>
          <w:tab w:val="left" w:pos="3261"/>
        </w:tabs>
        <w:adjustRightInd w:val="0"/>
        <w:snapToGrid w:val="0"/>
        <w:ind w:firstLine="422" w:firstLineChars="200"/>
        <w:jc w:val="both"/>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（四）巨额赎回的情形及处理方式</w:t>
      </w:r>
    </w:p>
    <w:p w14:paraId="4A800F71">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1.巨额赎回的认定</w:t>
      </w:r>
    </w:p>
    <w:p w14:paraId="67F7285F">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详见《产品说明书》“</w:t>
      </w:r>
      <w:r>
        <w:rPr>
          <w:rFonts w:hint="eastAsia" w:ascii="仿宋_GB2312" w:hAnsi="宋体" w:cs="宋体"/>
          <w:bCs/>
          <w:color w:val="auto"/>
          <w:kern w:val="0"/>
          <w:szCs w:val="24"/>
          <w:highlight w:val="none"/>
          <w:lang w:eastAsia="zh-CN"/>
        </w:rPr>
        <w:t>第一节 理财产品说明书关键要素</w:t>
      </w:r>
      <w:r>
        <w:rPr>
          <w:rFonts w:hint="eastAsia" w:ascii="仿宋_GB2312" w:hAnsi="宋体" w:cs="宋体"/>
          <w:bCs/>
          <w:color w:val="auto"/>
          <w:kern w:val="0"/>
          <w:szCs w:val="24"/>
          <w:highlight w:val="none"/>
        </w:rPr>
        <w:t>”。</w:t>
      </w:r>
    </w:p>
    <w:p w14:paraId="2E072552">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2.巨额赎回的处理方式</w:t>
      </w:r>
    </w:p>
    <w:p w14:paraId="4096109F">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详见《产品说明书》“</w:t>
      </w:r>
      <w:r>
        <w:rPr>
          <w:rFonts w:hint="eastAsia" w:ascii="仿宋_GB2312" w:hAnsi="宋体" w:cs="宋体"/>
          <w:bCs/>
          <w:color w:val="auto"/>
          <w:kern w:val="0"/>
          <w:szCs w:val="24"/>
          <w:highlight w:val="none"/>
          <w:lang w:eastAsia="zh-CN"/>
        </w:rPr>
        <w:t>第一节 理财产品说明书关键要素</w:t>
      </w:r>
      <w:r>
        <w:rPr>
          <w:rFonts w:hint="eastAsia" w:ascii="仿宋_GB2312" w:hAnsi="宋体" w:cs="宋体"/>
          <w:bCs/>
          <w:color w:val="auto"/>
          <w:kern w:val="0"/>
          <w:szCs w:val="24"/>
          <w:highlight w:val="none"/>
        </w:rPr>
        <w:t>”。</w:t>
      </w:r>
    </w:p>
    <w:p w14:paraId="71248996">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3.巨额赎回的公告</w:t>
      </w:r>
    </w:p>
    <w:p w14:paraId="31364D50">
      <w:pPr>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在发生巨额赎回产品管理人</w:t>
      </w:r>
      <w:r>
        <w:rPr>
          <w:rFonts w:hint="eastAsia" w:asciiTheme="minorEastAsia" w:hAnsiTheme="minorEastAsia"/>
          <w:color w:val="auto"/>
          <w:szCs w:val="24"/>
          <w:highlight w:val="none"/>
        </w:rPr>
        <w:t>暂停接受或延期办理</w:t>
      </w:r>
      <w:r>
        <w:rPr>
          <w:rFonts w:hint="eastAsia" w:ascii="仿宋_GB2312" w:hAnsi="宋体" w:cs="宋体"/>
          <w:bCs/>
          <w:color w:val="auto"/>
          <w:kern w:val="0"/>
          <w:szCs w:val="24"/>
          <w:highlight w:val="none"/>
        </w:rPr>
        <w:t>投资者份额赎回时，产品管理人将依约定发布相关公告信息。</w:t>
      </w:r>
    </w:p>
    <w:p w14:paraId="253BA6CF">
      <w:pPr>
        <w:pStyle w:val="3"/>
        <w:numPr>
          <w:ilvl w:val="255"/>
          <w:numId w:val="0"/>
        </w:numPr>
        <w:adjustRightInd w:val="0"/>
        <w:snapToGrid w:val="0"/>
        <w:spacing w:line="360" w:lineRule="auto"/>
        <w:ind w:firstLine="422" w:firstLineChars="200"/>
        <w:jc w:val="both"/>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（五）拒绝赎回、暂停赎回、延缓支付</w:t>
      </w:r>
    </w:p>
    <w:p w14:paraId="36FA7941">
      <w:pPr>
        <w:adjustRightInd w:val="0"/>
        <w:snapToGrid w:val="0"/>
        <w:spacing w:line="360" w:lineRule="auto"/>
        <w:ind w:firstLine="422" w:firstLineChars="200"/>
        <w:rPr>
          <w:rFonts w:hint="eastAsia" w:ascii="仿宋_GB2312" w:hAnsi="宋体"/>
          <w:b/>
          <w:color w:val="auto"/>
          <w:kern w:val="0"/>
          <w:szCs w:val="24"/>
          <w:highlight w:val="none"/>
        </w:rPr>
      </w:pPr>
      <w:r>
        <w:rPr>
          <w:rFonts w:hint="eastAsia" w:ascii="仿宋_GB2312" w:hAnsi="宋体"/>
          <w:b/>
          <w:color w:val="auto"/>
          <w:kern w:val="0"/>
          <w:szCs w:val="24"/>
          <w:highlight w:val="none"/>
        </w:rPr>
        <w:t>当出现以下情形之一时，浙银理财有权拒绝投资者提交的理财产品赎回申请并确认投资者赎回失败，或暂停投资者赎回并关闭系统赎回交易功能，或延缓支付已受理并成功确认的投资者赎回款项，并在</w:t>
      </w:r>
      <w:r>
        <w:rPr>
          <w:rFonts w:ascii="仿宋_GB2312" w:hAnsi="宋体"/>
          <w:b/>
          <w:color w:val="auto"/>
          <w:kern w:val="0"/>
          <w:szCs w:val="24"/>
          <w:highlight w:val="none"/>
        </w:rPr>
        <w:t>3个</w:t>
      </w:r>
      <w:r>
        <w:rPr>
          <w:rFonts w:hint="eastAsia" w:ascii="仿宋_GB2312" w:hAnsi="宋体"/>
          <w:b/>
          <w:color w:val="auto"/>
          <w:kern w:val="0"/>
          <w:szCs w:val="24"/>
          <w:highlight w:val="none"/>
          <w:lang w:eastAsia="zh-CN"/>
        </w:rPr>
        <w:t>交易日</w:t>
      </w:r>
      <w:r>
        <w:rPr>
          <w:rFonts w:ascii="仿宋_GB2312" w:hAnsi="宋体"/>
          <w:b/>
          <w:color w:val="auto"/>
          <w:kern w:val="0"/>
          <w:szCs w:val="24"/>
          <w:highlight w:val="none"/>
        </w:rPr>
        <w:t>内公告。</w:t>
      </w:r>
    </w:p>
    <w:p w14:paraId="63CFBB59">
      <w:pPr>
        <w:autoSpaceDE w:val="0"/>
        <w:autoSpaceDN w:val="0"/>
        <w:adjustRightInd w:val="0"/>
        <w:snapToGrid w:val="0"/>
        <w:spacing w:line="360" w:lineRule="auto"/>
        <w:ind w:firstLine="422" w:firstLineChars="200"/>
        <w:rPr>
          <w:rFonts w:hint="eastAsia" w:ascii="仿宋_GB2312" w:hAnsi="宋体"/>
          <w:b/>
          <w:color w:val="auto"/>
          <w:kern w:val="0"/>
          <w:szCs w:val="24"/>
          <w:highlight w:val="none"/>
        </w:rPr>
      </w:pPr>
      <w:r>
        <w:rPr>
          <w:rFonts w:hint="eastAsia" w:ascii="仿宋_GB2312" w:hAnsi="宋体"/>
          <w:b/>
          <w:color w:val="auto"/>
          <w:kern w:val="0"/>
          <w:szCs w:val="24"/>
          <w:highlight w:val="none"/>
        </w:rPr>
        <w:t>（</w:t>
      </w:r>
      <w:r>
        <w:rPr>
          <w:rFonts w:ascii="仿宋_GB2312" w:hAnsi="宋体"/>
          <w:b/>
          <w:color w:val="auto"/>
          <w:kern w:val="0"/>
          <w:szCs w:val="24"/>
          <w:highlight w:val="none"/>
        </w:rPr>
        <w:t>1）因不可抗力导致产品管理机构无法接受投资者赎回申请或产品管理人不能支付赎回款项；</w:t>
      </w:r>
    </w:p>
    <w:p w14:paraId="15396741">
      <w:pPr>
        <w:autoSpaceDE w:val="0"/>
        <w:autoSpaceDN w:val="0"/>
        <w:adjustRightInd w:val="0"/>
        <w:snapToGrid w:val="0"/>
        <w:spacing w:line="360" w:lineRule="auto"/>
        <w:ind w:firstLine="422" w:firstLineChars="200"/>
        <w:rPr>
          <w:rFonts w:hint="eastAsia" w:ascii="仿宋_GB2312" w:hAnsi="宋体"/>
          <w:b/>
          <w:color w:val="auto"/>
          <w:kern w:val="0"/>
          <w:szCs w:val="24"/>
          <w:highlight w:val="none"/>
        </w:rPr>
      </w:pPr>
      <w:r>
        <w:rPr>
          <w:rFonts w:hint="eastAsia" w:ascii="仿宋_GB2312" w:hAnsi="宋体"/>
          <w:b/>
          <w:color w:val="auto"/>
          <w:kern w:val="0"/>
          <w:szCs w:val="24"/>
          <w:highlight w:val="none"/>
        </w:rPr>
        <w:t>（</w:t>
      </w:r>
      <w:r>
        <w:rPr>
          <w:rFonts w:ascii="仿宋_GB2312" w:hAnsi="宋体"/>
          <w:b/>
          <w:color w:val="auto"/>
          <w:kern w:val="0"/>
          <w:szCs w:val="24"/>
          <w:highlight w:val="none"/>
        </w:rPr>
        <w:t>2）证券交易场所依法决定临时停市，导致产品管理人无法计算当日产品资产净值；</w:t>
      </w:r>
    </w:p>
    <w:p w14:paraId="73BF778F">
      <w:pPr>
        <w:autoSpaceDE w:val="0"/>
        <w:autoSpaceDN w:val="0"/>
        <w:adjustRightInd w:val="0"/>
        <w:snapToGrid w:val="0"/>
        <w:spacing w:line="360" w:lineRule="auto"/>
        <w:ind w:firstLine="422" w:firstLineChars="200"/>
        <w:rPr>
          <w:rFonts w:hint="eastAsia" w:ascii="仿宋_GB2312" w:hAnsi="宋体"/>
          <w:b/>
          <w:color w:val="auto"/>
          <w:kern w:val="0"/>
          <w:szCs w:val="24"/>
          <w:highlight w:val="none"/>
        </w:rPr>
      </w:pPr>
      <w:r>
        <w:rPr>
          <w:rFonts w:hint="eastAsia" w:ascii="仿宋_GB2312" w:hAnsi="宋体"/>
          <w:b/>
          <w:color w:val="auto"/>
          <w:kern w:val="0"/>
          <w:szCs w:val="24"/>
          <w:highlight w:val="none"/>
        </w:rPr>
        <w:t>（3）</w:t>
      </w:r>
      <w:r>
        <w:rPr>
          <w:rFonts w:ascii="仿宋_GB2312" w:hAnsi="宋体"/>
          <w:b/>
          <w:color w:val="auto"/>
          <w:kern w:val="0"/>
          <w:szCs w:val="24"/>
          <w:highlight w:val="none"/>
        </w:rPr>
        <w:t>产品所投资资产无法及时、足额变现；</w:t>
      </w:r>
    </w:p>
    <w:p w14:paraId="67573341">
      <w:pPr>
        <w:autoSpaceDE w:val="0"/>
        <w:autoSpaceDN w:val="0"/>
        <w:adjustRightInd w:val="0"/>
        <w:snapToGrid w:val="0"/>
        <w:spacing w:line="360" w:lineRule="auto"/>
        <w:ind w:firstLine="422" w:firstLineChars="200"/>
        <w:rPr>
          <w:rFonts w:hint="eastAsia" w:ascii="仿宋_GB2312" w:hAnsi="宋体"/>
          <w:b/>
          <w:color w:val="auto"/>
          <w:kern w:val="0"/>
          <w:szCs w:val="24"/>
          <w:highlight w:val="none"/>
        </w:rPr>
      </w:pPr>
      <w:r>
        <w:rPr>
          <w:rFonts w:hint="eastAsia" w:ascii="仿宋_GB2312" w:hAnsi="宋体"/>
          <w:b/>
          <w:color w:val="auto"/>
          <w:kern w:val="0"/>
          <w:szCs w:val="24"/>
          <w:highlight w:val="none"/>
        </w:rPr>
        <w:t>（4）</w:t>
      </w:r>
      <w:r>
        <w:rPr>
          <w:rFonts w:ascii="仿宋_GB2312" w:hAnsi="宋体"/>
          <w:b/>
          <w:color w:val="auto"/>
          <w:kern w:val="0"/>
          <w:szCs w:val="24"/>
          <w:highlight w:val="none"/>
        </w:rPr>
        <w:t>触发巨额赎回情形（详见本节第（四）部分）；</w:t>
      </w:r>
    </w:p>
    <w:p w14:paraId="41314ACB">
      <w:pPr>
        <w:autoSpaceDE w:val="0"/>
        <w:autoSpaceDN w:val="0"/>
        <w:adjustRightInd w:val="0"/>
        <w:snapToGrid w:val="0"/>
        <w:spacing w:line="360" w:lineRule="auto"/>
        <w:ind w:firstLine="422" w:firstLineChars="200"/>
        <w:rPr>
          <w:rFonts w:hint="eastAsia" w:ascii="仿宋_GB2312" w:hAnsi="宋体"/>
          <w:b/>
          <w:color w:val="auto"/>
          <w:kern w:val="0"/>
          <w:szCs w:val="24"/>
          <w:highlight w:val="none"/>
        </w:rPr>
      </w:pPr>
      <w:r>
        <w:rPr>
          <w:rFonts w:hint="eastAsia" w:ascii="仿宋_GB2312" w:hAnsi="宋体"/>
          <w:b/>
          <w:color w:val="auto"/>
          <w:kern w:val="0"/>
          <w:szCs w:val="24"/>
          <w:highlight w:val="none"/>
        </w:rPr>
        <w:t>（5</w:t>
      </w:r>
      <w:r>
        <w:rPr>
          <w:rFonts w:ascii="仿宋_GB2312" w:hAnsi="宋体"/>
          <w:b/>
          <w:color w:val="auto"/>
          <w:kern w:val="0"/>
          <w:szCs w:val="24"/>
          <w:highlight w:val="none"/>
        </w:rPr>
        <w:t>）法律、法规或相关监管认定的其他情形。</w:t>
      </w:r>
    </w:p>
    <w:p w14:paraId="55FDDB04">
      <w:pPr>
        <w:autoSpaceDE w:val="0"/>
        <w:autoSpaceDN w:val="0"/>
        <w:adjustRightInd w:val="0"/>
        <w:snapToGrid w:val="0"/>
        <w:spacing w:line="360" w:lineRule="auto"/>
        <w:ind w:firstLine="422" w:firstLineChars="200"/>
        <w:rPr>
          <w:rFonts w:hint="eastAsia" w:ascii="仿宋_GB2312" w:hAnsi="宋体"/>
          <w:b/>
          <w:color w:val="auto"/>
          <w:kern w:val="0"/>
          <w:szCs w:val="24"/>
          <w:highlight w:val="none"/>
        </w:rPr>
      </w:pPr>
      <w:r>
        <w:rPr>
          <w:rFonts w:hint="eastAsia" w:ascii="仿宋_GB2312" w:hAnsi="宋体"/>
          <w:b/>
          <w:color w:val="auto"/>
          <w:kern w:val="0"/>
          <w:szCs w:val="24"/>
          <w:highlight w:val="none"/>
        </w:rPr>
        <w:t>如浙银理财延缓支付投资者理财产品赎回款项，实际到账日应不晚于产品说明书约定的赎回到账日后</w:t>
      </w:r>
      <w:r>
        <w:rPr>
          <w:rFonts w:ascii="仿宋_GB2312" w:hAnsi="宋体"/>
          <w:b/>
          <w:color w:val="auto"/>
          <w:kern w:val="0"/>
          <w:szCs w:val="24"/>
          <w:highlight w:val="none"/>
        </w:rPr>
        <w:t>5个工作日，否则应提前披露。</w:t>
      </w:r>
    </w:p>
    <w:p w14:paraId="523EC32C">
      <w:pPr>
        <w:widowControl/>
        <w:tabs>
          <w:tab w:val="left" w:pos="709"/>
        </w:tabs>
        <w:snapToGrid w:val="0"/>
        <w:spacing w:line="360" w:lineRule="auto"/>
        <w:ind w:firstLine="422" w:firstLineChars="200"/>
        <w:rPr>
          <w:rFonts w:hint="eastAsia" w:ascii="仿宋_GB2312" w:hAnsi="宋体"/>
          <w:b/>
          <w:color w:val="auto"/>
          <w:kern w:val="0"/>
          <w:szCs w:val="24"/>
          <w:highlight w:val="none"/>
        </w:rPr>
      </w:pPr>
      <w:r>
        <w:rPr>
          <w:rFonts w:hint="eastAsia" w:ascii="仿宋_GB2312" w:hAnsi="宋体"/>
          <w:b/>
          <w:color w:val="auto"/>
          <w:kern w:val="0"/>
          <w:szCs w:val="24"/>
          <w:highlight w:val="none"/>
        </w:rPr>
        <w:t>在拒绝、暂停赎回的情况消除后，浙银理财应及时恢复理财产品赎回业务的办理。</w:t>
      </w:r>
    </w:p>
    <w:p w14:paraId="4B3AE25C">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p>
    <w:p w14:paraId="1C34FA5B">
      <w:pPr>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rPr>
      </w:pPr>
    </w:p>
    <w:p w14:paraId="739B579B">
      <w:pPr>
        <w:widowControl/>
        <w:jc w:val="left"/>
        <w:rPr>
          <w:rFonts w:eastAsia="黑体"/>
          <w:color w:val="auto"/>
          <w:kern w:val="44"/>
          <w:sz w:val="28"/>
          <w:highlight w:val="none"/>
        </w:rPr>
      </w:pPr>
      <w:r>
        <w:rPr>
          <w:color w:val="auto"/>
          <w:highlight w:val="none"/>
        </w:rPr>
        <w:br w:type="page"/>
      </w:r>
    </w:p>
    <w:p w14:paraId="5533C438">
      <w:pPr>
        <w:pStyle w:val="2"/>
        <w:numPr>
          <w:ilvl w:val="0"/>
          <w:numId w:val="13"/>
        </w:numPr>
        <w:bidi w:val="0"/>
        <w:ind w:left="0" w:leftChars="0" w:firstLine="0" w:firstLineChars="0"/>
        <w:rPr>
          <w:color w:val="auto"/>
          <w:highlight w:val="none"/>
        </w:rPr>
      </w:pPr>
      <w:r>
        <w:rPr>
          <w:rFonts w:hint="eastAsia"/>
          <w:color w:val="auto"/>
          <w:highlight w:val="none"/>
        </w:rPr>
        <w:t>理财产品的投资</w:t>
      </w:r>
    </w:p>
    <w:p w14:paraId="3E542549">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投资范围</w:t>
      </w:r>
    </w:p>
    <w:p w14:paraId="02BD1469">
      <w:pPr>
        <w:tabs>
          <w:tab w:val="left" w:pos="3119"/>
        </w:tabs>
        <w:autoSpaceDE w:val="0"/>
        <w:autoSpaceDN w:val="0"/>
        <w:spacing w:line="360" w:lineRule="auto"/>
        <w:ind w:right="31" w:rightChars="15" w:firstLine="420" w:firstLineChars="200"/>
        <w:rPr>
          <w:rFonts w:hint="default" w:ascii="仿宋_GB2312" w:hAnsi="宋体" w:cs="宋体"/>
          <w:bCs/>
          <w:color w:val="000000" w:themeColor="text1"/>
          <w:kern w:val="0"/>
          <w:szCs w:val="24"/>
          <w:highlight w:val="none"/>
          <w:lang w:val="en-US" w:eastAsia="zh-CN"/>
          <w14:textFill>
            <w14:solidFill>
              <w14:schemeClr w14:val="tx1"/>
            </w14:solidFill>
          </w14:textFill>
        </w:rPr>
      </w:pPr>
      <w:r>
        <w:rPr>
          <w:rFonts w:hint="eastAsia" w:ascii="仿宋_GB2312" w:hAnsi="宋体" w:cs="宋体"/>
          <w:bCs/>
          <w:color w:val="000000" w:themeColor="text1"/>
          <w:kern w:val="0"/>
          <w:szCs w:val="24"/>
          <w:highlight w:val="yellow"/>
          <w:lang w:eastAsia="zh-CN"/>
          <w14:textFill>
            <w14:solidFill>
              <w14:schemeClr w14:val="tx1"/>
            </w14:solidFill>
          </w14:textFill>
        </w:rPr>
        <w:t>【</w:t>
      </w:r>
      <w:r>
        <w:rPr>
          <w:rFonts w:hint="eastAsia" w:ascii="仿宋_GB2312" w:hAnsi="宋体" w:cs="宋体"/>
          <w:bCs/>
          <w:color w:val="000000" w:themeColor="text1"/>
          <w:kern w:val="0"/>
          <w:szCs w:val="24"/>
          <w:highlight w:val="none"/>
          <w:lang w:eastAsia="zh-CN"/>
          <w14:textFill>
            <w14:solidFill>
              <w14:schemeClr w14:val="tx1"/>
            </w14:solidFill>
          </w14:textFill>
        </w:rPr>
        <w:t>……</w:t>
      </w:r>
    </w:p>
    <w:p w14:paraId="70CE919E">
      <w:pPr>
        <w:tabs>
          <w:tab w:val="left" w:pos="3119"/>
        </w:tabs>
        <w:autoSpaceDE w:val="0"/>
        <w:autoSpaceDN w:val="0"/>
        <w:spacing w:line="360" w:lineRule="auto"/>
        <w:ind w:right="31" w:rightChars="15" w:firstLine="420" w:firstLineChars="200"/>
        <w:rPr>
          <w:rFonts w:hint="eastAsia" w:ascii="仿宋_GB2312" w:hAnsi="宋体" w:cs="宋体"/>
          <w:bCs/>
          <w:color w:val="000000" w:themeColor="text1"/>
          <w:kern w:val="0"/>
          <w:szCs w:val="24"/>
          <w:highlight w:val="none"/>
          <w14:textFill>
            <w14:solidFill>
              <w14:schemeClr w14:val="tx1"/>
            </w14:solidFill>
          </w14:textFill>
        </w:rPr>
      </w:pPr>
      <w:r>
        <w:rPr>
          <w:rFonts w:hint="eastAsia" w:ascii="仿宋_GB2312" w:hAnsi="宋体" w:cs="宋体"/>
          <w:bCs/>
          <w:color w:val="000000" w:themeColor="text1"/>
          <w:kern w:val="0"/>
          <w:szCs w:val="24"/>
          <w:highlight w:val="none"/>
          <w14:textFill>
            <w14:solidFill>
              <w14:schemeClr w14:val="tx1"/>
            </w14:solidFill>
          </w14:textFill>
        </w:rPr>
        <w:t>本理财产品在投资于商品及金融衍生品类资产之前，管理人应获得相应的业务经营范围或投资交易资格。</w:t>
      </w:r>
    </w:p>
    <w:p w14:paraId="65448D4C">
      <w:pPr>
        <w:tabs>
          <w:tab w:val="left" w:pos="3119"/>
        </w:tabs>
        <w:autoSpaceDE w:val="0"/>
        <w:autoSpaceDN w:val="0"/>
        <w:spacing w:line="360" w:lineRule="auto"/>
        <w:ind w:right="31" w:rightChars="15" w:firstLine="480" w:firstLineChars="200"/>
        <w:rPr>
          <w:rFonts w:ascii="仿宋_GB2312" w:hAnsi="宋体" w:cs="宋体"/>
          <w:bCs/>
          <w:color w:val="000000" w:themeColor="text1"/>
          <w:kern w:val="0"/>
          <w:szCs w:val="24"/>
          <w:highlight w:val="none"/>
          <w:u w:val="single"/>
          <w14:textFill>
            <w14:solidFill>
              <w14:schemeClr w14:val="tx1"/>
            </w14:solidFill>
          </w14:textFill>
        </w:rPr>
      </w:pPr>
      <w:r>
        <w:rPr>
          <w:rFonts w:hint="eastAsia" w:ascii="仿宋_GB2312" w:hAnsi="宋体" w:eastAsia="仿宋_GB2312" w:cs="宋体"/>
          <w:bCs/>
          <w:color w:val="000000" w:themeColor="text1"/>
          <w:kern w:val="0"/>
          <w:sz w:val="24"/>
          <w:szCs w:val="24"/>
          <w:highlight w:val="none"/>
          <w14:textFill>
            <w14:solidFill>
              <w14:schemeClr w14:val="tx1"/>
            </w14:solidFill>
          </w14:textFill>
        </w:rPr>
        <w:t>本理财产品在投资于境外资产之前，管理人应获得相应的业务经营范围或投资交易资格。</w:t>
      </w:r>
      <w:r>
        <w:rPr>
          <w:rFonts w:hint="eastAsia" w:ascii="仿宋_GB2312" w:hAnsi="宋体" w:cs="宋体"/>
          <w:bCs/>
          <w:color w:val="000000" w:themeColor="text1"/>
          <w:kern w:val="0"/>
          <w:szCs w:val="24"/>
          <w:highlight w:val="yellow"/>
          <w:lang w:eastAsia="zh-CN"/>
          <w14:textFill>
            <w14:solidFill>
              <w14:schemeClr w14:val="tx1"/>
            </w14:solidFill>
          </w14:textFill>
        </w:rPr>
        <w:t>】</w:t>
      </w:r>
    </w:p>
    <w:p w14:paraId="6A2F3CB5">
      <w:pPr>
        <w:tabs>
          <w:tab w:val="left" w:pos="3119"/>
        </w:tabs>
        <w:autoSpaceDE w:val="0"/>
        <w:autoSpaceDN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本理财产品投资的资产范围须完全符合法律法规或监管规定，如因法律法规或监管规定的变更、修订或更新导致本理财产品投资某类资产受到限制或禁止的，该类资产将被视为从上述资产范围中自动剔除。</w:t>
      </w:r>
    </w:p>
    <w:p w14:paraId="5DFDF2F6">
      <w:pPr>
        <w:tabs>
          <w:tab w:val="left" w:pos="3119"/>
        </w:tabs>
        <w:autoSpaceDE w:val="0"/>
        <w:autoSpaceDN w:val="0"/>
        <w:spacing w:line="360" w:lineRule="auto"/>
        <w:ind w:right="31" w:rightChars="15" w:firstLine="420" w:firstLineChars="200"/>
        <w:rPr>
          <w:rFonts w:hint="eastAsia" w:ascii="仿宋_GB2312" w:hAnsi="宋体" w:cs="宋体"/>
          <w:bCs/>
          <w:color w:val="auto"/>
          <w:kern w:val="0"/>
          <w:szCs w:val="24"/>
          <w:highlight w:val="none"/>
        </w:rPr>
      </w:pPr>
    </w:p>
    <w:p w14:paraId="26C9BFE0">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投资比例</w:t>
      </w:r>
    </w:p>
    <w:p w14:paraId="3EFFD494">
      <w:pPr>
        <w:tabs>
          <w:tab w:val="left" w:pos="3119"/>
        </w:tabs>
        <w:autoSpaceDE w:val="0"/>
        <w:autoSpaceDN w:val="0"/>
        <w:adjustRightInd w:val="0"/>
        <w:spacing w:line="360" w:lineRule="auto"/>
        <w:ind w:right="31" w:rightChars="15" w:firstLine="420" w:firstLineChars="200"/>
        <w:contextualSpacing/>
        <w:rPr>
          <w:rFonts w:hint="eastAsia" w:ascii="仿宋_GB2312" w:hAnsi="宋体" w:cs="宋体"/>
          <w:bCs/>
          <w:color w:val="auto"/>
          <w:kern w:val="0"/>
          <w:szCs w:val="24"/>
          <w:highlight w:val="none"/>
        </w:rPr>
      </w:pPr>
      <w:r>
        <w:rPr>
          <w:rFonts w:ascii="仿宋_GB2312" w:hAnsi="宋体" w:cs="宋体"/>
          <w:bCs/>
          <w:color w:val="auto"/>
          <w:kern w:val="0"/>
          <w:szCs w:val="24"/>
          <w:highlight w:val="none"/>
        </w:rPr>
        <w:t>1.本产品各投资资产占比如下：</w:t>
      </w:r>
    </w:p>
    <w:tbl>
      <w:tblPr>
        <w:tblStyle w:val="8"/>
        <w:tblW w:w="0" w:type="auto"/>
        <w:tblInd w:w="18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89"/>
        <w:gridCol w:w="1325"/>
      </w:tblGrid>
      <w:tr w14:paraId="351D8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9" w:type="dxa"/>
          </w:tcPr>
          <w:p w14:paraId="67D961A8">
            <w:pPr>
              <w:widowControl/>
              <w:spacing w:line="360" w:lineRule="auto"/>
              <w:jc w:val="center"/>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投资资产</w:t>
            </w:r>
          </w:p>
        </w:tc>
        <w:tc>
          <w:tcPr>
            <w:tcW w:w="1325" w:type="dxa"/>
          </w:tcPr>
          <w:p w14:paraId="13B59241">
            <w:pPr>
              <w:widowControl/>
              <w:spacing w:line="360" w:lineRule="auto"/>
              <w:jc w:val="center"/>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投资比例</w:t>
            </w:r>
          </w:p>
        </w:tc>
      </w:tr>
      <w:tr w14:paraId="47A45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9" w:type="dxa"/>
            <w:vAlign w:val="top"/>
          </w:tcPr>
          <w:p w14:paraId="7B6A2B1A">
            <w:pPr>
              <w:widowControl/>
              <w:spacing w:line="360" w:lineRule="auto"/>
              <w:jc w:val="center"/>
              <w:rPr>
                <w:rFonts w:hint="eastAsia" w:ascii="仿宋_GB2312" w:hAnsi="宋体" w:cs="宋体"/>
                <w:bCs/>
                <w:color w:val="auto"/>
                <w:kern w:val="0"/>
                <w:szCs w:val="24"/>
                <w:highlight w:val="yellow"/>
              </w:rPr>
            </w:pP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rPr>
              <w:t>债权类资产</w:t>
            </w:r>
            <w:r>
              <w:rPr>
                <w:rFonts w:hint="eastAsia" w:ascii="仿宋_GB2312" w:hAnsi="宋体" w:cs="宋体"/>
                <w:bCs/>
                <w:kern w:val="0"/>
                <w:szCs w:val="24"/>
                <w:highlight w:val="yellow"/>
                <w:lang w:eastAsia="zh-CN"/>
              </w:rPr>
              <w:t>】</w:t>
            </w:r>
          </w:p>
        </w:tc>
        <w:tc>
          <w:tcPr>
            <w:tcW w:w="1325" w:type="dxa"/>
            <w:vAlign w:val="top"/>
          </w:tcPr>
          <w:p w14:paraId="65A195BE">
            <w:pPr>
              <w:widowControl/>
              <w:spacing w:line="360" w:lineRule="auto"/>
              <w:jc w:val="center"/>
              <w:rPr>
                <w:rFonts w:hint="eastAsia" w:ascii="仿宋_GB2312" w:hAnsi="宋体" w:eastAsia="仿宋_GB2312" w:cs="宋体"/>
                <w:bCs/>
                <w:color w:val="auto"/>
                <w:kern w:val="0"/>
                <w:szCs w:val="24"/>
                <w:highlight w:val="yellow"/>
                <w:lang w:eastAsia="zh-CN"/>
              </w:rPr>
            </w:pPr>
            <w:r>
              <w:rPr>
                <w:rFonts w:hint="eastAsia" w:ascii="仿宋_GB2312" w:hAnsi="宋体" w:cs="宋体"/>
                <w:bCs/>
                <w:kern w:val="0"/>
                <w:szCs w:val="24"/>
                <w:highlight w:val="yellow"/>
                <w:lang w:eastAsia="zh-CN"/>
              </w:rPr>
              <w:t>【】</w:t>
            </w:r>
          </w:p>
        </w:tc>
      </w:tr>
      <w:tr w14:paraId="1F4F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9" w:type="dxa"/>
            <w:vAlign w:val="top"/>
          </w:tcPr>
          <w:p w14:paraId="5B7F0040">
            <w:pPr>
              <w:widowControl/>
              <w:spacing w:line="360" w:lineRule="auto"/>
              <w:jc w:val="center"/>
              <w:rPr>
                <w:rFonts w:hint="eastAsia" w:ascii="仿宋_GB2312" w:hAnsi="宋体" w:eastAsia="仿宋_GB2312" w:cs="宋体"/>
                <w:bCs/>
                <w:color w:val="auto"/>
                <w:kern w:val="0"/>
                <w:szCs w:val="24"/>
                <w:highlight w:val="yellow"/>
                <w:lang w:eastAsia="zh-CN"/>
              </w:rPr>
            </w:pPr>
            <w:r>
              <w:rPr>
                <w:rFonts w:hint="eastAsia" w:ascii="仿宋_GB2312" w:hAnsi="宋体" w:cs="宋体"/>
                <w:bCs/>
                <w:kern w:val="0"/>
                <w:szCs w:val="24"/>
                <w:highlight w:val="yellow"/>
                <w:u w:val="none"/>
                <w:lang w:eastAsia="zh-CN"/>
              </w:rPr>
              <w:t>【</w:t>
            </w:r>
            <w:r>
              <w:rPr>
                <w:rFonts w:hint="eastAsia" w:ascii="仿宋_GB2312" w:hAnsi="宋体" w:cs="宋体"/>
                <w:bCs/>
                <w:color w:val="auto"/>
                <w:kern w:val="0"/>
                <w:szCs w:val="24"/>
                <w:highlight w:val="none"/>
                <w:u w:val="none"/>
              </w:rPr>
              <w:t>权益类资产</w:t>
            </w:r>
            <w:r>
              <w:rPr>
                <w:rFonts w:hint="eastAsia" w:ascii="仿宋_GB2312" w:hAnsi="宋体" w:cs="宋体"/>
                <w:bCs/>
                <w:kern w:val="0"/>
                <w:szCs w:val="24"/>
                <w:highlight w:val="yellow"/>
                <w:u w:val="none"/>
                <w:lang w:eastAsia="zh-CN"/>
              </w:rPr>
              <w:t>】</w:t>
            </w:r>
          </w:p>
        </w:tc>
        <w:tc>
          <w:tcPr>
            <w:tcW w:w="1325" w:type="dxa"/>
            <w:vAlign w:val="top"/>
          </w:tcPr>
          <w:p w14:paraId="5541D8B7">
            <w:pPr>
              <w:widowControl/>
              <w:spacing w:line="360" w:lineRule="auto"/>
              <w:jc w:val="center"/>
              <w:rPr>
                <w:rFonts w:hint="eastAsia" w:ascii="仿宋_GB2312" w:hAnsi="宋体" w:cs="宋体"/>
                <w:bCs/>
                <w:color w:val="auto"/>
                <w:kern w:val="0"/>
                <w:szCs w:val="24"/>
                <w:highlight w:val="yellow"/>
              </w:rPr>
            </w:pPr>
            <w:r>
              <w:rPr>
                <w:rFonts w:hint="eastAsia" w:ascii="仿宋_GB2312" w:hAnsi="宋体" w:cs="宋体"/>
                <w:bCs/>
                <w:kern w:val="0"/>
                <w:szCs w:val="24"/>
                <w:highlight w:val="yellow"/>
                <w:lang w:eastAsia="zh-CN"/>
              </w:rPr>
              <w:t>【】</w:t>
            </w:r>
          </w:p>
        </w:tc>
      </w:tr>
      <w:tr w14:paraId="534E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9" w:type="dxa"/>
            <w:vAlign w:val="top"/>
          </w:tcPr>
          <w:p w14:paraId="31AE8066">
            <w:pPr>
              <w:widowControl/>
              <w:spacing w:line="360" w:lineRule="auto"/>
              <w:jc w:val="center"/>
              <w:rPr>
                <w:rFonts w:hint="eastAsia" w:ascii="仿宋_GB2312" w:hAnsi="宋体" w:cs="宋体"/>
                <w:bCs/>
                <w:color w:val="auto"/>
                <w:kern w:val="0"/>
                <w:szCs w:val="24"/>
                <w:highlight w:val="yellow"/>
                <w:u w:val="none"/>
              </w:rPr>
            </w:pPr>
            <w:r>
              <w:rPr>
                <w:rFonts w:hint="eastAsia" w:ascii="仿宋_GB2312" w:hAnsi="宋体" w:cs="宋体"/>
                <w:bCs/>
                <w:kern w:val="0"/>
                <w:szCs w:val="24"/>
                <w:highlight w:val="yellow"/>
                <w:u w:val="none"/>
                <w:lang w:eastAsia="zh-CN"/>
              </w:rPr>
              <w:t>【</w:t>
            </w:r>
            <w:r>
              <w:rPr>
                <w:rFonts w:hint="eastAsia" w:ascii="仿宋_GB2312" w:hAnsi="宋体" w:cs="宋体"/>
                <w:bCs/>
                <w:color w:val="auto"/>
                <w:kern w:val="0"/>
                <w:szCs w:val="24"/>
                <w:highlight w:val="none"/>
                <w:u w:val="none"/>
              </w:rPr>
              <w:t>商品及金融衍生品类</w:t>
            </w:r>
            <w:r>
              <w:rPr>
                <w:rFonts w:hint="eastAsia" w:ascii="仿宋_GB2312" w:hAnsi="宋体" w:cs="宋体"/>
                <w:bCs/>
                <w:color w:val="auto"/>
                <w:kern w:val="0"/>
                <w:szCs w:val="24"/>
                <w:highlight w:val="none"/>
                <w:u w:val="none"/>
                <w:lang w:eastAsia="zh-CN"/>
              </w:rPr>
              <w:t>资产</w:t>
            </w:r>
            <w:r>
              <w:rPr>
                <w:rFonts w:hint="eastAsia" w:ascii="仿宋_GB2312" w:hAnsi="宋体" w:cs="宋体"/>
                <w:bCs/>
                <w:kern w:val="0"/>
                <w:szCs w:val="24"/>
                <w:highlight w:val="yellow"/>
                <w:u w:val="none"/>
                <w:lang w:eastAsia="zh-CN"/>
              </w:rPr>
              <w:t>】</w:t>
            </w:r>
          </w:p>
        </w:tc>
        <w:tc>
          <w:tcPr>
            <w:tcW w:w="1325" w:type="dxa"/>
            <w:vAlign w:val="top"/>
          </w:tcPr>
          <w:p w14:paraId="41E8BE36">
            <w:pPr>
              <w:widowControl/>
              <w:spacing w:line="360" w:lineRule="auto"/>
              <w:jc w:val="center"/>
              <w:rPr>
                <w:rFonts w:hint="default" w:ascii="仿宋_GB2312" w:hAnsi="宋体" w:eastAsia="仿宋_GB2312" w:cs="宋体"/>
                <w:bCs/>
                <w:color w:val="auto"/>
                <w:kern w:val="0"/>
                <w:szCs w:val="24"/>
                <w:highlight w:val="yellow"/>
                <w:lang w:val="en-US" w:eastAsia="zh-CN"/>
              </w:rPr>
            </w:pPr>
            <w:r>
              <w:rPr>
                <w:rFonts w:hint="eastAsia" w:ascii="仿宋_GB2312" w:hAnsi="宋体" w:cs="宋体"/>
                <w:bCs/>
                <w:kern w:val="0"/>
                <w:szCs w:val="24"/>
                <w:highlight w:val="yellow"/>
                <w:lang w:eastAsia="zh-CN"/>
              </w:rPr>
              <w:t>【】</w:t>
            </w:r>
          </w:p>
        </w:tc>
      </w:tr>
    </w:tbl>
    <w:p w14:paraId="7514486C">
      <w:pPr>
        <w:autoSpaceDE w:val="0"/>
        <w:autoSpaceDN w:val="0"/>
        <w:adjustRightInd w:val="0"/>
        <w:snapToGrid w:val="0"/>
        <w:spacing w:line="360" w:lineRule="auto"/>
        <w:jc w:val="left"/>
        <w:rPr>
          <w:rFonts w:hint="eastAsia" w:ascii="仿宋_GB2312" w:hAnsi="宋体" w:cs="宋体"/>
          <w:bCs/>
          <w:color w:val="auto"/>
          <w:kern w:val="0"/>
          <w:szCs w:val="24"/>
          <w:highlight w:val="none"/>
        </w:rPr>
      </w:pPr>
    </w:p>
    <w:p w14:paraId="2C37A5DE">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管理人将在产品成立后一个月内使资产配置比例符合上述规定。</w:t>
      </w:r>
    </w:p>
    <w:p w14:paraId="71D3F52F">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rPr>
      </w:pPr>
      <w:r>
        <w:rPr>
          <w:rFonts w:hint="eastAsia" w:ascii="仿宋_GB2312" w:hAnsi="宋体" w:cs="宋体"/>
          <w:bCs/>
          <w:color w:val="auto"/>
          <w:kern w:val="0"/>
          <w:szCs w:val="24"/>
          <w:highlight w:val="none"/>
        </w:rPr>
        <w:t>相关法律法规和监管部门对以上投资范围和配置比例有另行规定的，按照监管最新规定执行。如监管对投资比例无其他明确规定和要求的，由产品管理人与托管人协商确定计算方法。本产品存续期内非</w:t>
      </w:r>
      <w:r>
        <w:rPr>
          <w:rFonts w:ascii="仿宋_GB2312" w:hAnsi="宋体" w:cs="宋体"/>
          <w:bCs/>
          <w:color w:val="auto"/>
          <w:kern w:val="0"/>
          <w:szCs w:val="24"/>
          <w:highlight w:val="none"/>
        </w:rPr>
        <w:t>因</w:t>
      </w:r>
      <w:r>
        <w:rPr>
          <w:rFonts w:hint="eastAsia" w:ascii="仿宋_GB2312" w:hAnsi="宋体" w:cs="宋体"/>
          <w:bCs/>
          <w:color w:val="auto"/>
          <w:kern w:val="0"/>
          <w:szCs w:val="24"/>
          <w:highlight w:val="none"/>
        </w:rPr>
        <w:t>产品</w:t>
      </w:r>
      <w:r>
        <w:rPr>
          <w:rFonts w:ascii="仿宋_GB2312" w:hAnsi="宋体" w:cs="宋体"/>
          <w:bCs/>
          <w:color w:val="auto"/>
          <w:kern w:val="0"/>
          <w:szCs w:val="24"/>
          <w:highlight w:val="none"/>
        </w:rPr>
        <w:t>管理人主</w:t>
      </w:r>
      <w:r>
        <w:rPr>
          <w:rFonts w:hint="eastAsia" w:ascii="仿宋_GB2312" w:hAnsi="宋体" w:cs="宋体"/>
          <w:bCs/>
          <w:color w:val="auto"/>
          <w:kern w:val="0"/>
          <w:szCs w:val="24"/>
          <w:highlight w:val="none"/>
        </w:rPr>
        <w:t>观</w:t>
      </w:r>
      <w:r>
        <w:rPr>
          <w:rFonts w:ascii="仿宋_GB2312" w:hAnsi="宋体" w:cs="宋体"/>
          <w:bCs/>
          <w:color w:val="auto"/>
          <w:kern w:val="0"/>
          <w:szCs w:val="24"/>
          <w:highlight w:val="none"/>
        </w:rPr>
        <w:t>因素</w:t>
      </w:r>
      <w:r>
        <w:rPr>
          <w:rFonts w:hint="eastAsia" w:ascii="仿宋_GB2312" w:hAnsi="宋体" w:cs="宋体"/>
          <w:bCs/>
          <w:color w:val="auto"/>
          <w:kern w:val="0"/>
          <w:szCs w:val="24"/>
          <w:highlight w:val="none"/>
        </w:rPr>
        <w:t>导致产品投资突破上述比例限制，管理人将尽合理努力，在流动性受限资产可出售、可转让或者恢复交易的15个交易日内调整至规定区间。</w:t>
      </w:r>
    </w:p>
    <w:p w14:paraId="1496CB15">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投资限制</w:t>
      </w:r>
    </w:p>
    <w:p w14:paraId="12DE4DEE">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none"/>
        </w:rPr>
        <w:t>投资限制中列示的资产品种不代表管理人的实际投向，本理财计划投资范围以“投资范围”章节表述为准。</w:t>
      </w:r>
    </w:p>
    <w:p w14:paraId="58E8B82B">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1．投资集中度限制</w:t>
      </w:r>
    </w:p>
    <w:p w14:paraId="068D3ECE">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（1）本理财计划持有单只证券或单只公募证券投资基金的市值不得超过该理财计划净资产的10%。</w:t>
      </w:r>
    </w:p>
    <w:p w14:paraId="1E090C2C">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（2）管理人发行的全部公募理财计划持有单只证券或单只公募证券投资基金的市值，不得超过该证券市值或该公募证券投资基金市值的30%。</w:t>
      </w:r>
    </w:p>
    <w:p w14:paraId="1B4028E4">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（3）管理人发行的全部理财计划持有单一上市公司发行的股票，不得超过该上市公司可流通股票的30%。</w:t>
      </w:r>
    </w:p>
    <w:p w14:paraId="5500C98B">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（4）管理人发行的全部开放式公募理财计划投资单一上市公司发行的股票,不得超过该上市公司可流通股票的15%。国务院银行业监督管理机构另有规定的除外。</w:t>
      </w:r>
    </w:p>
    <w:p w14:paraId="34BA257D">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14:paraId="2D63F487">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2．投资期限限制</w:t>
      </w:r>
    </w:p>
    <w:p w14:paraId="3542C9CD">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本理财计划投资的非标准化债权类资产到期日不得晚于理财计划最近一次开放日。</w:t>
      </w:r>
    </w:p>
    <w:p w14:paraId="5262AB2E">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3．投资杠杆率限制</w:t>
      </w:r>
    </w:p>
    <w:p w14:paraId="67E0E654">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本理财计划的总资产不得超过净资产的</w:t>
      </w:r>
      <w:r>
        <w:rPr>
          <w:rFonts w:hint="eastAsia" w:ascii="仿宋_GB2312" w:hAnsi="宋体" w:cs="宋体"/>
          <w:bCs/>
          <w:color w:val="auto"/>
          <w:kern w:val="0"/>
          <w:szCs w:val="24"/>
          <w:highlight w:val="yellow"/>
        </w:rPr>
        <w:t>【140%】</w:t>
      </w:r>
      <w:r>
        <w:rPr>
          <w:rFonts w:hint="eastAsia" w:ascii="仿宋_GB2312" w:hAnsi="宋体" w:cs="宋体"/>
          <w:bCs/>
          <w:color w:val="auto"/>
          <w:kern w:val="0"/>
          <w:szCs w:val="24"/>
          <w:highlight w:val="none"/>
        </w:rPr>
        <w:t>。</w:t>
      </w:r>
    </w:p>
    <w:p w14:paraId="51493299">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4．流动性限制</w:t>
      </w:r>
    </w:p>
    <w:p w14:paraId="3C018EA8">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（1）本理财计划直接投资于流动性受限资产的市值在开放日不得超过该理财计划资产净值的15%。</w:t>
      </w:r>
    </w:p>
    <w:p w14:paraId="3CBD171F">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（2）本理财计划还应满足以下限制</w:t>
      </w:r>
      <w:r>
        <w:rPr>
          <w:rFonts w:hint="eastAsia" w:ascii="仿宋_GB2312" w:hAnsi="宋体" w:cs="宋体"/>
          <w:bCs/>
          <w:color w:val="auto"/>
          <w:kern w:val="0"/>
          <w:szCs w:val="24"/>
          <w:highlight w:val="yellow"/>
        </w:rPr>
        <w:t>【】</w:t>
      </w:r>
    </w:p>
    <w:p w14:paraId="4DC5C4E1">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a. 本理财计划应当持有不低于该理财计划资产净值5%的现金或者到期日在一年以内的国债、中央银行票据和政策性金融债券。</w:t>
      </w:r>
    </w:p>
    <w:p w14:paraId="2054192A">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b. 本理财计划应当在开放日及开放日前7个工作日内持有不低于该理财计划资产净值5%的现金或者到期日在一年以内的国债、中央银行票据和政策性金融债券。</w:t>
      </w:r>
    </w:p>
    <w:p w14:paraId="433FFEE3">
      <w:pPr>
        <w:tabs>
          <w:tab w:val="left" w:pos="3119"/>
        </w:tabs>
        <w:autoSpaceDE w:val="0"/>
        <w:autoSpaceDN w:val="0"/>
        <w:adjustRightInd w:val="0"/>
        <w:snapToGrid w:val="0"/>
        <w:spacing w:line="360" w:lineRule="auto"/>
        <w:ind w:firstLine="422" w:firstLineChars="200"/>
        <w:rPr>
          <w:rFonts w:hint="eastAsia" w:ascii="仿宋_GB2312" w:hAnsi="宋体" w:cs="宋体"/>
          <w:bCs/>
          <w:color w:val="auto"/>
          <w:kern w:val="0"/>
          <w:szCs w:val="24"/>
          <w:highlight w:val="none"/>
        </w:rPr>
      </w:pPr>
      <w:r>
        <w:rPr>
          <w:rFonts w:hint="eastAsia" w:ascii="仿宋_GB2312" w:hAnsi="宋体" w:cs="宋体"/>
          <w:b/>
          <w:bCs w:val="0"/>
          <w:color w:val="auto"/>
          <w:kern w:val="0"/>
          <w:szCs w:val="24"/>
          <w:highlight w:val="none"/>
        </w:rPr>
        <w:t>c. 本理财计划</w:t>
      </w:r>
      <w:r>
        <w:rPr>
          <w:rFonts w:hint="eastAsia" w:ascii="仿宋_GB2312" w:hAnsi="宋体" w:cs="宋体"/>
          <w:b/>
          <w:bCs w:val="0"/>
          <w:color w:val="auto"/>
          <w:kern w:val="0"/>
          <w:szCs w:val="24"/>
          <w:highlight w:val="none"/>
          <w:lang w:eastAsia="zh-CN"/>
        </w:rPr>
        <w:t>投资</w:t>
      </w:r>
      <w:r>
        <w:rPr>
          <w:rFonts w:hint="eastAsia" w:ascii="仿宋_GB2312" w:hAnsi="宋体" w:cs="宋体"/>
          <w:b/>
          <w:bCs w:val="0"/>
          <w:color w:val="auto"/>
          <w:kern w:val="0"/>
          <w:szCs w:val="24"/>
          <w:highlight w:val="none"/>
        </w:rPr>
        <w:t>不存在活跃交易市场，并且需要采用估值技术确定公允价值的资产比例</w:t>
      </w:r>
      <w:r>
        <w:rPr>
          <w:rFonts w:hint="eastAsia" w:ascii="仿宋_GB2312" w:hAnsi="宋体" w:cs="宋体"/>
          <w:b/>
          <w:bCs w:val="0"/>
          <w:color w:val="auto"/>
          <w:kern w:val="0"/>
          <w:szCs w:val="24"/>
          <w:highlight w:val="none"/>
          <w:lang w:eastAsia="zh-CN"/>
        </w:rPr>
        <w:t>可达到</w:t>
      </w:r>
      <w:r>
        <w:rPr>
          <w:rFonts w:hint="eastAsia" w:ascii="仿宋_GB2312" w:hAnsi="宋体" w:cs="宋体"/>
          <w:b/>
          <w:bCs w:val="0"/>
          <w:color w:val="auto"/>
          <w:kern w:val="0"/>
          <w:szCs w:val="24"/>
          <w:highlight w:val="none"/>
        </w:rPr>
        <w:t xml:space="preserve">理财产品净资产50%以上。       </w:t>
      </w:r>
      <w:r>
        <w:rPr>
          <w:rFonts w:hint="eastAsia" w:ascii="仿宋_GB2312" w:hAnsi="宋体" w:cs="宋体"/>
          <w:bCs/>
          <w:color w:val="auto"/>
          <w:kern w:val="0"/>
          <w:szCs w:val="24"/>
          <w:highlight w:val="none"/>
        </w:rPr>
        <w:t xml:space="preserve">              </w:t>
      </w:r>
    </w:p>
    <w:p w14:paraId="443B41A9">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（3）在开放日前一工作日内，本理财计划7个工作日可变现资产的可变现价值应当不低于该理财计划资产净值的10%。</w:t>
      </w:r>
    </w:p>
    <w:p w14:paraId="44AB8940">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5．其他投资限制</w:t>
      </w:r>
    </w:p>
    <w:p w14:paraId="53B3AC3F">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本理财计划不得直接投资于信贷资产，不得直接或间接投资于浙商银行信贷资产，不得直接或间接投资于浙商银行或其他银行业金融机构发行的理财产品，不得直接或间接投资于浙商银行发行的次级档信贷资产支持证券，不得直接或间接投资于未上市公司股权及其受（收）益权。</w:t>
      </w:r>
    </w:p>
    <w:p w14:paraId="18BC3160">
      <w:pPr>
        <w:tabs>
          <w:tab w:val="left" w:pos="3119"/>
        </w:tabs>
        <w:autoSpaceDE w:val="0"/>
        <w:autoSpaceDN w:val="0"/>
        <w:adjustRightInd w:val="0"/>
        <w:snapToGrid w:val="0"/>
        <w:spacing w:line="360" w:lineRule="auto"/>
        <w:ind w:firstLine="420" w:firstLineChars="200"/>
        <w:rPr>
          <w:rFonts w:hint="eastAsia" w:ascii="仿宋_GB2312" w:hAnsi="宋体" w:eastAsia="仿宋_GB2312" w:cs="宋体"/>
          <w:bCs/>
          <w:color w:val="auto"/>
          <w:kern w:val="0"/>
          <w:szCs w:val="24"/>
          <w:highlight w:val="none"/>
          <w:lang w:eastAsia="zh-CN"/>
        </w:rPr>
      </w:pPr>
      <w:r>
        <w:rPr>
          <w:rFonts w:hint="eastAsia" w:ascii="仿宋_GB2312" w:hAnsi="宋体" w:cs="宋体"/>
          <w:bCs/>
          <w:color w:val="auto"/>
          <w:kern w:val="0"/>
          <w:szCs w:val="24"/>
          <w:highlight w:val="none"/>
        </w:rPr>
        <w:t>以上限制，如监管有最新规定的，将参照监管规定调整。</w:t>
      </w:r>
      <w:r>
        <w:rPr>
          <w:rFonts w:hint="eastAsia" w:ascii="仿宋_GB2312" w:hAnsi="宋体" w:cs="宋体"/>
          <w:bCs/>
          <w:color w:val="auto"/>
          <w:kern w:val="0"/>
          <w:szCs w:val="24"/>
          <w:highlight w:val="yellow"/>
          <w:lang w:eastAsia="zh-CN"/>
        </w:rPr>
        <w:t>】</w:t>
      </w:r>
    </w:p>
    <w:p w14:paraId="219156A5">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本产品存续期内非因产品管理人主观因素导致产品投资突破上述限制的，管理人将尽合理努力，在15个交易日内调整至符合要求。</w:t>
      </w:r>
    </w:p>
    <w:p w14:paraId="2485F5F9">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投资范围调整</w:t>
      </w:r>
    </w:p>
    <w:p w14:paraId="4BB33F84">
      <w:pPr>
        <w:tabs>
          <w:tab w:val="left" w:pos="3119"/>
        </w:tabs>
        <w:autoSpaceDE w:val="0"/>
        <w:autoSpaceDN w:val="0"/>
        <w:adjustRightInd w:val="0"/>
        <w:snapToGrid w:val="0"/>
        <w:spacing w:line="360" w:lineRule="auto"/>
        <w:ind w:firstLine="482" w:firstLineChars="200"/>
        <w:rPr>
          <w:rFonts w:hint="eastAsia" w:ascii="Arial" w:hAnsi="Arial" w:eastAsia="仿宋_GB2312" w:cstheme="minorBidi"/>
          <w:b w:val="0"/>
          <w:bCs/>
          <w:color w:val="auto"/>
          <w:kern w:val="2"/>
          <w:sz w:val="24"/>
          <w:szCs w:val="22"/>
          <w:highlight w:val="none"/>
          <w:lang w:val="en-US" w:eastAsia="zh-CN" w:bidi="ar-SA"/>
        </w:rPr>
      </w:pPr>
      <w:r>
        <w:rPr>
          <w:rFonts w:hint="eastAsia" w:ascii="Arial" w:hAnsi="Arial" w:eastAsia="仿宋_GB2312" w:cstheme="minorBidi"/>
          <w:b/>
          <w:color w:val="auto"/>
          <w:kern w:val="2"/>
          <w:sz w:val="24"/>
          <w:szCs w:val="22"/>
          <w:highlight w:val="none"/>
          <w:lang w:val="en-US" w:eastAsia="zh-CN" w:bidi="ar-SA"/>
        </w:rPr>
        <w:t>在不违反法律、法规、规章和监管规定的强制性规范的前提下，管理人有权根据市场情况，对本产品的投资范围、投资资产种类或投资比例等进行调整，在调整前将通过本产品说明书约定的信息披露渠道进行信息披露。</w:t>
      </w:r>
      <w:r>
        <w:rPr>
          <w:rFonts w:hint="eastAsia" w:ascii="Arial" w:hAnsi="Arial" w:eastAsia="仿宋_GB2312" w:cstheme="minorBidi"/>
          <w:b w:val="0"/>
          <w:bCs/>
          <w:color w:val="auto"/>
          <w:kern w:val="2"/>
          <w:sz w:val="24"/>
          <w:szCs w:val="22"/>
          <w:highlight w:val="none"/>
          <w:lang w:val="en-US" w:eastAsia="zh-CN" w:bidi="ar-SA"/>
        </w:rPr>
        <w:t>上述情况下管理人可能开放赎回，具体以信息披露内容为准。投资者不同意信息披露内容的，可在信息披露中约定的时间内赎回本产品。如投资者未在上述约定时间内赎回本产品，则视为投资者对上述调整无异议并同意继续持有本产品。除高风险类型的理财产品超出比例范围投资较低风险资产的情况外，管理人应提前取得投资者书面同意，并履行登记备案等法律法规以及金融监督管理部门规定的程序。</w:t>
      </w:r>
    </w:p>
    <w:p w14:paraId="166265B6">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投资策略</w:t>
      </w:r>
    </w:p>
    <w:p w14:paraId="09247075">
      <w:pPr>
        <w:tabs>
          <w:tab w:val="left" w:pos="3119"/>
        </w:tabs>
        <w:autoSpaceDE w:val="0"/>
        <w:autoSpaceDN w:val="0"/>
        <w:adjustRightInd w:val="0"/>
        <w:snapToGrid w:val="0"/>
        <w:spacing w:line="360" w:lineRule="auto"/>
        <w:ind w:firstLine="420" w:firstLineChars="200"/>
        <w:rPr>
          <w:rFonts w:hint="eastAsia" w:ascii="仿宋_GB2312" w:hAnsi="宋体" w:eastAsia="仿宋_GB2312" w:cs="宋体"/>
          <w:b/>
          <w:bCs/>
          <w:color w:val="auto"/>
          <w:kern w:val="0"/>
          <w:szCs w:val="24"/>
          <w:highlight w:val="yellow"/>
          <w:lang w:eastAsia="zh-CN"/>
        </w:rPr>
      </w:pPr>
      <w:r>
        <w:rPr>
          <w:rFonts w:hint="eastAsia" w:ascii="仿宋_GB2312" w:hAnsi="宋体" w:cs="宋体"/>
          <w:bCs/>
          <w:color w:val="auto"/>
          <w:kern w:val="0"/>
          <w:szCs w:val="24"/>
          <w:highlight w:val="yellow"/>
          <w:lang w:eastAsia="zh-CN"/>
        </w:rPr>
        <w:t>【</w:t>
      </w:r>
      <w:r>
        <w:rPr>
          <w:rFonts w:hint="eastAsia" w:ascii="仿宋_GB2312" w:hAnsi="宋体" w:cs="宋体"/>
          <w:b/>
          <w:bCs/>
          <w:color w:val="auto"/>
          <w:kern w:val="0"/>
          <w:szCs w:val="24"/>
          <w:highlight w:val="yellow"/>
          <w:lang w:eastAsia="zh-CN"/>
        </w:rPr>
        <w:t>】</w:t>
      </w:r>
    </w:p>
    <w:p w14:paraId="502268BB">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投资</w:t>
      </w:r>
      <w:r>
        <w:rPr>
          <w:color w:val="auto"/>
          <w:highlight w:val="none"/>
        </w:rPr>
        <w:t>合作机构</w:t>
      </w:r>
    </w:p>
    <w:p w14:paraId="28C32F34">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投资合作机构包括但不限于理财产品所投资资产管理产品的发行机构、根据合同约定从事理财产品受托投资的机构、与理财产品投资管理相关的投资顾问等。本理财产品的投资合作机构主要职责为对受托资金进行投资和管理，根据合同约定从事受托投资或提供投资顾问等服务，具体职责以管理人与投资合作机构签署的合同为准。</w:t>
      </w:r>
    </w:p>
    <w:p w14:paraId="5C15A12D">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本理财产品的投资合作机构均为具有专业资质并受国家金融监督管理总局监管的金融机构或国务院银行业监督管理机构认可的其他机构。本理财产品成立时暂无特定投资合作机构，具体以后续信息披露为准。</w:t>
      </w:r>
    </w:p>
    <w:p w14:paraId="2D7DE0D4">
      <w:pPr>
        <w:pStyle w:val="2"/>
        <w:numPr>
          <w:ilvl w:val="255"/>
          <w:numId w:val="0"/>
        </w:numPr>
        <w:jc w:val="both"/>
        <w:rPr>
          <w:color w:val="auto"/>
          <w:highlight w:val="none"/>
        </w:rPr>
      </w:pPr>
      <w:r>
        <w:rPr>
          <w:rFonts w:hint="eastAsia" w:ascii="仿宋_GB2312" w:hAnsi="宋体" w:eastAsia="仿宋_GB2312" w:cs="宋体"/>
          <w:bCs/>
          <w:color w:val="auto"/>
          <w:kern w:val="0"/>
          <w:sz w:val="24"/>
          <w:szCs w:val="24"/>
          <w:highlight w:val="none"/>
        </w:rPr>
        <w:br w:type="page"/>
      </w:r>
    </w:p>
    <w:p w14:paraId="34C450C2">
      <w:pPr>
        <w:pStyle w:val="2"/>
        <w:numPr>
          <w:ilvl w:val="0"/>
          <w:numId w:val="13"/>
        </w:numPr>
        <w:bidi w:val="0"/>
        <w:ind w:left="0" w:leftChars="0" w:firstLine="0" w:firstLineChars="0"/>
        <w:rPr>
          <w:color w:val="auto"/>
          <w:highlight w:val="none"/>
        </w:rPr>
      </w:pPr>
      <w:r>
        <w:rPr>
          <w:rFonts w:hint="eastAsia"/>
          <w:color w:val="auto"/>
          <w:highlight w:val="none"/>
        </w:rPr>
        <w:t>理财产品的托管</w:t>
      </w:r>
    </w:p>
    <w:p w14:paraId="5789B02D">
      <w:pPr>
        <w:tabs>
          <w:tab w:val="left" w:pos="3119"/>
        </w:tabs>
        <w:autoSpaceDE w:val="0"/>
        <w:autoSpaceDN w:val="0"/>
        <w:adjustRightInd w:val="0"/>
        <w:spacing w:before="240" w:line="360" w:lineRule="auto"/>
        <w:ind w:right="31" w:rightChars="15" w:firstLine="422" w:firstLineChars="200"/>
        <w:contextualSpacing/>
        <w:rPr>
          <w:rFonts w:ascii="仿宋_GB2312" w:hAnsi="宋体" w:cs="宋体"/>
          <w:bCs/>
          <w:color w:val="auto"/>
          <w:kern w:val="0"/>
          <w:szCs w:val="24"/>
        </w:rPr>
      </w:pPr>
      <w:r>
        <w:rPr>
          <w:rFonts w:hint="eastAsia" w:ascii="仿宋_GB2312" w:hAnsi="宋体" w:cs="宋体"/>
          <w:b/>
          <w:bCs/>
          <w:color w:val="auto"/>
          <w:kern w:val="0"/>
          <w:szCs w:val="24"/>
        </w:rPr>
        <w:t>本理财产品托管人为</w:t>
      </w:r>
      <w:r>
        <w:rPr>
          <w:rFonts w:hint="eastAsia" w:ascii="仿宋_GB2312" w:hAnsi="宋体" w:cs="宋体"/>
          <w:b/>
          <w:bCs/>
          <w:color w:val="auto"/>
          <w:kern w:val="0"/>
          <w:szCs w:val="24"/>
          <w:highlight w:val="yellow"/>
        </w:rPr>
        <w:t>【】</w:t>
      </w:r>
      <w:r>
        <w:rPr>
          <w:rFonts w:hint="eastAsia" w:ascii="仿宋_GB2312" w:hAnsi="宋体" w:cs="宋体"/>
          <w:b/>
          <w:bCs/>
          <w:color w:val="auto"/>
          <w:kern w:val="0"/>
          <w:szCs w:val="24"/>
        </w:rPr>
        <w:t>。托管人</w:t>
      </w:r>
      <w:r>
        <w:rPr>
          <w:rFonts w:hint="eastAsia" w:ascii="仿宋_GB2312" w:hAnsi="宋体" w:cs="宋体"/>
          <w:b/>
          <w:bCs/>
          <w:color w:val="auto"/>
          <w:kern w:val="0"/>
          <w:szCs w:val="24"/>
          <w:highlight w:val="yellow"/>
        </w:rPr>
        <w:t>【</w:t>
      </w:r>
      <w:r>
        <w:rPr>
          <w:rFonts w:hint="eastAsia" w:ascii="仿宋_GB2312" w:hAnsi="宋体"/>
          <w:b/>
          <w:color w:val="auto"/>
          <w:szCs w:val="24"/>
          <w:highlight w:val="yellow"/>
        </w:rPr>
        <w:t>□</w:t>
      </w:r>
      <w:r>
        <w:rPr>
          <w:rFonts w:ascii="仿宋_GB2312" w:hAnsi="宋体"/>
          <w:b/>
          <w:color w:val="auto"/>
          <w:szCs w:val="24"/>
          <w:highlight w:val="yellow"/>
        </w:rPr>
        <w:t xml:space="preserve"> </w:t>
      </w:r>
      <w:r>
        <w:rPr>
          <w:rFonts w:hint="eastAsia" w:ascii="仿宋_GB2312" w:hAnsi="宋体" w:cs="宋体"/>
          <w:b/>
          <w:bCs/>
          <w:color w:val="auto"/>
          <w:kern w:val="0"/>
          <w:szCs w:val="24"/>
          <w:highlight w:val="yellow"/>
        </w:rPr>
        <w:t>是</w:t>
      </w:r>
      <w:r>
        <w:rPr>
          <w:rFonts w:ascii="仿宋_GB2312" w:hAnsi="宋体" w:cs="宋体"/>
          <w:b/>
          <w:bCs/>
          <w:color w:val="auto"/>
          <w:kern w:val="0"/>
          <w:szCs w:val="24"/>
          <w:highlight w:val="yellow"/>
        </w:rPr>
        <w:t xml:space="preserve"> </w:t>
      </w:r>
      <w:r>
        <w:rPr>
          <w:rFonts w:hint="eastAsia" w:ascii="仿宋_GB2312" w:hAnsi="宋体"/>
          <w:b/>
          <w:color w:val="auto"/>
          <w:szCs w:val="24"/>
          <w:highlight w:val="yellow"/>
          <w:lang w:eastAsia="zh-CN"/>
        </w:rPr>
        <w:t>□</w:t>
      </w:r>
      <w:r>
        <w:rPr>
          <w:rFonts w:ascii="仿宋_GB2312" w:hAnsi="宋体"/>
          <w:b/>
          <w:color w:val="auto"/>
          <w:szCs w:val="24"/>
          <w:highlight w:val="yellow"/>
        </w:rPr>
        <w:t xml:space="preserve"> </w:t>
      </w:r>
      <w:r>
        <w:rPr>
          <w:rFonts w:hint="eastAsia" w:ascii="仿宋_GB2312" w:hAnsi="宋体"/>
          <w:b/>
          <w:color w:val="auto"/>
          <w:szCs w:val="24"/>
          <w:highlight w:val="yellow"/>
        </w:rPr>
        <w:t>非</w:t>
      </w:r>
      <w:r>
        <w:rPr>
          <w:rFonts w:hint="eastAsia" w:ascii="仿宋_GB2312" w:hAnsi="宋体" w:cs="宋体"/>
          <w:b/>
          <w:bCs/>
          <w:color w:val="auto"/>
          <w:kern w:val="0"/>
          <w:szCs w:val="24"/>
          <w:highlight w:val="yellow"/>
        </w:rPr>
        <w:t>】</w:t>
      </w:r>
      <w:r>
        <w:rPr>
          <w:rFonts w:hint="eastAsia" w:ascii="仿宋_GB2312" w:hAnsi="宋体" w:cs="宋体"/>
          <w:b/>
          <w:bCs/>
          <w:color w:val="auto"/>
          <w:kern w:val="0"/>
          <w:szCs w:val="24"/>
        </w:rPr>
        <w:t>产品管理人的关联方。</w:t>
      </w:r>
    </w:p>
    <w:p w14:paraId="2CA5FE08">
      <w:pPr>
        <w:tabs>
          <w:tab w:val="left" w:pos="3119"/>
        </w:tabs>
        <w:autoSpaceDE w:val="0"/>
        <w:autoSpaceDN w:val="0"/>
        <w:adjustRightInd w:val="0"/>
        <w:spacing w:before="240"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yellow"/>
        </w:rPr>
        <w:t>【】</w:t>
      </w:r>
      <w:r>
        <w:rPr>
          <w:rFonts w:hint="eastAsia" w:ascii="仿宋_GB2312" w:hAnsi="宋体" w:cs="宋体"/>
          <w:bCs/>
          <w:color w:val="auto"/>
          <w:kern w:val="0"/>
          <w:szCs w:val="24"/>
          <w:highlight w:val="none"/>
        </w:rPr>
        <w:t>具备监管机构认可的理财产品托管资格，主要履行职责包括：</w:t>
      </w:r>
    </w:p>
    <w:p w14:paraId="6B2A0C61">
      <w:pPr>
        <w:tabs>
          <w:tab w:val="left" w:pos="3119"/>
        </w:tabs>
        <w:autoSpaceDE w:val="0"/>
        <w:autoSpaceDN w:val="0"/>
        <w:adjustRightInd w:val="0"/>
        <w:spacing w:before="240"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（一）安全保管理财产品财产；</w:t>
      </w:r>
    </w:p>
    <w:p w14:paraId="754FC79A">
      <w:pPr>
        <w:tabs>
          <w:tab w:val="left" w:pos="3119"/>
        </w:tabs>
        <w:autoSpaceDE w:val="0"/>
        <w:autoSpaceDN w:val="0"/>
        <w:adjustRightInd w:val="0"/>
        <w:spacing w:before="240"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（二）确保托管资金安全，保证其托管的理财产品财产与其自有资产相互独立；为每只理财产品开设独立的托管账户，不同托管账户中的资产应当相互独立；</w:t>
      </w:r>
    </w:p>
    <w:p w14:paraId="115A1CBE">
      <w:pPr>
        <w:tabs>
          <w:tab w:val="left" w:pos="3119"/>
        </w:tabs>
        <w:autoSpaceDE w:val="0"/>
        <w:autoSpaceDN w:val="0"/>
        <w:adjustRightInd w:val="0"/>
        <w:spacing w:before="240"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（三）按照托管协议约定和管理人的投资指令，及时办理清算、交割事宜；</w:t>
      </w:r>
    </w:p>
    <w:p w14:paraId="1AF9CB88">
      <w:pPr>
        <w:tabs>
          <w:tab w:val="left" w:pos="3119"/>
        </w:tabs>
        <w:autoSpaceDE w:val="0"/>
        <w:autoSpaceDN w:val="0"/>
        <w:adjustRightInd w:val="0"/>
        <w:spacing w:before="240"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（四）建立与管理人的对账机制，复核、审查理财产品资金头寸、资产账目、资产净值、认购和赎回价格等数据，及时核查认购、赎回以及投资资金的支付和到账情况；</w:t>
      </w:r>
    </w:p>
    <w:p w14:paraId="4E6BB24C">
      <w:pPr>
        <w:tabs>
          <w:tab w:val="left" w:pos="3119"/>
        </w:tabs>
        <w:autoSpaceDE w:val="0"/>
        <w:autoSpaceDN w:val="0"/>
        <w:adjustRightInd w:val="0"/>
        <w:spacing w:before="240"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（五）监督理财产品投资运作，发现理财产品违反法律、行政法规、规章规定或合同约定进行投资的，应当拒绝执行，及时通知管理人并报告银行业监督管理机构；</w:t>
      </w:r>
    </w:p>
    <w:p w14:paraId="6D638AC9">
      <w:pPr>
        <w:tabs>
          <w:tab w:val="left" w:pos="3119"/>
        </w:tabs>
        <w:autoSpaceDE w:val="0"/>
        <w:autoSpaceDN w:val="0"/>
        <w:adjustRightInd w:val="0"/>
        <w:spacing w:before="240"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六）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6ABC7EC5">
      <w:pPr>
        <w:tabs>
          <w:tab w:val="left" w:pos="3119"/>
        </w:tabs>
        <w:autoSpaceDE w:val="0"/>
        <w:autoSpaceDN w:val="0"/>
        <w:adjustRightInd w:val="0"/>
        <w:spacing w:before="240"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（七）理财托管业务活动的记录、账册、报表和其他相关资料保存</w:t>
      </w:r>
      <w:r>
        <w:rPr>
          <w:rFonts w:ascii="仿宋_GB2312" w:hAnsi="宋体" w:cs="宋体"/>
          <w:bCs/>
          <w:color w:val="auto"/>
          <w:kern w:val="0"/>
          <w:szCs w:val="24"/>
          <w:highlight w:val="none"/>
        </w:rPr>
        <w:t>15年以上；</w:t>
      </w:r>
    </w:p>
    <w:p w14:paraId="33F10F2C">
      <w:pPr>
        <w:tabs>
          <w:tab w:val="left" w:pos="3119"/>
        </w:tabs>
        <w:autoSpaceDE w:val="0"/>
        <w:autoSpaceDN w:val="0"/>
        <w:adjustRightInd w:val="0"/>
        <w:spacing w:before="240"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（八）对理财产品投资信息和相关资料承担保密责任，除法律、行政法规、规章规定、审计要求或者合同约定外，不得向任何机构或者个人提供相关信息和资料；</w:t>
      </w:r>
    </w:p>
    <w:p w14:paraId="021FDDA0">
      <w:pPr>
        <w:tabs>
          <w:tab w:val="left" w:pos="3119"/>
        </w:tabs>
        <w:autoSpaceDE w:val="0"/>
        <w:autoSpaceDN w:val="0"/>
        <w:adjustRightInd w:val="0"/>
        <w:spacing w:before="240"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（九）托管人的董事、监事、高级管理人员和其他托管业务人员不得有《商业银行理财业务监督管理办法》第二十四条第二款所列行为；</w:t>
      </w:r>
    </w:p>
    <w:p w14:paraId="1493C1D4">
      <w:pPr>
        <w:tabs>
          <w:tab w:val="left" w:pos="3119"/>
        </w:tabs>
        <w:autoSpaceDE w:val="0"/>
        <w:autoSpaceDN w:val="0"/>
        <w:adjustRightInd w:val="0"/>
        <w:spacing w:before="240"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（十</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配合提供托管人相应关联方信息；</w:t>
      </w:r>
    </w:p>
    <w:p w14:paraId="0152832F">
      <w:pPr>
        <w:tabs>
          <w:tab w:val="left" w:pos="3119"/>
        </w:tabs>
        <w:autoSpaceDE w:val="0"/>
        <w:autoSpaceDN w:val="0"/>
        <w:adjustRightInd w:val="0"/>
        <w:spacing w:before="240" w:line="360" w:lineRule="auto"/>
        <w:ind w:right="31" w:rightChars="15" w:firstLine="420" w:firstLineChars="200"/>
        <w:contextualSpacing/>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（十</w:t>
      </w:r>
      <w:r>
        <w:rPr>
          <w:rFonts w:ascii="仿宋_GB2312" w:hAnsi="宋体" w:cs="宋体"/>
          <w:bCs/>
          <w:color w:val="auto"/>
          <w:kern w:val="0"/>
          <w:szCs w:val="24"/>
          <w:highlight w:val="none"/>
        </w:rPr>
        <w:t>一）</w:t>
      </w:r>
      <w:r>
        <w:rPr>
          <w:rFonts w:hint="eastAsia" w:ascii="仿宋_GB2312" w:hAnsi="宋体" w:cs="宋体"/>
          <w:bCs/>
          <w:color w:val="auto"/>
          <w:kern w:val="0"/>
          <w:szCs w:val="24"/>
          <w:highlight w:val="none"/>
        </w:rPr>
        <w:t>国务院银行业监督管理机构规定的其他职责。</w:t>
      </w:r>
    </w:p>
    <w:p w14:paraId="7E71666B">
      <w:pPr>
        <w:rPr>
          <w:rFonts w:hint="eastAsia" w:ascii="仿宋_GB2312" w:hAnsi="宋体" w:cs="宋体"/>
          <w:bCs/>
          <w:color w:val="auto"/>
          <w:kern w:val="0"/>
          <w:szCs w:val="24"/>
          <w:highlight w:val="none"/>
        </w:rPr>
      </w:pPr>
      <w:r>
        <w:rPr>
          <w:rFonts w:ascii="仿宋_GB2312" w:hAnsi="宋体" w:cs="宋体"/>
          <w:bCs/>
          <w:color w:val="auto"/>
          <w:kern w:val="0"/>
          <w:szCs w:val="24"/>
          <w:highlight w:val="none"/>
        </w:rPr>
        <w:br w:type="page"/>
      </w:r>
    </w:p>
    <w:p w14:paraId="13BA4B4F">
      <w:pPr>
        <w:pStyle w:val="2"/>
        <w:numPr>
          <w:ilvl w:val="0"/>
          <w:numId w:val="13"/>
        </w:numPr>
        <w:bidi w:val="0"/>
        <w:ind w:left="0" w:leftChars="0" w:firstLine="0" w:firstLineChars="0"/>
        <w:rPr>
          <w:color w:val="auto"/>
          <w:highlight w:val="none"/>
        </w:rPr>
      </w:pPr>
      <w:r>
        <w:rPr>
          <w:rFonts w:hint="eastAsia"/>
          <w:color w:val="auto"/>
          <w:highlight w:val="none"/>
        </w:rPr>
        <w:t>理财产品资产估值</w:t>
      </w:r>
    </w:p>
    <w:p w14:paraId="5D974DAE">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估值日</w:t>
      </w:r>
    </w:p>
    <w:p w14:paraId="6AED15D7">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highlight w:val="yellow"/>
          <w:lang w:eastAsia="zh-CN"/>
        </w:rPr>
        <w:t>【</w:t>
      </w:r>
      <w:r>
        <w:rPr>
          <w:rFonts w:hint="eastAsia"/>
          <w:color w:val="auto"/>
          <w:highlight w:val="none"/>
          <w:u w:val="none"/>
        </w:rPr>
        <w:t>本产品的估值日为</w:t>
      </w:r>
      <w:r>
        <w:rPr>
          <w:rFonts w:hint="eastAsia"/>
          <w:highlight w:val="yellow"/>
          <w:lang w:eastAsia="zh-CN"/>
        </w:rPr>
        <w:t>】</w:t>
      </w:r>
      <w:r>
        <w:rPr>
          <w:rFonts w:hint="eastAsia"/>
          <w:color w:val="auto"/>
          <w:highlight w:val="none"/>
          <w:u w:val="none"/>
        </w:rPr>
        <w:t>。</w:t>
      </w:r>
    </w:p>
    <w:p w14:paraId="518EBC44">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估值对象</w:t>
      </w:r>
    </w:p>
    <w:p w14:paraId="4F991D11">
      <w:pPr>
        <w:autoSpaceDE w:val="0"/>
        <w:autoSpaceDN w:val="0"/>
        <w:adjustRightInd w:val="0"/>
        <w:snapToGrid w:val="0"/>
        <w:spacing w:line="360" w:lineRule="auto"/>
        <w:ind w:firstLine="404" w:firstLineChars="200"/>
        <w:jc w:val="left"/>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本理财产品估值的对象为本理财产品所持有的一切资产和负债。</w:t>
      </w:r>
    </w:p>
    <w:p w14:paraId="4F0818AB">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估值方法</w:t>
      </w:r>
    </w:p>
    <w:p w14:paraId="289950CE">
      <w:pPr>
        <w:tabs>
          <w:tab w:val="left" w:pos="3119"/>
        </w:tabs>
        <w:autoSpaceDE w:val="0"/>
        <w:autoSpaceDN w:val="0"/>
        <w:snapToGrid w:val="0"/>
        <w:spacing w:line="360" w:lineRule="auto"/>
        <w:ind w:firstLine="404" w:firstLineChars="200"/>
        <w:rPr>
          <w:rFonts w:hint="default" w:ascii="仿宋_GB2312" w:hAnsi="宋体" w:eastAsia="仿宋_GB2312" w:cs="宋体"/>
          <w:bCs/>
          <w:color w:val="auto"/>
          <w:spacing w:val="-4"/>
          <w:kern w:val="0"/>
          <w:szCs w:val="24"/>
          <w:highlight w:val="none"/>
          <w:lang w:val="en-US" w:eastAsia="zh-CN"/>
        </w:rPr>
      </w:pPr>
      <w:r>
        <w:rPr>
          <w:rFonts w:hint="eastAsia" w:ascii="仿宋_GB2312" w:hAnsi="宋体" w:cs="宋体"/>
          <w:bCs/>
          <w:color w:val="auto"/>
          <w:spacing w:val="-4"/>
          <w:kern w:val="0"/>
          <w:szCs w:val="24"/>
          <w:highlight w:val="none"/>
          <w:lang w:val="en-US" w:eastAsia="zh-CN"/>
        </w:rPr>
        <w:t>1.</w:t>
      </w:r>
      <w:r>
        <w:rPr>
          <w:rFonts w:hint="eastAsia" w:ascii="仿宋_GB2312" w:hAnsi="宋体" w:cs="宋体"/>
          <w:bCs/>
          <w:color w:val="auto"/>
          <w:spacing w:val="-4"/>
          <w:kern w:val="0"/>
          <w:szCs w:val="24"/>
          <w:highlight w:val="none"/>
        </w:rPr>
        <w:t>货币市场工具类资产的估值</w:t>
      </w:r>
    </w:p>
    <w:p w14:paraId="63B6DB9D">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lang w:eastAsia="zh-CN"/>
        </w:rPr>
        <w:t>（</w:t>
      </w:r>
      <w:r>
        <w:rPr>
          <w:rFonts w:hint="eastAsia" w:ascii="仿宋_GB2312" w:hAnsi="宋体" w:cs="宋体"/>
          <w:bCs/>
          <w:color w:val="auto"/>
          <w:spacing w:val="-4"/>
          <w:kern w:val="0"/>
          <w:szCs w:val="24"/>
          <w:highlight w:val="none"/>
          <w:lang w:val="en-US" w:eastAsia="zh-CN"/>
        </w:rPr>
        <w:t>1</w:t>
      </w:r>
      <w:r>
        <w:rPr>
          <w:rFonts w:hint="eastAsia" w:ascii="仿宋_GB2312" w:hAnsi="宋体" w:cs="宋体"/>
          <w:bCs/>
          <w:color w:val="auto"/>
          <w:spacing w:val="-4"/>
          <w:kern w:val="0"/>
          <w:szCs w:val="24"/>
          <w:highlight w:val="none"/>
          <w:lang w:eastAsia="zh-CN"/>
        </w:rPr>
        <w:t>）</w:t>
      </w:r>
      <w:r>
        <w:rPr>
          <w:rFonts w:ascii="仿宋_GB2312" w:hAnsi="宋体" w:cs="宋体"/>
          <w:bCs/>
          <w:color w:val="auto"/>
          <w:spacing w:val="-4"/>
          <w:kern w:val="0"/>
          <w:szCs w:val="24"/>
          <w:highlight w:val="none"/>
        </w:rPr>
        <w:t>银行存款及债券回购</w:t>
      </w:r>
      <w:r>
        <w:rPr>
          <w:rFonts w:hint="eastAsia" w:ascii="仿宋_GB2312" w:hAnsi="宋体" w:cs="宋体"/>
          <w:bCs/>
          <w:color w:val="auto"/>
          <w:spacing w:val="-4"/>
          <w:kern w:val="0"/>
          <w:szCs w:val="24"/>
          <w:highlight w:val="none"/>
        </w:rPr>
        <w:t>等货币市场工具</w:t>
      </w:r>
      <w:r>
        <w:rPr>
          <w:rFonts w:ascii="仿宋_GB2312" w:hAnsi="宋体" w:cs="宋体"/>
          <w:bCs/>
          <w:color w:val="auto"/>
          <w:spacing w:val="-4"/>
          <w:kern w:val="0"/>
          <w:szCs w:val="24"/>
          <w:highlight w:val="none"/>
        </w:rPr>
        <w:t>按商定利率或协议利率在实际持有期内逐日计提收益。</w:t>
      </w:r>
    </w:p>
    <w:p w14:paraId="7D1B868C">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lang w:eastAsia="zh-CN"/>
        </w:rPr>
        <w:t>（</w:t>
      </w:r>
      <w:r>
        <w:rPr>
          <w:rFonts w:hint="eastAsia" w:ascii="仿宋_GB2312" w:hAnsi="宋体" w:cs="宋体"/>
          <w:bCs/>
          <w:color w:val="auto"/>
          <w:spacing w:val="-4"/>
          <w:kern w:val="0"/>
          <w:szCs w:val="24"/>
          <w:highlight w:val="none"/>
          <w:lang w:val="en-US" w:eastAsia="zh-CN"/>
        </w:rPr>
        <w:t>2</w:t>
      </w:r>
      <w:r>
        <w:rPr>
          <w:rFonts w:hint="eastAsia" w:ascii="仿宋_GB2312" w:hAnsi="宋体" w:cs="宋体"/>
          <w:bCs/>
          <w:color w:val="auto"/>
          <w:spacing w:val="-4"/>
          <w:kern w:val="0"/>
          <w:szCs w:val="24"/>
          <w:highlight w:val="none"/>
          <w:lang w:eastAsia="zh-CN"/>
        </w:rPr>
        <w:t>）</w:t>
      </w:r>
      <w:r>
        <w:rPr>
          <w:rFonts w:hint="eastAsia" w:ascii="仿宋_GB2312" w:hAnsi="宋体" w:cs="宋体"/>
          <w:bCs/>
          <w:color w:val="auto"/>
          <w:spacing w:val="-4"/>
          <w:kern w:val="0"/>
          <w:szCs w:val="24"/>
          <w:highlight w:val="none"/>
        </w:rPr>
        <w:t>货币基金按最近披露的基金份额净值进行估值，并依据该基金公布的前一日每万份收益计提收益。</w:t>
      </w:r>
    </w:p>
    <w:p w14:paraId="63C23C68">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lang w:val="en-US" w:eastAsia="zh-CN"/>
        </w:rPr>
        <w:t>2</w:t>
      </w:r>
      <w:r>
        <w:rPr>
          <w:rFonts w:ascii="仿宋_GB2312" w:hAnsi="宋体" w:cs="宋体"/>
          <w:bCs/>
          <w:color w:val="auto"/>
          <w:spacing w:val="-4"/>
          <w:kern w:val="0"/>
          <w:szCs w:val="24"/>
          <w:highlight w:val="none"/>
        </w:rPr>
        <w:t>.</w:t>
      </w:r>
      <w:r>
        <w:rPr>
          <w:rFonts w:hint="eastAsia" w:ascii="仿宋_GB2312" w:hAnsi="宋体" w:cs="宋体"/>
          <w:bCs/>
          <w:color w:val="auto"/>
          <w:spacing w:val="-4"/>
          <w:kern w:val="0"/>
          <w:szCs w:val="24"/>
          <w:highlight w:val="none"/>
        </w:rPr>
        <w:t>在证券交易所和银行间市场交易的债券的估值</w:t>
      </w:r>
    </w:p>
    <w:p w14:paraId="1CC4EEC8">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（1）不含转股权的债券，按照第三方估值机构（中债、中证等）提供的估值数据对本理财产品所持有债券进行估值，具体的第三方估值机构有管理人与托管人协商确定；</w:t>
      </w:r>
    </w:p>
    <w:p w14:paraId="65DE7AC2">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（2）含转股权的债券（如可转债券等），实行全价交易的，选取估值日收盘价进行估值；实行净价交易的，选取估值日收盘价并加计债券应计利息后的全价进行估值；</w:t>
      </w:r>
    </w:p>
    <w:p w14:paraId="1A9C0191">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3）对于暂不具备活跃交易市场，或者在活跃市场中没有公允报价的资产，采用估值技术确定其公允价值。在估值技术难以可靠计量公允价值的情况下，可按照监管机构认可的符合企业会计准则的其他方法进行估值；</w:t>
      </w:r>
    </w:p>
    <w:p w14:paraId="683F1A0D">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（4）如监管对债券估值另有规定，按照监管的最新规定进行调整。</w:t>
      </w:r>
    </w:p>
    <w:p w14:paraId="46A05AB1">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lang w:val="en-US" w:eastAsia="zh-CN"/>
        </w:rPr>
        <w:t>3.</w:t>
      </w:r>
      <w:r>
        <w:rPr>
          <w:rFonts w:hint="eastAsia" w:ascii="仿宋_GB2312" w:hAnsi="宋体" w:cs="宋体"/>
          <w:bCs/>
          <w:color w:val="auto"/>
          <w:spacing w:val="-4"/>
          <w:kern w:val="0"/>
          <w:szCs w:val="24"/>
          <w:highlight w:val="none"/>
        </w:rPr>
        <w:t>优先股按第三方估值机构（中证、中债等）提供的估值数据进行估值；无第三方估值数据的，由管理人与托管人根据合理判断按反映产品公允价值的计量方案进行估值。</w:t>
      </w:r>
    </w:p>
    <w:p w14:paraId="2016EF40">
      <w:pPr>
        <w:tabs>
          <w:tab w:val="left" w:pos="3119"/>
        </w:tabs>
        <w:autoSpaceDE w:val="0"/>
        <w:autoSpaceDN w:val="0"/>
        <w:snapToGrid w:val="0"/>
        <w:spacing w:line="360" w:lineRule="auto"/>
        <w:ind w:firstLine="404" w:firstLineChars="200"/>
        <w:rPr>
          <w:rFonts w:hint="default" w:ascii="仿宋_GB2312" w:hAnsi="宋体" w:eastAsia="仿宋_GB2312" w:cs="宋体"/>
          <w:bCs/>
          <w:color w:val="auto"/>
          <w:spacing w:val="-4"/>
          <w:kern w:val="0"/>
          <w:szCs w:val="24"/>
          <w:highlight w:val="none"/>
          <w:lang w:val="en-US" w:eastAsia="zh-CN"/>
        </w:rPr>
      </w:pPr>
      <w:r>
        <w:rPr>
          <w:rFonts w:hint="eastAsia" w:ascii="仿宋_GB2312" w:hAnsi="宋体" w:cs="宋体"/>
          <w:bCs/>
          <w:color w:val="auto"/>
          <w:spacing w:val="-4"/>
          <w:kern w:val="0"/>
          <w:szCs w:val="24"/>
          <w:highlight w:val="none"/>
          <w:lang w:val="en-US" w:eastAsia="zh-CN"/>
        </w:rPr>
        <w:t>4.</w:t>
      </w:r>
      <w:r>
        <w:rPr>
          <w:rFonts w:hint="eastAsia" w:ascii="仿宋_GB2312" w:hAnsi="宋体" w:cs="宋体"/>
          <w:bCs/>
          <w:color w:val="auto"/>
          <w:spacing w:val="-4"/>
          <w:kern w:val="0"/>
          <w:szCs w:val="24"/>
          <w:highlight w:val="none"/>
        </w:rPr>
        <w:t>交易所上市的有价证券（包括股票、权证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41E7BFBE">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lang w:val="en-US" w:eastAsia="zh-CN"/>
        </w:rPr>
        <w:t>5.</w:t>
      </w:r>
      <w:r>
        <w:rPr>
          <w:rFonts w:hint="eastAsia" w:ascii="仿宋_GB2312" w:hAnsi="宋体" w:cs="宋体"/>
          <w:bCs/>
          <w:color w:val="auto"/>
          <w:spacing w:val="-4"/>
          <w:kern w:val="0"/>
          <w:szCs w:val="24"/>
          <w:highlight w:val="none"/>
        </w:rPr>
        <w:t>投资非货币证券投资基金的估值</w:t>
      </w:r>
    </w:p>
    <w:p w14:paraId="5056C870">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（1）未上市非货币基金，按所投资基金管理人估值日披露的最新份额净值进行估值；</w:t>
      </w:r>
    </w:p>
    <w:p w14:paraId="0F472641">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（2）上市基金估值</w:t>
      </w:r>
    </w:p>
    <w:p w14:paraId="16C2F89B">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交易所上市流通的基金（含公募REITs），以估值日其所在证券交易所的收盘价估值；境内上市的开放式基金（LOF），以所投资基金披露的最新份额净值进行估值。</w:t>
      </w:r>
    </w:p>
    <w:p w14:paraId="0BD3ECD5">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（3）如遇所投资基金不公布基金份额净值、进行折算或拆分、估值日无交易等特殊情况，则按以下原则进行估值：</w:t>
      </w:r>
    </w:p>
    <w:p w14:paraId="5395C471">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①以所投资基金的基金份额净值估值的，若所投资基金管理人未公布估值日基金份额净值，则按最近公布的基金份额净值为基础估值。</w:t>
      </w:r>
    </w:p>
    <w:p w14:paraId="79C4FC79">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②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场及重大变化因素调整最近交易市场，确定公允价值。</w:t>
      </w:r>
    </w:p>
    <w:p w14:paraId="231FDAE6">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③如果所投资基金前一估值日至估值日期间发生分红除权、折算或拆分，理财产品管理人应根据基金份额净值或收盘价、单位基金份额分红金额、折算拆分比例、持仓份额等因素合理确定公允价值。</w:t>
      </w:r>
    </w:p>
    <w:p w14:paraId="22E1E596">
      <w:pPr>
        <w:tabs>
          <w:tab w:val="left" w:pos="3119"/>
        </w:tabs>
        <w:autoSpaceDE w:val="0"/>
        <w:autoSpaceDN w:val="0"/>
        <w:snapToGrid w:val="0"/>
        <w:spacing w:line="360" w:lineRule="auto"/>
        <w:ind w:firstLine="404" w:firstLineChars="200"/>
        <w:rPr>
          <w:rFonts w:hint="default" w:ascii="仿宋_GB2312" w:hAnsi="宋体" w:eastAsia="仿宋_GB2312" w:cs="宋体"/>
          <w:bCs/>
          <w:color w:val="auto"/>
          <w:spacing w:val="-4"/>
          <w:kern w:val="0"/>
          <w:szCs w:val="24"/>
          <w:highlight w:val="none"/>
          <w:lang w:val="en-US" w:eastAsia="zh-CN"/>
        </w:rPr>
      </w:pPr>
      <w:r>
        <w:rPr>
          <w:rFonts w:hint="default" w:ascii="仿宋_GB2312" w:hAnsi="宋体" w:cs="宋体"/>
          <w:bCs/>
          <w:color w:val="auto"/>
          <w:spacing w:val="-4"/>
          <w:kern w:val="0"/>
          <w:szCs w:val="24"/>
          <w:highlight w:val="none"/>
        </w:rPr>
        <w:t>6.投资符合投资范围内的其他各类资产管理产品的估值，以估值日截止时点获得的、由所投资资产管理人披露的最新份额净值或者投资收益情况进行估值；或由产品管理人和托管人根据合理判断按反映产品公允价值的估值方案进行估值。</w:t>
      </w:r>
    </w:p>
    <w:p w14:paraId="2B427EB8">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7.</w:t>
      </w:r>
      <w:r>
        <w:rPr>
          <w:rFonts w:hint="eastAsia" w:ascii="仿宋_GB2312" w:hAnsi="宋体" w:cs="宋体"/>
          <w:bCs/>
          <w:color w:val="auto"/>
          <w:spacing w:val="-4"/>
          <w:kern w:val="0"/>
          <w:szCs w:val="24"/>
          <w:highlight w:val="none"/>
          <w:lang w:eastAsia="zh-CN"/>
        </w:rPr>
        <w:t>商品与</w:t>
      </w:r>
      <w:r>
        <w:rPr>
          <w:rFonts w:hint="eastAsia" w:ascii="仿宋_GB2312" w:hAnsi="宋体" w:cs="宋体"/>
          <w:bCs/>
          <w:color w:val="auto"/>
          <w:spacing w:val="-4"/>
          <w:kern w:val="0"/>
          <w:szCs w:val="24"/>
          <w:highlight w:val="none"/>
        </w:rPr>
        <w:t>金融衍生品类资产的估值</w:t>
      </w:r>
    </w:p>
    <w:p w14:paraId="2D5A4BE5">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（1）场内交易的</w:t>
      </w:r>
      <w:r>
        <w:rPr>
          <w:rFonts w:hint="eastAsia" w:ascii="仿宋_GB2312" w:hAnsi="宋体" w:cs="宋体"/>
          <w:bCs/>
          <w:color w:val="auto"/>
          <w:spacing w:val="-4"/>
          <w:kern w:val="0"/>
          <w:szCs w:val="24"/>
          <w:highlight w:val="none"/>
          <w:lang w:eastAsia="zh-CN"/>
        </w:rPr>
        <w:t>商品与</w:t>
      </w:r>
      <w:r>
        <w:rPr>
          <w:rFonts w:hint="eastAsia" w:ascii="仿宋_GB2312" w:hAnsi="宋体" w:cs="宋体"/>
          <w:bCs/>
          <w:color w:val="auto"/>
          <w:spacing w:val="-4"/>
          <w:kern w:val="0"/>
          <w:szCs w:val="24"/>
          <w:highlight w:val="none"/>
        </w:rPr>
        <w:t>金融衍生品类资产，以交易所最近交易日的结算价或者收盘价进行估值；</w:t>
      </w:r>
    </w:p>
    <w:p w14:paraId="562A62DB">
      <w:pPr>
        <w:tabs>
          <w:tab w:val="left" w:pos="3119"/>
        </w:tabs>
        <w:autoSpaceDE w:val="0"/>
        <w:autoSpaceDN w:val="0"/>
        <w:snapToGrid w:val="0"/>
        <w:spacing w:line="360" w:lineRule="auto"/>
        <w:ind w:firstLine="404" w:firstLineChars="200"/>
        <w:rPr>
          <w:rFonts w:hint="eastAsia" w:ascii="仿宋_GB2312" w:hAnsi="宋体" w:cs="宋体"/>
          <w:bCs/>
          <w:color w:val="auto"/>
          <w:spacing w:val="-4"/>
          <w:kern w:val="0"/>
          <w:szCs w:val="24"/>
          <w:highlight w:val="none"/>
        </w:rPr>
      </w:pPr>
      <w:r>
        <w:rPr>
          <w:rFonts w:hint="eastAsia" w:ascii="仿宋_GB2312" w:hAnsi="宋体" w:cs="宋体"/>
          <w:bCs/>
          <w:color w:val="auto"/>
          <w:spacing w:val="-4"/>
          <w:kern w:val="0"/>
          <w:szCs w:val="24"/>
          <w:highlight w:val="none"/>
        </w:rPr>
        <w:t>（2）场外交易的</w:t>
      </w:r>
      <w:r>
        <w:rPr>
          <w:rFonts w:hint="eastAsia" w:ascii="仿宋_GB2312" w:hAnsi="宋体" w:cs="宋体"/>
          <w:bCs/>
          <w:color w:val="auto"/>
          <w:spacing w:val="-4"/>
          <w:kern w:val="0"/>
          <w:szCs w:val="24"/>
          <w:highlight w:val="none"/>
          <w:lang w:eastAsia="zh-CN"/>
        </w:rPr>
        <w:t>商品与</w:t>
      </w:r>
      <w:r>
        <w:rPr>
          <w:rFonts w:hint="eastAsia" w:ascii="仿宋_GB2312" w:hAnsi="宋体" w:cs="宋体"/>
          <w:bCs/>
          <w:color w:val="auto"/>
          <w:spacing w:val="-4"/>
          <w:kern w:val="0"/>
          <w:szCs w:val="24"/>
          <w:highlight w:val="none"/>
        </w:rPr>
        <w:t>金融衍生品类资产，采用估值技术确定其公允价值，按照外部机构提供的价格数据或管理人与托管人认可的估值方案进行估值。</w:t>
      </w:r>
    </w:p>
    <w:p w14:paraId="3F67DF00">
      <w:pPr>
        <w:tabs>
          <w:tab w:val="left" w:pos="3119"/>
        </w:tabs>
        <w:autoSpaceDE w:val="0"/>
        <w:autoSpaceDN w:val="0"/>
        <w:snapToGrid w:val="0"/>
        <w:spacing w:line="360" w:lineRule="auto"/>
        <w:ind w:firstLine="422" w:firstLineChars="200"/>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8.若理财产品存续期间持有其他投资品种，以理财产品管理人与托管人共同认可的估值方法估值。</w:t>
      </w:r>
    </w:p>
    <w:p w14:paraId="5F598219">
      <w:pPr>
        <w:tabs>
          <w:tab w:val="left" w:pos="3119"/>
        </w:tabs>
        <w:autoSpaceDE w:val="0"/>
        <w:autoSpaceDN w:val="0"/>
        <w:snapToGrid w:val="0"/>
        <w:spacing w:line="360" w:lineRule="auto"/>
        <w:ind w:firstLine="422" w:firstLineChars="200"/>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9.在任何情况下，如采用以上规定的方法对资产进行估值，均应被认为采用了适当的估值方法。如管理人有证据表明上述规定不能客观反映理财产品资产公允价值的，管理人可根据具体情况，在综合考虑市场成交价、市场报价、流动性、收益率曲线与标的信用风险等多种因素基础上，按最能反映理财产品资产公允价值的方法进行估值。</w:t>
      </w:r>
    </w:p>
    <w:p w14:paraId="0356DE55">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估值错误处理</w:t>
      </w:r>
    </w:p>
    <w:p w14:paraId="14B3A388">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理财</w:t>
      </w:r>
      <w:r>
        <w:rPr>
          <w:rFonts w:ascii="仿宋_GB2312" w:hAnsi="宋体" w:cs="宋体"/>
          <w:bCs/>
          <w:color w:val="auto"/>
          <w:kern w:val="0"/>
          <w:szCs w:val="24"/>
          <w:highlight w:val="none"/>
        </w:rPr>
        <w:t>产品</w:t>
      </w:r>
      <w:r>
        <w:rPr>
          <w:rFonts w:hint="eastAsia" w:ascii="仿宋_GB2312" w:hAnsi="宋体" w:cs="宋体"/>
          <w:bCs/>
          <w:color w:val="auto"/>
          <w:kern w:val="0"/>
          <w:szCs w:val="24"/>
          <w:highlight w:val="none"/>
        </w:rPr>
        <w:t>管理人和</w:t>
      </w:r>
      <w:r>
        <w:rPr>
          <w:rFonts w:ascii="仿宋_GB2312" w:hAnsi="宋体" w:cs="宋体"/>
          <w:bCs/>
          <w:color w:val="auto"/>
          <w:kern w:val="0"/>
          <w:szCs w:val="24"/>
          <w:highlight w:val="none"/>
        </w:rPr>
        <w:t>理财产品托管人</w:t>
      </w:r>
      <w:r>
        <w:rPr>
          <w:rFonts w:hint="eastAsia" w:ascii="仿宋_GB2312" w:hAnsi="宋体" w:cs="宋体"/>
          <w:bCs/>
          <w:color w:val="auto"/>
          <w:kern w:val="0"/>
          <w:szCs w:val="24"/>
          <w:highlight w:val="none"/>
        </w:rPr>
        <w:t>将采取必要、适当、合理的措施确保产品资产估值的准确性、及时性。</w:t>
      </w:r>
    </w:p>
    <w:p w14:paraId="2708A742">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1.估值错误处理原则</w:t>
      </w:r>
    </w:p>
    <w:p w14:paraId="3B331D34">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（1）由于理财产品管理人或理财产品托管人自身过错造成的估值错误，导致投资者遭受损失的，由估值错误责任方按照各自过错程度对该估值错误导致投资者遭受的直接损失给予赔偿，承担赔偿责任。</w:t>
      </w:r>
    </w:p>
    <w:p w14:paraId="25A7F743">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对因技术原因引起的差错，若系同行业现有技术水平无法预见、无法避免、无法抗拒，属不可抗力。由于不可抗力原因，或由于证券交易所、期货交易所、第三方估值机构、信托公司、基金公司等发送数据错误等非管理人和托管人原因，管理人和托管人虽然已经采取必要、适当、合理的措施进行检查，但未能发现错误的，由此造成的估值错误，管理人和托管人免除赔偿责任。但管理人、托管人应当积极采取必要的措施减轻或消除由此造成的影响。但因该差错取得不当得利的投资者仍应负有返还不当得利的义务。</w:t>
      </w:r>
    </w:p>
    <w:p w14:paraId="2A19EB82">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若因理财产品托管人估值错误造成财产损失，理财产品管理人应向托管人追偿；若因理财产品管理人与理财产品托管人之外的第三方估值差错造成财产的损失，并拒绝进行赔偿时，由理财产品管理人负责向差错方追偿，追偿过程中产生的有关费用，应当列入理财产品费用，由理财产品承担。</w:t>
      </w:r>
    </w:p>
    <w:p w14:paraId="5522AAD5">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（4）因估值错误而获得不当得利的投资者负有及时返还不当得利的义务。</w:t>
      </w:r>
    </w:p>
    <w:p w14:paraId="0A832E05">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（5）按法律法规规定的其他原则处理估值错误。</w:t>
      </w:r>
    </w:p>
    <w:p w14:paraId="279C89EA">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2.估值错误处理程序</w:t>
      </w:r>
    </w:p>
    <w:p w14:paraId="1584ECFD">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估值错误被发现后，理财产品管理人与理财产品托管人应当及时进行处理，处理的程序如下：</w:t>
      </w:r>
    </w:p>
    <w:p w14:paraId="6DB39688">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（1）查明估值差错发生的原因，根据估值错误发生的原因确定估值错误的责任方；</w:t>
      </w:r>
    </w:p>
    <w:p w14:paraId="789147F5">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（2）根据估值错误处理原则对因估值错误造成的损失进行评估；</w:t>
      </w:r>
    </w:p>
    <w:p w14:paraId="5AD47CCB">
      <w:pPr>
        <w:tabs>
          <w:tab w:val="left" w:pos="3119"/>
        </w:tabs>
        <w:autoSpaceDE w:val="0"/>
        <w:autoSpaceDN w:val="0"/>
        <w:adjustRightInd w:val="0"/>
        <w:snapToGrid w:val="0"/>
        <w:spacing w:line="360" w:lineRule="auto"/>
        <w:ind w:right="31" w:rightChars="15"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（3）根据估值错误处理原则或理财产品管理人与托管人协商的方法，由理财产品管理人与托管人共同进行更正，由估值错误的责任方进行赔偿损失。</w:t>
      </w:r>
    </w:p>
    <w:p w14:paraId="0C35644E">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暂停估值的情形</w:t>
      </w:r>
    </w:p>
    <w:p w14:paraId="2B714A8A">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1.当资产估值因不可抗力或其他情形致使本产品管理人和托管人无法准确评估资产价值时；</w:t>
      </w:r>
    </w:p>
    <w:p w14:paraId="187822AF">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2．理财产品投资所涉及的交易市场遇法定节假日或因其他原因暂停营业时；</w:t>
      </w:r>
    </w:p>
    <w:p w14:paraId="00C44C87">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3.理财产品投资的其他资产产品合同约定暂停估值或无法估值的情形发生，导致理财产品无法估值时；</w:t>
      </w:r>
    </w:p>
    <w:p w14:paraId="7A1E79D8">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4</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当前一估值日理财产品资产净值5</w:t>
      </w:r>
      <w:r>
        <w:rPr>
          <w:rFonts w:ascii="仿宋_GB2312" w:hAnsi="宋体" w:cs="宋体"/>
          <w:bCs/>
          <w:color w:val="auto"/>
          <w:kern w:val="0"/>
          <w:szCs w:val="24"/>
          <w:highlight w:val="none"/>
        </w:rPr>
        <w:t>0</w:t>
      </w:r>
      <w:r>
        <w:rPr>
          <w:rFonts w:hint="eastAsia" w:ascii="仿宋_GB2312" w:hAnsi="宋体" w:cs="宋体"/>
          <w:bCs/>
          <w:color w:val="auto"/>
          <w:kern w:val="0"/>
          <w:szCs w:val="24"/>
          <w:highlight w:val="none"/>
        </w:rPr>
        <w:t>%以上的资产不具备活跃市场或在活跃市场中无报价，且采用估值技术不能可靠计量公允价值时；</w:t>
      </w:r>
    </w:p>
    <w:p w14:paraId="1D50D05A">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ascii="仿宋_GB2312" w:hAnsi="宋体" w:cs="宋体"/>
          <w:bCs/>
          <w:color w:val="auto"/>
          <w:kern w:val="0"/>
          <w:szCs w:val="24"/>
          <w:highlight w:val="none"/>
        </w:rPr>
        <w:t>5</w:t>
      </w:r>
      <w:r>
        <w:rPr>
          <w:rFonts w:hint="eastAsia" w:ascii="仿宋_GB2312" w:hAnsi="宋体" w:cs="宋体"/>
          <w:bCs/>
          <w:color w:val="auto"/>
          <w:kern w:val="0"/>
          <w:szCs w:val="24"/>
          <w:highlight w:val="none"/>
        </w:rPr>
        <w:t>.国家金融监督管理总局认定的其他情形或理财产品管理人、托管人有合理理由认为将影响本理财产品估值的其他情形。</w:t>
      </w:r>
    </w:p>
    <w:p w14:paraId="1BC59660">
      <w:pPr>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br w:type="page"/>
      </w:r>
    </w:p>
    <w:p w14:paraId="4018F448">
      <w:pPr>
        <w:pStyle w:val="2"/>
        <w:numPr>
          <w:ilvl w:val="0"/>
          <w:numId w:val="13"/>
        </w:numPr>
        <w:bidi w:val="0"/>
        <w:ind w:left="0" w:leftChars="0" w:firstLine="0" w:firstLineChars="0"/>
        <w:rPr>
          <w:color w:val="auto"/>
          <w:highlight w:val="none"/>
        </w:rPr>
      </w:pPr>
      <w:r>
        <w:rPr>
          <w:rFonts w:hint="eastAsia"/>
          <w:color w:val="auto"/>
          <w:highlight w:val="none"/>
        </w:rPr>
        <w:t>理财产品的</w:t>
      </w:r>
      <w:r>
        <w:rPr>
          <w:rFonts w:hint="eastAsia"/>
          <w:color w:val="auto"/>
          <w:highlight w:val="none"/>
          <w:lang w:eastAsia="zh-CN"/>
        </w:rPr>
        <w:t>收益</w:t>
      </w:r>
      <w:r>
        <w:rPr>
          <w:rFonts w:hint="eastAsia"/>
          <w:color w:val="auto"/>
          <w:highlight w:val="none"/>
        </w:rPr>
        <w:t>分配</w:t>
      </w:r>
    </w:p>
    <w:p w14:paraId="03A077C4">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理财产品的收益构成</w:t>
      </w:r>
    </w:p>
    <w:p w14:paraId="114742BC">
      <w:pPr>
        <w:pStyle w:val="3"/>
        <w:numPr>
          <w:ilvl w:val="0"/>
          <w:numId w:val="0"/>
        </w:numPr>
        <w:tabs>
          <w:tab w:val="left" w:pos="709"/>
          <w:tab w:val="left" w:pos="3261"/>
        </w:tabs>
        <w:ind w:firstLine="482"/>
        <w:rPr>
          <w:color w:val="auto"/>
          <w:highlight w:val="none"/>
        </w:rPr>
      </w:pPr>
      <w:r>
        <w:rPr>
          <w:rFonts w:hint="eastAsia"/>
          <w:color w:val="auto"/>
          <w:highlight w:val="none"/>
        </w:rPr>
        <w:t>本</w:t>
      </w:r>
      <w:r>
        <w:rPr>
          <w:rFonts w:hint="eastAsia"/>
          <w:color w:val="auto"/>
          <w:highlight w:val="none"/>
          <w:u w:val="none"/>
        </w:rPr>
        <w:t>理财产品的收益包括：投资债券、货币市场工具等</w:t>
      </w:r>
      <w:r>
        <w:rPr>
          <w:rFonts w:hint="eastAsia"/>
          <w:color w:val="auto"/>
          <w:highlight w:val="none"/>
          <w:u w:val="none"/>
          <w:lang w:eastAsia="zh-CN"/>
        </w:rPr>
        <w:t>投资范围内的资产和</w:t>
      </w:r>
      <w:r>
        <w:rPr>
          <w:rFonts w:hint="eastAsia"/>
          <w:color w:val="auto"/>
          <w:highlight w:val="none"/>
          <w:u w:val="none"/>
        </w:rPr>
        <w:t>监管机构认可的资产或资产管理产品所产生的利息收入、买卖证券差价收入、银行存款利息以及其他合法收入。该收益构成不代表投资者一定可以获得的收益</w:t>
      </w:r>
      <w:r>
        <w:rPr>
          <w:rFonts w:hint="eastAsia"/>
          <w:color w:val="auto"/>
          <w:highlight w:val="none"/>
        </w:rPr>
        <w:t>。</w:t>
      </w:r>
    </w:p>
    <w:p w14:paraId="6232F20A">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理财</w:t>
      </w:r>
      <w:r>
        <w:rPr>
          <w:rFonts w:hint="eastAsia"/>
          <w:color w:val="auto"/>
          <w:highlight w:val="none"/>
          <w:lang w:eastAsia="zh-CN"/>
        </w:rPr>
        <w:t>收益</w:t>
      </w:r>
      <w:r>
        <w:rPr>
          <w:rFonts w:hint="eastAsia"/>
          <w:color w:val="auto"/>
          <w:highlight w:val="none"/>
        </w:rPr>
        <w:t>的分配类型</w:t>
      </w:r>
    </w:p>
    <w:p w14:paraId="5D1F0855">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1.依据分配时点，理财</w:t>
      </w:r>
      <w:r>
        <w:rPr>
          <w:rFonts w:hint="eastAsia" w:ascii="仿宋_GB2312" w:hAnsi="宋体" w:cs="宋体"/>
          <w:bCs/>
          <w:color w:val="auto"/>
          <w:kern w:val="0"/>
          <w:szCs w:val="24"/>
          <w:highlight w:val="none"/>
          <w:lang w:eastAsia="zh-CN"/>
        </w:rPr>
        <w:t>收益</w:t>
      </w:r>
      <w:r>
        <w:rPr>
          <w:rFonts w:hint="eastAsia" w:ascii="仿宋_GB2312" w:hAnsi="宋体" w:cs="宋体"/>
          <w:bCs/>
          <w:color w:val="auto"/>
          <w:kern w:val="0"/>
          <w:szCs w:val="24"/>
          <w:highlight w:val="none"/>
        </w:rPr>
        <w:t>的分配可分为“期间分配”与“终止分配”。</w:t>
      </w:r>
    </w:p>
    <w:p w14:paraId="41867B36">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2.依据分配方式，理财</w:t>
      </w:r>
      <w:r>
        <w:rPr>
          <w:rFonts w:hint="eastAsia" w:ascii="仿宋_GB2312" w:hAnsi="宋体" w:cs="宋体"/>
          <w:bCs/>
          <w:color w:val="auto"/>
          <w:kern w:val="0"/>
          <w:szCs w:val="24"/>
          <w:highlight w:val="none"/>
          <w:lang w:eastAsia="zh-CN"/>
        </w:rPr>
        <w:t>收益</w:t>
      </w:r>
      <w:r>
        <w:rPr>
          <w:rFonts w:hint="eastAsia" w:ascii="仿宋_GB2312" w:hAnsi="宋体" w:cs="宋体"/>
          <w:bCs/>
          <w:color w:val="auto"/>
          <w:kern w:val="0"/>
          <w:szCs w:val="24"/>
          <w:highlight w:val="none"/>
        </w:rPr>
        <w:t>的分配可分为“现金分配”与“非现金分配”。</w:t>
      </w:r>
    </w:p>
    <w:p w14:paraId="1D8584EE">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理财</w:t>
      </w:r>
      <w:r>
        <w:rPr>
          <w:rFonts w:hint="eastAsia"/>
          <w:color w:val="auto"/>
          <w:highlight w:val="none"/>
          <w:lang w:eastAsia="zh-CN"/>
        </w:rPr>
        <w:t>收益</w:t>
      </w:r>
      <w:r>
        <w:rPr>
          <w:rFonts w:hint="eastAsia"/>
          <w:color w:val="auto"/>
          <w:highlight w:val="none"/>
        </w:rPr>
        <w:t>的分配原则</w:t>
      </w:r>
    </w:p>
    <w:p w14:paraId="66143011">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1.本产品</w:t>
      </w:r>
      <w:r>
        <w:rPr>
          <w:rFonts w:hint="eastAsia" w:ascii="仿宋_GB2312" w:hAnsi="宋体" w:cs="宋体"/>
          <w:bCs/>
          <w:color w:val="auto"/>
          <w:kern w:val="0"/>
          <w:szCs w:val="24"/>
          <w:highlight w:val="none"/>
          <w:lang w:eastAsia="zh-CN"/>
        </w:rPr>
        <w:t>收益</w:t>
      </w:r>
      <w:r>
        <w:rPr>
          <w:rFonts w:hint="eastAsia" w:ascii="仿宋_GB2312" w:hAnsi="宋体" w:cs="宋体"/>
          <w:bCs/>
          <w:color w:val="auto"/>
          <w:kern w:val="0"/>
          <w:szCs w:val="24"/>
          <w:highlight w:val="none"/>
        </w:rPr>
        <w:t>分配应遵循下列原则：</w:t>
      </w:r>
    </w:p>
    <w:p w14:paraId="2DAB7DD2">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（1）每一产品份额享有同等分配权。</w:t>
      </w:r>
    </w:p>
    <w:p w14:paraId="26354756">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（2）在不</w:t>
      </w:r>
      <w:r>
        <w:rPr>
          <w:rFonts w:ascii="仿宋_GB2312" w:hAnsi="宋体" w:cs="宋体"/>
          <w:bCs/>
          <w:color w:val="auto"/>
          <w:kern w:val="0"/>
          <w:szCs w:val="24"/>
          <w:highlight w:val="none"/>
        </w:rPr>
        <w:t>违反法律法规、理财产品销售文件约定以及对份额持有人权益无实质性不利影响的情况下，产品管理人可</w:t>
      </w:r>
      <w:r>
        <w:rPr>
          <w:rFonts w:hint="eastAsia" w:ascii="仿宋_GB2312" w:hAnsi="宋体" w:cs="宋体"/>
          <w:bCs/>
          <w:color w:val="auto"/>
          <w:kern w:val="0"/>
          <w:szCs w:val="24"/>
          <w:highlight w:val="none"/>
        </w:rPr>
        <w:t>调整</w:t>
      </w:r>
      <w:r>
        <w:rPr>
          <w:rFonts w:ascii="仿宋_GB2312" w:hAnsi="宋体" w:cs="宋体"/>
          <w:bCs/>
          <w:color w:val="auto"/>
          <w:kern w:val="0"/>
          <w:szCs w:val="24"/>
          <w:highlight w:val="none"/>
        </w:rPr>
        <w:t>本理财产品</w:t>
      </w:r>
      <w:r>
        <w:rPr>
          <w:rFonts w:hint="eastAsia" w:ascii="仿宋_GB2312" w:hAnsi="宋体" w:cs="宋体"/>
          <w:bCs/>
          <w:color w:val="auto"/>
          <w:kern w:val="0"/>
          <w:szCs w:val="24"/>
          <w:highlight w:val="none"/>
          <w:lang w:eastAsia="zh-CN"/>
        </w:rPr>
        <w:t>收益</w:t>
      </w:r>
      <w:r>
        <w:rPr>
          <w:rFonts w:ascii="仿宋_GB2312" w:hAnsi="宋体" w:cs="宋体"/>
          <w:bCs/>
          <w:color w:val="auto"/>
          <w:kern w:val="0"/>
          <w:szCs w:val="24"/>
          <w:highlight w:val="none"/>
        </w:rPr>
        <w:t>的分配原则与支付方式。法律</w:t>
      </w:r>
      <w:r>
        <w:rPr>
          <w:rFonts w:hint="eastAsia" w:ascii="仿宋_GB2312" w:hAnsi="宋体" w:cs="宋体"/>
          <w:bCs/>
          <w:color w:val="auto"/>
          <w:kern w:val="0"/>
          <w:szCs w:val="24"/>
          <w:highlight w:val="none"/>
        </w:rPr>
        <w:t>法规</w:t>
      </w:r>
      <w:r>
        <w:rPr>
          <w:rFonts w:ascii="仿宋_GB2312" w:hAnsi="宋体" w:cs="宋体"/>
          <w:bCs/>
          <w:color w:val="auto"/>
          <w:kern w:val="0"/>
          <w:szCs w:val="24"/>
          <w:highlight w:val="none"/>
        </w:rPr>
        <w:t>或监管机构另有规定的从其规定。</w:t>
      </w:r>
    </w:p>
    <w:p w14:paraId="51A5527B">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理财</w:t>
      </w:r>
      <w:r>
        <w:rPr>
          <w:rFonts w:hint="eastAsia"/>
          <w:color w:val="auto"/>
          <w:highlight w:val="none"/>
          <w:lang w:eastAsia="zh-CN"/>
        </w:rPr>
        <w:t>收益</w:t>
      </w:r>
      <w:r>
        <w:rPr>
          <w:rFonts w:hint="eastAsia"/>
          <w:color w:val="auto"/>
          <w:highlight w:val="none"/>
        </w:rPr>
        <w:t xml:space="preserve">的分配方案 </w:t>
      </w:r>
    </w:p>
    <w:p w14:paraId="4462C62D">
      <w:pPr>
        <w:autoSpaceDE w:val="0"/>
        <w:autoSpaceDN w:val="0"/>
        <w:adjustRightInd w:val="0"/>
        <w:snapToGrid w:val="0"/>
        <w:spacing w:line="360" w:lineRule="auto"/>
        <w:ind w:firstLine="420" w:firstLineChars="200"/>
        <w:jc w:val="left"/>
        <w:rPr>
          <w:color w:val="auto"/>
          <w:highlight w:val="none"/>
        </w:rPr>
      </w:pPr>
      <w:r>
        <w:rPr>
          <w:rFonts w:hint="eastAsia" w:ascii="仿宋_GB2312" w:hAnsi="宋体" w:cs="宋体"/>
          <w:bCs/>
          <w:color w:val="auto"/>
          <w:kern w:val="0"/>
          <w:szCs w:val="24"/>
          <w:highlight w:val="none"/>
        </w:rPr>
        <w:t>1.</w:t>
      </w:r>
      <w:r>
        <w:rPr>
          <w:rFonts w:hint="eastAsia"/>
          <w:color w:val="auto"/>
          <w:highlight w:val="none"/>
        </w:rPr>
        <w:t>分配方案要点：</w:t>
      </w:r>
    </w:p>
    <w:p w14:paraId="0C5CE049">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w:t>
      </w:r>
      <w:r>
        <w:rPr>
          <w:rFonts w:ascii="仿宋_GB2312" w:hAnsi="宋体" w:cs="宋体"/>
          <w:bCs/>
          <w:color w:val="auto"/>
          <w:kern w:val="0"/>
          <w:szCs w:val="24"/>
          <w:highlight w:val="none"/>
        </w:rPr>
        <w:t>1）</w:t>
      </w:r>
      <w:r>
        <w:rPr>
          <w:rFonts w:hint="eastAsia" w:ascii="仿宋_GB2312" w:hAnsi="宋体" w:cs="宋体"/>
          <w:bCs/>
          <w:color w:val="auto"/>
          <w:kern w:val="0"/>
          <w:szCs w:val="24"/>
          <w:highlight w:val="none"/>
        </w:rPr>
        <w:t>本</w:t>
      </w:r>
      <w:r>
        <w:rPr>
          <w:rFonts w:ascii="仿宋_GB2312" w:hAnsi="宋体" w:cs="宋体"/>
          <w:bCs/>
          <w:color w:val="auto"/>
          <w:kern w:val="0"/>
          <w:szCs w:val="24"/>
          <w:highlight w:val="none"/>
        </w:rPr>
        <w:t>理财产品的分配时点包括</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rPr>
        <w:t>“现金分配”</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rPr>
        <w:t>“</w:t>
      </w:r>
      <w:r>
        <w:rPr>
          <w:rFonts w:hint="eastAsia" w:ascii="仿宋_GB2312" w:hAnsi="宋体" w:cs="宋体"/>
          <w:bCs/>
          <w:kern w:val="0"/>
          <w:szCs w:val="24"/>
          <w:highlight w:val="none"/>
          <w:lang w:eastAsia="zh-CN"/>
        </w:rPr>
        <w:t>非</w:t>
      </w:r>
      <w:r>
        <w:rPr>
          <w:rFonts w:hint="eastAsia" w:ascii="仿宋_GB2312" w:hAnsi="宋体" w:cs="宋体"/>
          <w:bCs/>
          <w:kern w:val="0"/>
          <w:szCs w:val="24"/>
          <w:highlight w:val="none"/>
        </w:rPr>
        <w:t>现金分配”</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rPr>
        <w:t>。</w:t>
      </w:r>
    </w:p>
    <w:p w14:paraId="0B1B4337">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本</w:t>
      </w:r>
      <w:r>
        <w:rPr>
          <w:rFonts w:ascii="仿宋_GB2312" w:hAnsi="宋体" w:cs="宋体"/>
          <w:bCs/>
          <w:color w:val="auto"/>
          <w:kern w:val="0"/>
          <w:szCs w:val="24"/>
          <w:highlight w:val="none"/>
        </w:rPr>
        <w:t>理财产品的分配</w:t>
      </w:r>
      <w:r>
        <w:rPr>
          <w:rFonts w:hint="eastAsia" w:ascii="仿宋_GB2312" w:hAnsi="宋体" w:cs="宋体"/>
          <w:bCs/>
          <w:color w:val="auto"/>
          <w:kern w:val="0"/>
          <w:szCs w:val="24"/>
          <w:highlight w:val="none"/>
        </w:rPr>
        <w:t>方式</w:t>
      </w:r>
      <w:r>
        <w:rPr>
          <w:rFonts w:ascii="仿宋_GB2312" w:hAnsi="宋体" w:cs="宋体"/>
          <w:bCs/>
          <w:color w:val="auto"/>
          <w:kern w:val="0"/>
          <w:szCs w:val="24"/>
          <w:highlight w:val="none"/>
        </w:rPr>
        <w:t>采取</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rPr>
        <w:t>“现金分配”</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rPr>
        <w:t>“</w:t>
      </w:r>
      <w:r>
        <w:rPr>
          <w:rFonts w:hint="eastAsia" w:ascii="仿宋_GB2312" w:hAnsi="宋体" w:cs="宋体"/>
          <w:bCs/>
          <w:kern w:val="0"/>
          <w:szCs w:val="24"/>
          <w:highlight w:val="none"/>
          <w:lang w:eastAsia="zh-CN"/>
        </w:rPr>
        <w:t>非</w:t>
      </w:r>
      <w:r>
        <w:rPr>
          <w:rFonts w:hint="eastAsia" w:ascii="仿宋_GB2312" w:hAnsi="宋体" w:cs="宋体"/>
          <w:bCs/>
          <w:kern w:val="0"/>
          <w:szCs w:val="24"/>
          <w:highlight w:val="none"/>
        </w:rPr>
        <w:t>现金分配”</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rPr>
        <w:t>。</w:t>
      </w:r>
    </w:p>
    <w:p w14:paraId="7B5B4E9A">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ascii="仿宋_GB2312" w:hAnsi="宋体" w:cs="宋体"/>
          <w:bCs/>
          <w:color w:val="auto"/>
          <w:kern w:val="0"/>
          <w:szCs w:val="24"/>
          <w:highlight w:val="none"/>
        </w:rPr>
        <w:t>2.</w:t>
      </w:r>
      <w:r>
        <w:rPr>
          <w:rFonts w:hint="eastAsia" w:ascii="仿宋_GB2312" w:hAnsi="宋体" w:cs="宋体"/>
          <w:bCs/>
          <w:color w:val="auto"/>
          <w:kern w:val="0"/>
          <w:szCs w:val="24"/>
          <w:highlight w:val="none"/>
        </w:rPr>
        <w:t>具体</w:t>
      </w:r>
      <w:r>
        <w:rPr>
          <w:rFonts w:ascii="仿宋_GB2312" w:hAnsi="宋体" w:cs="宋体"/>
          <w:bCs/>
          <w:color w:val="auto"/>
          <w:kern w:val="0"/>
          <w:szCs w:val="24"/>
          <w:highlight w:val="none"/>
        </w:rPr>
        <w:t>理财产品</w:t>
      </w:r>
      <w:r>
        <w:rPr>
          <w:rFonts w:hint="eastAsia" w:ascii="仿宋_GB2312" w:hAnsi="宋体" w:cs="宋体"/>
          <w:bCs/>
          <w:color w:val="auto"/>
          <w:kern w:val="0"/>
          <w:szCs w:val="24"/>
          <w:highlight w:val="none"/>
          <w:lang w:eastAsia="zh-CN"/>
        </w:rPr>
        <w:t>收益</w:t>
      </w:r>
      <w:r>
        <w:rPr>
          <w:rFonts w:ascii="仿宋_GB2312" w:hAnsi="宋体" w:cs="宋体"/>
          <w:bCs/>
          <w:color w:val="auto"/>
          <w:kern w:val="0"/>
          <w:szCs w:val="24"/>
          <w:highlight w:val="none"/>
        </w:rPr>
        <w:t>分配方案由产品管理人拟定，并由产品托管人复核后确定。</w:t>
      </w:r>
    </w:p>
    <w:p w14:paraId="408187C9">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3.理财</w:t>
      </w:r>
      <w:r>
        <w:rPr>
          <w:rFonts w:ascii="仿宋_GB2312" w:hAnsi="宋体" w:cs="宋体"/>
          <w:bCs/>
          <w:color w:val="auto"/>
          <w:kern w:val="0"/>
          <w:szCs w:val="24"/>
          <w:highlight w:val="none"/>
        </w:rPr>
        <w:t>产品存续期间，产品管理人有权</w:t>
      </w:r>
      <w:r>
        <w:rPr>
          <w:rFonts w:hint="eastAsia" w:ascii="仿宋_GB2312" w:hAnsi="宋体" w:cs="宋体"/>
          <w:bCs/>
          <w:color w:val="auto"/>
          <w:kern w:val="0"/>
          <w:szCs w:val="24"/>
          <w:highlight w:val="none"/>
        </w:rPr>
        <w:t>视</w:t>
      </w:r>
      <w:r>
        <w:rPr>
          <w:rFonts w:ascii="仿宋_GB2312" w:hAnsi="宋体" w:cs="宋体"/>
          <w:bCs/>
          <w:color w:val="auto"/>
          <w:kern w:val="0"/>
          <w:szCs w:val="24"/>
          <w:highlight w:val="none"/>
        </w:rPr>
        <w:t>理财产品收益情况进行主动分配，相应</w:t>
      </w:r>
      <w:r>
        <w:rPr>
          <w:rFonts w:hint="eastAsia" w:ascii="仿宋_GB2312" w:hAnsi="宋体" w:cs="宋体"/>
          <w:bCs/>
          <w:color w:val="auto"/>
          <w:kern w:val="0"/>
          <w:szCs w:val="24"/>
          <w:highlight w:val="none"/>
          <w:lang w:eastAsia="zh-CN"/>
        </w:rPr>
        <w:t>收益</w:t>
      </w:r>
      <w:r>
        <w:rPr>
          <w:rFonts w:ascii="仿宋_GB2312" w:hAnsi="宋体" w:cs="宋体"/>
          <w:bCs/>
          <w:color w:val="auto"/>
          <w:kern w:val="0"/>
          <w:szCs w:val="24"/>
          <w:highlight w:val="none"/>
        </w:rPr>
        <w:t>分配基准日、分配方案由管理人及时披露</w:t>
      </w:r>
      <w:r>
        <w:rPr>
          <w:rFonts w:ascii="宋体" w:hAnsi="宋体"/>
          <w:color w:val="auto"/>
          <w:szCs w:val="24"/>
          <w:highlight w:val="none"/>
        </w:rPr>
        <w:t>。</w:t>
      </w:r>
    </w:p>
    <w:p w14:paraId="2FD98C87">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理财</w:t>
      </w:r>
      <w:r>
        <w:rPr>
          <w:rFonts w:hint="eastAsia"/>
          <w:color w:val="auto"/>
          <w:highlight w:val="none"/>
          <w:lang w:eastAsia="zh-CN"/>
        </w:rPr>
        <w:t>收益</w:t>
      </w:r>
      <w:r>
        <w:rPr>
          <w:rFonts w:hint="eastAsia"/>
          <w:color w:val="auto"/>
          <w:highlight w:val="none"/>
        </w:rPr>
        <w:t>的分配</w:t>
      </w:r>
    </w:p>
    <w:p w14:paraId="5282D747">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1.理财</w:t>
      </w:r>
      <w:r>
        <w:rPr>
          <w:rFonts w:hint="eastAsia" w:ascii="仿宋_GB2312" w:hAnsi="宋体" w:cs="宋体"/>
          <w:bCs/>
          <w:color w:val="auto"/>
          <w:kern w:val="0"/>
          <w:szCs w:val="24"/>
          <w:highlight w:val="none"/>
          <w:lang w:eastAsia="zh-CN"/>
        </w:rPr>
        <w:t>收益</w:t>
      </w:r>
      <w:r>
        <w:rPr>
          <w:rFonts w:ascii="仿宋_GB2312" w:hAnsi="宋体" w:cs="宋体"/>
          <w:bCs/>
          <w:color w:val="auto"/>
          <w:kern w:val="0"/>
          <w:szCs w:val="24"/>
          <w:highlight w:val="none"/>
        </w:rPr>
        <w:t>的分配日</w:t>
      </w:r>
    </w:p>
    <w:p w14:paraId="0071F1A4">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若</w:t>
      </w:r>
      <w:r>
        <w:rPr>
          <w:rFonts w:ascii="仿宋_GB2312" w:hAnsi="宋体" w:cs="宋体"/>
          <w:bCs/>
          <w:color w:val="auto"/>
          <w:kern w:val="0"/>
          <w:szCs w:val="24"/>
          <w:highlight w:val="none"/>
        </w:rPr>
        <w:t>为期间分配的，原则上产品管理人应于分配基准日后</w:t>
      </w:r>
      <w:r>
        <w:rPr>
          <w:rFonts w:ascii="仿宋_GB2312" w:hAnsi="宋体" w:cs="宋体"/>
          <w:bCs/>
          <w:kern w:val="0"/>
          <w:szCs w:val="24"/>
          <w:highlight w:val="yellow"/>
        </w:rPr>
        <w:t>【</w:t>
      </w:r>
      <w:r>
        <w:rPr>
          <w:rFonts w:hint="eastAsia" w:ascii="仿宋_GB2312" w:hAnsi="宋体" w:cs="宋体"/>
          <w:bCs/>
          <w:kern w:val="0"/>
          <w:szCs w:val="24"/>
          <w:highlight w:val="yellow"/>
          <w:lang w:val="en-US" w:eastAsia="zh-CN"/>
        </w:rPr>
        <w:t>5</w:t>
      </w:r>
      <w:r>
        <w:rPr>
          <w:rFonts w:ascii="仿宋_GB2312" w:hAnsi="宋体" w:cs="宋体"/>
          <w:bCs/>
          <w:kern w:val="0"/>
          <w:szCs w:val="24"/>
          <w:highlight w:val="yellow"/>
        </w:rPr>
        <w:t>】</w:t>
      </w:r>
      <w:r>
        <w:rPr>
          <w:rFonts w:hint="eastAsia" w:ascii="仿宋_GB2312" w:hAnsi="宋体" w:cs="宋体"/>
          <w:bCs/>
          <w:kern w:val="0"/>
          <w:szCs w:val="24"/>
          <w:highlight w:val="yellow"/>
        </w:rPr>
        <w:t>个</w:t>
      </w:r>
      <w:r>
        <w:rPr>
          <w:rFonts w:hint="eastAsia" w:ascii="仿宋_GB2312" w:hAnsi="宋体" w:cs="宋体"/>
          <w:bCs/>
          <w:kern w:val="0"/>
          <w:szCs w:val="24"/>
          <w:highlight w:val="yellow"/>
          <w:lang w:eastAsia="zh-CN"/>
        </w:rPr>
        <w:t>【□工作日/□交易日】</w:t>
      </w:r>
      <w:r>
        <w:rPr>
          <w:rFonts w:ascii="仿宋_GB2312" w:hAnsi="宋体" w:cs="宋体"/>
          <w:bCs/>
          <w:color w:val="auto"/>
          <w:kern w:val="0"/>
          <w:szCs w:val="24"/>
          <w:highlight w:val="none"/>
        </w:rPr>
        <w:t>内分配理财</w:t>
      </w:r>
      <w:r>
        <w:rPr>
          <w:rFonts w:hint="eastAsia" w:ascii="仿宋_GB2312" w:hAnsi="宋体" w:cs="宋体"/>
          <w:bCs/>
          <w:color w:val="auto"/>
          <w:kern w:val="0"/>
          <w:szCs w:val="24"/>
          <w:highlight w:val="none"/>
          <w:lang w:eastAsia="zh-CN"/>
        </w:rPr>
        <w:t>收益</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如有</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w:t>
      </w:r>
    </w:p>
    <w:p w14:paraId="58DF1118">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若为</w:t>
      </w:r>
      <w:r>
        <w:rPr>
          <w:rFonts w:ascii="仿宋_GB2312" w:hAnsi="宋体" w:cs="宋体"/>
          <w:bCs/>
          <w:color w:val="auto"/>
          <w:kern w:val="0"/>
          <w:szCs w:val="24"/>
          <w:highlight w:val="none"/>
        </w:rPr>
        <w:t>终止分配的，</w:t>
      </w:r>
      <w:r>
        <w:rPr>
          <w:rFonts w:hint="eastAsia" w:ascii="仿宋_GB2312" w:hAnsi="宋体" w:cs="宋体"/>
          <w:bCs/>
          <w:color w:val="auto"/>
          <w:kern w:val="0"/>
          <w:szCs w:val="24"/>
          <w:highlight w:val="none"/>
        </w:rPr>
        <w:t>产品</w:t>
      </w:r>
      <w:r>
        <w:rPr>
          <w:rFonts w:ascii="仿宋_GB2312" w:hAnsi="宋体" w:cs="宋体"/>
          <w:bCs/>
          <w:color w:val="auto"/>
          <w:kern w:val="0"/>
          <w:szCs w:val="24"/>
          <w:highlight w:val="none"/>
        </w:rPr>
        <w:t>管理人应按“</w:t>
      </w:r>
      <w:r>
        <w:rPr>
          <w:rFonts w:hint="eastAsia" w:ascii="仿宋_GB2312" w:hAnsi="宋体" w:cs="宋体"/>
          <w:bCs/>
          <w:color w:val="auto"/>
          <w:kern w:val="0"/>
          <w:szCs w:val="24"/>
          <w:highlight w:val="none"/>
        </w:rPr>
        <w:t>第十</w:t>
      </w:r>
      <w:r>
        <w:rPr>
          <w:rFonts w:hint="eastAsia" w:ascii="仿宋_GB2312" w:hAnsi="宋体" w:cs="宋体"/>
          <w:bCs/>
          <w:color w:val="auto"/>
          <w:kern w:val="0"/>
          <w:szCs w:val="24"/>
          <w:highlight w:val="none"/>
          <w:lang w:eastAsia="zh-CN"/>
        </w:rPr>
        <w:t>一</w:t>
      </w:r>
      <w:r>
        <w:rPr>
          <w:rFonts w:hint="eastAsia" w:ascii="仿宋_GB2312" w:hAnsi="宋体" w:cs="宋体"/>
          <w:bCs/>
          <w:color w:val="auto"/>
          <w:kern w:val="0"/>
          <w:szCs w:val="24"/>
          <w:highlight w:val="none"/>
        </w:rPr>
        <w:t>节 理财</w:t>
      </w:r>
      <w:r>
        <w:rPr>
          <w:rFonts w:ascii="仿宋_GB2312" w:hAnsi="宋体" w:cs="宋体"/>
          <w:bCs/>
          <w:color w:val="auto"/>
          <w:kern w:val="0"/>
          <w:szCs w:val="24"/>
          <w:highlight w:val="none"/>
        </w:rPr>
        <w:t>产品</w:t>
      </w:r>
      <w:r>
        <w:rPr>
          <w:rFonts w:hint="eastAsia" w:ascii="仿宋_GB2312" w:hAnsi="宋体" w:cs="宋体"/>
          <w:bCs/>
          <w:color w:val="auto"/>
          <w:kern w:val="0"/>
          <w:szCs w:val="24"/>
          <w:highlight w:val="none"/>
          <w:lang w:eastAsia="zh-CN"/>
        </w:rPr>
        <w:t>的</w:t>
      </w:r>
      <w:r>
        <w:rPr>
          <w:rFonts w:ascii="仿宋_GB2312" w:hAnsi="宋体" w:cs="宋体"/>
          <w:bCs/>
          <w:color w:val="auto"/>
          <w:kern w:val="0"/>
          <w:szCs w:val="24"/>
          <w:highlight w:val="none"/>
        </w:rPr>
        <w:t>终止与清算”</w:t>
      </w:r>
      <w:r>
        <w:rPr>
          <w:rFonts w:hint="eastAsia" w:ascii="仿宋_GB2312" w:hAnsi="宋体" w:cs="宋体"/>
          <w:bCs/>
          <w:color w:val="auto"/>
          <w:kern w:val="0"/>
          <w:szCs w:val="24"/>
          <w:highlight w:val="none"/>
        </w:rPr>
        <w:t>中</w:t>
      </w:r>
      <w:r>
        <w:rPr>
          <w:rFonts w:ascii="仿宋_GB2312" w:hAnsi="宋体" w:cs="宋体"/>
          <w:bCs/>
          <w:color w:val="auto"/>
          <w:kern w:val="0"/>
          <w:szCs w:val="24"/>
          <w:highlight w:val="none"/>
        </w:rPr>
        <w:t>产品清算期的相关约定向投资者分配</w:t>
      </w:r>
      <w:r>
        <w:rPr>
          <w:rFonts w:hint="eastAsia" w:ascii="仿宋_GB2312" w:hAnsi="宋体" w:cs="宋体"/>
          <w:bCs/>
          <w:color w:val="auto"/>
          <w:kern w:val="0"/>
          <w:szCs w:val="24"/>
          <w:highlight w:val="none"/>
        </w:rPr>
        <w:t>理财</w:t>
      </w:r>
      <w:r>
        <w:rPr>
          <w:rFonts w:hint="eastAsia" w:ascii="仿宋_GB2312" w:hAnsi="宋体" w:cs="宋体"/>
          <w:bCs/>
          <w:color w:val="auto"/>
          <w:kern w:val="0"/>
          <w:szCs w:val="24"/>
          <w:highlight w:val="none"/>
          <w:lang w:eastAsia="zh-CN"/>
        </w:rPr>
        <w:t>收益</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如有</w:t>
      </w:r>
      <w:r>
        <w:rPr>
          <w:rFonts w:ascii="仿宋_GB2312" w:hAnsi="宋体" w:cs="宋体"/>
          <w:bCs/>
          <w:color w:val="auto"/>
          <w:kern w:val="0"/>
          <w:szCs w:val="24"/>
          <w:highlight w:val="none"/>
        </w:rPr>
        <w:t>）</w:t>
      </w:r>
      <w:r>
        <w:rPr>
          <w:rFonts w:hint="eastAsia" w:ascii="仿宋_GB2312" w:hAnsi="宋体" w:cs="宋体"/>
          <w:bCs/>
          <w:color w:val="auto"/>
          <w:kern w:val="0"/>
          <w:szCs w:val="24"/>
          <w:highlight w:val="none"/>
        </w:rPr>
        <w:t>。</w:t>
      </w:r>
    </w:p>
    <w:p w14:paraId="7CD91E78">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rPr>
      </w:pPr>
      <w:r>
        <w:rPr>
          <w:rFonts w:ascii="仿宋_GB2312" w:hAnsi="宋体" w:cs="宋体"/>
          <w:bCs/>
          <w:color w:val="auto"/>
          <w:kern w:val="0"/>
          <w:szCs w:val="24"/>
          <w:highlight w:val="none"/>
        </w:rPr>
        <w:t>2.</w:t>
      </w:r>
      <w:r>
        <w:rPr>
          <w:rFonts w:hint="eastAsia" w:ascii="仿宋_GB2312" w:hAnsi="宋体" w:cs="宋体"/>
          <w:bCs/>
          <w:color w:val="auto"/>
          <w:kern w:val="0"/>
          <w:szCs w:val="24"/>
          <w:highlight w:val="none"/>
        </w:rPr>
        <w:t>具体</w:t>
      </w:r>
      <w:r>
        <w:rPr>
          <w:rFonts w:ascii="仿宋_GB2312" w:hAnsi="宋体" w:cs="宋体"/>
          <w:bCs/>
          <w:color w:val="auto"/>
          <w:kern w:val="0"/>
          <w:szCs w:val="24"/>
          <w:highlight w:val="none"/>
        </w:rPr>
        <w:t>的理财产品分配</w:t>
      </w:r>
      <w:r>
        <w:rPr>
          <w:rFonts w:hint="eastAsia" w:ascii="仿宋_GB2312" w:hAnsi="宋体" w:cs="宋体"/>
          <w:bCs/>
          <w:color w:val="auto"/>
          <w:kern w:val="0"/>
          <w:szCs w:val="24"/>
          <w:highlight w:val="none"/>
        </w:rPr>
        <w:t>以</w:t>
      </w:r>
      <w:r>
        <w:rPr>
          <w:rFonts w:ascii="仿宋_GB2312" w:hAnsi="宋体" w:cs="宋体"/>
          <w:bCs/>
          <w:color w:val="auto"/>
          <w:kern w:val="0"/>
          <w:szCs w:val="24"/>
          <w:highlight w:val="none"/>
        </w:rPr>
        <w:t>管理人实际分配的为准。</w:t>
      </w:r>
    </w:p>
    <w:p w14:paraId="594F4AF5">
      <w:pPr>
        <w:pStyle w:val="14"/>
        <w:widowControl/>
        <w:snapToGrid w:val="0"/>
        <w:spacing w:line="360" w:lineRule="auto"/>
        <w:ind w:firstLine="480" w:firstLineChars="200"/>
        <w:rPr>
          <w:color w:val="auto"/>
          <w:highlight w:val="none"/>
        </w:rPr>
      </w:pPr>
      <w:r>
        <w:rPr>
          <w:rFonts w:hint="eastAsia" w:ascii="仿宋_GB2312" w:hAnsi="宋体" w:eastAsia="仿宋_GB2312"/>
          <w:bCs/>
          <w:color w:val="auto"/>
          <w:highlight w:val="none"/>
        </w:rPr>
        <w:br w:type="page"/>
      </w:r>
    </w:p>
    <w:p w14:paraId="67EDC61E">
      <w:pPr>
        <w:pStyle w:val="2"/>
        <w:numPr>
          <w:ilvl w:val="0"/>
          <w:numId w:val="13"/>
        </w:numPr>
        <w:bidi w:val="0"/>
        <w:ind w:left="0" w:leftChars="0" w:firstLine="0" w:firstLineChars="0"/>
        <w:rPr>
          <w:color w:val="auto"/>
          <w:highlight w:val="none"/>
        </w:rPr>
      </w:pPr>
      <w:r>
        <w:rPr>
          <w:rFonts w:hint="eastAsia"/>
          <w:color w:val="auto"/>
          <w:highlight w:val="none"/>
        </w:rPr>
        <w:t>理财产品的费用与税收</w:t>
      </w:r>
    </w:p>
    <w:p w14:paraId="77333CB4">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理财费用</w:t>
      </w:r>
    </w:p>
    <w:p w14:paraId="130152A7">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1.理财产品费用的种类</w:t>
      </w:r>
    </w:p>
    <w:p w14:paraId="1EFF0262">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（1）理财产品的认购费、申购费、赎回费；</w:t>
      </w:r>
    </w:p>
    <w:p w14:paraId="5CB86610">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（2）理财产品的销售服务费；</w:t>
      </w:r>
    </w:p>
    <w:p w14:paraId="335D90C7">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（3）理财产品的</w:t>
      </w:r>
      <w:r>
        <w:rPr>
          <w:rFonts w:hint="eastAsia" w:ascii="仿宋_GB2312" w:hAnsi="宋体" w:cs="宋体"/>
          <w:bCs/>
          <w:color w:val="auto"/>
          <w:kern w:val="0"/>
          <w:szCs w:val="24"/>
          <w:highlight w:val="none"/>
          <w:lang w:eastAsia="zh-CN"/>
        </w:rPr>
        <w:t>固定管理费</w:t>
      </w:r>
      <w:r>
        <w:rPr>
          <w:rFonts w:ascii="仿宋_GB2312" w:hAnsi="宋体" w:cs="宋体"/>
          <w:bCs/>
          <w:color w:val="auto"/>
          <w:kern w:val="0"/>
          <w:szCs w:val="24"/>
          <w:highlight w:val="none"/>
        </w:rPr>
        <w:t>及</w:t>
      </w:r>
      <w:r>
        <w:rPr>
          <w:rFonts w:hint="eastAsia" w:ascii="仿宋_GB2312" w:hAnsi="宋体" w:cs="宋体"/>
          <w:bCs/>
          <w:color w:val="auto"/>
          <w:kern w:val="0"/>
          <w:szCs w:val="24"/>
          <w:highlight w:val="none"/>
          <w:lang w:eastAsia="zh-CN"/>
        </w:rPr>
        <w:t>浮动管理费</w:t>
      </w:r>
      <w:r>
        <w:rPr>
          <w:rFonts w:ascii="仿宋_GB2312" w:hAnsi="宋体" w:cs="宋体"/>
          <w:bCs/>
          <w:color w:val="auto"/>
          <w:kern w:val="0"/>
          <w:szCs w:val="24"/>
          <w:highlight w:val="none"/>
        </w:rPr>
        <w:t>；</w:t>
      </w:r>
    </w:p>
    <w:p w14:paraId="09FB1658">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（4）理财产品的</w:t>
      </w:r>
      <w:r>
        <w:rPr>
          <w:rFonts w:hint="eastAsia" w:ascii="仿宋_GB2312" w:hAnsi="宋体" w:cs="宋体"/>
          <w:bCs/>
          <w:color w:val="auto"/>
          <w:kern w:val="0"/>
          <w:szCs w:val="24"/>
          <w:highlight w:val="none"/>
          <w:lang w:eastAsia="zh-CN"/>
        </w:rPr>
        <w:t>托管费</w:t>
      </w:r>
      <w:r>
        <w:rPr>
          <w:rFonts w:ascii="仿宋_GB2312" w:hAnsi="宋体" w:cs="宋体"/>
          <w:bCs/>
          <w:color w:val="auto"/>
          <w:kern w:val="0"/>
          <w:szCs w:val="24"/>
          <w:highlight w:val="none"/>
        </w:rPr>
        <w:t>；</w:t>
      </w:r>
    </w:p>
    <w:p w14:paraId="2682DB69">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（5）</w:t>
      </w:r>
      <w:r>
        <w:rPr>
          <w:rFonts w:hint="eastAsia" w:ascii="仿宋_GB2312" w:hAnsi="宋体" w:cs="宋体"/>
          <w:bCs/>
          <w:color w:val="auto"/>
          <w:kern w:val="0"/>
          <w:szCs w:val="24"/>
          <w:highlight w:val="none"/>
        </w:rPr>
        <w:t>其他费用，包括但不限于：与</w:t>
      </w:r>
      <w:r>
        <w:rPr>
          <w:rFonts w:ascii="仿宋_GB2312" w:hAnsi="宋体" w:cs="宋体"/>
          <w:bCs/>
          <w:color w:val="auto"/>
          <w:kern w:val="0"/>
          <w:szCs w:val="24"/>
          <w:highlight w:val="none"/>
        </w:rPr>
        <w:t>理财产品相关的</w:t>
      </w:r>
      <w:r>
        <w:rPr>
          <w:rFonts w:hint="eastAsia" w:ascii="仿宋_GB2312" w:hAnsi="宋体" w:cs="宋体"/>
          <w:bCs/>
          <w:color w:val="auto"/>
          <w:kern w:val="0"/>
          <w:szCs w:val="24"/>
          <w:highlight w:val="none"/>
        </w:rPr>
        <w:t>账户服务费用、资产服务费用、交易费用（包括但不限于交易佣金、撮合费用等）、注册登记费、验资费、审计费、信息披露费、</w:t>
      </w:r>
      <w:r>
        <w:rPr>
          <w:rFonts w:hint="eastAsia" w:ascii="仿宋_GB2312" w:hAnsi="宋体" w:cs="宋体"/>
          <w:bCs/>
          <w:color w:val="auto"/>
          <w:kern w:val="0"/>
          <w:szCs w:val="24"/>
          <w:highlight w:val="yellow"/>
          <w:lang w:eastAsia="zh-CN"/>
        </w:rPr>
        <w:t>【信息服务费用】</w:t>
      </w:r>
      <w:r>
        <w:rPr>
          <w:rFonts w:hint="eastAsia" w:ascii="仿宋_GB2312" w:hAnsi="宋体" w:cs="宋体"/>
          <w:bCs/>
          <w:color w:val="auto"/>
          <w:kern w:val="0"/>
          <w:szCs w:val="24"/>
          <w:lang w:eastAsia="zh-CN"/>
        </w:rPr>
        <w:t>、</w:t>
      </w:r>
      <w:r>
        <w:rPr>
          <w:rFonts w:hint="eastAsia" w:ascii="仿宋_GB2312" w:hAnsi="宋体" w:cs="宋体"/>
          <w:bCs/>
          <w:color w:val="auto"/>
          <w:kern w:val="0"/>
          <w:szCs w:val="24"/>
          <w:highlight w:val="none"/>
        </w:rPr>
        <w:t>清算费用、执行费用（包括但不限于律师费、诉讼费、仲裁费、公证费、保全费、执行费等）以及按照法律法规、监管规定和理财产品销售文件约定可以列入的其他费用，具体以实际发生为准。</w:t>
      </w:r>
    </w:p>
    <w:p w14:paraId="06C79FEA">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宋体" w:hAnsi="宋体" w:cs="宋体"/>
          <w:color w:val="auto"/>
          <w:kern w:val="0"/>
          <w:szCs w:val="24"/>
          <w:highlight w:val="none"/>
        </w:rPr>
        <w:t>本产品可能根据投资者购买理财产品的</w:t>
      </w:r>
      <w:r>
        <w:rPr>
          <w:rFonts w:hint="eastAsia" w:ascii="仿宋_GB2312" w:hAnsi="宋体" w:cs="宋体"/>
          <w:bCs/>
          <w:color w:val="auto"/>
          <w:kern w:val="0"/>
          <w:szCs w:val="24"/>
          <w:highlight w:val="none"/>
        </w:rPr>
        <w:t>金额、销售渠道、客户类型</w:t>
      </w:r>
      <w:r>
        <w:rPr>
          <w:rFonts w:hint="eastAsia" w:ascii="宋体" w:hAnsi="宋体" w:cs="宋体"/>
          <w:color w:val="auto"/>
          <w:kern w:val="0"/>
          <w:szCs w:val="24"/>
          <w:highlight w:val="none"/>
        </w:rPr>
        <w:t>等因素设置不同产品份额</w:t>
      </w:r>
      <w:r>
        <w:rPr>
          <w:rFonts w:hint="eastAsia" w:ascii="仿宋_GB2312" w:hAnsi="宋体" w:cs="宋体"/>
          <w:bCs/>
          <w:color w:val="auto"/>
          <w:kern w:val="0"/>
          <w:szCs w:val="24"/>
          <w:highlight w:val="none"/>
        </w:rPr>
        <w:t>类别</w:t>
      </w:r>
      <w:r>
        <w:rPr>
          <w:rFonts w:hint="eastAsia" w:ascii="宋体" w:hAnsi="宋体" w:cs="宋体"/>
          <w:color w:val="auto"/>
          <w:kern w:val="0"/>
          <w:szCs w:val="24"/>
          <w:highlight w:val="none"/>
        </w:rPr>
        <w:t>，各类产品份额</w:t>
      </w:r>
      <w:r>
        <w:rPr>
          <w:rFonts w:hint="eastAsia" w:ascii="仿宋_GB2312" w:hAnsi="宋体" w:cs="宋体"/>
          <w:bCs/>
          <w:color w:val="auto"/>
          <w:kern w:val="0"/>
          <w:szCs w:val="24"/>
          <w:highlight w:val="none"/>
        </w:rPr>
        <w:t>可能分别设置不同的</w:t>
      </w:r>
      <w:r>
        <w:rPr>
          <w:rFonts w:ascii="仿宋_GB2312" w:hAnsi="宋体" w:cs="宋体"/>
          <w:bCs/>
          <w:color w:val="auto"/>
          <w:kern w:val="0"/>
          <w:szCs w:val="24"/>
          <w:highlight w:val="none"/>
        </w:rPr>
        <w:t>销售服务</w:t>
      </w:r>
      <w:r>
        <w:rPr>
          <w:rFonts w:ascii="宋体" w:hAnsi="宋体" w:cs="宋体"/>
          <w:color w:val="auto"/>
          <w:kern w:val="0"/>
          <w:szCs w:val="24"/>
          <w:highlight w:val="none"/>
        </w:rPr>
        <w:t>费率，</w:t>
      </w:r>
      <w:r>
        <w:rPr>
          <w:rFonts w:ascii="仿宋_GB2312" w:hAnsi="宋体" w:cs="宋体"/>
          <w:bCs/>
          <w:color w:val="auto"/>
          <w:kern w:val="0"/>
          <w:szCs w:val="24"/>
          <w:highlight w:val="none"/>
        </w:rPr>
        <w:t>费率具体数值以《产品说明书》“</w:t>
      </w:r>
      <w:r>
        <w:rPr>
          <w:rFonts w:hint="eastAsia" w:ascii="仿宋_GB2312" w:hAnsi="宋体" w:cs="宋体"/>
          <w:bCs/>
          <w:color w:val="auto"/>
          <w:kern w:val="0"/>
          <w:szCs w:val="24"/>
          <w:highlight w:val="none"/>
          <w:lang w:eastAsia="zh-CN"/>
        </w:rPr>
        <w:t>第一节 理财产品说明书关键要素</w:t>
      </w:r>
      <w:r>
        <w:rPr>
          <w:rFonts w:ascii="仿宋_GB2312" w:hAnsi="宋体" w:cs="宋体"/>
          <w:bCs/>
          <w:color w:val="auto"/>
          <w:kern w:val="0"/>
          <w:szCs w:val="24"/>
          <w:highlight w:val="none"/>
        </w:rPr>
        <w:t>”为准。</w:t>
      </w:r>
    </w:p>
    <w:p w14:paraId="502C24DD">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2.理财产品费用计提方法、计提标准和支付方式</w:t>
      </w:r>
    </w:p>
    <w:p w14:paraId="3E53DF95">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（1）理财产品的认购费、申购费、赎回费</w:t>
      </w:r>
    </w:p>
    <w:p w14:paraId="2D8E00E4">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1）认购费：费率具体数值以《产品说明书》“</w:t>
      </w:r>
      <w:r>
        <w:rPr>
          <w:rFonts w:hint="eastAsia" w:ascii="仿宋_GB2312" w:hAnsi="宋体" w:cs="宋体"/>
          <w:bCs/>
          <w:color w:val="auto"/>
          <w:kern w:val="0"/>
          <w:szCs w:val="24"/>
          <w:highlight w:val="none"/>
          <w:lang w:eastAsia="zh-CN"/>
        </w:rPr>
        <w:t>第一节 理财产品说明书关键要素</w:t>
      </w:r>
      <w:r>
        <w:rPr>
          <w:rFonts w:ascii="仿宋_GB2312" w:hAnsi="宋体" w:cs="宋体"/>
          <w:bCs/>
          <w:color w:val="auto"/>
          <w:kern w:val="0"/>
          <w:szCs w:val="24"/>
          <w:highlight w:val="none"/>
        </w:rPr>
        <w:t>”为准。</w:t>
      </w:r>
    </w:p>
    <w:p w14:paraId="3684B3CC">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2）申购费：费率具体数值以《产品说明书》“</w:t>
      </w:r>
      <w:r>
        <w:rPr>
          <w:rFonts w:hint="eastAsia" w:ascii="仿宋_GB2312" w:hAnsi="宋体" w:cs="宋体"/>
          <w:bCs/>
          <w:color w:val="auto"/>
          <w:kern w:val="0"/>
          <w:szCs w:val="24"/>
          <w:highlight w:val="none"/>
          <w:lang w:eastAsia="zh-CN"/>
        </w:rPr>
        <w:t>第一节 理财产品说明书关键要素</w:t>
      </w:r>
      <w:r>
        <w:rPr>
          <w:rFonts w:ascii="仿宋_GB2312" w:hAnsi="宋体" w:cs="宋体"/>
          <w:bCs/>
          <w:color w:val="auto"/>
          <w:kern w:val="0"/>
          <w:szCs w:val="24"/>
          <w:highlight w:val="none"/>
        </w:rPr>
        <w:t>”为准。</w:t>
      </w:r>
    </w:p>
    <w:p w14:paraId="0E14A596">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3）赎回费：费率具体数值以《产品说明书》“</w:t>
      </w:r>
      <w:r>
        <w:rPr>
          <w:rFonts w:hint="eastAsia" w:ascii="仿宋_GB2312" w:hAnsi="宋体" w:cs="宋体"/>
          <w:bCs/>
          <w:color w:val="auto"/>
          <w:kern w:val="0"/>
          <w:szCs w:val="24"/>
          <w:highlight w:val="none"/>
          <w:lang w:eastAsia="zh-CN"/>
        </w:rPr>
        <w:t>第一节 理财产品说明书关键要素</w:t>
      </w:r>
      <w:r>
        <w:rPr>
          <w:rFonts w:hint="eastAsia" w:ascii="仿宋_GB2312" w:hAnsi="宋体" w:cs="宋体"/>
          <w:bCs/>
          <w:color w:val="auto"/>
          <w:kern w:val="0"/>
          <w:szCs w:val="24"/>
          <w:highlight w:val="none"/>
        </w:rPr>
        <w:t>”为准。</w:t>
      </w:r>
    </w:p>
    <w:p w14:paraId="7CEE7D40">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（2）理财产品的销售服务费</w:t>
      </w:r>
    </w:p>
    <w:p w14:paraId="1FB4E130">
      <w:pPr>
        <w:tabs>
          <w:tab w:val="left" w:pos="3119"/>
        </w:tabs>
        <w:autoSpaceDE w:val="0"/>
        <w:autoSpaceDN w:val="0"/>
        <w:snapToGrid w:val="0"/>
        <w:spacing w:line="360" w:lineRule="auto"/>
        <w:ind w:firstLine="420" w:firstLineChars="200"/>
        <w:rPr>
          <w:rFonts w:hint="eastAsia" w:ascii="仿宋_GB2312" w:hAnsi="宋体" w:cs="宋体"/>
          <w:bCs/>
          <w:color w:val="auto"/>
          <w:spacing w:val="-4"/>
          <w:kern w:val="0"/>
          <w:szCs w:val="24"/>
          <w:highlight w:val="yellow"/>
        </w:rPr>
      </w:pP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yellow"/>
        </w:rPr>
        <w:t>本产品的销售服务费按</w:t>
      </w:r>
      <w:r>
        <w:rPr>
          <w:rFonts w:hint="eastAsia" w:ascii="仿宋_GB2312" w:hAnsi="宋体" w:cs="宋体"/>
          <w:bCs/>
          <w:color w:val="auto"/>
          <w:kern w:val="0"/>
          <w:szCs w:val="24"/>
          <w:highlight w:val="yellow"/>
          <w:lang w:eastAsia="zh-CN"/>
        </w:rPr>
        <w:t>当日日终份额</w:t>
      </w:r>
      <w:r>
        <w:rPr>
          <w:rFonts w:hint="eastAsia" w:ascii="仿宋_GB2312" w:hAnsi="宋体" w:cs="宋体"/>
          <w:bCs/>
          <w:color w:val="auto"/>
          <w:kern w:val="0"/>
          <w:szCs w:val="24"/>
          <w:highlight w:val="yellow"/>
        </w:rPr>
        <w:t>与销</w:t>
      </w:r>
      <w:r>
        <w:rPr>
          <w:rFonts w:hint="eastAsia" w:ascii="仿宋_GB2312" w:hAnsi="宋体" w:cs="宋体"/>
          <w:b w:val="0"/>
          <w:bCs/>
          <w:color w:val="auto"/>
          <w:kern w:val="0"/>
          <w:szCs w:val="24"/>
          <w:highlight w:val="yellow"/>
        </w:rPr>
        <w:t>售服务费费率</w:t>
      </w:r>
      <w:r>
        <w:rPr>
          <w:rFonts w:hint="eastAsia" w:ascii="仿宋_GB2312" w:hAnsi="宋体" w:cs="宋体"/>
          <w:b w:val="0"/>
          <w:bCs/>
          <w:color w:val="auto"/>
          <w:kern w:val="0"/>
          <w:szCs w:val="24"/>
          <w:highlight w:val="yellow"/>
          <w:lang w:eastAsia="zh-CN"/>
        </w:rPr>
        <w:t>每日</w:t>
      </w:r>
      <w:r>
        <w:rPr>
          <w:rFonts w:hint="eastAsia" w:ascii="仿宋_GB2312" w:hAnsi="宋体" w:cs="宋体"/>
          <w:b w:val="0"/>
          <w:bCs/>
          <w:color w:val="auto"/>
          <w:kern w:val="0"/>
          <w:szCs w:val="24"/>
          <w:highlight w:val="yellow"/>
        </w:rPr>
        <w:t>计提。</w:t>
      </w:r>
      <w:r>
        <w:rPr>
          <w:rFonts w:hint="eastAsia" w:ascii="仿宋_GB2312" w:hAnsi="宋体" w:cs="宋体"/>
          <w:bCs/>
          <w:color w:val="auto"/>
          <w:spacing w:val="-4"/>
          <w:kern w:val="0"/>
          <w:szCs w:val="24"/>
          <w:highlight w:val="yellow"/>
        </w:rPr>
        <w:t>管理人可按季或产品开放周期（如有）收取，或与后续季度、开放周期（如有）合并收取</w:t>
      </w:r>
      <w:r>
        <w:rPr>
          <w:rFonts w:hint="eastAsia" w:ascii="仿宋_GB2312" w:hAnsi="宋体" w:cs="宋体"/>
          <w:bCs/>
          <w:color w:val="auto"/>
          <w:kern w:val="0"/>
          <w:szCs w:val="24"/>
          <w:highlight w:val="yellow"/>
        </w:rPr>
        <w:t>。销售服务费</w:t>
      </w:r>
      <w:r>
        <w:rPr>
          <w:rFonts w:hint="eastAsia" w:ascii="仿宋_GB2312" w:hAnsi="宋体" w:cs="宋体"/>
          <w:bCs/>
          <w:color w:val="auto"/>
          <w:spacing w:val="-4"/>
          <w:kern w:val="0"/>
          <w:szCs w:val="24"/>
          <w:highlight w:val="yellow"/>
        </w:rPr>
        <w:t>精确到小数点后2位，小数点2位以后四舍五入。</w:t>
      </w:r>
    </w:p>
    <w:p w14:paraId="2DD3A9F5">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销售服务费的计算方法如下：</w:t>
      </w:r>
    </w:p>
    <w:p w14:paraId="7AB651EA">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H＝E×销售服务费年费率÷365</w:t>
      </w:r>
    </w:p>
    <w:p w14:paraId="51E8773A">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H为每日应计提的销售服务费</w:t>
      </w:r>
    </w:p>
    <w:p w14:paraId="1BCB733A">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lang w:eastAsia="zh-CN"/>
        </w:rPr>
      </w:pPr>
      <w:r>
        <w:rPr>
          <w:rFonts w:hint="eastAsia" w:ascii="仿宋_GB2312" w:hAnsi="宋体" w:cs="宋体"/>
          <w:bCs/>
          <w:color w:val="auto"/>
          <w:kern w:val="0"/>
          <w:szCs w:val="24"/>
          <w:highlight w:val="yellow"/>
        </w:rPr>
        <w:t>E为</w:t>
      </w:r>
      <w:r>
        <w:rPr>
          <w:rFonts w:hint="eastAsia" w:ascii="仿宋_GB2312" w:hAnsi="宋体" w:cs="宋体"/>
          <w:bCs/>
          <w:color w:val="auto"/>
          <w:kern w:val="0"/>
          <w:szCs w:val="24"/>
          <w:highlight w:val="yellow"/>
          <w:lang w:eastAsia="zh-CN"/>
        </w:rPr>
        <w:t>当日日终份额】</w:t>
      </w:r>
    </w:p>
    <w:p w14:paraId="3E6B716C">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销售服务费依照上述约定，从理财财产中支付。费率具体数值以《产品说明书》“</w:t>
      </w:r>
      <w:r>
        <w:rPr>
          <w:rFonts w:hint="eastAsia" w:ascii="仿宋_GB2312" w:hAnsi="宋体" w:cs="宋体"/>
          <w:bCs/>
          <w:color w:val="auto"/>
          <w:kern w:val="0"/>
          <w:szCs w:val="24"/>
          <w:highlight w:val="none"/>
          <w:lang w:eastAsia="zh-CN"/>
        </w:rPr>
        <w:t>第一节 理财产品说明书关键要素</w:t>
      </w:r>
      <w:r>
        <w:rPr>
          <w:rFonts w:hint="eastAsia" w:ascii="仿宋_GB2312" w:hAnsi="宋体" w:cs="宋体"/>
          <w:bCs/>
          <w:color w:val="auto"/>
          <w:kern w:val="0"/>
          <w:szCs w:val="24"/>
          <w:highlight w:val="none"/>
        </w:rPr>
        <w:t>”为准。</w:t>
      </w:r>
    </w:p>
    <w:p w14:paraId="6533A25A">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none"/>
          <w:lang w:eastAsia="zh-CN"/>
        </w:rPr>
      </w:pPr>
      <w:r>
        <w:rPr>
          <w:rFonts w:hint="eastAsia" w:ascii="仿宋_GB2312" w:hAnsi="宋体" w:cs="宋体"/>
          <w:bCs/>
          <w:color w:val="auto"/>
          <w:kern w:val="0"/>
          <w:szCs w:val="24"/>
          <w:highlight w:val="none"/>
        </w:rPr>
        <w:t>（3）理财产品的</w:t>
      </w:r>
      <w:r>
        <w:rPr>
          <w:rFonts w:hint="eastAsia" w:ascii="仿宋_GB2312" w:hAnsi="宋体" w:cs="宋体"/>
          <w:bCs/>
          <w:color w:val="auto"/>
          <w:kern w:val="0"/>
          <w:szCs w:val="24"/>
          <w:highlight w:val="none"/>
          <w:lang w:eastAsia="zh-CN"/>
        </w:rPr>
        <w:t>固定管理费</w:t>
      </w:r>
    </w:p>
    <w:p w14:paraId="3160C39A">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rPr>
      </w:pP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yellow"/>
        </w:rPr>
        <w:t>本产品的</w:t>
      </w:r>
      <w:r>
        <w:rPr>
          <w:rFonts w:hint="eastAsia" w:ascii="仿宋_GB2312" w:hAnsi="宋体" w:cs="宋体"/>
          <w:bCs/>
          <w:color w:val="auto"/>
          <w:kern w:val="0"/>
          <w:szCs w:val="24"/>
          <w:highlight w:val="yellow"/>
          <w:lang w:eastAsia="zh-CN"/>
        </w:rPr>
        <w:t>固定管理费</w:t>
      </w:r>
      <w:r>
        <w:rPr>
          <w:rFonts w:hint="eastAsia" w:ascii="仿宋_GB2312" w:hAnsi="宋体" w:cs="宋体"/>
          <w:bCs/>
          <w:color w:val="auto"/>
          <w:kern w:val="0"/>
          <w:szCs w:val="24"/>
          <w:highlight w:val="yellow"/>
        </w:rPr>
        <w:t>按</w:t>
      </w:r>
      <w:r>
        <w:rPr>
          <w:rFonts w:hint="eastAsia" w:ascii="仿宋_GB2312" w:hAnsi="宋体" w:cs="宋体"/>
          <w:bCs/>
          <w:color w:val="auto"/>
          <w:kern w:val="0"/>
          <w:szCs w:val="24"/>
          <w:highlight w:val="yellow"/>
          <w:lang w:eastAsia="zh-CN"/>
        </w:rPr>
        <w:t>当日日终份额</w:t>
      </w:r>
      <w:r>
        <w:rPr>
          <w:rFonts w:hint="eastAsia" w:ascii="仿宋_GB2312" w:hAnsi="宋体" w:cs="宋体"/>
          <w:bCs/>
          <w:color w:val="auto"/>
          <w:kern w:val="0"/>
          <w:szCs w:val="24"/>
          <w:highlight w:val="yellow"/>
        </w:rPr>
        <w:t>与</w:t>
      </w:r>
      <w:r>
        <w:rPr>
          <w:rFonts w:hint="eastAsia" w:ascii="仿宋_GB2312" w:hAnsi="宋体" w:cs="宋体"/>
          <w:bCs/>
          <w:color w:val="auto"/>
          <w:kern w:val="0"/>
          <w:szCs w:val="24"/>
          <w:highlight w:val="yellow"/>
          <w:lang w:eastAsia="zh-CN"/>
        </w:rPr>
        <w:t>固定管理费</w:t>
      </w:r>
      <w:r>
        <w:rPr>
          <w:rFonts w:hint="eastAsia" w:ascii="仿宋_GB2312" w:hAnsi="宋体" w:cs="宋体"/>
          <w:b w:val="0"/>
          <w:bCs/>
          <w:color w:val="auto"/>
          <w:kern w:val="0"/>
          <w:szCs w:val="24"/>
          <w:highlight w:val="yellow"/>
        </w:rPr>
        <w:t>费率</w:t>
      </w:r>
      <w:r>
        <w:rPr>
          <w:rFonts w:hint="eastAsia" w:ascii="仿宋_GB2312" w:hAnsi="宋体" w:cs="宋体"/>
          <w:b w:val="0"/>
          <w:bCs/>
          <w:color w:val="auto"/>
          <w:kern w:val="0"/>
          <w:szCs w:val="24"/>
          <w:highlight w:val="yellow"/>
          <w:lang w:eastAsia="zh-CN"/>
        </w:rPr>
        <w:t>每日</w:t>
      </w:r>
      <w:r>
        <w:rPr>
          <w:rFonts w:hint="eastAsia" w:ascii="仿宋_GB2312" w:hAnsi="宋体" w:cs="宋体"/>
          <w:b w:val="0"/>
          <w:bCs/>
          <w:color w:val="auto"/>
          <w:kern w:val="0"/>
          <w:szCs w:val="24"/>
          <w:highlight w:val="yellow"/>
        </w:rPr>
        <w:t>计提</w:t>
      </w:r>
      <w:r>
        <w:rPr>
          <w:rFonts w:hint="eastAsia" w:ascii="仿宋_GB2312" w:hAnsi="宋体" w:cs="宋体"/>
          <w:bCs/>
          <w:color w:val="auto"/>
          <w:kern w:val="0"/>
          <w:szCs w:val="24"/>
          <w:highlight w:val="yellow"/>
        </w:rPr>
        <w:t>，</w:t>
      </w:r>
      <w:r>
        <w:rPr>
          <w:rFonts w:hint="eastAsia" w:ascii="仿宋_GB2312" w:hAnsi="宋体" w:cs="宋体"/>
          <w:bCs/>
          <w:color w:val="auto"/>
          <w:spacing w:val="-4"/>
          <w:kern w:val="0"/>
          <w:szCs w:val="24"/>
          <w:highlight w:val="yellow"/>
        </w:rPr>
        <w:t>管理人可按季或产品开放周期（如有）收取，或与后续季度、开放周期（如有）合并收取。</w:t>
      </w:r>
      <w:r>
        <w:rPr>
          <w:rFonts w:hint="eastAsia" w:ascii="仿宋_GB2312" w:hAnsi="宋体" w:cs="宋体"/>
          <w:bCs/>
          <w:color w:val="auto"/>
          <w:kern w:val="0"/>
          <w:szCs w:val="24"/>
          <w:highlight w:val="yellow"/>
          <w:lang w:eastAsia="zh-CN"/>
        </w:rPr>
        <w:t>固定管理费</w:t>
      </w:r>
      <w:r>
        <w:rPr>
          <w:rFonts w:hint="eastAsia" w:ascii="仿宋_GB2312" w:hAnsi="宋体" w:cs="宋体"/>
          <w:bCs/>
          <w:color w:val="auto"/>
          <w:spacing w:val="-4"/>
          <w:kern w:val="0"/>
          <w:szCs w:val="24"/>
          <w:highlight w:val="yellow"/>
        </w:rPr>
        <w:t>精确到小数点后2位，小数点2位以后四舍五入</w:t>
      </w:r>
      <w:r>
        <w:rPr>
          <w:rFonts w:hint="eastAsia" w:ascii="仿宋_GB2312" w:hAnsi="宋体" w:cs="宋体"/>
          <w:bCs/>
          <w:color w:val="auto"/>
          <w:kern w:val="0"/>
          <w:szCs w:val="24"/>
          <w:highlight w:val="yellow"/>
        </w:rPr>
        <w:t>。</w:t>
      </w:r>
    </w:p>
    <w:p w14:paraId="35935E29">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lang w:eastAsia="zh-CN"/>
        </w:rPr>
        <w:t>固定管理费</w:t>
      </w:r>
      <w:r>
        <w:rPr>
          <w:rFonts w:hint="eastAsia" w:ascii="仿宋_GB2312" w:hAnsi="宋体" w:cs="宋体"/>
          <w:bCs/>
          <w:color w:val="auto"/>
          <w:kern w:val="0"/>
          <w:szCs w:val="24"/>
          <w:highlight w:val="yellow"/>
        </w:rPr>
        <w:t>的计算方法如下：</w:t>
      </w:r>
    </w:p>
    <w:p w14:paraId="046E011A">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H＝E×</w:t>
      </w:r>
      <w:r>
        <w:rPr>
          <w:rFonts w:hint="eastAsia" w:ascii="仿宋_GB2312" w:hAnsi="宋体" w:cs="宋体"/>
          <w:bCs/>
          <w:color w:val="auto"/>
          <w:kern w:val="0"/>
          <w:szCs w:val="24"/>
          <w:highlight w:val="yellow"/>
          <w:lang w:eastAsia="zh-CN"/>
        </w:rPr>
        <w:t>固定管理费</w:t>
      </w:r>
      <w:r>
        <w:rPr>
          <w:rFonts w:hint="eastAsia" w:ascii="仿宋_GB2312" w:hAnsi="宋体" w:cs="宋体"/>
          <w:bCs/>
          <w:color w:val="auto"/>
          <w:kern w:val="0"/>
          <w:szCs w:val="24"/>
          <w:highlight w:val="yellow"/>
        </w:rPr>
        <w:t>年费率÷365</w:t>
      </w:r>
    </w:p>
    <w:p w14:paraId="17B0755B">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lang w:eastAsia="zh-CN"/>
        </w:rPr>
      </w:pPr>
      <w:r>
        <w:rPr>
          <w:rFonts w:hint="eastAsia" w:ascii="仿宋_GB2312" w:hAnsi="宋体" w:cs="宋体"/>
          <w:bCs/>
          <w:color w:val="auto"/>
          <w:kern w:val="0"/>
          <w:szCs w:val="24"/>
          <w:highlight w:val="yellow"/>
        </w:rPr>
        <w:t>H为每日应计提的产品</w:t>
      </w:r>
      <w:r>
        <w:rPr>
          <w:rFonts w:hint="eastAsia" w:ascii="仿宋_GB2312" w:hAnsi="宋体" w:cs="宋体"/>
          <w:bCs/>
          <w:color w:val="auto"/>
          <w:kern w:val="0"/>
          <w:szCs w:val="24"/>
          <w:highlight w:val="yellow"/>
          <w:lang w:eastAsia="zh-CN"/>
        </w:rPr>
        <w:t>固定管理费</w:t>
      </w:r>
    </w:p>
    <w:p w14:paraId="5E550411">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lang w:eastAsia="zh-CN"/>
        </w:rPr>
      </w:pPr>
      <w:r>
        <w:rPr>
          <w:rFonts w:hint="eastAsia" w:ascii="仿宋_GB2312" w:hAnsi="宋体" w:cs="宋体"/>
          <w:bCs/>
          <w:color w:val="auto"/>
          <w:kern w:val="0"/>
          <w:szCs w:val="24"/>
          <w:highlight w:val="yellow"/>
        </w:rPr>
        <w:t>E为</w:t>
      </w:r>
      <w:r>
        <w:rPr>
          <w:rFonts w:hint="eastAsia" w:ascii="仿宋_GB2312" w:hAnsi="宋体" w:cs="宋体"/>
          <w:bCs/>
          <w:color w:val="auto"/>
          <w:kern w:val="0"/>
          <w:szCs w:val="24"/>
          <w:highlight w:val="yellow"/>
          <w:lang w:eastAsia="zh-CN"/>
        </w:rPr>
        <w:t>当日日终份额】</w:t>
      </w:r>
    </w:p>
    <w:p w14:paraId="018E2BE2">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lang w:eastAsia="zh-CN"/>
        </w:rPr>
        <w:t>固定管理费</w:t>
      </w:r>
      <w:r>
        <w:rPr>
          <w:rFonts w:hint="eastAsia" w:ascii="仿宋_GB2312" w:hAnsi="宋体" w:cs="宋体"/>
          <w:bCs/>
          <w:color w:val="auto"/>
          <w:kern w:val="0"/>
          <w:szCs w:val="24"/>
          <w:highlight w:val="none"/>
        </w:rPr>
        <w:t>依照上述约定，从理财财产中支付。费率具体数值以《产品说明书》“</w:t>
      </w:r>
      <w:r>
        <w:rPr>
          <w:rFonts w:hint="eastAsia" w:ascii="仿宋_GB2312" w:hAnsi="宋体" w:cs="宋体"/>
          <w:bCs/>
          <w:color w:val="auto"/>
          <w:kern w:val="0"/>
          <w:szCs w:val="24"/>
          <w:highlight w:val="none"/>
          <w:lang w:eastAsia="zh-CN"/>
        </w:rPr>
        <w:t>第一节 理财产品说明书关键要素</w:t>
      </w:r>
      <w:r>
        <w:rPr>
          <w:rFonts w:hint="eastAsia" w:ascii="仿宋_GB2312" w:hAnsi="宋体" w:cs="宋体"/>
          <w:bCs/>
          <w:color w:val="auto"/>
          <w:kern w:val="0"/>
          <w:szCs w:val="24"/>
          <w:highlight w:val="none"/>
        </w:rPr>
        <w:t>”为准。</w:t>
      </w:r>
    </w:p>
    <w:p w14:paraId="61D164BD">
      <w:pPr>
        <w:pStyle w:val="13"/>
        <w:widowControl/>
        <w:numPr>
          <w:ilvl w:val="255"/>
          <w:numId w:val="0"/>
        </w:numPr>
        <w:snapToGrid w:val="0"/>
        <w:spacing w:line="360" w:lineRule="auto"/>
        <w:ind w:firstLine="420" w:firstLineChars="200"/>
        <w:rPr>
          <w:rFonts w:hint="eastAsia" w:eastAsia="仿宋_GB2312"/>
          <w:color w:val="auto"/>
          <w:highlight w:val="none"/>
          <w:lang w:eastAsia="zh-CN"/>
        </w:rPr>
      </w:pPr>
      <w:r>
        <w:rPr>
          <w:rFonts w:hint="eastAsia" w:ascii="仿宋_GB2312" w:hAnsi="宋体" w:cs="宋体"/>
          <w:bCs/>
          <w:color w:val="auto"/>
          <w:kern w:val="0"/>
          <w:szCs w:val="24"/>
          <w:highlight w:val="none"/>
        </w:rPr>
        <w:t>（4）</w:t>
      </w:r>
      <w:r>
        <w:rPr>
          <w:rFonts w:hint="eastAsia" w:ascii="仿宋_GB2312" w:hAnsi="宋体" w:cs="宋体"/>
          <w:bCs/>
          <w:color w:val="auto"/>
          <w:kern w:val="0"/>
          <w:szCs w:val="24"/>
          <w:highlight w:val="none"/>
          <w:lang w:eastAsia="zh-CN"/>
        </w:rPr>
        <w:t>浮动管理费</w:t>
      </w:r>
    </w:p>
    <w:p w14:paraId="1210D242">
      <w:pPr>
        <w:pStyle w:val="13"/>
        <w:widowControl/>
        <w:snapToGrid w:val="0"/>
        <w:spacing w:line="360" w:lineRule="auto"/>
        <w:ind w:left="420" w:firstLine="0" w:firstLineChars="0"/>
        <w:rPr>
          <w:rFonts w:hint="eastAsia" w:ascii="仿宋_GB2312" w:hAnsi="宋体" w:cs="宋体"/>
          <w:bCs/>
          <w:color w:val="auto"/>
          <w:kern w:val="0"/>
          <w:szCs w:val="24"/>
          <w:highlight w:val="yellow"/>
        </w:rPr>
      </w:pPr>
      <w:r>
        <w:rPr>
          <w:rFonts w:hint="eastAsia" w:ascii="仿宋_GB2312" w:hAnsi="宋体" w:cs="宋体"/>
          <w:bCs/>
          <w:color w:val="auto"/>
          <w:kern w:val="0"/>
          <w:szCs w:val="24"/>
          <w:highlight w:val="yellow"/>
        </w:rPr>
        <w:t>【☑本产品</w:t>
      </w:r>
      <w:r>
        <w:rPr>
          <w:rFonts w:ascii="仿宋_GB2312" w:hAnsi="宋体" w:cs="宋体"/>
          <w:bCs/>
          <w:color w:val="auto"/>
          <w:kern w:val="0"/>
          <w:szCs w:val="24"/>
          <w:highlight w:val="yellow"/>
        </w:rPr>
        <w:t>无</w:t>
      </w:r>
      <w:r>
        <w:rPr>
          <w:rFonts w:hint="eastAsia" w:ascii="仿宋_GB2312" w:hAnsi="宋体" w:cs="宋体"/>
          <w:bCs/>
          <w:color w:val="auto"/>
          <w:kern w:val="0"/>
          <w:szCs w:val="24"/>
          <w:highlight w:val="yellow"/>
          <w:lang w:eastAsia="zh-CN"/>
        </w:rPr>
        <w:t>浮动管理费</w:t>
      </w:r>
      <w:r>
        <w:rPr>
          <w:rFonts w:ascii="仿宋_GB2312" w:hAnsi="宋体" w:cs="宋体"/>
          <w:bCs/>
          <w:color w:val="auto"/>
          <w:kern w:val="0"/>
          <w:szCs w:val="24"/>
          <w:highlight w:val="yellow"/>
        </w:rPr>
        <w:t>。</w:t>
      </w:r>
      <w:r>
        <w:rPr>
          <w:rFonts w:hint="eastAsia" w:ascii="仿宋_GB2312" w:hAnsi="宋体" w:cs="宋体"/>
          <w:bCs/>
          <w:color w:val="auto"/>
          <w:kern w:val="0"/>
          <w:szCs w:val="24"/>
          <w:highlight w:val="yellow"/>
        </w:rPr>
        <w:t>】</w:t>
      </w:r>
    </w:p>
    <w:p w14:paraId="2A8BC909">
      <w:pPr>
        <w:widowControl/>
        <w:tabs>
          <w:tab w:val="left" w:pos="709"/>
        </w:tabs>
        <w:snapToGrid w:val="0"/>
        <w:spacing w:line="360" w:lineRule="auto"/>
        <w:ind w:firstLine="420" w:firstLineChars="200"/>
        <w:rPr>
          <w:color w:val="auto"/>
          <w:highlight w:val="yellow"/>
        </w:rPr>
      </w:pPr>
      <w:r>
        <w:rPr>
          <w:rFonts w:hint="eastAsia" w:ascii="仿宋_GB2312" w:hAnsi="宋体" w:cs="宋体"/>
          <w:bCs/>
          <w:color w:val="auto"/>
          <w:kern w:val="0"/>
          <w:szCs w:val="24"/>
          <w:highlight w:val="yellow"/>
        </w:rPr>
        <w:t>【□理财产品管理人收取理财产品</w:t>
      </w:r>
      <w:r>
        <w:rPr>
          <w:rFonts w:hint="eastAsia" w:ascii="仿宋_GB2312" w:hAnsi="宋体" w:cs="宋体"/>
          <w:bCs/>
          <w:color w:val="auto"/>
          <w:kern w:val="0"/>
          <w:szCs w:val="24"/>
          <w:highlight w:val="yellow"/>
          <w:lang w:eastAsia="zh-CN"/>
        </w:rPr>
        <w:t>浮动管理费</w:t>
      </w:r>
      <w:r>
        <w:rPr>
          <w:rFonts w:hint="eastAsia" w:ascii="仿宋_GB2312" w:hAnsi="宋体" w:cs="宋体"/>
          <w:bCs/>
          <w:color w:val="auto"/>
          <w:kern w:val="0"/>
          <w:szCs w:val="24"/>
          <w:highlight w:val="yellow"/>
        </w:rPr>
        <w:t>。</w:t>
      </w:r>
      <w:r>
        <w:rPr>
          <w:rFonts w:hint="eastAsia" w:ascii="仿宋_GB2312" w:hAnsi="宋体" w:cs="宋体"/>
          <w:bCs/>
          <w:color w:val="auto"/>
          <w:kern w:val="0"/>
          <w:szCs w:val="24"/>
          <w:highlight w:val="yellow"/>
          <w:lang w:eastAsia="zh-CN"/>
        </w:rPr>
        <w:t>浮动管理费</w:t>
      </w:r>
      <w:r>
        <w:rPr>
          <w:rFonts w:hint="eastAsia" w:ascii="仿宋_GB2312" w:hAnsi="宋体" w:cs="宋体"/>
          <w:bCs/>
          <w:color w:val="auto"/>
          <w:kern w:val="0"/>
          <w:szCs w:val="24"/>
          <w:highlight w:val="yellow"/>
        </w:rPr>
        <w:t>每日计提，在产品到期日收取（如有）。在理财产品到期日时</w:t>
      </w:r>
      <w:r>
        <w:rPr>
          <w:rFonts w:hint="eastAsia"/>
          <w:color w:val="auto"/>
          <w:highlight w:val="yellow"/>
        </w:rPr>
        <w:t>，若理财资产扣除销售服务费、</w:t>
      </w:r>
      <w:r>
        <w:rPr>
          <w:rFonts w:hint="eastAsia"/>
          <w:color w:val="auto"/>
          <w:highlight w:val="yellow"/>
          <w:lang w:eastAsia="zh-CN"/>
        </w:rPr>
        <w:t>托管费</w:t>
      </w:r>
      <w:r>
        <w:rPr>
          <w:rFonts w:hint="eastAsia"/>
          <w:color w:val="auto"/>
          <w:highlight w:val="yellow"/>
        </w:rPr>
        <w:t>和</w:t>
      </w:r>
      <w:r>
        <w:rPr>
          <w:rFonts w:hint="eastAsia"/>
          <w:color w:val="auto"/>
          <w:highlight w:val="yellow"/>
          <w:lang w:eastAsia="zh-CN"/>
        </w:rPr>
        <w:t>固定管理费</w:t>
      </w:r>
      <w:r>
        <w:rPr>
          <w:rFonts w:hint="eastAsia"/>
          <w:color w:val="auto"/>
          <w:highlight w:val="yellow"/>
        </w:rPr>
        <w:t>等相关费用和税收后，产品年化收益率超过</w:t>
      </w:r>
      <w:r>
        <w:rPr>
          <w:rFonts w:hint="eastAsia"/>
          <w:color w:val="auto"/>
          <w:highlight w:val="yellow"/>
          <w:lang w:eastAsia="zh-CN"/>
        </w:rPr>
        <w:t>浮动管理费</w:t>
      </w:r>
      <w:r>
        <w:rPr>
          <w:rFonts w:hint="eastAsia"/>
          <w:color w:val="auto"/>
          <w:highlight w:val="yellow"/>
        </w:rPr>
        <w:t>计提基准，则产品管理人收取超出部分的一定比例作为</w:t>
      </w:r>
      <w:r>
        <w:rPr>
          <w:rFonts w:hint="eastAsia"/>
          <w:color w:val="auto"/>
          <w:highlight w:val="yellow"/>
          <w:lang w:eastAsia="zh-CN"/>
        </w:rPr>
        <w:t>浮动管理费</w:t>
      </w:r>
      <w:r>
        <w:rPr>
          <w:rFonts w:hint="eastAsia"/>
          <w:color w:val="auto"/>
          <w:highlight w:val="yellow"/>
        </w:rPr>
        <w:t>。</w:t>
      </w:r>
    </w:p>
    <w:p w14:paraId="37BBA307">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rPr>
      </w:pPr>
      <w:r>
        <w:rPr>
          <w:rFonts w:hint="eastAsia" w:ascii="仿宋_GB2312" w:hAnsi="宋体" w:cs="宋体"/>
          <w:bCs/>
          <w:color w:val="auto"/>
          <w:kern w:val="0"/>
          <w:szCs w:val="24"/>
          <w:highlight w:val="yellow"/>
          <w:lang w:eastAsia="zh-CN"/>
        </w:rPr>
        <w:t>浮动管理费</w:t>
      </w:r>
      <w:r>
        <w:rPr>
          <w:rFonts w:hint="eastAsia" w:ascii="仿宋_GB2312" w:hAnsi="宋体" w:cs="宋体"/>
          <w:bCs/>
          <w:color w:val="auto"/>
          <w:kern w:val="0"/>
          <w:szCs w:val="24"/>
          <w:highlight w:val="yellow"/>
        </w:rPr>
        <w:t>计提基准的设置、</w:t>
      </w:r>
      <w:r>
        <w:rPr>
          <w:rFonts w:hint="eastAsia"/>
          <w:color w:val="auto"/>
          <w:highlight w:val="yellow"/>
          <w:lang w:eastAsia="zh-CN"/>
        </w:rPr>
        <w:t>浮动管理费</w:t>
      </w:r>
      <w:r>
        <w:rPr>
          <w:rFonts w:hint="eastAsia" w:ascii="仿宋_GB2312" w:hAnsi="宋体" w:cs="宋体"/>
          <w:bCs/>
          <w:color w:val="auto"/>
          <w:kern w:val="0"/>
          <w:szCs w:val="24"/>
          <w:highlight w:val="yellow"/>
        </w:rPr>
        <w:t>的具体比例数值以《产品说明书》“</w:t>
      </w:r>
      <w:r>
        <w:rPr>
          <w:rFonts w:hint="eastAsia" w:ascii="仿宋_GB2312" w:hAnsi="宋体" w:cs="宋体"/>
          <w:bCs/>
          <w:color w:val="auto"/>
          <w:kern w:val="0"/>
          <w:szCs w:val="24"/>
          <w:highlight w:val="yellow"/>
          <w:lang w:eastAsia="zh-CN"/>
        </w:rPr>
        <w:t>第一节 理财产品说明书关键要素</w:t>
      </w:r>
      <w:r>
        <w:rPr>
          <w:rFonts w:hint="eastAsia" w:ascii="仿宋_GB2312" w:hAnsi="宋体" w:cs="宋体"/>
          <w:bCs/>
          <w:color w:val="auto"/>
          <w:kern w:val="0"/>
          <w:szCs w:val="24"/>
          <w:highlight w:val="yellow"/>
        </w:rPr>
        <w:t>”为准。</w:t>
      </w:r>
    </w:p>
    <w:p w14:paraId="7E12FDB2">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rPr>
      </w:pPr>
      <w:r>
        <w:rPr>
          <w:rFonts w:hint="eastAsia"/>
          <w:color w:val="auto"/>
          <w:highlight w:val="yellow"/>
          <w:lang w:eastAsia="zh-CN"/>
        </w:rPr>
        <w:t>浮动管理费</w:t>
      </w:r>
      <w:r>
        <w:rPr>
          <w:rFonts w:hint="eastAsia" w:ascii="仿宋_GB2312" w:hAnsi="宋体" w:cs="宋体"/>
          <w:bCs/>
          <w:color w:val="auto"/>
          <w:kern w:val="0"/>
          <w:szCs w:val="24"/>
          <w:highlight w:val="yellow"/>
        </w:rPr>
        <w:t xml:space="preserve">的计提/收取如下： </w:t>
      </w:r>
    </w:p>
    <w:p w14:paraId="32241DAB">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rPr>
      </w:pPr>
      <w:r>
        <w:rPr>
          <w:rFonts w:hint="eastAsia" w:ascii="仿宋_GB2312" w:hAnsi="宋体" w:cs="宋体"/>
          <w:bCs/>
          <w:color w:val="auto"/>
          <w:kern w:val="0"/>
          <w:szCs w:val="24"/>
          <w:highlight w:val="yellow"/>
        </w:rPr>
        <w:t>产品年化收益率</w:t>
      </w:r>
      <w:r>
        <w:rPr>
          <w:rFonts w:ascii="仿宋_GB2312" w:hAnsi="宋体" w:cs="宋体"/>
          <w:bCs/>
          <w:color w:val="auto"/>
          <w:kern w:val="0"/>
          <w:szCs w:val="24"/>
          <w:highlight w:val="yellow"/>
        </w:rPr>
        <w:t>R</w:t>
      </w:r>
      <w:r>
        <w:rPr>
          <w:rFonts w:hint="eastAsia" w:ascii="仿宋_GB2312" w:hAnsi="宋体" w:cs="宋体"/>
          <w:bCs/>
          <w:color w:val="auto"/>
          <w:kern w:val="0"/>
          <w:szCs w:val="24"/>
          <w:highlight w:val="yellow"/>
        </w:rPr>
        <w:t>的计算公式，R=（</w:t>
      </w:r>
      <w:r>
        <w:rPr>
          <w:rFonts w:ascii="仿宋_GB2312" w:hAnsi="宋体" w:cs="宋体"/>
          <w:bCs/>
          <w:color w:val="auto"/>
          <w:kern w:val="0"/>
          <w:szCs w:val="24"/>
          <w:highlight w:val="yellow"/>
        </w:rPr>
        <w:t>V</w:t>
      </w:r>
      <w:r>
        <w:rPr>
          <w:rFonts w:hint="eastAsia" w:ascii="仿宋_GB2312" w:hAnsi="宋体" w:cs="宋体"/>
          <w:bCs/>
          <w:color w:val="auto"/>
          <w:kern w:val="0"/>
          <w:sz w:val="13"/>
          <w:szCs w:val="24"/>
          <w:highlight w:val="yellow"/>
        </w:rPr>
        <w:t>计提/到期日产品份额累计净值</w:t>
      </w:r>
      <w:r>
        <w:rPr>
          <w:rFonts w:hint="eastAsia" w:ascii="仿宋_GB2312" w:hAnsi="宋体" w:cs="宋体"/>
          <w:bCs/>
          <w:color w:val="auto"/>
          <w:kern w:val="0"/>
          <w:szCs w:val="24"/>
          <w:highlight w:val="yellow"/>
        </w:rPr>
        <w:t>-V</w:t>
      </w:r>
      <w:r>
        <w:rPr>
          <w:rFonts w:hint="eastAsia" w:ascii="仿宋_GB2312" w:hAnsi="宋体" w:cs="宋体"/>
          <w:bCs/>
          <w:color w:val="auto"/>
          <w:kern w:val="0"/>
          <w:sz w:val="13"/>
          <w:szCs w:val="24"/>
          <w:highlight w:val="yellow"/>
        </w:rPr>
        <w:t>期初份额净值</w:t>
      </w:r>
      <w:r>
        <w:rPr>
          <w:rFonts w:hint="eastAsia" w:ascii="仿宋_GB2312" w:hAnsi="宋体" w:cs="宋体"/>
          <w:bCs/>
          <w:color w:val="auto"/>
          <w:kern w:val="0"/>
          <w:szCs w:val="24"/>
          <w:highlight w:val="yellow"/>
        </w:rPr>
        <w:t>）/V</w:t>
      </w:r>
      <w:r>
        <w:rPr>
          <w:rFonts w:hint="eastAsia" w:ascii="仿宋_GB2312" w:hAnsi="宋体" w:cs="宋体"/>
          <w:bCs/>
          <w:color w:val="auto"/>
          <w:kern w:val="0"/>
          <w:sz w:val="13"/>
          <w:szCs w:val="24"/>
          <w:highlight w:val="yellow"/>
        </w:rPr>
        <w:t>期初份额净值</w:t>
      </w:r>
      <w:r>
        <w:rPr>
          <w:rFonts w:hint="eastAsia" w:ascii="仿宋_GB2312" w:hAnsi="宋体" w:cs="宋体"/>
          <w:bCs/>
          <w:color w:val="auto"/>
          <w:kern w:val="0"/>
          <w:szCs w:val="24"/>
          <w:highlight w:val="yellow"/>
        </w:rPr>
        <w:t>/（</w:t>
      </w:r>
      <w:r>
        <w:rPr>
          <w:rFonts w:ascii="仿宋_GB2312" w:hAnsi="宋体" w:cs="宋体"/>
          <w:bCs/>
          <w:color w:val="auto"/>
          <w:kern w:val="0"/>
          <w:szCs w:val="24"/>
          <w:highlight w:val="yellow"/>
        </w:rPr>
        <w:t>D+1</w:t>
      </w:r>
      <w:r>
        <w:rPr>
          <w:rFonts w:hint="eastAsia" w:ascii="仿宋_GB2312" w:hAnsi="宋体" w:cs="宋体"/>
          <w:bCs/>
          <w:color w:val="auto"/>
          <w:kern w:val="0"/>
          <w:szCs w:val="24"/>
          <w:highlight w:val="yellow"/>
        </w:rPr>
        <w:t>）</w:t>
      </w:r>
      <w:r>
        <w:rPr>
          <w:rFonts w:ascii="仿宋_GB2312" w:hAnsi="宋体" w:cs="宋体"/>
          <w:bCs/>
          <w:color w:val="auto"/>
          <w:kern w:val="0"/>
          <w:szCs w:val="24"/>
          <w:highlight w:val="yellow"/>
        </w:rPr>
        <w:t>*365*100</w:t>
      </w:r>
      <w:r>
        <w:rPr>
          <w:rFonts w:hint="eastAsia" w:ascii="仿宋_GB2312" w:hAnsi="宋体" w:cs="宋体"/>
          <w:bCs/>
          <w:color w:val="auto"/>
          <w:kern w:val="0"/>
          <w:szCs w:val="24"/>
          <w:highlight w:val="yellow"/>
        </w:rPr>
        <w:t>%</w:t>
      </w:r>
    </w:p>
    <w:p w14:paraId="613DDAA1">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rPr>
      </w:pPr>
      <w:r>
        <w:rPr>
          <w:rFonts w:hint="eastAsia" w:ascii="仿宋_GB2312" w:hAnsi="宋体" w:cs="宋体"/>
          <w:bCs/>
          <w:color w:val="auto"/>
          <w:kern w:val="0"/>
          <w:szCs w:val="24"/>
          <w:highlight w:val="yellow"/>
        </w:rPr>
        <w:t>产品管理人对产品年化收益率</w:t>
      </w:r>
      <w:r>
        <w:rPr>
          <w:rFonts w:ascii="仿宋_GB2312" w:hAnsi="宋体" w:cs="宋体"/>
          <w:bCs/>
          <w:color w:val="auto"/>
          <w:kern w:val="0"/>
          <w:szCs w:val="24"/>
          <w:highlight w:val="yellow"/>
        </w:rPr>
        <w:t>超过</w:t>
      </w:r>
      <w:r>
        <w:rPr>
          <w:rFonts w:hint="eastAsia" w:ascii="仿宋_GB2312" w:hAnsi="宋体" w:cs="宋体"/>
          <w:bCs/>
          <w:color w:val="auto"/>
          <w:kern w:val="0"/>
          <w:szCs w:val="24"/>
          <w:highlight w:val="yellow"/>
          <w:lang w:eastAsia="zh-CN"/>
        </w:rPr>
        <w:t>浮动管理费</w:t>
      </w:r>
      <w:r>
        <w:rPr>
          <w:rFonts w:hint="eastAsia" w:ascii="仿宋_GB2312" w:hAnsi="宋体" w:cs="宋体"/>
          <w:bCs/>
          <w:color w:val="auto"/>
          <w:kern w:val="0"/>
          <w:szCs w:val="24"/>
          <w:highlight w:val="yellow"/>
        </w:rPr>
        <w:t>计提基准的部分，按</w:t>
      </w:r>
      <w:r>
        <w:rPr>
          <w:rFonts w:hint="eastAsia" w:ascii="仿宋_GB2312" w:hAnsi="宋体" w:cs="宋体"/>
          <w:bCs/>
          <w:color w:val="auto"/>
          <w:kern w:val="0"/>
          <w:szCs w:val="24"/>
          <w:highlight w:val="yellow"/>
          <w:lang w:eastAsia="zh-CN"/>
        </w:rPr>
        <w:t>浮动管理费</w:t>
      </w:r>
      <w:r>
        <w:rPr>
          <w:rFonts w:hint="eastAsia" w:ascii="仿宋_GB2312" w:hAnsi="宋体" w:cs="宋体"/>
          <w:bCs/>
          <w:color w:val="auto"/>
          <w:kern w:val="0"/>
          <w:szCs w:val="24"/>
          <w:highlight w:val="yellow"/>
        </w:rPr>
        <w:t>分成比例</w:t>
      </w:r>
      <w:r>
        <w:rPr>
          <w:rFonts w:ascii="仿宋_GB2312" w:hAnsi="宋体" w:cs="宋体"/>
          <w:bCs/>
          <w:color w:val="auto"/>
          <w:kern w:val="0"/>
          <w:szCs w:val="24"/>
          <w:highlight w:val="yellow"/>
        </w:rPr>
        <w:t>以及产品份额持有天数</w:t>
      </w:r>
      <w:r>
        <w:rPr>
          <w:rFonts w:hint="eastAsia" w:ascii="仿宋_GB2312" w:hAnsi="宋体" w:cs="宋体"/>
          <w:bCs/>
          <w:color w:val="auto"/>
          <w:kern w:val="0"/>
          <w:szCs w:val="24"/>
          <w:highlight w:val="yellow"/>
        </w:rPr>
        <w:t>计提/收取</w:t>
      </w:r>
      <w:r>
        <w:rPr>
          <w:rFonts w:hint="eastAsia"/>
          <w:color w:val="auto"/>
          <w:highlight w:val="yellow"/>
          <w:lang w:eastAsia="zh-CN"/>
        </w:rPr>
        <w:t>浮动管理费</w:t>
      </w:r>
      <w:r>
        <w:rPr>
          <w:rFonts w:hint="eastAsia" w:ascii="仿宋_GB2312" w:hAnsi="宋体" w:cs="宋体"/>
          <w:bCs/>
          <w:color w:val="auto"/>
          <w:kern w:val="0"/>
          <w:szCs w:val="24"/>
          <w:highlight w:val="yellow"/>
        </w:rPr>
        <w:t>，计算方法如下：</w:t>
      </w:r>
    </w:p>
    <w:p w14:paraId="35BCE86D">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rPr>
      </w:pPr>
      <w:r>
        <w:rPr>
          <w:rFonts w:hint="eastAsia" w:ascii="仿宋_GB2312" w:hAnsi="宋体" w:cs="宋体"/>
          <w:bCs/>
          <w:color w:val="auto"/>
          <w:kern w:val="0"/>
          <w:szCs w:val="24"/>
          <w:highlight w:val="yellow"/>
        </w:rPr>
        <w:t>当</w:t>
      </w:r>
      <w:r>
        <w:rPr>
          <w:rFonts w:ascii="仿宋_GB2312" w:hAnsi="宋体" w:cs="宋体"/>
          <w:bCs/>
          <w:color w:val="auto"/>
          <w:kern w:val="0"/>
          <w:szCs w:val="24"/>
          <w:highlight w:val="yellow"/>
        </w:rPr>
        <w:t>R≤</w:t>
      </w:r>
      <w:r>
        <w:rPr>
          <w:rFonts w:hint="eastAsia" w:ascii="仿宋_GB2312" w:hAnsi="宋体" w:cs="宋体"/>
          <w:bCs/>
          <w:color w:val="auto"/>
          <w:kern w:val="0"/>
          <w:szCs w:val="24"/>
          <w:highlight w:val="yellow"/>
          <w:lang w:eastAsia="zh-CN"/>
        </w:rPr>
        <w:t>浮动管理费</w:t>
      </w:r>
      <w:r>
        <w:rPr>
          <w:rFonts w:hint="eastAsia" w:ascii="仿宋_GB2312" w:hAnsi="宋体" w:cs="宋体"/>
          <w:bCs/>
          <w:color w:val="auto"/>
          <w:kern w:val="0"/>
          <w:szCs w:val="24"/>
          <w:highlight w:val="yellow"/>
        </w:rPr>
        <w:t>计提基准，可计提/收取</w:t>
      </w:r>
      <w:r>
        <w:rPr>
          <w:rFonts w:hint="eastAsia"/>
          <w:color w:val="auto"/>
          <w:highlight w:val="yellow"/>
          <w:lang w:eastAsia="zh-CN"/>
        </w:rPr>
        <w:t>浮动管理费</w:t>
      </w:r>
      <w:r>
        <w:rPr>
          <w:rFonts w:ascii="仿宋_GB2312" w:hAnsi="宋体" w:cs="宋体"/>
          <w:bCs/>
          <w:color w:val="auto"/>
          <w:kern w:val="0"/>
          <w:szCs w:val="24"/>
          <w:highlight w:val="yellow"/>
        </w:rPr>
        <w:t>=0；</w:t>
      </w:r>
    </w:p>
    <w:p w14:paraId="4A51CAAA">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rPr>
      </w:pPr>
      <w:r>
        <w:rPr>
          <w:rFonts w:hint="eastAsia" w:ascii="仿宋_GB2312" w:hAnsi="宋体" w:cs="宋体"/>
          <w:bCs/>
          <w:color w:val="auto"/>
          <w:kern w:val="0"/>
          <w:szCs w:val="24"/>
          <w:highlight w:val="yellow"/>
        </w:rPr>
        <w:t>当</w:t>
      </w:r>
      <w:r>
        <w:rPr>
          <w:rFonts w:ascii="仿宋_GB2312" w:hAnsi="宋体" w:cs="宋体"/>
          <w:bCs/>
          <w:color w:val="auto"/>
          <w:kern w:val="0"/>
          <w:szCs w:val="24"/>
          <w:highlight w:val="yellow"/>
        </w:rPr>
        <w:t>R＞</w:t>
      </w:r>
      <w:r>
        <w:rPr>
          <w:rFonts w:hint="eastAsia" w:ascii="仿宋_GB2312" w:hAnsi="宋体" w:cs="宋体"/>
          <w:bCs/>
          <w:color w:val="auto"/>
          <w:kern w:val="0"/>
          <w:szCs w:val="24"/>
          <w:highlight w:val="yellow"/>
          <w:lang w:eastAsia="zh-CN"/>
        </w:rPr>
        <w:t>浮动管理费</w:t>
      </w:r>
      <w:r>
        <w:rPr>
          <w:rFonts w:hint="eastAsia" w:ascii="仿宋_GB2312" w:hAnsi="宋体" w:cs="宋体"/>
          <w:bCs/>
          <w:color w:val="auto"/>
          <w:kern w:val="0"/>
          <w:szCs w:val="24"/>
          <w:highlight w:val="yellow"/>
        </w:rPr>
        <w:t>计提基准，可计提/收取</w:t>
      </w:r>
      <w:r>
        <w:rPr>
          <w:rFonts w:hint="eastAsia"/>
          <w:color w:val="auto"/>
          <w:highlight w:val="yellow"/>
          <w:lang w:eastAsia="zh-CN"/>
        </w:rPr>
        <w:t>浮动管理费</w:t>
      </w:r>
      <w:r>
        <w:rPr>
          <w:rFonts w:ascii="仿宋_GB2312" w:hAnsi="宋体" w:cs="宋体"/>
          <w:bCs/>
          <w:color w:val="auto"/>
          <w:kern w:val="0"/>
          <w:szCs w:val="24"/>
          <w:highlight w:val="yellow"/>
        </w:rPr>
        <w:t>=</w:t>
      </w:r>
      <w:r>
        <w:rPr>
          <w:rFonts w:hint="eastAsia" w:ascii="仿宋_GB2312" w:hAnsi="宋体" w:cs="宋体"/>
          <w:bCs/>
          <w:color w:val="auto"/>
          <w:kern w:val="0"/>
          <w:szCs w:val="24"/>
          <w:highlight w:val="yellow"/>
        </w:rPr>
        <w:t>产品计提/到期日投资者持有的产品份额×V</w:t>
      </w:r>
      <w:r>
        <w:rPr>
          <w:rFonts w:hint="eastAsia" w:ascii="仿宋_GB2312" w:hAnsi="宋体" w:cs="宋体"/>
          <w:bCs/>
          <w:color w:val="auto"/>
          <w:kern w:val="0"/>
          <w:sz w:val="13"/>
          <w:szCs w:val="24"/>
          <w:highlight w:val="yellow"/>
        </w:rPr>
        <w:t>期初份额净值</w:t>
      </w:r>
      <w:r>
        <w:rPr>
          <w:rFonts w:hint="eastAsia" w:ascii="仿宋_GB2312" w:hAnsi="宋体" w:cs="宋体"/>
          <w:bCs/>
          <w:color w:val="auto"/>
          <w:kern w:val="0"/>
          <w:szCs w:val="24"/>
          <w:highlight w:val="yellow"/>
        </w:rPr>
        <w:t>×（</w:t>
      </w:r>
      <w:r>
        <w:rPr>
          <w:rFonts w:ascii="仿宋_GB2312" w:hAnsi="宋体" w:cs="宋体"/>
          <w:bCs/>
          <w:color w:val="auto"/>
          <w:kern w:val="0"/>
          <w:szCs w:val="24"/>
          <w:highlight w:val="yellow"/>
        </w:rPr>
        <w:t>R-</w:t>
      </w:r>
      <w:r>
        <w:rPr>
          <w:rFonts w:hint="eastAsia" w:ascii="仿宋_GB2312" w:hAnsi="宋体" w:cs="宋体"/>
          <w:bCs/>
          <w:color w:val="auto"/>
          <w:kern w:val="0"/>
          <w:szCs w:val="24"/>
          <w:highlight w:val="yellow"/>
          <w:lang w:eastAsia="zh-CN"/>
        </w:rPr>
        <w:t>浮动管理费</w:t>
      </w:r>
      <w:r>
        <w:rPr>
          <w:rFonts w:hint="eastAsia" w:ascii="仿宋_GB2312" w:hAnsi="宋体" w:cs="宋体"/>
          <w:bCs/>
          <w:color w:val="auto"/>
          <w:kern w:val="0"/>
          <w:szCs w:val="24"/>
          <w:highlight w:val="yellow"/>
        </w:rPr>
        <w:t>计提基准）×</w:t>
      </w:r>
      <w:r>
        <w:rPr>
          <w:rFonts w:ascii="仿宋_GB2312" w:hAnsi="宋体" w:cs="宋体"/>
          <w:bCs/>
          <w:color w:val="auto"/>
          <w:kern w:val="0"/>
          <w:szCs w:val="24"/>
          <w:highlight w:val="yellow"/>
        </w:rPr>
        <w:t>N×</w:t>
      </w:r>
      <w:r>
        <w:rPr>
          <w:rFonts w:hint="eastAsia" w:ascii="仿宋_GB2312" w:hAnsi="宋体" w:cs="宋体"/>
          <w:bCs/>
          <w:color w:val="auto"/>
          <w:kern w:val="0"/>
          <w:szCs w:val="24"/>
          <w:highlight w:val="yellow"/>
        </w:rPr>
        <w:t>（D</w:t>
      </w:r>
      <w:r>
        <w:rPr>
          <w:rFonts w:ascii="仿宋_GB2312" w:hAnsi="宋体" w:cs="宋体"/>
          <w:bCs/>
          <w:color w:val="auto"/>
          <w:kern w:val="0"/>
          <w:szCs w:val="24"/>
          <w:highlight w:val="yellow"/>
        </w:rPr>
        <w:t>+1</w:t>
      </w:r>
      <w:r>
        <w:rPr>
          <w:rFonts w:hint="eastAsia" w:ascii="仿宋_GB2312" w:hAnsi="宋体" w:cs="宋体"/>
          <w:bCs/>
          <w:color w:val="auto"/>
          <w:kern w:val="0"/>
          <w:szCs w:val="24"/>
          <w:highlight w:val="yellow"/>
        </w:rPr>
        <w:t>）</w:t>
      </w:r>
      <w:r>
        <w:rPr>
          <w:rFonts w:ascii="仿宋_GB2312" w:hAnsi="宋体" w:cs="宋体"/>
          <w:bCs/>
          <w:color w:val="auto"/>
          <w:kern w:val="0"/>
          <w:szCs w:val="24"/>
          <w:highlight w:val="yellow"/>
        </w:rPr>
        <w:t>/365。</w:t>
      </w:r>
    </w:p>
    <w:p w14:paraId="200D41D1">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rPr>
      </w:pPr>
      <w:r>
        <w:rPr>
          <w:rFonts w:hint="eastAsia" w:ascii="仿宋_GB2312" w:hAnsi="宋体" w:cs="宋体"/>
          <w:bCs/>
          <w:color w:val="auto"/>
          <w:kern w:val="0"/>
          <w:szCs w:val="24"/>
          <w:highlight w:val="yellow"/>
        </w:rPr>
        <w:t>其中，</w:t>
      </w:r>
      <w:r>
        <w:rPr>
          <w:rFonts w:ascii="仿宋_GB2312" w:hAnsi="宋体" w:cs="宋体"/>
          <w:bCs/>
          <w:color w:val="auto"/>
          <w:kern w:val="0"/>
          <w:szCs w:val="24"/>
          <w:highlight w:val="yellow"/>
        </w:rPr>
        <w:t>V</w:t>
      </w:r>
      <w:r>
        <w:rPr>
          <w:rFonts w:hint="eastAsia" w:ascii="仿宋_GB2312" w:hAnsi="宋体" w:cs="宋体"/>
          <w:bCs/>
          <w:color w:val="auto"/>
          <w:kern w:val="0"/>
          <w:sz w:val="13"/>
          <w:szCs w:val="24"/>
          <w:highlight w:val="yellow"/>
        </w:rPr>
        <w:t>计提/到期日产品份额累计净值</w:t>
      </w:r>
      <w:r>
        <w:rPr>
          <w:rFonts w:hint="eastAsia" w:ascii="仿宋_GB2312" w:hAnsi="宋体" w:cs="宋体"/>
          <w:bCs/>
          <w:color w:val="auto"/>
          <w:kern w:val="0"/>
          <w:szCs w:val="24"/>
          <w:highlight w:val="yellow"/>
        </w:rPr>
        <w:t>表示产品计提/到期日的产品份额累计净值（未扣除</w:t>
      </w:r>
      <w:r>
        <w:rPr>
          <w:rFonts w:hint="eastAsia" w:ascii="仿宋_GB2312" w:hAnsi="宋体" w:cs="宋体"/>
          <w:bCs/>
          <w:color w:val="auto"/>
          <w:kern w:val="0"/>
          <w:szCs w:val="24"/>
          <w:highlight w:val="yellow"/>
          <w:lang w:eastAsia="zh-CN"/>
        </w:rPr>
        <w:t>浮动管理费</w:t>
      </w:r>
      <w:r>
        <w:rPr>
          <w:rFonts w:hint="eastAsia" w:ascii="仿宋_GB2312" w:hAnsi="宋体" w:cs="宋体"/>
          <w:bCs/>
          <w:color w:val="auto"/>
          <w:kern w:val="0"/>
          <w:szCs w:val="24"/>
          <w:highlight w:val="yellow"/>
        </w:rPr>
        <w:t>），V</w:t>
      </w:r>
      <w:r>
        <w:rPr>
          <w:rFonts w:hint="eastAsia" w:ascii="仿宋_GB2312" w:hAnsi="宋体" w:cs="宋体"/>
          <w:bCs/>
          <w:color w:val="auto"/>
          <w:kern w:val="0"/>
          <w:sz w:val="13"/>
          <w:szCs w:val="24"/>
          <w:highlight w:val="yellow"/>
        </w:rPr>
        <w:t>期初份额净值</w:t>
      </w:r>
      <w:r>
        <w:rPr>
          <w:rFonts w:hint="eastAsia" w:ascii="仿宋_GB2312" w:hAnsi="宋体" w:cs="宋体"/>
          <w:bCs/>
          <w:color w:val="auto"/>
          <w:kern w:val="0"/>
          <w:szCs w:val="24"/>
          <w:highlight w:val="yellow"/>
        </w:rPr>
        <w:t>表示产品成立日的产品份额净值，D表示产品到期日-产品成立日，N表示</w:t>
      </w:r>
      <w:r>
        <w:rPr>
          <w:rFonts w:hint="eastAsia" w:ascii="仿宋_GB2312" w:hAnsi="宋体" w:cs="宋体"/>
          <w:bCs/>
          <w:color w:val="auto"/>
          <w:kern w:val="0"/>
          <w:szCs w:val="24"/>
          <w:highlight w:val="yellow"/>
          <w:lang w:eastAsia="zh-CN"/>
        </w:rPr>
        <w:t>浮动管理费</w:t>
      </w:r>
      <w:r>
        <w:rPr>
          <w:rFonts w:hint="eastAsia" w:ascii="仿宋_GB2312" w:hAnsi="宋体" w:cs="宋体"/>
          <w:bCs/>
          <w:color w:val="auto"/>
          <w:kern w:val="0"/>
          <w:szCs w:val="24"/>
          <w:highlight w:val="yellow"/>
        </w:rPr>
        <w:t>分成比例。】</w:t>
      </w:r>
    </w:p>
    <w:p w14:paraId="41002A63">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none"/>
          <w:lang w:eastAsia="zh-CN"/>
        </w:rPr>
      </w:pPr>
      <w:r>
        <w:rPr>
          <w:rFonts w:hint="eastAsia" w:ascii="仿宋_GB2312" w:hAnsi="宋体" w:cs="宋体"/>
          <w:bCs/>
          <w:color w:val="auto"/>
          <w:kern w:val="0"/>
          <w:szCs w:val="24"/>
          <w:highlight w:val="none"/>
        </w:rPr>
        <w:t>（5）理财产品的</w:t>
      </w:r>
      <w:r>
        <w:rPr>
          <w:rFonts w:hint="eastAsia" w:ascii="仿宋_GB2312" w:hAnsi="宋体" w:cs="宋体"/>
          <w:bCs/>
          <w:color w:val="auto"/>
          <w:kern w:val="0"/>
          <w:szCs w:val="24"/>
          <w:highlight w:val="none"/>
          <w:lang w:eastAsia="zh-CN"/>
        </w:rPr>
        <w:t>托管费</w:t>
      </w:r>
    </w:p>
    <w:p w14:paraId="18C3E6A7">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rPr>
      </w:pP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yellow"/>
        </w:rPr>
        <w:t>本产品的</w:t>
      </w:r>
      <w:r>
        <w:rPr>
          <w:rFonts w:hint="eastAsia" w:ascii="仿宋_GB2312" w:hAnsi="宋体" w:cs="宋体"/>
          <w:bCs/>
          <w:color w:val="auto"/>
          <w:kern w:val="0"/>
          <w:szCs w:val="24"/>
          <w:highlight w:val="yellow"/>
          <w:lang w:eastAsia="zh-CN"/>
        </w:rPr>
        <w:t>托管费</w:t>
      </w:r>
      <w:r>
        <w:rPr>
          <w:rFonts w:hint="eastAsia" w:ascii="仿宋_GB2312" w:hAnsi="宋体" w:cs="宋体"/>
          <w:bCs/>
          <w:color w:val="auto"/>
          <w:kern w:val="0"/>
          <w:szCs w:val="24"/>
          <w:highlight w:val="yellow"/>
        </w:rPr>
        <w:t>按</w:t>
      </w:r>
      <w:r>
        <w:rPr>
          <w:rFonts w:hint="eastAsia" w:ascii="仿宋_GB2312" w:hAnsi="宋体" w:cs="宋体"/>
          <w:bCs/>
          <w:color w:val="auto"/>
          <w:kern w:val="0"/>
          <w:szCs w:val="24"/>
          <w:highlight w:val="yellow"/>
          <w:lang w:eastAsia="zh-CN"/>
        </w:rPr>
        <w:t>当日日终份额</w:t>
      </w:r>
      <w:r>
        <w:rPr>
          <w:rFonts w:hint="eastAsia" w:ascii="仿宋_GB2312" w:hAnsi="宋体" w:cs="宋体"/>
          <w:bCs/>
          <w:color w:val="auto"/>
          <w:kern w:val="0"/>
          <w:szCs w:val="24"/>
          <w:highlight w:val="yellow"/>
        </w:rPr>
        <w:t>与</w:t>
      </w:r>
      <w:r>
        <w:rPr>
          <w:rFonts w:hint="eastAsia" w:ascii="仿宋_GB2312" w:hAnsi="宋体" w:cs="宋体"/>
          <w:bCs/>
          <w:color w:val="auto"/>
          <w:kern w:val="0"/>
          <w:szCs w:val="24"/>
          <w:highlight w:val="yellow"/>
          <w:lang w:eastAsia="zh-CN"/>
        </w:rPr>
        <w:t>托管费</w:t>
      </w:r>
      <w:r>
        <w:rPr>
          <w:rFonts w:hint="eastAsia" w:ascii="仿宋_GB2312" w:hAnsi="宋体" w:cs="宋体"/>
          <w:b w:val="0"/>
          <w:bCs/>
          <w:color w:val="auto"/>
          <w:kern w:val="0"/>
          <w:szCs w:val="24"/>
          <w:highlight w:val="yellow"/>
        </w:rPr>
        <w:t>费率</w:t>
      </w:r>
      <w:r>
        <w:rPr>
          <w:rFonts w:hint="eastAsia" w:ascii="仿宋_GB2312" w:hAnsi="宋体" w:cs="宋体"/>
          <w:b w:val="0"/>
          <w:bCs/>
          <w:color w:val="auto"/>
          <w:kern w:val="0"/>
          <w:szCs w:val="24"/>
          <w:highlight w:val="yellow"/>
          <w:lang w:eastAsia="zh-CN"/>
        </w:rPr>
        <w:t>每日</w:t>
      </w:r>
      <w:r>
        <w:rPr>
          <w:rFonts w:hint="eastAsia" w:ascii="仿宋_GB2312" w:hAnsi="宋体" w:cs="宋体"/>
          <w:b w:val="0"/>
          <w:bCs/>
          <w:color w:val="auto"/>
          <w:kern w:val="0"/>
          <w:szCs w:val="24"/>
          <w:highlight w:val="yellow"/>
        </w:rPr>
        <w:t>计提</w:t>
      </w:r>
      <w:r>
        <w:rPr>
          <w:rFonts w:hint="eastAsia" w:ascii="仿宋_GB2312" w:hAnsi="宋体" w:cs="宋体"/>
          <w:bCs/>
          <w:color w:val="auto"/>
          <w:kern w:val="0"/>
          <w:szCs w:val="24"/>
          <w:highlight w:val="yellow"/>
        </w:rPr>
        <w:t>，</w:t>
      </w:r>
      <w:r>
        <w:rPr>
          <w:rFonts w:hint="eastAsia" w:ascii="仿宋_GB2312" w:hAnsi="宋体" w:cs="宋体"/>
          <w:bCs/>
          <w:color w:val="auto"/>
          <w:spacing w:val="-4"/>
          <w:kern w:val="0"/>
          <w:szCs w:val="24"/>
          <w:highlight w:val="yellow"/>
        </w:rPr>
        <w:t>管理人可按季或产品开放周期（如有）收取，或与后续季度、开放周期（如有）合并收取。</w:t>
      </w:r>
      <w:r>
        <w:rPr>
          <w:rFonts w:hint="eastAsia" w:ascii="仿宋_GB2312" w:hAnsi="宋体" w:cs="宋体"/>
          <w:bCs/>
          <w:color w:val="auto"/>
          <w:kern w:val="0"/>
          <w:szCs w:val="24"/>
          <w:highlight w:val="yellow"/>
          <w:lang w:eastAsia="zh-CN"/>
        </w:rPr>
        <w:t>托管费</w:t>
      </w:r>
      <w:r>
        <w:rPr>
          <w:rFonts w:hint="eastAsia" w:ascii="仿宋_GB2312" w:hAnsi="宋体" w:cs="宋体"/>
          <w:bCs/>
          <w:color w:val="auto"/>
          <w:spacing w:val="-4"/>
          <w:kern w:val="0"/>
          <w:szCs w:val="24"/>
          <w:highlight w:val="yellow"/>
        </w:rPr>
        <w:t>精确到小数点后2位，小数点2位以后四舍五入</w:t>
      </w:r>
      <w:r>
        <w:rPr>
          <w:rFonts w:hint="eastAsia" w:ascii="仿宋_GB2312" w:hAnsi="宋体" w:cs="宋体"/>
          <w:bCs/>
          <w:color w:val="auto"/>
          <w:kern w:val="0"/>
          <w:szCs w:val="24"/>
          <w:highlight w:val="yellow"/>
        </w:rPr>
        <w:t>。</w:t>
      </w:r>
    </w:p>
    <w:p w14:paraId="30275E73">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lang w:eastAsia="zh-CN"/>
        </w:rPr>
        <w:t>托管费</w:t>
      </w:r>
      <w:r>
        <w:rPr>
          <w:rFonts w:hint="eastAsia" w:ascii="仿宋_GB2312" w:hAnsi="宋体" w:cs="宋体"/>
          <w:bCs/>
          <w:color w:val="auto"/>
          <w:kern w:val="0"/>
          <w:szCs w:val="24"/>
          <w:highlight w:val="yellow"/>
        </w:rPr>
        <w:t>的计算方法如下：</w:t>
      </w:r>
    </w:p>
    <w:p w14:paraId="2B434F41">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H＝E×</w:t>
      </w:r>
      <w:r>
        <w:rPr>
          <w:rFonts w:hint="eastAsia" w:ascii="仿宋_GB2312" w:hAnsi="宋体" w:cs="宋体"/>
          <w:bCs/>
          <w:color w:val="auto"/>
          <w:kern w:val="0"/>
          <w:szCs w:val="24"/>
          <w:highlight w:val="yellow"/>
          <w:lang w:eastAsia="zh-CN"/>
        </w:rPr>
        <w:t>托管费</w:t>
      </w:r>
      <w:r>
        <w:rPr>
          <w:rFonts w:hint="eastAsia" w:ascii="仿宋_GB2312" w:hAnsi="宋体" w:cs="宋体"/>
          <w:bCs/>
          <w:color w:val="auto"/>
          <w:kern w:val="0"/>
          <w:szCs w:val="24"/>
          <w:highlight w:val="yellow"/>
        </w:rPr>
        <w:t>年费率÷365</w:t>
      </w:r>
    </w:p>
    <w:p w14:paraId="442FB65C">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lang w:eastAsia="zh-CN"/>
        </w:rPr>
      </w:pPr>
      <w:r>
        <w:rPr>
          <w:rFonts w:hint="eastAsia" w:ascii="仿宋_GB2312" w:hAnsi="宋体" w:cs="宋体"/>
          <w:bCs/>
          <w:color w:val="auto"/>
          <w:kern w:val="0"/>
          <w:szCs w:val="24"/>
          <w:highlight w:val="yellow"/>
        </w:rPr>
        <w:t>H为每日应计提的</w:t>
      </w:r>
      <w:r>
        <w:rPr>
          <w:rFonts w:hint="eastAsia" w:ascii="仿宋_GB2312" w:hAnsi="宋体" w:cs="宋体"/>
          <w:bCs/>
          <w:color w:val="auto"/>
          <w:kern w:val="0"/>
          <w:szCs w:val="24"/>
          <w:highlight w:val="yellow"/>
          <w:lang w:eastAsia="zh-CN"/>
        </w:rPr>
        <w:t>托管费</w:t>
      </w:r>
    </w:p>
    <w:p w14:paraId="0ABEC745">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lang w:eastAsia="zh-CN"/>
        </w:rPr>
      </w:pPr>
      <w:r>
        <w:rPr>
          <w:rFonts w:hint="eastAsia" w:ascii="仿宋_GB2312" w:hAnsi="宋体" w:cs="宋体"/>
          <w:bCs/>
          <w:color w:val="auto"/>
          <w:kern w:val="0"/>
          <w:szCs w:val="24"/>
          <w:highlight w:val="yellow"/>
        </w:rPr>
        <w:t>E为</w:t>
      </w:r>
      <w:r>
        <w:rPr>
          <w:rFonts w:hint="eastAsia" w:ascii="仿宋_GB2312" w:hAnsi="宋体" w:cs="宋体"/>
          <w:bCs/>
          <w:color w:val="auto"/>
          <w:kern w:val="0"/>
          <w:szCs w:val="24"/>
          <w:highlight w:val="yellow"/>
          <w:lang w:eastAsia="zh-CN"/>
        </w:rPr>
        <w:t>当日日终份额】</w:t>
      </w:r>
    </w:p>
    <w:p w14:paraId="2D5FCC34">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lang w:eastAsia="zh-CN"/>
        </w:rPr>
        <w:t>托管费</w:t>
      </w:r>
      <w:r>
        <w:rPr>
          <w:rFonts w:hint="eastAsia" w:ascii="仿宋_GB2312" w:hAnsi="宋体" w:cs="宋体"/>
          <w:bCs/>
          <w:color w:val="auto"/>
          <w:kern w:val="0"/>
          <w:szCs w:val="24"/>
          <w:highlight w:val="none"/>
        </w:rPr>
        <w:t>依照上述约定，从理财财产中支付。费率具体数值以《产品说明书》“</w:t>
      </w:r>
      <w:r>
        <w:rPr>
          <w:rFonts w:hint="eastAsia" w:ascii="仿宋_GB2312" w:hAnsi="宋体" w:cs="宋体"/>
          <w:bCs/>
          <w:color w:val="auto"/>
          <w:kern w:val="0"/>
          <w:szCs w:val="24"/>
          <w:highlight w:val="none"/>
          <w:lang w:eastAsia="zh-CN"/>
        </w:rPr>
        <w:t>第一节 理财产品说明书关键要素</w:t>
      </w:r>
      <w:r>
        <w:rPr>
          <w:rFonts w:hint="eastAsia" w:ascii="仿宋_GB2312" w:hAnsi="宋体" w:cs="宋体"/>
          <w:bCs/>
          <w:color w:val="auto"/>
          <w:kern w:val="0"/>
          <w:szCs w:val="24"/>
          <w:highlight w:val="none"/>
        </w:rPr>
        <w:t>”为准。</w:t>
      </w:r>
    </w:p>
    <w:p w14:paraId="4E57F018">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（6）其他费用</w:t>
      </w:r>
    </w:p>
    <w:p w14:paraId="3D51E2D3">
      <w:pPr>
        <w:widowControl/>
        <w:tabs>
          <w:tab w:val="left" w:pos="709"/>
        </w:tabs>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与理财产品相关的其他费用，按照实际发生金额从产品资产中列支。若产品管理人先行垫付其他费用的，管理人有权从理财产品资产中优先受偿。</w:t>
      </w:r>
    </w:p>
    <w:p w14:paraId="5A59D052">
      <w:pPr>
        <w:widowControl/>
        <w:tabs>
          <w:tab w:val="left" w:pos="709"/>
        </w:tabs>
        <w:snapToGrid w:val="0"/>
        <w:spacing w:line="360" w:lineRule="auto"/>
        <w:ind w:firstLine="422" w:firstLineChars="200"/>
        <w:rPr>
          <w:rFonts w:hint="eastAsia" w:ascii="仿宋_GB2312" w:hAnsi="宋体" w:cs="宋体"/>
          <w:b/>
          <w:bCs/>
          <w:color w:val="auto"/>
          <w:kern w:val="0"/>
          <w:szCs w:val="24"/>
          <w:highlight w:val="none"/>
        </w:rPr>
      </w:pPr>
      <w:r>
        <w:rPr>
          <w:rFonts w:ascii="仿宋_GB2312" w:hAnsi="宋体" w:cs="宋体"/>
          <w:b/>
          <w:bCs/>
          <w:color w:val="auto"/>
          <w:kern w:val="0"/>
          <w:szCs w:val="24"/>
          <w:highlight w:val="none"/>
        </w:rPr>
        <w:t>3</w:t>
      </w:r>
      <w:r>
        <w:rPr>
          <w:rFonts w:hint="eastAsia" w:ascii="仿宋_GB2312" w:hAnsi="宋体" w:cs="宋体"/>
          <w:b/>
          <w:bCs/>
          <w:color w:val="auto"/>
          <w:kern w:val="0"/>
          <w:szCs w:val="24"/>
          <w:highlight w:val="none"/>
        </w:rPr>
        <w:t>.费用调整</w:t>
      </w:r>
    </w:p>
    <w:p w14:paraId="472EDAE5">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产品管理人有权根据相关法律和国家政策规定，对理财产品费用的收费项目、收费条件、收费标准和收费方式等进行调整。产品管理人对费用的调整按本说明书约定的方式进行信息披露。投资者有权不接受调整，并按照信息披露内容中约定的方式提前赎回理财产品。</w:t>
      </w:r>
    </w:p>
    <w:p w14:paraId="2B3B0ACD">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税收说明</w:t>
      </w:r>
    </w:p>
    <w:p w14:paraId="2B455508">
      <w:pPr>
        <w:tabs>
          <w:tab w:val="left" w:pos="709"/>
        </w:tabs>
        <w:snapToGrid w:val="0"/>
        <w:spacing w:line="360" w:lineRule="auto"/>
        <w:ind w:firstLine="420" w:firstLineChars="200"/>
        <w:rPr>
          <w:color w:val="auto"/>
          <w:highlight w:val="none"/>
        </w:rPr>
      </w:pPr>
      <w:r>
        <w:rPr>
          <w:rFonts w:hint="eastAsia" w:ascii="仿宋_GB2312" w:hAnsi="宋体" w:cs="宋体"/>
          <w:bCs/>
          <w:color w:val="auto"/>
          <w:kern w:val="0"/>
          <w:szCs w:val="24"/>
          <w:highlight w:val="none"/>
        </w:rPr>
        <w:t>本理财产品运作过程中涉及的各纳税主体的纳税义务按国家税收法律、法规执行。除法律法规特别要求外，理财产品运营过程中发生的增值税应税行为，由理财产品承担增值税及附加税费，并由理财产品管理人进行计算、申报和缴纳，该等税费将直接从理财产品财产中支付。后续国家法律法规如对相关税收政策进行调整，管理人有权根据税收政策相应调整理财产品运营过程中发生的税费的承担方式。理财收益的应纳税款以及其他的投资者应纳税款由投资者自行申报及缴纳，管理人不承担代扣代缴或纳税的义务。</w:t>
      </w:r>
    </w:p>
    <w:p w14:paraId="0D1EA15F">
      <w:pPr>
        <w:jc w:val="left"/>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br w:type="page"/>
      </w:r>
    </w:p>
    <w:p w14:paraId="4496ED5E">
      <w:pPr>
        <w:pStyle w:val="2"/>
        <w:numPr>
          <w:ilvl w:val="0"/>
          <w:numId w:val="13"/>
        </w:numPr>
        <w:bidi w:val="0"/>
        <w:ind w:left="0" w:leftChars="0" w:firstLine="0" w:firstLineChars="0"/>
        <w:rPr>
          <w:color w:val="auto"/>
          <w:highlight w:val="none"/>
        </w:rPr>
      </w:pPr>
      <w:r>
        <w:rPr>
          <w:rFonts w:hint="eastAsia"/>
          <w:color w:val="auto"/>
          <w:highlight w:val="none"/>
        </w:rPr>
        <w:t>理财产品的终止与清算</w:t>
      </w:r>
    </w:p>
    <w:p w14:paraId="5BAB1191">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理财产品到期</w:t>
      </w:r>
    </w:p>
    <w:p w14:paraId="093C2E53">
      <w:pPr>
        <w:widowControl/>
        <w:tabs>
          <w:tab w:val="left" w:pos="709"/>
        </w:tabs>
        <w:snapToGrid w:val="0"/>
        <w:spacing w:line="360" w:lineRule="auto"/>
        <w:ind w:firstLine="422" w:firstLineChars="200"/>
        <w:rPr>
          <w:rFonts w:hint="eastAsia" w:ascii="仿宋_GB2312" w:hAnsi="宋体" w:cs="宋体"/>
          <w:bCs/>
          <w:color w:val="auto"/>
          <w:kern w:val="0"/>
          <w:szCs w:val="24"/>
          <w:highlight w:val="none"/>
        </w:rPr>
      </w:pPr>
      <w:r>
        <w:rPr>
          <w:rFonts w:hint="eastAsia" w:ascii="仿宋_GB2312" w:hAnsi="宋体" w:cs="宋体"/>
          <w:b/>
          <w:bCs/>
          <w:color w:val="auto"/>
          <w:kern w:val="0"/>
          <w:szCs w:val="24"/>
          <w:highlight w:val="yellow"/>
        </w:rPr>
        <w:t>【本理财产品无固定到期日】</w:t>
      </w:r>
      <w:r>
        <w:rPr>
          <w:rFonts w:hint="eastAsia" w:ascii="仿宋_GB2312" w:hAnsi="宋体" w:cs="宋体"/>
          <w:bCs/>
          <w:color w:val="auto"/>
          <w:kern w:val="0"/>
          <w:szCs w:val="24"/>
          <w:highlight w:val="none"/>
        </w:rPr>
        <w:t>，</w:t>
      </w:r>
      <w:r>
        <w:rPr>
          <w:rFonts w:hint="eastAsia" w:ascii="宋体" w:hAnsi="宋体"/>
          <w:color w:val="auto"/>
          <w:szCs w:val="24"/>
          <w:highlight w:val="none"/>
        </w:rPr>
        <w:t>如产品提前终止</w:t>
      </w:r>
      <w:r>
        <w:rPr>
          <w:rFonts w:hint="eastAsia" w:ascii="宋体" w:hAnsi="宋体"/>
          <w:color w:val="auto"/>
          <w:szCs w:val="24"/>
          <w:highlight w:val="none"/>
          <w:lang w:eastAsia="zh-CN"/>
        </w:rPr>
        <w:t>或延期终止</w:t>
      </w:r>
      <w:r>
        <w:rPr>
          <w:rFonts w:hint="eastAsia" w:ascii="宋体" w:hAnsi="宋体"/>
          <w:color w:val="auto"/>
          <w:szCs w:val="24"/>
          <w:highlight w:val="none"/>
        </w:rPr>
        <w:t>，除有特别约定外，实际终止日为到期日。</w:t>
      </w:r>
    </w:p>
    <w:p w14:paraId="7729E199">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理财产品不因投资者死亡、丧失民事行为能力、破产而终止；投资者的法定继承人、承继人或指定受益人以及继任管理人承担本理财产品销售文件项下的相应权利和义务，产品管理人以及代销机构有权要求投资者的继承人或者指定受益人等相关主体配合办理相关变更手续。</w:t>
      </w:r>
    </w:p>
    <w:p w14:paraId="345FDF54">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理财产品提前终止</w:t>
      </w:r>
    </w:p>
    <w:p w14:paraId="69AC3C3A">
      <w:pPr>
        <w:widowControl/>
        <w:tabs>
          <w:tab w:val="left" w:pos="709"/>
        </w:tabs>
        <w:snapToGrid w:val="0"/>
        <w:spacing w:line="360" w:lineRule="auto"/>
        <w:ind w:firstLine="422" w:firstLineChars="200"/>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本理财产品存续期间，投资者无提前终止权。如出现以下情形，管理人有权但无义务提前终止本产品：</w:t>
      </w:r>
      <w:r>
        <w:rPr>
          <w:rFonts w:ascii="仿宋_GB2312" w:hAnsi="宋体" w:cs="宋体"/>
          <w:b/>
          <w:bCs/>
          <w:color w:val="auto"/>
          <w:kern w:val="0"/>
          <w:szCs w:val="24"/>
          <w:highlight w:val="none"/>
        </w:rPr>
        <w:t xml:space="preserve"> </w:t>
      </w:r>
    </w:p>
    <w:p w14:paraId="66005466">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1.自然灾害、疫情、金融市场危机、战争等不可抗力因素及/或意外事件导致理财产品无法继续运作。</w:t>
      </w:r>
    </w:p>
    <w:p w14:paraId="3C8F87FE">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2.遇有市场出现剧烈波动、异常风险事件等情形导致理财产品收益出现大幅波动或严重影响理财产品的资产安全。</w:t>
      </w:r>
    </w:p>
    <w:p w14:paraId="4034B48B">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3.因投资者理财资金被有权机关扣划等原因导致理财产品剩余资产无法满足相关法律法规规定、所投资市场要求或协议等相关法律文件约定，或者继续存续无法实现投资目标。</w:t>
      </w:r>
    </w:p>
    <w:p w14:paraId="2A0C59F8">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4.因相关投资管理机构解散、破产、撤销、被取消业务资格等原因无法继续履行相应职责导致产品无法继续运作。</w:t>
      </w:r>
    </w:p>
    <w:p w14:paraId="44FD0414">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5.相关投资管理机构或运用理财资金的第三方主体实施符合法律法规规定或协议等相关文件约定的行为导致理财产品被动提前终止。</w:t>
      </w:r>
    </w:p>
    <w:p w14:paraId="3D4CBFF0">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6.因法律法规变化或国家金融政策调整、紧急措施出台影响产品继续正常运作。</w:t>
      </w:r>
    </w:p>
    <w:p w14:paraId="4BDC7D58">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7.提前终止产品比维持产品运作更有利于保护产品持有人的权益。</w:t>
      </w:r>
    </w:p>
    <w:p w14:paraId="2B70594D">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8</w:t>
      </w:r>
      <w:r>
        <w:rPr>
          <w:rFonts w:hint="eastAsia" w:ascii="仿宋_GB2312" w:hAnsi="宋体" w:cs="宋体"/>
          <w:bCs/>
          <w:color w:val="auto"/>
          <w:kern w:val="0"/>
          <w:szCs w:val="24"/>
          <w:highlight w:val="none"/>
        </w:rPr>
        <w:t>.遇国家政策出现重大调整并影响到本产品的正常运行。</w:t>
      </w:r>
    </w:p>
    <w:p w14:paraId="476552A5">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9</w:t>
      </w:r>
      <w:r>
        <w:rPr>
          <w:rFonts w:hint="eastAsia" w:ascii="仿宋_GB2312" w:hAnsi="宋体" w:cs="宋体"/>
          <w:bCs/>
          <w:color w:val="auto"/>
          <w:kern w:val="0"/>
          <w:szCs w:val="24"/>
          <w:highlight w:val="none"/>
        </w:rPr>
        <w:t>.因本产品投资的资产部分或全部提前终止或发生其他影响本产品正常投资运作的重大事件。</w:t>
      </w:r>
    </w:p>
    <w:p w14:paraId="1D6F303A">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10</w:t>
      </w:r>
      <w:r>
        <w:rPr>
          <w:rFonts w:hint="eastAsia" w:ascii="仿宋_GB2312" w:hAnsi="宋体" w:cs="宋体"/>
          <w:bCs/>
          <w:color w:val="auto"/>
          <w:kern w:val="0"/>
          <w:szCs w:val="24"/>
          <w:highlight w:val="none"/>
        </w:rPr>
        <w:t>.本产品存续期内，所投资资产种类已全部调整为现金资产且无其他投资安排。</w:t>
      </w:r>
    </w:p>
    <w:p w14:paraId="030B5BCF">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11</w:t>
      </w:r>
      <w:r>
        <w:rPr>
          <w:rFonts w:hint="eastAsia" w:ascii="仿宋_GB2312" w:hAnsi="宋体" w:cs="宋体"/>
          <w:bCs/>
          <w:color w:val="auto"/>
          <w:kern w:val="0"/>
          <w:szCs w:val="24"/>
          <w:highlight w:val="none"/>
        </w:rPr>
        <w:t>.管理人认为有必要提前终止本产品的其他情形。</w:t>
      </w:r>
    </w:p>
    <w:p w14:paraId="121A2BEE">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管理人将至少于提前终止日前</w:t>
      </w:r>
      <w:r>
        <w:rPr>
          <w:rFonts w:hint="eastAsia" w:ascii="仿宋_GB2312" w:hAnsi="宋体" w:cs="宋体"/>
          <w:bCs/>
          <w:color w:val="auto"/>
          <w:kern w:val="0"/>
          <w:szCs w:val="24"/>
          <w:highlight w:val="none"/>
          <w:lang w:val="en-US" w:eastAsia="zh-CN"/>
        </w:rPr>
        <w:t>1</w:t>
      </w:r>
      <w:r>
        <w:rPr>
          <w:rFonts w:hint="eastAsia" w:ascii="仿宋_GB2312" w:hAnsi="宋体" w:cs="宋体"/>
          <w:bCs/>
          <w:color w:val="auto"/>
          <w:kern w:val="0"/>
          <w:szCs w:val="24"/>
          <w:highlight w:val="none"/>
        </w:rPr>
        <w:t>个工作日通过本产品说明书约定</w:t>
      </w:r>
      <w:r>
        <w:rPr>
          <w:rFonts w:ascii="仿宋_GB2312" w:hAnsi="宋体" w:cs="宋体"/>
          <w:bCs/>
          <w:color w:val="auto"/>
          <w:kern w:val="0"/>
          <w:szCs w:val="24"/>
          <w:highlight w:val="none"/>
        </w:rPr>
        <w:t>方式</w:t>
      </w:r>
      <w:r>
        <w:rPr>
          <w:rFonts w:hint="eastAsia" w:ascii="仿宋_GB2312" w:hAnsi="宋体" w:cs="宋体"/>
          <w:bCs/>
          <w:color w:val="auto"/>
          <w:kern w:val="0"/>
          <w:szCs w:val="24"/>
          <w:highlight w:val="none"/>
        </w:rPr>
        <w:t>发布本产品提前终止公告，并于提前终止日后</w:t>
      </w: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none"/>
        </w:rPr>
        <w:t>个工作日内通过销售机构将兑付理财资金划至投资者指定账户。</w:t>
      </w:r>
    </w:p>
    <w:p w14:paraId="37237D9B">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理财产品到期清算</w:t>
      </w:r>
    </w:p>
    <w:p w14:paraId="0BF5104F">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1.清算程序</w:t>
      </w:r>
    </w:p>
    <w:p w14:paraId="192D876A">
      <w:pPr>
        <w:widowControl/>
        <w:tabs>
          <w:tab w:val="left" w:pos="709"/>
        </w:tabs>
        <w:snapToGrid w:val="0"/>
        <w:spacing w:line="360" w:lineRule="auto"/>
        <w:ind w:firstLine="420" w:firstLineChars="200"/>
        <w:rPr>
          <w:rFonts w:hint="eastAsia" w:ascii="仿宋_GB2312" w:hAnsi="宋体" w:cs="宋体"/>
          <w:b/>
          <w:bCs/>
          <w:color w:val="auto"/>
          <w:kern w:val="0"/>
          <w:szCs w:val="24"/>
          <w:highlight w:val="none"/>
        </w:rPr>
      </w:pPr>
      <w:r>
        <w:rPr>
          <w:rFonts w:hint="eastAsia" w:ascii="仿宋_GB2312" w:hAnsi="宋体" w:cs="宋体"/>
          <w:bCs/>
          <w:color w:val="auto"/>
          <w:kern w:val="0"/>
          <w:szCs w:val="24"/>
          <w:highlight w:val="none"/>
        </w:rPr>
        <w:t>产品到期（含提前终止）后，理财产品终止运作，本理财产品</w:t>
      </w:r>
      <w:r>
        <w:rPr>
          <w:color w:val="auto"/>
          <w:highlight w:val="none"/>
        </w:rPr>
        <w:t>管</w:t>
      </w:r>
      <w:r>
        <w:rPr>
          <w:rFonts w:hint="eastAsia" w:ascii="仿宋_GB2312" w:hAnsi="宋体" w:cs="宋体"/>
          <w:bCs/>
          <w:color w:val="auto"/>
          <w:kern w:val="0"/>
          <w:szCs w:val="24"/>
          <w:highlight w:val="none"/>
        </w:rPr>
        <w:t>理人启动产品清算，理财资产清</w:t>
      </w:r>
      <w:r>
        <w:rPr>
          <w:rFonts w:ascii="仿宋_GB2312" w:hAnsi="宋体" w:cs="宋体"/>
          <w:bCs/>
          <w:color w:val="auto"/>
          <w:kern w:val="0"/>
          <w:szCs w:val="24"/>
          <w:highlight w:val="none"/>
        </w:rPr>
        <w:t>算后扣除理财相关费用、缴纳所欠税款并清偿理财产品负债后，</w:t>
      </w:r>
      <w:r>
        <w:rPr>
          <w:color w:val="auto"/>
          <w:highlight w:val="none"/>
        </w:rPr>
        <w:t>管</w:t>
      </w:r>
      <w:r>
        <w:rPr>
          <w:rFonts w:hint="eastAsia" w:ascii="仿宋_GB2312" w:hAnsi="宋体" w:cs="宋体"/>
          <w:bCs/>
          <w:color w:val="auto"/>
          <w:kern w:val="0"/>
          <w:szCs w:val="24"/>
          <w:highlight w:val="none"/>
        </w:rPr>
        <w:t>理人通过销售机构将投资者应得资金（如有，下同）划至投资者指定账户。本产品到期（含提前终止）时，如本产品项下财产全部变现，管理人将在产品到期后</w:t>
      </w:r>
      <w:r>
        <w:rPr>
          <w:rFonts w:hint="eastAsia" w:ascii="仿宋_GB2312" w:hAnsi="宋体" w:cs="宋体"/>
          <w:bCs/>
          <w:color w:val="auto"/>
          <w:kern w:val="0"/>
          <w:szCs w:val="24"/>
          <w:highlight w:val="yellow"/>
          <w:lang w:eastAsia="zh-CN"/>
        </w:rPr>
        <w:t>【】个</w:t>
      </w:r>
      <w:r>
        <w:rPr>
          <w:rFonts w:hint="eastAsia" w:ascii="仿宋_GB2312" w:hAnsi="宋体" w:cs="宋体"/>
          <w:bCs/>
          <w:color w:val="auto"/>
          <w:kern w:val="0"/>
          <w:szCs w:val="24"/>
          <w:highlight w:val="none"/>
        </w:rPr>
        <w:t>工作日内向投资者完成</w:t>
      </w:r>
      <w:r>
        <w:rPr>
          <w:rFonts w:ascii="仿宋_GB2312" w:hAnsi="宋体" w:cs="宋体"/>
          <w:bCs/>
          <w:color w:val="auto"/>
          <w:kern w:val="0"/>
          <w:szCs w:val="24"/>
          <w:highlight w:val="none"/>
        </w:rPr>
        <w:t>分配</w:t>
      </w:r>
      <w:r>
        <w:rPr>
          <w:rFonts w:hint="eastAsia" w:ascii="仿宋_GB2312" w:hAnsi="宋体" w:cs="宋体"/>
          <w:bCs/>
          <w:color w:val="auto"/>
          <w:kern w:val="0"/>
          <w:szCs w:val="24"/>
          <w:highlight w:val="none"/>
        </w:rPr>
        <w:t>。</w:t>
      </w:r>
      <w:r>
        <w:rPr>
          <w:rFonts w:hint="eastAsia" w:ascii="仿宋_GB2312" w:hAnsi="宋体" w:cs="宋体"/>
          <w:b/>
          <w:bCs/>
          <w:color w:val="auto"/>
          <w:kern w:val="0"/>
          <w:szCs w:val="24"/>
          <w:highlight w:val="none"/>
        </w:rPr>
        <w:t>本产品到期日（或提前/延期终止日）至资金到账日期间，投资者理财资金如因清算安排实际产生利息的，相关利息归投资者所有。</w:t>
      </w:r>
    </w:p>
    <w:p w14:paraId="34B56765">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如因清算需要，本产品无法在到期后</w:t>
      </w: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none"/>
        </w:rPr>
        <w:t>个工作日内向投资者完成</w:t>
      </w:r>
      <w:r>
        <w:rPr>
          <w:rFonts w:ascii="仿宋_GB2312" w:hAnsi="宋体" w:cs="宋体"/>
          <w:bCs/>
          <w:color w:val="auto"/>
          <w:kern w:val="0"/>
          <w:szCs w:val="24"/>
          <w:highlight w:val="none"/>
        </w:rPr>
        <w:t>分配</w:t>
      </w:r>
      <w:r>
        <w:rPr>
          <w:rFonts w:hint="eastAsia" w:ascii="仿宋_GB2312" w:hAnsi="宋体" w:cs="宋体"/>
          <w:bCs/>
          <w:color w:val="auto"/>
          <w:kern w:val="0"/>
          <w:szCs w:val="24"/>
          <w:highlight w:val="none"/>
        </w:rPr>
        <w:t>的，管理人有权延后产品可得资金分配并于产品到期日</w:t>
      </w:r>
      <w:r>
        <w:rPr>
          <w:rFonts w:hint="eastAsia" w:ascii="仿宋_GB2312" w:hAnsi="宋体" w:cs="宋体"/>
          <w:bCs/>
          <w:color w:val="auto"/>
          <w:kern w:val="0"/>
          <w:szCs w:val="24"/>
          <w:highlight w:val="none"/>
          <w:lang w:val="en-US" w:eastAsia="zh-CN"/>
        </w:rPr>
        <w:t>1个工作日</w:t>
      </w:r>
      <w:r>
        <w:rPr>
          <w:rFonts w:hint="eastAsia" w:ascii="仿宋_GB2312" w:hAnsi="宋体" w:cs="宋体"/>
          <w:bCs/>
          <w:color w:val="auto"/>
          <w:kern w:val="0"/>
          <w:szCs w:val="24"/>
          <w:highlight w:val="none"/>
        </w:rPr>
        <w:t>前公告。</w:t>
      </w:r>
    </w:p>
    <w:p w14:paraId="37E9504F">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2.清算费用分别按照实际发生费用从产品资产中列支。</w:t>
      </w:r>
    </w:p>
    <w:p w14:paraId="090F1F06">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3.产品资产清算剩余资产的分配</w:t>
      </w:r>
    </w:p>
    <w:p w14:paraId="38172B9E">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产品资产按下列顺序清偿：</w:t>
      </w:r>
    </w:p>
    <w:p w14:paraId="3B035BEA">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（1）支付清算费用和交纳所欠税款；</w:t>
      </w:r>
    </w:p>
    <w:p w14:paraId="12D8B122">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（2）清偿产品债务；</w:t>
      </w:r>
    </w:p>
    <w:p w14:paraId="452C0B7E">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（3）按产品份额持有人持有的产品份额比例进行分配。</w:t>
      </w:r>
    </w:p>
    <w:p w14:paraId="3D93F843">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4.产品终止投资者到账资金计算</w:t>
      </w:r>
    </w:p>
    <w:p w14:paraId="06C5507F">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若产品终止或提前终止时本理财产品项下资产全部变现，产品管理人将</w:t>
      </w:r>
      <w:r>
        <w:rPr>
          <w:rFonts w:hint="eastAsia" w:ascii="仿宋_GB2312" w:hAnsi="宋体" w:cs="宋体"/>
          <w:bCs/>
          <w:color w:val="auto"/>
          <w:kern w:val="0"/>
          <w:szCs w:val="24"/>
          <w:highlight w:val="none"/>
        </w:rPr>
        <w:t>扣除理财产品财产清算费用、缴纳所欠税款并清偿理财产品债务后，按照各投资者持有理财产品份额占理财产品总份额的比例于</w:t>
      </w:r>
      <w:r>
        <w:rPr>
          <w:rFonts w:ascii="仿宋_GB2312" w:hAnsi="宋体" w:cs="宋体"/>
          <w:bCs/>
          <w:color w:val="auto"/>
          <w:kern w:val="0"/>
          <w:szCs w:val="24"/>
          <w:highlight w:val="none"/>
        </w:rPr>
        <w:t>产品到期日后</w:t>
      </w:r>
      <w:r>
        <w:rPr>
          <w:rFonts w:hint="eastAsia" w:ascii="仿宋_GB2312" w:hAnsi="宋体" w:cs="宋体"/>
          <w:bCs/>
          <w:color w:val="auto"/>
          <w:kern w:val="0"/>
          <w:szCs w:val="24"/>
          <w:highlight w:val="yellow"/>
          <w:lang w:eastAsia="zh-CN"/>
        </w:rPr>
        <w:t>【】</w:t>
      </w:r>
      <w:r>
        <w:rPr>
          <w:rFonts w:ascii="仿宋_GB2312" w:hAnsi="宋体" w:cs="宋体"/>
          <w:bCs/>
          <w:color w:val="auto"/>
          <w:kern w:val="0"/>
          <w:szCs w:val="24"/>
          <w:highlight w:val="none"/>
        </w:rPr>
        <w:t>个</w:t>
      </w:r>
      <w:r>
        <w:rPr>
          <w:rFonts w:hint="eastAsia" w:ascii="仿宋_GB2312" w:hAnsi="宋体" w:cs="宋体"/>
          <w:bCs/>
          <w:color w:val="auto"/>
          <w:kern w:val="0"/>
          <w:szCs w:val="24"/>
          <w:highlight w:val="none"/>
        </w:rPr>
        <w:t>工作日</w:t>
      </w:r>
      <w:r>
        <w:rPr>
          <w:rFonts w:ascii="仿宋_GB2312" w:hAnsi="宋体" w:cs="宋体"/>
          <w:bCs/>
          <w:color w:val="auto"/>
          <w:kern w:val="0"/>
          <w:szCs w:val="24"/>
          <w:highlight w:val="none"/>
        </w:rPr>
        <w:t>内或提前终止日后</w:t>
      </w:r>
      <w:r>
        <w:rPr>
          <w:rFonts w:hint="eastAsia" w:ascii="仿宋_GB2312" w:hAnsi="宋体" w:cs="宋体"/>
          <w:bCs/>
          <w:color w:val="auto"/>
          <w:kern w:val="0"/>
          <w:szCs w:val="24"/>
          <w:highlight w:val="yellow"/>
          <w:lang w:eastAsia="zh-CN"/>
        </w:rPr>
        <w:t>【】</w:t>
      </w:r>
      <w:r>
        <w:rPr>
          <w:rFonts w:ascii="仿宋_GB2312" w:hAnsi="宋体" w:cs="宋体"/>
          <w:bCs/>
          <w:color w:val="auto"/>
          <w:kern w:val="0"/>
          <w:szCs w:val="24"/>
          <w:highlight w:val="none"/>
        </w:rPr>
        <w:t>个</w:t>
      </w:r>
      <w:r>
        <w:rPr>
          <w:rFonts w:hint="eastAsia" w:ascii="仿宋_GB2312" w:hAnsi="宋体" w:cs="宋体"/>
          <w:bCs/>
          <w:color w:val="auto"/>
          <w:kern w:val="0"/>
          <w:szCs w:val="24"/>
          <w:highlight w:val="none"/>
        </w:rPr>
        <w:t>工作日通过销售机构</w:t>
      </w:r>
      <w:r>
        <w:rPr>
          <w:rFonts w:ascii="仿宋_GB2312" w:hAnsi="宋体" w:cs="宋体"/>
          <w:bCs/>
          <w:color w:val="auto"/>
          <w:kern w:val="0"/>
          <w:szCs w:val="24"/>
          <w:highlight w:val="none"/>
        </w:rPr>
        <w:t>内将投资者应得资金划转投资者指定账户。计算公式如下：</w:t>
      </w:r>
    </w:p>
    <w:p w14:paraId="6B2B8B1E">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本产品兑付金额(理财产品总资产净值)=理财产品资产总值-理财产品负债总值</w:t>
      </w:r>
    </w:p>
    <w:p w14:paraId="127510FE">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其中，投资者到账金额计算公式如下：</w:t>
      </w:r>
    </w:p>
    <w:p w14:paraId="51C31CB2">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本产品投资者到账金额=投资者在到期日持有理财产品份额/理财产品总份额*理财产品总资产净值，</w:t>
      </w:r>
      <w:r>
        <w:rPr>
          <w:rFonts w:ascii="仿宋_GB2312" w:hAnsi="宋体" w:cs="宋体"/>
          <w:bCs/>
          <w:color w:val="auto"/>
          <w:kern w:val="0"/>
          <w:szCs w:val="24"/>
          <w:highlight w:val="none"/>
        </w:rPr>
        <w:t>最终资金以实际到账为准。</w:t>
      </w:r>
    </w:p>
    <w:p w14:paraId="765D7B2C">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ascii="仿宋_GB2312" w:hAnsi="宋体" w:cs="宋体"/>
          <w:bCs/>
          <w:color w:val="auto"/>
          <w:kern w:val="0"/>
          <w:szCs w:val="24"/>
          <w:highlight w:val="none"/>
        </w:rPr>
        <w:t>产品终止日，如产品投资资产因市场风险、信用风险以及监管风险等原因不能全部变现且产品管理人未对本产品进行延期则本产品进入延期清算程序。产品延期清算时，产品管理人将提前发布相关公告。产品管理人将产品持有的现金类资产在扣除支付清算费用和交纳所欠税款、清偿产品债务后，如仍有剩余资金</w:t>
      </w:r>
      <w:r>
        <w:rPr>
          <w:rFonts w:hint="eastAsia" w:ascii="仿宋_GB2312" w:hAnsi="宋体" w:cs="宋体"/>
          <w:bCs/>
          <w:color w:val="auto"/>
          <w:kern w:val="0"/>
          <w:szCs w:val="24"/>
          <w:highlight w:val="none"/>
        </w:rPr>
        <w:t>，</w:t>
      </w:r>
      <w:r>
        <w:rPr>
          <w:rFonts w:ascii="仿宋_GB2312" w:hAnsi="宋体" w:cs="宋体"/>
          <w:bCs/>
          <w:color w:val="auto"/>
          <w:kern w:val="0"/>
          <w:szCs w:val="24"/>
          <w:highlight w:val="none"/>
        </w:rPr>
        <w:t>可</w:t>
      </w:r>
      <w:r>
        <w:rPr>
          <w:rFonts w:hint="eastAsia" w:ascii="仿宋_GB2312" w:hAnsi="宋体" w:cs="宋体"/>
          <w:bCs/>
          <w:color w:val="auto"/>
          <w:kern w:val="0"/>
          <w:szCs w:val="24"/>
          <w:highlight w:val="none"/>
        </w:rPr>
        <w:t>按照各投资者持有理财产品份额占理财产品总份额的比例</w:t>
      </w:r>
      <w:r>
        <w:rPr>
          <w:rFonts w:ascii="仿宋_GB2312" w:hAnsi="宋体" w:cs="宋体"/>
          <w:bCs/>
          <w:color w:val="auto"/>
          <w:kern w:val="0"/>
          <w:szCs w:val="24"/>
          <w:highlight w:val="none"/>
        </w:rPr>
        <w:t>分配给</w:t>
      </w:r>
      <w:r>
        <w:rPr>
          <w:rFonts w:hint="eastAsia" w:ascii="仿宋_GB2312" w:hAnsi="宋体" w:cs="宋体"/>
          <w:bCs/>
          <w:color w:val="auto"/>
          <w:kern w:val="0"/>
          <w:szCs w:val="24"/>
          <w:highlight w:val="none"/>
        </w:rPr>
        <w:t>投资者</w:t>
      </w:r>
      <w:r>
        <w:rPr>
          <w:rFonts w:ascii="仿宋_GB2312" w:hAnsi="宋体" w:cs="宋体"/>
          <w:bCs/>
          <w:color w:val="auto"/>
          <w:kern w:val="0"/>
          <w:szCs w:val="24"/>
          <w:highlight w:val="none"/>
        </w:rPr>
        <w:t>。对于未变现资产部分，产品管理人以投资者利益最大化的原则，寻求未变现资产变现方式，在资产变现后，产品持有的现金类资产在扣除剩余未支付的清算费用和交纳所欠税款、清偿产品债务后，</w:t>
      </w:r>
      <w:r>
        <w:rPr>
          <w:rFonts w:hint="eastAsia" w:ascii="仿宋_GB2312" w:hAnsi="宋体" w:cs="宋体"/>
          <w:bCs/>
          <w:color w:val="auto"/>
          <w:kern w:val="0"/>
          <w:szCs w:val="24"/>
          <w:highlight w:val="none"/>
        </w:rPr>
        <w:t>按照各投资者持有理财产品份额占理财产品总份额的比例</w:t>
      </w:r>
      <w:r>
        <w:rPr>
          <w:rFonts w:ascii="仿宋_GB2312" w:hAnsi="宋体" w:cs="宋体"/>
          <w:bCs/>
          <w:color w:val="auto"/>
          <w:kern w:val="0"/>
          <w:szCs w:val="24"/>
          <w:highlight w:val="none"/>
        </w:rPr>
        <w:t>于产品清算完毕后的</w:t>
      </w:r>
      <w:r>
        <w:rPr>
          <w:rFonts w:hint="eastAsia" w:ascii="仿宋_GB2312" w:hAnsi="宋体" w:cs="宋体"/>
          <w:bCs/>
          <w:color w:val="auto"/>
          <w:kern w:val="0"/>
          <w:szCs w:val="24"/>
          <w:highlight w:val="none"/>
        </w:rPr>
        <w:t>3</w:t>
      </w:r>
      <w:r>
        <w:rPr>
          <w:rFonts w:ascii="仿宋_GB2312" w:hAnsi="宋体" w:cs="宋体"/>
          <w:bCs/>
          <w:color w:val="auto"/>
          <w:kern w:val="0"/>
          <w:szCs w:val="24"/>
          <w:highlight w:val="none"/>
        </w:rPr>
        <w:t>个</w:t>
      </w:r>
      <w:r>
        <w:rPr>
          <w:rFonts w:hint="eastAsia" w:ascii="仿宋_GB2312" w:hAnsi="宋体" w:cs="宋体"/>
          <w:bCs/>
          <w:color w:val="auto"/>
          <w:kern w:val="0"/>
          <w:szCs w:val="24"/>
          <w:highlight w:val="none"/>
        </w:rPr>
        <w:t>工作日</w:t>
      </w:r>
      <w:r>
        <w:rPr>
          <w:rFonts w:ascii="仿宋_GB2312" w:hAnsi="宋体" w:cs="宋体"/>
          <w:bCs/>
          <w:color w:val="auto"/>
          <w:kern w:val="0"/>
          <w:szCs w:val="24"/>
          <w:highlight w:val="none"/>
        </w:rPr>
        <w:t>内分配给</w:t>
      </w:r>
      <w:r>
        <w:rPr>
          <w:rFonts w:hint="eastAsia" w:ascii="仿宋_GB2312" w:hAnsi="宋体" w:cs="宋体"/>
          <w:bCs/>
          <w:color w:val="auto"/>
          <w:kern w:val="0"/>
          <w:szCs w:val="24"/>
          <w:highlight w:val="none"/>
        </w:rPr>
        <w:t>投资者</w:t>
      </w:r>
      <w:r>
        <w:rPr>
          <w:rFonts w:ascii="仿宋_GB2312" w:hAnsi="宋体" w:cs="宋体"/>
          <w:bCs/>
          <w:color w:val="auto"/>
          <w:kern w:val="0"/>
          <w:szCs w:val="24"/>
          <w:highlight w:val="none"/>
        </w:rPr>
        <w:t>。</w:t>
      </w:r>
    </w:p>
    <w:p w14:paraId="3F33B128">
      <w:pPr>
        <w:widowControl/>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产品管理人拟进行二次或多次清算的，管理人应向投资者及时披露。</w:t>
      </w:r>
    </w:p>
    <w:p w14:paraId="0AB54047">
      <w:pPr>
        <w:jc w:val="left"/>
        <w:rPr>
          <w:rFonts w:hint="eastAsia" w:ascii="仿宋_GB2312" w:hAnsi="宋体" w:cs="宋体"/>
          <w:bCs/>
          <w:color w:val="auto"/>
          <w:kern w:val="0"/>
          <w:szCs w:val="24"/>
          <w:highlight w:val="none"/>
        </w:rPr>
      </w:pPr>
      <w:r>
        <w:rPr>
          <w:rFonts w:ascii="仿宋_GB2312" w:hAnsi="宋体" w:cs="宋体"/>
          <w:bCs/>
          <w:color w:val="auto"/>
          <w:kern w:val="0"/>
          <w:szCs w:val="24"/>
          <w:highlight w:val="none"/>
        </w:rPr>
        <w:br w:type="page"/>
      </w:r>
    </w:p>
    <w:p w14:paraId="1D29C72D">
      <w:pPr>
        <w:pStyle w:val="2"/>
        <w:numPr>
          <w:ilvl w:val="0"/>
          <w:numId w:val="13"/>
        </w:numPr>
        <w:bidi w:val="0"/>
        <w:ind w:left="0" w:leftChars="0" w:firstLine="0" w:firstLineChars="0"/>
        <w:rPr>
          <w:color w:val="auto"/>
          <w:highlight w:val="none"/>
        </w:rPr>
      </w:pPr>
      <w:r>
        <w:rPr>
          <w:rFonts w:hint="eastAsia"/>
          <w:color w:val="auto"/>
          <w:highlight w:val="none"/>
        </w:rPr>
        <w:t>理财产品的信息披露</w:t>
      </w:r>
    </w:p>
    <w:p w14:paraId="2538DFDE">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信息披露方式</w:t>
      </w:r>
    </w:p>
    <w:p w14:paraId="652E8109">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rPr>
      </w:pPr>
      <w:r>
        <w:rPr>
          <w:rFonts w:hint="eastAsia" w:ascii="仿宋_GB2312" w:hAnsi="宋体" w:cs="宋体"/>
          <w:b/>
          <w:color w:val="auto"/>
          <w:kern w:val="0"/>
          <w:szCs w:val="24"/>
          <w:highlight w:val="none"/>
          <w:u w:val="none"/>
        </w:rPr>
        <w:t>本理财产品将通过</w:t>
      </w:r>
      <w:r>
        <w:rPr>
          <w:rFonts w:hint="eastAsia" w:ascii="仿宋_GB2312" w:hAnsi="宋体" w:cs="宋体"/>
          <w:b/>
          <w:color w:val="auto"/>
          <w:kern w:val="0"/>
          <w:szCs w:val="24"/>
          <w:highlight w:val="yellow"/>
          <w:u w:val="none"/>
          <w:lang w:eastAsia="zh-CN"/>
        </w:rPr>
        <w:t>【中国理财网】</w:t>
      </w:r>
      <w:r>
        <w:rPr>
          <w:rFonts w:hint="eastAsia" w:ascii="仿宋_GB2312" w:hAnsi="宋体" w:cs="宋体"/>
          <w:b/>
          <w:color w:val="auto"/>
          <w:kern w:val="0"/>
          <w:szCs w:val="24"/>
          <w:highlight w:val="none"/>
          <w:u w:val="none"/>
          <w:lang w:eastAsia="zh-CN"/>
        </w:rPr>
        <w:t>、</w:t>
      </w:r>
      <w:r>
        <w:rPr>
          <w:rFonts w:hint="eastAsia" w:ascii="仿宋_GB2312" w:hAnsi="宋体" w:cs="宋体"/>
          <w:b/>
          <w:color w:val="auto"/>
          <w:kern w:val="0"/>
          <w:szCs w:val="24"/>
          <w:highlight w:val="none"/>
          <w:u w:val="none"/>
        </w:rPr>
        <w:t>产品管理人官方网站</w:t>
      </w:r>
      <w:r>
        <w:rPr>
          <w:rFonts w:hint="eastAsia" w:ascii="仿宋_GB2312" w:hAnsi="宋体" w:cs="宋体"/>
          <w:b/>
          <w:color w:val="auto"/>
          <w:kern w:val="0"/>
          <w:szCs w:val="24"/>
          <w:highlight w:val="yellow"/>
          <w:u w:val="none"/>
        </w:rPr>
        <w:t>【</w:t>
      </w:r>
      <w:r>
        <w:rPr>
          <w:rFonts w:ascii="仿宋_GB2312" w:hAnsi="宋体" w:cs="宋体"/>
          <w:b/>
          <w:color w:val="auto"/>
          <w:kern w:val="0"/>
          <w:szCs w:val="24"/>
          <w:highlight w:val="yellow"/>
          <w:u w:val="none"/>
        </w:rPr>
        <w:t>www.czbank-wm.com</w:t>
      </w:r>
      <w:r>
        <w:rPr>
          <w:rFonts w:hint="eastAsia" w:ascii="仿宋_GB2312" w:hAnsi="宋体" w:cs="宋体"/>
          <w:b/>
          <w:color w:val="auto"/>
          <w:kern w:val="0"/>
          <w:szCs w:val="24"/>
          <w:highlight w:val="yellow"/>
          <w:u w:val="none"/>
        </w:rPr>
        <w:t>】</w:t>
      </w:r>
      <w:r>
        <w:rPr>
          <w:rFonts w:hint="eastAsia"/>
          <w:b/>
          <w:bCs w:val="0"/>
          <w:color w:val="auto"/>
          <w:highlight w:val="none"/>
        </w:rPr>
        <w:t>、</w:t>
      </w:r>
      <w:r>
        <w:rPr>
          <w:rFonts w:hint="eastAsia" w:ascii="仿宋_GB2312" w:hAnsi="宋体" w:cs="宋体"/>
          <w:b/>
          <w:bCs w:val="0"/>
          <w:color w:val="auto"/>
          <w:kern w:val="0"/>
          <w:szCs w:val="24"/>
          <w:highlight w:val="none"/>
        </w:rPr>
        <w:t>销售机构官方网站、个人手</w:t>
      </w:r>
      <w:r>
        <w:rPr>
          <w:rFonts w:hint="eastAsia" w:ascii="仿宋_GB2312" w:hAnsi="宋体" w:cs="宋体"/>
          <w:b/>
          <w:color w:val="auto"/>
          <w:kern w:val="0"/>
          <w:szCs w:val="24"/>
          <w:highlight w:val="none"/>
        </w:rPr>
        <w:t>机银行或其他约定的方式等</w:t>
      </w:r>
      <w:r>
        <w:rPr>
          <w:rFonts w:hint="eastAsia" w:cs="宋体" w:asciiTheme="minorEastAsia" w:hAnsiTheme="minorEastAsia"/>
          <w:b/>
          <w:color w:val="auto"/>
          <w:kern w:val="0"/>
          <w:szCs w:val="24"/>
          <w:highlight w:val="none"/>
        </w:rPr>
        <w:t>一种或多种渠道</w:t>
      </w:r>
      <w:r>
        <w:rPr>
          <w:rFonts w:hint="eastAsia" w:ascii="仿宋_GB2312" w:hAnsi="宋体" w:cs="宋体"/>
          <w:b/>
          <w:color w:val="auto"/>
          <w:kern w:val="0"/>
          <w:szCs w:val="24"/>
          <w:highlight w:val="none"/>
        </w:rPr>
        <w:t>进行信息披露。相关信息自披露之日即视为已送达投资者，也视为产品管理人已适当披露理财产品相关信息。投资者应及时查看，以免因未及时获知信息而错过资金使用和再投资的机会。若由于投资者原因未能及时登陆产品管理人官方网站、销售机构信息披露渠道获取披露信息，所造成的后果将由投资者自行承担，产品管理人不承担相应责任。</w:t>
      </w:r>
    </w:p>
    <w:p w14:paraId="1BDFD15C">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信息披露内容</w:t>
      </w:r>
    </w:p>
    <w:p w14:paraId="423D930A">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rPr>
      </w:pPr>
      <w:r>
        <w:rPr>
          <w:rFonts w:hint="eastAsia" w:ascii="仿宋_GB2312" w:hAnsi="宋体" w:cs="宋体"/>
          <w:b/>
          <w:color w:val="auto"/>
          <w:kern w:val="0"/>
          <w:szCs w:val="24"/>
          <w:highlight w:val="none"/>
        </w:rPr>
        <w:t>1.产品类型、募集信息、产品净值、产品规模、收益情况；</w:t>
      </w:r>
    </w:p>
    <w:p w14:paraId="63E68667">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rPr>
      </w:pPr>
      <w:r>
        <w:rPr>
          <w:rFonts w:hint="eastAsia" w:ascii="仿宋_GB2312" w:hAnsi="宋体" w:cs="宋体"/>
          <w:b/>
          <w:color w:val="auto"/>
          <w:kern w:val="0"/>
          <w:szCs w:val="24"/>
          <w:highlight w:val="none"/>
        </w:rPr>
        <w:t>2.产品直接和间接投资的资产种类、投资比例、</w:t>
      </w:r>
      <w:r>
        <w:rPr>
          <w:rFonts w:hint="eastAsia" w:ascii="仿宋_GB2312" w:hAnsi="宋体" w:cs="宋体"/>
          <w:b/>
          <w:color w:val="auto"/>
          <w:kern w:val="0"/>
          <w:szCs w:val="24"/>
          <w:highlight w:val="none"/>
          <w:lang w:val="zh-CN"/>
        </w:rPr>
        <w:t>前十项资产具体名称、规模和比例等信息、</w:t>
      </w:r>
      <w:r>
        <w:rPr>
          <w:rFonts w:hint="eastAsia" w:ascii="仿宋_GB2312" w:hAnsi="宋体" w:cs="宋体"/>
          <w:b/>
          <w:color w:val="auto"/>
          <w:kern w:val="0"/>
          <w:szCs w:val="24"/>
          <w:highlight w:val="none"/>
        </w:rPr>
        <w:t>杠杆水平以及流动性风险分析；</w:t>
      </w:r>
    </w:p>
    <w:p w14:paraId="19974D69">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rPr>
      </w:pPr>
      <w:r>
        <w:rPr>
          <w:rFonts w:hint="eastAsia" w:ascii="仿宋_GB2312" w:hAnsi="宋体" w:cs="宋体"/>
          <w:b/>
          <w:color w:val="auto"/>
          <w:kern w:val="0"/>
          <w:szCs w:val="24"/>
          <w:highlight w:val="none"/>
        </w:rPr>
        <w:t>3.产品估值方法、托管安排；</w:t>
      </w:r>
    </w:p>
    <w:p w14:paraId="157A48DD">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rPr>
      </w:pPr>
      <w:r>
        <w:rPr>
          <w:rFonts w:hint="eastAsia" w:ascii="仿宋_GB2312" w:hAnsi="宋体" w:cs="宋体"/>
          <w:b/>
          <w:color w:val="auto"/>
          <w:kern w:val="0"/>
          <w:szCs w:val="24"/>
          <w:highlight w:val="none"/>
        </w:rPr>
        <w:t>4.产品收益分配、各项费用情况及主要投资风险；</w:t>
      </w:r>
    </w:p>
    <w:p w14:paraId="12048B1D">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rPr>
      </w:pPr>
      <w:r>
        <w:rPr>
          <w:rFonts w:hint="eastAsia" w:ascii="仿宋_GB2312" w:hAnsi="宋体" w:cs="宋体"/>
          <w:b/>
          <w:color w:val="auto"/>
          <w:kern w:val="0"/>
          <w:szCs w:val="24"/>
          <w:highlight w:val="none"/>
        </w:rPr>
        <w:t>5.如本理财产品投资于理财产品管理人或托管机构的主要股东、实际控制人、一致行动人、最终受益人，托管机构，同一股东或托管机构控股的机构，或者与理财产品管理人或托管机构有重大利害关系的机构，以及国家金融监督管理机构关于关联交易管理相关规定中涉及的其他关联方发行或承销的证券、发行的资产管理产品，或者从事其他关联交易的，应当在理财产品管理人官方网站或者行业统一渠道披露关联交易信息，在理财产品管理人年报中披露当年关联交易总体情况，并应向投资者充分披露。</w:t>
      </w:r>
    </w:p>
    <w:p w14:paraId="5B24F33A">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rPr>
      </w:pPr>
      <w:r>
        <w:rPr>
          <w:rFonts w:hint="eastAsia" w:ascii="仿宋_GB2312" w:hAnsi="宋体" w:cs="宋体"/>
          <w:b/>
          <w:color w:val="auto"/>
          <w:kern w:val="0"/>
          <w:szCs w:val="24"/>
          <w:highlight w:val="none"/>
        </w:rPr>
        <w:t>6.其他影响本产品投资运作的重大事项、突发事件、临时性信息披露等。</w:t>
      </w:r>
    </w:p>
    <w:p w14:paraId="288D048A">
      <w:pPr>
        <w:pStyle w:val="3"/>
        <w:numPr>
          <w:ilvl w:val="1"/>
          <w:numId w:val="13"/>
        </w:numPr>
        <w:tabs>
          <w:tab w:val="left" w:pos="0"/>
          <w:tab w:val="left" w:pos="3261"/>
        </w:tabs>
        <w:bidi w:val="0"/>
        <w:ind w:left="3261" w:leftChars="0" w:hanging="2785" w:firstLineChars="0"/>
        <w:rPr>
          <w:color w:val="auto"/>
          <w:highlight w:val="none"/>
        </w:rPr>
      </w:pPr>
      <w:r>
        <w:rPr>
          <w:rFonts w:hint="eastAsia"/>
          <w:color w:val="auto"/>
          <w:highlight w:val="none"/>
        </w:rPr>
        <w:t>信息披露频率</w:t>
      </w:r>
    </w:p>
    <w:p w14:paraId="14B2B67F">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rPr>
      </w:pPr>
      <w:r>
        <w:rPr>
          <w:rFonts w:ascii="仿宋_GB2312" w:hAnsi="宋体" w:cs="宋体"/>
          <w:color w:val="auto"/>
          <w:kern w:val="0"/>
          <w:szCs w:val="24"/>
          <w:highlight w:val="none"/>
        </w:rPr>
        <w:t>1.发行公告：本产品成立后5个工作日（含）内，将发布本理财产品成立公告；如</w:t>
      </w:r>
      <w:r>
        <w:rPr>
          <w:rFonts w:hint="eastAsia" w:ascii="仿宋_GB2312" w:hAnsi="宋体" w:cs="宋体"/>
          <w:color w:val="auto"/>
          <w:kern w:val="0"/>
          <w:szCs w:val="24"/>
          <w:highlight w:val="none"/>
        </w:rPr>
        <w:t>产品</w:t>
      </w:r>
      <w:r>
        <w:rPr>
          <w:rFonts w:ascii="仿宋_GB2312" w:hAnsi="宋体" w:cs="宋体"/>
          <w:color w:val="auto"/>
          <w:kern w:val="0"/>
          <w:szCs w:val="24"/>
          <w:highlight w:val="none"/>
        </w:rPr>
        <w:t>管理人决定本理财产品募集期延长，将于原定成立日前发布理财产品募集期延长公告；</w:t>
      </w:r>
      <w:r>
        <w:rPr>
          <w:rFonts w:hint="eastAsia" w:ascii="仿宋_GB2312" w:hAnsi="宋体" w:cs="宋体"/>
          <w:color w:val="auto"/>
          <w:kern w:val="0"/>
          <w:szCs w:val="24"/>
          <w:highlight w:val="none"/>
        </w:rPr>
        <w:t>产品</w:t>
      </w:r>
      <w:r>
        <w:rPr>
          <w:rFonts w:ascii="仿宋_GB2312" w:hAnsi="宋体" w:cs="宋体"/>
          <w:color w:val="auto"/>
          <w:kern w:val="0"/>
          <w:szCs w:val="24"/>
          <w:highlight w:val="none"/>
        </w:rPr>
        <w:t>管理人决定本理财产品不成立，将在理财产品原定成立日后的2个工作日（含）内发布理财产品不成立公告。</w:t>
      </w:r>
    </w:p>
    <w:p w14:paraId="387B1E78">
      <w:pPr>
        <w:widowControl/>
        <w:numPr>
          <w:ilvl w:val="0"/>
          <w:numId w:val="0"/>
        </w:numPr>
        <w:tabs>
          <w:tab w:val="left" w:pos="1261"/>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ascii="仿宋_GB2312" w:hAnsi="宋体" w:cs="宋体"/>
          <w:color w:val="auto"/>
          <w:kern w:val="0"/>
          <w:szCs w:val="24"/>
          <w:highlight w:val="none"/>
        </w:rPr>
        <w:t>2.定期公告：</w:t>
      </w:r>
      <w:r>
        <w:rPr>
          <w:rFonts w:ascii="仿宋_GB2312" w:hAnsi="宋体" w:cs="宋体"/>
          <w:color w:val="auto"/>
          <w:kern w:val="0"/>
          <w:szCs w:val="24"/>
          <w:highlight w:val="none"/>
          <w:u w:val="none"/>
        </w:rPr>
        <w:t>本产品在</w:t>
      </w:r>
      <w:r>
        <w:rPr>
          <w:rFonts w:hint="eastAsia" w:ascii="仿宋_GB2312" w:hAnsi="宋体" w:cs="宋体"/>
          <w:color w:val="auto"/>
          <w:kern w:val="0"/>
          <w:szCs w:val="24"/>
          <w:highlight w:val="none"/>
          <w:u w:val="none"/>
        </w:rPr>
        <w:t>每个季度结束之日起十五个工作日内披露产品的季度报告，每年8月31日前披露产品的半年度报告，每年4月30日前披露产品上一年度的年度报告。产品成立不足</w:t>
      </w:r>
      <w:r>
        <w:rPr>
          <w:rFonts w:ascii="仿宋_GB2312" w:hAnsi="宋体" w:cs="宋体"/>
          <w:color w:val="auto"/>
          <w:kern w:val="0"/>
          <w:szCs w:val="24"/>
          <w:highlight w:val="none"/>
          <w:u w:val="none"/>
        </w:rPr>
        <w:t>90</w:t>
      </w:r>
      <w:r>
        <w:rPr>
          <w:rFonts w:hint="eastAsia" w:ascii="仿宋_GB2312" w:hAnsi="宋体" w:cs="宋体"/>
          <w:color w:val="auto"/>
          <w:kern w:val="0"/>
          <w:szCs w:val="24"/>
          <w:highlight w:val="none"/>
          <w:u w:val="none"/>
        </w:rPr>
        <w:t>个</w:t>
      </w:r>
      <w:r>
        <w:rPr>
          <w:rFonts w:hint="eastAsia" w:ascii="仿宋_GB2312" w:hAnsi="宋体" w:cs="宋体"/>
          <w:color w:val="auto"/>
          <w:kern w:val="0"/>
          <w:szCs w:val="24"/>
          <w:highlight w:val="none"/>
          <w:u w:val="none"/>
          <w:lang w:eastAsia="zh-CN"/>
        </w:rPr>
        <w:t>自然日</w:t>
      </w:r>
      <w:r>
        <w:rPr>
          <w:rFonts w:hint="eastAsia" w:ascii="仿宋_GB2312" w:hAnsi="宋体" w:cs="宋体"/>
          <w:color w:val="auto"/>
          <w:kern w:val="0"/>
          <w:szCs w:val="24"/>
          <w:highlight w:val="none"/>
          <w:u w:val="none"/>
        </w:rPr>
        <w:t>或者</w:t>
      </w:r>
      <w:r>
        <w:rPr>
          <w:rFonts w:hint="eastAsia" w:ascii="仿宋_GB2312"/>
          <w:color w:val="auto"/>
          <w:szCs w:val="32"/>
          <w:highlight w:val="none"/>
        </w:rPr>
        <w:t>理财产品剩余存续期不足完整报告期，且到期公告或清算报告包括对应定期报告内容的</w:t>
      </w:r>
      <w:r>
        <w:rPr>
          <w:rFonts w:hint="eastAsia" w:ascii="仿宋_GB2312" w:hAnsi="宋体" w:cs="宋体"/>
          <w:color w:val="auto"/>
          <w:kern w:val="0"/>
          <w:szCs w:val="24"/>
          <w:highlight w:val="none"/>
          <w:u w:val="none"/>
        </w:rPr>
        <w:t>，</w:t>
      </w:r>
      <w:r>
        <w:rPr>
          <w:rFonts w:hint="eastAsia" w:ascii="仿宋_GB2312" w:hAnsi="宋体" w:cs="宋体"/>
          <w:color w:val="auto"/>
          <w:kern w:val="0"/>
          <w:szCs w:val="24"/>
          <w:highlight w:val="none"/>
          <w:u w:val="none"/>
          <w:lang w:eastAsia="zh-CN"/>
        </w:rPr>
        <w:t>可</w:t>
      </w:r>
      <w:r>
        <w:rPr>
          <w:rFonts w:hint="eastAsia" w:ascii="仿宋_GB2312" w:hAnsi="宋体" w:cs="宋体"/>
          <w:color w:val="auto"/>
          <w:kern w:val="0"/>
          <w:szCs w:val="24"/>
          <w:highlight w:val="none"/>
          <w:u w:val="none"/>
        </w:rPr>
        <w:t>不编制本产品当期的季度、半年和年度报告。</w:t>
      </w:r>
    </w:p>
    <w:p w14:paraId="48CC61A2">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rPr>
      </w:pPr>
      <w:r>
        <w:rPr>
          <w:rFonts w:ascii="仿宋_GB2312" w:hAnsi="宋体" w:cs="宋体"/>
          <w:color w:val="auto"/>
          <w:kern w:val="0"/>
          <w:szCs w:val="24"/>
          <w:highlight w:val="none"/>
        </w:rPr>
        <w:t>3.到期公告：本产品在终止后5</w:t>
      </w:r>
      <w:r>
        <w:rPr>
          <w:rFonts w:hint="eastAsia" w:ascii="仿宋_GB2312" w:hAnsi="宋体" w:cs="宋体"/>
          <w:color w:val="auto"/>
          <w:kern w:val="0"/>
          <w:szCs w:val="24"/>
          <w:highlight w:val="none"/>
        </w:rPr>
        <w:t>个工作日内，披露本产品到期公告，包括理财产品的存续期限、终止日期、收费情况和收益分配情况等信息。本产品终止后5个工作日内，产品管理人发布产品到期公告。</w:t>
      </w:r>
    </w:p>
    <w:p w14:paraId="3A9C7413">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rPr>
      </w:pPr>
      <w:r>
        <w:rPr>
          <w:rFonts w:hint="eastAsia" w:ascii="仿宋_GB2312" w:hAnsi="宋体" w:cs="宋体"/>
          <w:color w:val="auto"/>
          <w:kern w:val="0"/>
          <w:szCs w:val="24"/>
          <w:highlight w:val="none"/>
        </w:rPr>
        <w:t>如果产品管理人提前或</w:t>
      </w:r>
      <w:r>
        <w:rPr>
          <w:rFonts w:ascii="仿宋_GB2312" w:hAnsi="宋体" w:cs="宋体"/>
          <w:color w:val="auto"/>
          <w:kern w:val="0"/>
          <w:szCs w:val="24"/>
          <w:highlight w:val="none"/>
        </w:rPr>
        <w:t>延后</w:t>
      </w:r>
      <w:r>
        <w:rPr>
          <w:rFonts w:hint="eastAsia" w:ascii="仿宋_GB2312" w:hAnsi="宋体" w:cs="宋体"/>
          <w:color w:val="auto"/>
          <w:kern w:val="0"/>
          <w:szCs w:val="24"/>
          <w:highlight w:val="none"/>
        </w:rPr>
        <w:t>终止本产品，产品管理人将提前</w:t>
      </w:r>
      <w:r>
        <w:rPr>
          <w:rFonts w:hint="eastAsia" w:ascii="仿宋_GB2312" w:hAnsi="宋体" w:cs="宋体"/>
          <w:color w:val="auto"/>
          <w:kern w:val="0"/>
          <w:szCs w:val="24"/>
          <w:highlight w:val="none"/>
          <w:lang w:val="en-US" w:eastAsia="zh-CN"/>
        </w:rPr>
        <w:t>1</w:t>
      </w:r>
      <w:r>
        <w:rPr>
          <w:rFonts w:hint="eastAsia" w:ascii="仿宋_GB2312" w:hAnsi="宋体" w:cs="宋体"/>
          <w:color w:val="auto"/>
          <w:kern w:val="0"/>
          <w:szCs w:val="24"/>
          <w:highlight w:val="none"/>
        </w:rPr>
        <w:t>个工作日进行公告。</w:t>
      </w:r>
    </w:p>
    <w:p w14:paraId="4BC0D415">
      <w:pPr>
        <w:widowControl/>
        <w:numPr>
          <w:ilvl w:val="0"/>
          <w:numId w:val="0"/>
        </w:numPr>
        <w:tabs>
          <w:tab w:val="left" w:pos="709"/>
        </w:tabs>
        <w:adjustRightInd w:val="0"/>
        <w:snapToGrid w:val="0"/>
        <w:spacing w:line="360" w:lineRule="auto"/>
        <w:ind w:leftChars="0" w:firstLine="420" w:firstLineChars="200"/>
        <w:rPr>
          <w:rFonts w:hint="eastAsia" w:ascii="仿宋_GB2312" w:hAnsi="宋体" w:cs="宋体"/>
          <w:color w:val="auto"/>
          <w:kern w:val="0"/>
          <w:szCs w:val="24"/>
          <w:highlight w:val="none"/>
        </w:rPr>
      </w:pPr>
      <w:r>
        <w:rPr>
          <w:rFonts w:hint="eastAsia" w:ascii="仿宋_GB2312" w:hAnsi="宋体" w:cs="宋体"/>
          <w:color w:val="auto"/>
          <w:kern w:val="0"/>
          <w:szCs w:val="24"/>
          <w:highlight w:val="none"/>
          <w:lang w:val="en-US" w:eastAsia="zh-CN"/>
        </w:rPr>
        <w:t>4.</w:t>
      </w:r>
      <w:r>
        <w:rPr>
          <w:rFonts w:ascii="仿宋_GB2312" w:hAnsi="宋体" w:cs="宋体"/>
          <w:color w:val="auto"/>
          <w:kern w:val="0"/>
          <w:szCs w:val="24"/>
          <w:highlight w:val="none"/>
        </w:rPr>
        <w:t>开放日</w:t>
      </w:r>
      <w:r>
        <w:rPr>
          <w:rFonts w:hint="eastAsia" w:ascii="仿宋_GB2312" w:hAnsi="宋体" w:cs="宋体"/>
          <w:color w:val="auto"/>
          <w:kern w:val="0"/>
          <w:szCs w:val="24"/>
          <w:highlight w:val="none"/>
        </w:rPr>
        <w:t>（估值日</w:t>
      </w:r>
      <w:r>
        <w:rPr>
          <w:rFonts w:ascii="仿宋_GB2312" w:hAnsi="宋体" w:cs="宋体"/>
          <w:color w:val="auto"/>
          <w:kern w:val="0"/>
          <w:szCs w:val="24"/>
          <w:highlight w:val="none"/>
        </w:rPr>
        <w:t>）公告：</w:t>
      </w:r>
      <w:r>
        <w:rPr>
          <w:rFonts w:hint="eastAsia" w:ascii="仿宋_GB2312" w:hAnsi="宋体" w:cs="宋体"/>
          <w:color w:val="auto"/>
          <w:kern w:val="0"/>
          <w:szCs w:val="24"/>
          <w:highlight w:val="none"/>
        </w:rPr>
        <w:t>本产品存续期内，</w:t>
      </w:r>
      <w:r>
        <w:rPr>
          <w:rFonts w:hint="eastAsia" w:ascii="仿宋_GB2312" w:hAnsi="宋体" w:cs="宋体"/>
          <w:b/>
          <w:color w:val="auto"/>
          <w:kern w:val="0"/>
          <w:szCs w:val="24"/>
          <w:highlight w:val="none"/>
        </w:rPr>
        <w:t>每</w:t>
      </w:r>
      <w:r>
        <w:rPr>
          <w:rFonts w:hint="eastAsia" w:ascii="仿宋_GB2312" w:hAnsi="宋体" w:cs="宋体"/>
          <w:b/>
          <w:color w:val="auto"/>
          <w:kern w:val="0"/>
          <w:szCs w:val="24"/>
          <w:highlight w:val="yellow"/>
        </w:rPr>
        <w:t>【周】</w:t>
      </w:r>
      <w:r>
        <w:rPr>
          <w:rFonts w:hint="eastAsia" w:ascii="仿宋_GB2312" w:hAnsi="宋体" w:cs="宋体"/>
          <w:color w:val="auto"/>
          <w:kern w:val="0"/>
          <w:szCs w:val="24"/>
          <w:highlight w:val="none"/>
        </w:rPr>
        <w:t>向投资者披露一次估值日公告</w:t>
      </w:r>
      <w:r>
        <w:rPr>
          <w:rFonts w:ascii="宋体" w:hAnsi="宋体"/>
          <w:b/>
          <w:color w:val="auto"/>
          <w:szCs w:val="24"/>
          <w:highlight w:val="none"/>
        </w:rPr>
        <w:t>(如遇特殊情况以产品管理人</w:t>
      </w:r>
      <w:r>
        <w:rPr>
          <w:rFonts w:hint="eastAsia" w:ascii="宋体" w:hAnsi="宋体"/>
          <w:b/>
          <w:color w:val="auto"/>
          <w:szCs w:val="24"/>
          <w:highlight w:val="none"/>
        </w:rPr>
        <w:t>披露</w:t>
      </w:r>
      <w:r>
        <w:rPr>
          <w:rFonts w:ascii="宋体" w:hAnsi="宋体"/>
          <w:b/>
          <w:color w:val="auto"/>
          <w:szCs w:val="24"/>
          <w:highlight w:val="none"/>
        </w:rPr>
        <w:t>为准)</w:t>
      </w:r>
      <w:r>
        <w:rPr>
          <w:rFonts w:hint="eastAsia" w:ascii="仿宋_GB2312" w:hAnsi="宋体" w:cs="宋体"/>
          <w:color w:val="auto"/>
          <w:kern w:val="0"/>
          <w:szCs w:val="24"/>
          <w:highlight w:val="none"/>
        </w:rPr>
        <w:t>，</w:t>
      </w:r>
      <w:r>
        <w:rPr>
          <w:rFonts w:hint="eastAsia" w:ascii="仿宋_GB2312" w:hAnsi="宋体" w:cs="宋体"/>
          <w:b/>
          <w:bCs/>
          <w:color w:val="auto"/>
          <w:kern w:val="0"/>
          <w:szCs w:val="24"/>
          <w:highlight w:val="none"/>
        </w:rPr>
        <w:t>每个产品开放日</w:t>
      </w:r>
      <w:r>
        <w:rPr>
          <w:rFonts w:ascii="仿宋_GB2312" w:hAnsi="宋体" w:cs="宋体"/>
          <w:b/>
          <w:bCs/>
          <w:color w:val="auto"/>
          <w:kern w:val="0"/>
          <w:szCs w:val="24"/>
          <w:highlight w:val="none"/>
        </w:rPr>
        <w:t>/申购日结束后</w:t>
      </w:r>
      <w:r>
        <w:rPr>
          <w:rFonts w:ascii="仿宋_GB2312" w:hAnsi="宋体" w:cs="宋体"/>
          <w:color w:val="auto"/>
          <w:kern w:val="0"/>
          <w:szCs w:val="24"/>
          <w:highlight w:val="none"/>
        </w:rPr>
        <w:t>2</w:t>
      </w:r>
      <w:r>
        <w:rPr>
          <w:rFonts w:hint="eastAsia" w:ascii="仿宋_GB2312" w:hAnsi="宋体" w:cs="宋体"/>
          <w:color w:val="auto"/>
          <w:kern w:val="0"/>
          <w:szCs w:val="24"/>
          <w:highlight w:val="none"/>
        </w:rPr>
        <w:t>个工作日内披露开放</w:t>
      </w:r>
      <w:r>
        <w:rPr>
          <w:rFonts w:hint="eastAsia" w:ascii="仿宋_GB2312" w:hAnsi="宋体" w:cs="宋体"/>
          <w:color w:val="auto"/>
          <w:kern w:val="0"/>
          <w:szCs w:val="24"/>
          <w:highlight w:val="none"/>
          <w:lang w:val="en-US" w:eastAsia="zh-CN"/>
        </w:rPr>
        <w:t>/申购</w:t>
      </w:r>
      <w:r>
        <w:rPr>
          <w:rFonts w:hint="eastAsia" w:ascii="仿宋_GB2312" w:hAnsi="宋体" w:cs="宋体"/>
          <w:color w:val="auto"/>
          <w:kern w:val="0"/>
          <w:szCs w:val="24"/>
          <w:highlight w:val="none"/>
        </w:rPr>
        <w:t>日公告，公告内容包</w:t>
      </w:r>
      <w:r>
        <w:rPr>
          <w:rFonts w:hint="eastAsia" w:ascii="仿宋_GB2312" w:hAnsi="宋体" w:cs="宋体"/>
          <w:b w:val="0"/>
          <w:bCs w:val="0"/>
          <w:color w:val="auto"/>
          <w:kern w:val="0"/>
          <w:szCs w:val="24"/>
          <w:highlight w:val="none"/>
        </w:rPr>
        <w:t>括开放日</w:t>
      </w:r>
      <w:r>
        <w:rPr>
          <w:rFonts w:ascii="仿宋_GB2312" w:hAnsi="宋体" w:cs="宋体"/>
          <w:b w:val="0"/>
          <w:bCs w:val="0"/>
          <w:color w:val="auto"/>
          <w:kern w:val="0"/>
          <w:szCs w:val="24"/>
          <w:highlight w:val="none"/>
        </w:rPr>
        <w:t>/申购日的产</w:t>
      </w:r>
      <w:r>
        <w:rPr>
          <w:rFonts w:ascii="仿宋_GB2312" w:hAnsi="宋体" w:cs="宋体"/>
          <w:color w:val="auto"/>
          <w:kern w:val="0"/>
          <w:szCs w:val="24"/>
          <w:highlight w:val="none"/>
        </w:rPr>
        <w:t>品份额净值、产品份额累计净值、</w:t>
      </w:r>
      <w:r>
        <w:rPr>
          <w:rFonts w:hint="eastAsia" w:ascii="仿宋_GB2312" w:hAnsi="宋体" w:cs="宋体"/>
          <w:color w:val="auto"/>
          <w:kern w:val="0"/>
          <w:szCs w:val="24"/>
          <w:highlight w:val="none"/>
        </w:rPr>
        <w:t>申购/赎回</w:t>
      </w:r>
      <w:r>
        <w:rPr>
          <w:rFonts w:ascii="仿宋_GB2312" w:hAnsi="宋体" w:cs="宋体"/>
          <w:color w:val="auto"/>
          <w:kern w:val="0"/>
          <w:szCs w:val="24"/>
          <w:highlight w:val="none"/>
        </w:rPr>
        <w:t>价格</w:t>
      </w:r>
      <w:r>
        <w:rPr>
          <w:rFonts w:hint="eastAsia" w:ascii="仿宋_GB2312" w:hAnsi="宋体" w:cs="宋体"/>
          <w:color w:val="auto"/>
          <w:kern w:val="0"/>
          <w:szCs w:val="24"/>
          <w:highlight w:val="none"/>
        </w:rPr>
        <w:t>。产品开放日、产品申购日当周管理人有权暂停公布当周的产品净值。如遇产品到期日、季度末、半年度末、年度末等时间节点，产品管理人将增加估值日。此外，如遇其他特殊情况，以产品管理人信息披露为准。</w:t>
      </w:r>
    </w:p>
    <w:p w14:paraId="62BF77D0">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rPr>
      </w:pPr>
      <w:r>
        <w:rPr>
          <w:rFonts w:ascii="仿宋_GB2312" w:hAnsi="宋体" w:cs="宋体"/>
          <w:color w:val="auto"/>
          <w:kern w:val="0"/>
          <w:szCs w:val="24"/>
          <w:highlight w:val="none"/>
        </w:rPr>
        <w:t>6.</w:t>
      </w:r>
      <w:r>
        <w:rPr>
          <w:rFonts w:hint="eastAsia" w:ascii="仿宋_GB2312" w:hAnsi="宋体" w:cs="宋体"/>
          <w:color w:val="auto"/>
          <w:kern w:val="0"/>
          <w:szCs w:val="24"/>
          <w:highlight w:val="none"/>
        </w:rPr>
        <w:t>产品临时公告</w:t>
      </w:r>
    </w:p>
    <w:p w14:paraId="2E6FF9A4">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rPr>
      </w:pPr>
      <w:r>
        <w:rPr>
          <w:rFonts w:hint="eastAsia" w:ascii="仿宋_GB2312" w:hAnsi="宋体" w:cs="宋体"/>
          <w:color w:val="auto"/>
          <w:kern w:val="0"/>
          <w:szCs w:val="24"/>
          <w:highlight w:val="none"/>
        </w:rPr>
        <w:t>（</w:t>
      </w:r>
      <w:r>
        <w:rPr>
          <w:rFonts w:ascii="仿宋_GB2312" w:hAnsi="宋体" w:cs="宋体"/>
          <w:color w:val="auto"/>
          <w:kern w:val="0"/>
          <w:szCs w:val="24"/>
          <w:highlight w:val="none"/>
        </w:rPr>
        <w:t>1</w:t>
      </w:r>
      <w:r>
        <w:rPr>
          <w:rFonts w:hint="eastAsia" w:ascii="仿宋_GB2312" w:hAnsi="宋体" w:cs="宋体"/>
          <w:color w:val="auto"/>
          <w:kern w:val="0"/>
          <w:szCs w:val="24"/>
          <w:highlight w:val="none"/>
        </w:rPr>
        <w:t>）</w:t>
      </w:r>
      <w:r>
        <w:rPr>
          <w:rFonts w:hint="eastAsia" w:ascii="仿宋_GB2312" w:hAnsi="宋体" w:cs="宋体"/>
          <w:color w:val="auto"/>
          <w:kern w:val="0"/>
          <w:szCs w:val="24"/>
          <w:highlight w:val="none"/>
          <w:u w:val="none"/>
        </w:rPr>
        <w:t>产品管理人对产品类型、投资范围、资产种类、投资比例、风险等级、产品期限、运作方式、认（申）购和赎回安排（包含认购或申购赎回时间、金额上下限等）、估值方法、收益分配安排</w:t>
      </w:r>
      <w:r>
        <w:rPr>
          <w:rFonts w:hint="eastAsia" w:ascii="仿宋_GB2312" w:hAnsi="宋体" w:cs="宋体"/>
          <w:color w:val="auto"/>
          <w:kern w:val="0"/>
          <w:szCs w:val="24"/>
          <w:highlight w:val="none"/>
          <w:u w:val="none"/>
          <w:lang w:eastAsia="zh-CN"/>
        </w:rPr>
        <w:t>、</w:t>
      </w:r>
      <w:r>
        <w:rPr>
          <w:rFonts w:hint="eastAsia" w:ascii="仿宋_GB2312"/>
          <w:color w:val="auto"/>
          <w:szCs w:val="32"/>
          <w:highlight w:val="none"/>
        </w:rPr>
        <w:t>份额类别</w:t>
      </w:r>
      <w:r>
        <w:rPr>
          <w:rFonts w:hint="eastAsia" w:ascii="仿宋_GB2312"/>
          <w:color w:val="auto"/>
          <w:szCs w:val="32"/>
          <w:highlight w:val="none"/>
          <w:lang w:eastAsia="zh-CN"/>
        </w:rPr>
        <w:t>、</w:t>
      </w:r>
      <w:r>
        <w:rPr>
          <w:rFonts w:hint="eastAsia" w:ascii="仿宋_GB2312" w:hAnsi="宋体" w:cs="宋体"/>
          <w:color w:val="auto"/>
          <w:kern w:val="0"/>
          <w:szCs w:val="24"/>
          <w:highlight w:val="none"/>
          <w:u w:val="none"/>
        </w:rPr>
        <w:t>收费项目、收费条件、收费标准、收费方式</w:t>
      </w:r>
      <w:r>
        <w:rPr>
          <w:rFonts w:hint="eastAsia" w:ascii="仿宋_GB2312" w:hAnsi="宋体" w:cs="宋体"/>
          <w:color w:val="auto"/>
          <w:kern w:val="0"/>
          <w:szCs w:val="24"/>
          <w:highlight w:val="none"/>
          <w:u w:val="none"/>
          <w:lang w:eastAsia="zh-CN"/>
        </w:rPr>
        <w:t>、费用优惠措施</w:t>
      </w:r>
      <w:r>
        <w:rPr>
          <w:rFonts w:hint="eastAsia" w:ascii="仿宋_GB2312" w:hAnsi="宋体" w:cs="宋体"/>
          <w:color w:val="auto"/>
          <w:kern w:val="0"/>
          <w:szCs w:val="24"/>
          <w:highlight w:val="none"/>
          <w:u w:val="none"/>
        </w:rPr>
        <w:t>等保留调整的权利，如发生调整，调整后的要素以产品管理人发布的公告中所载明的内容为准。产品管理人将提前</w:t>
      </w: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个工作日发布公告。</w:t>
      </w:r>
    </w:p>
    <w:p w14:paraId="644A70E7">
      <w:pPr>
        <w:widowControl/>
        <w:tabs>
          <w:tab w:val="left" w:pos="709"/>
        </w:tabs>
        <w:adjustRightInd w:val="0"/>
        <w:snapToGrid w:val="0"/>
        <w:spacing w:line="360" w:lineRule="auto"/>
        <w:ind w:firstLine="422" w:firstLineChars="200"/>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w:t>
      </w:r>
      <w:r>
        <w:rPr>
          <w:rFonts w:ascii="仿宋_GB2312" w:hAnsi="宋体" w:cs="宋体"/>
          <w:b/>
          <w:bCs/>
          <w:color w:val="auto"/>
          <w:kern w:val="0"/>
          <w:szCs w:val="24"/>
          <w:highlight w:val="none"/>
        </w:rPr>
        <w:t>2）</w:t>
      </w:r>
      <w:r>
        <w:rPr>
          <w:rFonts w:ascii="仿宋_GB2312" w:hAnsi="宋体" w:cs="宋体"/>
          <w:b/>
          <w:bCs/>
          <w:color w:val="auto"/>
          <w:kern w:val="0"/>
          <w:szCs w:val="24"/>
          <w:highlight w:val="none"/>
          <w:u w:val="none"/>
        </w:rPr>
        <w:t>在发生产品管理人拒绝或暂停接受投资者认购/申购申请、</w:t>
      </w:r>
      <w:r>
        <w:rPr>
          <w:rFonts w:hint="eastAsia" w:ascii="仿宋_GB2312" w:hAnsi="宋体" w:cs="宋体"/>
          <w:b/>
          <w:bCs/>
          <w:color w:val="auto"/>
          <w:kern w:val="0"/>
          <w:szCs w:val="24"/>
          <w:highlight w:val="none"/>
          <w:u w:val="none"/>
        </w:rPr>
        <w:t>延期办理巨额赎回申请、</w:t>
      </w:r>
      <w:r>
        <w:rPr>
          <w:rFonts w:ascii="仿宋_GB2312" w:hAnsi="宋体" w:cs="宋体"/>
          <w:b/>
          <w:bCs/>
          <w:color w:val="auto"/>
          <w:kern w:val="0"/>
          <w:szCs w:val="24"/>
          <w:highlight w:val="none"/>
          <w:u w:val="none"/>
        </w:rPr>
        <w:t>暂停接受投资者赎回申请、延缓支付赎回款项、暂停理财产品估值、</w:t>
      </w:r>
      <w:r>
        <w:rPr>
          <w:rFonts w:hint="eastAsia" w:ascii="仿宋_GB2312" w:hAnsi="宋体" w:cs="宋体"/>
          <w:b/>
          <w:bCs/>
          <w:color w:val="auto"/>
          <w:kern w:val="0"/>
          <w:szCs w:val="24"/>
          <w:highlight w:val="none"/>
          <w:u w:val="none"/>
          <w:lang w:eastAsia="zh-CN"/>
        </w:rPr>
        <w:t>收取短期赎回费、</w:t>
      </w:r>
      <w:r>
        <w:rPr>
          <w:rFonts w:ascii="仿宋_GB2312" w:hAnsi="宋体" w:cs="宋体"/>
          <w:b/>
          <w:bCs/>
          <w:color w:val="auto"/>
          <w:kern w:val="0"/>
          <w:szCs w:val="24"/>
          <w:highlight w:val="none"/>
          <w:u w:val="none"/>
        </w:rPr>
        <w:t>采用摆动定价等情形时，产品管理人将于</w:t>
      </w:r>
      <w:r>
        <w:rPr>
          <w:rFonts w:hint="eastAsia" w:ascii="仿宋_GB2312" w:hAnsi="宋体" w:cs="宋体"/>
          <w:b/>
          <w:bCs/>
          <w:color w:val="auto"/>
          <w:kern w:val="0"/>
          <w:szCs w:val="24"/>
          <w:highlight w:val="none"/>
          <w:u w:val="none"/>
        </w:rPr>
        <w:t>情形发生</w:t>
      </w:r>
      <w:r>
        <w:rPr>
          <w:rFonts w:hint="eastAsia" w:ascii="仿宋_GB2312" w:hAnsi="宋体" w:cs="宋体"/>
          <w:b/>
          <w:bCs/>
          <w:color w:val="auto"/>
          <w:kern w:val="0"/>
          <w:szCs w:val="24"/>
          <w:highlight w:val="none"/>
          <w:u w:val="none"/>
          <w:lang w:val="en-US" w:eastAsia="zh-CN"/>
        </w:rPr>
        <w:t>后</w:t>
      </w:r>
      <w:r>
        <w:rPr>
          <w:rFonts w:ascii="仿宋_GB2312" w:hAnsi="宋体" w:cs="宋体"/>
          <w:b/>
          <w:bCs/>
          <w:color w:val="auto"/>
          <w:kern w:val="0"/>
          <w:szCs w:val="24"/>
          <w:highlight w:val="none"/>
          <w:u w:val="none"/>
        </w:rPr>
        <w:t>3</w:t>
      </w:r>
      <w:r>
        <w:rPr>
          <w:rFonts w:hint="eastAsia" w:ascii="仿宋_GB2312" w:hAnsi="宋体" w:cs="宋体"/>
          <w:b/>
          <w:bCs/>
          <w:color w:val="auto"/>
          <w:kern w:val="0"/>
          <w:szCs w:val="24"/>
          <w:highlight w:val="none"/>
          <w:u w:val="none"/>
        </w:rPr>
        <w:t>个</w:t>
      </w:r>
      <w:r>
        <w:rPr>
          <w:rFonts w:hint="eastAsia" w:ascii="仿宋_GB2312" w:hAnsi="宋体" w:cs="宋体"/>
          <w:b/>
          <w:bCs/>
          <w:color w:val="auto"/>
          <w:kern w:val="0"/>
          <w:szCs w:val="24"/>
          <w:highlight w:val="none"/>
          <w:u w:val="none"/>
          <w:lang w:eastAsia="zh-CN"/>
        </w:rPr>
        <w:t>交易日</w:t>
      </w:r>
      <w:r>
        <w:rPr>
          <w:rFonts w:hint="eastAsia" w:ascii="仿宋_GB2312" w:hAnsi="宋体" w:cs="宋体"/>
          <w:b/>
          <w:bCs/>
          <w:color w:val="auto"/>
          <w:kern w:val="0"/>
          <w:szCs w:val="24"/>
          <w:highlight w:val="none"/>
          <w:u w:val="none"/>
        </w:rPr>
        <w:t>内告知投资者，并说明运用相关措施的原因和拟采取的应对安排等。在发生涉及产品认购、申购或赎回事项调整或潜在影响投资者赎回等事项时，管理人将发布临时公告。</w:t>
      </w:r>
    </w:p>
    <w:p w14:paraId="5A5DD6CE">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rPr>
      </w:pPr>
      <w:r>
        <w:rPr>
          <w:rFonts w:hint="eastAsia" w:ascii="仿宋_GB2312" w:hAnsi="宋体" w:cs="宋体"/>
          <w:color w:val="auto"/>
          <w:kern w:val="0"/>
          <w:szCs w:val="24"/>
          <w:highlight w:val="none"/>
        </w:rPr>
        <w:t>（</w:t>
      </w:r>
      <w:r>
        <w:rPr>
          <w:rFonts w:ascii="仿宋_GB2312" w:hAnsi="宋体" w:cs="宋体"/>
          <w:color w:val="auto"/>
          <w:kern w:val="0"/>
          <w:szCs w:val="24"/>
          <w:highlight w:val="none"/>
        </w:rPr>
        <w:t>3）理财产品清算期超过</w:t>
      </w:r>
      <w:r>
        <w:rPr>
          <w:rFonts w:hint="eastAsia" w:ascii="仿宋_GB2312" w:hAnsi="宋体" w:cs="宋体"/>
          <w:color w:val="auto"/>
          <w:kern w:val="0"/>
          <w:szCs w:val="24"/>
          <w:highlight w:val="yellow"/>
          <w:lang w:val="en-US" w:eastAsia="zh-CN"/>
        </w:rPr>
        <w:t>【】</w:t>
      </w:r>
      <w:r>
        <w:rPr>
          <w:rFonts w:hint="eastAsia" w:ascii="仿宋_GB2312" w:hAnsi="宋体" w:cs="宋体"/>
          <w:color w:val="auto"/>
          <w:kern w:val="0"/>
          <w:szCs w:val="24"/>
          <w:highlight w:val="none"/>
        </w:rPr>
        <w:t>个工作日的，产品管理人应当在理财产品终止前</w:t>
      </w:r>
      <w:r>
        <w:rPr>
          <w:rFonts w:hint="eastAsia" w:ascii="仿宋_GB2312" w:hAnsi="宋体" w:cs="宋体"/>
          <w:color w:val="auto"/>
          <w:kern w:val="0"/>
          <w:szCs w:val="24"/>
          <w:highlight w:val="none"/>
          <w:lang w:val="en-US" w:eastAsia="zh-CN"/>
        </w:rPr>
        <w:t>1</w:t>
      </w:r>
      <w:r>
        <w:rPr>
          <w:rFonts w:hint="eastAsia" w:ascii="仿宋_GB2312" w:hAnsi="宋体" w:cs="宋体"/>
          <w:color w:val="auto"/>
          <w:kern w:val="0"/>
          <w:szCs w:val="24"/>
          <w:highlight w:val="none"/>
        </w:rPr>
        <w:t>个</w:t>
      </w:r>
      <w:r>
        <w:rPr>
          <w:rFonts w:ascii="仿宋_GB2312" w:hAnsi="宋体" w:cs="宋体"/>
          <w:color w:val="auto"/>
          <w:kern w:val="0"/>
          <w:szCs w:val="24"/>
          <w:highlight w:val="none"/>
        </w:rPr>
        <w:t>工作日</w:t>
      </w:r>
      <w:r>
        <w:rPr>
          <w:rFonts w:hint="eastAsia" w:ascii="仿宋_GB2312" w:hAnsi="宋体" w:cs="宋体"/>
          <w:color w:val="auto"/>
          <w:kern w:val="0"/>
          <w:szCs w:val="24"/>
          <w:highlight w:val="none"/>
        </w:rPr>
        <w:t>，根据与投资者约定的渠道向投资者进行信息披露。</w:t>
      </w:r>
    </w:p>
    <w:p w14:paraId="301D2FDA">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rPr>
      </w:pPr>
      <w:r>
        <w:rPr>
          <w:rFonts w:hint="eastAsia" w:ascii="仿宋_GB2312" w:hAnsi="宋体" w:cs="宋体"/>
          <w:b/>
          <w:color w:val="auto"/>
          <w:kern w:val="0"/>
          <w:szCs w:val="24"/>
          <w:highlight w:val="none"/>
        </w:rPr>
        <w:t>（4）在本产品存续期内，如因国家法律法规、监管规定发生变化，或是出于维护本产品正常运营的需要，在不损害投资者权益的前提下，产品管理人有权对理财产品销售文件进行修订，并提前</w:t>
      </w:r>
      <w:r>
        <w:rPr>
          <w:rFonts w:hint="eastAsia" w:ascii="仿宋_GB2312" w:hAnsi="宋体" w:cs="宋体"/>
          <w:b/>
          <w:color w:val="auto"/>
          <w:kern w:val="0"/>
          <w:szCs w:val="24"/>
          <w:highlight w:val="none"/>
          <w:lang w:val="en-US" w:eastAsia="zh-CN"/>
        </w:rPr>
        <w:t>1</w:t>
      </w:r>
      <w:r>
        <w:rPr>
          <w:rFonts w:hint="eastAsia" w:ascii="仿宋_GB2312" w:hAnsi="宋体" w:cs="宋体"/>
          <w:b/>
          <w:color w:val="auto"/>
          <w:kern w:val="0"/>
          <w:szCs w:val="24"/>
          <w:highlight w:val="none"/>
        </w:rPr>
        <w:t>个工作日进行公告。</w:t>
      </w:r>
    </w:p>
    <w:p w14:paraId="4A625AC7">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rPr>
      </w:pPr>
      <w:r>
        <w:rPr>
          <w:rFonts w:hint="eastAsia" w:ascii="仿宋_GB2312" w:hAnsi="宋体" w:cs="宋体"/>
          <w:color w:val="auto"/>
          <w:kern w:val="0"/>
          <w:szCs w:val="24"/>
          <w:highlight w:val="none"/>
        </w:rPr>
        <w:t>（</w:t>
      </w:r>
      <w:r>
        <w:rPr>
          <w:rFonts w:ascii="仿宋_GB2312" w:hAnsi="宋体" w:cs="宋体"/>
          <w:color w:val="auto"/>
          <w:kern w:val="0"/>
          <w:szCs w:val="24"/>
          <w:highlight w:val="none"/>
        </w:rPr>
        <w:t>5）其他临时性公告</w:t>
      </w:r>
    </w:p>
    <w:p w14:paraId="3392BE14">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rPr>
      </w:pPr>
      <w:r>
        <w:rPr>
          <w:rFonts w:hint="eastAsia" w:ascii="仿宋_GB2312" w:hAnsi="宋体" w:cs="宋体"/>
          <w:color w:val="auto"/>
          <w:kern w:val="0"/>
          <w:szCs w:val="24"/>
          <w:highlight w:val="none"/>
        </w:rPr>
        <w:t>除前述事项外，如出现产品</w:t>
      </w:r>
      <w:r>
        <w:rPr>
          <w:rFonts w:ascii="仿宋_GB2312" w:hAnsi="宋体" w:cs="宋体"/>
          <w:color w:val="auto"/>
          <w:kern w:val="0"/>
          <w:szCs w:val="24"/>
          <w:highlight w:val="none"/>
        </w:rPr>
        <w:t>二次清算</w:t>
      </w:r>
      <w:r>
        <w:rPr>
          <w:rFonts w:hint="eastAsia" w:ascii="仿宋_GB2312" w:hAnsi="宋体" w:cs="宋体"/>
          <w:color w:val="auto"/>
          <w:kern w:val="0"/>
          <w:szCs w:val="24"/>
          <w:highlight w:val="none"/>
        </w:rPr>
        <w:t>等其他突发事件，</w:t>
      </w:r>
      <w:r>
        <w:rPr>
          <w:rFonts w:hint="eastAsia" w:ascii="仿宋_GB2312" w:hAnsi="宋体" w:cs="宋体"/>
          <w:color w:val="auto"/>
          <w:kern w:val="0"/>
          <w:szCs w:val="24"/>
          <w:highlight w:val="none"/>
          <w:u w:val="none"/>
        </w:rPr>
        <w:t>应在完成再次清算之日起</w:t>
      </w:r>
      <w:r>
        <w:rPr>
          <w:rFonts w:hint="eastAsia" w:ascii="仿宋_GB2312" w:hAnsi="宋体" w:cs="宋体"/>
          <w:color w:val="auto"/>
          <w:kern w:val="0"/>
          <w:szCs w:val="24"/>
          <w:highlight w:val="none"/>
          <w:u w:val="none"/>
          <w:lang w:val="en-US" w:eastAsia="zh-CN"/>
        </w:rPr>
        <w:t>2</w:t>
      </w:r>
      <w:r>
        <w:rPr>
          <w:rFonts w:hint="eastAsia" w:ascii="仿宋_GB2312" w:hAnsi="宋体" w:cs="宋体"/>
          <w:color w:val="auto"/>
          <w:kern w:val="0"/>
          <w:szCs w:val="24"/>
          <w:highlight w:val="none"/>
          <w:u w:val="none"/>
        </w:rPr>
        <w:t>个工作日内，向投资者披露清算资金分配情况等信息。</w:t>
      </w:r>
    </w:p>
    <w:p w14:paraId="4FB17D96">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rPr>
      </w:pPr>
      <w:r>
        <w:rPr>
          <w:rFonts w:hint="eastAsia" w:ascii="仿宋_GB2312" w:hAnsi="宋体" w:cs="宋体"/>
          <w:b/>
          <w:color w:val="auto"/>
          <w:kern w:val="0"/>
          <w:szCs w:val="24"/>
          <w:highlight w:val="none"/>
        </w:rPr>
        <w:t>在本产品存续期内，当产品管理人对理财产品进行相应调整（包括调整投资范围、投资资产种类、投资比例或收费项目、收费条件、收费标准、收费方式等）时，若构成对投资者利益产生实质性不利影响或涉及当事人权利义务的重大变更的，投资者有权不接受调整，在符合法律法规及监管政策的前提下，可由产品管理人决定投资者提前赎回的方式，并通过公告进行披露。若投资者未选择赎回本产品的，则视为已理解并接受产品管理人的相应调整。</w:t>
      </w:r>
    </w:p>
    <w:p w14:paraId="28AA35C1">
      <w:pPr>
        <w:widowControl/>
        <w:tabs>
          <w:tab w:val="left" w:pos="709"/>
        </w:tabs>
        <w:adjustRightInd w:val="0"/>
        <w:snapToGrid w:val="0"/>
        <w:spacing w:line="360" w:lineRule="auto"/>
        <w:ind w:firstLine="422" w:firstLineChars="200"/>
        <w:rPr>
          <w:rFonts w:hint="eastAsia" w:ascii="仿宋_GB2312" w:hAnsi="宋体" w:cs="宋体"/>
          <w:b/>
          <w:bCs/>
          <w:color w:val="auto"/>
          <w:kern w:val="0"/>
          <w:szCs w:val="24"/>
          <w:highlight w:val="none"/>
          <w:u w:val="none"/>
          <w:lang w:eastAsia="zh-CN"/>
        </w:rPr>
      </w:pPr>
      <w:r>
        <w:rPr>
          <w:rFonts w:hint="eastAsia" w:ascii="仿宋_GB2312" w:hAnsi="宋体" w:cs="宋体"/>
          <w:b/>
          <w:bCs/>
          <w:color w:val="auto"/>
          <w:kern w:val="0"/>
          <w:szCs w:val="24"/>
          <w:highlight w:val="none"/>
          <w:u w:val="none"/>
          <w:lang w:eastAsia="zh-CN"/>
        </w:rPr>
        <w:t>产品管理人</w:t>
      </w:r>
      <w:r>
        <w:rPr>
          <w:rFonts w:hint="eastAsia" w:ascii="仿宋_GB2312" w:hAnsi="宋体" w:cs="宋体"/>
          <w:b/>
          <w:bCs/>
          <w:color w:val="auto"/>
          <w:kern w:val="0"/>
          <w:szCs w:val="24"/>
          <w:highlight w:val="none"/>
          <w:u w:val="none"/>
        </w:rPr>
        <w:t>对于理财产品存续期间发生的以下事项，应于知晓或应当知晓相关事项后</w:t>
      </w:r>
      <w:r>
        <w:rPr>
          <w:rFonts w:hint="eastAsia" w:ascii="仿宋_GB2312" w:hAnsi="宋体" w:cs="宋体"/>
          <w:b/>
          <w:bCs/>
          <w:color w:val="auto"/>
          <w:kern w:val="0"/>
          <w:szCs w:val="24"/>
          <w:highlight w:val="none"/>
          <w:u w:val="none"/>
          <w:lang w:val="en-US" w:eastAsia="zh-CN"/>
        </w:rPr>
        <w:t>5</w:t>
      </w:r>
      <w:r>
        <w:rPr>
          <w:rFonts w:hint="eastAsia" w:ascii="仿宋_GB2312" w:hAnsi="宋体" w:cs="宋体"/>
          <w:b/>
          <w:bCs/>
          <w:color w:val="auto"/>
          <w:kern w:val="0"/>
          <w:szCs w:val="24"/>
          <w:highlight w:val="none"/>
          <w:u w:val="none"/>
        </w:rPr>
        <w:t>个工作日内向投资者披露</w:t>
      </w:r>
      <w:r>
        <w:rPr>
          <w:rFonts w:hint="eastAsia" w:ascii="仿宋_GB2312" w:hAnsi="宋体" w:cs="宋体"/>
          <w:b/>
          <w:bCs/>
          <w:color w:val="auto"/>
          <w:kern w:val="0"/>
          <w:szCs w:val="24"/>
          <w:highlight w:val="none"/>
          <w:u w:val="none"/>
          <w:lang w:eastAsia="zh-CN"/>
        </w:rPr>
        <w:t>：</w:t>
      </w:r>
    </w:p>
    <w:p w14:paraId="6A09903C">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更换理财产品管理人或</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变更实际控制人，更换托管机构，</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或托管</w:t>
      </w:r>
      <w:r>
        <w:rPr>
          <w:rFonts w:hint="eastAsia" w:ascii="仿宋_GB2312" w:hAnsi="宋体" w:cs="宋体"/>
          <w:color w:val="auto"/>
          <w:kern w:val="0"/>
          <w:szCs w:val="24"/>
          <w:highlight w:val="none"/>
          <w:u w:val="none"/>
          <w:lang w:eastAsia="zh-CN"/>
        </w:rPr>
        <w:t>机构</w:t>
      </w:r>
      <w:r>
        <w:rPr>
          <w:rFonts w:hint="eastAsia" w:ascii="仿宋_GB2312" w:hAnsi="宋体" w:cs="宋体"/>
          <w:color w:val="auto"/>
          <w:kern w:val="0"/>
          <w:szCs w:val="24"/>
          <w:highlight w:val="none"/>
          <w:u w:val="none"/>
        </w:rPr>
        <w:t>的法定名称、住所发生变更。</w:t>
      </w:r>
    </w:p>
    <w:p w14:paraId="5BC142A2">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2）</w:t>
      </w:r>
      <w:r>
        <w:rPr>
          <w:rFonts w:hint="eastAsia" w:ascii="仿宋_GB2312" w:hAnsi="宋体" w:cs="宋体"/>
          <w:color w:val="auto"/>
          <w:kern w:val="0"/>
          <w:szCs w:val="24"/>
          <w:highlight w:val="none"/>
          <w:u w:val="none"/>
        </w:rPr>
        <w:t>涉及产品穿透后持仓百分之十及以上的单笔资产的诉讼或仲裁，并可能对产品或其投资者权益有重大影响的。</w:t>
      </w:r>
    </w:p>
    <w:p w14:paraId="3D82152D">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3</w:t>
      </w:r>
      <w:r>
        <w:rPr>
          <w:rFonts w:hint="eastAsia" w:ascii="仿宋_GB2312" w:hAnsi="宋体" w:cs="宋体"/>
          <w:color w:val="auto"/>
          <w:kern w:val="0"/>
          <w:szCs w:val="24"/>
          <w:highlight w:val="none"/>
          <w:u w:val="none"/>
        </w:rPr>
        <w:t>）产品穿透后持仓百分之十及以上的非标准化债权类资产的融资主体、担保主体发生重大行政处罚、重大诉讼或仲裁，或破产、兼并、重组等重大事项，并对其还款能力或担保能力造成重大不利影响；或上述融资主体对其公开市场债务出现不能按时足额还本付息情况的。</w:t>
      </w:r>
    </w:p>
    <w:p w14:paraId="1DE5B116">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理财产品投资的非标准化资产本身为不良资产及其收益权的，可以不进行临时披露，但应当在季度、半年度、年度报告中披露相关情况。</w:t>
      </w:r>
    </w:p>
    <w:p w14:paraId="620518BB">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4）</w:t>
      </w:r>
      <w:r>
        <w:rPr>
          <w:rFonts w:hint="eastAsia" w:ascii="仿宋_GB2312" w:hAnsi="宋体" w:cs="宋体"/>
          <w:color w:val="auto"/>
          <w:kern w:val="0"/>
          <w:szCs w:val="24"/>
          <w:highlight w:val="none"/>
          <w:u w:val="none"/>
        </w:rPr>
        <w:t>涉及产品穿透后持仓百分之十及以上的单笔资产的债券违约、股票停牌或退市的。</w:t>
      </w:r>
    </w:p>
    <w:p w14:paraId="34CC43EE">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5）</w:t>
      </w:r>
      <w:r>
        <w:rPr>
          <w:rFonts w:hint="eastAsia" w:ascii="仿宋_GB2312" w:hAnsi="宋体" w:cs="宋体"/>
          <w:color w:val="auto"/>
          <w:kern w:val="0"/>
          <w:szCs w:val="24"/>
          <w:highlight w:val="none"/>
          <w:u w:val="none"/>
        </w:rPr>
        <w:t>理财产品份额净值计价错误达份额净值百分之零点五。</w:t>
      </w:r>
    </w:p>
    <w:p w14:paraId="5EC45402">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6）</w:t>
      </w:r>
      <w:r>
        <w:rPr>
          <w:rFonts w:hint="eastAsia" w:ascii="仿宋_GB2312" w:hAnsi="宋体" w:cs="宋体"/>
          <w:color w:val="auto"/>
          <w:kern w:val="0"/>
          <w:szCs w:val="24"/>
          <w:highlight w:val="none"/>
          <w:u w:val="none"/>
        </w:rPr>
        <w:t>金融市场发生重大变化导致理财产品投资比例暂时超出浮动区间且可能对理财产品收益产生重大影响的。</w:t>
      </w:r>
    </w:p>
    <w:p w14:paraId="1D306F36">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7）</w:t>
      </w:r>
      <w:r>
        <w:rPr>
          <w:rFonts w:hint="eastAsia" w:ascii="仿宋_GB2312" w:hAnsi="宋体" w:cs="宋体"/>
          <w:color w:val="auto"/>
          <w:kern w:val="0"/>
          <w:szCs w:val="24"/>
          <w:highlight w:val="none"/>
          <w:u w:val="none"/>
        </w:rPr>
        <w:t>法律法规以及监管规定的其他内容，或者</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认为可能对投资者权益产生重大不利影响的其他事项。</w:t>
      </w:r>
    </w:p>
    <w:p w14:paraId="56D960E2">
      <w:pPr>
        <w:widowControl/>
        <w:jc w:val="left"/>
        <w:rPr>
          <w:rFonts w:eastAsia="黑体"/>
          <w:color w:val="auto"/>
          <w:kern w:val="44"/>
          <w:sz w:val="28"/>
          <w:highlight w:val="none"/>
        </w:rPr>
      </w:pPr>
      <w:r>
        <w:rPr>
          <w:color w:val="auto"/>
          <w:highlight w:val="none"/>
        </w:rPr>
        <w:br w:type="page"/>
      </w:r>
    </w:p>
    <w:p w14:paraId="3D7B5846">
      <w:pPr>
        <w:pStyle w:val="2"/>
        <w:numPr>
          <w:ilvl w:val="0"/>
          <w:numId w:val="13"/>
        </w:numPr>
        <w:rPr>
          <w:color w:val="auto"/>
          <w:highlight w:val="none"/>
          <w:u w:val="none"/>
        </w:rPr>
      </w:pPr>
      <w:r>
        <w:rPr>
          <w:rFonts w:hint="eastAsia"/>
          <w:color w:val="auto"/>
          <w:highlight w:val="none"/>
          <w:u w:val="none"/>
          <w:lang w:eastAsia="zh-CN"/>
        </w:rPr>
        <w:t>风险揭示</w:t>
      </w:r>
    </w:p>
    <w:p w14:paraId="7C7D6F4E">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lang w:eastAsia="zh-CN"/>
        </w:rPr>
        <w:t>【</w:t>
      </w:r>
      <w:r>
        <w:rPr>
          <w:rFonts w:hint="default" w:ascii="仿宋_GB2312" w:hAnsi="宋体" w:cs="宋体"/>
          <w:b w:val="0"/>
          <w:color w:val="auto"/>
          <w:kern w:val="0"/>
          <w:szCs w:val="24"/>
          <w:highlight w:val="yellow"/>
          <w:u w:val="none"/>
        </w:rPr>
        <w:t>本产品不保证本金和收益，投资者的本金有可能蒙受损失，极端情况下，可能全部或部分受损。投资者应充分认识投资风险，谨慎投资。</w:t>
      </w:r>
      <w:r>
        <w:rPr>
          <w:rFonts w:hint="eastAsia" w:ascii="仿宋_GB2312" w:hAnsi="宋体" w:cs="宋体"/>
          <w:b w:val="0"/>
          <w:color w:val="auto"/>
          <w:kern w:val="0"/>
          <w:szCs w:val="24"/>
          <w:highlight w:val="yellow"/>
          <w:u w:val="none"/>
          <w:lang w:eastAsia="zh-CN"/>
        </w:rPr>
        <w:t>风险列示</w:t>
      </w:r>
      <w:r>
        <w:rPr>
          <w:rFonts w:hint="default" w:ascii="仿宋_GB2312" w:hAnsi="宋体" w:cs="宋体"/>
          <w:b w:val="0"/>
          <w:color w:val="auto"/>
          <w:kern w:val="0"/>
          <w:szCs w:val="24"/>
          <w:highlight w:val="yellow"/>
          <w:u w:val="none"/>
        </w:rPr>
        <w:t>如下：</w:t>
      </w:r>
    </w:p>
    <w:p w14:paraId="5C4F53F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（一）政策风险</w:t>
      </w:r>
    </w:p>
    <w:p w14:paraId="7A7F0973">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是根据当前相关法律法规、监管规定和国家政策设计的。如国家宏观政策以及市场相关法律法规、监管规定发生变化，可能影响本理财产品的发行、交易、投资、兑付等工作流程的正常进行，从而影响本理财产品的投资运作，则投资者可能面临本金和收益遭受部分甚至全部损失的风险。</w:t>
      </w:r>
    </w:p>
    <w:p w14:paraId="039F7ACB">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（二）信用风险</w:t>
      </w:r>
    </w:p>
    <w:p w14:paraId="7D5423A8">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本理财产品所投资的资产或资产组合项下义务人可能出现信用违约情形，无法如期偿付融资本金与利息，则投资者可能面临本金和收益遭受部分甚至全部损失的风险。</w:t>
      </w:r>
    </w:p>
    <w:p w14:paraId="35E83559">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（三）市场风险</w:t>
      </w:r>
    </w:p>
    <w:p w14:paraId="1FFB9535">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存续期内，由于市场利率、汇率变化，债券、股票等投资品市场价格波动，以及市场已出现或未来可能出现的其他重要因素影响，将导致本理财产品所投资的资产或资产组合出现估值波动，从而影响本理财产品的净值，投资者可能面临投资本金和收益遭受部分甚至全部损失的风险。</w:t>
      </w:r>
    </w:p>
    <w:p w14:paraId="1531C406">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（四）流动性风险</w:t>
      </w:r>
    </w:p>
    <w:p w14:paraId="559EDAD0">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当市场出现极端情况或开放式产品投资者集中、大额赎回等情形下，理财产品可能因持有现金头寸不足或所投资的资产无法及时变现，导致无法按约定向投资者及时兑付理财资金，投资者可能面临理财资金无法及时到账及/或持有的本理财产品整体损益出现不利情形的风险。</w:t>
      </w:r>
    </w:p>
    <w:p w14:paraId="54D138A6">
      <w:pPr>
        <w:widowControl/>
        <w:tabs>
          <w:tab w:val="left" w:pos="709"/>
        </w:tabs>
        <w:adjustRightInd w:val="0"/>
        <w:snapToGrid w:val="0"/>
        <w:spacing w:line="360" w:lineRule="auto"/>
        <w:ind w:firstLine="422" w:firstLineChars="200"/>
        <w:rPr>
          <w:rFonts w:hint="default" w:ascii="仿宋_GB2312" w:hAnsi="宋体" w:cs="宋体"/>
          <w:b w:val="0"/>
          <w:color w:val="auto"/>
          <w:kern w:val="0"/>
          <w:szCs w:val="24"/>
          <w:highlight w:val="yellow"/>
          <w:u w:val="none"/>
        </w:rPr>
      </w:pPr>
      <w:r>
        <w:rPr>
          <w:rFonts w:hint="default" w:ascii="仿宋_GB2312" w:hAnsi="宋体" w:cs="宋体"/>
          <w:b/>
          <w:bCs/>
          <w:color w:val="auto"/>
          <w:kern w:val="0"/>
          <w:szCs w:val="24"/>
          <w:highlight w:val="yellow"/>
          <w:u w:val="none"/>
        </w:rPr>
        <w:t>投资者在本理财产品说明书约定的封闭期、最短持有期及/或其他不可赎回时段内不享有提前赎回权。</w:t>
      </w:r>
      <w:r>
        <w:rPr>
          <w:rFonts w:hint="default" w:ascii="仿宋_GB2312" w:hAnsi="宋体" w:cs="宋体"/>
          <w:b w:val="0"/>
          <w:color w:val="auto"/>
          <w:kern w:val="0"/>
          <w:szCs w:val="24"/>
          <w:highlight w:val="yellow"/>
          <w:u w:val="none"/>
        </w:rPr>
        <w:t>如果投资者面临用款需求与其他投资机会，可能因所持有的理财产品不能随时赎回或变现，存在用款需求无法满足或错过其他投资机会的风险。</w:t>
      </w:r>
    </w:p>
    <w:p w14:paraId="6974EFCF">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拟投资市场、资产的流动性风险评估：</w:t>
      </w:r>
    </w:p>
    <w:p w14:paraId="2358DF7C">
      <w:pPr>
        <w:tabs>
          <w:tab w:val="left" w:pos="3119"/>
        </w:tabs>
        <w:autoSpaceDE w:val="0"/>
        <w:autoSpaceDN w:val="0"/>
        <w:spacing w:line="360" w:lineRule="auto"/>
        <w:ind w:right="31" w:rightChars="15"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本理财产品投资范围包括</w:t>
      </w:r>
      <w:r>
        <w:rPr>
          <w:rFonts w:hint="eastAsia" w:ascii="仿宋_GB2312" w:hAnsi="宋体" w:cs="宋体"/>
          <w:bCs/>
          <w:color w:val="auto"/>
          <w:kern w:val="0"/>
          <w:szCs w:val="24"/>
          <w:highlight w:val="yellow"/>
          <w:u w:val="none"/>
        </w:rPr>
        <w:t>于</w:t>
      </w: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rPr>
        <w:t>银行存款、大额存单、同业存单、债券回购等货币市场工具，国债、中央银行票据、地方政府债、政府支持机构债券、金融债券、非金融企业债务融资工具、公司债券、企业债券、可交换债券、可转换债券等债券类资产，</w:t>
      </w:r>
      <w:r>
        <w:rPr>
          <w:rFonts w:ascii="仿宋_GB2312" w:hAnsi="宋体" w:cs="宋体"/>
          <w:bCs/>
          <w:color w:val="auto"/>
          <w:kern w:val="0"/>
          <w:szCs w:val="24"/>
          <w:highlight w:val="yellow"/>
        </w:rPr>
        <w:t>资产支持证券</w:t>
      </w:r>
      <w:r>
        <w:rPr>
          <w:rFonts w:hint="eastAsia" w:ascii="仿宋_GB2312" w:hAnsi="宋体" w:cs="宋体"/>
          <w:bCs/>
          <w:color w:val="auto"/>
          <w:kern w:val="0"/>
          <w:szCs w:val="24"/>
          <w:highlight w:val="yellow"/>
        </w:rPr>
        <w:t>，债券型</w:t>
      </w:r>
      <w:r>
        <w:rPr>
          <w:rFonts w:ascii="仿宋_GB2312" w:hAnsi="宋体" w:cs="宋体"/>
          <w:bCs/>
          <w:color w:val="auto"/>
          <w:kern w:val="0"/>
          <w:szCs w:val="24"/>
          <w:highlight w:val="yellow"/>
        </w:rPr>
        <w:t>证券投资基金</w:t>
      </w:r>
      <w:r>
        <w:rPr>
          <w:rFonts w:hint="eastAsia" w:ascii="仿宋_GB2312" w:hAnsi="宋体" w:cs="宋体"/>
          <w:bCs/>
          <w:color w:val="auto"/>
          <w:kern w:val="0"/>
          <w:szCs w:val="24"/>
          <w:highlight w:val="yellow"/>
        </w:rPr>
        <w:t>等固收类资产；优先股等权益类资产；以套期保值为目的的国债期货、利率互换等金融衍生工具；主要投向上述资产类别且符合监管机构要求的各类资产管理产品以及</w:t>
      </w:r>
      <w:r>
        <w:rPr>
          <w:rFonts w:ascii="仿宋_GB2312" w:hAnsi="宋体" w:cs="宋体"/>
          <w:bCs/>
          <w:color w:val="auto"/>
          <w:kern w:val="0"/>
          <w:szCs w:val="24"/>
          <w:highlight w:val="yellow"/>
        </w:rPr>
        <w:t>国务院银行业监督管理机构认可的其他资产</w:t>
      </w:r>
      <w:r>
        <w:rPr>
          <w:rFonts w:hint="eastAsia" w:ascii="仿宋_GB2312" w:hAnsi="宋体" w:cs="宋体"/>
          <w:bCs/>
          <w:color w:val="auto"/>
          <w:kern w:val="0"/>
          <w:szCs w:val="24"/>
          <w:highlight w:val="yellow"/>
        </w:rPr>
        <w:t>。</w:t>
      </w:r>
      <w:r>
        <w:rPr>
          <w:rFonts w:hint="eastAsia" w:ascii="仿宋_GB2312" w:hAnsi="宋体" w:cs="宋体"/>
          <w:bCs/>
          <w:color w:val="auto"/>
          <w:kern w:val="0"/>
          <w:szCs w:val="24"/>
          <w:highlight w:val="yellow"/>
          <w:lang w:eastAsia="zh-CN"/>
        </w:rPr>
        <w:t>】</w:t>
      </w:r>
      <w:r>
        <w:rPr>
          <w:rFonts w:hint="default" w:ascii="仿宋_GB2312" w:hAnsi="宋体" w:cs="宋体"/>
          <w:b w:val="0"/>
          <w:color w:val="auto"/>
          <w:kern w:val="0"/>
          <w:szCs w:val="24"/>
          <w:highlight w:val="yellow"/>
          <w:u w:val="none"/>
        </w:rPr>
        <w:t>标的资产主要为标准化债券金融工具，一般情况下具有较好的流动性，同时，本理财产品严格控制开放期内投资于流动性受限资产的投资品种比例。本理财产品管理人会进行标的的分散化投资并结合对各类标的资产的预期流动性状况进行合理配置，以防范流动性风险。</w:t>
      </w:r>
    </w:p>
    <w:p w14:paraId="281F6F4F">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流动性应对措施及对投资者的潜在影响：</w:t>
      </w:r>
    </w:p>
    <w:p w14:paraId="28BBDA75">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本理财产品管理人将合理安排组合流动性，统筹考虑产品期限、各类标的资产的预期流动性，合理进行资产配置，最大程度防范流动性风险。</w:t>
      </w:r>
    </w:p>
    <w:p w14:paraId="60CA4796">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产品管理人可依照法律法规及理财产品销售文件的约定，综合运用各类流动性应对措施，作为特定情形下流动性风险管理的辅助手段，包括但不限于：</w:t>
      </w:r>
    </w:p>
    <w:p w14:paraId="38960F2D">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（1）认购/申购风险应对措施，包括:设定单一投资者认购/申购金额上限、设定本理财产品单日净认购/申购比例上限、拒绝大额认购/申购、暂停认购/申购，以及国家金融监督管理总局规定的其他措施。</w:t>
      </w:r>
    </w:p>
    <w:p w14:paraId="4F21BC4F">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（2）赎回风险应对措施，包括：设置赎回上限、延期办理巨额赎回申请、暂停接受赎回申请、延缓支付赎回款项、收取短期赎回费、暂停理财产品估值、摆动定价，以及国家金融监督管理总局规定的其他措施。</w:t>
      </w:r>
    </w:p>
    <w:p w14:paraId="66D0021F">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1)延期办理巨额赎回申请</w:t>
      </w:r>
    </w:p>
    <w:p w14:paraId="7668624C">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若理财产品管理人采用延期办理巨额赎回申请的流动性风险应对措施，投资者的赎回申请将无法按时全额获得确认，投资者自身的流动性可能受到影响，并将额外承担市场波动对本理财产品净值的影响。</w:t>
      </w:r>
    </w:p>
    <w:p w14:paraId="64EC6426">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2）暂停接受赎回申请或延缓支付赎回款项</w:t>
      </w:r>
    </w:p>
    <w:p w14:paraId="6D813D60">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若理财产品管理人采用暂停接受赎回申请或延缓支付赎回款项的流动性风险应对措施，投资者面临在暂停赎回期间将无法赎回其持有的产品份额的风险，接收赎回款项的时间将可能比一般正常情形下有所延迟。</w:t>
      </w:r>
    </w:p>
    <w:p w14:paraId="2A291890">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3</w:t>
      </w:r>
      <w:r>
        <w:rPr>
          <w:rFonts w:hint="eastAsia" w:ascii="仿宋_GB2312" w:hAnsi="宋体" w:cs="宋体"/>
          <w:b/>
          <w:bCs/>
          <w:color w:val="auto"/>
          <w:kern w:val="0"/>
          <w:szCs w:val="24"/>
          <w:highlight w:val="yellow"/>
          <w:u w:val="none"/>
          <w:lang w:eastAsia="zh-CN"/>
        </w:rPr>
        <w:t>）</w:t>
      </w:r>
      <w:r>
        <w:rPr>
          <w:rFonts w:hint="default" w:ascii="仿宋_GB2312" w:hAnsi="宋体" w:cs="宋体"/>
          <w:b/>
          <w:bCs/>
          <w:color w:val="auto"/>
          <w:kern w:val="0"/>
          <w:szCs w:val="24"/>
          <w:highlight w:val="yellow"/>
          <w:u w:val="none"/>
        </w:rPr>
        <w:t>暂停理财产品估值</w:t>
      </w:r>
    </w:p>
    <w:p w14:paraId="6E6DCD4D">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若理财产品管理人采用暂停理财产品估值的流动性风险应对措施，投资人没有可供参考的产品份额净值，同时赎回申请可能被暂停接受，或被延缓支付赎回款项。</w:t>
      </w:r>
    </w:p>
    <w:p w14:paraId="13110022">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4</w:t>
      </w:r>
      <w:r>
        <w:rPr>
          <w:rFonts w:hint="eastAsia" w:ascii="仿宋_GB2312" w:hAnsi="宋体" w:cs="宋体"/>
          <w:b/>
          <w:bCs/>
          <w:color w:val="auto"/>
          <w:kern w:val="0"/>
          <w:szCs w:val="24"/>
          <w:highlight w:val="yellow"/>
          <w:u w:val="none"/>
          <w:lang w:eastAsia="zh-CN"/>
        </w:rPr>
        <w:t>）</w:t>
      </w:r>
      <w:r>
        <w:rPr>
          <w:rFonts w:hint="default" w:ascii="仿宋_GB2312" w:hAnsi="宋体" w:cs="宋体"/>
          <w:b/>
          <w:bCs/>
          <w:color w:val="auto"/>
          <w:kern w:val="0"/>
          <w:szCs w:val="24"/>
          <w:highlight w:val="yellow"/>
          <w:u w:val="none"/>
        </w:rPr>
        <w:t>摆动定价</w:t>
      </w:r>
    </w:p>
    <w:p w14:paraId="6997C71B">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若理财产品管理人采用摆动定价机制的流动性风险应对措施，则通过调整理财产品份额净值的方式，将理财产品调整投资组合的市场冲击成本分配给实际申购、赎回的投资者，以期减少对存量投资者利益的不利影响。</w:t>
      </w:r>
    </w:p>
    <w:p w14:paraId="60DF6834">
      <w:pPr>
        <w:widowControl/>
        <w:numPr>
          <w:ilvl w:val="0"/>
          <w:numId w:val="9"/>
        </w:numPr>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lang w:val="en-US" w:eastAsia="zh-CN"/>
        </w:rPr>
      </w:pPr>
      <w:r>
        <w:rPr>
          <w:rFonts w:hint="default" w:ascii="仿宋_GB2312" w:hAnsi="宋体" w:cs="宋体"/>
          <w:b/>
          <w:bCs/>
          <w:color w:val="auto"/>
          <w:kern w:val="0"/>
          <w:szCs w:val="24"/>
          <w:highlight w:val="yellow"/>
          <w:u w:val="none"/>
          <w:lang w:val="en-US" w:eastAsia="zh-CN"/>
        </w:rPr>
        <w:t>收取短期赎回费</w:t>
      </w:r>
    </w:p>
    <w:p w14:paraId="01EDC3B9">
      <w:pPr>
        <w:widowControl/>
        <w:numPr>
          <w:ilvl w:val="0"/>
          <w:numId w:val="0"/>
        </w:numPr>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lang w:val="en-US" w:eastAsia="zh-CN"/>
        </w:rPr>
        <w:t>对持续持有期少于</w:t>
      </w:r>
      <w:r>
        <w:rPr>
          <w:rFonts w:hint="eastAsia" w:ascii="仿宋_GB2312" w:hAnsi="宋体" w:cs="宋体"/>
          <w:b/>
          <w:bCs/>
          <w:color w:val="auto"/>
          <w:kern w:val="0"/>
          <w:szCs w:val="24"/>
          <w:highlight w:val="yellow"/>
          <w:u w:val="none"/>
          <w:lang w:val="en-US" w:eastAsia="zh-CN"/>
        </w:rPr>
        <w:t>【】</w:t>
      </w:r>
      <w:r>
        <w:rPr>
          <w:rFonts w:hint="default" w:ascii="仿宋_GB2312" w:hAnsi="宋体" w:cs="宋体"/>
          <w:b/>
          <w:bCs/>
          <w:color w:val="auto"/>
          <w:kern w:val="0"/>
          <w:szCs w:val="24"/>
          <w:highlight w:val="yellow"/>
          <w:u w:val="none"/>
          <w:lang w:val="en-US" w:eastAsia="zh-CN"/>
        </w:rPr>
        <w:t>的投资者收取一定比例的赎回费，并全额计入理财财产。在此情形下，投资者在提交赎回申请时，实际赎回金额可能少于按照赎回申请当日理财产品份额净值计算出的赎回金额。若实施收取短期赎回费措施，管理人应于 3 个交易日内告知本理财产品的相关投资者。</w:t>
      </w:r>
    </w:p>
    <w:p w14:paraId="06DE5951">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具体应对措施使用情形及程序详见</w:t>
      </w:r>
      <w:r>
        <w:rPr>
          <w:rFonts w:hint="eastAsia" w:ascii="仿宋_GB2312" w:hAnsi="宋体" w:cs="宋体"/>
          <w:b/>
          <w:bCs/>
          <w:color w:val="auto"/>
          <w:kern w:val="0"/>
          <w:szCs w:val="24"/>
          <w:highlight w:val="yellow"/>
          <w:u w:val="none"/>
          <w:lang w:eastAsia="zh-CN"/>
        </w:rPr>
        <w:t>“</w:t>
      </w:r>
      <w:r>
        <w:rPr>
          <w:rFonts w:hint="default" w:ascii="仿宋_GB2312" w:hAnsi="宋体" w:cs="宋体"/>
          <w:b/>
          <w:bCs/>
          <w:color w:val="auto"/>
          <w:kern w:val="0"/>
          <w:szCs w:val="24"/>
          <w:highlight w:val="yellow"/>
          <w:u w:val="none"/>
        </w:rPr>
        <w:t>第一节 理财产品说明书关键要素</w:t>
      </w:r>
      <w:r>
        <w:rPr>
          <w:rFonts w:hint="eastAsia" w:ascii="仿宋_GB2312" w:hAnsi="宋体" w:cs="宋体"/>
          <w:b/>
          <w:bCs/>
          <w:color w:val="auto"/>
          <w:kern w:val="0"/>
          <w:szCs w:val="24"/>
          <w:highlight w:val="yellow"/>
          <w:u w:val="none"/>
          <w:lang w:eastAsia="zh-CN"/>
        </w:rPr>
        <w:t>”“第四节 理财产品的认购与成立”“第五节 理财产品的申购与赎回”</w:t>
      </w:r>
      <w:r>
        <w:rPr>
          <w:rFonts w:hint="default" w:ascii="仿宋_GB2312" w:hAnsi="宋体" w:cs="宋体"/>
          <w:b/>
          <w:bCs/>
          <w:color w:val="auto"/>
          <w:kern w:val="0"/>
          <w:szCs w:val="24"/>
          <w:highlight w:val="yellow"/>
          <w:u w:val="none"/>
        </w:rPr>
        <w:t>。敬请投资者留意管理人运用上述流动性风险应对措施的相关风险。</w:t>
      </w:r>
    </w:p>
    <w:p w14:paraId="7714010E">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（五）经营管理风险</w:t>
      </w:r>
    </w:p>
    <w:p w14:paraId="0E0033E2">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在本理财产品运作过程中，投资管理各方受经验、技能、判断力、执行力等综合因素的限制，可能对本理财产品的运作与管理形成一定影响，投资者可能面临本金和收益遭受部分甚至全部损失的风险。</w:t>
      </w:r>
    </w:p>
    <w:p w14:paraId="26856211">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（六）交易对手风险</w:t>
      </w:r>
    </w:p>
    <w:p w14:paraId="2530D3D2">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由于交易对手受偿付能力、流动性管理能力以及及时履约意愿等因素影响，导致交易对手不履约，可能影响本理财产品的投资管理，则投资者可能面临本金和收益遭受部分甚至全部损失的风险。</w:t>
      </w:r>
    </w:p>
    <w:p w14:paraId="3B45C01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（七）操作风险</w:t>
      </w:r>
    </w:p>
    <w:p w14:paraId="4294A23F">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产品运作过程中，由于理财产品管理人及理财合作机构因技术系统故障、内部控制存在缺陷或人为因素，导致操作失误或违反操作规程等引起的风险，如内部作业、人员管理、系统操作及事务处理不当或失误等，则投资者可能面临本金和收益遭受部分甚至全部损失的风险。</w:t>
      </w:r>
    </w:p>
    <w:p w14:paraId="575B0EB8">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（八）代销风险（如有）</w:t>
      </w:r>
    </w:p>
    <w:p w14:paraId="0C018F55">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如本理财产品通过代理销售渠道销售，投资者购买理财产品的资金将由销售机构从投资者清算账户扣收并划付产品管理人，产品到期/终止/赎回时理财本金及收益相应款项由产品管理人按理财产品销售文件约定划付至销售机构清算账户，并由销售机构向投资者支付投资者应得理财本金及收益。如因销售机构清算账户余额不足，或销售机构未及时足额划付资金，或销售机构清算账户内资金被依法冻结或扣划、账户处于被挂失、冻结、注销或其他非正常状态等原因而导致交易失败，由销售机构与投资者依法协商解决，产品管理人对此不承担责任，但前述约定不免除因产品管理人过错依法应由产品管理人承担的责任。</w:t>
      </w:r>
    </w:p>
    <w:p w14:paraId="30B6D205">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（九）募集期延长/缩短风险</w:t>
      </w:r>
    </w:p>
    <w:p w14:paraId="23B7784D">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在本理财产品募集期内，国家宏观政策以及市场相关法律法规政策发生变化、产品募集状况未达到/已达到产品说明书约定的成立条件，或其他经理财产品管理人合理判断需延长/缩短募集期的情形，产品管理人有权宣布本理财产品募集期延长/缩短，本理财产品可能延后/提前成立。</w:t>
      </w:r>
    </w:p>
    <w:p w14:paraId="4FE8EBBE">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（十）产品不成立风险</w:t>
      </w:r>
    </w:p>
    <w:p w14:paraId="47F10CC4">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如果本理财产品因募集规模低于《产品说明书》约定的本理财产品最低成立规模，或出现政策、法规、市场或其他因素导致本理财产品不能成立的情形，理财产品管理人有权宣布本理财产品不成立，投资者将面临再投资的风险。</w:t>
      </w:r>
    </w:p>
    <w:p w14:paraId="0662192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（十一）提前终止风险</w:t>
      </w:r>
    </w:p>
    <w:p w14:paraId="3228EFAC">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存续期间，由于国家宏观政策变化、市场相关法律法规及政策变化、本理财产品所投资资产提前结清、意外事件、不可抗力（包括但不限于政府行为、自然灾害、疫情等）以及其他可能导致理财产品管理人无法继续履行本理财产品投资管理义务或经理财产品管理人合理评估且审慎判断不适宜本理财产品继续存续运作的情形，为保护投资者权益，理财产品管理人有权按照理财产品销售文件的约定部分/全部提前终止本理财产品，投资者可能面临本理财产品部分/全部提前终止后再投资的风险。</w:t>
      </w:r>
    </w:p>
    <w:p w14:paraId="5A813BD8">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（十二）延期分配风险</w:t>
      </w:r>
    </w:p>
    <w:p w14:paraId="61E288CC">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因缺乏交易对手、市场成交量不足、资产限制赎回、暂停交易、所投资产发生风险或不能及时变现、发生不可抗力（包括但不限于政府行为、自然灾害、疫情等）及其他理财产品管理人认为需要延期分配的情形，可能导致理财产品管理人无法在理财产品销售文件约定的清算期内完成理财资金的清算与分配，投资者可能面临理财产品资金延期分配、分配方案调整等风险，投资者由此可能面临投资本金和收益遭受部分甚至全部损失的风险。</w:t>
      </w:r>
    </w:p>
    <w:p w14:paraId="41ABD065">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（十三）信息传递风险</w:t>
      </w:r>
    </w:p>
    <w:p w14:paraId="05F4EEA3">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理财产品管理人将按照理财产品销售文件中约定的信息披露方式、披露途径向投资者披露涉及本理财产品的各类信息和重大事件，投资者应及时查询了解。如投资者未及时查询相关信息或由于不可抗力（包括但不限于政府行为、自然灾害、疫情等）或意外事件的影响使得投资者无法及时了解本理财产品信息，进而影响投资者的投资决策行为，因此而产生的责任和风险由投资者承担。如投资者未及时告知理财产品管理人联系方式变更或理财产品管理人在其认为需要时无法及时联系到投资者，使得投资者无法及时获知本理财产品信息，进而影响投资者的投资决策行为，因此而产生的责任和风险由投资者承担。</w:t>
      </w:r>
    </w:p>
    <w:p w14:paraId="70BBC6E0">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（十四）关联关系及关联交易风险</w:t>
      </w:r>
    </w:p>
    <w:p w14:paraId="377DBD9B">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浙银理财作为本理财产品的发行人、管理人，独立履行产品管理职责；浙银理财委托托管机构托管理财产品或委托销售机构销售理财产品的，可能涉及委托浙商银行股份有限公司（以下简称“浙商银行”）担任理财产品的托管机构或销售机构，负责理财产品的托管或代理销售工作。浙银理财是浙商银行控股的子公司，双方存在关联关系。</w:t>
      </w:r>
    </w:p>
    <w:p w14:paraId="1F2E6307">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可能投资于管理人、个别销售机构或托管人的主要股东、实际控制人、一致行动人、最终受益人，托管人，同一股东或托管人控股的机构，或者与管理人或托管人有重大利害关系的机构发行或承销的证券，或者从事其他关联交易，本理财产品也可能由管理人的关联方进行托管或代理销售。上述各方在业务执行及实施上具有隔离机制，并符合相关法律法规要求，且上述各方将依照恪尽职守、诚实信用、谨慎勤勉的原则按照市场公允定价进行公平交易，但仍可能存在利益冲突。提请投资者充分知悉、关注本理财产品关联关系和关联交易风险，投资者签署本理财产品销售文件即代表投资者认可且同意上述可能发生的关联交易并自愿承担相关风险。</w:t>
      </w:r>
    </w:p>
    <w:p w14:paraId="29632CD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（十五）再投资风险</w:t>
      </w:r>
    </w:p>
    <w:p w14:paraId="2BB8FFB6">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由于浙银理财有权根据市场状况和产品余额情况提前终止本理财产品，因市场利率下滑，投资者可能面临本金和收益再投资收益率降低的风险。</w:t>
      </w:r>
    </w:p>
    <w:p w14:paraId="76D85E6A">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（十六）估值风险</w:t>
      </w:r>
    </w:p>
    <w:p w14:paraId="457C4C01">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按《产品说明书》的估值方法进行估值，理财产品估值与实际变现价值可能发生偏离，投资者应知晓该风险。本理财产品管理人估值仅作为参考，本理财产品管理人不承担第三方再次使用该估值引发的其他风险。本理财产品所投资的资产管理产品以其估值日截止时点能够取得的最新份额净值进行估值。因此，在前述情况下可能会出现本理财产品净值不能完全反映所投资资产管理计划或基金等资产管理产品估值日当日净值的情形。</w:t>
      </w:r>
    </w:p>
    <w:p w14:paraId="6EC0672D">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可能投资符合监管要求的资产管理产品（包括但不限于信托计划、公募基金、基金公司或子公司资产管理计划、证券公司资产管理计划、期货资产管理计划、保险资产管理计划等，具体以《产品说明书》或理财产品定期报告披露为准），前述资产管理产品的管理人可能收取</w:t>
      </w:r>
      <w:r>
        <w:rPr>
          <w:rFonts w:hint="eastAsia" w:ascii="仿宋_GB2312" w:hAnsi="宋体" w:cs="宋体"/>
          <w:b w:val="0"/>
          <w:color w:val="auto"/>
          <w:kern w:val="0"/>
          <w:szCs w:val="24"/>
          <w:highlight w:val="yellow"/>
          <w:u w:val="none"/>
          <w:lang w:eastAsia="zh-CN"/>
        </w:rPr>
        <w:t>浮动管理费</w:t>
      </w:r>
      <w:r>
        <w:rPr>
          <w:rFonts w:hint="default" w:ascii="仿宋_GB2312" w:hAnsi="宋体" w:cs="宋体"/>
          <w:b w:val="0"/>
          <w:color w:val="auto"/>
          <w:kern w:val="0"/>
          <w:szCs w:val="24"/>
          <w:highlight w:val="yellow"/>
          <w:u w:val="none"/>
        </w:rPr>
        <w:t>，当前述资产管理产品计提</w:t>
      </w:r>
      <w:r>
        <w:rPr>
          <w:rFonts w:hint="eastAsia" w:ascii="仿宋_GB2312" w:hAnsi="宋体" w:cs="宋体"/>
          <w:b w:val="0"/>
          <w:color w:val="auto"/>
          <w:kern w:val="0"/>
          <w:szCs w:val="24"/>
          <w:highlight w:val="yellow"/>
          <w:u w:val="none"/>
          <w:lang w:eastAsia="zh-CN"/>
        </w:rPr>
        <w:t>浮动管理费</w:t>
      </w:r>
      <w:r>
        <w:rPr>
          <w:rFonts w:hint="default" w:ascii="仿宋_GB2312" w:hAnsi="宋体" w:cs="宋体"/>
          <w:b w:val="0"/>
          <w:color w:val="auto"/>
          <w:kern w:val="0"/>
          <w:szCs w:val="24"/>
          <w:highlight w:val="yellow"/>
          <w:u w:val="none"/>
        </w:rPr>
        <w:t>时，本理财产品的产品份额净值存在下跌风险。</w:t>
      </w:r>
    </w:p>
    <w:p w14:paraId="46F6F079">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（十七）托管及清算风险</w:t>
      </w:r>
    </w:p>
    <w:p w14:paraId="4D72A231">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本理财产品存在托管人，若因托管人操作失误或因任何原因未能按约履行托管人职责，或丧失进行托管的能力或法定资格，均可能给本理财产品带来风险。</w:t>
      </w:r>
    </w:p>
    <w:p w14:paraId="45DC7DA6">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（十八）税务风险</w:t>
      </w:r>
    </w:p>
    <w:p w14:paraId="4F0A6DA3">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根据国家相关法律法规，理财产品运营过程中发生的应由理财产品承担的增值税应税行为，由产品管理人申报和缴纳增值税及附加税费。该等税款将直接从理财产品中扣付缴纳，本理财产品将因为前述增值税等税负承担导致税费支出增加、理财产品净值或实际收益降低，从而降低投资者的收益水平。</w:t>
      </w:r>
    </w:p>
    <w:p w14:paraId="6A4823E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（十九）不同理财产品份额类别存在差异的风险</w:t>
      </w:r>
    </w:p>
    <w:p w14:paraId="5DB95B54">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管理人有权根据投资者购买理财产品的金额、销售渠道、客户类型等因素，对投资者所持有的理财产品份额设置不同的理财产品份额类别。不同类别的理财产品份额可能在产品销售名称、产品</w:t>
      </w:r>
      <w:r>
        <w:rPr>
          <w:rFonts w:hint="eastAsia" w:ascii="仿宋_GB2312" w:hAnsi="宋体" w:cs="宋体"/>
          <w:b w:val="0"/>
          <w:color w:val="auto"/>
          <w:kern w:val="0"/>
          <w:szCs w:val="24"/>
          <w:highlight w:val="yellow"/>
          <w:u w:val="none"/>
          <w:lang w:eastAsia="zh-CN"/>
        </w:rPr>
        <w:t>份额</w:t>
      </w:r>
      <w:r>
        <w:rPr>
          <w:rFonts w:hint="default" w:ascii="仿宋_GB2312" w:hAnsi="宋体" w:cs="宋体"/>
          <w:b w:val="0"/>
          <w:color w:val="auto"/>
          <w:kern w:val="0"/>
          <w:szCs w:val="24"/>
          <w:highlight w:val="yellow"/>
          <w:u w:val="none"/>
        </w:rPr>
        <w:t>代码、销售渠道、销售</w:t>
      </w:r>
      <w:r>
        <w:rPr>
          <w:rFonts w:hint="eastAsia" w:ascii="仿宋_GB2312" w:hAnsi="宋体" w:cs="宋体"/>
          <w:b w:val="0"/>
          <w:color w:val="auto"/>
          <w:kern w:val="0"/>
          <w:szCs w:val="24"/>
          <w:highlight w:val="yellow"/>
          <w:u w:val="none"/>
          <w:lang w:eastAsia="zh-CN"/>
        </w:rPr>
        <w:t>对象</w:t>
      </w:r>
      <w:r>
        <w:rPr>
          <w:rFonts w:hint="default" w:ascii="仿宋_GB2312" w:hAnsi="宋体" w:cs="宋体"/>
          <w:b w:val="0"/>
          <w:color w:val="auto"/>
          <w:kern w:val="0"/>
          <w:szCs w:val="24"/>
          <w:highlight w:val="yellow"/>
          <w:u w:val="none"/>
        </w:rPr>
        <w:t>、销售服务费率、托管费率、收费方式、业绩比较基准、起点</w:t>
      </w:r>
      <w:r>
        <w:rPr>
          <w:rFonts w:hint="eastAsia" w:ascii="仿宋_GB2312" w:hAnsi="宋体" w:cs="宋体"/>
          <w:b w:val="0"/>
          <w:color w:val="auto"/>
          <w:kern w:val="0"/>
          <w:szCs w:val="24"/>
          <w:highlight w:val="yellow"/>
          <w:u w:val="none"/>
          <w:lang w:eastAsia="zh-CN"/>
        </w:rPr>
        <w:t>销售</w:t>
      </w:r>
      <w:r>
        <w:rPr>
          <w:rFonts w:hint="default" w:ascii="仿宋_GB2312" w:hAnsi="宋体" w:cs="宋体"/>
          <w:b w:val="0"/>
          <w:color w:val="auto"/>
          <w:kern w:val="0"/>
          <w:szCs w:val="24"/>
          <w:highlight w:val="yellow"/>
          <w:u w:val="none"/>
        </w:rPr>
        <w:t>金额及</w:t>
      </w:r>
      <w:r>
        <w:rPr>
          <w:rFonts w:hint="eastAsia" w:ascii="仿宋_GB2312" w:hAnsi="宋体" w:cs="宋体"/>
          <w:b w:val="0"/>
          <w:color w:val="auto"/>
          <w:kern w:val="0"/>
          <w:szCs w:val="24"/>
          <w:highlight w:val="yellow"/>
          <w:u w:val="none"/>
          <w:lang w:eastAsia="zh-CN"/>
        </w:rPr>
        <w:t>追加</w:t>
      </w:r>
      <w:r>
        <w:rPr>
          <w:rFonts w:hint="default" w:ascii="仿宋_GB2312" w:hAnsi="宋体" w:cs="宋体"/>
          <w:b w:val="0"/>
          <w:color w:val="auto"/>
          <w:kern w:val="0"/>
          <w:szCs w:val="24"/>
          <w:highlight w:val="yellow"/>
          <w:u w:val="none"/>
        </w:rPr>
        <w:t>递增金额、认/申购上限金额、认/申购和赎回数量限制、持有金额上/下限、单一投资者持有份额占比上限、产品规模上限、产品份额净值的计算结果及信息披露等方面存在差异。</w:t>
      </w:r>
    </w:p>
    <w:p w14:paraId="54451BD7">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（二十）投资特定风险</w:t>
      </w:r>
    </w:p>
    <w:p w14:paraId="6B1184F9">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本理财产品因拟投资市场和资产类别可能面临的特定风险如下：</w:t>
      </w:r>
    </w:p>
    <w:p w14:paraId="20C6E28A">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1.投资于固定收益类资产</w:t>
      </w:r>
      <w:r>
        <w:rPr>
          <w:rFonts w:hint="eastAsia" w:ascii="仿宋_GB2312" w:hAnsi="宋体" w:cs="宋体"/>
          <w:b/>
          <w:bCs/>
          <w:color w:val="auto"/>
          <w:kern w:val="0"/>
          <w:szCs w:val="24"/>
          <w:highlight w:val="yellow"/>
          <w:u w:val="none"/>
          <w:lang w:eastAsia="zh-CN"/>
        </w:rPr>
        <w:t>（如有）</w:t>
      </w:r>
      <w:r>
        <w:rPr>
          <w:rFonts w:hint="default" w:ascii="仿宋_GB2312" w:hAnsi="宋体" w:cs="宋体"/>
          <w:b/>
          <w:bCs/>
          <w:color w:val="auto"/>
          <w:kern w:val="0"/>
          <w:szCs w:val="24"/>
          <w:highlight w:val="yellow"/>
          <w:u w:val="none"/>
        </w:rPr>
        <w:t>的可能风险：</w:t>
      </w:r>
    </w:p>
    <w:p w14:paraId="1E7BC67A">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1）国家政策、经济周期、利率、汇率等因素可能发生的变化导致的市场风险。（2）债券发行人、担保人的经营状况、信用质量降低等可能发生的变化导致的信用风险。（3）债券发行人、担保人信用等级降低导致债券价格下降，可能影响投资者收益，甚至使产品本金遭受损失。（4）非公开定向债务融资工具的流通和转让限制导致的流动性风险。（5）债券市场出现整体下跌，导致债券市场的系统性风险等。（6）可转/交换债券投资风险（如有）：可转/交换债券收益与对应标的股票股价直接挂钩，债券价格可能受之影响；转股期内，对应标的股票价格可能低于转股价格，若选择转股，产品将承受标的股票价格低于转股价格之间的价差；转股价格向下修正条款触发时，存在发行方不同意修正转股价格的风险；赎回条款可能导致债券提前兑付或转股期缩短而影响投资收益的风险；存在因政策限制导致无法转股的风险，可转/交换债券投资受到包括但不限于上述因素影响时，可能影响投资者收益，甚至使产品本金遭受损失。（7）永续债投资风险（如有）：永续债发行人可能延期支付利息，且永续债无到期日，可能因流动性差无法变现、无法收回本金，使产品出现流动性风险；永续债附加的回售或赎回权，可能会导致管理人以不利价格出售永续债，从而影响投资者收益。</w:t>
      </w:r>
    </w:p>
    <w:p w14:paraId="5C16583A">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2.投资于股票等权益类资产（如有）的可能风险：</w:t>
      </w:r>
    </w:p>
    <w:p w14:paraId="0BD39A61">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国家货币、财政、产业等政策变化对证券市场产生一定的影响，导致市场价格水平波动的风险；宏观经济运行周期性波动，对股票市场的收益水平产生影响的风险；上市公司的经营状况受多种因素影响，如市场、技术、竞争、管理、财务等都可能导致公司盈利发生变化，从而导致股票价格下跌，影响投资者收益，甚至使产品本金遭受损失；股票遭流通和转让限制导致的流动性风险；投资于不同板块、不同市场股票，如投资科创板、创业板、港股通股票等，可能面临因投资标的、市场制度、交易规则、监管法规等差异造成的风险等。</w:t>
      </w:r>
    </w:p>
    <w:p w14:paraId="49519EA4">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优先股具有固定收益证券的特征，但优先股发行方无到期归还本金的义务，可能发生发行人经营状况恶化、无法足额支付股息的风险，从而影响产品和投资者收益；优先股属于权益类资产，价格受国家各类政策、宏观经济、行业发展等多种因素影响，可能发生波动从而影响产品收益，甚至使产品本金遭受损失。</w:t>
      </w:r>
    </w:p>
    <w:p w14:paraId="7C26BC11">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3.投资于商品及金融衍生品类资产（如有）的可能风险：</w:t>
      </w:r>
    </w:p>
    <w:p w14:paraId="3B310B66">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基础产品价格波动造成衍生品价格波动，高杠杆和跨期交易可能加剧衍生品价格波动的市场风险；衍生品发行方或交易对手方违约或不履行合约的导致的信用风险；缺乏交易对手导致无法平仓/变现、流动资金不足或无法追加保证金导致被迫平仓造成亏损的风险；因内部程序、人员、系统操作不当或因外部事件导致损失的操作风险；部分衍生品操作相关法律法规的滞后，交易合约在法律范围内无效而无法履约或交易合约订立不当产生的法律风险。由于期货与现货间的价差的波动，影响套期保值或套利效果，使之发生意外损益的基差风险。</w:t>
      </w:r>
    </w:p>
    <w:p w14:paraId="791476E6">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（二十一）其他风险</w:t>
      </w:r>
    </w:p>
    <w:p w14:paraId="1C315DC9">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自然灾害、疫情、战争、金融危机等不能预见、不能避免、不能克服的不可抗力因素的出现，或系统故障、通讯故障、投资市场停止交易等意外事件的发生，可能对本理财产品的受理、成立、投资运作、资金返还、信息披露等造成影响，甚至可能导致本理财产品本金和收益的降低或损失，以及本金和收益延迟支付。对于由不可抗力及意外事件风险导致的任何损失和延迟支付，须投资者承担。</w:t>
      </w:r>
    </w:p>
    <w:p w14:paraId="370A79F6">
      <w:pPr>
        <w:widowControl/>
        <w:tabs>
          <w:tab w:val="left" w:pos="709"/>
        </w:tabs>
        <w:adjustRightInd w:val="0"/>
        <w:snapToGrid w:val="0"/>
        <w:spacing w:line="360" w:lineRule="auto"/>
        <w:ind w:firstLine="420" w:firstLineChars="200"/>
        <w:rPr>
          <w:rFonts w:hint="eastAsia" w:ascii="仿宋_GB2312" w:hAnsi="宋体" w:eastAsia="仿宋_GB2312" w:cs="宋体"/>
          <w:b w:val="0"/>
          <w:bCs w:val="0"/>
          <w:color w:val="auto"/>
          <w:kern w:val="0"/>
          <w:sz w:val="24"/>
          <w:szCs w:val="24"/>
          <w:highlight w:val="yellow"/>
          <w:u w:val="none"/>
          <w:lang w:eastAsia="zh-CN"/>
        </w:rPr>
      </w:pPr>
      <w:r>
        <w:rPr>
          <w:rFonts w:hint="default" w:ascii="仿宋_GB2312" w:hAnsi="宋体" w:cs="宋体"/>
          <w:b w:val="0"/>
          <w:color w:val="auto"/>
          <w:kern w:val="0"/>
          <w:szCs w:val="24"/>
          <w:highlight w:val="yellow"/>
          <w:u w:val="none"/>
        </w:rPr>
        <w:t>以上所揭示事项仅为列举性质，未能尽述列明投资者投资本理财产品所面临的全部风险和可能导致投资者资产损失的所有因素。投资者应充分认识投资风险，谨慎投资</w:t>
      </w:r>
      <w:r>
        <w:rPr>
          <w:rFonts w:hint="default" w:ascii="仿宋_GB2312" w:hAnsi="宋体" w:eastAsia="仿宋_GB2312" w:cs="宋体"/>
          <w:b w:val="0"/>
          <w:bCs w:val="0"/>
          <w:color w:val="auto"/>
          <w:kern w:val="0"/>
          <w:sz w:val="24"/>
          <w:szCs w:val="24"/>
          <w:highlight w:val="yellow"/>
          <w:u w:val="none"/>
        </w:rPr>
        <w:t>。</w:t>
      </w:r>
      <w:r>
        <w:rPr>
          <w:rFonts w:hint="eastAsia" w:ascii="仿宋_GB2312" w:hAnsi="宋体" w:cs="宋体"/>
          <w:b w:val="0"/>
          <w:bCs w:val="0"/>
          <w:color w:val="auto"/>
          <w:kern w:val="0"/>
          <w:sz w:val="24"/>
          <w:szCs w:val="24"/>
          <w:highlight w:val="yellow"/>
          <w:u w:val="none"/>
          <w:lang w:eastAsia="zh-CN"/>
        </w:rPr>
        <w:t>】</w:t>
      </w:r>
    </w:p>
    <w:p w14:paraId="6779273D">
      <w:pPr>
        <w:widowControl/>
        <w:tabs>
          <w:tab w:val="left" w:pos="709"/>
        </w:tabs>
        <w:adjustRightInd w:val="0"/>
        <w:snapToGrid w:val="0"/>
        <w:spacing w:line="360" w:lineRule="auto"/>
        <w:ind w:firstLine="480" w:firstLineChars="200"/>
        <w:rPr>
          <w:rFonts w:hint="eastAsia" w:ascii="仿宋_GB2312" w:hAnsi="宋体" w:cs="宋体"/>
          <w:b w:val="0"/>
          <w:bCs w:val="0"/>
          <w:color w:val="auto"/>
          <w:kern w:val="0"/>
          <w:sz w:val="24"/>
          <w:szCs w:val="24"/>
          <w:highlight w:val="none"/>
          <w:u w:val="none"/>
          <w:lang w:eastAsia="zh-CN"/>
        </w:rPr>
      </w:pPr>
    </w:p>
    <w:p w14:paraId="0687BD2D">
      <w:pPr>
        <w:widowControl/>
        <w:tabs>
          <w:tab w:val="left" w:pos="709"/>
        </w:tabs>
        <w:adjustRightInd w:val="0"/>
        <w:snapToGrid w:val="0"/>
        <w:spacing w:line="360" w:lineRule="auto"/>
        <w:ind w:firstLine="480" w:firstLineChars="200"/>
        <w:rPr>
          <w:rFonts w:hint="eastAsia" w:ascii="仿宋_GB2312" w:hAnsi="宋体" w:cs="宋体"/>
          <w:b w:val="0"/>
          <w:bCs w:val="0"/>
          <w:color w:val="auto"/>
          <w:kern w:val="0"/>
          <w:sz w:val="24"/>
          <w:szCs w:val="24"/>
          <w:highlight w:val="none"/>
          <w:u w:val="none"/>
          <w:lang w:eastAsia="zh-CN"/>
        </w:rPr>
      </w:pPr>
    </w:p>
    <w:p w14:paraId="6AE5E6C4">
      <w:pPr>
        <w:widowControl/>
        <w:tabs>
          <w:tab w:val="left" w:pos="709"/>
        </w:tabs>
        <w:adjustRightInd w:val="0"/>
        <w:snapToGrid w:val="0"/>
        <w:spacing w:line="360" w:lineRule="auto"/>
        <w:ind w:firstLine="480" w:firstLineChars="200"/>
        <w:rPr>
          <w:rFonts w:hint="eastAsia" w:ascii="仿宋_GB2312" w:hAnsi="宋体" w:cs="宋体"/>
          <w:b w:val="0"/>
          <w:bCs w:val="0"/>
          <w:color w:val="auto"/>
          <w:kern w:val="0"/>
          <w:sz w:val="24"/>
          <w:szCs w:val="24"/>
          <w:highlight w:val="none"/>
          <w:u w:val="none"/>
          <w:lang w:eastAsia="zh-CN"/>
        </w:rPr>
      </w:pPr>
    </w:p>
    <w:p w14:paraId="48684E52">
      <w:pPr>
        <w:widowControl/>
        <w:tabs>
          <w:tab w:val="left" w:pos="709"/>
        </w:tabs>
        <w:adjustRightInd w:val="0"/>
        <w:snapToGrid w:val="0"/>
        <w:spacing w:line="360" w:lineRule="auto"/>
        <w:ind w:firstLine="480" w:firstLineChars="200"/>
        <w:rPr>
          <w:rFonts w:hint="eastAsia" w:ascii="仿宋_GB2312" w:hAnsi="宋体" w:cs="宋体"/>
          <w:b w:val="0"/>
          <w:bCs w:val="0"/>
          <w:color w:val="auto"/>
          <w:kern w:val="0"/>
          <w:sz w:val="24"/>
          <w:szCs w:val="24"/>
          <w:highlight w:val="none"/>
          <w:u w:val="none"/>
          <w:lang w:eastAsia="zh-CN"/>
        </w:rPr>
      </w:pPr>
    </w:p>
    <w:p w14:paraId="6A855DF7">
      <w:pPr>
        <w:widowControl/>
        <w:tabs>
          <w:tab w:val="left" w:pos="709"/>
        </w:tabs>
        <w:adjustRightInd w:val="0"/>
        <w:snapToGrid w:val="0"/>
        <w:spacing w:line="360" w:lineRule="auto"/>
        <w:ind w:firstLine="480" w:firstLineChars="200"/>
        <w:rPr>
          <w:rFonts w:hint="eastAsia" w:ascii="仿宋_GB2312" w:hAnsi="宋体" w:cs="宋体"/>
          <w:b w:val="0"/>
          <w:bCs w:val="0"/>
          <w:color w:val="auto"/>
          <w:kern w:val="0"/>
          <w:sz w:val="24"/>
          <w:szCs w:val="24"/>
          <w:highlight w:val="none"/>
          <w:u w:val="none"/>
          <w:lang w:eastAsia="zh-CN"/>
        </w:rPr>
      </w:pPr>
    </w:p>
    <w:p w14:paraId="495D85A1">
      <w:pPr>
        <w:widowControl/>
        <w:tabs>
          <w:tab w:val="left" w:pos="709"/>
        </w:tabs>
        <w:adjustRightInd w:val="0"/>
        <w:snapToGrid w:val="0"/>
        <w:spacing w:line="360" w:lineRule="auto"/>
        <w:ind w:firstLine="480" w:firstLineChars="200"/>
        <w:rPr>
          <w:rFonts w:hint="eastAsia" w:ascii="仿宋_GB2312" w:hAnsi="宋体" w:cs="宋体"/>
          <w:b w:val="0"/>
          <w:bCs w:val="0"/>
          <w:color w:val="auto"/>
          <w:kern w:val="0"/>
          <w:sz w:val="24"/>
          <w:szCs w:val="24"/>
          <w:highlight w:val="none"/>
          <w:u w:val="none"/>
          <w:lang w:eastAsia="zh-CN"/>
        </w:rPr>
      </w:pPr>
    </w:p>
    <w:p w14:paraId="06514082">
      <w:pPr>
        <w:widowControl/>
        <w:tabs>
          <w:tab w:val="left" w:pos="709"/>
        </w:tabs>
        <w:adjustRightInd w:val="0"/>
        <w:snapToGrid w:val="0"/>
        <w:spacing w:line="360" w:lineRule="auto"/>
        <w:ind w:firstLine="480" w:firstLineChars="200"/>
        <w:rPr>
          <w:rFonts w:hint="eastAsia" w:ascii="仿宋_GB2312" w:hAnsi="宋体" w:cs="宋体"/>
          <w:b w:val="0"/>
          <w:bCs w:val="0"/>
          <w:color w:val="auto"/>
          <w:kern w:val="0"/>
          <w:sz w:val="24"/>
          <w:szCs w:val="24"/>
          <w:highlight w:val="none"/>
          <w:u w:val="none"/>
          <w:lang w:eastAsia="zh-CN"/>
        </w:rPr>
      </w:pPr>
    </w:p>
    <w:p w14:paraId="7F9EFB3C">
      <w:pPr>
        <w:widowControl/>
        <w:tabs>
          <w:tab w:val="left" w:pos="709"/>
        </w:tabs>
        <w:adjustRightInd w:val="0"/>
        <w:snapToGrid w:val="0"/>
        <w:spacing w:line="360" w:lineRule="auto"/>
        <w:ind w:firstLine="480" w:firstLineChars="200"/>
        <w:rPr>
          <w:rFonts w:hint="eastAsia" w:ascii="仿宋_GB2312" w:hAnsi="宋体" w:cs="宋体"/>
          <w:b w:val="0"/>
          <w:bCs w:val="0"/>
          <w:color w:val="auto"/>
          <w:kern w:val="0"/>
          <w:sz w:val="24"/>
          <w:szCs w:val="24"/>
          <w:highlight w:val="none"/>
          <w:u w:val="none"/>
          <w:lang w:eastAsia="zh-CN"/>
        </w:rPr>
      </w:pPr>
    </w:p>
    <w:p w14:paraId="2F68790C">
      <w:pPr>
        <w:widowControl/>
        <w:tabs>
          <w:tab w:val="left" w:pos="709"/>
        </w:tabs>
        <w:adjustRightInd w:val="0"/>
        <w:snapToGrid w:val="0"/>
        <w:spacing w:line="360" w:lineRule="auto"/>
        <w:ind w:firstLine="480" w:firstLineChars="200"/>
        <w:rPr>
          <w:rFonts w:hint="eastAsia" w:ascii="仿宋_GB2312" w:hAnsi="宋体" w:cs="宋体"/>
          <w:b w:val="0"/>
          <w:bCs w:val="0"/>
          <w:color w:val="auto"/>
          <w:kern w:val="0"/>
          <w:sz w:val="24"/>
          <w:szCs w:val="24"/>
          <w:highlight w:val="none"/>
          <w:u w:val="none"/>
          <w:lang w:eastAsia="zh-CN"/>
        </w:rPr>
      </w:pPr>
    </w:p>
    <w:p w14:paraId="5814EAF7">
      <w:pPr>
        <w:widowControl/>
        <w:tabs>
          <w:tab w:val="left" w:pos="709"/>
        </w:tabs>
        <w:adjustRightInd w:val="0"/>
        <w:snapToGrid w:val="0"/>
        <w:spacing w:line="360" w:lineRule="auto"/>
        <w:ind w:firstLine="480" w:firstLineChars="200"/>
        <w:rPr>
          <w:rFonts w:hint="eastAsia" w:ascii="仿宋_GB2312" w:hAnsi="宋体" w:cs="宋体"/>
          <w:b w:val="0"/>
          <w:bCs w:val="0"/>
          <w:color w:val="auto"/>
          <w:kern w:val="0"/>
          <w:sz w:val="24"/>
          <w:szCs w:val="24"/>
          <w:highlight w:val="none"/>
          <w:u w:val="none"/>
          <w:lang w:eastAsia="zh-CN"/>
        </w:rPr>
      </w:pPr>
    </w:p>
    <w:p w14:paraId="4BF7C02D">
      <w:pPr>
        <w:widowControl/>
        <w:tabs>
          <w:tab w:val="left" w:pos="709"/>
        </w:tabs>
        <w:adjustRightInd w:val="0"/>
        <w:snapToGrid w:val="0"/>
        <w:spacing w:line="360" w:lineRule="auto"/>
        <w:ind w:firstLine="480" w:firstLineChars="200"/>
        <w:rPr>
          <w:rFonts w:hint="eastAsia" w:ascii="仿宋_GB2312" w:hAnsi="宋体" w:cs="宋体"/>
          <w:b w:val="0"/>
          <w:bCs w:val="0"/>
          <w:color w:val="auto"/>
          <w:kern w:val="0"/>
          <w:sz w:val="24"/>
          <w:szCs w:val="24"/>
          <w:highlight w:val="none"/>
          <w:u w:val="none"/>
          <w:lang w:eastAsia="zh-CN"/>
        </w:rPr>
      </w:pPr>
    </w:p>
    <w:p w14:paraId="3B3DC503">
      <w:pPr>
        <w:widowControl/>
        <w:tabs>
          <w:tab w:val="left" w:pos="709"/>
        </w:tabs>
        <w:adjustRightInd w:val="0"/>
        <w:snapToGrid w:val="0"/>
        <w:spacing w:line="360" w:lineRule="auto"/>
        <w:ind w:firstLine="480" w:firstLineChars="200"/>
        <w:rPr>
          <w:rFonts w:hint="eastAsia" w:ascii="仿宋_GB2312" w:hAnsi="宋体" w:cs="宋体"/>
          <w:b w:val="0"/>
          <w:bCs w:val="0"/>
          <w:color w:val="auto"/>
          <w:kern w:val="0"/>
          <w:sz w:val="24"/>
          <w:szCs w:val="24"/>
          <w:highlight w:val="none"/>
          <w:u w:val="none"/>
          <w:lang w:eastAsia="zh-CN"/>
        </w:rPr>
      </w:pPr>
    </w:p>
    <w:p w14:paraId="2693688A">
      <w:pPr>
        <w:widowControl/>
        <w:tabs>
          <w:tab w:val="left" w:pos="709"/>
        </w:tabs>
        <w:adjustRightInd w:val="0"/>
        <w:snapToGrid w:val="0"/>
        <w:spacing w:line="360" w:lineRule="auto"/>
        <w:ind w:firstLine="480" w:firstLineChars="200"/>
        <w:rPr>
          <w:rFonts w:hint="eastAsia" w:ascii="仿宋_GB2312" w:hAnsi="宋体" w:cs="宋体"/>
          <w:b w:val="0"/>
          <w:bCs w:val="0"/>
          <w:color w:val="auto"/>
          <w:kern w:val="0"/>
          <w:sz w:val="24"/>
          <w:szCs w:val="24"/>
          <w:highlight w:val="none"/>
          <w:u w:val="none"/>
          <w:lang w:eastAsia="zh-CN"/>
        </w:rPr>
      </w:pPr>
    </w:p>
    <w:p w14:paraId="5D8E9870">
      <w:pPr>
        <w:widowControl/>
        <w:tabs>
          <w:tab w:val="left" w:pos="709"/>
        </w:tabs>
        <w:adjustRightInd w:val="0"/>
        <w:snapToGrid w:val="0"/>
        <w:spacing w:line="360" w:lineRule="auto"/>
        <w:ind w:firstLine="480" w:firstLineChars="200"/>
        <w:rPr>
          <w:rFonts w:hint="eastAsia" w:ascii="仿宋_GB2312" w:hAnsi="宋体" w:cs="宋体"/>
          <w:b w:val="0"/>
          <w:bCs w:val="0"/>
          <w:color w:val="auto"/>
          <w:kern w:val="0"/>
          <w:sz w:val="24"/>
          <w:szCs w:val="24"/>
          <w:highlight w:val="none"/>
          <w:u w:val="none"/>
          <w:lang w:eastAsia="zh-CN"/>
        </w:rPr>
      </w:pPr>
    </w:p>
    <w:p w14:paraId="243A7628">
      <w:pPr>
        <w:widowControl/>
        <w:tabs>
          <w:tab w:val="left" w:pos="709"/>
        </w:tabs>
        <w:adjustRightInd w:val="0"/>
        <w:snapToGrid w:val="0"/>
        <w:spacing w:line="360" w:lineRule="auto"/>
        <w:ind w:firstLine="480" w:firstLineChars="200"/>
        <w:rPr>
          <w:rFonts w:hint="eastAsia" w:ascii="仿宋_GB2312" w:hAnsi="宋体" w:cs="宋体"/>
          <w:b w:val="0"/>
          <w:bCs w:val="0"/>
          <w:color w:val="auto"/>
          <w:kern w:val="0"/>
          <w:sz w:val="24"/>
          <w:szCs w:val="24"/>
          <w:highlight w:val="none"/>
          <w:u w:val="none"/>
          <w:lang w:eastAsia="zh-CN"/>
        </w:rPr>
      </w:pPr>
    </w:p>
    <w:p w14:paraId="012BE429">
      <w:pPr>
        <w:widowControl/>
        <w:tabs>
          <w:tab w:val="left" w:pos="709"/>
        </w:tabs>
        <w:adjustRightInd w:val="0"/>
        <w:snapToGrid w:val="0"/>
        <w:spacing w:line="360" w:lineRule="auto"/>
        <w:ind w:firstLine="480" w:firstLineChars="200"/>
        <w:rPr>
          <w:rFonts w:hint="eastAsia" w:ascii="仿宋_GB2312" w:hAnsi="宋体" w:cs="宋体"/>
          <w:b w:val="0"/>
          <w:bCs w:val="0"/>
          <w:color w:val="auto"/>
          <w:kern w:val="0"/>
          <w:sz w:val="24"/>
          <w:szCs w:val="24"/>
          <w:highlight w:val="none"/>
          <w:u w:val="none"/>
          <w:lang w:eastAsia="zh-CN"/>
        </w:rPr>
      </w:pPr>
    </w:p>
    <w:p w14:paraId="5B391E37">
      <w:pPr>
        <w:widowControl/>
        <w:tabs>
          <w:tab w:val="left" w:pos="709"/>
        </w:tabs>
        <w:adjustRightInd w:val="0"/>
        <w:snapToGrid w:val="0"/>
        <w:spacing w:line="360" w:lineRule="auto"/>
        <w:ind w:firstLine="480" w:firstLineChars="200"/>
        <w:rPr>
          <w:rFonts w:hint="eastAsia" w:ascii="仿宋_GB2312" w:hAnsi="宋体" w:cs="宋体"/>
          <w:b w:val="0"/>
          <w:bCs w:val="0"/>
          <w:color w:val="auto"/>
          <w:kern w:val="0"/>
          <w:sz w:val="24"/>
          <w:szCs w:val="24"/>
          <w:highlight w:val="none"/>
          <w:u w:val="none"/>
          <w:lang w:eastAsia="zh-CN"/>
        </w:rPr>
      </w:pPr>
    </w:p>
    <w:p w14:paraId="1744CDC2">
      <w:pPr>
        <w:widowControl/>
        <w:tabs>
          <w:tab w:val="left" w:pos="709"/>
        </w:tabs>
        <w:adjustRightInd w:val="0"/>
        <w:snapToGrid w:val="0"/>
        <w:spacing w:line="360" w:lineRule="auto"/>
        <w:ind w:firstLine="480" w:firstLineChars="200"/>
        <w:rPr>
          <w:rFonts w:hint="eastAsia" w:ascii="仿宋_GB2312" w:hAnsi="宋体" w:cs="宋体"/>
          <w:b w:val="0"/>
          <w:bCs w:val="0"/>
          <w:color w:val="auto"/>
          <w:kern w:val="0"/>
          <w:sz w:val="24"/>
          <w:szCs w:val="24"/>
          <w:highlight w:val="none"/>
          <w:u w:val="none"/>
          <w:lang w:eastAsia="zh-CN"/>
        </w:rPr>
      </w:pPr>
    </w:p>
    <w:p w14:paraId="38B6440E">
      <w:pPr>
        <w:widowControl/>
        <w:tabs>
          <w:tab w:val="left" w:pos="709"/>
        </w:tabs>
        <w:adjustRightInd w:val="0"/>
        <w:snapToGrid w:val="0"/>
        <w:spacing w:line="360" w:lineRule="auto"/>
        <w:ind w:firstLine="480" w:firstLineChars="200"/>
        <w:rPr>
          <w:rFonts w:hint="eastAsia" w:ascii="仿宋_GB2312" w:hAnsi="宋体" w:cs="宋体"/>
          <w:b w:val="0"/>
          <w:bCs w:val="0"/>
          <w:color w:val="auto"/>
          <w:kern w:val="0"/>
          <w:sz w:val="24"/>
          <w:szCs w:val="24"/>
          <w:highlight w:val="none"/>
          <w:u w:val="none"/>
          <w:lang w:eastAsia="zh-CN"/>
        </w:rPr>
      </w:pPr>
    </w:p>
    <w:p w14:paraId="4CD84F1E">
      <w:pPr>
        <w:rPr>
          <w:rFonts w:hint="eastAsia" w:ascii="仿宋_GB2312" w:hAnsi="宋体" w:cs="宋体"/>
          <w:b w:val="0"/>
          <w:bCs w:val="0"/>
          <w:color w:val="auto"/>
          <w:kern w:val="0"/>
          <w:sz w:val="24"/>
          <w:szCs w:val="24"/>
          <w:highlight w:val="none"/>
          <w:u w:val="none"/>
          <w:lang w:eastAsia="zh-CN"/>
        </w:rPr>
      </w:pPr>
      <w:r>
        <w:rPr>
          <w:rFonts w:hint="eastAsia" w:ascii="仿宋_GB2312" w:hAnsi="宋体" w:cs="宋体"/>
          <w:b w:val="0"/>
          <w:bCs w:val="0"/>
          <w:color w:val="auto"/>
          <w:kern w:val="0"/>
          <w:sz w:val="24"/>
          <w:szCs w:val="24"/>
          <w:highlight w:val="none"/>
          <w:u w:val="none"/>
          <w:lang w:eastAsia="zh-CN"/>
        </w:rPr>
        <w:br w:type="page"/>
      </w:r>
    </w:p>
    <w:p w14:paraId="4AC966A0">
      <w:pPr>
        <w:pStyle w:val="2"/>
        <w:numPr>
          <w:ilvl w:val="0"/>
          <w:numId w:val="13"/>
        </w:numPr>
        <w:bidi w:val="0"/>
        <w:ind w:left="0" w:leftChars="0" w:firstLine="0" w:firstLineChars="0"/>
        <w:rPr>
          <w:color w:val="auto"/>
          <w:highlight w:val="none"/>
        </w:rPr>
      </w:pPr>
      <w:r>
        <w:rPr>
          <w:rFonts w:hint="eastAsia"/>
          <w:color w:val="auto"/>
          <w:highlight w:val="none"/>
        </w:rPr>
        <w:t>特别提示</w:t>
      </w:r>
    </w:p>
    <w:p w14:paraId="4A9EB557">
      <w:pPr>
        <w:widowControl/>
        <w:tabs>
          <w:tab w:val="left" w:pos="709"/>
        </w:tabs>
        <w:snapToGrid w:val="0"/>
        <w:spacing w:line="360" w:lineRule="auto"/>
        <w:ind w:firstLine="422" w:firstLineChars="200"/>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若本理财产品所投资资产到期不能全部偿付导致资产减值甚至本金大幅损失，则浙银理财将以产品管理人名义，代表投资者利益行使诉讼权利或者实施其他法律行为。</w:t>
      </w:r>
    </w:p>
    <w:p w14:paraId="5247432B">
      <w:pPr>
        <w:widowControl/>
        <w:tabs>
          <w:tab w:val="left" w:pos="709"/>
        </w:tabs>
        <w:snapToGrid w:val="0"/>
        <w:spacing w:line="360" w:lineRule="auto"/>
        <w:ind w:firstLine="422" w:firstLineChars="200"/>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产品管理人对投资者信息负有保密义务，不得无故向任何组织、个人提供或泄露与投资者有关的业务资料及信息。产品管理人向确有知悉必要的雇员提供投资者信息，或按照有关法律、法规、监管要求向司法机关、行政机关等有关政府部门、投资合作机构及第三方专业机构提供的，不视为对保密义务的违反。</w:t>
      </w:r>
    </w:p>
    <w:p w14:paraId="0BB58C82">
      <w:pPr>
        <w:widowControl/>
        <w:tabs>
          <w:tab w:val="left" w:pos="709"/>
        </w:tabs>
        <w:snapToGrid w:val="0"/>
        <w:spacing w:line="360" w:lineRule="auto"/>
        <w:ind w:firstLine="422" w:firstLineChars="200"/>
        <w:rPr>
          <w:rFonts w:hint="eastAsia" w:ascii="仿宋_GB2312" w:hAnsi="宋体" w:cs="宋体"/>
          <w:b/>
          <w:bCs/>
          <w:color w:val="auto"/>
          <w:kern w:val="0"/>
          <w:szCs w:val="24"/>
          <w:highlight w:val="none"/>
        </w:rPr>
      </w:pPr>
      <w:r>
        <w:rPr>
          <w:rFonts w:hint="eastAsia" w:ascii="仿宋_GB2312" w:hAnsi="宋体" w:cs="宋体"/>
          <w:b/>
          <w:bCs/>
          <w:color w:val="auto"/>
          <w:kern w:val="0"/>
          <w:szCs w:val="24"/>
          <w:highlight w:val="none"/>
        </w:rPr>
        <w:t>产品管理人根据适用的法律法规和监管机构要求，向监管机构和/或其他有权机关（包括但不限于理财登记中心数据交换平台）报送投资者身份信息及投资者持有本产品份额及其变动情况等相关信息。产品管理人对向监管机构和/或监管机构指定机构报送的相关信息负有保密义务,并在报送信息过程中,采取有效措施确保信息安全与保密。</w:t>
      </w:r>
    </w:p>
    <w:p w14:paraId="74E2C5E3">
      <w:pPr>
        <w:widowControl/>
        <w:tabs>
          <w:tab w:val="left" w:pos="709"/>
        </w:tabs>
        <w:snapToGrid w:val="0"/>
        <w:spacing w:line="360" w:lineRule="auto"/>
        <w:ind w:firstLine="420" w:firstLineChars="200"/>
        <w:rPr>
          <w:rFonts w:hint="eastAsia" w:ascii="仿宋_GB2312" w:hAnsi="宋体" w:cs="宋体"/>
          <w:b/>
          <w:bCs/>
          <w:color w:val="auto"/>
          <w:kern w:val="0"/>
          <w:szCs w:val="24"/>
          <w:highlight w:val="none"/>
        </w:rPr>
      </w:pPr>
      <w:r>
        <w:rPr>
          <w:rFonts w:hint="eastAsia"/>
          <w:color w:val="auto"/>
          <w:highlight w:val="none"/>
        </w:rPr>
        <w:t>本产品的转让将依照理财产品销售文件及销售机构的业务政策执行。</w:t>
      </w:r>
    </w:p>
    <w:p w14:paraId="32523C4B">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投资者对本理财产品有任何意见或异议，</w:t>
      </w:r>
      <w:r>
        <w:rPr>
          <w:rFonts w:hint="eastAsia" w:ascii="仿宋_GB2312" w:cs="宋体" w:hAnsiTheme="minorEastAsia"/>
          <w:bCs/>
          <w:color w:val="auto"/>
          <w:kern w:val="0"/>
          <w:szCs w:val="32"/>
          <w:highlight w:val="none"/>
        </w:rPr>
        <w:t>敬请联系您的销售服务机构，具体联系方式以《产品说明书》等销售文件的披露为准</w:t>
      </w:r>
      <w:r>
        <w:rPr>
          <w:rFonts w:hint="eastAsia" w:ascii="仿宋_GB2312" w:cs="宋体" w:hAnsiTheme="minorEastAsia"/>
          <w:bCs/>
          <w:color w:val="auto"/>
          <w:kern w:val="0"/>
          <w:szCs w:val="32"/>
          <w:highlight w:val="none"/>
          <w:lang w:eastAsia="zh-CN"/>
        </w:rPr>
        <w:t>；</w:t>
      </w:r>
      <w:r>
        <w:rPr>
          <w:rFonts w:hint="eastAsia" w:ascii="仿宋_GB2312" w:cs="宋体" w:hAnsiTheme="minorEastAsia"/>
          <w:bCs/>
          <w:color w:val="auto"/>
          <w:kern w:val="0"/>
          <w:szCs w:val="32"/>
          <w:highlight w:val="none"/>
        </w:rPr>
        <w:t>或反馈至浙银理财服务电话：0571-57192881。</w:t>
      </w:r>
    </w:p>
    <w:p w14:paraId="33791DEA">
      <w:pPr>
        <w:widowControl/>
        <w:jc w:val="left"/>
        <w:rPr>
          <w:color w:val="auto"/>
          <w:szCs w:val="24"/>
          <w:highlight w:val="none"/>
        </w:rPr>
      </w:pPr>
    </w:p>
    <w:p w14:paraId="1EC61173">
      <w:pPr>
        <w:widowControl/>
        <w:jc w:val="left"/>
        <w:rPr>
          <w:color w:val="auto"/>
          <w:szCs w:val="24"/>
          <w:highlight w:val="none"/>
        </w:rPr>
      </w:pPr>
    </w:p>
    <w:p w14:paraId="320C14CD">
      <w:pPr>
        <w:widowControl/>
        <w:jc w:val="left"/>
        <w:rPr>
          <w:color w:val="auto"/>
          <w:szCs w:val="24"/>
          <w:highlight w:val="none"/>
        </w:rPr>
      </w:pPr>
    </w:p>
    <w:p w14:paraId="0B4024D6">
      <w:pPr>
        <w:widowControl/>
        <w:jc w:val="left"/>
        <w:rPr>
          <w:color w:val="auto"/>
          <w:szCs w:val="24"/>
          <w:highlight w:val="none"/>
        </w:rPr>
      </w:pPr>
    </w:p>
    <w:p w14:paraId="2F06B4B8">
      <w:pPr>
        <w:widowControl/>
        <w:jc w:val="left"/>
        <w:rPr>
          <w:color w:val="auto"/>
          <w:szCs w:val="24"/>
          <w:highlight w:val="none"/>
        </w:rPr>
      </w:pPr>
    </w:p>
    <w:p w14:paraId="46624E69">
      <w:pPr>
        <w:widowControl/>
        <w:jc w:val="left"/>
        <w:rPr>
          <w:color w:val="auto"/>
          <w:szCs w:val="24"/>
          <w:highlight w:val="none"/>
        </w:rPr>
      </w:pPr>
    </w:p>
    <w:p w14:paraId="108C2263">
      <w:pPr>
        <w:widowControl/>
        <w:jc w:val="left"/>
        <w:rPr>
          <w:color w:val="auto"/>
          <w:szCs w:val="24"/>
          <w:highlight w:val="none"/>
        </w:rPr>
      </w:pPr>
    </w:p>
    <w:p w14:paraId="3DADE3AE">
      <w:pPr>
        <w:rPr>
          <w:color w:val="auto"/>
          <w:szCs w:val="24"/>
          <w:highlight w:val="none"/>
        </w:rPr>
      </w:pPr>
      <w:r>
        <w:rPr>
          <w:color w:val="auto"/>
          <w:szCs w:val="24"/>
          <w:highlight w:val="none"/>
        </w:rPr>
        <w:br w:type="page"/>
      </w:r>
    </w:p>
    <w:p w14:paraId="47A5785A">
      <w:pPr>
        <w:widowControl/>
        <w:tabs>
          <w:tab w:val="left" w:pos="709"/>
        </w:tabs>
        <w:snapToGrid w:val="0"/>
        <w:spacing w:line="360" w:lineRule="auto"/>
        <w:ind w:firstLine="420" w:firstLineChars="200"/>
        <w:rPr>
          <w:rFonts w:hint="eastAsia"/>
          <w:color w:val="auto"/>
          <w:highlight w:val="none"/>
          <w:u w:val="none"/>
          <w:lang w:val="en-US" w:eastAsia="zh-CN"/>
        </w:rPr>
      </w:pPr>
      <w:r>
        <w:rPr>
          <w:rFonts w:hint="eastAsia"/>
          <w:color w:val="auto"/>
          <w:highlight w:val="none"/>
          <w:u w:val="none"/>
          <w:lang w:val="en-US" w:eastAsia="zh-CN"/>
        </w:rPr>
        <w:t xml:space="preserve">（本页为签署页，无正文） </w:t>
      </w:r>
    </w:p>
    <w:p w14:paraId="3601B41D">
      <w:pPr>
        <w:widowControl/>
        <w:tabs>
          <w:tab w:val="left" w:pos="709"/>
        </w:tabs>
        <w:snapToGrid w:val="0"/>
        <w:spacing w:line="360" w:lineRule="auto"/>
        <w:ind w:firstLine="420" w:firstLineChars="200"/>
        <w:rPr>
          <w:rFonts w:hint="eastAsia"/>
          <w:color w:val="auto"/>
          <w:highlight w:val="none"/>
          <w:u w:val="none"/>
          <w:lang w:val="en-US" w:eastAsia="zh-CN"/>
        </w:rPr>
      </w:pPr>
      <w:r>
        <w:rPr>
          <w:rFonts w:hint="eastAsia"/>
          <w:color w:val="auto"/>
          <w:highlight w:val="none"/>
          <w:u w:val="none"/>
          <w:lang w:val="en-US" w:eastAsia="zh-CN"/>
        </w:rPr>
        <w:t>投资者（个人客户签名） ：</w:t>
      </w:r>
    </w:p>
    <w:p w14:paraId="6627B08A">
      <w:pPr>
        <w:widowControl/>
        <w:tabs>
          <w:tab w:val="left" w:pos="709"/>
        </w:tabs>
        <w:snapToGrid w:val="0"/>
        <w:spacing w:line="360" w:lineRule="auto"/>
        <w:ind w:firstLine="420" w:firstLineChars="200"/>
        <w:rPr>
          <w:rFonts w:hint="eastAsia"/>
          <w:color w:val="auto"/>
          <w:highlight w:val="none"/>
          <w:u w:val="none"/>
          <w:lang w:val="en-US" w:eastAsia="zh-CN"/>
        </w:rPr>
      </w:pPr>
    </w:p>
    <w:p w14:paraId="50920192">
      <w:pPr>
        <w:widowControl/>
        <w:tabs>
          <w:tab w:val="left" w:pos="709"/>
        </w:tabs>
        <w:snapToGrid w:val="0"/>
        <w:spacing w:line="360" w:lineRule="auto"/>
        <w:ind w:firstLine="420" w:firstLineChars="200"/>
        <w:rPr>
          <w:rFonts w:hint="eastAsia"/>
          <w:color w:val="auto"/>
          <w:highlight w:val="none"/>
          <w:u w:val="none"/>
        </w:rPr>
      </w:pPr>
      <w:r>
        <w:rPr>
          <w:rFonts w:hint="eastAsia"/>
          <w:color w:val="auto"/>
          <w:highlight w:val="none"/>
          <w:u w:val="none"/>
          <w:lang w:val="en-US" w:eastAsia="zh-CN"/>
        </w:rPr>
        <w:t>投资者（机构客户盖公章） ：</w:t>
      </w:r>
    </w:p>
    <w:p w14:paraId="45EBD3D0">
      <w:pPr>
        <w:widowControl/>
        <w:tabs>
          <w:tab w:val="left" w:pos="709"/>
        </w:tabs>
        <w:snapToGrid w:val="0"/>
        <w:spacing w:line="360" w:lineRule="auto"/>
        <w:ind w:firstLine="420" w:firstLineChars="200"/>
        <w:rPr>
          <w:rFonts w:hint="eastAsia"/>
          <w:color w:val="auto"/>
          <w:highlight w:val="none"/>
          <w:u w:val="none"/>
        </w:rPr>
      </w:pPr>
      <w:r>
        <w:rPr>
          <w:rFonts w:hint="eastAsia"/>
          <w:color w:val="auto"/>
          <w:highlight w:val="none"/>
          <w:u w:val="none"/>
          <w:lang w:val="en-US" w:eastAsia="zh-CN"/>
        </w:rPr>
        <w:t xml:space="preserve">法定代表人或授权代理人（签名或盖个人名章）： </w:t>
      </w:r>
    </w:p>
    <w:p w14:paraId="1A82ECAE">
      <w:pPr>
        <w:widowControl/>
        <w:tabs>
          <w:tab w:val="left" w:pos="709"/>
        </w:tabs>
        <w:snapToGrid w:val="0"/>
        <w:spacing w:line="360" w:lineRule="auto"/>
        <w:ind w:firstLine="420" w:firstLineChars="200"/>
        <w:rPr>
          <w:rFonts w:hint="eastAsia"/>
          <w:color w:val="auto"/>
          <w:highlight w:val="none"/>
          <w:u w:val="none"/>
          <w:lang w:val="en-US" w:eastAsia="zh-CN"/>
        </w:rPr>
      </w:pPr>
    </w:p>
    <w:p w14:paraId="4D9EF2CA">
      <w:pPr>
        <w:widowControl/>
        <w:tabs>
          <w:tab w:val="left" w:pos="709"/>
        </w:tabs>
        <w:snapToGrid w:val="0"/>
        <w:spacing w:line="360" w:lineRule="auto"/>
        <w:ind w:firstLine="420" w:firstLineChars="200"/>
        <w:rPr>
          <w:rFonts w:hint="eastAsia"/>
          <w:color w:val="auto"/>
          <w:highlight w:val="none"/>
          <w:u w:val="none"/>
        </w:rPr>
      </w:pPr>
      <w:r>
        <w:rPr>
          <w:rFonts w:hint="eastAsia"/>
          <w:color w:val="auto"/>
          <w:highlight w:val="none"/>
          <w:u w:val="none"/>
          <w:lang w:val="en-US" w:eastAsia="zh-CN"/>
        </w:rPr>
        <w:t>签约日期:_______年______月______日</w:t>
      </w:r>
    </w:p>
    <w:p w14:paraId="4684CC6D">
      <w:pPr>
        <w:widowControl/>
        <w:jc w:val="left"/>
        <w:rPr>
          <w:color w:val="auto"/>
          <w:szCs w:val="24"/>
          <w:highlight w:val="none"/>
        </w:rPr>
      </w:pPr>
    </w:p>
    <w:p w14:paraId="4BC2A93B">
      <w:pPr>
        <w:jc w:val="left"/>
        <w:rPr>
          <w:rFonts w:hint="eastAsia" w:ascii="黑体" w:hAnsi="黑体" w:eastAsia="黑体" w:cs="黑体"/>
          <w:i w:val="0"/>
          <w:iCs w:val="0"/>
          <w:caps w:val="0"/>
          <w:color w:val="auto"/>
          <w:spacing w:val="0"/>
          <w:sz w:val="32"/>
          <w:szCs w:val="32"/>
          <w:shd w:val="clear" w:fill="FFFFFF"/>
          <w:lang w:val="en-US" w:eastAsia="zh-CN"/>
        </w:rPr>
      </w:pPr>
    </w:p>
    <w:p w14:paraId="3D83A05F">
      <w:pPr>
        <w:jc w:val="left"/>
        <w:rPr>
          <w:rFonts w:hint="eastAsia" w:ascii="黑体" w:hAnsi="黑体" w:eastAsia="黑体" w:cs="黑体"/>
          <w:i w:val="0"/>
          <w:iCs w:val="0"/>
          <w:caps w:val="0"/>
          <w:color w:val="auto"/>
          <w:spacing w:val="0"/>
          <w:sz w:val="32"/>
          <w:szCs w:val="32"/>
          <w:shd w:val="clear" w:fill="FFFFFF"/>
          <w:lang w:val="en-US" w:eastAsia="zh-CN"/>
        </w:rPr>
      </w:pPr>
    </w:p>
    <w:p w14:paraId="58CCEC08">
      <w:pPr>
        <w:jc w:val="left"/>
        <w:rPr>
          <w:rFonts w:hint="eastAsia" w:ascii="黑体" w:hAnsi="黑体" w:eastAsia="黑体" w:cs="黑体"/>
          <w:i w:val="0"/>
          <w:iCs w:val="0"/>
          <w:caps w:val="0"/>
          <w:color w:val="auto"/>
          <w:spacing w:val="0"/>
          <w:sz w:val="32"/>
          <w:szCs w:val="32"/>
          <w:shd w:val="clear" w:fill="FFFFFF"/>
          <w:lang w:val="en-US" w:eastAsia="zh-CN"/>
        </w:rPr>
      </w:pPr>
    </w:p>
    <w:p w14:paraId="3FBC2049">
      <w:pPr>
        <w:jc w:val="left"/>
        <w:rPr>
          <w:rFonts w:hint="eastAsia" w:ascii="黑体" w:hAnsi="黑体" w:eastAsia="黑体" w:cs="黑体"/>
          <w:i w:val="0"/>
          <w:iCs w:val="0"/>
          <w:caps w:val="0"/>
          <w:color w:val="auto"/>
          <w:spacing w:val="0"/>
          <w:sz w:val="32"/>
          <w:szCs w:val="32"/>
          <w:shd w:val="clear" w:fill="FFFFFF"/>
          <w:lang w:val="en-US" w:eastAsia="zh-CN"/>
        </w:rPr>
      </w:pPr>
    </w:p>
    <w:p w14:paraId="46C29DDF">
      <w:pPr>
        <w:rPr>
          <w:rFonts w:hint="eastAsia"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br w:type="page"/>
      </w:r>
    </w:p>
    <w:p w14:paraId="27A02F9E">
      <w:pPr>
        <w:jc w:val="left"/>
        <w:rPr>
          <w:rFonts w:hint="eastAsia"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t>附件10：</w:t>
      </w:r>
    </w:p>
    <w:p w14:paraId="3F463C2C">
      <w:pPr>
        <w:widowControl/>
        <w:snapToGrid w:val="0"/>
        <w:jc w:val="center"/>
        <w:rPr>
          <w:rFonts w:hint="eastAsia" w:ascii="方正小标宋简体" w:hAnsi="宋体" w:eastAsia="方正小标宋简体" w:cs="宋体"/>
          <w:bCs/>
          <w:color w:val="auto"/>
          <w:kern w:val="0"/>
          <w:sz w:val="36"/>
          <w:szCs w:val="36"/>
          <w:highlight w:val="none"/>
          <w:lang w:eastAsia="zh-CN"/>
        </w:rPr>
      </w:pPr>
      <w:r>
        <w:rPr>
          <w:rFonts w:hint="eastAsia" w:ascii="方正小标宋简体" w:hAnsi="宋体" w:eastAsia="方正小标宋简体" w:cs="宋体"/>
          <w:bCs/>
          <w:color w:val="auto"/>
          <w:kern w:val="0"/>
          <w:sz w:val="36"/>
          <w:szCs w:val="36"/>
          <w:highlight w:val="none"/>
        </w:rPr>
        <w:t>浙银理财</w:t>
      </w:r>
      <w:r>
        <w:rPr>
          <w:rFonts w:hint="eastAsia" w:ascii="方正小标宋简体" w:hAnsi="宋体" w:eastAsia="方正小标宋简体" w:cs="宋体"/>
          <w:bCs/>
          <w:color w:val="auto"/>
          <w:kern w:val="0"/>
          <w:sz w:val="36"/>
          <w:szCs w:val="36"/>
          <w:highlight w:val="yellow"/>
          <w:lang w:eastAsia="zh-CN"/>
        </w:rPr>
        <w:t>【】</w:t>
      </w:r>
    </w:p>
    <w:p w14:paraId="1731A8BA">
      <w:pPr>
        <w:widowControl/>
        <w:snapToGrid w:val="0"/>
        <w:jc w:val="center"/>
        <w:rPr>
          <w:rFonts w:ascii="方正小标宋简体" w:hAnsi="宋体" w:eastAsia="方正小标宋简体" w:cs="宋体"/>
          <w:bCs/>
          <w:color w:val="auto"/>
          <w:kern w:val="0"/>
          <w:sz w:val="36"/>
          <w:szCs w:val="36"/>
          <w:highlight w:val="none"/>
        </w:rPr>
      </w:pPr>
      <w:r>
        <w:rPr>
          <w:rFonts w:hint="eastAsia" w:ascii="方正小标宋简体" w:hAnsi="宋体" w:eastAsia="方正小标宋简体" w:cs="宋体"/>
          <w:bCs/>
          <w:color w:val="auto"/>
          <w:kern w:val="0"/>
          <w:sz w:val="36"/>
          <w:szCs w:val="36"/>
          <w:highlight w:val="none"/>
        </w:rPr>
        <w:t>理财产品说明书</w:t>
      </w:r>
    </w:p>
    <w:p w14:paraId="7FFC717A">
      <w:pPr>
        <w:widowControl/>
        <w:jc w:val="center"/>
        <w:rPr>
          <w:color w:val="auto"/>
          <w:highlight w:val="none"/>
        </w:rPr>
      </w:pPr>
      <w:r>
        <w:rPr>
          <w:rFonts w:hint="eastAsia" w:ascii="宋体" w:hAnsi="宋体" w:eastAsia="宋体" w:cs="宋体"/>
          <w:b/>
          <w:bCs/>
          <w:color w:val="auto"/>
          <w:kern w:val="0"/>
          <w:sz w:val="28"/>
          <w:szCs w:val="28"/>
          <w:highlight w:val="none"/>
          <w:lang w:bidi="ar"/>
        </w:rPr>
        <w:t>（</w:t>
      </w:r>
      <w:r>
        <w:rPr>
          <w:rFonts w:ascii="宋体" w:hAnsi="宋体" w:eastAsia="宋体" w:cs="宋体"/>
          <w:b/>
          <w:bCs/>
          <w:color w:val="auto"/>
          <w:kern w:val="0"/>
          <w:sz w:val="28"/>
          <w:szCs w:val="28"/>
          <w:highlight w:val="none"/>
          <w:lang w:bidi="ar"/>
        </w:rPr>
        <w:t>全国银行业理财信息登记系统产品登记编码：</w:t>
      </w:r>
      <w:r>
        <w:rPr>
          <w:rFonts w:hint="eastAsia" w:ascii="宋体" w:hAnsi="宋体" w:eastAsia="宋体" w:cs="宋体"/>
          <w:b/>
          <w:bCs/>
          <w:color w:val="auto"/>
          <w:kern w:val="0"/>
          <w:sz w:val="28"/>
          <w:szCs w:val="28"/>
          <w:highlight w:val="yellow"/>
          <w:lang w:eastAsia="zh-CN" w:bidi="ar"/>
        </w:rPr>
        <w:t>【】</w:t>
      </w:r>
      <w:r>
        <w:rPr>
          <w:rFonts w:hint="eastAsia" w:ascii="宋体" w:hAnsi="宋体" w:eastAsia="宋体" w:cs="宋体"/>
          <w:b/>
          <w:bCs/>
          <w:color w:val="auto"/>
          <w:kern w:val="0"/>
          <w:sz w:val="28"/>
          <w:szCs w:val="28"/>
          <w:highlight w:val="none"/>
          <w:lang w:bidi="ar"/>
        </w:rPr>
        <w:t>）</w:t>
      </w:r>
    </w:p>
    <w:p w14:paraId="39DF9509">
      <w:pPr>
        <w:widowControl/>
        <w:jc w:val="center"/>
        <w:rPr>
          <w:color w:val="auto"/>
          <w:highlight w:val="none"/>
        </w:rPr>
      </w:pPr>
      <w:r>
        <w:rPr>
          <w:rFonts w:ascii="宋体" w:hAnsi="宋体" w:eastAsia="宋体" w:cs="宋体"/>
          <w:b/>
          <w:bCs/>
          <w:color w:val="auto"/>
          <w:kern w:val="0"/>
          <w:sz w:val="20"/>
          <w:szCs w:val="20"/>
          <w:highlight w:val="none"/>
          <w:lang w:bidi="ar"/>
        </w:rPr>
        <w:t xml:space="preserve">（投资者可依据该编码在中国理财网 </w:t>
      </w:r>
      <w:r>
        <w:rPr>
          <w:rFonts w:ascii="Times New Roman" w:hAnsi="Times New Roman" w:eastAsia="宋体" w:cs="Times New Roman"/>
          <w:b/>
          <w:bCs/>
          <w:color w:val="auto"/>
          <w:kern w:val="0"/>
          <w:sz w:val="20"/>
          <w:szCs w:val="20"/>
          <w:highlight w:val="none"/>
          <w:lang w:bidi="ar"/>
        </w:rPr>
        <w:t xml:space="preserve">www.chinawealth.com.cn </w:t>
      </w:r>
      <w:r>
        <w:rPr>
          <w:rFonts w:ascii="宋体" w:hAnsi="宋体" w:eastAsia="宋体" w:cs="宋体"/>
          <w:b/>
          <w:bCs/>
          <w:color w:val="auto"/>
          <w:kern w:val="0"/>
          <w:sz w:val="20"/>
          <w:szCs w:val="20"/>
          <w:highlight w:val="none"/>
          <w:lang w:bidi="ar"/>
        </w:rPr>
        <w:t>查询产品信息）</w:t>
      </w:r>
    </w:p>
    <w:p w14:paraId="570D5BDE">
      <w:pPr>
        <w:pStyle w:val="2"/>
        <w:numPr>
          <w:ilvl w:val="0"/>
          <w:numId w:val="14"/>
        </w:numPr>
        <w:rPr>
          <w:rFonts w:hint="eastAsia"/>
          <w:color w:val="auto"/>
          <w:highlight w:val="none"/>
          <w:u w:val="none"/>
        </w:rPr>
      </w:pPr>
      <w:r>
        <w:rPr>
          <w:rFonts w:hint="eastAsia"/>
          <w:color w:val="auto"/>
          <w:highlight w:val="none"/>
          <w:u w:val="none"/>
        </w:rPr>
        <w:t>理财产品</w:t>
      </w:r>
      <w:r>
        <w:rPr>
          <w:rFonts w:hint="eastAsia"/>
          <w:color w:val="auto"/>
          <w:highlight w:val="none"/>
          <w:u w:val="none"/>
          <w:lang w:eastAsia="zh-CN"/>
        </w:rPr>
        <w:t>说明书关键要素</w:t>
      </w:r>
    </w:p>
    <w:tbl>
      <w:tblPr>
        <w:tblStyle w:val="7"/>
        <w:tblW w:w="9425" w:type="dxa"/>
        <w:tblInd w:w="-191" w:type="dxa"/>
        <w:tblLayout w:type="fixed"/>
        <w:tblCellMar>
          <w:top w:w="0" w:type="dxa"/>
          <w:left w:w="108" w:type="dxa"/>
          <w:bottom w:w="0" w:type="dxa"/>
          <w:right w:w="108" w:type="dxa"/>
        </w:tblCellMar>
      </w:tblPr>
      <w:tblGrid>
        <w:gridCol w:w="2453"/>
        <w:gridCol w:w="6972"/>
      </w:tblGrid>
      <w:tr w14:paraId="6086372F">
        <w:tblPrEx>
          <w:tblCellMar>
            <w:top w:w="0" w:type="dxa"/>
            <w:left w:w="108" w:type="dxa"/>
            <w:bottom w:w="0" w:type="dxa"/>
            <w:right w:w="108" w:type="dxa"/>
          </w:tblCellMar>
        </w:tblPrEx>
        <w:trPr>
          <w:trHeight w:val="1394" w:hRule="atLeast"/>
        </w:trPr>
        <w:tc>
          <w:tcPr>
            <w:tcW w:w="9425" w:type="dxa"/>
            <w:gridSpan w:val="2"/>
            <w:tcBorders>
              <w:top w:val="single" w:color="000000" w:sz="8" w:space="0"/>
              <w:left w:val="single" w:color="000000" w:sz="8" w:space="0"/>
              <w:bottom w:val="single" w:color="000000" w:sz="4" w:space="0"/>
              <w:right w:val="single" w:color="000000" w:sz="8" w:space="0"/>
            </w:tcBorders>
            <w:vAlign w:val="center"/>
          </w:tcPr>
          <w:p w14:paraId="48ADF03B">
            <w:pPr>
              <w:widowControl/>
              <w:spacing w:line="600" w:lineRule="exact"/>
              <w:jc w:val="center"/>
              <w:textAlignment w:val="center"/>
              <w:rPr>
                <w:rFonts w:hint="eastAsia" w:ascii="方正小标宋简体" w:hAnsi="方正小标宋简体" w:eastAsia="方正小标宋简体" w:cs="方正小标宋简体"/>
                <w:color w:val="000000"/>
                <w:sz w:val="40"/>
                <w:szCs w:val="40"/>
                <w:highlight w:val="none"/>
              </w:rPr>
            </w:pPr>
            <w:r>
              <w:rPr>
                <w:rFonts w:hint="eastAsia" w:ascii="方正小标宋简体" w:hAnsi="方正小标宋简体" w:eastAsia="方正小标宋简体" w:cs="方正小标宋简体"/>
                <w:color w:val="000000"/>
                <w:kern w:val="0"/>
                <w:sz w:val="40"/>
                <w:szCs w:val="40"/>
                <w:highlight w:val="none"/>
                <w:lang w:bidi="ar"/>
              </w:rPr>
              <w:t>理财产品说明书关键要素</w:t>
            </w:r>
          </w:p>
        </w:tc>
      </w:tr>
      <w:tr w14:paraId="731830AB">
        <w:tblPrEx>
          <w:tblCellMar>
            <w:top w:w="0" w:type="dxa"/>
            <w:left w:w="108" w:type="dxa"/>
            <w:bottom w:w="0" w:type="dxa"/>
            <w:right w:w="108" w:type="dxa"/>
          </w:tblCellMar>
        </w:tblPrEx>
        <w:trPr>
          <w:trHeight w:val="980" w:hRule="atLeast"/>
        </w:trPr>
        <w:tc>
          <w:tcPr>
            <w:tcW w:w="9425" w:type="dxa"/>
            <w:gridSpan w:val="2"/>
            <w:tcBorders>
              <w:top w:val="single" w:color="000000" w:sz="4" w:space="0"/>
              <w:left w:val="single" w:color="000000" w:sz="8" w:space="0"/>
              <w:bottom w:val="nil"/>
              <w:right w:val="single" w:color="000000" w:sz="8" w:space="0"/>
            </w:tcBorders>
            <w:vAlign w:val="center"/>
          </w:tcPr>
          <w:p w14:paraId="2A4C40DD">
            <w:pPr>
              <w:widowControl/>
              <w:spacing w:line="400" w:lineRule="exact"/>
              <w:jc w:val="center"/>
              <w:textAlignment w:val="center"/>
              <w:rPr>
                <w:rFonts w:hint="eastAsia" w:ascii="仿宋_GB2312" w:hAnsi="等线" w:eastAsia="仿宋_GB2312" w:cs="仿宋_GB2312"/>
                <w:color w:val="000000"/>
                <w:sz w:val="24"/>
                <w:highlight w:val="none"/>
              </w:rPr>
            </w:pPr>
            <w:r>
              <w:rPr>
                <w:rFonts w:hint="eastAsia" w:cs="仿宋_GB2312"/>
                <w:sz w:val="22"/>
                <w:szCs w:val="22"/>
                <w:highlight w:val="none"/>
                <w:lang w:bidi="ar"/>
              </w:rPr>
              <w:t>本表格提供本理财产品的重要信息，是理财产品说明书的一部分。</w:t>
            </w:r>
            <w:r>
              <w:rPr>
                <w:rFonts w:hint="eastAsia" w:cs="仿宋_GB2312"/>
                <w:sz w:val="22"/>
                <w:szCs w:val="22"/>
                <w:highlight w:val="none"/>
                <w:lang w:bidi="ar"/>
              </w:rPr>
              <w:br w:type="textWrapping"/>
            </w:r>
            <w:r>
              <w:rPr>
                <w:rFonts w:hint="eastAsia" w:cs="仿宋_GB2312"/>
                <w:sz w:val="22"/>
                <w:szCs w:val="22"/>
                <w:highlight w:val="none"/>
                <w:lang w:bidi="ar"/>
              </w:rPr>
              <w:t>作出投资决定前，请阅读完整的理财产品说明书等销售文件。</w:t>
            </w:r>
          </w:p>
        </w:tc>
      </w:tr>
      <w:tr w14:paraId="090FBF09">
        <w:tblPrEx>
          <w:tblCellMar>
            <w:top w:w="0" w:type="dxa"/>
            <w:left w:w="108" w:type="dxa"/>
            <w:bottom w:w="0" w:type="dxa"/>
            <w:right w:w="108" w:type="dxa"/>
          </w:tblCellMar>
        </w:tblPrEx>
        <w:trPr>
          <w:trHeight w:val="270" w:hRule="atLeast"/>
        </w:trPr>
        <w:tc>
          <w:tcPr>
            <w:tcW w:w="9425" w:type="dxa"/>
            <w:gridSpan w:val="2"/>
            <w:tcBorders>
              <w:top w:val="single" w:color="000000" w:sz="4" w:space="0"/>
              <w:left w:val="single" w:color="000000" w:sz="8" w:space="0"/>
              <w:bottom w:val="single" w:color="auto" w:sz="4" w:space="0"/>
              <w:right w:val="single" w:color="000000" w:sz="8" w:space="0"/>
            </w:tcBorders>
            <w:vAlign w:val="center"/>
          </w:tcPr>
          <w:p w14:paraId="15D33A1F">
            <w:pPr>
              <w:widowControl/>
              <w:spacing w:line="400" w:lineRule="exact"/>
              <w:jc w:val="center"/>
              <w:textAlignment w:val="center"/>
              <w:rPr>
                <w:rFonts w:hint="eastAsia" w:ascii="楷体_GB2312" w:hAnsi="等线" w:eastAsia="楷体_GB2312" w:cs="楷体_GB2312"/>
                <w:b/>
                <w:bCs/>
                <w:color w:val="000000"/>
                <w:sz w:val="24"/>
                <w:highlight w:val="none"/>
              </w:rPr>
            </w:pPr>
            <w:r>
              <w:rPr>
                <w:rFonts w:hint="eastAsia" w:ascii="楷体_GB2312" w:hAnsi="等线" w:eastAsia="楷体_GB2312" w:cs="楷体_GB2312"/>
                <w:b/>
                <w:bCs/>
                <w:color w:val="000000"/>
                <w:kern w:val="0"/>
                <w:sz w:val="24"/>
                <w:highlight w:val="none"/>
                <w:lang w:bidi="ar"/>
              </w:rPr>
              <w:t>（一）理财产品基本信息</w:t>
            </w:r>
          </w:p>
        </w:tc>
      </w:tr>
      <w:tr w14:paraId="5DE50CDB">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7163EF74">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产品登记编码</w:t>
            </w:r>
          </w:p>
        </w:tc>
        <w:tc>
          <w:tcPr>
            <w:tcW w:w="6972" w:type="dxa"/>
            <w:tcBorders>
              <w:top w:val="single" w:color="auto" w:sz="4" w:space="0"/>
              <w:left w:val="single" w:color="auto" w:sz="4" w:space="0"/>
              <w:bottom w:val="single" w:color="auto" w:sz="4" w:space="0"/>
              <w:right w:val="single" w:color="auto" w:sz="4" w:space="0"/>
            </w:tcBorders>
            <w:vAlign w:val="center"/>
          </w:tcPr>
          <w:p w14:paraId="78294213">
            <w:pPr>
              <w:widowControl/>
              <w:spacing w:line="400" w:lineRule="exact"/>
              <w:jc w:val="left"/>
              <w:textAlignment w:val="center"/>
              <w:rPr>
                <w:rFonts w:hint="eastAsia" w:ascii="宋体" w:hAnsi="宋体"/>
                <w:color w:val="auto"/>
                <w:szCs w:val="24"/>
                <w:highlight w:val="yellow"/>
                <w:u w:val="none"/>
              </w:rPr>
            </w:pPr>
            <w:r>
              <w:rPr>
                <w:rFonts w:hint="eastAsia" w:ascii="宋体" w:hAnsi="宋体"/>
                <w:color w:val="auto"/>
                <w:szCs w:val="24"/>
                <w:highlight w:val="yellow"/>
                <w:u w:val="none"/>
              </w:rPr>
              <w:t>【】</w:t>
            </w:r>
          </w:p>
          <w:p w14:paraId="6F8E33D6">
            <w:pPr>
              <w:widowControl/>
              <w:spacing w:line="400" w:lineRule="exact"/>
              <w:jc w:val="left"/>
              <w:textAlignment w:val="center"/>
              <w:rPr>
                <w:rFonts w:hint="eastAsia" w:ascii="仿宋_GB2312" w:hAnsi="等线" w:eastAsia="仿宋_GB2312" w:cs="仿宋_GB2312"/>
                <w:color w:val="000000" w:themeColor="text1"/>
                <w:kern w:val="0"/>
                <w:sz w:val="24"/>
                <w:highlight w:val="none"/>
                <w:lang w:bidi="ar"/>
                <w14:textFill>
                  <w14:solidFill>
                    <w14:schemeClr w14:val="tx1"/>
                  </w14:solidFill>
                </w14:textFill>
              </w:rPr>
            </w:pPr>
            <w:r>
              <w:rPr>
                <w:rFonts w:hint="eastAsia" w:ascii="仿宋_GB2312" w:hAnsi="仿宋_GB2312" w:cs="仿宋_GB2312"/>
                <w:sz w:val="22"/>
                <w:szCs w:val="22"/>
                <w:highlight w:val="none"/>
                <w:lang w:bidi="ar"/>
              </w:rPr>
              <w:t>（重要提示：可依据该登记编码在中国理财网www.chinawealth.com.cn查询产品信息）</w:t>
            </w:r>
          </w:p>
        </w:tc>
      </w:tr>
      <w:tr w14:paraId="55D5174B">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700466C">
            <w:pPr>
              <w:widowControl/>
              <w:spacing w:line="400" w:lineRule="exact"/>
              <w:jc w:val="center"/>
              <w:textAlignment w:val="center"/>
              <w:rPr>
                <w:rFonts w:hint="eastAsia" w:ascii="仿宋_GB2312" w:hAnsi="等线" w:cs="仿宋_GB2312"/>
                <w:color w:val="000000" w:themeColor="text1"/>
                <w:kern w:val="0"/>
                <w:sz w:val="24"/>
                <w:highlight w:val="none"/>
                <w:lang w:eastAsia="zh-CN" w:bidi="ar"/>
                <w14:textFill>
                  <w14:solidFill>
                    <w14:schemeClr w14:val="tx1"/>
                  </w14:solidFill>
                </w14:textFill>
              </w:rPr>
            </w:pPr>
            <w:r>
              <w:rPr>
                <w:rFonts w:hint="eastAsia" w:ascii="仿宋_GB2312" w:hAnsi="等线" w:cs="仿宋_GB2312"/>
                <w:color w:val="000000" w:themeColor="text1"/>
                <w:kern w:val="0"/>
                <w:sz w:val="24"/>
                <w:highlight w:val="none"/>
                <w:lang w:eastAsia="zh-CN" w:bidi="ar"/>
                <w14:textFill>
                  <w14:solidFill>
                    <w14:schemeClr w14:val="tx1"/>
                  </w14:solidFill>
                </w14:textFill>
              </w:rPr>
              <w:t>产品代码</w:t>
            </w:r>
          </w:p>
        </w:tc>
        <w:tc>
          <w:tcPr>
            <w:tcW w:w="6972" w:type="dxa"/>
            <w:tcBorders>
              <w:top w:val="single" w:color="auto" w:sz="4" w:space="0"/>
              <w:left w:val="single" w:color="auto" w:sz="4" w:space="0"/>
              <w:bottom w:val="single" w:color="auto" w:sz="4" w:space="0"/>
              <w:right w:val="single" w:color="auto" w:sz="4" w:space="0"/>
            </w:tcBorders>
            <w:vAlign w:val="center"/>
          </w:tcPr>
          <w:p w14:paraId="710C0AE4">
            <w:pPr>
              <w:widowControl/>
              <w:spacing w:line="400" w:lineRule="exact"/>
              <w:jc w:val="left"/>
              <w:textAlignment w:val="center"/>
              <w:rPr>
                <w:rFonts w:hint="eastAsia" w:ascii="宋体" w:hAnsi="宋体"/>
                <w:color w:val="auto"/>
                <w:szCs w:val="24"/>
                <w:highlight w:val="none"/>
              </w:rPr>
            </w:pPr>
            <w:r>
              <w:rPr>
                <w:rFonts w:hint="eastAsia" w:ascii="宋体" w:hAnsi="宋体"/>
                <w:color w:val="auto"/>
                <w:szCs w:val="24"/>
                <w:highlight w:val="yellow"/>
                <w:u w:val="none"/>
              </w:rPr>
              <w:t>【】</w:t>
            </w:r>
          </w:p>
        </w:tc>
      </w:tr>
      <w:tr w14:paraId="1801BD41">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7395BF9">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cs="仿宋_GB2312"/>
                <w:color w:val="000000" w:themeColor="text1"/>
                <w:kern w:val="0"/>
                <w:sz w:val="24"/>
                <w:highlight w:val="none"/>
                <w:lang w:eastAsia="zh-CN" w:bidi="ar"/>
                <w14:textFill>
                  <w14:solidFill>
                    <w14:schemeClr w14:val="tx1"/>
                  </w14:solidFill>
                </w14:textFill>
              </w:rPr>
              <w:t>理财</w:t>
            </w:r>
            <w:r>
              <w:rPr>
                <w:rFonts w:hint="eastAsia" w:ascii="仿宋_GB2312" w:hAnsi="等线" w:eastAsia="仿宋_GB2312" w:cs="仿宋_GB2312"/>
                <w:color w:val="000000" w:themeColor="text1"/>
                <w:kern w:val="0"/>
                <w:sz w:val="24"/>
                <w:highlight w:val="none"/>
                <w:lang w:bidi="ar"/>
                <w14:textFill>
                  <w14:solidFill>
                    <w14:schemeClr w14:val="tx1"/>
                  </w14:solidFill>
                </w14:textFill>
              </w:rPr>
              <w:t>产品名称</w:t>
            </w:r>
          </w:p>
        </w:tc>
        <w:tc>
          <w:tcPr>
            <w:tcW w:w="6972" w:type="dxa"/>
            <w:tcBorders>
              <w:top w:val="single" w:color="auto" w:sz="4" w:space="0"/>
              <w:left w:val="single" w:color="auto" w:sz="4" w:space="0"/>
              <w:bottom w:val="single" w:color="auto" w:sz="4" w:space="0"/>
              <w:right w:val="single" w:color="auto" w:sz="4" w:space="0"/>
            </w:tcBorders>
            <w:vAlign w:val="center"/>
          </w:tcPr>
          <w:p w14:paraId="2888E1BD">
            <w:pPr>
              <w:widowControl/>
              <w:spacing w:line="400" w:lineRule="exact"/>
              <w:jc w:val="left"/>
              <w:textAlignment w:val="center"/>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ascii="宋体" w:hAnsi="宋体"/>
                <w:color w:val="auto"/>
                <w:szCs w:val="24"/>
                <w:highlight w:val="yellow"/>
                <w:u w:val="none"/>
              </w:rPr>
              <w:t>【】</w:t>
            </w:r>
          </w:p>
        </w:tc>
      </w:tr>
      <w:tr w14:paraId="0EB48771">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5429602">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份额代码</w:t>
            </w:r>
          </w:p>
        </w:tc>
        <w:tc>
          <w:tcPr>
            <w:tcW w:w="6972" w:type="dxa"/>
            <w:tcBorders>
              <w:top w:val="single" w:color="auto" w:sz="4" w:space="0"/>
              <w:left w:val="single" w:color="auto" w:sz="4" w:space="0"/>
              <w:bottom w:val="single" w:color="auto" w:sz="4" w:space="0"/>
              <w:right w:val="single" w:color="auto" w:sz="4" w:space="0"/>
            </w:tcBorders>
            <w:vAlign w:val="center"/>
          </w:tcPr>
          <w:p w14:paraId="55E23056">
            <w:pPr>
              <w:snapToGrid w:val="0"/>
              <w:jc w:val="left"/>
              <w:rPr>
                <w:rFonts w:ascii="宋体" w:hAnsi="宋体" w:cs="宋体"/>
                <w:color w:val="auto"/>
                <w:kern w:val="0"/>
                <w:szCs w:val="24"/>
                <w:highlight w:val="none"/>
              </w:rPr>
            </w:pPr>
            <w:r>
              <w:rPr>
                <w:rFonts w:hint="eastAsia" w:ascii="宋体" w:hAnsi="宋体" w:cs="宋体"/>
                <w:color w:val="auto"/>
                <w:kern w:val="0"/>
                <w:szCs w:val="24"/>
                <w:highlight w:val="none"/>
              </w:rPr>
              <w:t>本产品根据投资者购买理财产品的金额、销售渠道、客户类型等因素设置不同的产品份额类别，各类产品份额可能分别设置不同的销售名称、</w:t>
            </w:r>
            <w:r>
              <w:rPr>
                <w:rFonts w:hint="eastAsia" w:ascii="宋体" w:hAnsi="宋体" w:cs="宋体"/>
                <w:color w:val="auto"/>
                <w:kern w:val="0"/>
                <w:szCs w:val="24"/>
                <w:highlight w:val="none"/>
                <w:lang w:eastAsia="zh-CN"/>
              </w:rPr>
              <w:t>份额</w:t>
            </w:r>
            <w:r>
              <w:rPr>
                <w:rFonts w:hint="eastAsia" w:ascii="宋体" w:hAnsi="宋体" w:cs="宋体"/>
                <w:color w:val="auto"/>
                <w:kern w:val="0"/>
                <w:szCs w:val="24"/>
                <w:highlight w:val="none"/>
              </w:rPr>
              <w:t>代码、销售渠道、销售</w:t>
            </w:r>
            <w:r>
              <w:rPr>
                <w:rFonts w:hint="eastAsia" w:ascii="宋体" w:hAnsi="宋体" w:cs="宋体"/>
                <w:color w:val="auto"/>
                <w:kern w:val="0"/>
                <w:szCs w:val="24"/>
                <w:highlight w:val="none"/>
                <w:lang w:eastAsia="zh-CN"/>
              </w:rPr>
              <w:t>对象</w:t>
            </w:r>
            <w:r>
              <w:rPr>
                <w:rFonts w:hint="eastAsia" w:ascii="宋体" w:hAnsi="宋体" w:cs="宋体"/>
                <w:color w:val="auto"/>
                <w:kern w:val="0"/>
                <w:szCs w:val="24"/>
                <w:highlight w:val="none"/>
              </w:rPr>
              <w:t>、销售服务费率、收费方式、业绩比较基准、</w:t>
            </w:r>
            <w:r>
              <w:rPr>
                <w:rFonts w:hint="eastAsia" w:ascii="宋体" w:hAnsi="宋体" w:cs="宋体"/>
                <w:color w:val="auto"/>
                <w:kern w:val="0"/>
                <w:szCs w:val="24"/>
                <w:highlight w:val="none"/>
                <w:lang w:eastAsia="zh-CN"/>
              </w:rPr>
              <w:t>起点销售</w:t>
            </w:r>
            <w:r>
              <w:rPr>
                <w:rFonts w:hint="eastAsia" w:ascii="宋体" w:hAnsi="宋体" w:cs="宋体"/>
                <w:color w:val="auto"/>
                <w:kern w:val="0"/>
                <w:szCs w:val="24"/>
                <w:highlight w:val="none"/>
              </w:rPr>
              <w:t>金额</w:t>
            </w:r>
            <w:r>
              <w:rPr>
                <w:rFonts w:hint="eastAsia" w:ascii="仿宋_GB2312" w:hAnsi="宋体" w:cs="宋体"/>
                <w:color w:val="auto"/>
                <w:kern w:val="0"/>
                <w:szCs w:val="24"/>
                <w:highlight w:val="none"/>
              </w:rPr>
              <w:t>及</w:t>
            </w:r>
            <w:r>
              <w:rPr>
                <w:rFonts w:hint="eastAsia" w:ascii="仿宋_GB2312" w:hAnsi="宋体" w:cs="宋体"/>
                <w:color w:val="auto"/>
                <w:kern w:val="0"/>
                <w:szCs w:val="24"/>
                <w:highlight w:val="none"/>
                <w:lang w:eastAsia="zh-CN"/>
              </w:rPr>
              <w:t>追加</w:t>
            </w:r>
            <w:r>
              <w:rPr>
                <w:rFonts w:hint="eastAsia" w:ascii="仿宋_GB2312" w:hAnsi="宋体" w:cs="宋体"/>
                <w:color w:val="auto"/>
                <w:kern w:val="0"/>
                <w:szCs w:val="24"/>
                <w:highlight w:val="none"/>
              </w:rPr>
              <w:t>递增金额</w:t>
            </w:r>
            <w:r>
              <w:rPr>
                <w:rFonts w:hint="eastAsia" w:ascii="宋体" w:hAnsi="宋体" w:cs="宋体"/>
                <w:color w:val="auto"/>
                <w:kern w:val="0"/>
                <w:szCs w:val="24"/>
                <w:highlight w:val="none"/>
              </w:rPr>
              <w:t>、认</w:t>
            </w:r>
            <w:r>
              <w:rPr>
                <w:rFonts w:ascii="宋体" w:hAnsi="宋体" w:cs="宋体"/>
                <w:color w:val="auto"/>
                <w:kern w:val="0"/>
                <w:szCs w:val="24"/>
                <w:highlight w:val="none"/>
              </w:rPr>
              <w:t>/</w:t>
            </w:r>
            <w:r>
              <w:rPr>
                <w:rFonts w:hint="eastAsia" w:ascii="宋体" w:hAnsi="宋体" w:cs="宋体"/>
                <w:color w:val="auto"/>
                <w:kern w:val="0"/>
                <w:szCs w:val="24"/>
                <w:highlight w:val="none"/>
              </w:rPr>
              <w:t>申购上限</w:t>
            </w:r>
            <w:r>
              <w:rPr>
                <w:rFonts w:ascii="宋体" w:hAnsi="宋体" w:cs="宋体"/>
                <w:color w:val="auto"/>
                <w:kern w:val="0"/>
                <w:szCs w:val="24"/>
                <w:highlight w:val="none"/>
              </w:rPr>
              <w:t>金额、</w:t>
            </w:r>
            <w:r>
              <w:rPr>
                <w:rFonts w:hint="eastAsia" w:ascii="宋体" w:hAnsi="宋体" w:cs="宋体"/>
                <w:color w:val="auto"/>
                <w:kern w:val="0"/>
                <w:szCs w:val="24"/>
                <w:highlight w:val="none"/>
              </w:rPr>
              <w:t>认</w:t>
            </w:r>
            <w:r>
              <w:rPr>
                <w:rFonts w:ascii="宋体" w:hAnsi="宋体" w:cs="宋体"/>
                <w:color w:val="auto"/>
                <w:kern w:val="0"/>
                <w:szCs w:val="24"/>
                <w:highlight w:val="none"/>
              </w:rPr>
              <w:t>/</w:t>
            </w:r>
            <w:r>
              <w:rPr>
                <w:rFonts w:hint="eastAsia" w:ascii="宋体" w:hAnsi="宋体" w:cs="宋体"/>
                <w:color w:val="auto"/>
                <w:kern w:val="0"/>
                <w:szCs w:val="24"/>
                <w:highlight w:val="none"/>
              </w:rPr>
              <w:t>申购和赎回数量限制、持有金额上/下限</w:t>
            </w:r>
            <w:r>
              <w:rPr>
                <w:rFonts w:hint="eastAsia"/>
                <w:color w:val="auto"/>
                <w:highlight w:val="none"/>
              </w:rPr>
              <w:t>、单一投资者持有份额占比上限、产品规模上限</w:t>
            </w:r>
            <w:r>
              <w:rPr>
                <w:rFonts w:hint="eastAsia" w:ascii="宋体" w:hAnsi="宋体" w:cs="宋体"/>
                <w:color w:val="auto"/>
                <w:kern w:val="0"/>
                <w:szCs w:val="24"/>
                <w:highlight w:val="none"/>
              </w:rPr>
              <w:t>等要素，并分别计算和公告各类产品份额单位净值，具体以对应的理财产品销售文件约定为准。</w:t>
            </w:r>
          </w:p>
          <w:p w14:paraId="240FF244">
            <w:pPr>
              <w:snapToGrid w:val="0"/>
              <w:jc w:val="left"/>
              <w:rPr>
                <w:rFonts w:ascii="宋体" w:hAnsi="宋体" w:cs="宋体"/>
                <w:color w:val="auto"/>
                <w:kern w:val="0"/>
                <w:szCs w:val="24"/>
                <w:highlight w:val="none"/>
              </w:rPr>
            </w:pPr>
            <w:r>
              <w:rPr>
                <w:rFonts w:hint="eastAsia" w:ascii="宋体" w:hAnsi="宋体" w:cs="宋体"/>
                <w:color w:val="auto"/>
                <w:kern w:val="0"/>
                <w:szCs w:val="24"/>
                <w:highlight w:val="none"/>
              </w:rPr>
              <w:t>投资者可根据实际情况自行选择认/申购的产品份额类别。</w:t>
            </w:r>
          </w:p>
          <w:p w14:paraId="4E2782AF">
            <w:pPr>
              <w:widowControl/>
              <w:spacing w:line="400" w:lineRule="exact"/>
              <w:jc w:val="left"/>
              <w:textAlignment w:val="center"/>
              <w:rPr>
                <w:rFonts w:hint="eastAsia" w:ascii="宋体" w:hAnsi="宋体" w:eastAsia="仿宋_GB2312" w:cstheme="minorBidi"/>
                <w:bCs w:val="0"/>
                <w:color w:val="auto"/>
                <w:kern w:val="2"/>
                <w:sz w:val="24"/>
                <w:szCs w:val="24"/>
                <w:highlight w:val="none"/>
                <w:u w:val="none"/>
                <w:lang w:bidi="ar"/>
              </w:rPr>
            </w:pPr>
            <w:r>
              <w:rPr>
                <w:rFonts w:hint="eastAsia" w:ascii="宋体" w:hAnsi="宋体" w:cs="宋体"/>
                <w:b/>
                <w:bCs/>
                <w:color w:val="auto"/>
                <w:kern w:val="0"/>
                <w:szCs w:val="24"/>
                <w:highlight w:val="none"/>
              </w:rPr>
              <w:t>产品管理人有权在本理财产品项下增设</w:t>
            </w:r>
            <w:r>
              <w:rPr>
                <w:rFonts w:hint="eastAsia" w:ascii="宋体" w:hAnsi="宋体" w:cs="宋体"/>
                <w:b/>
                <w:bCs/>
                <w:color w:val="auto"/>
                <w:kern w:val="0"/>
                <w:szCs w:val="24"/>
                <w:highlight w:val="none"/>
                <w:lang w:val="en-US" w:eastAsia="zh-CN"/>
              </w:rPr>
              <w:t>/终止</w:t>
            </w:r>
            <w:r>
              <w:rPr>
                <w:rFonts w:hint="eastAsia" w:ascii="宋体" w:hAnsi="宋体" w:cs="宋体"/>
                <w:b/>
                <w:bCs/>
                <w:color w:val="auto"/>
                <w:kern w:val="0"/>
                <w:szCs w:val="24"/>
                <w:highlight w:val="none"/>
              </w:rPr>
              <w:t>产品份额类别，届时，产品管理人将依据本理财产品销售文件的约定进行信息披露。</w:t>
            </w:r>
          </w:p>
          <w:p w14:paraId="2E490545">
            <w:pPr>
              <w:widowControl/>
              <w:spacing w:line="400" w:lineRule="exact"/>
              <w:jc w:val="both"/>
              <w:textAlignment w:val="center"/>
              <w:rPr>
                <w:rFonts w:hint="eastAsia" w:ascii="宋体" w:hAnsi="宋体" w:eastAsia="仿宋_GB2312"/>
                <w:color w:val="auto"/>
                <w:szCs w:val="24"/>
                <w:highlight w:val="none"/>
                <w:u w:val="none"/>
                <w:lang w:val="en-US" w:eastAsia="zh-CN"/>
              </w:rPr>
            </w:pPr>
            <w:r>
              <w:rPr>
                <w:rFonts w:hint="eastAsia" w:ascii="宋体" w:hAnsi="宋体" w:cstheme="minorBidi"/>
                <w:bCs w:val="0"/>
                <w:color w:val="auto"/>
                <w:kern w:val="2"/>
                <w:sz w:val="24"/>
                <w:szCs w:val="24"/>
                <w:highlight w:val="yellow"/>
                <w:u w:val="none"/>
                <w:lang w:eastAsia="zh-CN" w:bidi="ar"/>
              </w:rPr>
              <w:t>【</w:t>
            </w:r>
            <w:r>
              <w:rPr>
                <w:rFonts w:hint="eastAsia" w:ascii="宋体" w:hAnsi="宋体" w:eastAsia="仿宋_GB2312" w:cstheme="minorBidi"/>
                <w:bCs w:val="0"/>
                <w:color w:val="auto"/>
                <w:kern w:val="2"/>
                <w:sz w:val="24"/>
                <w:szCs w:val="24"/>
                <w:highlight w:val="yellow"/>
                <w:u w:val="none"/>
                <w:lang w:bidi="ar"/>
              </w:rPr>
              <w:t>A类份额</w:t>
            </w:r>
            <w:r>
              <w:rPr>
                <w:rFonts w:hint="eastAsia" w:ascii="宋体" w:hAnsi="宋体" w:cstheme="minorBidi"/>
                <w:bCs w:val="0"/>
                <w:color w:val="auto"/>
                <w:kern w:val="2"/>
                <w:sz w:val="24"/>
                <w:szCs w:val="24"/>
                <w:highlight w:val="yellow"/>
                <w:u w:val="none"/>
                <w:lang w:eastAsia="zh-CN" w:bidi="ar"/>
              </w:rPr>
              <w:t>】</w:t>
            </w:r>
            <w:r>
              <w:rPr>
                <w:rFonts w:hint="eastAsia" w:ascii="宋体" w:hAnsi="宋体" w:eastAsia="仿宋_GB2312" w:cstheme="minorBidi"/>
                <w:bCs w:val="0"/>
                <w:color w:val="auto"/>
                <w:kern w:val="2"/>
                <w:sz w:val="24"/>
                <w:szCs w:val="24"/>
                <w:highlight w:val="none"/>
                <w:u w:val="none"/>
                <w:lang w:bidi="ar"/>
              </w:rPr>
              <w:t>：份额代码</w:t>
            </w:r>
            <w:r>
              <w:rPr>
                <w:rFonts w:hint="eastAsia" w:ascii="宋体" w:hAnsi="宋体"/>
                <w:color w:val="auto"/>
                <w:szCs w:val="24"/>
                <w:highlight w:val="yellow"/>
                <w:u w:val="none"/>
              </w:rPr>
              <w:t>【】</w:t>
            </w:r>
          </w:p>
        </w:tc>
      </w:tr>
      <w:tr w14:paraId="71A0FDA8">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7EBCD2B">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发行机构名称</w:t>
            </w:r>
          </w:p>
        </w:tc>
        <w:tc>
          <w:tcPr>
            <w:tcW w:w="6972" w:type="dxa"/>
            <w:tcBorders>
              <w:top w:val="single" w:color="auto" w:sz="4" w:space="0"/>
              <w:left w:val="single" w:color="auto" w:sz="4" w:space="0"/>
              <w:bottom w:val="single" w:color="auto" w:sz="4" w:space="0"/>
              <w:right w:val="single" w:color="auto" w:sz="4" w:space="0"/>
            </w:tcBorders>
            <w:vAlign w:val="center"/>
          </w:tcPr>
          <w:p w14:paraId="177BFFAA">
            <w:pPr>
              <w:widowControl/>
              <w:spacing w:line="400" w:lineRule="exact"/>
              <w:jc w:val="left"/>
              <w:textAlignment w:val="center"/>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ascii="宋体" w:hAnsi="宋体" w:cs="宋体"/>
                <w:color w:val="auto"/>
                <w:kern w:val="0"/>
                <w:szCs w:val="24"/>
                <w:highlight w:val="none"/>
                <w:u w:val="none"/>
              </w:rPr>
              <w:t>浙银理财有限责任公司</w:t>
            </w:r>
          </w:p>
        </w:tc>
      </w:tr>
      <w:tr w14:paraId="60048480">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72758F8">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销售机构名称</w:t>
            </w:r>
          </w:p>
        </w:tc>
        <w:tc>
          <w:tcPr>
            <w:tcW w:w="6972" w:type="dxa"/>
            <w:tcBorders>
              <w:top w:val="single" w:color="auto" w:sz="4" w:space="0"/>
              <w:left w:val="single" w:color="auto" w:sz="4" w:space="0"/>
              <w:bottom w:val="single" w:color="auto" w:sz="4" w:space="0"/>
              <w:right w:val="single" w:color="auto" w:sz="4" w:space="0"/>
            </w:tcBorders>
            <w:vAlign w:val="center"/>
          </w:tcPr>
          <w:p w14:paraId="2189E148">
            <w:pPr>
              <w:widowControl/>
              <w:spacing w:line="400" w:lineRule="exact"/>
              <w:jc w:val="left"/>
              <w:textAlignment w:val="center"/>
              <w:rPr>
                <w:rFonts w:hint="eastAsia" w:ascii="宋体" w:hAnsi="宋体"/>
                <w:color w:val="auto"/>
                <w:szCs w:val="24"/>
                <w:highlight w:val="none"/>
                <w:u w:val="none"/>
                <w:lang w:val="en-US" w:eastAsia="zh-CN"/>
              </w:rPr>
            </w:pPr>
            <w:r>
              <w:rPr>
                <w:rFonts w:hint="eastAsia" w:ascii="宋体" w:hAnsi="宋体" w:cstheme="minorBidi"/>
                <w:bCs w:val="0"/>
                <w:color w:val="auto"/>
                <w:kern w:val="2"/>
                <w:sz w:val="24"/>
                <w:szCs w:val="24"/>
                <w:highlight w:val="yellow"/>
                <w:u w:val="none"/>
                <w:lang w:eastAsia="zh-CN" w:bidi="ar"/>
              </w:rPr>
              <w:t>【销售机构】</w:t>
            </w:r>
            <w:r>
              <w:rPr>
                <w:rFonts w:hint="eastAsia" w:ascii="宋体" w:hAnsi="宋体" w:cs="宋体"/>
                <w:color w:val="auto"/>
                <w:kern w:val="0"/>
                <w:szCs w:val="24"/>
                <w:highlight w:val="none"/>
                <w:lang w:val="en-US" w:eastAsia="zh-CN"/>
              </w:rPr>
              <w:t>：</w:t>
            </w:r>
            <w:r>
              <w:rPr>
                <w:rFonts w:hint="eastAsia" w:ascii="宋体" w:hAnsi="宋体" w:cstheme="minorBidi"/>
                <w:bCs w:val="0"/>
                <w:color w:val="auto"/>
                <w:kern w:val="2"/>
                <w:sz w:val="24"/>
                <w:szCs w:val="24"/>
                <w:highlight w:val="yellow"/>
                <w:u w:val="none"/>
                <w:lang w:eastAsia="zh-CN" w:bidi="ar"/>
              </w:rPr>
              <w:t>【份额代码】</w:t>
            </w:r>
          </w:p>
          <w:p w14:paraId="379CB708">
            <w:pPr>
              <w:widowControl/>
              <w:spacing w:line="400" w:lineRule="exact"/>
              <w:jc w:val="left"/>
              <w:textAlignment w:val="center"/>
              <w:rPr>
                <w:rFonts w:hint="eastAsia" w:ascii="宋体" w:hAnsi="宋体"/>
                <w:color w:val="auto"/>
                <w:szCs w:val="24"/>
                <w:highlight w:val="none"/>
                <w:u w:val="none"/>
                <w:lang w:val="en-US" w:eastAsia="zh-CN"/>
              </w:rPr>
            </w:pPr>
            <w:r>
              <w:rPr>
                <w:rFonts w:hint="eastAsia" w:ascii="宋体" w:hAnsi="宋体" w:eastAsia="仿宋_GB2312" w:cs="宋体"/>
                <w:color w:val="auto"/>
                <w:kern w:val="0"/>
                <w:sz w:val="24"/>
                <w:szCs w:val="24"/>
                <w:highlight w:val="none"/>
                <w:lang w:val="en-US" w:eastAsia="zh-CN" w:bidi="ar"/>
              </w:rPr>
              <w:t>后续销售机构如有新增、减少和变更，以</w:t>
            </w:r>
            <w:r>
              <w:rPr>
                <w:rFonts w:hint="eastAsia" w:ascii="宋体" w:hAnsi="宋体" w:cs="宋体"/>
                <w:color w:val="auto"/>
                <w:kern w:val="0"/>
                <w:sz w:val="24"/>
                <w:szCs w:val="24"/>
                <w:highlight w:val="none"/>
                <w:lang w:val="en-US" w:eastAsia="zh-CN" w:bidi="ar"/>
              </w:rPr>
              <w:t>产品</w:t>
            </w:r>
            <w:r>
              <w:rPr>
                <w:rFonts w:hint="eastAsia" w:ascii="宋体" w:hAnsi="宋体" w:eastAsia="仿宋_GB2312" w:cs="宋体"/>
                <w:color w:val="auto"/>
                <w:kern w:val="0"/>
                <w:sz w:val="24"/>
                <w:szCs w:val="24"/>
                <w:highlight w:val="none"/>
                <w:lang w:val="en-US" w:eastAsia="zh-CN" w:bidi="ar"/>
              </w:rPr>
              <w:t>管理人信息披露为准。</w:t>
            </w:r>
          </w:p>
        </w:tc>
      </w:tr>
      <w:tr w14:paraId="07A07543">
        <w:tblPrEx>
          <w:tblCellMar>
            <w:top w:w="0" w:type="dxa"/>
            <w:left w:w="108" w:type="dxa"/>
            <w:bottom w:w="0" w:type="dxa"/>
            <w:right w:w="108" w:type="dxa"/>
          </w:tblCellMar>
        </w:tblPrEx>
        <w:trPr>
          <w:trHeight w:val="600" w:hRule="atLeast"/>
        </w:trPr>
        <w:tc>
          <w:tcPr>
            <w:tcW w:w="2453" w:type="dxa"/>
            <w:tcBorders>
              <w:top w:val="single" w:color="auto" w:sz="4" w:space="0"/>
              <w:left w:val="single" w:color="auto" w:sz="4" w:space="0"/>
              <w:bottom w:val="single" w:color="auto" w:sz="4" w:space="0"/>
              <w:right w:val="single" w:color="auto" w:sz="4" w:space="0"/>
            </w:tcBorders>
            <w:vAlign w:val="center"/>
          </w:tcPr>
          <w:p w14:paraId="09FEA73F">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境内托管机构名称</w:t>
            </w:r>
          </w:p>
        </w:tc>
        <w:tc>
          <w:tcPr>
            <w:tcW w:w="6972" w:type="dxa"/>
            <w:tcBorders>
              <w:top w:val="single" w:color="auto" w:sz="4" w:space="0"/>
              <w:left w:val="single" w:color="auto" w:sz="4" w:space="0"/>
              <w:bottom w:val="single" w:color="auto" w:sz="4" w:space="0"/>
              <w:right w:val="single" w:color="auto" w:sz="4" w:space="0"/>
            </w:tcBorders>
            <w:vAlign w:val="center"/>
          </w:tcPr>
          <w:p w14:paraId="2645B64E">
            <w:pPr>
              <w:widowControl/>
              <w:spacing w:line="400" w:lineRule="exact"/>
              <w:jc w:val="left"/>
              <w:textAlignment w:val="center"/>
              <w:rPr>
                <w:rFonts w:hint="eastAsia" w:ascii="仿宋_GB2312" w:hAnsi="等线" w:eastAsia="仿宋_GB2312" w:cs="仿宋_GB2312"/>
                <w:bCs/>
                <w:color w:val="000000" w:themeColor="text1"/>
                <w:sz w:val="24"/>
                <w:highlight w:val="none"/>
                <w:lang w:eastAsia="zh-CN"/>
                <w14:textFill>
                  <w14:solidFill>
                    <w14:schemeClr w14:val="tx1"/>
                  </w14:solidFill>
                </w14:textFill>
              </w:rPr>
            </w:pPr>
            <w:r>
              <w:rPr>
                <w:rFonts w:hint="eastAsia" w:ascii="宋体" w:hAnsi="宋体"/>
                <w:color w:val="auto"/>
                <w:szCs w:val="24"/>
                <w:highlight w:val="yellow"/>
                <w:u w:val="none"/>
              </w:rPr>
              <w:t>【】</w:t>
            </w:r>
          </w:p>
        </w:tc>
      </w:tr>
      <w:tr w14:paraId="2776DCB1">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25EE7A8">
            <w:pPr>
              <w:widowControl/>
              <w:spacing w:line="400" w:lineRule="exact"/>
              <w:jc w:val="center"/>
              <w:textAlignment w:val="center"/>
              <w:rPr>
                <w:rFonts w:hint="eastAsia" w:ascii="仿宋_GB2312" w:hAnsi="等线" w:eastAsia="仿宋_GB2312" w:cs="仿宋_GB2312"/>
                <w:color w:val="000000" w:themeColor="text1"/>
                <w:kern w:val="0"/>
                <w:sz w:val="24"/>
                <w:highlight w:val="yellow"/>
                <w:lang w:eastAsia="zh-CN" w:bidi="ar"/>
                <w14:textFill>
                  <w14:solidFill>
                    <w14:schemeClr w14:val="tx1"/>
                  </w14:solidFill>
                </w14:textFill>
              </w:rPr>
            </w:pPr>
            <w:r>
              <w:rPr>
                <w:rFonts w:hint="eastAsia" w:ascii="仿宋_GB2312" w:hAnsi="等线" w:cs="仿宋_GB2312"/>
                <w:color w:val="000000" w:themeColor="text1"/>
                <w:kern w:val="0"/>
                <w:sz w:val="24"/>
                <w:highlight w:val="yellow"/>
                <w:lang w:eastAsia="zh-CN" w:bidi="ar"/>
                <w14:textFill>
                  <w14:solidFill>
                    <w14:schemeClr w14:val="tx1"/>
                  </w14:solidFill>
                </w14:textFill>
              </w:rPr>
              <w:t>【</w:t>
            </w:r>
            <w:r>
              <w:rPr>
                <w:rFonts w:hint="eastAsia" w:ascii="仿宋_GB2312" w:hAnsi="等线" w:eastAsia="仿宋_GB2312" w:cs="仿宋_GB2312"/>
                <w:color w:val="000000" w:themeColor="text1"/>
                <w:kern w:val="0"/>
                <w:sz w:val="24"/>
                <w:highlight w:val="yellow"/>
                <w:lang w:bidi="ar"/>
                <w14:textFill>
                  <w14:solidFill>
                    <w14:schemeClr w14:val="tx1"/>
                  </w14:solidFill>
                </w14:textFill>
              </w:rPr>
              <w:t>境外托管机构名称</w:t>
            </w:r>
            <w:r>
              <w:rPr>
                <w:rFonts w:hint="eastAsia" w:ascii="仿宋_GB2312" w:hAnsi="等线" w:cs="仿宋_GB2312"/>
                <w:color w:val="000000" w:themeColor="text1"/>
                <w:kern w:val="0"/>
                <w:sz w:val="24"/>
                <w:highlight w:val="yellow"/>
                <w:lang w:eastAsia="zh-CN" w:bidi="ar"/>
                <w14:textFill>
                  <w14:solidFill>
                    <w14:schemeClr w14:val="tx1"/>
                  </w14:solidFill>
                </w14:textFill>
              </w:rPr>
              <w:t>】</w:t>
            </w:r>
          </w:p>
        </w:tc>
        <w:tc>
          <w:tcPr>
            <w:tcW w:w="6972" w:type="dxa"/>
            <w:tcBorders>
              <w:top w:val="single" w:color="auto" w:sz="4" w:space="0"/>
              <w:left w:val="single" w:color="auto" w:sz="4" w:space="0"/>
              <w:bottom w:val="single" w:color="auto" w:sz="4" w:space="0"/>
              <w:right w:val="single" w:color="auto" w:sz="4" w:space="0"/>
            </w:tcBorders>
            <w:vAlign w:val="center"/>
          </w:tcPr>
          <w:p w14:paraId="5ED74C55">
            <w:pPr>
              <w:widowControl/>
              <w:jc w:val="left"/>
              <w:rPr>
                <w:rFonts w:hint="eastAsia" w:ascii="仿宋" w:hAnsi="仿宋" w:eastAsia="仿宋" w:cs="宋体"/>
                <w:bCs/>
                <w:color w:val="000000" w:themeColor="text1"/>
                <w:kern w:val="0"/>
                <w:sz w:val="24"/>
                <w:highlight w:val="yellow"/>
                <w:lang w:eastAsia="zh-CN" w:bidi="ar"/>
                <w14:textFill>
                  <w14:solidFill>
                    <w14:schemeClr w14:val="tx1"/>
                  </w14:solidFill>
                </w14:textFill>
              </w:rPr>
            </w:pPr>
            <w:r>
              <w:rPr>
                <w:rFonts w:hint="eastAsia" w:ascii="仿宋" w:hAnsi="仿宋" w:eastAsia="仿宋" w:cs="宋体"/>
                <w:bCs/>
                <w:color w:val="000000" w:themeColor="text1"/>
                <w:kern w:val="0"/>
                <w:sz w:val="24"/>
                <w:highlight w:val="yellow"/>
                <w:lang w:eastAsia="zh-CN" w:bidi="ar"/>
                <w14:textFill>
                  <w14:solidFill>
                    <w14:schemeClr w14:val="tx1"/>
                  </w14:solidFill>
                </w14:textFill>
              </w:rPr>
              <w:t>【】</w:t>
            </w:r>
          </w:p>
        </w:tc>
      </w:tr>
      <w:tr w14:paraId="184B77E8">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shd w:val="clear" w:color="auto" w:fill="auto"/>
            <w:vAlign w:val="center"/>
          </w:tcPr>
          <w:p w14:paraId="296B605E">
            <w:pPr>
              <w:widowControl/>
              <w:spacing w:line="400" w:lineRule="exact"/>
              <w:jc w:val="center"/>
              <w:textAlignment w:val="center"/>
              <w:rPr>
                <w:rFonts w:hint="eastAsia" w:ascii="仿宋_GB2312" w:hAnsi="等线" w:eastAsia="仿宋_GB2312" w:cs="仿宋_GB2312"/>
                <w:color w:val="000000" w:themeColor="text1"/>
                <w:kern w:val="2"/>
                <w:sz w:val="24"/>
                <w:szCs w:val="22"/>
                <w:highlight w:val="none"/>
                <w:lang w:val="en-US" w:eastAsia="zh-CN" w:bidi="ar-SA"/>
                <w14:textFill>
                  <w14:solidFill>
                    <w14:schemeClr w14:val="tx1"/>
                  </w14:solidFill>
                </w14:textFill>
              </w:rPr>
            </w:pPr>
            <w:r>
              <w:rPr>
                <w:rFonts w:hint="eastAsia" w:ascii="仿宋_GB2312" w:hAnsi="等线" w:cs="仿宋_GB2312"/>
                <w:color w:val="000000" w:themeColor="text1"/>
                <w:kern w:val="0"/>
                <w:sz w:val="24"/>
                <w:highlight w:val="none"/>
                <w:lang w:eastAsia="zh-CN" w:bidi="ar"/>
                <w14:textFill>
                  <w14:solidFill>
                    <w14:schemeClr w14:val="tx1"/>
                  </w14:solidFill>
                </w14:textFill>
              </w:rPr>
              <w:t>投资者范围</w:t>
            </w:r>
          </w:p>
        </w:tc>
        <w:tc>
          <w:tcPr>
            <w:tcW w:w="6972" w:type="dxa"/>
            <w:tcBorders>
              <w:top w:val="single" w:color="auto" w:sz="4" w:space="0"/>
              <w:left w:val="single" w:color="auto" w:sz="4" w:space="0"/>
              <w:bottom w:val="single" w:color="auto" w:sz="4" w:space="0"/>
              <w:right w:val="single" w:color="auto" w:sz="4" w:space="0"/>
            </w:tcBorders>
            <w:shd w:val="clear" w:color="auto" w:fill="auto"/>
            <w:vAlign w:val="center"/>
          </w:tcPr>
          <w:p w14:paraId="2F4264FA">
            <w:pPr>
              <w:snapToGrid w:val="0"/>
              <w:rPr>
                <w:rFonts w:ascii="宋体" w:hAnsi="宋体"/>
                <w:color w:val="auto"/>
                <w:szCs w:val="24"/>
                <w:highlight w:val="none"/>
                <w:u w:val="none"/>
              </w:rPr>
            </w:pPr>
            <w:r>
              <w:rPr>
                <w:rFonts w:hint="eastAsia" w:ascii="宋体" w:hAnsi="宋体"/>
                <w:color w:val="auto"/>
                <w:szCs w:val="24"/>
                <w:highlight w:val="none"/>
                <w:u w:val="none"/>
              </w:rPr>
              <w:t>不特定社会公众（个人、机构投资者）；其中，普通投资者应符合相关法律法规、监管规定，经销售机构评估评定投资者风险承受能力与本产品风险等级相适应。</w:t>
            </w:r>
          </w:p>
          <w:p w14:paraId="32C178B0">
            <w:pPr>
              <w:widowControl/>
              <w:spacing w:line="400" w:lineRule="exact"/>
              <w:jc w:val="left"/>
              <w:textAlignment w:val="center"/>
              <w:rPr>
                <w:rFonts w:hint="eastAsia" w:ascii="仿宋_GB2312" w:hAnsi="等线" w:eastAsia="仿宋_GB2312" w:cs="仿宋_GB2312"/>
                <w:bCs/>
                <w:color w:val="000000" w:themeColor="text1"/>
                <w:kern w:val="2"/>
                <w:sz w:val="24"/>
                <w:szCs w:val="22"/>
                <w:highlight w:val="none"/>
                <w:lang w:val="en-US" w:eastAsia="zh-CN" w:bidi="ar-SA"/>
                <w14:textFill>
                  <w14:solidFill>
                    <w14:schemeClr w14:val="tx1"/>
                  </w14:solidFill>
                </w14:textFill>
              </w:rPr>
            </w:pPr>
            <w:r>
              <w:rPr>
                <w:rFonts w:hint="eastAsia" w:ascii="宋体" w:hAnsi="宋体"/>
                <w:color w:val="auto"/>
                <w:szCs w:val="24"/>
                <w:highlight w:val="none"/>
                <w:u w:val="none"/>
              </w:rPr>
              <w:t>本产品通过销售机构销售的，产品风险等级应当以销售机构最终披露的评级结果为准。</w:t>
            </w:r>
          </w:p>
        </w:tc>
      </w:tr>
      <w:tr w14:paraId="28EF13C6">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B1ECCA7">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销售对象</w:t>
            </w:r>
          </w:p>
        </w:tc>
        <w:tc>
          <w:tcPr>
            <w:tcW w:w="6972" w:type="dxa"/>
            <w:tcBorders>
              <w:top w:val="single" w:color="auto" w:sz="4" w:space="0"/>
              <w:left w:val="single" w:color="auto" w:sz="4" w:space="0"/>
              <w:bottom w:val="single" w:color="auto" w:sz="4" w:space="0"/>
              <w:right w:val="single" w:color="auto" w:sz="4" w:space="0"/>
            </w:tcBorders>
            <w:vAlign w:val="center"/>
          </w:tcPr>
          <w:tbl>
            <w:tblPr>
              <w:tblStyle w:val="8"/>
              <w:tblW w:w="6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5"/>
              <w:gridCol w:w="1834"/>
              <w:gridCol w:w="3207"/>
            </w:tblGrid>
            <w:tr w14:paraId="09BFC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tcPr>
                <w:p w14:paraId="4F19FE10">
                  <w:pPr>
                    <w:widowControl/>
                    <w:spacing w:line="400" w:lineRule="exact"/>
                    <w:jc w:val="center"/>
                    <w:textAlignment w:val="center"/>
                    <w:rPr>
                      <w:rFonts w:hint="eastAsia" w:ascii="仿宋_GB2312" w:hAnsi="等线" w:cs="仿宋_GB2312"/>
                      <w:bCs/>
                      <w:color w:val="000000" w:themeColor="text1"/>
                      <w:sz w:val="24"/>
                      <w:highlight w:val="none"/>
                      <w:vertAlign w:val="baseline"/>
                      <w:lang w:eastAsia="zh-CN"/>
                      <w14:textFill>
                        <w14:solidFill>
                          <w14:schemeClr w14:val="tx1"/>
                        </w14:solidFill>
                      </w14:textFill>
                    </w:rPr>
                  </w:pPr>
                  <w:r>
                    <w:rPr>
                      <w:rFonts w:hint="eastAsia" w:ascii="仿宋_GB2312" w:hAnsi="等线" w:cs="仿宋_GB2312"/>
                      <w:bCs/>
                      <w:color w:val="000000" w:themeColor="text1"/>
                      <w:sz w:val="24"/>
                      <w:highlight w:val="none"/>
                      <w:vertAlign w:val="baseline"/>
                      <w:lang w:eastAsia="zh-CN"/>
                      <w14:textFill>
                        <w14:solidFill>
                          <w14:schemeClr w14:val="tx1"/>
                        </w14:solidFill>
                      </w14:textFill>
                    </w:rPr>
                    <w:t>份额代码</w:t>
                  </w:r>
                </w:p>
              </w:tc>
              <w:tc>
                <w:tcPr>
                  <w:tcW w:w="1834" w:type="dxa"/>
                </w:tcPr>
                <w:p w14:paraId="1F1732C6">
                  <w:pPr>
                    <w:widowControl/>
                    <w:spacing w:line="400" w:lineRule="exact"/>
                    <w:jc w:val="center"/>
                    <w:textAlignment w:val="center"/>
                    <w:rPr>
                      <w:rFonts w:hint="eastAsia" w:ascii="仿宋_GB2312" w:hAnsi="等线" w:cs="仿宋_GB2312"/>
                      <w:bCs/>
                      <w:color w:val="000000" w:themeColor="text1"/>
                      <w:sz w:val="24"/>
                      <w:highlight w:val="none"/>
                      <w:vertAlign w:val="baseline"/>
                      <w:lang w:eastAsia="zh-CN"/>
                      <w14:textFill>
                        <w14:solidFill>
                          <w14:schemeClr w14:val="tx1"/>
                        </w14:solidFill>
                      </w14:textFill>
                    </w:rPr>
                  </w:pPr>
                  <w:r>
                    <w:rPr>
                      <w:rFonts w:hint="eastAsia" w:ascii="仿宋_GB2312" w:hAnsi="等线" w:cs="仿宋_GB2312"/>
                      <w:bCs/>
                      <w:color w:val="000000" w:themeColor="text1"/>
                      <w:sz w:val="24"/>
                      <w:highlight w:val="none"/>
                      <w:vertAlign w:val="baseline"/>
                      <w:lang w:eastAsia="zh-CN"/>
                      <w14:textFill>
                        <w14:solidFill>
                          <w14:schemeClr w14:val="tx1"/>
                        </w14:solidFill>
                      </w14:textFill>
                    </w:rPr>
                    <w:t>销售对象</w:t>
                  </w:r>
                </w:p>
              </w:tc>
              <w:tc>
                <w:tcPr>
                  <w:tcW w:w="3207" w:type="dxa"/>
                </w:tcPr>
                <w:p w14:paraId="1FE7EF92">
                  <w:pPr>
                    <w:widowControl/>
                    <w:spacing w:line="400" w:lineRule="exact"/>
                    <w:jc w:val="center"/>
                    <w:textAlignment w:val="center"/>
                    <w:rPr>
                      <w:rFonts w:hint="eastAsia" w:ascii="仿宋_GB2312" w:hAnsi="等线" w:cs="仿宋_GB2312"/>
                      <w:bCs/>
                      <w:color w:val="000000" w:themeColor="text1"/>
                      <w:sz w:val="24"/>
                      <w:highlight w:val="none"/>
                      <w:vertAlign w:val="baseline"/>
                      <w:lang w:eastAsia="zh-CN"/>
                      <w14:textFill>
                        <w14:solidFill>
                          <w14:schemeClr w14:val="tx1"/>
                        </w14:solidFill>
                      </w14:textFill>
                    </w:rPr>
                  </w:pPr>
                  <w:r>
                    <w:rPr>
                      <w:rFonts w:hint="eastAsia" w:ascii="仿宋_GB2312" w:hAnsi="等线" w:cs="仿宋_GB2312"/>
                      <w:bCs/>
                      <w:color w:val="000000" w:themeColor="text1"/>
                      <w:sz w:val="24"/>
                      <w:highlight w:val="none"/>
                      <w:vertAlign w:val="baseline"/>
                      <w:lang w:eastAsia="zh-CN"/>
                      <w14:textFill>
                        <w14:solidFill>
                          <w14:schemeClr w14:val="tx1"/>
                        </w14:solidFill>
                      </w14:textFill>
                    </w:rPr>
                    <w:t>销售机构</w:t>
                  </w:r>
                </w:p>
              </w:tc>
            </w:tr>
            <w:tr w14:paraId="7C328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5" w:type="dxa"/>
                </w:tcPr>
                <w:p w14:paraId="608143B2">
                  <w:pPr>
                    <w:widowControl/>
                    <w:spacing w:line="400" w:lineRule="exact"/>
                    <w:jc w:val="center"/>
                    <w:textAlignment w:val="center"/>
                    <w:rPr>
                      <w:rFonts w:hint="eastAsia" w:ascii="仿宋_GB2312" w:hAnsi="等线" w:cs="仿宋_GB2312"/>
                      <w:bCs/>
                      <w:color w:val="000000" w:themeColor="text1"/>
                      <w:sz w:val="24"/>
                      <w:highlight w:val="none"/>
                      <w:vertAlign w:val="baseline"/>
                      <w:lang w:eastAsia="zh-CN"/>
                      <w14:textFill>
                        <w14:solidFill>
                          <w14:schemeClr w14:val="tx1"/>
                        </w14:solidFill>
                      </w14:textFill>
                    </w:rPr>
                  </w:pPr>
                </w:p>
              </w:tc>
              <w:tc>
                <w:tcPr>
                  <w:tcW w:w="1834" w:type="dxa"/>
                </w:tcPr>
                <w:p w14:paraId="61624FEA">
                  <w:pPr>
                    <w:widowControl/>
                    <w:spacing w:line="400" w:lineRule="exact"/>
                    <w:jc w:val="center"/>
                    <w:textAlignment w:val="center"/>
                    <w:rPr>
                      <w:rFonts w:hint="eastAsia" w:ascii="仿宋_GB2312" w:hAnsi="等线" w:cs="仿宋_GB2312"/>
                      <w:bCs/>
                      <w:color w:val="000000" w:themeColor="text1"/>
                      <w:sz w:val="24"/>
                      <w:highlight w:val="none"/>
                      <w:vertAlign w:val="baseline"/>
                      <w:lang w:eastAsia="zh-CN"/>
                      <w14:textFill>
                        <w14:solidFill>
                          <w14:schemeClr w14:val="tx1"/>
                        </w14:solidFill>
                      </w14:textFill>
                    </w:rPr>
                  </w:pPr>
                </w:p>
              </w:tc>
              <w:tc>
                <w:tcPr>
                  <w:tcW w:w="3207" w:type="dxa"/>
                </w:tcPr>
                <w:p w14:paraId="1B0F5D73">
                  <w:pPr>
                    <w:widowControl/>
                    <w:spacing w:line="400" w:lineRule="exact"/>
                    <w:jc w:val="center"/>
                    <w:textAlignment w:val="center"/>
                    <w:rPr>
                      <w:rFonts w:hint="eastAsia" w:ascii="仿宋_GB2312" w:hAnsi="等线" w:cs="仿宋_GB2312"/>
                      <w:bCs/>
                      <w:color w:val="000000" w:themeColor="text1"/>
                      <w:sz w:val="24"/>
                      <w:highlight w:val="none"/>
                      <w:vertAlign w:val="baseline"/>
                      <w:lang w:eastAsia="zh-CN"/>
                      <w14:textFill>
                        <w14:solidFill>
                          <w14:schemeClr w14:val="tx1"/>
                        </w14:solidFill>
                      </w14:textFill>
                    </w:rPr>
                  </w:pPr>
                </w:p>
              </w:tc>
            </w:tr>
          </w:tbl>
          <w:p w14:paraId="1AF240B4">
            <w:pPr>
              <w:widowControl/>
              <w:spacing w:line="400" w:lineRule="exact"/>
              <w:jc w:val="left"/>
              <w:textAlignment w:val="center"/>
              <w:rPr>
                <w:rFonts w:hint="eastAsia" w:ascii="仿宋_GB2312" w:hAnsi="等线" w:cs="仿宋_GB2312"/>
                <w:bCs/>
                <w:color w:val="000000" w:themeColor="text1"/>
                <w:sz w:val="24"/>
                <w:highlight w:val="none"/>
                <w:lang w:eastAsia="zh-CN"/>
                <w14:textFill>
                  <w14:solidFill>
                    <w14:schemeClr w14:val="tx1"/>
                  </w14:solidFill>
                </w14:textFill>
              </w:rPr>
            </w:pPr>
          </w:p>
        </w:tc>
      </w:tr>
      <w:tr w14:paraId="24605367">
        <w:tblPrEx>
          <w:tblCellMar>
            <w:top w:w="0" w:type="dxa"/>
            <w:left w:w="108" w:type="dxa"/>
            <w:bottom w:w="0" w:type="dxa"/>
            <w:right w:w="108" w:type="dxa"/>
          </w:tblCellMar>
        </w:tblPrEx>
        <w:trPr>
          <w:trHeight w:val="38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3758428F">
            <w:pPr>
              <w:widowControl/>
              <w:spacing w:line="400" w:lineRule="exact"/>
              <w:jc w:val="center"/>
              <w:textAlignment w:val="center"/>
              <w:rPr>
                <w:rFonts w:hint="eastAsia" w:ascii="楷体_GB2312" w:hAnsi="等线" w:eastAsia="楷体_GB2312" w:cs="楷体_GB2312"/>
                <w:b/>
                <w:bCs/>
                <w:color w:val="000000" w:themeColor="text1"/>
                <w:sz w:val="24"/>
                <w:highlight w:val="none"/>
                <w14:textFill>
                  <w14:solidFill>
                    <w14:schemeClr w14:val="tx1"/>
                  </w14:solidFill>
                </w14:textFill>
              </w:rPr>
            </w:pPr>
            <w:r>
              <w:rPr>
                <w:rFonts w:hint="eastAsia" w:ascii="楷体_GB2312" w:hAnsi="等线" w:eastAsia="楷体_GB2312" w:cs="楷体_GB2312"/>
                <w:b/>
                <w:bCs/>
                <w:color w:val="000000" w:themeColor="text1"/>
                <w:kern w:val="0"/>
                <w:sz w:val="24"/>
                <w:highlight w:val="none"/>
                <w:lang w:bidi="ar"/>
                <w14:textFill>
                  <w14:solidFill>
                    <w14:schemeClr w14:val="tx1"/>
                  </w14:solidFill>
                </w14:textFill>
              </w:rPr>
              <w:t>（二）交易规则</w:t>
            </w:r>
          </w:p>
        </w:tc>
      </w:tr>
      <w:tr w14:paraId="0F378E2B">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55E994D">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募集币种</w:t>
            </w:r>
          </w:p>
        </w:tc>
        <w:tc>
          <w:tcPr>
            <w:tcW w:w="6972" w:type="dxa"/>
            <w:tcBorders>
              <w:top w:val="single" w:color="auto" w:sz="4" w:space="0"/>
              <w:left w:val="single" w:color="auto" w:sz="4" w:space="0"/>
              <w:bottom w:val="single" w:color="auto" w:sz="4" w:space="0"/>
              <w:right w:val="single" w:color="auto" w:sz="4" w:space="0"/>
            </w:tcBorders>
            <w:vAlign w:val="center"/>
          </w:tcPr>
          <w:p w14:paraId="2C54F739">
            <w:pPr>
              <w:widowControl/>
              <w:spacing w:line="400" w:lineRule="exact"/>
              <w:jc w:val="left"/>
              <w:textAlignment w:val="center"/>
              <w:rPr>
                <w:rFonts w:hint="eastAsia" w:ascii="仿宋_GB2312" w:hAnsi="等线" w:eastAsia="仿宋_GB2312" w:cs="仿宋_GB2312"/>
                <w:bCs/>
                <w:color w:val="000000" w:themeColor="text1"/>
                <w:sz w:val="24"/>
                <w:highlight w:val="none"/>
                <w:lang w:eastAsia="zh-CN"/>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【人民币】</w:t>
            </w:r>
          </w:p>
        </w:tc>
      </w:tr>
      <w:tr w14:paraId="015FED8A">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22233A8">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起点销售金额</w:t>
            </w:r>
          </w:p>
        </w:tc>
        <w:tc>
          <w:tcPr>
            <w:tcW w:w="6972" w:type="dxa"/>
            <w:tcBorders>
              <w:top w:val="single" w:color="auto" w:sz="4" w:space="0"/>
              <w:left w:val="single" w:color="auto" w:sz="4" w:space="0"/>
              <w:bottom w:val="single" w:color="auto" w:sz="4" w:space="0"/>
              <w:right w:val="single" w:color="auto" w:sz="4" w:space="0"/>
            </w:tcBorders>
            <w:vAlign w:val="center"/>
          </w:tcPr>
          <w:p w14:paraId="607A7551">
            <w:pPr>
              <w:widowControl/>
              <w:spacing w:line="400" w:lineRule="exact"/>
              <w:jc w:val="left"/>
              <w:textAlignment w:val="center"/>
              <w:rPr>
                <w:rFonts w:hint="default" w:ascii="宋体" w:hAnsi="宋体"/>
                <w:color w:val="auto"/>
                <w:szCs w:val="24"/>
                <w:highlight w:val="none"/>
                <w:u w:val="none"/>
                <w:lang w:val="en-US" w:eastAsia="zh-CN"/>
              </w:rPr>
            </w:pPr>
            <w:r>
              <w:rPr>
                <w:rFonts w:hint="eastAsia" w:ascii="宋体" w:hAnsi="宋体" w:cstheme="minorBidi"/>
                <w:bCs w:val="0"/>
                <w:color w:val="auto"/>
                <w:kern w:val="2"/>
                <w:sz w:val="24"/>
                <w:szCs w:val="24"/>
                <w:highlight w:val="yellow"/>
                <w:u w:val="none"/>
                <w:lang w:eastAsia="zh-CN" w:bidi="ar"/>
              </w:rPr>
              <w:t>【份额代码】</w:t>
            </w:r>
            <w:r>
              <w:rPr>
                <w:rFonts w:hint="eastAsia" w:ascii="宋体" w:hAnsi="宋体"/>
                <w:color w:val="auto"/>
                <w:szCs w:val="24"/>
                <w:highlight w:val="none"/>
                <w:u w:val="none"/>
                <w:lang w:val="en-US" w:eastAsia="zh-CN"/>
              </w:rPr>
              <w:t>：</w:t>
            </w:r>
            <w:r>
              <w:rPr>
                <w:rFonts w:hint="eastAsia" w:ascii="宋体" w:hAnsi="宋体" w:cstheme="minorBidi"/>
                <w:bCs w:val="0"/>
                <w:color w:val="auto"/>
                <w:kern w:val="2"/>
                <w:sz w:val="24"/>
                <w:szCs w:val="24"/>
                <w:highlight w:val="yellow"/>
                <w:u w:val="none"/>
                <w:lang w:eastAsia="zh-CN" w:bidi="ar"/>
              </w:rPr>
              <w:t>【】</w:t>
            </w:r>
            <w:r>
              <w:rPr>
                <w:rFonts w:hint="eastAsia" w:ascii="宋体" w:hAnsi="宋体"/>
                <w:color w:val="auto"/>
                <w:szCs w:val="24"/>
                <w:highlight w:val="none"/>
                <w:u w:val="none"/>
                <w:lang w:val="en-US" w:eastAsia="zh-CN"/>
              </w:rPr>
              <w:t>元</w:t>
            </w:r>
          </w:p>
          <w:p w14:paraId="36F42692">
            <w:pPr>
              <w:widowControl/>
              <w:spacing w:line="400" w:lineRule="exact"/>
              <w:jc w:val="left"/>
              <w:textAlignment w:val="center"/>
              <w:rPr>
                <w:rFonts w:hint="default" w:ascii="宋体" w:hAnsi="宋体"/>
                <w:color w:val="auto"/>
                <w:szCs w:val="24"/>
                <w:highlight w:val="none"/>
                <w:u w:val="none"/>
                <w:lang w:val="en-US" w:eastAsia="zh-CN"/>
              </w:rPr>
            </w:pPr>
            <w:r>
              <w:rPr>
                <w:rFonts w:hint="eastAsia" w:ascii="宋体" w:hAnsi="宋体"/>
                <w:b/>
                <w:color w:val="auto"/>
                <w:szCs w:val="24"/>
                <w:highlight w:val="none"/>
                <w:u w:val="none"/>
              </w:rPr>
              <w:t>管理人有权以公告形式调整投资者起点</w:t>
            </w:r>
            <w:r>
              <w:rPr>
                <w:rFonts w:hint="eastAsia" w:ascii="宋体" w:hAnsi="宋体"/>
                <w:b/>
                <w:color w:val="auto"/>
                <w:szCs w:val="24"/>
                <w:highlight w:val="none"/>
                <w:u w:val="none"/>
                <w:lang w:eastAsia="zh-CN"/>
              </w:rPr>
              <w:t>销售</w:t>
            </w:r>
            <w:r>
              <w:rPr>
                <w:rFonts w:hint="eastAsia" w:ascii="宋体" w:hAnsi="宋体"/>
                <w:b/>
                <w:color w:val="auto"/>
                <w:szCs w:val="24"/>
                <w:highlight w:val="none"/>
                <w:u w:val="none"/>
              </w:rPr>
              <w:t>金额。销售机构的认购、申购起点</w:t>
            </w:r>
            <w:r>
              <w:rPr>
                <w:rFonts w:hint="eastAsia" w:ascii="宋体" w:hAnsi="宋体"/>
                <w:b/>
                <w:color w:val="auto"/>
                <w:szCs w:val="24"/>
                <w:highlight w:val="none"/>
                <w:u w:val="none"/>
                <w:lang w:eastAsia="zh-CN"/>
              </w:rPr>
              <w:t>销售</w:t>
            </w:r>
            <w:r>
              <w:rPr>
                <w:rFonts w:hint="eastAsia" w:ascii="宋体" w:hAnsi="宋体"/>
                <w:b/>
                <w:color w:val="auto"/>
                <w:szCs w:val="24"/>
                <w:highlight w:val="none"/>
                <w:u w:val="none"/>
              </w:rPr>
              <w:t>金额可能</w:t>
            </w:r>
            <w:r>
              <w:rPr>
                <w:rFonts w:ascii="宋体" w:hAnsi="宋体"/>
                <w:b/>
                <w:color w:val="auto"/>
                <w:szCs w:val="24"/>
                <w:highlight w:val="none"/>
                <w:u w:val="none"/>
              </w:rPr>
              <w:t>与本</w:t>
            </w:r>
            <w:r>
              <w:rPr>
                <w:rFonts w:hint="eastAsia" w:ascii="宋体" w:hAnsi="宋体"/>
                <w:b/>
                <w:color w:val="auto"/>
                <w:szCs w:val="24"/>
                <w:highlight w:val="none"/>
                <w:u w:val="none"/>
              </w:rPr>
              <w:t>产品</w:t>
            </w:r>
            <w:r>
              <w:rPr>
                <w:rFonts w:ascii="宋体" w:hAnsi="宋体"/>
                <w:b/>
                <w:color w:val="auto"/>
                <w:szCs w:val="24"/>
                <w:highlight w:val="none"/>
                <w:u w:val="none"/>
              </w:rPr>
              <w:t>说明书</w:t>
            </w:r>
            <w:r>
              <w:rPr>
                <w:rFonts w:hint="eastAsia" w:ascii="宋体" w:hAnsi="宋体"/>
                <w:b/>
                <w:color w:val="auto"/>
                <w:szCs w:val="24"/>
                <w:highlight w:val="none"/>
                <w:u w:val="none"/>
              </w:rPr>
              <w:t>不一致</w:t>
            </w:r>
            <w:r>
              <w:rPr>
                <w:rFonts w:ascii="宋体" w:hAnsi="宋体"/>
                <w:b/>
                <w:color w:val="auto"/>
                <w:szCs w:val="24"/>
                <w:highlight w:val="none"/>
                <w:u w:val="none"/>
              </w:rPr>
              <w:t>，</w:t>
            </w:r>
            <w:r>
              <w:rPr>
                <w:rFonts w:hint="eastAsia" w:ascii="宋体" w:hAnsi="宋体"/>
                <w:b/>
                <w:color w:val="auto"/>
                <w:szCs w:val="24"/>
                <w:highlight w:val="none"/>
                <w:u w:val="none"/>
              </w:rPr>
              <w:t>通过销售机构认购、申购</w:t>
            </w:r>
            <w:r>
              <w:rPr>
                <w:rFonts w:ascii="宋体" w:hAnsi="宋体"/>
                <w:b/>
                <w:color w:val="auto"/>
                <w:szCs w:val="24"/>
                <w:highlight w:val="none"/>
                <w:u w:val="none"/>
              </w:rPr>
              <w:t>的</w:t>
            </w:r>
            <w:r>
              <w:rPr>
                <w:rFonts w:hint="eastAsia" w:ascii="宋体" w:hAnsi="宋体"/>
                <w:b/>
                <w:color w:val="auto"/>
                <w:szCs w:val="24"/>
                <w:highlight w:val="none"/>
                <w:u w:val="none"/>
              </w:rPr>
              <w:t>具体以销售机构展示为准。销售机构的实际起点销售金额，不得低于本产品说明书约定的起点销售金额。</w:t>
            </w:r>
          </w:p>
        </w:tc>
      </w:tr>
      <w:tr w14:paraId="2F4F24DD">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C796ECC">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追加递增金额</w:t>
            </w:r>
          </w:p>
        </w:tc>
        <w:tc>
          <w:tcPr>
            <w:tcW w:w="6972" w:type="dxa"/>
            <w:tcBorders>
              <w:top w:val="single" w:color="auto" w:sz="4" w:space="0"/>
              <w:left w:val="single" w:color="auto" w:sz="4" w:space="0"/>
              <w:bottom w:val="single" w:color="auto" w:sz="4" w:space="0"/>
              <w:right w:val="single" w:color="auto" w:sz="4" w:space="0"/>
            </w:tcBorders>
            <w:vAlign w:val="center"/>
          </w:tcPr>
          <w:p w14:paraId="4973A53B">
            <w:pPr>
              <w:widowControl/>
              <w:spacing w:line="400" w:lineRule="exact"/>
              <w:jc w:val="left"/>
              <w:textAlignment w:val="center"/>
              <w:rPr>
                <w:rFonts w:hint="eastAsia" w:ascii="仿宋_GB2312" w:hAnsi="等线" w:eastAsia="仿宋_GB2312" w:cs="仿宋_GB2312"/>
                <w:bCs/>
                <w:color w:val="000000" w:themeColor="text1"/>
                <w:sz w:val="24"/>
                <w:highlight w:val="none"/>
                <w:lang w:eastAsia="zh-CN"/>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【份额代码】</w:t>
            </w:r>
            <w:r>
              <w:rPr>
                <w:rFonts w:hint="eastAsia" w:ascii="宋体" w:hAnsi="宋体"/>
                <w:color w:val="auto"/>
                <w:szCs w:val="24"/>
                <w:highlight w:val="none"/>
                <w:u w:val="none"/>
                <w:lang w:val="en-US" w:eastAsia="zh-CN"/>
              </w:rPr>
              <w:t>：</w:t>
            </w:r>
            <w:r>
              <w:rPr>
                <w:rFonts w:hint="eastAsia" w:ascii="宋体" w:hAnsi="宋体" w:cstheme="minorBidi"/>
                <w:bCs w:val="0"/>
                <w:color w:val="auto"/>
                <w:kern w:val="2"/>
                <w:sz w:val="24"/>
                <w:szCs w:val="24"/>
                <w:highlight w:val="yellow"/>
                <w:u w:val="none"/>
                <w:lang w:eastAsia="zh-CN" w:bidi="ar"/>
              </w:rPr>
              <w:t>【】</w:t>
            </w:r>
            <w:r>
              <w:rPr>
                <w:rFonts w:hint="eastAsia" w:ascii="宋体" w:hAnsi="宋体"/>
                <w:color w:val="auto"/>
                <w:szCs w:val="24"/>
                <w:highlight w:val="none"/>
                <w:u w:val="none"/>
                <w:lang w:val="en-US" w:eastAsia="zh-CN"/>
              </w:rPr>
              <w:t>元</w:t>
            </w:r>
          </w:p>
        </w:tc>
      </w:tr>
      <w:tr w14:paraId="4968F4E0">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41D5BA5">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计划募集金额</w:t>
            </w:r>
          </w:p>
        </w:tc>
        <w:tc>
          <w:tcPr>
            <w:tcW w:w="6972" w:type="dxa"/>
            <w:tcBorders>
              <w:top w:val="single" w:color="auto" w:sz="4" w:space="0"/>
              <w:left w:val="single" w:color="auto" w:sz="4" w:space="0"/>
              <w:bottom w:val="single" w:color="auto" w:sz="4" w:space="0"/>
              <w:right w:val="single" w:color="auto" w:sz="4" w:space="0"/>
            </w:tcBorders>
            <w:vAlign w:val="center"/>
          </w:tcPr>
          <w:p w14:paraId="14D294F2">
            <w:pPr>
              <w:widowControl/>
              <w:spacing w:line="400" w:lineRule="exact"/>
              <w:jc w:val="left"/>
              <w:textAlignment w:val="center"/>
              <w:rPr>
                <w:rFonts w:hint="eastAsia" w:ascii="宋体" w:hAnsi="宋体"/>
                <w:color w:val="auto"/>
                <w:szCs w:val="24"/>
                <w:highlight w:val="none"/>
                <w:u w:val="none"/>
                <w:lang w:val="en-US" w:eastAsia="zh-CN"/>
              </w:rPr>
            </w:pPr>
            <w:r>
              <w:rPr>
                <w:rFonts w:hint="eastAsia" w:ascii="宋体" w:hAnsi="宋体" w:cstheme="minorBidi"/>
                <w:bCs w:val="0"/>
                <w:color w:val="auto"/>
                <w:kern w:val="2"/>
                <w:sz w:val="24"/>
                <w:szCs w:val="24"/>
                <w:highlight w:val="yellow"/>
                <w:u w:val="none"/>
                <w:lang w:eastAsia="zh-CN" w:bidi="ar"/>
              </w:rPr>
              <w:t>【】</w:t>
            </w:r>
            <w:r>
              <w:rPr>
                <w:rFonts w:hint="eastAsia" w:ascii="宋体" w:hAnsi="宋体"/>
                <w:color w:val="auto"/>
                <w:szCs w:val="24"/>
                <w:highlight w:val="none"/>
                <w:u w:val="none"/>
                <w:lang w:val="en-US" w:eastAsia="zh-CN"/>
              </w:rPr>
              <w:t>亿元。</w:t>
            </w:r>
          </w:p>
          <w:p w14:paraId="2CF445E6">
            <w:pPr>
              <w:widowControl/>
              <w:spacing w:line="400" w:lineRule="exact"/>
              <w:jc w:val="left"/>
              <w:textAlignment w:val="center"/>
              <w:rPr>
                <w:rFonts w:hint="eastAsia" w:ascii="宋体" w:hAnsi="宋体"/>
                <w:color w:val="auto"/>
                <w:szCs w:val="24"/>
                <w:highlight w:val="none"/>
                <w:u w:val="none"/>
                <w:lang w:val="en-US" w:eastAsia="zh-CN"/>
              </w:rPr>
            </w:pPr>
            <w:r>
              <w:rPr>
                <w:rFonts w:hint="eastAsia"/>
                <w:b/>
                <w:bCs/>
                <w:color w:val="auto"/>
                <w:szCs w:val="24"/>
                <w:highlight w:val="none"/>
                <w:u w:val="none"/>
              </w:rPr>
              <w:t>管理人有权根据实际需要调整</w:t>
            </w:r>
            <w:r>
              <w:rPr>
                <w:rFonts w:hint="eastAsia"/>
                <w:b/>
                <w:bCs/>
                <w:color w:val="auto"/>
                <w:szCs w:val="24"/>
                <w:highlight w:val="none"/>
                <w:u w:val="none"/>
                <w:lang w:eastAsia="zh-CN"/>
              </w:rPr>
              <w:t>计划募集金额</w:t>
            </w:r>
            <w:r>
              <w:rPr>
                <w:rFonts w:hint="eastAsia"/>
                <w:b/>
                <w:bCs/>
                <w:color w:val="auto"/>
                <w:szCs w:val="24"/>
                <w:highlight w:val="none"/>
                <w:u w:val="none"/>
              </w:rPr>
              <w:t>上限。</w:t>
            </w:r>
          </w:p>
        </w:tc>
      </w:tr>
      <w:tr w14:paraId="47E9E648">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B2E7471">
            <w:pPr>
              <w:snapToGrid w:val="0"/>
              <w:ind w:left="-140" w:leftChars="-74" w:hanging="15" w:firstLineChars="0"/>
              <w:jc w:val="center"/>
              <w:rPr>
                <w:rFonts w:hint="eastAsia" w:ascii="仿宋_GB2312" w:hAnsi="等线" w:eastAsia="仿宋_GB2312" w:cs="仿宋_GB2312"/>
                <w:color w:val="000000" w:themeColor="text1"/>
                <w:kern w:val="0"/>
                <w:sz w:val="24"/>
                <w:highlight w:val="none"/>
                <w:lang w:bidi="ar"/>
                <w14:textFill>
                  <w14:solidFill>
                    <w14:schemeClr w14:val="tx1"/>
                  </w14:solidFill>
                </w14:textFill>
              </w:rPr>
            </w:pPr>
            <w:r>
              <w:rPr>
                <w:rFonts w:hint="eastAsia" w:ascii="宋体" w:hAnsi="宋体"/>
                <w:color w:val="auto"/>
                <w:szCs w:val="24"/>
                <w:highlight w:val="none"/>
                <w:u w:val="none"/>
              </w:rPr>
              <w:t>产品最低成立规模</w:t>
            </w:r>
          </w:p>
        </w:tc>
        <w:tc>
          <w:tcPr>
            <w:tcW w:w="6972" w:type="dxa"/>
            <w:tcBorders>
              <w:top w:val="single" w:color="auto" w:sz="4" w:space="0"/>
              <w:left w:val="single" w:color="auto" w:sz="4" w:space="0"/>
              <w:bottom w:val="single" w:color="auto" w:sz="4" w:space="0"/>
              <w:right w:val="single" w:color="auto" w:sz="4" w:space="0"/>
            </w:tcBorders>
            <w:vAlign w:val="center"/>
          </w:tcPr>
          <w:p w14:paraId="51E12F51">
            <w:pPr>
              <w:widowControl/>
              <w:jc w:val="left"/>
              <w:rPr>
                <w:rFonts w:ascii="宋体" w:hAnsi="宋体"/>
                <w:bCs/>
                <w:color w:val="auto"/>
                <w:szCs w:val="24"/>
                <w:highlight w:val="none"/>
                <w:u w:val="none"/>
              </w:rPr>
            </w:pPr>
            <w:r>
              <w:rPr>
                <w:rFonts w:hint="eastAsia" w:ascii="宋体" w:hAnsi="宋体" w:cstheme="minorBidi"/>
                <w:bCs w:val="0"/>
                <w:color w:val="auto"/>
                <w:kern w:val="2"/>
                <w:sz w:val="24"/>
                <w:szCs w:val="24"/>
                <w:highlight w:val="yellow"/>
                <w:u w:val="none"/>
                <w:lang w:eastAsia="zh-CN" w:bidi="ar"/>
              </w:rPr>
              <w:t>【】</w:t>
            </w:r>
            <w:r>
              <w:rPr>
                <w:rFonts w:hint="eastAsia" w:ascii="宋体" w:hAnsi="宋体"/>
                <w:bCs/>
                <w:color w:val="auto"/>
                <w:szCs w:val="24"/>
                <w:highlight w:val="none"/>
                <w:u w:val="none"/>
              </w:rPr>
              <w:t>亿元。</w:t>
            </w:r>
          </w:p>
          <w:p w14:paraId="1AC9EA13">
            <w:pPr>
              <w:widowControl/>
              <w:jc w:val="left"/>
              <w:rPr>
                <w:rFonts w:hint="eastAsia"/>
                <w:b/>
                <w:bCs/>
                <w:color w:val="auto"/>
                <w:szCs w:val="24"/>
                <w:highlight w:val="none"/>
                <w:u w:val="none"/>
              </w:rPr>
            </w:pPr>
            <w:r>
              <w:rPr>
                <w:rFonts w:hint="eastAsia"/>
                <w:color w:val="auto"/>
                <w:szCs w:val="24"/>
                <w:highlight w:val="none"/>
                <w:u w:val="none"/>
              </w:rPr>
              <w:t>若认购金额不足</w:t>
            </w:r>
            <w:r>
              <w:rPr>
                <w:rFonts w:hint="eastAsia" w:ascii="宋体" w:hAnsi="宋体" w:cstheme="minorBidi"/>
                <w:bCs w:val="0"/>
                <w:color w:val="auto"/>
                <w:kern w:val="2"/>
                <w:sz w:val="24"/>
                <w:szCs w:val="24"/>
                <w:highlight w:val="yellow"/>
                <w:u w:val="none"/>
                <w:lang w:eastAsia="zh-CN" w:bidi="ar"/>
              </w:rPr>
              <w:t>【】</w:t>
            </w:r>
            <w:r>
              <w:rPr>
                <w:rFonts w:hint="eastAsia" w:ascii="宋体" w:hAnsi="宋体"/>
                <w:bCs/>
                <w:color w:val="auto"/>
                <w:szCs w:val="24"/>
                <w:highlight w:val="none"/>
                <w:u w:val="none"/>
              </w:rPr>
              <w:t>亿元</w:t>
            </w:r>
            <w:r>
              <w:rPr>
                <w:rFonts w:hint="eastAsia"/>
                <w:color w:val="auto"/>
                <w:szCs w:val="24"/>
                <w:highlight w:val="none"/>
                <w:u w:val="none"/>
              </w:rPr>
              <w:t>，</w:t>
            </w:r>
            <w:r>
              <w:rPr>
                <w:rFonts w:hint="eastAsia"/>
                <w:b/>
                <w:bCs/>
                <w:color w:val="auto"/>
                <w:szCs w:val="24"/>
                <w:highlight w:val="none"/>
                <w:u w:val="none"/>
              </w:rPr>
              <w:t>管理人有权宣布理财产品不成立，亦有权调整</w:t>
            </w:r>
            <w:r>
              <w:rPr>
                <w:rFonts w:hint="eastAsia" w:ascii="宋体" w:hAnsi="宋体"/>
                <w:b/>
                <w:bCs/>
                <w:color w:val="auto"/>
                <w:szCs w:val="24"/>
                <w:highlight w:val="none"/>
                <w:u w:val="none"/>
              </w:rPr>
              <w:t>产品最低成立规模，具体以管理人公告为准</w:t>
            </w:r>
            <w:r>
              <w:rPr>
                <w:rFonts w:hint="eastAsia"/>
                <w:color w:val="auto"/>
                <w:szCs w:val="24"/>
                <w:highlight w:val="none"/>
                <w:u w:val="none"/>
              </w:rPr>
              <w:t>。</w:t>
            </w:r>
          </w:p>
        </w:tc>
      </w:tr>
      <w:tr w14:paraId="357603A0">
        <w:tblPrEx>
          <w:tblCellMar>
            <w:top w:w="0" w:type="dxa"/>
            <w:left w:w="108" w:type="dxa"/>
            <w:bottom w:w="0" w:type="dxa"/>
            <w:right w:w="108" w:type="dxa"/>
          </w:tblCellMar>
        </w:tblPrEx>
        <w:trPr>
          <w:trHeight w:val="1280" w:hRule="atLeast"/>
        </w:trPr>
        <w:tc>
          <w:tcPr>
            <w:tcW w:w="2453" w:type="dxa"/>
            <w:tcBorders>
              <w:top w:val="single" w:color="auto" w:sz="4" w:space="0"/>
              <w:left w:val="single" w:color="auto" w:sz="4" w:space="0"/>
              <w:bottom w:val="single" w:color="auto" w:sz="4" w:space="0"/>
              <w:right w:val="single" w:color="auto" w:sz="4" w:space="0"/>
            </w:tcBorders>
            <w:vAlign w:val="center"/>
          </w:tcPr>
          <w:p w14:paraId="5732EF45">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认购、申购、赎回安排</w:t>
            </w:r>
          </w:p>
        </w:tc>
        <w:tc>
          <w:tcPr>
            <w:tcW w:w="6972" w:type="dxa"/>
            <w:tcBorders>
              <w:top w:val="single" w:color="auto" w:sz="4" w:space="0"/>
              <w:left w:val="single" w:color="auto" w:sz="4" w:space="0"/>
              <w:bottom w:val="single" w:color="auto" w:sz="4" w:space="0"/>
              <w:right w:val="single" w:color="auto" w:sz="4" w:space="0"/>
            </w:tcBorders>
            <w:vAlign w:val="center"/>
          </w:tcPr>
          <w:p w14:paraId="65C3A679">
            <w:pPr>
              <w:snapToGrid w:val="0"/>
              <w:rPr>
                <w:rFonts w:ascii="宋体" w:hAnsi="宋体"/>
                <w:szCs w:val="24"/>
              </w:rPr>
            </w:pPr>
            <w:r>
              <w:rPr>
                <w:rFonts w:hint="eastAsia" w:ascii="宋体" w:hAnsi="宋体"/>
                <w:szCs w:val="24"/>
                <w:highlight w:val="yellow"/>
                <w:lang w:eastAsia="zh-CN"/>
              </w:rPr>
              <w:t>【</w:t>
            </w:r>
            <w:r>
              <w:rPr>
                <w:rFonts w:hint="eastAsia" w:ascii="宋体" w:hAnsi="宋体"/>
                <w:szCs w:val="24"/>
                <w:highlight w:val="yellow"/>
                <w:lang w:val="en-US" w:eastAsia="zh-CN"/>
              </w:rPr>
              <w:t>1</w:t>
            </w:r>
            <w:r>
              <w:rPr>
                <w:rFonts w:hint="eastAsia" w:ascii="仿宋_GB2312" w:hAnsi="宋体" w:cs="宋体"/>
                <w:bCs/>
                <w:color w:val="auto"/>
                <w:kern w:val="0"/>
                <w:szCs w:val="24"/>
                <w:highlight w:val="none"/>
                <w:lang w:val="en-US" w:eastAsia="zh-CN"/>
              </w:rPr>
              <w:t>.产品募集期为募集起始日期至募集结束日期，</w:t>
            </w:r>
            <w:r>
              <w:rPr>
                <w:rFonts w:hint="eastAsia" w:ascii="仿宋_GB2312" w:hAnsi="宋体" w:cs="宋体"/>
                <w:bCs/>
                <w:color w:val="auto"/>
                <w:kern w:val="0"/>
                <w:szCs w:val="24"/>
                <w:highlight w:val="none"/>
              </w:rPr>
              <w:t>产品募集期内，投资者可多次对本产品认购、追加、</w:t>
            </w:r>
            <w:r>
              <w:rPr>
                <w:rFonts w:hint="eastAsia"/>
                <w:color w:val="auto"/>
                <w:highlight w:val="none"/>
              </w:rPr>
              <w:t>撤单</w:t>
            </w:r>
            <w:r>
              <w:rPr>
                <w:rFonts w:hint="eastAsia" w:ascii="仿宋_GB2312" w:hAnsi="宋体" w:cs="宋体"/>
                <w:bCs/>
                <w:color w:val="auto"/>
                <w:kern w:val="0"/>
                <w:szCs w:val="24"/>
                <w:highlight w:val="none"/>
              </w:rPr>
              <w:t>。</w:t>
            </w:r>
          </w:p>
          <w:p w14:paraId="2410840C">
            <w:pPr>
              <w:snapToGrid w:val="0"/>
              <w:rPr>
                <w:rFonts w:ascii="宋体" w:hAnsi="宋体"/>
                <w:color w:val="auto"/>
                <w:szCs w:val="24"/>
              </w:rPr>
            </w:pPr>
            <w:r>
              <w:rPr>
                <w:rFonts w:hint="eastAsia" w:ascii="宋体" w:hAnsi="宋体"/>
                <w:color w:val="auto"/>
                <w:szCs w:val="24"/>
                <w:lang w:val="en-US" w:eastAsia="zh-CN"/>
              </w:rPr>
              <w:t>2</w:t>
            </w:r>
            <w:r>
              <w:rPr>
                <w:rFonts w:ascii="宋体" w:hAnsi="宋体"/>
                <w:color w:val="auto"/>
                <w:szCs w:val="24"/>
              </w:rPr>
              <w:t>.</w:t>
            </w:r>
            <w:r>
              <w:rPr>
                <w:rFonts w:hint="eastAsia" w:ascii="宋体" w:hAnsi="宋体"/>
                <w:color w:val="auto"/>
                <w:szCs w:val="24"/>
              </w:rPr>
              <w:t>本产品的封闭期</w:t>
            </w:r>
          </w:p>
          <w:p w14:paraId="77B2F782">
            <w:pPr>
              <w:snapToGrid w:val="0"/>
              <w:rPr>
                <w:rFonts w:ascii="宋体" w:hAnsi="宋体"/>
                <w:color w:val="auto"/>
                <w:szCs w:val="24"/>
              </w:rPr>
            </w:pPr>
            <w:r>
              <w:rPr>
                <w:rFonts w:hint="eastAsia" w:ascii="宋体" w:hAnsi="宋体"/>
                <w:color w:val="auto"/>
                <w:szCs w:val="24"/>
              </w:rPr>
              <w:t>本产品成立后，产品封闭期为</w:t>
            </w:r>
            <w:r>
              <w:rPr>
                <w:rFonts w:hint="eastAsia" w:ascii="宋体" w:hAnsi="宋体"/>
                <w:color w:val="auto"/>
                <w:szCs w:val="24"/>
                <w:highlight w:val="yellow"/>
              </w:rPr>
              <w:t>【】年【】月【】</w:t>
            </w:r>
            <w:r>
              <w:rPr>
                <w:rFonts w:hint="eastAsia" w:ascii="宋体" w:hAnsi="宋体"/>
                <w:color w:val="auto"/>
                <w:szCs w:val="24"/>
              </w:rPr>
              <w:t>日至</w:t>
            </w:r>
            <w:r>
              <w:rPr>
                <w:rFonts w:hint="eastAsia" w:ascii="宋体" w:hAnsi="宋体"/>
                <w:color w:val="auto"/>
                <w:szCs w:val="24"/>
                <w:highlight w:val="yellow"/>
              </w:rPr>
              <w:t>【】年【】月【】</w:t>
            </w:r>
            <w:r>
              <w:rPr>
                <w:rFonts w:hint="eastAsia" w:ascii="宋体" w:hAnsi="宋体"/>
                <w:color w:val="auto"/>
                <w:szCs w:val="24"/>
              </w:rPr>
              <w:t>日，封闭期内不接受申购或赎回申请。</w:t>
            </w:r>
          </w:p>
          <w:p w14:paraId="261A0AE7">
            <w:pPr>
              <w:snapToGrid w:val="0"/>
              <w:rPr>
                <w:rFonts w:ascii="宋体" w:hAnsi="宋体"/>
                <w:color w:val="auto"/>
                <w:szCs w:val="24"/>
              </w:rPr>
            </w:pPr>
            <w:r>
              <w:rPr>
                <w:rFonts w:hint="eastAsia" w:ascii="宋体" w:hAnsi="宋体"/>
                <w:color w:val="auto"/>
                <w:szCs w:val="24"/>
                <w:lang w:val="en-US" w:eastAsia="zh-CN"/>
              </w:rPr>
              <w:t>3</w:t>
            </w:r>
            <w:r>
              <w:rPr>
                <w:rFonts w:ascii="宋体" w:hAnsi="宋体"/>
                <w:color w:val="auto"/>
                <w:szCs w:val="24"/>
              </w:rPr>
              <w:t>.</w:t>
            </w:r>
            <w:r>
              <w:rPr>
                <w:rFonts w:hint="eastAsia" w:ascii="宋体" w:hAnsi="宋体"/>
                <w:color w:val="auto"/>
                <w:szCs w:val="24"/>
              </w:rPr>
              <w:t>本产品的开放期</w:t>
            </w:r>
          </w:p>
          <w:p w14:paraId="59904F23">
            <w:pPr>
              <w:snapToGrid w:val="0"/>
              <w:rPr>
                <w:rFonts w:ascii="宋体" w:hAnsi="宋体"/>
                <w:color w:val="auto"/>
                <w:szCs w:val="24"/>
              </w:rPr>
            </w:pPr>
            <w:r>
              <w:rPr>
                <w:rFonts w:hint="eastAsia" w:ascii="宋体" w:hAnsi="宋体"/>
                <w:color w:val="auto"/>
                <w:szCs w:val="24"/>
              </w:rPr>
              <w:t>本产品封闭期结束后（不含</w:t>
            </w:r>
            <w:r>
              <w:rPr>
                <w:rFonts w:ascii="宋体" w:hAnsi="宋体"/>
                <w:color w:val="auto"/>
                <w:szCs w:val="24"/>
              </w:rPr>
              <w:t>封闭期结束日</w:t>
            </w:r>
            <w:r>
              <w:rPr>
                <w:rFonts w:hint="eastAsia" w:ascii="宋体" w:hAnsi="宋体"/>
                <w:color w:val="auto"/>
                <w:szCs w:val="24"/>
              </w:rPr>
              <w:t>、管理人公告暂停开放的日期</w:t>
            </w:r>
            <w:r>
              <w:rPr>
                <w:rFonts w:ascii="宋体" w:hAnsi="宋体"/>
                <w:color w:val="auto"/>
                <w:szCs w:val="24"/>
              </w:rPr>
              <w:t>）</w:t>
            </w:r>
            <w:r>
              <w:rPr>
                <w:rFonts w:hint="eastAsia" w:ascii="宋体" w:hAnsi="宋体"/>
                <w:color w:val="auto"/>
                <w:szCs w:val="24"/>
              </w:rPr>
              <w:t>的每个</w:t>
            </w:r>
            <w:r>
              <w:rPr>
                <w:rFonts w:hint="eastAsia" w:ascii="宋体" w:hAnsi="宋体"/>
                <w:color w:val="auto"/>
                <w:szCs w:val="24"/>
                <w:highlight w:val="yellow"/>
              </w:rPr>
              <w:t>【</w:t>
            </w:r>
            <w:r>
              <w:rPr>
                <w:rFonts w:hint="eastAsia" w:ascii="宋体" w:hAnsi="宋体"/>
                <w:color w:val="auto"/>
                <w:szCs w:val="24"/>
                <w:highlight w:val="yellow"/>
                <w:lang w:eastAsia="zh-CN"/>
              </w:rPr>
              <w:t>□</w:t>
            </w:r>
            <w:r>
              <w:rPr>
                <w:rFonts w:hint="eastAsia" w:ascii="宋体" w:hAnsi="宋体"/>
                <w:color w:val="auto"/>
                <w:szCs w:val="24"/>
                <w:highlight w:val="yellow"/>
              </w:rPr>
              <w:t>工作日</w:t>
            </w:r>
            <w:r>
              <w:rPr>
                <w:rFonts w:ascii="宋体" w:hAnsi="宋体"/>
                <w:color w:val="auto"/>
                <w:szCs w:val="24"/>
                <w:highlight w:val="yellow"/>
              </w:rPr>
              <w:t>/</w:t>
            </w:r>
            <w:r>
              <w:rPr>
                <w:rFonts w:hint="eastAsia" w:ascii="宋体" w:hAnsi="宋体"/>
                <w:color w:val="auto"/>
                <w:szCs w:val="24"/>
                <w:highlight w:val="yellow"/>
                <w:lang w:eastAsia="zh-CN"/>
              </w:rPr>
              <w:t>□</w:t>
            </w:r>
            <w:r>
              <w:rPr>
                <w:rFonts w:hint="eastAsia" w:ascii="宋体" w:hAnsi="宋体"/>
                <w:color w:val="auto"/>
                <w:szCs w:val="24"/>
                <w:highlight w:val="yellow"/>
              </w:rPr>
              <w:t>交易日】</w:t>
            </w:r>
            <w:r>
              <w:rPr>
                <w:rFonts w:hint="eastAsia" w:ascii="宋体" w:hAnsi="宋体"/>
                <w:color w:val="auto"/>
                <w:szCs w:val="24"/>
              </w:rPr>
              <w:t>为开放日，首次开放日为</w:t>
            </w:r>
            <w:r>
              <w:rPr>
                <w:rFonts w:hint="eastAsia" w:ascii="宋体" w:hAnsi="宋体"/>
                <w:color w:val="auto"/>
                <w:szCs w:val="24"/>
                <w:highlight w:val="yellow"/>
              </w:rPr>
              <w:t>【】年【】月【】</w:t>
            </w:r>
            <w:r>
              <w:rPr>
                <w:rFonts w:hint="eastAsia" w:ascii="宋体" w:hAnsi="宋体"/>
                <w:color w:val="auto"/>
                <w:szCs w:val="24"/>
              </w:rPr>
              <w:t>日。</w:t>
            </w:r>
          </w:p>
          <w:p w14:paraId="2EBBDAAB">
            <w:pPr>
              <w:snapToGrid w:val="0"/>
              <w:rPr>
                <w:rFonts w:ascii="宋体" w:hAnsi="宋体"/>
                <w:color w:val="auto"/>
                <w:szCs w:val="24"/>
              </w:rPr>
            </w:pPr>
            <w:r>
              <w:rPr>
                <w:rFonts w:hint="eastAsia" w:ascii="宋体" w:hAnsi="宋体"/>
                <w:color w:val="auto"/>
                <w:szCs w:val="24"/>
                <w:lang w:val="en-US" w:eastAsia="zh-CN"/>
              </w:rPr>
              <w:t>4</w:t>
            </w:r>
            <w:r>
              <w:rPr>
                <w:rFonts w:ascii="宋体" w:hAnsi="宋体"/>
                <w:color w:val="auto"/>
                <w:szCs w:val="24"/>
              </w:rPr>
              <w:t>.</w:t>
            </w:r>
            <w:r>
              <w:rPr>
                <w:rFonts w:hint="eastAsia" w:ascii="宋体" w:hAnsi="宋体"/>
                <w:color w:val="auto"/>
                <w:szCs w:val="24"/>
              </w:rPr>
              <w:t>申购安排：</w:t>
            </w:r>
          </w:p>
          <w:p w14:paraId="66F4FBF6">
            <w:pPr>
              <w:snapToGrid w:val="0"/>
              <w:rPr>
                <w:rFonts w:ascii="宋体" w:hAnsi="宋体"/>
                <w:color w:val="auto"/>
                <w:szCs w:val="24"/>
              </w:rPr>
            </w:pPr>
            <w:r>
              <w:rPr>
                <w:rFonts w:hint="eastAsia" w:ascii="宋体" w:hAnsi="宋体"/>
                <w:color w:val="auto"/>
                <w:szCs w:val="24"/>
              </w:rPr>
              <w:t>（1</w:t>
            </w:r>
            <w:r>
              <w:rPr>
                <w:rFonts w:ascii="宋体" w:hAnsi="宋体"/>
                <w:color w:val="auto"/>
                <w:szCs w:val="24"/>
              </w:rPr>
              <w:t>）</w:t>
            </w:r>
            <w:r>
              <w:rPr>
                <w:rFonts w:hint="eastAsia" w:ascii="宋体" w:hAnsi="宋体"/>
                <w:color w:val="auto"/>
                <w:szCs w:val="24"/>
              </w:rPr>
              <w:t>申购的时间</w:t>
            </w:r>
          </w:p>
          <w:p w14:paraId="4A348F1D">
            <w:pPr>
              <w:snapToGrid w:val="0"/>
              <w:rPr>
                <w:rFonts w:ascii="宋体" w:hAnsi="宋体"/>
                <w:color w:val="auto"/>
                <w:szCs w:val="24"/>
              </w:rPr>
            </w:pPr>
            <w:r>
              <w:rPr>
                <w:rFonts w:hint="eastAsia" w:ascii="宋体" w:hAnsi="宋体"/>
                <w:color w:val="auto"/>
                <w:szCs w:val="24"/>
              </w:rPr>
              <w:t>本产品</w:t>
            </w:r>
            <w:r>
              <w:rPr>
                <w:rFonts w:ascii="宋体" w:hAnsi="宋体"/>
                <w:color w:val="auto"/>
                <w:szCs w:val="24"/>
              </w:rPr>
              <w:t>封闭期后的每个开放日开放申购</w:t>
            </w:r>
            <w:r>
              <w:rPr>
                <w:rFonts w:hint="eastAsia" w:ascii="宋体" w:hAnsi="宋体"/>
                <w:color w:val="auto"/>
                <w:szCs w:val="24"/>
              </w:rPr>
              <w:t>。</w:t>
            </w:r>
            <w:r>
              <w:rPr>
                <w:rFonts w:ascii="宋体" w:hAnsi="宋体"/>
                <w:color w:val="auto"/>
                <w:szCs w:val="24"/>
              </w:rPr>
              <w:t>投资者</w:t>
            </w:r>
            <w:r>
              <w:rPr>
                <w:rFonts w:hint="eastAsia" w:ascii="宋体" w:hAnsi="宋体"/>
                <w:color w:val="auto"/>
                <w:szCs w:val="24"/>
              </w:rPr>
              <w:t>可于</w:t>
            </w:r>
            <w:r>
              <w:rPr>
                <w:rFonts w:ascii="宋体" w:hAnsi="宋体"/>
                <w:color w:val="auto"/>
                <w:szCs w:val="24"/>
              </w:rPr>
              <w:t>开放日内</w:t>
            </w:r>
            <w:r>
              <w:rPr>
                <w:rFonts w:hint="eastAsia" w:ascii="宋体" w:hAnsi="宋体"/>
                <w:color w:val="auto"/>
                <w:szCs w:val="24"/>
              </w:rPr>
              <w:t>提交</w:t>
            </w:r>
            <w:r>
              <w:rPr>
                <w:rFonts w:ascii="宋体" w:hAnsi="宋体"/>
                <w:color w:val="auto"/>
                <w:szCs w:val="24"/>
              </w:rPr>
              <w:t>申购申请，产品管理人公告暂停开放的日期除外。</w:t>
            </w:r>
          </w:p>
          <w:p w14:paraId="6CBB9A00">
            <w:pPr>
              <w:snapToGrid w:val="0"/>
              <w:rPr>
                <w:rFonts w:ascii="宋体" w:hAnsi="宋体"/>
                <w:color w:val="auto"/>
                <w:szCs w:val="24"/>
              </w:rPr>
            </w:pPr>
            <w:r>
              <w:rPr>
                <w:rFonts w:hint="eastAsia" w:ascii="宋体" w:hAnsi="宋体"/>
                <w:color w:val="auto"/>
                <w:szCs w:val="24"/>
              </w:rPr>
              <w:t>（2</w:t>
            </w:r>
            <w:r>
              <w:rPr>
                <w:rFonts w:ascii="宋体" w:hAnsi="宋体"/>
                <w:color w:val="auto"/>
                <w:szCs w:val="24"/>
              </w:rPr>
              <w:t>）</w:t>
            </w:r>
            <w:r>
              <w:rPr>
                <w:rFonts w:hint="eastAsia" w:ascii="宋体" w:hAnsi="宋体"/>
                <w:color w:val="auto"/>
                <w:szCs w:val="24"/>
              </w:rPr>
              <w:t>申购的</w:t>
            </w:r>
            <w:r>
              <w:rPr>
                <w:rFonts w:ascii="宋体" w:hAnsi="宋体"/>
                <w:color w:val="auto"/>
                <w:szCs w:val="24"/>
              </w:rPr>
              <w:t>确认</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4"/>
              <w:gridCol w:w="1644"/>
              <w:gridCol w:w="1645"/>
              <w:gridCol w:w="1645"/>
            </w:tblGrid>
            <w:tr w14:paraId="43B18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Pr>
                <w:p w14:paraId="52DF578B">
                  <w:pPr>
                    <w:snapToGrid w:val="0"/>
                    <w:rPr>
                      <w:rFonts w:ascii="宋体" w:hAnsi="宋体"/>
                      <w:color w:val="auto"/>
                      <w:szCs w:val="24"/>
                    </w:rPr>
                  </w:pPr>
                  <w:r>
                    <w:rPr>
                      <w:rFonts w:hint="eastAsia" w:ascii="宋体" w:hAnsi="宋体"/>
                      <w:color w:val="auto"/>
                      <w:szCs w:val="24"/>
                    </w:rPr>
                    <w:t>申购</w:t>
                  </w:r>
                  <w:r>
                    <w:rPr>
                      <w:rFonts w:ascii="宋体" w:hAnsi="宋体"/>
                      <w:color w:val="auto"/>
                      <w:szCs w:val="24"/>
                    </w:rPr>
                    <w:t>申请日</w:t>
                  </w:r>
                </w:p>
              </w:tc>
              <w:tc>
                <w:tcPr>
                  <w:tcW w:w="1644" w:type="dxa"/>
                </w:tcPr>
                <w:p w14:paraId="726CA68F">
                  <w:pPr>
                    <w:snapToGrid w:val="0"/>
                    <w:rPr>
                      <w:rFonts w:ascii="宋体" w:hAnsi="宋体"/>
                      <w:color w:val="auto"/>
                      <w:szCs w:val="24"/>
                    </w:rPr>
                  </w:pPr>
                  <w:r>
                    <w:rPr>
                      <w:rFonts w:hint="eastAsia" w:ascii="宋体" w:hAnsi="宋体"/>
                      <w:color w:val="auto"/>
                      <w:szCs w:val="24"/>
                    </w:rPr>
                    <w:t>申购日</w:t>
                  </w:r>
                </w:p>
              </w:tc>
              <w:tc>
                <w:tcPr>
                  <w:tcW w:w="1645" w:type="dxa"/>
                </w:tcPr>
                <w:p w14:paraId="25A63B2D">
                  <w:pPr>
                    <w:snapToGrid w:val="0"/>
                    <w:rPr>
                      <w:rFonts w:ascii="宋体" w:hAnsi="宋体"/>
                      <w:color w:val="auto"/>
                      <w:szCs w:val="24"/>
                    </w:rPr>
                  </w:pPr>
                  <w:r>
                    <w:rPr>
                      <w:rFonts w:hint="eastAsia" w:ascii="宋体" w:hAnsi="宋体"/>
                      <w:color w:val="auto"/>
                      <w:szCs w:val="24"/>
                    </w:rPr>
                    <w:t>申购</w:t>
                  </w:r>
                  <w:r>
                    <w:rPr>
                      <w:rFonts w:ascii="宋体" w:hAnsi="宋体"/>
                      <w:color w:val="auto"/>
                      <w:szCs w:val="24"/>
                    </w:rPr>
                    <w:t>确认日</w:t>
                  </w:r>
                </w:p>
              </w:tc>
              <w:tc>
                <w:tcPr>
                  <w:tcW w:w="1645" w:type="dxa"/>
                </w:tcPr>
                <w:p w14:paraId="20F64A43">
                  <w:pPr>
                    <w:snapToGrid w:val="0"/>
                    <w:rPr>
                      <w:rFonts w:ascii="宋体" w:hAnsi="宋体"/>
                      <w:color w:val="auto"/>
                      <w:szCs w:val="24"/>
                    </w:rPr>
                  </w:pPr>
                  <w:r>
                    <w:rPr>
                      <w:rFonts w:hint="eastAsia" w:ascii="宋体" w:hAnsi="宋体"/>
                      <w:color w:val="auto"/>
                      <w:szCs w:val="24"/>
                    </w:rPr>
                    <w:t>申购</w:t>
                  </w:r>
                  <w:r>
                    <w:rPr>
                      <w:rFonts w:ascii="宋体" w:hAnsi="宋体"/>
                      <w:color w:val="auto"/>
                      <w:szCs w:val="24"/>
                    </w:rPr>
                    <w:t>确认</w:t>
                  </w:r>
                  <w:r>
                    <w:rPr>
                      <w:rFonts w:hint="eastAsia" w:ascii="宋体" w:hAnsi="宋体"/>
                      <w:color w:val="auto"/>
                      <w:szCs w:val="24"/>
                    </w:rPr>
                    <w:t>方式</w:t>
                  </w:r>
                </w:p>
              </w:tc>
            </w:tr>
            <w:tr w14:paraId="0856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vAlign w:val="top"/>
                </w:tcPr>
                <w:p w14:paraId="0CBF0659">
                  <w:pPr>
                    <w:snapToGrid w:val="0"/>
                    <w:rPr>
                      <w:rFonts w:ascii="宋体" w:hAnsi="宋体"/>
                      <w:color w:val="auto"/>
                      <w:szCs w:val="24"/>
                    </w:rPr>
                  </w:pPr>
                  <w:r>
                    <w:rPr>
                      <w:rFonts w:hint="eastAsia" w:ascii="宋体" w:hAnsi="宋体"/>
                      <w:color w:val="auto"/>
                      <w:szCs w:val="24"/>
                    </w:rPr>
                    <w:t>开放日</w:t>
                  </w:r>
                  <w:r>
                    <w:rPr>
                      <w:rFonts w:ascii="宋体" w:hAnsi="宋体"/>
                      <w:color w:val="auto"/>
                      <w:szCs w:val="24"/>
                    </w:rPr>
                    <w:t>内交易时间</w:t>
                  </w:r>
                  <w:r>
                    <w:rPr>
                      <w:rFonts w:hint="eastAsia" w:ascii="宋体" w:hAnsi="宋体"/>
                      <w:color w:val="auto"/>
                      <w:szCs w:val="24"/>
                      <w:highlight w:val="yellow"/>
                    </w:rPr>
                    <w:t>【</w:t>
                  </w:r>
                  <w:r>
                    <w:rPr>
                      <w:rFonts w:ascii="宋体" w:hAnsi="宋体"/>
                      <w:color w:val="auto"/>
                      <w:szCs w:val="24"/>
                      <w:highlight w:val="yellow"/>
                    </w:rPr>
                    <w:t>】</w:t>
                  </w:r>
                </w:p>
              </w:tc>
              <w:tc>
                <w:tcPr>
                  <w:tcW w:w="1644" w:type="dxa"/>
                </w:tcPr>
                <w:p w14:paraId="5F00ED8C">
                  <w:pPr>
                    <w:snapToGrid w:val="0"/>
                    <w:rPr>
                      <w:rFonts w:ascii="宋体" w:hAnsi="宋体"/>
                      <w:color w:val="auto"/>
                      <w:szCs w:val="24"/>
                    </w:rPr>
                  </w:pPr>
                  <w:r>
                    <w:rPr>
                      <w:rFonts w:hint="eastAsia" w:ascii="宋体" w:hAnsi="宋体"/>
                      <w:color w:val="auto"/>
                      <w:szCs w:val="24"/>
                    </w:rPr>
                    <w:t>申购</w:t>
                  </w:r>
                  <w:r>
                    <w:rPr>
                      <w:rFonts w:ascii="宋体" w:hAnsi="宋体"/>
                      <w:color w:val="auto"/>
                      <w:szCs w:val="24"/>
                    </w:rPr>
                    <w:t>申请日当日</w:t>
                  </w:r>
                </w:p>
              </w:tc>
              <w:tc>
                <w:tcPr>
                  <w:tcW w:w="1645" w:type="dxa"/>
                </w:tcPr>
                <w:p w14:paraId="04A1C49A">
                  <w:pPr>
                    <w:snapToGrid w:val="0"/>
                    <w:rPr>
                      <w:rFonts w:ascii="宋体" w:hAnsi="宋体"/>
                      <w:color w:val="auto"/>
                      <w:szCs w:val="24"/>
                    </w:rPr>
                  </w:pPr>
                  <w:r>
                    <w:rPr>
                      <w:rFonts w:hint="eastAsia" w:ascii="宋体" w:hAnsi="宋体"/>
                      <w:color w:val="auto"/>
                      <w:szCs w:val="24"/>
                    </w:rPr>
                    <w:t>申购</w:t>
                  </w:r>
                  <w:r>
                    <w:rPr>
                      <w:rFonts w:ascii="宋体" w:hAnsi="宋体"/>
                      <w:color w:val="auto"/>
                      <w:szCs w:val="24"/>
                    </w:rPr>
                    <w:t>日后的下一个开放日</w:t>
                  </w:r>
                </w:p>
              </w:tc>
              <w:tc>
                <w:tcPr>
                  <w:tcW w:w="1645" w:type="dxa"/>
                  <w:vMerge w:val="restart"/>
                </w:tcPr>
                <w:p w14:paraId="6787828F">
                  <w:pPr>
                    <w:snapToGrid w:val="0"/>
                    <w:rPr>
                      <w:rFonts w:ascii="宋体" w:hAnsi="宋体"/>
                      <w:color w:val="auto"/>
                      <w:szCs w:val="24"/>
                    </w:rPr>
                  </w:pPr>
                  <w:r>
                    <w:rPr>
                      <w:rFonts w:hint="eastAsia" w:ascii="宋体" w:hAnsi="宋体"/>
                      <w:color w:val="auto"/>
                      <w:szCs w:val="24"/>
                    </w:rPr>
                    <w:t>产品</w:t>
                  </w:r>
                  <w:r>
                    <w:rPr>
                      <w:rFonts w:ascii="宋体" w:hAnsi="宋体"/>
                      <w:color w:val="auto"/>
                      <w:szCs w:val="24"/>
                    </w:rPr>
                    <w:t>管理人在申购</w:t>
                  </w:r>
                  <w:r>
                    <w:rPr>
                      <w:rFonts w:hint="eastAsia" w:ascii="宋体" w:hAnsi="宋体"/>
                      <w:color w:val="auto"/>
                      <w:szCs w:val="24"/>
                    </w:rPr>
                    <w:t>确认</w:t>
                  </w:r>
                  <w:r>
                    <w:rPr>
                      <w:rFonts w:ascii="宋体" w:hAnsi="宋体"/>
                      <w:color w:val="auto"/>
                      <w:szCs w:val="24"/>
                    </w:rPr>
                    <w:t>日对投资者的申购申请的有效性</w:t>
                  </w:r>
                  <w:r>
                    <w:rPr>
                      <w:rFonts w:hint="eastAsia" w:ascii="宋体" w:hAnsi="宋体"/>
                      <w:color w:val="auto"/>
                      <w:szCs w:val="24"/>
                    </w:rPr>
                    <w:t>进行</w:t>
                  </w:r>
                  <w:r>
                    <w:rPr>
                      <w:rFonts w:ascii="宋体" w:hAnsi="宋体"/>
                      <w:color w:val="auto"/>
                      <w:szCs w:val="24"/>
                    </w:rPr>
                    <w:t>确认，并登记理财份额。</w:t>
                  </w:r>
                </w:p>
              </w:tc>
            </w:tr>
            <w:tr w14:paraId="0741C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vAlign w:val="top"/>
                </w:tcPr>
                <w:p w14:paraId="0DD56EAC">
                  <w:pPr>
                    <w:snapToGrid w:val="0"/>
                    <w:rPr>
                      <w:rFonts w:ascii="宋体" w:hAnsi="宋体"/>
                      <w:color w:val="auto"/>
                      <w:szCs w:val="24"/>
                    </w:rPr>
                  </w:pPr>
                  <w:r>
                    <w:rPr>
                      <w:rFonts w:hint="eastAsia" w:ascii="宋体" w:hAnsi="宋体"/>
                      <w:color w:val="auto"/>
                      <w:szCs w:val="24"/>
                    </w:rPr>
                    <w:t>开放日</w:t>
                  </w:r>
                  <w:r>
                    <w:rPr>
                      <w:rFonts w:ascii="宋体" w:hAnsi="宋体"/>
                      <w:color w:val="auto"/>
                      <w:szCs w:val="24"/>
                    </w:rPr>
                    <w:t>内</w:t>
                  </w:r>
                  <w:r>
                    <w:rPr>
                      <w:rFonts w:hint="eastAsia" w:ascii="宋体" w:hAnsi="宋体"/>
                      <w:color w:val="auto"/>
                      <w:szCs w:val="24"/>
                    </w:rPr>
                    <w:t>非</w:t>
                  </w:r>
                  <w:r>
                    <w:rPr>
                      <w:rFonts w:ascii="宋体" w:hAnsi="宋体"/>
                      <w:color w:val="auto"/>
                      <w:szCs w:val="24"/>
                    </w:rPr>
                    <w:t>交易时间</w:t>
                  </w:r>
                  <w:r>
                    <w:rPr>
                      <w:rFonts w:hint="eastAsia" w:ascii="宋体" w:hAnsi="宋体"/>
                      <w:color w:val="auto"/>
                      <w:szCs w:val="24"/>
                      <w:highlight w:val="yellow"/>
                    </w:rPr>
                    <w:t>【</w:t>
                  </w:r>
                  <w:r>
                    <w:rPr>
                      <w:rFonts w:ascii="宋体" w:hAnsi="宋体"/>
                      <w:color w:val="auto"/>
                      <w:szCs w:val="24"/>
                      <w:highlight w:val="yellow"/>
                    </w:rPr>
                    <w:t>】</w:t>
                  </w:r>
                </w:p>
              </w:tc>
              <w:tc>
                <w:tcPr>
                  <w:tcW w:w="1644" w:type="dxa"/>
                </w:tcPr>
                <w:p w14:paraId="58198E07">
                  <w:pPr>
                    <w:snapToGrid w:val="0"/>
                    <w:rPr>
                      <w:rFonts w:ascii="宋体" w:hAnsi="宋体"/>
                      <w:color w:val="auto"/>
                      <w:szCs w:val="24"/>
                    </w:rPr>
                  </w:pPr>
                  <w:r>
                    <w:rPr>
                      <w:rFonts w:hint="eastAsia" w:ascii="宋体" w:hAnsi="宋体"/>
                      <w:color w:val="auto"/>
                      <w:szCs w:val="24"/>
                    </w:rPr>
                    <w:t>申购</w:t>
                  </w:r>
                  <w:r>
                    <w:rPr>
                      <w:rFonts w:ascii="宋体" w:hAnsi="宋体"/>
                      <w:color w:val="auto"/>
                      <w:szCs w:val="24"/>
                    </w:rPr>
                    <w:t>申请日</w:t>
                  </w:r>
                  <w:r>
                    <w:rPr>
                      <w:rFonts w:hint="eastAsia" w:ascii="宋体" w:hAnsi="宋体"/>
                      <w:color w:val="auto"/>
                      <w:szCs w:val="24"/>
                    </w:rPr>
                    <w:t>后的</w:t>
                  </w:r>
                  <w:r>
                    <w:rPr>
                      <w:rFonts w:ascii="宋体" w:hAnsi="宋体"/>
                      <w:color w:val="auto"/>
                      <w:szCs w:val="24"/>
                    </w:rPr>
                    <w:t>下一个开放日</w:t>
                  </w:r>
                </w:p>
              </w:tc>
              <w:tc>
                <w:tcPr>
                  <w:tcW w:w="1645" w:type="dxa"/>
                </w:tcPr>
                <w:p w14:paraId="4BB07174">
                  <w:pPr>
                    <w:snapToGrid w:val="0"/>
                    <w:rPr>
                      <w:rFonts w:ascii="宋体" w:hAnsi="宋体"/>
                      <w:color w:val="auto"/>
                      <w:szCs w:val="24"/>
                    </w:rPr>
                  </w:pPr>
                  <w:r>
                    <w:rPr>
                      <w:rFonts w:hint="eastAsia" w:ascii="宋体" w:hAnsi="宋体"/>
                      <w:color w:val="auto"/>
                      <w:szCs w:val="24"/>
                    </w:rPr>
                    <w:t>申购</w:t>
                  </w:r>
                  <w:r>
                    <w:rPr>
                      <w:rFonts w:ascii="宋体" w:hAnsi="宋体"/>
                      <w:color w:val="auto"/>
                      <w:szCs w:val="24"/>
                    </w:rPr>
                    <w:t>日后的下一个开放日</w:t>
                  </w:r>
                </w:p>
              </w:tc>
              <w:tc>
                <w:tcPr>
                  <w:tcW w:w="1645" w:type="dxa"/>
                  <w:vMerge w:val="continue"/>
                </w:tcPr>
                <w:p w14:paraId="442F7A35">
                  <w:pPr>
                    <w:snapToGrid w:val="0"/>
                    <w:rPr>
                      <w:rFonts w:ascii="宋体" w:hAnsi="宋体"/>
                      <w:color w:val="auto"/>
                      <w:szCs w:val="24"/>
                    </w:rPr>
                  </w:pPr>
                </w:p>
              </w:tc>
            </w:tr>
            <w:tr w14:paraId="62C29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44" w:type="dxa"/>
                  <w:vAlign w:val="top"/>
                </w:tcPr>
                <w:p w14:paraId="51D933A6">
                  <w:pPr>
                    <w:snapToGrid w:val="0"/>
                    <w:rPr>
                      <w:rFonts w:ascii="宋体" w:hAnsi="宋体"/>
                      <w:color w:val="auto"/>
                      <w:szCs w:val="24"/>
                    </w:rPr>
                  </w:pPr>
                  <w:r>
                    <w:rPr>
                      <w:rFonts w:hint="eastAsia" w:ascii="宋体" w:hAnsi="宋体"/>
                      <w:color w:val="auto"/>
                      <w:szCs w:val="24"/>
                    </w:rPr>
                    <w:t>非开放日</w:t>
                  </w:r>
                  <w:r>
                    <w:rPr>
                      <w:rFonts w:hint="eastAsia" w:ascii="宋体" w:hAnsi="宋体"/>
                      <w:color w:val="auto"/>
                      <w:szCs w:val="24"/>
                      <w:highlight w:val="yellow"/>
                    </w:rPr>
                    <w:t>【</w:t>
                  </w:r>
                  <w:r>
                    <w:rPr>
                      <w:rFonts w:ascii="宋体" w:hAnsi="宋体"/>
                      <w:color w:val="auto"/>
                      <w:szCs w:val="24"/>
                      <w:highlight w:val="yellow"/>
                    </w:rPr>
                    <w:t>】</w:t>
                  </w:r>
                </w:p>
              </w:tc>
              <w:tc>
                <w:tcPr>
                  <w:tcW w:w="1644" w:type="dxa"/>
                </w:tcPr>
                <w:p w14:paraId="6332D15B">
                  <w:pPr>
                    <w:snapToGrid w:val="0"/>
                    <w:rPr>
                      <w:rFonts w:ascii="宋体" w:hAnsi="宋体"/>
                      <w:color w:val="auto"/>
                      <w:szCs w:val="24"/>
                    </w:rPr>
                  </w:pPr>
                  <w:r>
                    <w:rPr>
                      <w:rFonts w:hint="eastAsia" w:ascii="宋体" w:hAnsi="宋体"/>
                      <w:color w:val="auto"/>
                      <w:szCs w:val="24"/>
                    </w:rPr>
                    <w:t>申购</w:t>
                  </w:r>
                  <w:r>
                    <w:rPr>
                      <w:rFonts w:ascii="宋体" w:hAnsi="宋体"/>
                      <w:color w:val="auto"/>
                      <w:szCs w:val="24"/>
                    </w:rPr>
                    <w:t>申请日</w:t>
                  </w:r>
                  <w:r>
                    <w:rPr>
                      <w:rFonts w:hint="eastAsia" w:ascii="宋体" w:hAnsi="宋体"/>
                      <w:color w:val="auto"/>
                      <w:szCs w:val="24"/>
                    </w:rPr>
                    <w:t>后的</w:t>
                  </w:r>
                  <w:r>
                    <w:rPr>
                      <w:rFonts w:ascii="宋体" w:hAnsi="宋体"/>
                      <w:color w:val="auto"/>
                      <w:szCs w:val="24"/>
                    </w:rPr>
                    <w:t>下一个开放日</w:t>
                  </w:r>
                </w:p>
              </w:tc>
              <w:tc>
                <w:tcPr>
                  <w:tcW w:w="1645" w:type="dxa"/>
                </w:tcPr>
                <w:p w14:paraId="0DE052C0">
                  <w:pPr>
                    <w:snapToGrid w:val="0"/>
                    <w:rPr>
                      <w:rFonts w:ascii="宋体" w:hAnsi="宋体"/>
                      <w:color w:val="auto"/>
                      <w:szCs w:val="24"/>
                    </w:rPr>
                  </w:pPr>
                  <w:r>
                    <w:rPr>
                      <w:rFonts w:hint="eastAsia" w:ascii="宋体" w:hAnsi="宋体"/>
                      <w:color w:val="auto"/>
                      <w:szCs w:val="24"/>
                    </w:rPr>
                    <w:t>申购</w:t>
                  </w:r>
                  <w:r>
                    <w:rPr>
                      <w:rFonts w:ascii="宋体" w:hAnsi="宋体"/>
                      <w:color w:val="auto"/>
                      <w:szCs w:val="24"/>
                    </w:rPr>
                    <w:t>日后的下一个开放日</w:t>
                  </w:r>
                </w:p>
              </w:tc>
              <w:tc>
                <w:tcPr>
                  <w:tcW w:w="1645" w:type="dxa"/>
                  <w:vMerge w:val="continue"/>
                </w:tcPr>
                <w:p w14:paraId="3FEBBCF5">
                  <w:pPr>
                    <w:snapToGrid w:val="0"/>
                    <w:rPr>
                      <w:rFonts w:ascii="宋体" w:hAnsi="宋体"/>
                      <w:color w:val="auto"/>
                      <w:szCs w:val="24"/>
                    </w:rPr>
                  </w:pPr>
                </w:p>
              </w:tc>
            </w:tr>
          </w:tbl>
          <w:p w14:paraId="29DDD429">
            <w:pPr>
              <w:snapToGrid w:val="0"/>
              <w:rPr>
                <w:rFonts w:ascii="宋体" w:hAnsi="宋体"/>
                <w:color w:val="auto"/>
                <w:szCs w:val="24"/>
              </w:rPr>
            </w:pPr>
            <w:r>
              <w:rPr>
                <w:rFonts w:hint="eastAsia" w:ascii="宋体" w:hAnsi="宋体"/>
                <w:color w:val="auto"/>
                <w:szCs w:val="24"/>
                <w:lang w:val="en-US" w:eastAsia="zh-CN"/>
              </w:rPr>
              <w:t>5</w:t>
            </w:r>
            <w:r>
              <w:rPr>
                <w:rFonts w:hint="eastAsia" w:ascii="宋体" w:hAnsi="宋体"/>
                <w:color w:val="auto"/>
                <w:szCs w:val="24"/>
              </w:rPr>
              <w:t>.赎回</w:t>
            </w:r>
            <w:r>
              <w:rPr>
                <w:rFonts w:ascii="宋体" w:hAnsi="宋体"/>
                <w:color w:val="auto"/>
                <w:szCs w:val="24"/>
              </w:rPr>
              <w:t>安排</w:t>
            </w:r>
          </w:p>
          <w:p w14:paraId="293929C4">
            <w:pPr>
              <w:snapToGrid w:val="0"/>
              <w:rPr>
                <w:rFonts w:ascii="宋体" w:hAnsi="宋体"/>
                <w:color w:val="auto"/>
                <w:szCs w:val="24"/>
              </w:rPr>
            </w:pPr>
            <w:r>
              <w:rPr>
                <w:rFonts w:hint="eastAsia" w:ascii="宋体" w:hAnsi="宋体"/>
                <w:color w:val="auto"/>
                <w:szCs w:val="24"/>
              </w:rPr>
              <w:t>（1</w:t>
            </w:r>
            <w:r>
              <w:rPr>
                <w:rFonts w:ascii="宋体" w:hAnsi="宋体"/>
                <w:color w:val="auto"/>
                <w:szCs w:val="24"/>
              </w:rPr>
              <w:t>）</w:t>
            </w:r>
            <w:r>
              <w:rPr>
                <w:rFonts w:hint="eastAsia" w:ascii="宋体" w:hAnsi="宋体"/>
                <w:color w:val="auto"/>
                <w:szCs w:val="24"/>
              </w:rPr>
              <w:t>赎回</w:t>
            </w:r>
            <w:r>
              <w:rPr>
                <w:rFonts w:ascii="宋体" w:hAnsi="宋体"/>
                <w:color w:val="auto"/>
                <w:szCs w:val="24"/>
              </w:rPr>
              <w:t>的</w:t>
            </w:r>
            <w:r>
              <w:rPr>
                <w:rFonts w:hint="eastAsia" w:ascii="宋体" w:hAnsi="宋体"/>
                <w:color w:val="auto"/>
                <w:szCs w:val="24"/>
              </w:rPr>
              <w:t>时间</w:t>
            </w:r>
          </w:p>
          <w:p w14:paraId="5C61BA6F">
            <w:pPr>
              <w:snapToGrid w:val="0"/>
              <w:rPr>
                <w:rFonts w:ascii="宋体" w:hAnsi="宋体"/>
                <w:color w:val="auto"/>
                <w:szCs w:val="24"/>
              </w:rPr>
            </w:pPr>
            <w:r>
              <w:rPr>
                <w:rFonts w:hint="eastAsia" w:ascii="宋体" w:hAnsi="宋体"/>
                <w:color w:val="auto"/>
                <w:szCs w:val="24"/>
              </w:rPr>
              <w:t>投资者认购、申购本理财产品并成功确认份额后，在产品首次开放日（含）后可申请赎回，</w:t>
            </w:r>
            <w:r>
              <w:rPr>
                <w:rFonts w:ascii="宋体" w:hAnsi="宋体"/>
                <w:color w:val="auto"/>
                <w:szCs w:val="24"/>
              </w:rPr>
              <w:t>产品管理人公告暂停开放的日期除外。</w:t>
            </w:r>
          </w:p>
          <w:p w14:paraId="7D3948BB">
            <w:pPr>
              <w:snapToGrid w:val="0"/>
              <w:rPr>
                <w:rFonts w:ascii="宋体" w:hAnsi="宋体"/>
                <w:color w:val="auto"/>
                <w:szCs w:val="24"/>
              </w:rPr>
            </w:pPr>
            <w:r>
              <w:rPr>
                <w:rFonts w:hint="eastAsia" w:ascii="宋体" w:hAnsi="宋体"/>
                <w:color w:val="auto"/>
                <w:szCs w:val="24"/>
              </w:rPr>
              <w:t>（2</w:t>
            </w:r>
            <w:r>
              <w:rPr>
                <w:rFonts w:ascii="宋体" w:hAnsi="宋体"/>
                <w:color w:val="auto"/>
                <w:szCs w:val="24"/>
              </w:rPr>
              <w:t>）</w:t>
            </w:r>
            <w:r>
              <w:rPr>
                <w:rFonts w:hint="eastAsia" w:ascii="宋体" w:hAnsi="宋体"/>
                <w:color w:val="auto"/>
                <w:szCs w:val="24"/>
              </w:rPr>
              <w:t>赎回</w:t>
            </w:r>
            <w:r>
              <w:rPr>
                <w:rFonts w:ascii="宋体" w:hAnsi="宋体"/>
                <w:color w:val="auto"/>
                <w:szCs w:val="24"/>
              </w:rPr>
              <w:t>的确认</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4"/>
              <w:gridCol w:w="1644"/>
              <w:gridCol w:w="1645"/>
              <w:gridCol w:w="1645"/>
            </w:tblGrid>
            <w:tr w14:paraId="0B5AC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Pr>
                <w:p w14:paraId="12025121">
                  <w:pPr>
                    <w:snapToGrid w:val="0"/>
                    <w:rPr>
                      <w:rFonts w:ascii="宋体" w:hAnsi="宋体"/>
                      <w:color w:val="auto"/>
                      <w:szCs w:val="24"/>
                    </w:rPr>
                  </w:pPr>
                  <w:r>
                    <w:rPr>
                      <w:rFonts w:hint="eastAsia" w:ascii="宋体" w:hAnsi="宋体"/>
                      <w:color w:val="auto"/>
                      <w:szCs w:val="24"/>
                    </w:rPr>
                    <w:t>赎回</w:t>
                  </w:r>
                  <w:r>
                    <w:rPr>
                      <w:rFonts w:ascii="宋体" w:hAnsi="宋体"/>
                      <w:color w:val="auto"/>
                      <w:szCs w:val="24"/>
                    </w:rPr>
                    <w:t>申请日</w:t>
                  </w:r>
                </w:p>
              </w:tc>
              <w:tc>
                <w:tcPr>
                  <w:tcW w:w="1644" w:type="dxa"/>
                </w:tcPr>
                <w:p w14:paraId="51ACBD58">
                  <w:pPr>
                    <w:snapToGrid w:val="0"/>
                    <w:rPr>
                      <w:rFonts w:ascii="宋体" w:hAnsi="宋体"/>
                      <w:color w:val="auto"/>
                      <w:szCs w:val="24"/>
                    </w:rPr>
                  </w:pPr>
                  <w:r>
                    <w:rPr>
                      <w:rFonts w:hint="eastAsia" w:ascii="宋体" w:hAnsi="宋体"/>
                      <w:color w:val="auto"/>
                      <w:szCs w:val="24"/>
                    </w:rPr>
                    <w:t>赎回日</w:t>
                  </w:r>
                </w:p>
              </w:tc>
              <w:tc>
                <w:tcPr>
                  <w:tcW w:w="1645" w:type="dxa"/>
                </w:tcPr>
                <w:p w14:paraId="38436796">
                  <w:pPr>
                    <w:snapToGrid w:val="0"/>
                    <w:rPr>
                      <w:rFonts w:ascii="宋体" w:hAnsi="宋体"/>
                      <w:color w:val="auto"/>
                      <w:szCs w:val="24"/>
                    </w:rPr>
                  </w:pPr>
                  <w:r>
                    <w:rPr>
                      <w:rFonts w:hint="eastAsia" w:ascii="宋体" w:hAnsi="宋体"/>
                      <w:color w:val="auto"/>
                      <w:szCs w:val="24"/>
                    </w:rPr>
                    <w:t>赎回</w:t>
                  </w:r>
                  <w:r>
                    <w:rPr>
                      <w:rFonts w:ascii="宋体" w:hAnsi="宋体"/>
                      <w:color w:val="auto"/>
                      <w:szCs w:val="24"/>
                    </w:rPr>
                    <w:t>确认日</w:t>
                  </w:r>
                </w:p>
              </w:tc>
              <w:tc>
                <w:tcPr>
                  <w:tcW w:w="1645" w:type="dxa"/>
                </w:tcPr>
                <w:p w14:paraId="2726502B">
                  <w:pPr>
                    <w:snapToGrid w:val="0"/>
                    <w:rPr>
                      <w:rFonts w:ascii="宋体" w:hAnsi="宋体"/>
                      <w:color w:val="auto"/>
                      <w:szCs w:val="24"/>
                    </w:rPr>
                  </w:pPr>
                  <w:r>
                    <w:rPr>
                      <w:rFonts w:hint="eastAsia" w:ascii="宋体" w:hAnsi="宋体"/>
                      <w:color w:val="auto"/>
                      <w:szCs w:val="24"/>
                    </w:rPr>
                    <w:t>赎回</w:t>
                  </w:r>
                  <w:r>
                    <w:rPr>
                      <w:rFonts w:ascii="宋体" w:hAnsi="宋体"/>
                      <w:color w:val="auto"/>
                      <w:szCs w:val="24"/>
                    </w:rPr>
                    <w:t>确认</w:t>
                  </w:r>
                  <w:r>
                    <w:rPr>
                      <w:rFonts w:hint="eastAsia" w:ascii="宋体" w:hAnsi="宋体"/>
                      <w:color w:val="auto"/>
                      <w:szCs w:val="24"/>
                    </w:rPr>
                    <w:t>方式</w:t>
                  </w:r>
                </w:p>
              </w:tc>
            </w:tr>
            <w:tr w14:paraId="11812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Pr>
                <w:p w14:paraId="025FF2E7">
                  <w:pPr>
                    <w:snapToGrid w:val="0"/>
                    <w:rPr>
                      <w:rFonts w:ascii="宋体" w:hAnsi="宋体"/>
                      <w:color w:val="auto"/>
                      <w:szCs w:val="24"/>
                    </w:rPr>
                  </w:pPr>
                  <w:r>
                    <w:rPr>
                      <w:rFonts w:hint="eastAsia" w:ascii="宋体" w:hAnsi="宋体"/>
                      <w:color w:val="auto"/>
                      <w:szCs w:val="24"/>
                    </w:rPr>
                    <w:t>开放日</w:t>
                  </w:r>
                  <w:r>
                    <w:rPr>
                      <w:rFonts w:ascii="宋体" w:hAnsi="宋体"/>
                      <w:color w:val="auto"/>
                      <w:szCs w:val="24"/>
                    </w:rPr>
                    <w:t>内交易时间</w:t>
                  </w:r>
                  <w:r>
                    <w:rPr>
                      <w:rFonts w:hint="eastAsia" w:ascii="宋体" w:hAnsi="宋体"/>
                      <w:color w:val="auto"/>
                      <w:szCs w:val="24"/>
                      <w:highlight w:val="yellow"/>
                    </w:rPr>
                    <w:t>【</w:t>
                  </w:r>
                  <w:r>
                    <w:rPr>
                      <w:rFonts w:ascii="宋体" w:hAnsi="宋体"/>
                      <w:color w:val="auto"/>
                      <w:szCs w:val="24"/>
                      <w:highlight w:val="yellow"/>
                    </w:rPr>
                    <w:t>】</w:t>
                  </w:r>
                </w:p>
              </w:tc>
              <w:tc>
                <w:tcPr>
                  <w:tcW w:w="1644" w:type="dxa"/>
                </w:tcPr>
                <w:p w14:paraId="117CFA4E">
                  <w:pPr>
                    <w:snapToGrid w:val="0"/>
                    <w:rPr>
                      <w:rFonts w:ascii="宋体" w:hAnsi="宋体"/>
                      <w:color w:val="auto"/>
                      <w:szCs w:val="24"/>
                    </w:rPr>
                  </w:pPr>
                  <w:r>
                    <w:rPr>
                      <w:rFonts w:hint="eastAsia" w:ascii="宋体" w:hAnsi="宋体"/>
                      <w:color w:val="auto"/>
                      <w:szCs w:val="24"/>
                    </w:rPr>
                    <w:t>赎回</w:t>
                  </w:r>
                  <w:r>
                    <w:rPr>
                      <w:rFonts w:ascii="宋体" w:hAnsi="宋体"/>
                      <w:color w:val="auto"/>
                      <w:szCs w:val="24"/>
                    </w:rPr>
                    <w:t>申请日当日</w:t>
                  </w:r>
                </w:p>
              </w:tc>
              <w:tc>
                <w:tcPr>
                  <w:tcW w:w="1645" w:type="dxa"/>
                </w:tcPr>
                <w:p w14:paraId="2A909F64">
                  <w:pPr>
                    <w:snapToGrid w:val="0"/>
                    <w:rPr>
                      <w:rFonts w:ascii="宋体" w:hAnsi="宋体"/>
                      <w:color w:val="auto"/>
                      <w:szCs w:val="24"/>
                    </w:rPr>
                  </w:pPr>
                  <w:r>
                    <w:rPr>
                      <w:rFonts w:hint="eastAsia" w:ascii="宋体" w:hAnsi="宋体"/>
                      <w:color w:val="auto"/>
                      <w:szCs w:val="24"/>
                    </w:rPr>
                    <w:t>赎回</w:t>
                  </w:r>
                  <w:r>
                    <w:rPr>
                      <w:rFonts w:ascii="宋体" w:hAnsi="宋体"/>
                      <w:color w:val="auto"/>
                      <w:szCs w:val="24"/>
                    </w:rPr>
                    <w:t>日后的下一个开放日</w:t>
                  </w:r>
                </w:p>
              </w:tc>
              <w:tc>
                <w:tcPr>
                  <w:tcW w:w="1645" w:type="dxa"/>
                  <w:vMerge w:val="restart"/>
                </w:tcPr>
                <w:p w14:paraId="4F9203E5">
                  <w:pPr>
                    <w:snapToGrid w:val="0"/>
                    <w:rPr>
                      <w:rFonts w:ascii="宋体" w:hAnsi="宋体"/>
                      <w:color w:val="auto"/>
                      <w:szCs w:val="24"/>
                    </w:rPr>
                  </w:pPr>
                  <w:r>
                    <w:rPr>
                      <w:rFonts w:hint="eastAsia" w:ascii="宋体" w:hAnsi="宋体"/>
                      <w:color w:val="auto"/>
                      <w:szCs w:val="24"/>
                    </w:rPr>
                    <w:t>产品</w:t>
                  </w:r>
                  <w:r>
                    <w:rPr>
                      <w:rFonts w:ascii="宋体" w:hAnsi="宋体"/>
                      <w:color w:val="auto"/>
                      <w:szCs w:val="24"/>
                    </w:rPr>
                    <w:t>管理人在</w:t>
                  </w:r>
                  <w:r>
                    <w:rPr>
                      <w:rFonts w:hint="eastAsia" w:ascii="宋体" w:hAnsi="宋体"/>
                      <w:color w:val="auto"/>
                      <w:szCs w:val="24"/>
                    </w:rPr>
                    <w:t>赎回确认日</w:t>
                  </w:r>
                  <w:r>
                    <w:rPr>
                      <w:rFonts w:ascii="宋体" w:hAnsi="宋体"/>
                      <w:color w:val="auto"/>
                      <w:szCs w:val="24"/>
                    </w:rPr>
                    <w:t>对投资者的</w:t>
                  </w:r>
                  <w:r>
                    <w:rPr>
                      <w:rFonts w:hint="eastAsia" w:ascii="宋体" w:hAnsi="宋体"/>
                      <w:color w:val="auto"/>
                      <w:szCs w:val="24"/>
                    </w:rPr>
                    <w:t>赎回</w:t>
                  </w:r>
                  <w:r>
                    <w:rPr>
                      <w:rFonts w:ascii="宋体" w:hAnsi="宋体"/>
                      <w:color w:val="auto"/>
                      <w:szCs w:val="24"/>
                    </w:rPr>
                    <w:t>申请的有效性</w:t>
                  </w:r>
                  <w:r>
                    <w:rPr>
                      <w:rFonts w:hint="eastAsia" w:ascii="宋体" w:hAnsi="宋体"/>
                      <w:color w:val="auto"/>
                      <w:szCs w:val="24"/>
                    </w:rPr>
                    <w:t>进行</w:t>
                  </w:r>
                  <w:r>
                    <w:rPr>
                      <w:rFonts w:ascii="宋体" w:hAnsi="宋体"/>
                      <w:color w:val="auto"/>
                      <w:szCs w:val="24"/>
                    </w:rPr>
                    <w:t>确认，并</w:t>
                  </w:r>
                  <w:r>
                    <w:rPr>
                      <w:rFonts w:hint="eastAsia" w:ascii="宋体" w:hAnsi="宋体"/>
                      <w:color w:val="auto"/>
                      <w:szCs w:val="24"/>
                    </w:rPr>
                    <w:t>注销</w:t>
                  </w:r>
                  <w:r>
                    <w:rPr>
                      <w:rFonts w:ascii="宋体" w:hAnsi="宋体"/>
                      <w:color w:val="auto"/>
                      <w:szCs w:val="24"/>
                    </w:rPr>
                    <w:t>理财份额。</w:t>
                  </w:r>
                </w:p>
              </w:tc>
            </w:tr>
            <w:tr w14:paraId="179A7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4" w:type="dxa"/>
                </w:tcPr>
                <w:p w14:paraId="4CAD1CC0">
                  <w:pPr>
                    <w:snapToGrid w:val="0"/>
                    <w:rPr>
                      <w:rFonts w:ascii="宋体" w:hAnsi="宋体"/>
                      <w:color w:val="auto"/>
                      <w:szCs w:val="24"/>
                    </w:rPr>
                  </w:pPr>
                  <w:r>
                    <w:rPr>
                      <w:rFonts w:hint="eastAsia" w:ascii="宋体" w:hAnsi="宋体"/>
                      <w:color w:val="auto"/>
                      <w:szCs w:val="24"/>
                    </w:rPr>
                    <w:t>开放日</w:t>
                  </w:r>
                  <w:r>
                    <w:rPr>
                      <w:rFonts w:ascii="宋体" w:hAnsi="宋体"/>
                      <w:color w:val="auto"/>
                      <w:szCs w:val="24"/>
                    </w:rPr>
                    <w:t>内</w:t>
                  </w:r>
                  <w:r>
                    <w:rPr>
                      <w:rFonts w:hint="eastAsia" w:ascii="宋体" w:hAnsi="宋体"/>
                      <w:color w:val="auto"/>
                      <w:szCs w:val="24"/>
                    </w:rPr>
                    <w:t>非</w:t>
                  </w:r>
                  <w:r>
                    <w:rPr>
                      <w:rFonts w:ascii="宋体" w:hAnsi="宋体"/>
                      <w:color w:val="auto"/>
                      <w:szCs w:val="24"/>
                    </w:rPr>
                    <w:t>交易时间</w:t>
                  </w:r>
                  <w:r>
                    <w:rPr>
                      <w:rFonts w:hint="eastAsia" w:ascii="宋体" w:hAnsi="宋体"/>
                      <w:color w:val="auto"/>
                      <w:szCs w:val="24"/>
                      <w:highlight w:val="yellow"/>
                    </w:rPr>
                    <w:t>【</w:t>
                  </w:r>
                  <w:r>
                    <w:rPr>
                      <w:rFonts w:ascii="宋体" w:hAnsi="宋体"/>
                      <w:color w:val="auto"/>
                      <w:szCs w:val="24"/>
                      <w:highlight w:val="yellow"/>
                    </w:rPr>
                    <w:t>】</w:t>
                  </w:r>
                </w:p>
              </w:tc>
              <w:tc>
                <w:tcPr>
                  <w:tcW w:w="1644" w:type="dxa"/>
                </w:tcPr>
                <w:p w14:paraId="06231F5C">
                  <w:pPr>
                    <w:snapToGrid w:val="0"/>
                    <w:rPr>
                      <w:rFonts w:ascii="宋体" w:hAnsi="宋体"/>
                      <w:color w:val="auto"/>
                      <w:szCs w:val="24"/>
                    </w:rPr>
                  </w:pPr>
                  <w:r>
                    <w:rPr>
                      <w:rFonts w:hint="eastAsia" w:ascii="宋体" w:hAnsi="宋体"/>
                      <w:color w:val="auto"/>
                      <w:szCs w:val="24"/>
                    </w:rPr>
                    <w:t>赎回</w:t>
                  </w:r>
                  <w:r>
                    <w:rPr>
                      <w:rFonts w:ascii="宋体" w:hAnsi="宋体"/>
                      <w:color w:val="auto"/>
                      <w:szCs w:val="24"/>
                    </w:rPr>
                    <w:t>申请日</w:t>
                  </w:r>
                  <w:r>
                    <w:rPr>
                      <w:rFonts w:hint="eastAsia" w:ascii="宋体" w:hAnsi="宋体"/>
                      <w:color w:val="auto"/>
                      <w:szCs w:val="24"/>
                    </w:rPr>
                    <w:t>后的</w:t>
                  </w:r>
                  <w:r>
                    <w:rPr>
                      <w:rFonts w:ascii="宋体" w:hAnsi="宋体"/>
                      <w:color w:val="auto"/>
                      <w:szCs w:val="24"/>
                    </w:rPr>
                    <w:t>下一个开放日</w:t>
                  </w:r>
                </w:p>
              </w:tc>
              <w:tc>
                <w:tcPr>
                  <w:tcW w:w="1645" w:type="dxa"/>
                </w:tcPr>
                <w:p w14:paraId="251FAC33">
                  <w:pPr>
                    <w:snapToGrid w:val="0"/>
                    <w:rPr>
                      <w:rFonts w:ascii="宋体" w:hAnsi="宋体"/>
                      <w:color w:val="auto"/>
                      <w:szCs w:val="24"/>
                    </w:rPr>
                  </w:pPr>
                  <w:r>
                    <w:rPr>
                      <w:rFonts w:hint="eastAsia" w:ascii="宋体" w:hAnsi="宋体"/>
                      <w:color w:val="auto"/>
                      <w:szCs w:val="24"/>
                    </w:rPr>
                    <w:t>赎回</w:t>
                  </w:r>
                  <w:r>
                    <w:rPr>
                      <w:rFonts w:ascii="宋体" w:hAnsi="宋体"/>
                      <w:color w:val="auto"/>
                      <w:szCs w:val="24"/>
                    </w:rPr>
                    <w:t>日后的下一个开放日</w:t>
                  </w:r>
                </w:p>
              </w:tc>
              <w:tc>
                <w:tcPr>
                  <w:tcW w:w="1645" w:type="dxa"/>
                  <w:vMerge w:val="continue"/>
                </w:tcPr>
                <w:p w14:paraId="3A3C3856">
                  <w:pPr>
                    <w:snapToGrid w:val="0"/>
                    <w:rPr>
                      <w:rFonts w:ascii="宋体" w:hAnsi="宋体"/>
                      <w:color w:val="auto"/>
                      <w:szCs w:val="24"/>
                    </w:rPr>
                  </w:pPr>
                </w:p>
              </w:tc>
            </w:tr>
            <w:tr w14:paraId="29D41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44" w:type="dxa"/>
                </w:tcPr>
                <w:p w14:paraId="5EF20128">
                  <w:pPr>
                    <w:snapToGrid w:val="0"/>
                    <w:rPr>
                      <w:rFonts w:ascii="宋体" w:hAnsi="宋体"/>
                      <w:color w:val="auto"/>
                      <w:szCs w:val="24"/>
                    </w:rPr>
                  </w:pPr>
                  <w:r>
                    <w:rPr>
                      <w:rFonts w:hint="eastAsia" w:ascii="宋体" w:hAnsi="宋体"/>
                      <w:color w:val="auto"/>
                      <w:szCs w:val="24"/>
                    </w:rPr>
                    <w:t>非开放日</w:t>
                  </w:r>
                  <w:r>
                    <w:rPr>
                      <w:rFonts w:hint="eastAsia" w:ascii="宋体" w:hAnsi="宋体"/>
                      <w:color w:val="auto"/>
                      <w:szCs w:val="24"/>
                      <w:highlight w:val="yellow"/>
                    </w:rPr>
                    <w:t>【</w:t>
                  </w:r>
                  <w:r>
                    <w:rPr>
                      <w:rFonts w:ascii="宋体" w:hAnsi="宋体"/>
                      <w:color w:val="auto"/>
                      <w:szCs w:val="24"/>
                      <w:highlight w:val="yellow"/>
                    </w:rPr>
                    <w:t>】</w:t>
                  </w:r>
                </w:p>
              </w:tc>
              <w:tc>
                <w:tcPr>
                  <w:tcW w:w="1644" w:type="dxa"/>
                </w:tcPr>
                <w:p w14:paraId="56308F6A">
                  <w:pPr>
                    <w:snapToGrid w:val="0"/>
                    <w:rPr>
                      <w:rFonts w:ascii="宋体" w:hAnsi="宋体"/>
                      <w:color w:val="auto"/>
                      <w:szCs w:val="24"/>
                    </w:rPr>
                  </w:pPr>
                  <w:r>
                    <w:rPr>
                      <w:rFonts w:hint="eastAsia" w:ascii="宋体" w:hAnsi="宋体"/>
                      <w:color w:val="auto"/>
                      <w:szCs w:val="24"/>
                    </w:rPr>
                    <w:t>赎回</w:t>
                  </w:r>
                  <w:r>
                    <w:rPr>
                      <w:rFonts w:ascii="宋体" w:hAnsi="宋体"/>
                      <w:color w:val="auto"/>
                      <w:szCs w:val="24"/>
                    </w:rPr>
                    <w:t>申请日</w:t>
                  </w:r>
                  <w:r>
                    <w:rPr>
                      <w:rFonts w:hint="eastAsia" w:ascii="宋体" w:hAnsi="宋体"/>
                      <w:color w:val="auto"/>
                      <w:szCs w:val="24"/>
                    </w:rPr>
                    <w:t>后的</w:t>
                  </w:r>
                  <w:r>
                    <w:rPr>
                      <w:rFonts w:ascii="宋体" w:hAnsi="宋体"/>
                      <w:color w:val="auto"/>
                      <w:szCs w:val="24"/>
                    </w:rPr>
                    <w:t>下一个开放日</w:t>
                  </w:r>
                </w:p>
              </w:tc>
              <w:tc>
                <w:tcPr>
                  <w:tcW w:w="1645" w:type="dxa"/>
                </w:tcPr>
                <w:p w14:paraId="2B81F15E">
                  <w:pPr>
                    <w:snapToGrid w:val="0"/>
                    <w:rPr>
                      <w:rFonts w:ascii="宋体" w:hAnsi="宋体"/>
                      <w:color w:val="auto"/>
                      <w:szCs w:val="24"/>
                    </w:rPr>
                  </w:pPr>
                  <w:r>
                    <w:rPr>
                      <w:rFonts w:hint="eastAsia" w:ascii="宋体" w:hAnsi="宋体"/>
                      <w:color w:val="auto"/>
                      <w:szCs w:val="24"/>
                    </w:rPr>
                    <w:t>赎回</w:t>
                  </w:r>
                  <w:r>
                    <w:rPr>
                      <w:rFonts w:ascii="宋体" w:hAnsi="宋体"/>
                      <w:color w:val="auto"/>
                      <w:szCs w:val="24"/>
                    </w:rPr>
                    <w:t>日后的下一个开放日</w:t>
                  </w:r>
                </w:p>
              </w:tc>
              <w:tc>
                <w:tcPr>
                  <w:tcW w:w="1645" w:type="dxa"/>
                  <w:vMerge w:val="continue"/>
                </w:tcPr>
                <w:p w14:paraId="330E9ED5">
                  <w:pPr>
                    <w:snapToGrid w:val="0"/>
                    <w:rPr>
                      <w:rFonts w:ascii="宋体" w:hAnsi="宋体"/>
                      <w:color w:val="auto"/>
                      <w:szCs w:val="24"/>
                    </w:rPr>
                  </w:pPr>
                </w:p>
              </w:tc>
            </w:tr>
          </w:tbl>
          <w:p w14:paraId="379F84E8">
            <w:pPr>
              <w:snapToGrid w:val="0"/>
              <w:rPr>
                <w:rFonts w:ascii="宋体" w:hAnsi="宋体"/>
                <w:color w:val="auto"/>
                <w:szCs w:val="24"/>
              </w:rPr>
            </w:pPr>
          </w:p>
          <w:p w14:paraId="679A275C">
            <w:pPr>
              <w:snapToGrid w:val="0"/>
              <w:rPr>
                <w:rFonts w:hint="eastAsia" w:ascii="宋体" w:hAnsi="宋体" w:eastAsia="仿宋_GB2312"/>
                <w:color w:val="auto"/>
                <w:szCs w:val="24"/>
                <w:lang w:eastAsia="zh-CN"/>
              </w:rPr>
            </w:pPr>
            <w:r>
              <w:rPr>
                <w:rFonts w:hint="eastAsia" w:ascii="宋体" w:hAnsi="宋体"/>
                <w:color w:val="auto"/>
                <w:szCs w:val="24"/>
                <w:lang w:val="en-US" w:eastAsia="zh-CN"/>
              </w:rPr>
              <w:t>6</w:t>
            </w:r>
            <w:r>
              <w:rPr>
                <w:rFonts w:ascii="宋体" w:hAnsi="宋体"/>
                <w:color w:val="auto"/>
                <w:szCs w:val="24"/>
              </w:rPr>
              <w:t>.</w:t>
            </w:r>
            <w:r>
              <w:rPr>
                <w:rFonts w:hint="eastAsia" w:ascii="宋体" w:hAnsi="宋体"/>
                <w:color w:val="auto"/>
                <w:szCs w:val="24"/>
              </w:rPr>
              <w:t>赎回款项于赎回确认日后</w:t>
            </w:r>
            <w:r>
              <w:rPr>
                <w:rFonts w:hint="eastAsia" w:ascii="宋体" w:hAnsi="宋体"/>
                <w:color w:val="auto"/>
                <w:szCs w:val="24"/>
                <w:highlight w:val="yellow"/>
              </w:rPr>
              <w:t>【】</w:t>
            </w:r>
            <w:r>
              <w:rPr>
                <w:rFonts w:hint="eastAsia" w:ascii="宋体" w:hAnsi="宋体"/>
                <w:color w:val="auto"/>
                <w:szCs w:val="24"/>
              </w:rPr>
              <w:t>个</w:t>
            </w:r>
            <w:r>
              <w:rPr>
                <w:rFonts w:hint="eastAsia" w:ascii="宋体" w:hAnsi="宋体"/>
                <w:color w:val="auto"/>
                <w:szCs w:val="24"/>
                <w:highlight w:val="yellow"/>
              </w:rPr>
              <w:t>【</w:t>
            </w:r>
            <w:r>
              <w:rPr>
                <w:rFonts w:hint="eastAsia" w:ascii="宋体" w:hAnsi="宋体"/>
                <w:color w:val="auto"/>
                <w:szCs w:val="24"/>
                <w:highlight w:val="yellow"/>
                <w:lang w:eastAsia="zh-CN"/>
              </w:rPr>
              <w:t>□</w:t>
            </w:r>
            <w:r>
              <w:rPr>
                <w:rFonts w:hint="eastAsia" w:ascii="宋体" w:hAnsi="宋体"/>
                <w:color w:val="auto"/>
                <w:szCs w:val="24"/>
                <w:highlight w:val="yellow"/>
              </w:rPr>
              <w:t>工作日/</w:t>
            </w:r>
            <w:r>
              <w:rPr>
                <w:rFonts w:hint="eastAsia" w:ascii="宋体" w:hAnsi="宋体"/>
                <w:color w:val="auto"/>
                <w:szCs w:val="24"/>
                <w:highlight w:val="yellow"/>
                <w:lang w:eastAsia="zh-CN"/>
              </w:rPr>
              <w:t>□</w:t>
            </w:r>
            <w:r>
              <w:rPr>
                <w:rFonts w:hint="eastAsia" w:ascii="宋体" w:hAnsi="宋体"/>
                <w:color w:val="auto"/>
                <w:szCs w:val="24"/>
                <w:highlight w:val="yellow"/>
              </w:rPr>
              <w:t>交易日】</w:t>
            </w:r>
            <w:r>
              <w:rPr>
                <w:rFonts w:hint="eastAsia" w:ascii="宋体" w:hAnsi="宋体"/>
                <w:color w:val="auto"/>
                <w:szCs w:val="24"/>
              </w:rPr>
              <w:t>内支付给投资者。</w:t>
            </w:r>
            <w:r>
              <w:rPr>
                <w:rFonts w:hint="eastAsia" w:ascii="宋体" w:hAnsi="宋体"/>
                <w:color w:val="auto"/>
                <w:szCs w:val="24"/>
                <w:highlight w:val="yellow"/>
                <w:lang w:eastAsia="zh-CN"/>
              </w:rPr>
              <w:t>】</w:t>
            </w:r>
          </w:p>
          <w:p w14:paraId="7FEAB8C9">
            <w:pPr>
              <w:snapToGrid w:val="0"/>
              <w:rPr>
                <w:rFonts w:ascii="宋体" w:hAnsi="宋体"/>
                <w:color w:val="auto"/>
                <w:szCs w:val="24"/>
              </w:rPr>
            </w:pPr>
            <w:r>
              <w:rPr>
                <w:rFonts w:hint="eastAsia" w:ascii="宋体" w:hAnsi="宋体"/>
                <w:color w:val="auto"/>
                <w:szCs w:val="24"/>
              </w:rPr>
              <w:t>★注：关于销售机构的实际工作服务时段的提示</w:t>
            </w:r>
          </w:p>
          <w:p w14:paraId="22698456">
            <w:pPr>
              <w:snapToGrid w:val="0"/>
              <w:rPr>
                <w:rFonts w:ascii="宋体" w:hAnsi="宋体"/>
                <w:color w:val="auto"/>
                <w:szCs w:val="24"/>
              </w:rPr>
            </w:pPr>
            <w:r>
              <w:rPr>
                <w:rFonts w:hint="eastAsia" w:ascii="宋体" w:hAnsi="宋体"/>
                <w:color w:val="auto"/>
                <w:szCs w:val="24"/>
              </w:rPr>
              <w:t>①为本产品办理相关交易的实际工作服务时段，因销售机构的不同可能存在差异（可能晚于销售文件约定的起始时点开始或早于销售文件约定的终止时点结束），投资者应当以销售机构的展示为准。</w:t>
            </w:r>
          </w:p>
          <w:p w14:paraId="25D37E24">
            <w:pPr>
              <w:widowControl/>
              <w:spacing w:line="400" w:lineRule="exact"/>
              <w:jc w:val="left"/>
              <w:textAlignment w:val="center"/>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ascii="宋体" w:hAnsi="宋体"/>
                <w:color w:val="auto"/>
                <w:szCs w:val="24"/>
              </w:rPr>
              <w:t>②销售机构的实际工作服务时段，最早不得早于销售文件约定的起始时点、最晚不得晚于销售文件约定的终止时点。</w:t>
            </w:r>
          </w:p>
        </w:tc>
      </w:tr>
      <w:tr w14:paraId="396588FD">
        <w:tblPrEx>
          <w:tblCellMar>
            <w:top w:w="0" w:type="dxa"/>
            <w:left w:w="108" w:type="dxa"/>
            <w:bottom w:w="0" w:type="dxa"/>
            <w:right w:w="108" w:type="dxa"/>
          </w:tblCellMar>
        </w:tblPrEx>
        <w:trPr>
          <w:trHeight w:val="1180" w:hRule="atLeast"/>
        </w:trPr>
        <w:tc>
          <w:tcPr>
            <w:tcW w:w="2453" w:type="dxa"/>
            <w:tcBorders>
              <w:top w:val="single" w:color="auto" w:sz="4" w:space="0"/>
              <w:left w:val="single" w:color="auto" w:sz="4" w:space="0"/>
              <w:bottom w:val="single" w:color="auto" w:sz="4" w:space="0"/>
              <w:right w:val="single" w:color="auto" w:sz="4" w:space="0"/>
            </w:tcBorders>
            <w:vAlign w:val="center"/>
          </w:tcPr>
          <w:p w14:paraId="556FFFE4">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巨额赎回</w:t>
            </w:r>
          </w:p>
        </w:tc>
        <w:tc>
          <w:tcPr>
            <w:tcW w:w="6972" w:type="dxa"/>
            <w:tcBorders>
              <w:top w:val="single" w:color="auto" w:sz="4" w:space="0"/>
              <w:left w:val="single" w:color="auto" w:sz="4" w:space="0"/>
              <w:bottom w:val="single" w:color="auto" w:sz="4" w:space="0"/>
              <w:right w:val="single" w:color="auto" w:sz="4" w:space="0"/>
            </w:tcBorders>
            <w:vAlign w:val="center"/>
          </w:tcPr>
          <w:p w14:paraId="06ABC531">
            <w:pPr>
              <w:keepNext w:val="0"/>
              <w:keepLines w:val="0"/>
              <w:widowControl/>
              <w:numPr>
                <w:ilvl w:val="-1"/>
                <w:numId w:val="0"/>
              </w:numPr>
              <w:suppressLineNumbers w:val="0"/>
              <w:spacing w:line="400" w:lineRule="exact"/>
              <w:jc w:val="left"/>
              <w:textAlignment w:val="center"/>
              <w:rPr>
                <w:rFonts w:hint="eastAsia" w:ascii="宋体" w:hAnsi="宋体"/>
                <w:b/>
                <w:color w:val="000000"/>
                <w:szCs w:val="24"/>
                <w:highlight w:val="none"/>
              </w:rPr>
            </w:pPr>
            <w:r>
              <w:rPr>
                <w:rFonts w:hint="eastAsia" w:ascii="宋体" w:hAnsi="宋体"/>
                <w:b/>
                <w:color w:val="000000"/>
                <w:szCs w:val="24"/>
                <w:highlight w:val="none"/>
              </w:rPr>
              <w:t>单个开放日内，产品净赎回申请（赎回申请总份额扣除申购总份额后的余额,下同）超过前一日终理财产品总份额的</w:t>
            </w:r>
            <w:r>
              <w:rPr>
                <w:rFonts w:hint="eastAsia" w:ascii="宋体" w:hAnsi="宋体"/>
                <w:b/>
                <w:color w:val="000000"/>
                <w:szCs w:val="24"/>
                <w:highlight w:val="none"/>
                <w:lang w:eastAsia="zh-CN"/>
              </w:rPr>
              <w:t>【</w:t>
            </w:r>
            <w:r>
              <w:rPr>
                <w:rFonts w:hint="eastAsia" w:ascii="宋体" w:hAnsi="宋体"/>
                <w:b/>
                <w:color w:val="000000"/>
                <w:szCs w:val="24"/>
                <w:highlight w:val="none"/>
              </w:rPr>
              <w:t>10％</w:t>
            </w:r>
            <w:r>
              <w:rPr>
                <w:rFonts w:hint="eastAsia" w:ascii="宋体" w:hAnsi="宋体"/>
                <w:b/>
                <w:color w:val="000000"/>
                <w:szCs w:val="24"/>
                <w:highlight w:val="none"/>
                <w:lang w:eastAsia="zh-CN"/>
              </w:rPr>
              <w:t>】</w:t>
            </w:r>
            <w:r>
              <w:rPr>
                <w:rFonts w:hint="eastAsia" w:ascii="宋体" w:hAnsi="宋体"/>
                <w:b/>
                <w:color w:val="000000"/>
                <w:szCs w:val="24"/>
                <w:highlight w:val="none"/>
              </w:rPr>
              <w:t>，即为发生巨额赎回。</w:t>
            </w:r>
          </w:p>
          <w:p w14:paraId="125E3300">
            <w:pPr>
              <w:keepNext w:val="0"/>
              <w:keepLines w:val="0"/>
              <w:widowControl/>
              <w:numPr>
                <w:ilvl w:val="-1"/>
                <w:numId w:val="0"/>
              </w:numPr>
              <w:suppressLineNumbers w:val="0"/>
              <w:spacing w:line="400" w:lineRule="exact"/>
              <w:jc w:val="left"/>
              <w:textAlignment w:val="center"/>
              <w:rPr>
                <w:rFonts w:hint="eastAsia" w:ascii="宋体" w:hAnsi="宋体"/>
                <w:b/>
                <w:color w:val="000000"/>
                <w:szCs w:val="24"/>
                <w:highlight w:val="none"/>
              </w:rPr>
            </w:pPr>
            <w:r>
              <w:rPr>
                <w:rFonts w:hint="eastAsia" w:ascii="宋体" w:hAnsi="宋体"/>
                <w:b/>
                <w:color w:val="000000"/>
                <w:szCs w:val="24"/>
                <w:highlight w:val="none"/>
              </w:rPr>
              <w:t>本理财产品在开放日发生巨额赎回时，管理人有权根据产品的实际运作情况采取如下措施中的一种：</w:t>
            </w:r>
          </w:p>
          <w:p w14:paraId="2FCFEE87">
            <w:pPr>
              <w:keepNext w:val="0"/>
              <w:keepLines w:val="0"/>
              <w:widowControl/>
              <w:numPr>
                <w:ilvl w:val="-1"/>
                <w:numId w:val="0"/>
              </w:numPr>
              <w:suppressLineNumbers w:val="0"/>
              <w:spacing w:line="400" w:lineRule="exact"/>
              <w:jc w:val="left"/>
              <w:textAlignment w:val="center"/>
              <w:rPr>
                <w:rFonts w:hint="eastAsia" w:ascii="宋体" w:hAnsi="宋体"/>
                <w:b/>
                <w:color w:val="000000"/>
                <w:szCs w:val="24"/>
                <w:highlight w:val="none"/>
              </w:rPr>
            </w:pPr>
            <w:r>
              <w:rPr>
                <w:rFonts w:hint="eastAsia" w:ascii="宋体" w:hAnsi="宋体"/>
                <w:b/>
                <w:color w:val="000000"/>
                <w:szCs w:val="24"/>
                <w:highlight w:val="none"/>
              </w:rPr>
              <w:t>1.</w:t>
            </w:r>
            <w:r>
              <w:rPr>
                <w:rFonts w:hint="eastAsia" w:ascii="宋体" w:hAnsi="宋体"/>
                <w:b/>
                <w:color w:val="000000"/>
                <w:szCs w:val="24"/>
                <w:highlight w:val="none"/>
                <w:lang w:eastAsia="zh-CN"/>
              </w:rPr>
              <w:t>全额接受</w:t>
            </w:r>
            <w:r>
              <w:rPr>
                <w:rFonts w:hint="eastAsia" w:ascii="宋体" w:hAnsi="宋体"/>
                <w:b/>
                <w:color w:val="000000"/>
                <w:szCs w:val="24"/>
                <w:highlight w:val="none"/>
              </w:rPr>
              <w:t>：当管理人认为有能力兑付投资者的全部赎回申请时，将在赎回确认日按正常赎回程序执行；</w:t>
            </w:r>
          </w:p>
          <w:p w14:paraId="75F3B338">
            <w:pPr>
              <w:keepNext w:val="0"/>
              <w:keepLines w:val="0"/>
              <w:widowControl/>
              <w:numPr>
                <w:ilvl w:val="-1"/>
                <w:numId w:val="0"/>
              </w:numPr>
              <w:suppressLineNumbers w:val="0"/>
              <w:spacing w:line="400" w:lineRule="exact"/>
              <w:jc w:val="left"/>
              <w:textAlignment w:val="center"/>
              <w:rPr>
                <w:rFonts w:hint="eastAsia" w:ascii="宋体" w:hAnsi="宋体"/>
                <w:b/>
                <w:color w:val="000000"/>
                <w:szCs w:val="24"/>
                <w:highlight w:val="none"/>
              </w:rPr>
            </w:pPr>
            <w:r>
              <w:rPr>
                <w:rFonts w:hint="eastAsia" w:ascii="宋体" w:hAnsi="宋体"/>
                <w:b/>
                <w:color w:val="000000"/>
                <w:szCs w:val="24"/>
                <w:highlight w:val="none"/>
              </w:rPr>
              <w:t>2.</w:t>
            </w:r>
            <w:r>
              <w:rPr>
                <w:rFonts w:hint="eastAsia" w:ascii="宋体" w:hAnsi="宋体"/>
                <w:b/>
                <w:color w:val="000000"/>
                <w:szCs w:val="24"/>
                <w:highlight w:val="none"/>
                <w:lang w:eastAsia="zh-CN"/>
              </w:rPr>
              <w:t>部分接受</w:t>
            </w:r>
            <w:r>
              <w:rPr>
                <w:rFonts w:hint="eastAsia" w:ascii="宋体" w:hAnsi="宋体"/>
                <w:b/>
                <w:color w:val="000000"/>
                <w:szCs w:val="24"/>
                <w:highlight w:val="none"/>
              </w:rPr>
              <w:t>：当管理人认为兑付投资者的赎回申请有困难，或认为兑付投资者的赎回申请可能会对本理财产品的资产净值造成较大波动时，在赎回确认日管理人办理的赎回份额将不低于前一日终理财产品总份额的10%，对于其余赎回申请管理人可暂停接受或延期办理。</w:t>
            </w:r>
          </w:p>
          <w:p w14:paraId="2F0B78FA">
            <w:pPr>
              <w:keepNext w:val="0"/>
              <w:keepLines w:val="0"/>
              <w:widowControl/>
              <w:numPr>
                <w:ilvl w:val="-1"/>
                <w:numId w:val="0"/>
              </w:numPr>
              <w:suppressLineNumbers w:val="0"/>
              <w:spacing w:line="400" w:lineRule="exact"/>
              <w:jc w:val="left"/>
              <w:textAlignment w:val="center"/>
              <w:rPr>
                <w:rFonts w:hint="eastAsia" w:ascii="宋体" w:hAnsi="宋体"/>
                <w:b/>
                <w:color w:val="000000"/>
                <w:szCs w:val="24"/>
                <w:highlight w:val="none"/>
              </w:rPr>
            </w:pPr>
            <w:r>
              <w:rPr>
                <w:rFonts w:hint="eastAsia" w:ascii="宋体" w:hAnsi="宋体"/>
                <w:b/>
                <w:color w:val="000000"/>
                <w:szCs w:val="24"/>
                <w:highlight w:val="none"/>
              </w:rPr>
              <w:t>（1）对于接受赎回申请的部分，管理人将按单个投资者的赎回申请份额占当日所有投资者的赎回申请总份额的比例，确认该投资者当日办理的赎回申请份额。</w:t>
            </w:r>
          </w:p>
          <w:p w14:paraId="1FEECC9F">
            <w:pPr>
              <w:keepNext w:val="0"/>
              <w:keepLines w:val="0"/>
              <w:widowControl/>
              <w:numPr>
                <w:ilvl w:val="-1"/>
                <w:numId w:val="0"/>
              </w:numPr>
              <w:suppressLineNumbers w:val="0"/>
              <w:spacing w:line="400" w:lineRule="exact"/>
              <w:jc w:val="left"/>
              <w:textAlignment w:val="center"/>
              <w:rPr>
                <w:rFonts w:hint="eastAsia" w:ascii="宋体" w:hAnsi="宋体"/>
                <w:b/>
                <w:color w:val="000000"/>
                <w:szCs w:val="24"/>
                <w:highlight w:val="none"/>
              </w:rPr>
            </w:pPr>
            <w:r>
              <w:rPr>
                <w:rFonts w:hint="eastAsia" w:ascii="宋体" w:hAnsi="宋体"/>
                <w:b/>
                <w:color w:val="000000"/>
                <w:szCs w:val="24"/>
                <w:highlight w:val="none"/>
              </w:rPr>
              <w:t>（2）对于暂停接受的部分，管理人将拒绝该部分赎回申请，投资者可在下一个产品开放日再次发起赎回申请。</w:t>
            </w:r>
          </w:p>
          <w:p w14:paraId="363ED6C8">
            <w:pPr>
              <w:keepNext w:val="0"/>
              <w:keepLines w:val="0"/>
              <w:widowControl/>
              <w:numPr>
                <w:ilvl w:val="-1"/>
                <w:numId w:val="0"/>
              </w:numPr>
              <w:suppressLineNumbers w:val="0"/>
              <w:spacing w:line="400" w:lineRule="exact"/>
              <w:jc w:val="left"/>
              <w:textAlignment w:val="center"/>
              <w:rPr>
                <w:rFonts w:hint="eastAsia" w:ascii="宋体" w:hAnsi="宋体"/>
                <w:b/>
                <w:color w:val="000000"/>
                <w:szCs w:val="24"/>
                <w:highlight w:val="none"/>
              </w:rPr>
            </w:pPr>
            <w:r>
              <w:rPr>
                <w:rFonts w:hint="eastAsia" w:ascii="宋体" w:hAnsi="宋体"/>
                <w:b/>
                <w:color w:val="000000"/>
                <w:szCs w:val="24"/>
                <w:highlight w:val="none"/>
              </w:rPr>
              <w:t>（</w:t>
            </w:r>
            <w:r>
              <w:rPr>
                <w:rFonts w:ascii="宋体" w:hAnsi="宋体"/>
                <w:b/>
                <w:color w:val="000000"/>
                <w:szCs w:val="24"/>
                <w:highlight w:val="none"/>
              </w:rPr>
              <w:t>3</w:t>
            </w:r>
            <w:r>
              <w:rPr>
                <w:rFonts w:hint="eastAsia" w:ascii="宋体" w:hAnsi="宋体"/>
                <w:b/>
                <w:color w:val="000000"/>
                <w:szCs w:val="24"/>
                <w:highlight w:val="none"/>
              </w:rPr>
              <w:t>）对于延期办理的部分，管理人将在下一个产品开放日自动为投资者发起该部分的赎回，延期赎回的申请与下一个</w:t>
            </w:r>
            <w:r>
              <w:rPr>
                <w:rFonts w:hint="eastAsia" w:ascii="宋体" w:hAnsi="宋体"/>
                <w:b/>
                <w:color w:val="000000"/>
                <w:szCs w:val="24"/>
                <w:highlight w:val="yellow"/>
                <w:lang w:eastAsia="zh-CN"/>
              </w:rPr>
              <w:t>【</w:t>
            </w:r>
            <w:r>
              <w:rPr>
                <w:rFonts w:hint="eastAsia" w:ascii="宋体" w:hAnsi="宋体"/>
                <w:b/>
                <w:color w:val="auto"/>
                <w:szCs w:val="24"/>
                <w:highlight w:val="yellow"/>
                <w:lang w:eastAsia="zh-CN"/>
              </w:rPr>
              <w:t>开放日】</w:t>
            </w:r>
            <w:r>
              <w:rPr>
                <w:rFonts w:hint="eastAsia" w:ascii="宋体" w:hAnsi="宋体"/>
                <w:b/>
                <w:color w:val="000000"/>
                <w:szCs w:val="24"/>
                <w:highlight w:val="none"/>
              </w:rPr>
              <w:t>赎回申请一并处理，不享有优先确认权，且赎回净值为下一个产品开放日的净值，直至该部分全部被确认。在延期办理的部分全部被确认前，投资者不可撤销该部分的赎回申请。本理财产品发生巨额赎回、管理人</w:t>
            </w:r>
            <w:r>
              <w:rPr>
                <w:rFonts w:hint="eastAsia" w:ascii="宋体" w:hAnsi="宋体"/>
                <w:b/>
                <w:color w:val="000000"/>
                <w:szCs w:val="24"/>
                <w:highlight w:val="none"/>
                <w:lang w:eastAsia="zh-CN"/>
              </w:rPr>
              <w:t>部分接受</w:t>
            </w:r>
            <w:r>
              <w:rPr>
                <w:rFonts w:hint="eastAsia" w:ascii="宋体" w:hAnsi="宋体"/>
                <w:b/>
                <w:color w:val="000000"/>
                <w:szCs w:val="24"/>
                <w:highlight w:val="none"/>
              </w:rPr>
              <w:t>时，对于暂停接受和延期办理的部分，管理人可能需在下一个申购或赎回开放日才可确认，可能影响投资者的资金安排。根据不同销售机构提供的服务，投资者可以在申请赎回时选择在触发巨额赎回情形下将当日未获办理部分取消或者顺延。投资者选择取消的，未获办理部分管理人将参考“</w:t>
            </w:r>
            <w:r>
              <w:rPr>
                <w:rFonts w:ascii="宋体" w:hAnsi="宋体"/>
                <w:b/>
                <w:color w:val="000000"/>
                <w:szCs w:val="24"/>
                <w:highlight w:val="none"/>
              </w:rPr>
              <w:t>2.</w:t>
            </w:r>
            <w:r>
              <w:rPr>
                <w:rFonts w:hint="eastAsia" w:ascii="宋体" w:hAnsi="宋体"/>
                <w:b/>
                <w:color w:val="000000"/>
                <w:szCs w:val="24"/>
                <w:highlight w:val="none"/>
                <w:lang w:eastAsia="zh-CN"/>
              </w:rPr>
              <w:t>部分接受</w:t>
            </w:r>
            <w:r>
              <w:rPr>
                <w:rFonts w:hint="eastAsia" w:ascii="宋体" w:hAnsi="宋体"/>
                <w:b/>
                <w:color w:val="000000"/>
                <w:szCs w:val="24"/>
                <w:highlight w:val="none"/>
              </w:rPr>
              <w:t>（</w:t>
            </w:r>
            <w:r>
              <w:rPr>
                <w:rFonts w:ascii="宋体" w:hAnsi="宋体"/>
                <w:b/>
                <w:color w:val="000000"/>
                <w:szCs w:val="24"/>
                <w:highlight w:val="none"/>
              </w:rPr>
              <w:t>2</w:t>
            </w:r>
            <w:r>
              <w:rPr>
                <w:rFonts w:hint="eastAsia" w:ascii="宋体" w:hAnsi="宋体"/>
                <w:b/>
                <w:color w:val="000000"/>
                <w:szCs w:val="24"/>
                <w:highlight w:val="none"/>
              </w:rPr>
              <w:t>）对于暂停接受的部分”采取措施；投资者选择顺延的，顺延部分管理人将参考“</w:t>
            </w:r>
            <w:r>
              <w:rPr>
                <w:rFonts w:ascii="宋体" w:hAnsi="宋体"/>
                <w:b/>
                <w:color w:val="000000"/>
                <w:szCs w:val="24"/>
                <w:highlight w:val="none"/>
              </w:rPr>
              <w:t>2.</w:t>
            </w:r>
            <w:r>
              <w:rPr>
                <w:rFonts w:hint="eastAsia" w:ascii="宋体" w:hAnsi="宋体"/>
                <w:b/>
                <w:color w:val="000000"/>
                <w:szCs w:val="24"/>
                <w:highlight w:val="none"/>
                <w:lang w:eastAsia="zh-CN"/>
              </w:rPr>
              <w:t>部分接受</w:t>
            </w:r>
            <w:r>
              <w:rPr>
                <w:rFonts w:hint="eastAsia" w:ascii="宋体" w:hAnsi="宋体"/>
                <w:b/>
                <w:color w:val="000000"/>
                <w:szCs w:val="24"/>
                <w:highlight w:val="none"/>
              </w:rPr>
              <w:t>（</w:t>
            </w:r>
            <w:r>
              <w:rPr>
                <w:rFonts w:ascii="宋体" w:hAnsi="宋体"/>
                <w:b/>
                <w:color w:val="000000"/>
                <w:szCs w:val="24"/>
                <w:highlight w:val="none"/>
              </w:rPr>
              <w:t>3</w:t>
            </w:r>
            <w:r>
              <w:rPr>
                <w:rFonts w:hint="eastAsia" w:ascii="宋体" w:hAnsi="宋体"/>
                <w:b/>
                <w:color w:val="000000"/>
                <w:szCs w:val="24"/>
                <w:highlight w:val="none"/>
              </w:rPr>
              <w:t>）对于延期办理的部分”采取措施。具体服务投资者可详询销售机构，最终以销售机构提供的服务为准。</w:t>
            </w:r>
          </w:p>
          <w:p w14:paraId="15CEB487">
            <w:pPr>
              <w:keepNext w:val="0"/>
              <w:keepLines w:val="0"/>
              <w:widowControl/>
              <w:numPr>
                <w:ilvl w:val="-1"/>
                <w:numId w:val="0"/>
              </w:numPr>
              <w:suppressLineNumbers w:val="0"/>
              <w:spacing w:line="400" w:lineRule="exact"/>
              <w:jc w:val="left"/>
              <w:textAlignment w:val="center"/>
              <w:rPr>
                <w:rFonts w:hint="eastAsia" w:ascii="宋体" w:hAnsi="宋体"/>
                <w:b/>
                <w:bCs w:val="0"/>
                <w:color w:val="auto"/>
                <w:szCs w:val="24"/>
                <w:highlight w:val="none"/>
                <w:u w:val="none"/>
              </w:rPr>
            </w:pPr>
            <w:r>
              <w:rPr>
                <w:rFonts w:hint="eastAsia" w:ascii="宋体" w:hAnsi="宋体" w:cstheme="minorBidi"/>
                <w:b/>
                <w:bCs w:val="0"/>
                <w:color w:val="auto"/>
                <w:kern w:val="2"/>
                <w:sz w:val="24"/>
                <w:szCs w:val="24"/>
                <w:highlight w:val="none"/>
                <w:u w:val="none"/>
                <w:lang w:val="en-US" w:eastAsia="zh-CN" w:bidi="ar"/>
              </w:rPr>
              <w:t>3.</w:t>
            </w:r>
            <w:r>
              <w:rPr>
                <w:rFonts w:hint="eastAsia" w:ascii="宋体" w:hAnsi="宋体" w:eastAsia="仿宋_GB2312" w:cstheme="minorBidi"/>
                <w:b/>
                <w:bCs w:val="0"/>
                <w:color w:val="auto"/>
                <w:kern w:val="2"/>
                <w:sz w:val="24"/>
                <w:szCs w:val="24"/>
                <w:highlight w:val="none"/>
                <w:u w:val="none"/>
                <w:lang w:val="en-US" w:eastAsia="zh-CN" w:bidi="ar"/>
              </w:rPr>
              <w:t>收取短期赎回费：产品发生巨额赎回或产品管理人认为可能会导致产品流动性风险的其他情形下，产品管理人可向连续持有少于7日的开放式理财产品投资者收取短期赎回费，并将上述短期赎回费全额计入理财产品财产。产品管理人将在收取短期赎回费后3个</w:t>
            </w:r>
            <w:r>
              <w:rPr>
                <w:rFonts w:hint="eastAsia" w:ascii="宋体" w:hAnsi="宋体" w:cstheme="minorBidi"/>
                <w:b/>
                <w:bCs w:val="0"/>
                <w:color w:val="auto"/>
                <w:kern w:val="2"/>
                <w:sz w:val="24"/>
                <w:szCs w:val="24"/>
                <w:highlight w:val="none"/>
                <w:u w:val="none"/>
                <w:lang w:val="en-US" w:eastAsia="zh-CN" w:bidi="ar"/>
              </w:rPr>
              <w:t>交易日</w:t>
            </w:r>
            <w:r>
              <w:rPr>
                <w:rFonts w:hint="eastAsia" w:ascii="宋体" w:hAnsi="宋体" w:eastAsia="仿宋_GB2312" w:cstheme="minorBidi"/>
                <w:b/>
                <w:bCs w:val="0"/>
                <w:color w:val="auto"/>
                <w:kern w:val="2"/>
                <w:sz w:val="24"/>
                <w:szCs w:val="24"/>
                <w:highlight w:val="none"/>
                <w:u w:val="none"/>
                <w:lang w:val="en-US" w:eastAsia="zh-CN" w:bidi="ar"/>
              </w:rPr>
              <w:t>内通过公告的形式向相关投资者披露短期赎回费率、费用计算方式、收费方式等信息。</w:t>
            </w:r>
          </w:p>
          <w:p w14:paraId="0EF070DE">
            <w:pPr>
              <w:widowControl/>
              <w:spacing w:line="400" w:lineRule="exact"/>
              <w:jc w:val="left"/>
              <w:textAlignment w:val="center"/>
              <w:rPr>
                <w:rFonts w:hint="eastAsia" w:asciiTheme="minorEastAsia" w:hAnsiTheme="minorEastAsia"/>
                <w:b/>
                <w:color w:val="auto"/>
                <w:szCs w:val="24"/>
                <w:highlight w:val="none"/>
                <w:u w:val="none"/>
              </w:rPr>
            </w:pPr>
          </w:p>
          <w:p w14:paraId="5A696F1A">
            <w:pPr>
              <w:widowControl/>
              <w:spacing w:line="400" w:lineRule="exact"/>
              <w:jc w:val="left"/>
              <w:textAlignment w:val="center"/>
              <w:rPr>
                <w:rFonts w:hint="eastAsia"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当本理财产品连续</w:t>
            </w:r>
            <w:r>
              <w:rPr>
                <w:rFonts w:ascii="仿宋_GB2312" w:hAnsi="宋体" w:cs="宋体"/>
                <w:b/>
                <w:bCs/>
                <w:color w:val="auto"/>
                <w:kern w:val="0"/>
                <w:szCs w:val="24"/>
                <w:highlight w:val="none"/>
                <w:u w:val="none"/>
              </w:rPr>
              <w:t>2</w:t>
            </w:r>
            <w:r>
              <w:rPr>
                <w:rFonts w:hint="eastAsia" w:ascii="仿宋_GB2312" w:hAnsi="宋体" w:cs="宋体"/>
                <w:b/>
                <w:bCs/>
                <w:color w:val="auto"/>
                <w:kern w:val="0"/>
                <w:szCs w:val="24"/>
                <w:highlight w:val="none"/>
                <w:u w:val="none"/>
              </w:rPr>
              <w:t>个以上开放日发生巨额赎回时，除采取上述措施外，对于已经接受的赎回申请，管理人有权延缓支付赎回款项，但延缓期限不得超过</w:t>
            </w:r>
            <w:r>
              <w:rPr>
                <w:rFonts w:ascii="仿宋_GB2312" w:hAnsi="宋体" w:cs="宋体"/>
                <w:b/>
                <w:bCs/>
                <w:color w:val="auto"/>
                <w:kern w:val="0"/>
                <w:szCs w:val="24"/>
                <w:highlight w:val="none"/>
                <w:u w:val="none"/>
              </w:rPr>
              <w:t>20</w:t>
            </w:r>
            <w:r>
              <w:rPr>
                <w:rFonts w:hint="eastAsia" w:ascii="仿宋_GB2312" w:hAnsi="宋体" w:cs="宋体"/>
                <w:b/>
                <w:bCs/>
                <w:color w:val="auto"/>
                <w:kern w:val="0"/>
                <w:szCs w:val="24"/>
                <w:highlight w:val="none"/>
                <w:u w:val="none"/>
              </w:rPr>
              <w:t>个工作日。</w:t>
            </w:r>
          </w:p>
        </w:tc>
      </w:tr>
      <w:tr w14:paraId="4F4AD3C0">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636AE33">
            <w:pPr>
              <w:snapToGrid w:val="0"/>
              <w:ind w:left="-140" w:leftChars="-74" w:hanging="15" w:firstLineChars="0"/>
              <w:jc w:val="center"/>
              <w:rPr>
                <w:rFonts w:hint="eastAsia" w:ascii="仿宋_GB2312" w:hAnsi="等线" w:eastAsia="仿宋_GB2312" w:cs="仿宋_GB2312"/>
                <w:color w:val="000000" w:themeColor="text1"/>
                <w:kern w:val="0"/>
                <w:sz w:val="24"/>
                <w:highlight w:val="none"/>
                <w:lang w:bidi="ar"/>
                <w14:textFill>
                  <w14:solidFill>
                    <w14:schemeClr w14:val="tx1"/>
                  </w14:solidFill>
                </w14:textFill>
              </w:rPr>
            </w:pPr>
            <w:r>
              <w:rPr>
                <w:rFonts w:hint="eastAsia" w:asciiTheme="minorEastAsia" w:hAnsiTheme="minorEastAsia"/>
                <w:color w:val="auto"/>
                <w:kern w:val="0"/>
                <w:szCs w:val="24"/>
                <w:highlight w:val="none"/>
                <w:u w:val="none"/>
              </w:rPr>
              <w:t>撤销规则</w:t>
            </w:r>
          </w:p>
        </w:tc>
        <w:tc>
          <w:tcPr>
            <w:tcW w:w="6972" w:type="dxa"/>
            <w:tcBorders>
              <w:top w:val="single" w:color="auto" w:sz="4" w:space="0"/>
              <w:left w:val="single" w:color="auto" w:sz="4" w:space="0"/>
              <w:bottom w:val="single" w:color="auto" w:sz="4" w:space="0"/>
              <w:right w:val="single" w:color="auto" w:sz="4" w:space="0"/>
            </w:tcBorders>
            <w:vAlign w:val="center"/>
          </w:tcPr>
          <w:p w14:paraId="14438B0C">
            <w:pPr>
              <w:snapToGrid w:val="0"/>
              <w:jc w:val="left"/>
              <w:rPr>
                <w:rFonts w:asciiTheme="minorEastAsia" w:hAnsiTheme="minorEastAsia"/>
                <w:color w:val="auto"/>
                <w:szCs w:val="24"/>
                <w:highlight w:val="none"/>
              </w:rPr>
            </w:pPr>
            <w:r>
              <w:rPr>
                <w:rFonts w:hint="eastAsia" w:asciiTheme="minorEastAsia" w:hAnsiTheme="minorEastAsia"/>
                <w:color w:val="auto"/>
                <w:szCs w:val="24"/>
                <w:highlight w:val="none"/>
              </w:rPr>
              <w:t>1.投资者可在本理财产品募集期结束前撤销已成功提交的产品认购申请；</w:t>
            </w:r>
          </w:p>
          <w:p w14:paraId="653C14C0">
            <w:pPr>
              <w:snapToGrid w:val="0"/>
              <w:jc w:val="left"/>
              <w:rPr>
                <w:rFonts w:asciiTheme="minorEastAsia" w:hAnsiTheme="minorEastAsia"/>
                <w:color w:val="auto"/>
                <w:szCs w:val="24"/>
                <w:highlight w:val="none"/>
              </w:rPr>
            </w:pPr>
            <w:r>
              <w:rPr>
                <w:rFonts w:hint="eastAsia" w:asciiTheme="minorEastAsia" w:hAnsiTheme="minorEastAsia"/>
                <w:color w:val="auto"/>
                <w:szCs w:val="24"/>
                <w:highlight w:val="none"/>
              </w:rPr>
              <w:t>2.投资者可</w:t>
            </w:r>
            <w:r>
              <w:rPr>
                <w:rFonts w:hint="eastAsia" w:asciiTheme="minorEastAsia" w:hAnsiTheme="minorEastAsia"/>
                <w:b/>
                <w:color w:val="auto"/>
                <w:szCs w:val="24"/>
                <w:highlight w:val="none"/>
              </w:rPr>
              <w:t>在任一开放日</w:t>
            </w:r>
            <w:r>
              <w:rPr>
                <w:rFonts w:hint="eastAsia" w:asciiTheme="minorEastAsia" w:hAnsiTheme="minorEastAsia"/>
                <w:b/>
                <w:color w:val="auto"/>
                <w:szCs w:val="24"/>
                <w:highlight w:val="yellow"/>
              </w:rPr>
              <w:t>【</w:t>
            </w:r>
            <w:r>
              <w:rPr>
                <w:rFonts w:hint="eastAsia" w:asciiTheme="minorEastAsia" w:hAnsiTheme="minorEastAsia"/>
                <w:b/>
                <w:color w:val="auto"/>
                <w:szCs w:val="24"/>
                <w:highlight w:val="yellow"/>
                <w:lang w:val="en-US" w:eastAsia="zh-CN"/>
              </w:rPr>
              <w:t>xx:xx</w:t>
            </w:r>
            <w:r>
              <w:rPr>
                <w:rFonts w:hint="eastAsia" w:asciiTheme="minorEastAsia" w:hAnsiTheme="minorEastAsia"/>
                <w:b/>
                <w:color w:val="auto"/>
                <w:szCs w:val="24"/>
                <w:highlight w:val="yellow"/>
              </w:rPr>
              <w:t>】</w:t>
            </w:r>
            <w:r>
              <w:rPr>
                <w:rFonts w:hint="eastAsia" w:asciiTheme="minorEastAsia" w:hAnsiTheme="minorEastAsia"/>
                <w:b/>
                <w:color w:val="auto"/>
                <w:szCs w:val="24"/>
                <w:highlight w:val="none"/>
              </w:rPr>
              <w:t>前（含）撤销已成功提交的理财产品申购、赎回申请，</w:t>
            </w:r>
            <w:r>
              <w:rPr>
                <w:rFonts w:hint="eastAsia" w:asciiTheme="minorEastAsia" w:hAnsiTheme="minorEastAsia"/>
                <w:b/>
                <w:color w:val="auto"/>
                <w:szCs w:val="24"/>
                <w:highlight w:val="yellow"/>
              </w:rPr>
              <w:t>【</w:t>
            </w:r>
            <w:r>
              <w:rPr>
                <w:rFonts w:hint="eastAsia" w:asciiTheme="minorEastAsia" w:hAnsiTheme="minorEastAsia"/>
                <w:b/>
                <w:color w:val="auto"/>
                <w:szCs w:val="24"/>
                <w:highlight w:val="yellow"/>
                <w:lang w:val="en-US" w:eastAsia="zh-CN"/>
              </w:rPr>
              <w:t>xx:xx</w:t>
            </w:r>
            <w:r>
              <w:rPr>
                <w:rFonts w:hint="eastAsia" w:asciiTheme="minorEastAsia" w:hAnsiTheme="minorEastAsia"/>
                <w:b/>
                <w:color w:val="auto"/>
                <w:szCs w:val="24"/>
                <w:highlight w:val="yellow"/>
              </w:rPr>
              <w:t>】</w:t>
            </w:r>
            <w:r>
              <w:rPr>
                <w:rFonts w:hint="eastAsia" w:asciiTheme="minorEastAsia" w:hAnsiTheme="minorEastAsia"/>
                <w:b/>
                <w:color w:val="auto"/>
                <w:szCs w:val="24"/>
                <w:highlight w:val="none"/>
              </w:rPr>
              <w:t>后不可撤销</w:t>
            </w:r>
            <w:r>
              <w:rPr>
                <w:rFonts w:hint="eastAsia" w:asciiTheme="minorEastAsia" w:hAnsiTheme="minorEastAsia"/>
                <w:color w:val="auto"/>
                <w:szCs w:val="24"/>
                <w:highlight w:val="none"/>
              </w:rPr>
              <w:t>；</w:t>
            </w:r>
          </w:p>
          <w:p w14:paraId="774F9A37">
            <w:pPr>
              <w:snapToGrid w:val="0"/>
              <w:jc w:val="left"/>
              <w:rPr>
                <w:rFonts w:hint="eastAsia" w:ascii="仿宋" w:hAnsi="仿宋" w:eastAsia="仿宋" w:cs="宋体"/>
                <w:bCs/>
                <w:color w:val="000000" w:themeColor="text1"/>
                <w:kern w:val="0"/>
                <w:sz w:val="24"/>
                <w:highlight w:val="none"/>
                <w:lang w:bidi="ar"/>
                <w14:textFill>
                  <w14:solidFill>
                    <w14:schemeClr w14:val="tx1"/>
                  </w14:solidFill>
                </w14:textFill>
              </w:rPr>
            </w:pPr>
            <w:r>
              <w:rPr>
                <w:rFonts w:hint="eastAsia" w:asciiTheme="minorEastAsia" w:hAnsiTheme="minorEastAsia"/>
                <w:color w:val="auto"/>
                <w:szCs w:val="24"/>
                <w:highlight w:val="none"/>
              </w:rPr>
              <w:t>3.</w:t>
            </w:r>
            <w:r>
              <w:rPr>
                <w:rFonts w:hint="eastAsia"/>
                <w:b/>
                <w:color w:val="auto"/>
                <w:szCs w:val="24"/>
                <w:highlight w:val="none"/>
              </w:rPr>
              <w:t>销售机构实际受理撤销申请时间可能与说明书不一致，具体以销售机构展示为准。</w:t>
            </w:r>
          </w:p>
        </w:tc>
      </w:tr>
      <w:tr w14:paraId="217C923A">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A292E1A">
            <w:pPr>
              <w:snapToGrid w:val="0"/>
              <w:ind w:left="-140" w:leftChars="-74" w:hanging="15" w:firstLineChars="0"/>
              <w:jc w:val="center"/>
              <w:rPr>
                <w:rFonts w:hint="eastAsia" w:ascii="仿宋_GB2312" w:hAnsi="等线" w:eastAsia="仿宋_GB2312" w:cs="仿宋_GB2312"/>
                <w:color w:val="000000" w:themeColor="text1"/>
                <w:kern w:val="0"/>
                <w:sz w:val="24"/>
                <w:highlight w:val="none"/>
                <w:lang w:bidi="ar"/>
                <w14:textFill>
                  <w14:solidFill>
                    <w14:schemeClr w14:val="tx1"/>
                  </w14:solidFill>
                </w14:textFill>
              </w:rPr>
            </w:pPr>
            <w:r>
              <w:rPr>
                <w:rFonts w:hint="eastAsia" w:ascii="宋体" w:hAnsi="宋体"/>
                <w:bCs/>
                <w:color w:val="auto"/>
                <w:szCs w:val="24"/>
                <w:highlight w:val="none"/>
                <w:u w:val="none"/>
              </w:rPr>
              <w:t>认/申购数量</w:t>
            </w:r>
            <w:r>
              <w:rPr>
                <w:rFonts w:ascii="宋体" w:hAnsi="宋体"/>
                <w:bCs/>
                <w:color w:val="auto"/>
                <w:szCs w:val="24"/>
                <w:highlight w:val="none"/>
                <w:u w:val="none"/>
              </w:rPr>
              <w:t>限制</w:t>
            </w:r>
          </w:p>
        </w:tc>
        <w:tc>
          <w:tcPr>
            <w:tcW w:w="6972" w:type="dxa"/>
            <w:tcBorders>
              <w:top w:val="single" w:color="auto" w:sz="4" w:space="0"/>
              <w:left w:val="single" w:color="auto" w:sz="4" w:space="0"/>
              <w:bottom w:val="single" w:color="auto" w:sz="4" w:space="0"/>
              <w:right w:val="single" w:color="auto" w:sz="4" w:space="0"/>
            </w:tcBorders>
            <w:vAlign w:val="center"/>
          </w:tcPr>
          <w:p w14:paraId="5CE0E81A">
            <w:pPr>
              <w:widowControl/>
              <w:numPr>
                <w:ilvl w:val="0"/>
                <w:numId w:val="6"/>
              </w:numPr>
              <w:jc w:val="left"/>
              <w:rPr>
                <w:rFonts w:asciiTheme="minorEastAsia" w:hAnsiTheme="minorEastAsia"/>
                <w:color w:val="auto"/>
                <w:szCs w:val="24"/>
                <w:highlight w:val="none"/>
                <w:u w:val="none"/>
              </w:rPr>
            </w:pPr>
            <w:r>
              <w:rPr>
                <w:rFonts w:hint="eastAsia" w:ascii="宋体" w:hAnsi="宋体"/>
                <w:bCs/>
                <w:color w:val="auto"/>
                <w:szCs w:val="24"/>
                <w:highlight w:val="yellow"/>
                <w:u w:val="none"/>
                <w:lang w:val="en-US" w:eastAsia="zh-CN"/>
              </w:rPr>
              <w:t>【A类份额】</w:t>
            </w:r>
            <w:r>
              <w:rPr>
                <w:rFonts w:hint="eastAsia" w:ascii="宋体" w:hAnsi="宋体"/>
                <w:bCs/>
                <w:color w:val="auto"/>
                <w:szCs w:val="24"/>
                <w:highlight w:val="none"/>
                <w:u w:val="none"/>
                <w:lang w:val="en-US" w:eastAsia="zh-CN"/>
              </w:rPr>
              <w:t>：</w:t>
            </w:r>
            <w:r>
              <w:rPr>
                <w:rFonts w:hint="eastAsia" w:ascii="宋体" w:hAnsi="宋体"/>
                <w:bCs/>
                <w:color w:val="auto"/>
                <w:szCs w:val="24"/>
                <w:highlight w:val="yellow"/>
                <w:u w:val="none"/>
                <w:lang w:val="en-US" w:eastAsia="zh-CN"/>
              </w:rPr>
              <w:t>【</w:t>
            </w:r>
            <w:r>
              <w:rPr>
                <w:rFonts w:hint="eastAsia" w:ascii="宋体" w:hAnsi="宋体"/>
                <w:bCs/>
                <w:color w:val="auto"/>
                <w:szCs w:val="24"/>
                <w:highlight w:val="yellow"/>
                <w:u w:val="none"/>
                <w:lang w:eastAsia="zh-CN"/>
              </w:rPr>
              <w:t>单一</w:t>
            </w:r>
            <w:r>
              <w:rPr>
                <w:rFonts w:hint="eastAsia" w:ascii="宋体" w:hAnsi="宋体"/>
                <w:bCs/>
                <w:color w:val="auto"/>
                <w:szCs w:val="24"/>
                <w:highlight w:val="yellow"/>
                <w:u w:val="none"/>
                <w:lang w:val="en-US" w:eastAsia="zh-CN"/>
              </w:rPr>
              <w:t>/个人/机构</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投资者认购上限为</w:t>
            </w:r>
            <w:r>
              <w:rPr>
                <w:rFonts w:hint="eastAsia" w:ascii="宋体" w:hAnsi="宋体"/>
                <w:bCs/>
                <w:color w:val="auto"/>
                <w:szCs w:val="24"/>
                <w:highlight w:val="yellow"/>
                <w:u w:val="none"/>
              </w:rPr>
              <w:t>【】</w:t>
            </w:r>
            <w:r>
              <w:rPr>
                <w:rFonts w:hint="eastAsia" w:ascii="宋体" w:hAnsi="宋体"/>
                <w:bCs/>
                <w:color w:val="auto"/>
                <w:szCs w:val="24"/>
                <w:highlight w:val="none"/>
                <w:u w:val="none"/>
              </w:rPr>
              <w:t>万元。</w:t>
            </w:r>
            <w:r>
              <w:rPr>
                <w:rFonts w:hint="eastAsia" w:ascii="宋体" w:hAnsi="宋体"/>
                <w:bCs/>
                <w:color w:val="auto"/>
                <w:szCs w:val="24"/>
                <w:highlight w:val="yellow"/>
                <w:u w:val="none"/>
                <w:lang w:val="en-US" w:eastAsia="zh-CN"/>
              </w:rPr>
              <w:t>【</w:t>
            </w:r>
            <w:r>
              <w:rPr>
                <w:rFonts w:hint="eastAsia" w:ascii="宋体" w:hAnsi="宋体"/>
                <w:bCs/>
                <w:color w:val="auto"/>
                <w:szCs w:val="24"/>
                <w:highlight w:val="yellow"/>
                <w:u w:val="none"/>
                <w:lang w:eastAsia="zh-CN"/>
              </w:rPr>
              <w:t>单一</w:t>
            </w:r>
            <w:r>
              <w:rPr>
                <w:rFonts w:hint="eastAsia" w:ascii="宋体" w:hAnsi="宋体"/>
                <w:bCs/>
                <w:color w:val="auto"/>
                <w:szCs w:val="24"/>
                <w:highlight w:val="yellow"/>
                <w:u w:val="none"/>
                <w:lang w:val="en-US" w:eastAsia="zh-CN"/>
              </w:rPr>
              <w:t>/个人/机构</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投资者申购上限为</w:t>
            </w:r>
            <w:r>
              <w:rPr>
                <w:rFonts w:hint="eastAsia" w:ascii="宋体" w:hAnsi="宋体"/>
                <w:bCs/>
                <w:color w:val="auto"/>
                <w:szCs w:val="24"/>
                <w:highlight w:val="yellow"/>
                <w:u w:val="none"/>
              </w:rPr>
              <w:t>【】</w:t>
            </w:r>
            <w:r>
              <w:rPr>
                <w:rFonts w:hint="eastAsia" w:ascii="宋体" w:hAnsi="宋体"/>
                <w:bCs/>
                <w:color w:val="auto"/>
                <w:szCs w:val="24"/>
                <w:highlight w:val="none"/>
                <w:u w:val="none"/>
              </w:rPr>
              <w:t>万元，在产品运作过程中因收益分配、净值波动等被动超上限的情形除外。</w:t>
            </w:r>
          </w:p>
          <w:p w14:paraId="5D3A798F">
            <w:pPr>
              <w:widowControl/>
              <w:numPr>
                <w:ilvl w:val="0"/>
                <w:numId w:val="6"/>
              </w:numPr>
              <w:jc w:val="left"/>
              <w:rPr>
                <w:rFonts w:asciiTheme="minorEastAsia" w:hAnsiTheme="minorEastAsia"/>
                <w:color w:val="auto"/>
                <w:szCs w:val="24"/>
                <w:highlight w:val="none"/>
                <w:u w:val="none"/>
              </w:rPr>
            </w:pPr>
            <w:r>
              <w:rPr>
                <w:rFonts w:hint="eastAsia" w:ascii="宋体" w:hAnsi="宋体"/>
                <w:bCs/>
                <w:color w:val="auto"/>
                <w:szCs w:val="24"/>
                <w:highlight w:val="none"/>
                <w:u w:val="none"/>
              </w:rPr>
              <w:t>如果</w:t>
            </w:r>
            <w:r>
              <w:rPr>
                <w:rFonts w:ascii="宋体" w:hAnsi="宋体"/>
                <w:bCs/>
                <w:color w:val="auto"/>
                <w:szCs w:val="24"/>
                <w:highlight w:val="none"/>
                <w:u w:val="none"/>
              </w:rPr>
              <w:t>单一投资者</w:t>
            </w:r>
            <w:r>
              <w:rPr>
                <w:rFonts w:hint="eastAsia" w:ascii="宋体" w:hAnsi="宋体"/>
                <w:bCs/>
                <w:color w:val="auto"/>
                <w:szCs w:val="24"/>
                <w:highlight w:val="none"/>
                <w:u w:val="none"/>
              </w:rPr>
              <w:t>认购或申购申请确认后将导致其持有份额超过产品总份额</w:t>
            </w:r>
            <w:r>
              <w:rPr>
                <w:rFonts w:ascii="宋体" w:hAnsi="宋体"/>
                <w:bCs/>
                <w:color w:val="auto"/>
                <w:szCs w:val="24"/>
                <w:highlight w:val="none"/>
                <w:u w:val="none"/>
              </w:rPr>
              <w:t>50%</w:t>
            </w:r>
            <w:r>
              <w:rPr>
                <w:rFonts w:hint="eastAsia" w:ascii="宋体" w:hAnsi="宋体"/>
                <w:bCs/>
                <w:color w:val="auto"/>
                <w:szCs w:val="24"/>
                <w:highlight w:val="none"/>
                <w:u w:val="none"/>
              </w:rPr>
              <w:t>的</w:t>
            </w:r>
            <w:r>
              <w:rPr>
                <w:rFonts w:ascii="宋体" w:hAnsi="宋体"/>
                <w:bCs/>
                <w:color w:val="auto"/>
                <w:szCs w:val="24"/>
                <w:highlight w:val="none"/>
                <w:u w:val="none"/>
              </w:rPr>
              <w:t>，管理人有权拒绝或暂停</w:t>
            </w:r>
            <w:r>
              <w:rPr>
                <w:rFonts w:hint="eastAsia" w:ascii="宋体" w:hAnsi="宋体"/>
                <w:bCs/>
                <w:color w:val="auto"/>
                <w:szCs w:val="24"/>
                <w:highlight w:val="none"/>
                <w:u w:val="none"/>
              </w:rPr>
              <w:t>接受超出部分的</w:t>
            </w:r>
            <w:r>
              <w:rPr>
                <w:rFonts w:ascii="宋体" w:hAnsi="宋体"/>
                <w:bCs/>
                <w:color w:val="auto"/>
                <w:szCs w:val="24"/>
                <w:highlight w:val="none"/>
                <w:u w:val="none"/>
              </w:rPr>
              <w:t>认购、申购</w:t>
            </w:r>
            <w:r>
              <w:rPr>
                <w:rFonts w:hint="eastAsia" w:ascii="宋体" w:hAnsi="宋体"/>
                <w:bCs/>
                <w:color w:val="auto"/>
                <w:szCs w:val="24"/>
                <w:highlight w:val="none"/>
                <w:u w:val="none"/>
              </w:rPr>
              <w:t>申请</w:t>
            </w:r>
            <w:r>
              <w:rPr>
                <w:rFonts w:ascii="宋体" w:hAnsi="宋体"/>
                <w:bCs/>
                <w:color w:val="auto"/>
                <w:szCs w:val="24"/>
                <w:highlight w:val="none"/>
                <w:u w:val="none"/>
              </w:rPr>
              <w:t>。非因管理人主观因素导致突破该比例限制的，在单一投资者持有比例降至50%以下之前，管理人不再接受该投资者对本产品的认购</w:t>
            </w:r>
            <w:r>
              <w:rPr>
                <w:rFonts w:hint="eastAsia" w:ascii="宋体" w:hAnsi="宋体"/>
                <w:bCs/>
                <w:color w:val="auto"/>
                <w:szCs w:val="24"/>
                <w:highlight w:val="none"/>
                <w:u w:val="none"/>
              </w:rPr>
              <w:t>、申购申请。投资者持有份额的计算以管理人登记为准。</w:t>
            </w:r>
          </w:p>
          <w:p w14:paraId="04FBA773">
            <w:pPr>
              <w:widowControl/>
              <w:numPr>
                <w:ilvl w:val="-1"/>
                <w:numId w:val="0"/>
              </w:numPr>
              <w:jc w:val="left"/>
              <w:rPr>
                <w:rFonts w:hint="eastAsia" w:ascii="仿宋" w:hAnsi="仿宋" w:eastAsia="仿宋" w:cs="宋体"/>
                <w:bCs/>
                <w:color w:val="000000" w:themeColor="text1"/>
                <w:kern w:val="0"/>
                <w:sz w:val="24"/>
                <w:highlight w:val="none"/>
                <w:lang w:bidi="ar"/>
                <w14:textFill>
                  <w14:solidFill>
                    <w14:schemeClr w14:val="tx1"/>
                  </w14:solidFill>
                </w14:textFill>
              </w:rPr>
            </w:pPr>
            <w:r>
              <w:rPr>
                <w:rFonts w:hint="eastAsia" w:ascii="宋体" w:hAnsi="宋体"/>
                <w:bCs/>
                <w:color w:val="auto"/>
                <w:szCs w:val="24"/>
                <w:highlight w:val="none"/>
                <w:u w:val="none"/>
                <w:lang w:val="en-US" w:eastAsia="zh-CN"/>
              </w:rPr>
              <w:t>3.</w:t>
            </w:r>
            <w:r>
              <w:rPr>
                <w:rFonts w:hint="eastAsia" w:ascii="宋体" w:hAnsi="宋体"/>
                <w:bCs/>
                <w:color w:val="auto"/>
                <w:szCs w:val="24"/>
                <w:highlight w:val="none"/>
                <w:u w:val="none"/>
              </w:rPr>
              <w:t>如投资者认/申购超过上述限额，管理人有权根据实际情况接受、拒绝或确认失败。</w:t>
            </w:r>
            <w:r>
              <w:rPr>
                <w:rFonts w:hint="eastAsia" w:ascii="宋体" w:hAnsi="宋体"/>
                <w:b/>
                <w:bCs w:val="0"/>
                <w:color w:val="auto"/>
                <w:szCs w:val="24"/>
                <w:highlight w:val="none"/>
                <w:u w:val="none"/>
              </w:rPr>
              <w:t>管理人有权以公告形式调整投资者累计认/申购上限。</w:t>
            </w:r>
          </w:p>
        </w:tc>
      </w:tr>
      <w:tr w14:paraId="3073E36F">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2B5D8F9">
            <w:pPr>
              <w:snapToGrid w:val="0"/>
              <w:ind w:left="-140" w:leftChars="-74" w:hanging="15" w:firstLineChars="0"/>
              <w:jc w:val="center"/>
              <w:rPr>
                <w:rFonts w:hint="eastAsia" w:ascii="宋体" w:hAnsi="宋体"/>
                <w:bCs/>
                <w:color w:val="auto"/>
                <w:szCs w:val="24"/>
                <w:highlight w:val="none"/>
                <w:u w:val="none"/>
              </w:rPr>
            </w:pPr>
            <w:r>
              <w:rPr>
                <w:rFonts w:hint="eastAsia" w:ascii="宋体" w:hAnsi="宋体"/>
                <w:bCs/>
                <w:color w:val="auto"/>
                <w:szCs w:val="24"/>
                <w:highlight w:val="none"/>
                <w:u w:val="none"/>
              </w:rPr>
              <w:t>最高持有限额</w:t>
            </w:r>
          </w:p>
        </w:tc>
        <w:tc>
          <w:tcPr>
            <w:tcW w:w="6972" w:type="dxa"/>
            <w:tcBorders>
              <w:top w:val="single" w:color="auto" w:sz="4" w:space="0"/>
              <w:left w:val="single" w:color="auto" w:sz="4" w:space="0"/>
              <w:bottom w:val="single" w:color="auto" w:sz="4" w:space="0"/>
              <w:right w:val="single" w:color="auto" w:sz="4" w:space="0"/>
            </w:tcBorders>
            <w:vAlign w:val="center"/>
          </w:tcPr>
          <w:p w14:paraId="5FFC5F02">
            <w:pPr>
              <w:keepNext w:val="0"/>
              <w:keepLines w:val="0"/>
              <w:widowControl/>
              <w:numPr>
                <w:ilvl w:val="0"/>
                <w:numId w:val="0"/>
              </w:numPr>
              <w:suppressLineNumbers w:val="0"/>
              <w:jc w:val="left"/>
              <w:rPr>
                <w:rFonts w:hint="eastAsia" w:ascii="宋体" w:hAnsi="宋体"/>
                <w:b/>
                <w:color w:val="auto"/>
                <w:szCs w:val="24"/>
                <w:highlight w:val="none"/>
                <w:u w:val="none"/>
              </w:rPr>
            </w:pPr>
            <w:r>
              <w:rPr>
                <w:rFonts w:hint="eastAsia" w:ascii="宋体" w:hAnsi="宋体" w:eastAsia="仿宋_GB2312" w:cstheme="minorBidi"/>
                <w:b/>
                <w:bCs w:val="0"/>
                <w:color w:val="auto"/>
                <w:kern w:val="2"/>
                <w:sz w:val="24"/>
                <w:szCs w:val="24"/>
                <w:highlight w:val="none"/>
                <w:u w:val="none"/>
                <w:lang w:val="en-US" w:eastAsia="zh-CN" w:bidi="ar"/>
              </w:rPr>
              <w:t>单一投资者持有份额不得超过本理财产品总份额的50%。</w:t>
            </w:r>
          </w:p>
          <w:p w14:paraId="7EE49FE7">
            <w:pPr>
              <w:widowControl/>
              <w:numPr>
                <w:ilvl w:val="-1"/>
                <w:numId w:val="0"/>
              </w:numPr>
              <w:jc w:val="left"/>
              <w:rPr>
                <w:rFonts w:hint="eastAsia" w:ascii="宋体" w:hAnsi="宋体"/>
                <w:b/>
                <w:bCs w:val="0"/>
                <w:color w:val="auto"/>
                <w:szCs w:val="24"/>
                <w:highlight w:val="none"/>
                <w:u w:val="none"/>
                <w:lang w:val="en-US" w:eastAsia="zh-CN"/>
              </w:rPr>
            </w:pPr>
            <w:r>
              <w:rPr>
                <w:rFonts w:hint="eastAsia" w:ascii="宋体" w:hAnsi="宋体"/>
                <w:b/>
                <w:bCs w:val="0"/>
                <w:color w:val="auto"/>
                <w:szCs w:val="24"/>
                <w:highlight w:val="none"/>
                <w:u w:val="none"/>
                <w:lang w:val="en-US" w:eastAsia="zh-CN"/>
              </w:rPr>
              <w:t>如销售机构规定与本规则不一致的，则以各销售机构规定为准，但不得高于最高持有限额。</w:t>
            </w:r>
          </w:p>
        </w:tc>
      </w:tr>
      <w:tr w14:paraId="76DDC32A">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A9F9E93">
            <w:pPr>
              <w:snapToGrid w:val="0"/>
              <w:ind w:left="-140" w:leftChars="-74" w:hanging="15" w:firstLineChars="0"/>
              <w:jc w:val="center"/>
              <w:rPr>
                <w:rFonts w:hint="eastAsia" w:ascii="仿宋_GB2312" w:hAnsi="等线" w:eastAsia="仿宋_GB2312" w:cs="仿宋_GB2312"/>
                <w:color w:val="000000" w:themeColor="text1"/>
                <w:kern w:val="0"/>
                <w:sz w:val="24"/>
                <w:highlight w:val="none"/>
                <w:lang w:bidi="ar"/>
                <w14:textFill>
                  <w14:solidFill>
                    <w14:schemeClr w14:val="tx1"/>
                  </w14:solidFill>
                </w14:textFill>
              </w:rPr>
            </w:pPr>
            <w:r>
              <w:rPr>
                <w:rFonts w:hint="eastAsia" w:ascii="宋体" w:hAnsi="宋体"/>
                <w:bCs/>
                <w:color w:val="auto"/>
                <w:szCs w:val="24"/>
                <w:highlight w:val="none"/>
                <w:u w:val="none"/>
              </w:rPr>
              <w:t>赎回</w:t>
            </w:r>
            <w:r>
              <w:rPr>
                <w:rFonts w:ascii="宋体" w:hAnsi="宋体"/>
                <w:bCs/>
                <w:color w:val="auto"/>
                <w:szCs w:val="24"/>
                <w:highlight w:val="none"/>
                <w:u w:val="none"/>
              </w:rPr>
              <w:t>数量限制</w:t>
            </w:r>
          </w:p>
        </w:tc>
        <w:tc>
          <w:tcPr>
            <w:tcW w:w="6972" w:type="dxa"/>
            <w:tcBorders>
              <w:top w:val="single" w:color="auto" w:sz="4" w:space="0"/>
              <w:left w:val="single" w:color="auto" w:sz="4" w:space="0"/>
              <w:bottom w:val="single" w:color="auto" w:sz="4" w:space="0"/>
              <w:right w:val="single" w:color="auto" w:sz="4" w:space="0"/>
            </w:tcBorders>
            <w:vAlign w:val="center"/>
          </w:tcPr>
          <w:p w14:paraId="489C95BF">
            <w:pPr>
              <w:widowControl/>
              <w:numPr>
                <w:ilvl w:val="0"/>
                <w:numId w:val="7"/>
              </w:numPr>
              <w:jc w:val="left"/>
              <w:rPr>
                <w:rFonts w:ascii="宋体" w:hAnsi="宋体"/>
                <w:bCs/>
                <w:color w:val="auto"/>
                <w:szCs w:val="24"/>
                <w:highlight w:val="none"/>
                <w:u w:val="none"/>
              </w:rPr>
            </w:pPr>
            <w:r>
              <w:rPr>
                <w:rFonts w:hint="eastAsia" w:ascii="宋体" w:hAnsi="宋体"/>
                <w:color w:val="auto"/>
                <w:szCs w:val="24"/>
                <w:highlight w:val="yellow"/>
                <w:u w:val="none"/>
                <w:lang w:val="en-US" w:eastAsia="zh-CN"/>
              </w:rPr>
              <w:t>【A类份额】</w:t>
            </w:r>
            <w:r>
              <w:rPr>
                <w:rFonts w:hint="eastAsia" w:ascii="宋体" w:hAnsi="宋体"/>
                <w:color w:val="auto"/>
                <w:szCs w:val="24"/>
                <w:highlight w:val="none"/>
                <w:u w:val="none"/>
                <w:lang w:val="en-US" w:eastAsia="zh-CN"/>
              </w:rPr>
              <w:t>：</w:t>
            </w:r>
            <w:r>
              <w:rPr>
                <w:rFonts w:hint="eastAsia" w:ascii="宋体" w:hAnsi="宋体"/>
                <w:color w:val="auto"/>
                <w:szCs w:val="24"/>
                <w:highlight w:val="none"/>
                <w:u w:val="none"/>
              </w:rPr>
              <w:t>单笔最小赎回份额</w:t>
            </w:r>
            <w:r>
              <w:rPr>
                <w:rFonts w:hint="eastAsia" w:ascii="宋体" w:hAnsi="宋体"/>
                <w:color w:val="auto"/>
                <w:szCs w:val="24"/>
                <w:highlight w:val="yellow"/>
                <w:u w:val="none"/>
              </w:rPr>
              <w:t>【</w:t>
            </w:r>
            <w:r>
              <w:rPr>
                <w:rFonts w:ascii="宋体" w:hAnsi="宋体"/>
                <w:color w:val="auto"/>
                <w:szCs w:val="24"/>
                <w:highlight w:val="yellow"/>
                <w:u w:val="none"/>
              </w:rPr>
              <w:t>】</w:t>
            </w:r>
            <w:r>
              <w:rPr>
                <w:rFonts w:hint="eastAsia" w:ascii="宋体" w:hAnsi="宋体"/>
                <w:color w:val="auto"/>
                <w:szCs w:val="24"/>
                <w:highlight w:val="none"/>
                <w:u w:val="none"/>
                <w:lang w:eastAsia="zh-CN"/>
              </w:rPr>
              <w:t>份</w:t>
            </w:r>
            <w:r>
              <w:rPr>
                <w:rFonts w:hint="eastAsia" w:ascii="宋体" w:hAnsi="宋体"/>
                <w:bCs/>
                <w:color w:val="auto"/>
                <w:szCs w:val="24"/>
                <w:highlight w:val="none"/>
                <w:u w:val="none"/>
              </w:rPr>
              <w:t>。</w:t>
            </w:r>
          </w:p>
          <w:p w14:paraId="780C889B">
            <w:pPr>
              <w:widowControl/>
              <w:numPr>
                <w:ilvl w:val="0"/>
                <w:numId w:val="7"/>
              </w:numPr>
              <w:jc w:val="left"/>
              <w:rPr>
                <w:rFonts w:ascii="宋体" w:hAnsi="宋体"/>
                <w:bCs/>
                <w:color w:val="auto"/>
                <w:szCs w:val="24"/>
                <w:highlight w:val="none"/>
                <w:u w:val="none"/>
              </w:rPr>
            </w:pPr>
            <w:r>
              <w:rPr>
                <w:rFonts w:hint="eastAsia" w:ascii="宋体" w:hAnsi="宋体"/>
                <w:color w:val="auto"/>
                <w:szCs w:val="24"/>
                <w:highlight w:val="yellow"/>
                <w:u w:val="none"/>
                <w:lang w:val="en-US" w:eastAsia="zh-CN"/>
              </w:rPr>
              <w:t>【A类份额】</w:t>
            </w:r>
            <w:r>
              <w:rPr>
                <w:rFonts w:hint="eastAsia" w:ascii="宋体" w:hAnsi="宋体"/>
                <w:color w:val="auto"/>
                <w:szCs w:val="24"/>
                <w:highlight w:val="none"/>
                <w:u w:val="none"/>
                <w:lang w:val="en-US" w:eastAsia="zh-CN"/>
              </w:rPr>
              <w:t>：</w:t>
            </w:r>
            <w:r>
              <w:rPr>
                <w:rFonts w:hint="eastAsia" w:ascii="宋体" w:hAnsi="宋体"/>
                <w:color w:val="auto"/>
                <w:szCs w:val="24"/>
                <w:highlight w:val="none"/>
                <w:u w:val="none"/>
              </w:rPr>
              <w:t>单笔最</w:t>
            </w:r>
            <w:r>
              <w:rPr>
                <w:rFonts w:hint="eastAsia" w:ascii="宋体" w:hAnsi="宋体"/>
                <w:color w:val="auto"/>
                <w:szCs w:val="24"/>
                <w:highlight w:val="none"/>
                <w:u w:val="none"/>
                <w:lang w:eastAsia="zh-CN"/>
              </w:rPr>
              <w:t>大</w:t>
            </w:r>
            <w:r>
              <w:rPr>
                <w:rFonts w:hint="eastAsia" w:ascii="宋体" w:hAnsi="宋体"/>
                <w:color w:val="auto"/>
                <w:szCs w:val="24"/>
                <w:highlight w:val="none"/>
                <w:u w:val="none"/>
              </w:rPr>
              <w:t>赎回份额</w:t>
            </w:r>
            <w:r>
              <w:rPr>
                <w:rFonts w:hint="eastAsia" w:ascii="宋体" w:hAnsi="宋体"/>
                <w:color w:val="auto"/>
                <w:szCs w:val="24"/>
                <w:highlight w:val="yellow"/>
                <w:u w:val="none"/>
              </w:rPr>
              <w:t>【</w:t>
            </w:r>
            <w:r>
              <w:rPr>
                <w:rFonts w:ascii="宋体" w:hAnsi="宋体"/>
                <w:color w:val="auto"/>
                <w:szCs w:val="24"/>
                <w:highlight w:val="yellow"/>
                <w:u w:val="none"/>
              </w:rPr>
              <w:t>】</w:t>
            </w:r>
            <w:r>
              <w:rPr>
                <w:rFonts w:hint="eastAsia" w:ascii="宋体" w:hAnsi="宋体"/>
                <w:color w:val="auto"/>
                <w:szCs w:val="24"/>
                <w:highlight w:val="none"/>
                <w:u w:val="none"/>
                <w:lang w:eastAsia="zh-CN"/>
              </w:rPr>
              <w:t>份</w:t>
            </w:r>
            <w:r>
              <w:rPr>
                <w:rFonts w:hint="eastAsia" w:ascii="宋体" w:hAnsi="宋体"/>
                <w:bCs/>
                <w:color w:val="auto"/>
                <w:szCs w:val="24"/>
                <w:highlight w:val="none"/>
                <w:u w:val="none"/>
              </w:rPr>
              <w:t>。</w:t>
            </w:r>
          </w:p>
          <w:p w14:paraId="0C1F9C44">
            <w:pPr>
              <w:widowControl/>
              <w:numPr>
                <w:ilvl w:val="0"/>
                <w:numId w:val="7"/>
              </w:numPr>
              <w:jc w:val="left"/>
              <w:rPr>
                <w:rFonts w:ascii="宋体" w:hAnsi="宋体"/>
                <w:bCs/>
                <w:color w:val="auto"/>
                <w:szCs w:val="24"/>
                <w:highlight w:val="none"/>
                <w:u w:val="none"/>
              </w:rPr>
            </w:pPr>
            <w:r>
              <w:rPr>
                <w:rFonts w:hint="eastAsia" w:ascii="宋体" w:hAnsi="宋体"/>
                <w:bCs/>
                <w:szCs w:val="24"/>
                <w:highlight w:val="none"/>
              </w:rPr>
              <w:t>投资者可全部</w:t>
            </w:r>
            <w:r>
              <w:rPr>
                <w:rFonts w:hint="eastAsia" w:ascii="宋体" w:hAnsi="宋体"/>
                <w:bCs/>
                <w:szCs w:val="24"/>
                <w:highlight w:val="none"/>
                <w:lang w:eastAsia="zh-CN"/>
              </w:rPr>
              <w:t>赎回</w:t>
            </w:r>
            <w:r>
              <w:rPr>
                <w:rFonts w:hint="eastAsia" w:ascii="宋体" w:hAnsi="宋体"/>
                <w:bCs/>
                <w:szCs w:val="24"/>
                <w:highlight w:val="none"/>
              </w:rPr>
              <w:t>或部分赎回其理财份额（赎回金额计算分别适用本说明书“理财产品的赎回</w:t>
            </w:r>
            <w:r>
              <w:rPr>
                <w:rFonts w:hint="eastAsia" w:ascii="宋体" w:hAnsi="宋体"/>
                <w:bCs/>
                <w:szCs w:val="24"/>
                <w:highlight w:val="none"/>
                <w:lang w:val="en-US" w:eastAsia="zh-CN"/>
              </w:rPr>
              <w:t xml:space="preserve"> </w:t>
            </w:r>
            <w:r>
              <w:rPr>
                <w:rFonts w:hint="eastAsia" w:ascii="宋体" w:hAnsi="宋体"/>
                <w:bCs/>
                <w:szCs w:val="24"/>
                <w:highlight w:val="none"/>
              </w:rPr>
              <w:t>6.赎回金额计算”之（1）（2）项），但是部分赎回后单一投资者持有产品份额不得低于</w:t>
            </w:r>
            <w:r>
              <w:rPr>
                <w:rFonts w:hint="eastAsia" w:ascii="宋体" w:hAnsi="宋体"/>
                <w:bCs/>
                <w:szCs w:val="24"/>
                <w:highlight w:val="yellow"/>
                <w:lang w:eastAsia="zh-CN"/>
              </w:rPr>
              <w:t>【】</w:t>
            </w:r>
            <w:r>
              <w:rPr>
                <w:rFonts w:hint="eastAsia" w:ascii="宋体" w:hAnsi="宋体"/>
                <w:bCs/>
                <w:szCs w:val="24"/>
                <w:highlight w:val="none"/>
              </w:rPr>
              <w:t>份。受理财利益分配去尾规则的影响，投资者持有产品份额较低时可能无法取得利益。巨额赎回情景发生时，投资者的可赎回份额需要根据巨额赎回规则确定。</w:t>
            </w:r>
          </w:p>
          <w:p w14:paraId="389628E1">
            <w:pPr>
              <w:widowControl/>
              <w:numPr>
                <w:ilvl w:val="-1"/>
                <w:numId w:val="0"/>
              </w:numPr>
              <w:jc w:val="left"/>
              <w:rPr>
                <w:rFonts w:hint="eastAsia" w:ascii="仿宋" w:hAnsi="仿宋" w:eastAsia="仿宋" w:cs="宋体"/>
                <w:bCs/>
                <w:color w:val="000000" w:themeColor="text1"/>
                <w:kern w:val="0"/>
                <w:sz w:val="24"/>
                <w:highlight w:val="none"/>
                <w:lang w:bidi="ar"/>
                <w14:textFill>
                  <w14:solidFill>
                    <w14:schemeClr w14:val="tx1"/>
                  </w14:solidFill>
                </w14:textFill>
              </w:rPr>
            </w:pPr>
            <w:r>
              <w:rPr>
                <w:rFonts w:hint="eastAsia" w:ascii="宋体" w:hAnsi="宋体"/>
                <w:b/>
                <w:bCs w:val="0"/>
                <w:color w:val="auto"/>
                <w:szCs w:val="24"/>
                <w:highlight w:val="none"/>
                <w:u w:val="none"/>
                <w:lang w:val="en-US" w:eastAsia="zh-CN"/>
              </w:rPr>
              <w:t>4.管</w:t>
            </w:r>
            <w:r>
              <w:rPr>
                <w:rFonts w:hint="eastAsia" w:ascii="宋体" w:hAnsi="宋体"/>
                <w:b/>
                <w:bCs w:val="0"/>
                <w:color w:val="auto"/>
                <w:szCs w:val="24"/>
                <w:highlight w:val="none"/>
                <w:u w:val="none"/>
              </w:rPr>
              <w:t>理人有权以公告形式设置或调整赎回上限。</w:t>
            </w:r>
          </w:p>
        </w:tc>
      </w:tr>
      <w:tr w14:paraId="66C61BFE">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1421E15">
            <w:pPr>
              <w:snapToGrid w:val="0"/>
              <w:ind w:left="-140" w:leftChars="-74" w:hanging="15" w:firstLineChars="0"/>
              <w:jc w:val="center"/>
              <w:rPr>
                <w:rFonts w:hint="eastAsia" w:ascii="仿宋_GB2312" w:hAnsi="等线" w:eastAsia="仿宋_GB2312" w:cs="仿宋_GB2312"/>
                <w:color w:val="000000" w:themeColor="text1"/>
                <w:kern w:val="0"/>
                <w:sz w:val="24"/>
                <w:highlight w:val="none"/>
                <w:lang w:bidi="ar"/>
                <w14:textFill>
                  <w14:solidFill>
                    <w14:schemeClr w14:val="tx1"/>
                  </w14:solidFill>
                </w14:textFill>
              </w:rPr>
            </w:pPr>
            <w:r>
              <w:rPr>
                <w:rFonts w:hint="eastAsia" w:ascii="宋体" w:hAnsi="宋体"/>
                <w:color w:val="auto"/>
                <w:szCs w:val="24"/>
                <w:highlight w:val="none"/>
                <w:u w:val="none"/>
              </w:rPr>
              <w:t>产品份额净值</w:t>
            </w:r>
          </w:p>
        </w:tc>
        <w:tc>
          <w:tcPr>
            <w:tcW w:w="6972" w:type="dxa"/>
            <w:tcBorders>
              <w:top w:val="single" w:color="auto" w:sz="4" w:space="0"/>
              <w:left w:val="single" w:color="auto" w:sz="4" w:space="0"/>
              <w:bottom w:val="single" w:color="auto" w:sz="4" w:space="0"/>
              <w:right w:val="single" w:color="auto" w:sz="4" w:space="0"/>
            </w:tcBorders>
            <w:vAlign w:val="center"/>
          </w:tcPr>
          <w:p w14:paraId="59B81E00">
            <w:pPr>
              <w:snapToGrid w:val="0"/>
              <w:rPr>
                <w:rFonts w:ascii="宋体" w:hAnsi="宋体"/>
                <w:szCs w:val="24"/>
                <w:highlight w:val="none"/>
              </w:rPr>
            </w:pPr>
            <w:r>
              <w:rPr>
                <w:rFonts w:hint="eastAsia" w:ascii="宋体" w:hAnsi="宋体"/>
                <w:szCs w:val="24"/>
                <w:highlight w:val="none"/>
              </w:rPr>
              <w:t>1</w:t>
            </w:r>
            <w:r>
              <w:rPr>
                <w:rFonts w:ascii="宋体" w:hAnsi="宋体"/>
                <w:szCs w:val="24"/>
                <w:highlight w:val="none"/>
              </w:rPr>
              <w:t>.</w:t>
            </w:r>
            <w:r>
              <w:rPr>
                <w:rFonts w:hint="eastAsia" w:ascii="宋体" w:hAnsi="宋体"/>
                <w:szCs w:val="24"/>
                <w:highlight w:val="none"/>
              </w:rPr>
              <w:t>理财</w:t>
            </w:r>
            <w:r>
              <w:rPr>
                <w:rFonts w:ascii="宋体" w:hAnsi="宋体"/>
                <w:szCs w:val="24"/>
                <w:highlight w:val="none"/>
              </w:rPr>
              <w:t>产品</w:t>
            </w:r>
            <w:r>
              <w:rPr>
                <w:rFonts w:hint="eastAsia" w:ascii="宋体" w:hAnsi="宋体"/>
                <w:szCs w:val="24"/>
                <w:highlight w:val="none"/>
              </w:rPr>
              <w:t>份额</w:t>
            </w:r>
            <w:r>
              <w:rPr>
                <w:rFonts w:ascii="宋体" w:hAnsi="宋体"/>
                <w:szCs w:val="24"/>
                <w:highlight w:val="none"/>
              </w:rPr>
              <w:t>净值为</w:t>
            </w:r>
            <w:r>
              <w:rPr>
                <w:rFonts w:hint="eastAsia" w:ascii="宋体" w:hAnsi="宋体"/>
                <w:szCs w:val="24"/>
                <w:highlight w:val="none"/>
              </w:rPr>
              <w:t>提取</w:t>
            </w:r>
            <w:r>
              <w:rPr>
                <w:rFonts w:ascii="宋体" w:hAnsi="宋体"/>
                <w:szCs w:val="24"/>
                <w:highlight w:val="none"/>
              </w:rPr>
              <w:t>理财产品</w:t>
            </w:r>
            <w:r>
              <w:rPr>
                <w:rFonts w:hint="eastAsia" w:ascii="宋体" w:hAnsi="宋体"/>
                <w:szCs w:val="24"/>
                <w:highlight w:val="none"/>
              </w:rPr>
              <w:t>费用</w:t>
            </w:r>
            <w:r>
              <w:rPr>
                <w:rFonts w:ascii="宋体" w:hAnsi="宋体"/>
                <w:szCs w:val="24"/>
                <w:highlight w:val="none"/>
              </w:rPr>
              <w:t>后</w:t>
            </w:r>
            <w:r>
              <w:rPr>
                <w:rFonts w:hint="eastAsia" w:ascii="宋体" w:hAnsi="宋体"/>
                <w:szCs w:val="24"/>
                <w:highlight w:val="none"/>
              </w:rPr>
              <w:t>的</w:t>
            </w:r>
            <w:r>
              <w:rPr>
                <w:rFonts w:ascii="宋体" w:hAnsi="宋体"/>
                <w:szCs w:val="24"/>
                <w:highlight w:val="none"/>
              </w:rPr>
              <w:t>理财</w:t>
            </w:r>
            <w:r>
              <w:rPr>
                <w:rFonts w:hint="eastAsia" w:ascii="宋体" w:hAnsi="宋体"/>
                <w:szCs w:val="24"/>
                <w:highlight w:val="none"/>
              </w:rPr>
              <w:t>产品</w:t>
            </w:r>
            <w:r>
              <w:rPr>
                <w:rFonts w:ascii="宋体" w:hAnsi="宋体"/>
                <w:szCs w:val="24"/>
                <w:highlight w:val="none"/>
              </w:rPr>
              <w:t>份额净值</w:t>
            </w:r>
            <w:r>
              <w:rPr>
                <w:rFonts w:hint="eastAsia" w:ascii="宋体" w:hAnsi="宋体"/>
                <w:szCs w:val="24"/>
                <w:highlight w:val="none"/>
              </w:rPr>
              <w:t>，投资者按该</w:t>
            </w:r>
            <w:r>
              <w:rPr>
                <w:rFonts w:ascii="宋体" w:hAnsi="宋体"/>
                <w:szCs w:val="24"/>
                <w:highlight w:val="none"/>
              </w:rPr>
              <w:t>理财产品</w:t>
            </w:r>
            <w:r>
              <w:rPr>
                <w:rFonts w:hint="eastAsia" w:ascii="宋体" w:hAnsi="宋体"/>
                <w:szCs w:val="24"/>
                <w:highlight w:val="none"/>
              </w:rPr>
              <w:t>份额</w:t>
            </w:r>
            <w:r>
              <w:rPr>
                <w:rFonts w:ascii="宋体" w:hAnsi="宋体"/>
                <w:szCs w:val="24"/>
                <w:highlight w:val="none"/>
              </w:rPr>
              <w:t>净值进行赎回。</w:t>
            </w:r>
          </w:p>
          <w:p w14:paraId="75CEEB20">
            <w:pPr>
              <w:snapToGrid w:val="0"/>
              <w:rPr>
                <w:rFonts w:hint="eastAsia" w:ascii="宋体" w:hAnsi="宋体" w:eastAsia="仿宋_GB2312"/>
                <w:b/>
                <w:bCs/>
                <w:color w:val="auto"/>
                <w:szCs w:val="24"/>
                <w:highlight w:val="none"/>
                <w:u w:val="none"/>
                <w:lang w:eastAsia="zh-CN"/>
              </w:rPr>
            </w:pPr>
            <w:r>
              <w:rPr>
                <w:rFonts w:hint="eastAsia" w:ascii="宋体" w:hAnsi="宋体"/>
                <w:szCs w:val="24"/>
                <w:highlight w:val="none"/>
              </w:rPr>
              <w:t>2</w:t>
            </w:r>
            <w:r>
              <w:rPr>
                <w:rFonts w:ascii="宋体" w:hAnsi="宋体"/>
                <w:szCs w:val="24"/>
                <w:highlight w:val="none"/>
              </w:rPr>
              <w:t>.</w:t>
            </w:r>
            <w:r>
              <w:rPr>
                <w:rFonts w:hint="eastAsia" w:ascii="宋体" w:hAnsi="宋体"/>
                <w:szCs w:val="24"/>
                <w:highlight w:val="none"/>
              </w:rPr>
              <w:t>本理财产品采用1</w:t>
            </w:r>
            <w:r>
              <w:rPr>
                <w:rFonts w:ascii="宋体" w:hAnsi="宋体"/>
                <w:szCs w:val="24"/>
                <w:highlight w:val="none"/>
              </w:rPr>
              <w:t>.0000</w:t>
            </w:r>
            <w:r>
              <w:rPr>
                <w:rFonts w:hint="eastAsia" w:ascii="宋体" w:hAnsi="宋体"/>
                <w:szCs w:val="24"/>
                <w:highlight w:val="none"/>
              </w:rPr>
              <w:t>元</w:t>
            </w:r>
            <w:r>
              <w:rPr>
                <w:rFonts w:ascii="宋体" w:hAnsi="宋体"/>
                <w:szCs w:val="24"/>
                <w:highlight w:val="none"/>
              </w:rPr>
              <w:t>固定</w:t>
            </w:r>
            <w:r>
              <w:rPr>
                <w:rFonts w:hint="eastAsia" w:ascii="宋体" w:hAnsi="宋体"/>
                <w:szCs w:val="24"/>
                <w:highlight w:val="none"/>
              </w:rPr>
              <w:t>产品</w:t>
            </w:r>
            <w:r>
              <w:rPr>
                <w:rFonts w:ascii="宋体" w:hAnsi="宋体"/>
                <w:szCs w:val="24"/>
                <w:highlight w:val="none"/>
              </w:rPr>
              <w:t>份额净值</w:t>
            </w:r>
            <w:r>
              <w:rPr>
                <w:rFonts w:hint="eastAsia" w:ascii="宋体" w:hAnsi="宋体"/>
                <w:szCs w:val="24"/>
                <w:highlight w:val="none"/>
              </w:rPr>
              <w:t>交易</w:t>
            </w:r>
            <w:r>
              <w:rPr>
                <w:rFonts w:ascii="宋体" w:hAnsi="宋体"/>
                <w:szCs w:val="24"/>
                <w:highlight w:val="none"/>
              </w:rPr>
              <w:t>方式，</w:t>
            </w:r>
            <w:r>
              <w:rPr>
                <w:rFonts w:hint="eastAsia" w:ascii="宋体" w:hAnsi="宋体"/>
                <w:szCs w:val="24"/>
                <w:highlight w:val="none"/>
              </w:rPr>
              <w:t>自产品</w:t>
            </w:r>
            <w:r>
              <w:rPr>
                <w:rFonts w:ascii="宋体" w:hAnsi="宋体"/>
                <w:szCs w:val="24"/>
                <w:highlight w:val="none"/>
              </w:rPr>
              <w:t>成立</w:t>
            </w:r>
            <w:r>
              <w:rPr>
                <w:rFonts w:hint="eastAsia" w:ascii="宋体" w:hAnsi="宋体"/>
                <w:szCs w:val="24"/>
                <w:highlight w:val="none"/>
              </w:rPr>
              <w:t>日</w:t>
            </w:r>
            <w:r>
              <w:rPr>
                <w:rFonts w:ascii="宋体" w:hAnsi="宋体"/>
                <w:szCs w:val="24"/>
                <w:highlight w:val="none"/>
              </w:rPr>
              <w:t>起</w:t>
            </w:r>
            <w:r>
              <w:rPr>
                <w:rFonts w:hint="eastAsia" w:ascii="宋体" w:hAnsi="宋体"/>
                <w:szCs w:val="24"/>
                <w:highlight w:val="none"/>
              </w:rPr>
              <w:t>每日</w:t>
            </w:r>
            <w:r>
              <w:rPr>
                <w:rFonts w:ascii="宋体" w:hAnsi="宋体"/>
                <w:szCs w:val="24"/>
                <w:highlight w:val="none"/>
              </w:rPr>
              <w:t>将</w:t>
            </w:r>
            <w:r>
              <w:rPr>
                <w:rFonts w:hint="eastAsia" w:ascii="宋体" w:hAnsi="宋体"/>
                <w:szCs w:val="24"/>
                <w:highlight w:val="none"/>
              </w:rPr>
              <w:t>产品实现</w:t>
            </w:r>
            <w:r>
              <w:rPr>
                <w:rFonts w:ascii="宋体" w:hAnsi="宋体"/>
                <w:szCs w:val="24"/>
                <w:highlight w:val="none"/>
              </w:rPr>
              <w:t>的产品净收益</w:t>
            </w:r>
            <w:r>
              <w:rPr>
                <w:rFonts w:hint="eastAsia" w:ascii="宋体" w:hAnsi="宋体"/>
                <w:szCs w:val="24"/>
                <w:highlight w:val="none"/>
              </w:rPr>
              <w:t>以</w:t>
            </w:r>
            <w:r>
              <w:rPr>
                <w:rFonts w:ascii="宋体" w:hAnsi="宋体"/>
                <w:szCs w:val="24"/>
                <w:highlight w:val="none"/>
              </w:rPr>
              <w:t>分红形式</w:t>
            </w:r>
            <w:r>
              <w:rPr>
                <w:rFonts w:hint="eastAsia" w:ascii="宋体" w:hAnsi="宋体"/>
                <w:szCs w:val="24"/>
                <w:highlight w:val="none"/>
              </w:rPr>
              <w:t>（或净损失</w:t>
            </w:r>
            <w:r>
              <w:rPr>
                <w:rFonts w:ascii="宋体" w:hAnsi="宋体"/>
                <w:szCs w:val="24"/>
                <w:highlight w:val="none"/>
              </w:rPr>
              <w:t>）</w:t>
            </w:r>
            <w:r>
              <w:rPr>
                <w:rFonts w:hint="eastAsia" w:ascii="宋体" w:hAnsi="宋体"/>
                <w:szCs w:val="24"/>
                <w:highlight w:val="none"/>
              </w:rPr>
              <w:t>分配</w:t>
            </w:r>
            <w:r>
              <w:rPr>
                <w:rFonts w:ascii="宋体" w:hAnsi="宋体"/>
                <w:szCs w:val="24"/>
                <w:highlight w:val="none"/>
              </w:rPr>
              <w:t>给</w:t>
            </w:r>
            <w:r>
              <w:rPr>
                <w:rFonts w:hint="eastAsia" w:ascii="宋体" w:hAnsi="宋体"/>
                <w:szCs w:val="24"/>
                <w:highlight w:val="none"/>
              </w:rPr>
              <w:t>理财</w:t>
            </w:r>
            <w:r>
              <w:rPr>
                <w:rFonts w:ascii="宋体" w:hAnsi="宋体"/>
                <w:szCs w:val="24"/>
                <w:highlight w:val="none"/>
              </w:rPr>
              <w:t>产品投资者</w:t>
            </w:r>
            <w:r>
              <w:rPr>
                <w:rFonts w:hint="eastAsia" w:ascii="宋体" w:hAnsi="宋体"/>
                <w:szCs w:val="24"/>
                <w:highlight w:val="none"/>
              </w:rPr>
              <w:t>，并</w:t>
            </w:r>
            <w:r>
              <w:rPr>
                <w:rFonts w:ascii="宋体" w:hAnsi="宋体"/>
                <w:szCs w:val="24"/>
                <w:highlight w:val="none"/>
              </w:rPr>
              <w:t>将该部分收益</w:t>
            </w:r>
            <w:r>
              <w:rPr>
                <w:rFonts w:hint="eastAsia" w:ascii="宋体" w:hAnsi="宋体"/>
                <w:szCs w:val="24"/>
                <w:highlight w:val="none"/>
                <w:lang w:val="en-US" w:eastAsia="zh-CN"/>
              </w:rPr>
              <w:t>结转为投资者下一日理财持仓份额</w:t>
            </w:r>
            <w:r>
              <w:rPr>
                <w:rFonts w:hint="eastAsia" w:ascii="宋体" w:hAnsi="宋体"/>
                <w:szCs w:val="24"/>
                <w:highlight w:val="none"/>
              </w:rPr>
              <w:t>，参与下一日</w:t>
            </w:r>
            <w:r>
              <w:rPr>
                <w:rFonts w:ascii="宋体" w:hAnsi="宋体"/>
                <w:szCs w:val="24"/>
                <w:highlight w:val="none"/>
              </w:rPr>
              <w:t>产品收益分配</w:t>
            </w:r>
            <w:r>
              <w:rPr>
                <w:rFonts w:hint="eastAsia" w:ascii="宋体" w:hAnsi="宋体"/>
                <w:szCs w:val="24"/>
                <w:highlight w:val="none"/>
              </w:rPr>
              <w:t>，使理财</w:t>
            </w:r>
            <w:r>
              <w:rPr>
                <w:rFonts w:ascii="宋体" w:hAnsi="宋体"/>
                <w:szCs w:val="24"/>
                <w:highlight w:val="none"/>
              </w:rPr>
              <w:t>产品</w:t>
            </w:r>
            <w:r>
              <w:rPr>
                <w:rFonts w:hint="eastAsia" w:ascii="宋体" w:hAnsi="宋体"/>
                <w:szCs w:val="24"/>
                <w:highlight w:val="none"/>
              </w:rPr>
              <w:t>份额</w:t>
            </w:r>
            <w:r>
              <w:rPr>
                <w:rFonts w:ascii="宋体" w:hAnsi="宋体"/>
                <w:szCs w:val="24"/>
                <w:highlight w:val="none"/>
              </w:rPr>
              <w:t>净值始终保持</w:t>
            </w:r>
            <w:r>
              <w:rPr>
                <w:rFonts w:hint="eastAsia" w:ascii="宋体" w:hAnsi="宋体"/>
                <w:szCs w:val="24"/>
                <w:highlight w:val="none"/>
              </w:rPr>
              <w:t>1</w:t>
            </w:r>
            <w:r>
              <w:rPr>
                <w:rFonts w:ascii="宋体" w:hAnsi="宋体"/>
                <w:szCs w:val="24"/>
                <w:highlight w:val="none"/>
              </w:rPr>
              <w:t>.0000</w:t>
            </w:r>
            <w:r>
              <w:rPr>
                <w:rFonts w:hint="eastAsia" w:ascii="宋体" w:hAnsi="宋体"/>
                <w:szCs w:val="24"/>
                <w:highlight w:val="none"/>
              </w:rPr>
              <w:t>元</w:t>
            </w:r>
            <w:r>
              <w:rPr>
                <w:rFonts w:ascii="宋体" w:hAnsi="宋体"/>
                <w:szCs w:val="24"/>
                <w:highlight w:val="none"/>
              </w:rPr>
              <w:t>。</w:t>
            </w:r>
          </w:p>
        </w:tc>
      </w:tr>
      <w:tr w14:paraId="645BA601">
        <w:tblPrEx>
          <w:tblCellMar>
            <w:top w:w="0" w:type="dxa"/>
            <w:left w:w="108" w:type="dxa"/>
            <w:bottom w:w="0" w:type="dxa"/>
            <w:right w:w="108" w:type="dxa"/>
          </w:tblCellMar>
        </w:tblPrEx>
        <w:trPr>
          <w:trHeight w:val="643" w:hRule="atLeast"/>
        </w:trPr>
        <w:tc>
          <w:tcPr>
            <w:tcW w:w="2453" w:type="dxa"/>
            <w:tcBorders>
              <w:top w:val="single" w:color="auto" w:sz="4" w:space="0"/>
              <w:left w:val="single" w:color="auto" w:sz="4" w:space="0"/>
              <w:bottom w:val="single" w:color="auto" w:sz="4" w:space="0"/>
              <w:right w:val="single" w:color="auto" w:sz="4" w:space="0"/>
            </w:tcBorders>
            <w:vAlign w:val="center"/>
          </w:tcPr>
          <w:p w14:paraId="14238039">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收益分配方式</w:t>
            </w:r>
          </w:p>
        </w:tc>
        <w:tc>
          <w:tcPr>
            <w:tcW w:w="6972" w:type="dxa"/>
            <w:tcBorders>
              <w:top w:val="single" w:color="auto" w:sz="4" w:space="0"/>
              <w:left w:val="single" w:color="auto" w:sz="4" w:space="0"/>
              <w:bottom w:val="single" w:color="auto" w:sz="4" w:space="0"/>
              <w:right w:val="single" w:color="auto" w:sz="4" w:space="0"/>
            </w:tcBorders>
            <w:vAlign w:val="center"/>
          </w:tcPr>
          <w:p w14:paraId="7040641F">
            <w:pPr>
              <w:widowControl/>
              <w:spacing w:line="400" w:lineRule="exact"/>
              <w:jc w:val="left"/>
              <w:textAlignment w:val="center"/>
              <w:rPr>
                <w:rFonts w:hint="eastAsia" w:ascii="仿宋_GB2312" w:hAnsi="等线" w:cs="仿宋_GB2312"/>
                <w:bCs/>
                <w:color w:val="000000" w:themeColor="text1"/>
                <w:sz w:val="24"/>
                <w:highlight w:val="none"/>
                <w:lang w:eastAsia="zh-CN"/>
                <w14:textFill>
                  <w14:solidFill>
                    <w14:schemeClr w14:val="tx1"/>
                  </w14:solidFill>
                </w14:textFill>
              </w:rPr>
            </w:pPr>
            <w:r>
              <w:rPr>
                <w:rFonts w:hint="eastAsia" w:ascii="仿宋_GB2312" w:hAnsi="等线" w:cs="仿宋_GB2312"/>
                <w:bCs/>
                <w:color w:val="000000" w:themeColor="text1"/>
                <w:sz w:val="24"/>
                <w:highlight w:val="none"/>
                <w:lang w:eastAsia="zh-CN"/>
                <w14:textFill>
                  <w14:solidFill>
                    <w14:schemeClr w14:val="tx1"/>
                  </w14:solidFill>
                </w14:textFill>
              </w:rPr>
              <w:t>【现金分配、红利再投资】</w:t>
            </w:r>
          </w:p>
        </w:tc>
      </w:tr>
      <w:tr w14:paraId="04357B33">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05FEE487">
            <w:pPr>
              <w:widowControl/>
              <w:spacing w:line="400" w:lineRule="exact"/>
              <w:jc w:val="center"/>
              <w:textAlignment w:val="center"/>
              <w:rPr>
                <w:rFonts w:hint="eastAsia" w:ascii="楷体_GB2312" w:hAnsi="等线" w:eastAsia="楷体_GB2312" w:cs="楷体_GB2312"/>
                <w:b/>
                <w:bCs/>
                <w:color w:val="000000" w:themeColor="text1"/>
                <w:sz w:val="24"/>
                <w:highlight w:val="none"/>
                <w14:textFill>
                  <w14:solidFill>
                    <w14:schemeClr w14:val="tx1"/>
                  </w14:solidFill>
                </w14:textFill>
              </w:rPr>
            </w:pPr>
            <w:r>
              <w:rPr>
                <w:rFonts w:hint="eastAsia" w:ascii="楷体_GB2312" w:hAnsi="等线" w:eastAsia="楷体_GB2312" w:cs="楷体_GB2312"/>
                <w:b/>
                <w:bCs/>
                <w:color w:val="000000" w:themeColor="text1"/>
                <w:kern w:val="0"/>
                <w:sz w:val="24"/>
                <w:highlight w:val="none"/>
                <w:lang w:bidi="ar"/>
                <w14:textFill>
                  <w14:solidFill>
                    <w14:schemeClr w14:val="tx1"/>
                  </w14:solidFill>
                </w14:textFill>
              </w:rPr>
              <w:t>（三）产品性质与类型</w:t>
            </w:r>
          </w:p>
        </w:tc>
      </w:tr>
      <w:tr w14:paraId="0C42F0AD">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A38FCAD">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募集方式</w:t>
            </w:r>
          </w:p>
        </w:tc>
        <w:tc>
          <w:tcPr>
            <w:tcW w:w="6972" w:type="dxa"/>
            <w:tcBorders>
              <w:top w:val="single" w:color="auto" w:sz="4" w:space="0"/>
              <w:left w:val="single" w:color="auto" w:sz="4" w:space="0"/>
              <w:bottom w:val="single" w:color="auto" w:sz="4" w:space="0"/>
              <w:right w:val="single" w:color="auto" w:sz="4" w:space="0"/>
            </w:tcBorders>
            <w:vAlign w:val="center"/>
          </w:tcPr>
          <w:p w14:paraId="3DFEDB61">
            <w:pPr>
              <w:widowControl/>
              <w:spacing w:line="400" w:lineRule="exact"/>
              <w:jc w:val="left"/>
              <w:textAlignment w:val="center"/>
              <w:rPr>
                <w:rFonts w:hint="eastAsia" w:ascii="仿宋_GB2312" w:hAnsi="宋体" w:eastAsia="仿宋_GB2312" w:cs="宋体"/>
                <w:b/>
                <w:bCs/>
                <w:color w:val="auto"/>
                <w:kern w:val="0"/>
                <w:sz w:val="24"/>
                <w:szCs w:val="24"/>
                <w:highlight w:val="yellow"/>
                <w:u w:val="none"/>
                <w:lang w:eastAsia="zh-CN"/>
              </w:rPr>
            </w:pPr>
            <w:r>
              <w:rPr>
                <w:rFonts w:hint="eastAsia" w:ascii="仿宋_GB2312" w:hAnsi="宋体" w:cs="宋体"/>
                <w:b/>
                <w:bCs/>
                <w:color w:val="auto"/>
                <w:kern w:val="0"/>
                <w:sz w:val="24"/>
                <w:szCs w:val="24"/>
                <w:highlight w:val="yellow"/>
                <w:u w:val="none"/>
                <w:lang w:eastAsia="zh-CN" w:bidi="ar"/>
              </w:rPr>
              <w:t>【</w:t>
            </w:r>
            <w:r>
              <w:rPr>
                <w:rFonts w:hint="eastAsia" w:ascii="仿宋_GB2312" w:hAnsi="宋体" w:eastAsia="仿宋_GB2312" w:cs="宋体"/>
                <w:b/>
                <w:bCs/>
                <w:color w:val="auto"/>
                <w:kern w:val="0"/>
                <w:sz w:val="24"/>
                <w:szCs w:val="24"/>
                <w:highlight w:val="yellow"/>
                <w:u w:val="none"/>
                <w:lang w:eastAsia="zh-CN" w:bidi="ar"/>
              </w:rPr>
              <w:t>公募</w:t>
            </w:r>
            <w:r>
              <w:rPr>
                <w:rFonts w:hint="eastAsia" w:ascii="仿宋_GB2312" w:hAnsi="宋体" w:cs="宋体"/>
                <w:b/>
                <w:bCs/>
                <w:color w:val="auto"/>
                <w:kern w:val="0"/>
                <w:sz w:val="24"/>
                <w:szCs w:val="24"/>
                <w:highlight w:val="yellow"/>
                <w:u w:val="none"/>
                <w:lang w:eastAsia="zh-CN" w:bidi="ar"/>
              </w:rPr>
              <w:t>】</w:t>
            </w:r>
          </w:p>
        </w:tc>
      </w:tr>
      <w:tr w14:paraId="74EE8D7F">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47B61CD">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投资性质</w:t>
            </w:r>
          </w:p>
        </w:tc>
        <w:tc>
          <w:tcPr>
            <w:tcW w:w="6972" w:type="dxa"/>
            <w:tcBorders>
              <w:top w:val="single" w:color="auto" w:sz="4" w:space="0"/>
              <w:left w:val="single" w:color="auto" w:sz="4" w:space="0"/>
              <w:bottom w:val="single" w:color="auto" w:sz="4" w:space="0"/>
              <w:right w:val="single" w:color="auto" w:sz="4" w:space="0"/>
            </w:tcBorders>
            <w:vAlign w:val="center"/>
          </w:tcPr>
          <w:p w14:paraId="55ABEA34">
            <w:pPr>
              <w:widowControl/>
              <w:spacing w:line="400" w:lineRule="exact"/>
              <w:jc w:val="left"/>
              <w:textAlignment w:val="center"/>
              <w:rPr>
                <w:rFonts w:hint="eastAsia" w:ascii="仿宋_GB2312" w:hAnsi="宋体" w:eastAsia="仿宋_GB2312" w:cs="宋体"/>
                <w:b/>
                <w:bCs/>
                <w:color w:val="auto"/>
                <w:kern w:val="0"/>
                <w:sz w:val="24"/>
                <w:szCs w:val="24"/>
                <w:highlight w:val="yellow"/>
                <w:u w:val="none"/>
                <w:lang w:eastAsia="zh-CN" w:bidi="ar"/>
              </w:rPr>
            </w:pPr>
            <w:r>
              <w:rPr>
                <w:rFonts w:hint="eastAsia" w:ascii="仿宋_GB2312" w:hAnsi="宋体" w:cs="宋体"/>
                <w:b/>
                <w:bCs/>
                <w:color w:val="auto"/>
                <w:kern w:val="0"/>
                <w:sz w:val="24"/>
                <w:szCs w:val="24"/>
                <w:highlight w:val="yellow"/>
                <w:u w:val="none"/>
                <w:lang w:eastAsia="zh-CN" w:bidi="ar"/>
              </w:rPr>
              <w:t>【</w:t>
            </w:r>
            <w:r>
              <w:rPr>
                <w:rFonts w:hint="eastAsia" w:ascii="仿宋_GB2312" w:hAnsi="宋体" w:eastAsia="仿宋_GB2312" w:cs="宋体"/>
                <w:b/>
                <w:bCs/>
                <w:color w:val="auto"/>
                <w:kern w:val="0"/>
                <w:sz w:val="24"/>
                <w:szCs w:val="24"/>
                <w:highlight w:val="yellow"/>
                <w:u w:val="none"/>
                <w:lang w:bidi="ar"/>
              </w:rPr>
              <w:t>固定收益类</w:t>
            </w:r>
            <w:r>
              <w:rPr>
                <w:rFonts w:hint="eastAsia" w:ascii="仿宋_GB2312" w:hAnsi="宋体" w:cs="宋体"/>
                <w:b/>
                <w:bCs/>
                <w:color w:val="auto"/>
                <w:kern w:val="0"/>
                <w:sz w:val="24"/>
                <w:szCs w:val="24"/>
                <w:highlight w:val="yellow"/>
                <w:u w:val="none"/>
                <w:lang w:eastAsia="zh-CN" w:bidi="ar"/>
              </w:rPr>
              <w:t>】</w:t>
            </w:r>
          </w:p>
        </w:tc>
      </w:tr>
      <w:tr w14:paraId="08211DFC">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1B15EA7">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运作模式</w:t>
            </w:r>
          </w:p>
        </w:tc>
        <w:tc>
          <w:tcPr>
            <w:tcW w:w="6972" w:type="dxa"/>
            <w:tcBorders>
              <w:top w:val="single" w:color="auto" w:sz="4" w:space="0"/>
              <w:left w:val="single" w:color="auto" w:sz="4" w:space="0"/>
              <w:bottom w:val="single" w:color="auto" w:sz="4" w:space="0"/>
              <w:right w:val="single" w:color="auto" w:sz="4" w:space="0"/>
            </w:tcBorders>
            <w:vAlign w:val="center"/>
          </w:tcPr>
          <w:p w14:paraId="05347E73">
            <w:pPr>
              <w:widowControl/>
              <w:spacing w:line="400" w:lineRule="exact"/>
              <w:jc w:val="left"/>
              <w:textAlignment w:val="center"/>
              <w:rPr>
                <w:rFonts w:hint="eastAsia" w:ascii="仿宋_GB2312" w:hAnsi="宋体" w:eastAsia="仿宋_GB2312" w:cs="宋体"/>
                <w:b/>
                <w:bCs/>
                <w:color w:val="auto"/>
                <w:kern w:val="0"/>
                <w:sz w:val="24"/>
                <w:szCs w:val="24"/>
                <w:highlight w:val="yellow"/>
                <w:u w:val="none"/>
                <w:lang w:eastAsia="zh-CN" w:bidi="ar"/>
              </w:rPr>
            </w:pPr>
            <w:r>
              <w:rPr>
                <w:rFonts w:hint="eastAsia" w:ascii="仿宋_GB2312" w:hAnsi="宋体" w:cs="宋体"/>
                <w:b/>
                <w:bCs/>
                <w:color w:val="auto"/>
                <w:kern w:val="0"/>
                <w:sz w:val="24"/>
                <w:szCs w:val="24"/>
                <w:highlight w:val="yellow"/>
                <w:u w:val="none"/>
                <w:lang w:eastAsia="zh-CN" w:bidi="ar"/>
              </w:rPr>
              <w:t>【</w:t>
            </w:r>
            <w:r>
              <w:rPr>
                <w:rFonts w:hint="eastAsia" w:ascii="仿宋_GB2312" w:hAnsi="宋体" w:eastAsia="仿宋_GB2312" w:cs="宋体"/>
                <w:b/>
                <w:bCs/>
                <w:color w:val="auto"/>
                <w:kern w:val="0"/>
                <w:sz w:val="24"/>
                <w:szCs w:val="24"/>
                <w:highlight w:val="yellow"/>
                <w:u w:val="none"/>
                <w:lang w:bidi="ar"/>
              </w:rPr>
              <w:t>开放式</w:t>
            </w:r>
            <w:r>
              <w:rPr>
                <w:rFonts w:hint="eastAsia" w:ascii="仿宋_GB2312" w:hAnsi="宋体" w:cs="宋体"/>
                <w:b/>
                <w:bCs/>
                <w:color w:val="auto"/>
                <w:kern w:val="0"/>
                <w:sz w:val="24"/>
                <w:szCs w:val="24"/>
                <w:highlight w:val="yellow"/>
                <w:u w:val="none"/>
                <w:lang w:eastAsia="zh-CN" w:bidi="ar"/>
              </w:rPr>
              <w:t>】</w:t>
            </w:r>
          </w:p>
        </w:tc>
      </w:tr>
      <w:tr w14:paraId="17694E5F">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690D9B6">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运作模式（二级）</w:t>
            </w:r>
          </w:p>
        </w:tc>
        <w:tc>
          <w:tcPr>
            <w:tcW w:w="6972" w:type="dxa"/>
            <w:tcBorders>
              <w:top w:val="single" w:color="auto" w:sz="4" w:space="0"/>
              <w:left w:val="single" w:color="auto" w:sz="4" w:space="0"/>
              <w:bottom w:val="single" w:color="auto" w:sz="4" w:space="0"/>
              <w:right w:val="single" w:color="auto" w:sz="4" w:space="0"/>
            </w:tcBorders>
            <w:vAlign w:val="center"/>
          </w:tcPr>
          <w:p w14:paraId="52378E28">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eastAsia="zh-CN" w:bidi="ar"/>
              </w:rPr>
            </w:pPr>
            <w:r>
              <w:rPr>
                <w:rFonts w:hint="eastAsia" w:ascii="仿宋_GB2312" w:hAnsi="宋体" w:cs="宋体"/>
                <w:b/>
                <w:bCs/>
                <w:color w:val="auto"/>
                <w:kern w:val="0"/>
                <w:sz w:val="24"/>
                <w:szCs w:val="24"/>
                <w:highlight w:val="yellow"/>
                <w:u w:val="none"/>
                <w:lang w:eastAsia="zh-CN" w:bidi="ar"/>
              </w:rPr>
              <w:t>【日开</w:t>
            </w:r>
            <w:r>
              <w:rPr>
                <w:rFonts w:hint="eastAsia" w:ascii="仿宋_GB2312" w:hAnsi="宋体" w:eastAsia="仿宋_GB2312" w:cs="宋体"/>
                <w:b/>
                <w:bCs/>
                <w:color w:val="auto"/>
                <w:kern w:val="0"/>
                <w:sz w:val="24"/>
                <w:szCs w:val="24"/>
                <w:highlight w:val="yellow"/>
                <w:u w:val="none"/>
                <w:lang w:bidi="ar"/>
              </w:rPr>
              <w:t>型产品</w:t>
            </w:r>
            <w:r>
              <w:rPr>
                <w:rFonts w:hint="eastAsia" w:ascii="仿宋_GB2312" w:hAnsi="宋体" w:cs="宋体"/>
                <w:b/>
                <w:bCs/>
                <w:color w:val="auto"/>
                <w:kern w:val="0"/>
                <w:sz w:val="24"/>
                <w:szCs w:val="24"/>
                <w:highlight w:val="yellow"/>
                <w:u w:val="none"/>
                <w:lang w:eastAsia="zh-CN" w:bidi="ar"/>
              </w:rPr>
              <w:t>】</w:t>
            </w:r>
          </w:p>
        </w:tc>
      </w:tr>
      <w:tr w14:paraId="0AD560D8">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3BD5B1DF">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风险等级</w:t>
            </w:r>
          </w:p>
        </w:tc>
        <w:tc>
          <w:tcPr>
            <w:tcW w:w="6972" w:type="dxa"/>
            <w:tcBorders>
              <w:top w:val="single" w:color="auto" w:sz="4" w:space="0"/>
              <w:left w:val="single" w:color="auto" w:sz="4" w:space="0"/>
              <w:bottom w:val="single" w:color="auto" w:sz="4" w:space="0"/>
              <w:right w:val="single" w:color="auto" w:sz="4" w:space="0"/>
            </w:tcBorders>
            <w:vAlign w:val="center"/>
          </w:tcPr>
          <w:p w14:paraId="3CCB78B5">
            <w:pPr>
              <w:widowControl/>
              <w:tabs>
                <w:tab w:val="left" w:pos="709"/>
              </w:tabs>
              <w:snapToGrid w:val="0"/>
              <w:rPr>
                <w:rFonts w:ascii="宋体" w:hAnsi="宋体"/>
                <w:color w:val="auto"/>
                <w:szCs w:val="24"/>
                <w:highlight w:val="none"/>
                <w:u w:val="none"/>
              </w:rPr>
            </w:pPr>
            <w:r>
              <w:rPr>
                <w:rFonts w:hint="eastAsia" w:ascii="宋体" w:hAnsi="宋体"/>
                <w:b/>
                <w:bCs/>
                <w:color w:val="auto"/>
                <w:szCs w:val="24"/>
                <w:highlight w:val="yellow"/>
                <w:u w:val="none"/>
              </w:rPr>
              <w:t>【</w:t>
            </w:r>
            <w:r>
              <w:rPr>
                <w:rFonts w:hint="eastAsia" w:ascii="宋体" w:hAnsi="宋体"/>
                <w:b/>
                <w:bCs/>
                <w:color w:val="auto"/>
                <w:szCs w:val="24"/>
                <w:highlight w:val="yellow"/>
                <w:u w:val="none"/>
                <w:lang w:val="en-US" w:eastAsia="zh-CN"/>
              </w:rPr>
              <w:t>R1</w:t>
            </w:r>
            <w:r>
              <w:rPr>
                <w:rFonts w:hint="eastAsia" w:ascii="宋体" w:hAnsi="宋体"/>
                <w:b/>
                <w:bCs/>
                <w:color w:val="auto"/>
                <w:szCs w:val="24"/>
                <w:highlight w:val="yellow"/>
                <w:u w:val="none"/>
              </w:rPr>
              <w:t>】</w:t>
            </w:r>
            <w:r>
              <w:rPr>
                <w:rFonts w:hint="eastAsia" w:ascii="宋体" w:hAnsi="宋体"/>
                <w:b/>
                <w:bCs/>
                <w:color w:val="auto"/>
                <w:szCs w:val="24"/>
                <w:highlight w:val="none"/>
                <w:u w:val="none"/>
              </w:rPr>
              <w:t>对应风险等级为</w:t>
            </w:r>
            <w:r>
              <w:rPr>
                <w:rFonts w:hint="eastAsia" w:ascii="宋体" w:hAnsi="宋体"/>
                <w:b/>
                <w:bCs/>
                <w:color w:val="auto"/>
                <w:szCs w:val="24"/>
                <w:highlight w:val="yellow"/>
                <w:u w:val="none"/>
              </w:rPr>
              <w:t>【</w:t>
            </w:r>
            <w:r>
              <w:rPr>
                <w:rFonts w:hint="eastAsia" w:ascii="宋体" w:hAnsi="宋体"/>
                <w:b/>
                <w:bCs/>
                <w:color w:val="auto"/>
                <w:szCs w:val="24"/>
                <w:highlight w:val="yellow"/>
                <w:u w:val="none"/>
                <w:lang w:eastAsia="zh-CN"/>
              </w:rPr>
              <w:t>低风险</w:t>
            </w:r>
            <w:r>
              <w:rPr>
                <w:rFonts w:hint="eastAsia" w:ascii="宋体" w:hAnsi="宋体"/>
                <w:b/>
                <w:bCs/>
                <w:color w:val="auto"/>
                <w:szCs w:val="24"/>
                <w:highlight w:val="yellow"/>
                <w:u w:val="none"/>
              </w:rPr>
              <w:t>】</w:t>
            </w:r>
            <w:r>
              <w:rPr>
                <w:rFonts w:hint="eastAsia" w:ascii="仿宋_GB2312" w:hAnsi="等线" w:eastAsia="仿宋_GB2312" w:cs="仿宋_GB2312"/>
                <w:b/>
                <w:bCs w:val="0"/>
                <w:color w:val="000000" w:themeColor="text1"/>
                <w:kern w:val="0"/>
                <w:sz w:val="24"/>
                <w:highlight w:val="none"/>
                <w:lang w:bidi="ar"/>
                <w14:textFill>
                  <w14:solidFill>
                    <w14:schemeClr w14:val="tx1"/>
                  </w14:solidFill>
                </w14:textFill>
              </w:rPr>
              <w:br w:type="textWrapping"/>
            </w:r>
            <w:r>
              <w:rPr>
                <w:rFonts w:hint="eastAsia" w:ascii="宋体" w:hAnsi="宋体"/>
                <w:color w:val="auto"/>
                <w:szCs w:val="24"/>
                <w:highlight w:val="none"/>
                <w:u w:val="none"/>
              </w:rPr>
              <w:t>本评级为管理人内部测评结果，仅供投资者参考。</w:t>
            </w:r>
            <w:r>
              <w:rPr>
                <w:rFonts w:hint="eastAsia" w:ascii="宋体" w:hAnsi="宋体"/>
                <w:b/>
                <w:color w:val="auto"/>
                <w:szCs w:val="24"/>
                <w:highlight w:val="none"/>
                <w:u w:val="none"/>
              </w:rPr>
              <w:t>本产品通过代理销售机构渠道销售的，理财产品评级应当以代理销售机构最终披露的评级结果为准。</w:t>
            </w:r>
            <w:r>
              <w:rPr>
                <w:rFonts w:ascii="宋体" w:hAnsi="宋体"/>
                <w:color w:val="auto"/>
                <w:szCs w:val="24"/>
                <w:highlight w:val="none"/>
                <w:u w:val="none"/>
              </w:rPr>
              <w:t>(</w:t>
            </w:r>
            <w:r>
              <w:rPr>
                <w:rFonts w:hint="eastAsia" w:ascii="宋体" w:hAnsi="宋体"/>
                <w:color w:val="auto"/>
                <w:szCs w:val="24"/>
                <w:highlight w:val="none"/>
                <w:u w:val="none"/>
              </w:rPr>
              <w:t>管理</w:t>
            </w:r>
            <w:r>
              <w:rPr>
                <w:rFonts w:ascii="宋体" w:hAnsi="宋体"/>
                <w:color w:val="auto"/>
                <w:szCs w:val="24"/>
                <w:highlight w:val="none"/>
                <w:u w:val="none"/>
              </w:rPr>
              <w:t>人与</w:t>
            </w:r>
            <w:r>
              <w:rPr>
                <w:rFonts w:hint="eastAsia" w:ascii="宋体" w:hAnsi="宋体"/>
                <w:color w:val="auto"/>
                <w:szCs w:val="24"/>
                <w:highlight w:val="none"/>
                <w:u w:val="none"/>
              </w:rPr>
              <w:t>代理</w:t>
            </w:r>
            <w:r>
              <w:rPr>
                <w:rFonts w:ascii="宋体" w:hAnsi="宋体"/>
                <w:color w:val="auto"/>
                <w:szCs w:val="24"/>
                <w:highlight w:val="none"/>
                <w:u w:val="none"/>
              </w:rPr>
              <w:t>销售机构</w:t>
            </w:r>
            <w:r>
              <w:rPr>
                <w:rFonts w:hint="eastAsia" w:ascii="宋体" w:hAnsi="宋体"/>
                <w:color w:val="auto"/>
                <w:szCs w:val="24"/>
                <w:highlight w:val="none"/>
                <w:u w:val="none"/>
              </w:rPr>
              <w:t>的</w:t>
            </w:r>
            <w:r>
              <w:rPr>
                <w:rFonts w:ascii="宋体" w:hAnsi="宋体"/>
                <w:color w:val="auto"/>
                <w:szCs w:val="24"/>
                <w:highlight w:val="none"/>
                <w:u w:val="none"/>
              </w:rPr>
              <w:t>风险</w:t>
            </w:r>
            <w:r>
              <w:rPr>
                <w:rFonts w:hint="eastAsia" w:ascii="宋体" w:hAnsi="宋体"/>
                <w:color w:val="auto"/>
                <w:szCs w:val="24"/>
                <w:highlight w:val="none"/>
                <w:u w:val="none"/>
              </w:rPr>
              <w:t>等级评估结果</w:t>
            </w:r>
            <w:r>
              <w:rPr>
                <w:rFonts w:ascii="宋体" w:hAnsi="宋体"/>
                <w:color w:val="auto"/>
                <w:szCs w:val="24"/>
                <w:highlight w:val="none"/>
                <w:u w:val="none"/>
              </w:rPr>
              <w:t>不一致的应采用</w:t>
            </w:r>
            <w:r>
              <w:rPr>
                <w:rFonts w:hint="eastAsia" w:ascii="宋体" w:hAnsi="宋体"/>
                <w:color w:val="auto"/>
                <w:szCs w:val="24"/>
                <w:highlight w:val="none"/>
                <w:u w:val="none"/>
              </w:rPr>
              <w:t>对应</w:t>
            </w:r>
            <w:r>
              <w:rPr>
                <w:rFonts w:ascii="宋体" w:hAnsi="宋体"/>
                <w:color w:val="auto"/>
                <w:szCs w:val="24"/>
                <w:highlight w:val="none"/>
                <w:u w:val="none"/>
              </w:rPr>
              <w:t>较高风险</w:t>
            </w:r>
            <w:r>
              <w:rPr>
                <w:rFonts w:hint="eastAsia" w:ascii="宋体" w:hAnsi="宋体"/>
                <w:color w:val="auto"/>
                <w:szCs w:val="24"/>
                <w:highlight w:val="none"/>
                <w:u w:val="none"/>
              </w:rPr>
              <w:t>的</w:t>
            </w:r>
            <w:r>
              <w:rPr>
                <w:rFonts w:ascii="宋体" w:hAnsi="宋体"/>
                <w:color w:val="auto"/>
                <w:szCs w:val="24"/>
                <w:highlight w:val="none"/>
                <w:u w:val="none"/>
              </w:rPr>
              <w:t>评级</w:t>
            </w:r>
            <w:r>
              <w:rPr>
                <w:rFonts w:hint="eastAsia" w:ascii="宋体" w:hAnsi="宋体"/>
                <w:color w:val="auto"/>
                <w:szCs w:val="24"/>
                <w:highlight w:val="none"/>
                <w:u w:val="none"/>
              </w:rPr>
              <w:t>结果。</w:t>
            </w:r>
            <w:r>
              <w:rPr>
                <w:rFonts w:ascii="宋体" w:hAnsi="宋体"/>
                <w:color w:val="auto"/>
                <w:szCs w:val="24"/>
                <w:highlight w:val="none"/>
                <w:u w:val="none"/>
              </w:rPr>
              <w:t>)</w:t>
            </w:r>
          </w:p>
          <w:p w14:paraId="338D30F9">
            <w:pPr>
              <w:widowControl/>
              <w:tabs>
                <w:tab w:val="left" w:pos="709"/>
              </w:tabs>
              <w:snapToGrid w:val="0"/>
              <w:spacing w:line="240" w:lineRule="auto"/>
              <w:jc w:val="left"/>
              <w:textAlignment w:val="auto"/>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ascii="宋体" w:hAnsi="宋体"/>
                <w:b/>
                <w:bCs/>
                <w:color w:val="auto"/>
                <w:szCs w:val="24"/>
                <w:highlight w:val="none"/>
                <w:u w:val="none"/>
              </w:rPr>
              <w:t>产品管理人在符合监管政策的前提下可对产品风险评级进行动态管理，如产品风险等级发生调整，将提前通过本《产品说明书》“信息披露”约定的方式通知投资者。</w:t>
            </w:r>
          </w:p>
        </w:tc>
      </w:tr>
      <w:tr w14:paraId="66095A3D">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075FF203">
            <w:pPr>
              <w:widowControl/>
              <w:spacing w:line="400" w:lineRule="exact"/>
              <w:jc w:val="center"/>
              <w:textAlignment w:val="center"/>
              <w:rPr>
                <w:rFonts w:hint="eastAsia" w:ascii="仿宋_GB2312" w:hAnsi="等线" w:eastAsia="仿宋_GB2312" w:cs="仿宋_GB2312"/>
                <w:color w:val="000000" w:themeColor="text1"/>
                <w:kern w:val="0"/>
                <w:sz w:val="24"/>
                <w:highlight w:val="none"/>
                <w:lang w:bidi="ar"/>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是否为现金管理类产品</w:t>
            </w:r>
          </w:p>
        </w:tc>
        <w:tc>
          <w:tcPr>
            <w:tcW w:w="6972" w:type="dxa"/>
            <w:tcBorders>
              <w:top w:val="single" w:color="auto" w:sz="4" w:space="0"/>
              <w:left w:val="single" w:color="auto" w:sz="4" w:space="0"/>
              <w:bottom w:val="single" w:color="auto" w:sz="4" w:space="0"/>
              <w:right w:val="single" w:color="auto" w:sz="4" w:space="0"/>
            </w:tcBorders>
            <w:vAlign w:val="center"/>
          </w:tcPr>
          <w:p w14:paraId="71005E12">
            <w:pPr>
              <w:widowControl/>
              <w:spacing w:line="400" w:lineRule="exact"/>
              <w:jc w:val="left"/>
              <w:textAlignment w:val="center"/>
              <w:rPr>
                <w:rFonts w:hint="eastAsia" w:ascii="仿宋_GB2312" w:hAnsi="等线" w:eastAsia="仿宋_GB2312" w:cs="仿宋_GB2312"/>
                <w:bCs/>
                <w:color w:val="000000" w:themeColor="text1"/>
                <w:kern w:val="0"/>
                <w:sz w:val="24"/>
                <w:highlight w:val="none"/>
                <w:lang w:eastAsia="zh-CN" w:bidi="ar"/>
                <w14:textFill>
                  <w14:solidFill>
                    <w14:schemeClr w14:val="tx1"/>
                  </w14:solidFill>
                </w14:textFill>
              </w:rPr>
            </w:pPr>
            <w:r>
              <w:rPr>
                <w:rFonts w:hint="eastAsia" w:ascii="仿宋_GB2312" w:hAnsi="等线" w:cs="仿宋_GB2312"/>
                <w:bCs/>
                <w:color w:val="000000" w:themeColor="text1"/>
                <w:kern w:val="0"/>
                <w:sz w:val="24"/>
                <w:highlight w:val="yellow"/>
                <w:lang w:eastAsia="zh-CN" w:bidi="ar"/>
                <w14:textFill>
                  <w14:solidFill>
                    <w14:schemeClr w14:val="tx1"/>
                  </w14:solidFill>
                </w14:textFill>
              </w:rPr>
              <w:t>【是】</w:t>
            </w:r>
          </w:p>
        </w:tc>
      </w:tr>
      <w:tr w14:paraId="0168D8CF">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52954768">
            <w:pPr>
              <w:snapToGrid w:val="0"/>
              <w:ind w:left="-140" w:leftChars="-74" w:hanging="15" w:firstLineChars="0"/>
              <w:jc w:val="center"/>
              <w:rPr>
                <w:rFonts w:hint="eastAsia" w:ascii="仿宋_GB2312" w:hAnsi="等线" w:eastAsia="仿宋_GB2312" w:cs="仿宋_GB2312"/>
                <w:color w:val="000000" w:themeColor="text1"/>
                <w:kern w:val="0"/>
                <w:sz w:val="24"/>
                <w:highlight w:val="none"/>
                <w:lang w:bidi="ar"/>
                <w14:textFill>
                  <w14:solidFill>
                    <w14:schemeClr w14:val="tx1"/>
                  </w14:solidFill>
                </w14:textFill>
              </w:rPr>
            </w:pPr>
            <w:r>
              <w:rPr>
                <w:rFonts w:hint="eastAsia" w:ascii="宋体" w:hAnsi="宋体"/>
                <w:color w:val="auto"/>
                <w:szCs w:val="24"/>
                <w:highlight w:val="none"/>
                <w:u w:val="none"/>
              </w:rPr>
              <w:t>本金及收益类型</w:t>
            </w:r>
          </w:p>
        </w:tc>
        <w:tc>
          <w:tcPr>
            <w:tcW w:w="6972" w:type="dxa"/>
            <w:tcBorders>
              <w:top w:val="single" w:color="auto" w:sz="4" w:space="0"/>
              <w:left w:val="single" w:color="auto" w:sz="4" w:space="0"/>
              <w:bottom w:val="single" w:color="auto" w:sz="4" w:space="0"/>
              <w:right w:val="single" w:color="auto" w:sz="4" w:space="0"/>
            </w:tcBorders>
            <w:vAlign w:val="center"/>
          </w:tcPr>
          <w:p w14:paraId="72C07404">
            <w:pPr>
              <w:snapToGrid w:val="0"/>
              <w:rPr>
                <w:rFonts w:ascii="宋体" w:hAnsi="宋体"/>
                <w:color w:val="auto"/>
                <w:szCs w:val="24"/>
                <w:highlight w:val="none"/>
                <w:u w:val="none"/>
              </w:rPr>
            </w:pPr>
            <w:r>
              <w:rPr>
                <w:rFonts w:hint="eastAsia" w:ascii="宋体" w:hAnsi="宋体"/>
                <w:color w:val="auto"/>
                <w:szCs w:val="24"/>
                <w:highlight w:val="none"/>
                <w:u w:val="none"/>
              </w:rPr>
              <w:t>非保本浮动收益。本产品不保证理财本金且不保证收益。本产品的收益随投资收益浮动，投资者可能会因市场变动而蒙受损失。</w:t>
            </w:r>
          </w:p>
          <w:p w14:paraId="6B80F837">
            <w:pPr>
              <w:snapToGrid w:val="0"/>
              <w:rPr>
                <w:rFonts w:hint="eastAsia" w:ascii="仿宋_GB2312" w:hAnsi="等线" w:cs="仿宋_GB2312"/>
                <w:bCs/>
                <w:color w:val="000000" w:themeColor="text1"/>
                <w:kern w:val="0"/>
                <w:sz w:val="24"/>
                <w:highlight w:val="none"/>
                <w:lang w:eastAsia="zh-CN" w:bidi="ar"/>
                <w14:textFill>
                  <w14:solidFill>
                    <w14:schemeClr w14:val="tx1"/>
                  </w14:solidFill>
                </w14:textFill>
              </w:rPr>
            </w:pPr>
            <w:r>
              <w:rPr>
                <w:rFonts w:hint="eastAsia" w:ascii="宋体" w:hAnsi="宋体"/>
                <w:color w:val="auto"/>
                <w:szCs w:val="24"/>
                <w:highlight w:val="none"/>
                <w:u w:val="none"/>
              </w:rPr>
              <w:t>理财产品管理人对本产品的本金并不提供保证，也不承诺任何固定收益。</w:t>
            </w:r>
          </w:p>
        </w:tc>
      </w:tr>
      <w:tr w14:paraId="06C120DA">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05CC4672">
            <w:pPr>
              <w:widowControl/>
              <w:spacing w:line="400" w:lineRule="exact"/>
              <w:jc w:val="center"/>
              <w:textAlignment w:val="center"/>
              <w:rPr>
                <w:rFonts w:hint="eastAsia" w:ascii="楷体_GB2312" w:hAnsi="等线" w:eastAsia="楷体_GB2312" w:cs="楷体_GB2312"/>
                <w:bCs/>
                <w:color w:val="000000" w:themeColor="text1"/>
                <w:sz w:val="24"/>
                <w:highlight w:val="none"/>
                <w14:textFill>
                  <w14:solidFill>
                    <w14:schemeClr w14:val="tx1"/>
                  </w14:solidFill>
                </w14:textFill>
              </w:rPr>
            </w:pPr>
            <w:r>
              <w:rPr>
                <w:rFonts w:hint="eastAsia" w:ascii="楷体_GB2312" w:hAnsi="等线" w:eastAsia="楷体_GB2312" w:cs="楷体_GB2312"/>
                <w:b/>
                <w:color w:val="000000" w:themeColor="text1"/>
                <w:kern w:val="0"/>
                <w:sz w:val="24"/>
                <w:highlight w:val="none"/>
                <w:lang w:bidi="ar"/>
                <w14:textFill>
                  <w14:solidFill>
                    <w14:schemeClr w14:val="tx1"/>
                  </w14:solidFill>
                </w14:textFill>
              </w:rPr>
              <w:t>（四）产品期限</w:t>
            </w:r>
          </w:p>
        </w:tc>
      </w:tr>
      <w:tr w14:paraId="28A266AB">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3E9D748">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募集起始日期</w:t>
            </w:r>
          </w:p>
        </w:tc>
        <w:tc>
          <w:tcPr>
            <w:tcW w:w="6972" w:type="dxa"/>
            <w:tcBorders>
              <w:top w:val="single" w:color="auto" w:sz="4" w:space="0"/>
              <w:left w:val="single" w:color="auto" w:sz="4" w:space="0"/>
              <w:bottom w:val="single" w:color="auto" w:sz="4" w:space="0"/>
              <w:right w:val="single" w:color="auto" w:sz="4" w:space="0"/>
            </w:tcBorders>
            <w:vAlign w:val="center"/>
          </w:tcPr>
          <w:p w14:paraId="7D04B8F6">
            <w:pPr>
              <w:widowControl/>
              <w:autoSpaceDE w:val="0"/>
              <w:autoSpaceDN w:val="0"/>
              <w:adjustRightInd w:val="0"/>
              <w:snapToGrid w:val="0"/>
              <w:spacing w:line="240" w:lineRule="auto"/>
              <w:jc w:val="left"/>
              <w:textAlignment w:val="auto"/>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ascii="宋体" w:hAnsi="宋体"/>
                <w:color w:val="auto"/>
                <w:szCs w:val="24"/>
                <w:highlight w:val="yellow"/>
                <w:u w:val="none"/>
              </w:rPr>
              <w:t>【</w:t>
            </w:r>
            <w:r>
              <w:rPr>
                <w:rFonts w:hint="eastAsia" w:ascii="宋体" w:hAnsi="宋体"/>
                <w:b/>
                <w:color w:val="auto"/>
                <w:szCs w:val="24"/>
                <w:highlight w:val="yellow"/>
                <w:u w:val="none"/>
              </w:rPr>
              <w:t>】年【】月【】日【</w:t>
            </w:r>
            <w:r>
              <w:rPr>
                <w:rFonts w:hint="eastAsia" w:ascii="宋体" w:hAnsi="宋体"/>
                <w:b/>
                <w:color w:val="auto"/>
                <w:szCs w:val="24"/>
                <w:highlight w:val="yellow"/>
                <w:u w:val="none"/>
                <w:lang w:val="en-US" w:eastAsia="zh-CN"/>
              </w:rPr>
              <w:t>xx</w:t>
            </w:r>
            <w:r>
              <w:rPr>
                <w:rFonts w:hint="eastAsia" w:ascii="宋体" w:hAnsi="宋体"/>
                <w:b/>
                <w:color w:val="auto"/>
                <w:szCs w:val="24"/>
                <w:highlight w:val="yellow"/>
                <w:u w:val="none"/>
              </w:rPr>
              <w:t>:</w:t>
            </w:r>
            <w:r>
              <w:rPr>
                <w:rFonts w:hint="eastAsia" w:ascii="宋体" w:hAnsi="宋体"/>
                <w:b/>
                <w:color w:val="auto"/>
                <w:szCs w:val="24"/>
                <w:highlight w:val="yellow"/>
                <w:u w:val="none"/>
                <w:lang w:val="en-US" w:eastAsia="zh-CN"/>
              </w:rPr>
              <w:t>xx</w:t>
            </w:r>
            <w:r>
              <w:rPr>
                <w:rFonts w:hint="eastAsia" w:ascii="宋体" w:hAnsi="宋体"/>
                <w:b/>
                <w:color w:val="auto"/>
                <w:szCs w:val="24"/>
                <w:highlight w:val="yellow"/>
                <w:u w:val="none"/>
              </w:rPr>
              <w:t>】</w:t>
            </w:r>
          </w:p>
        </w:tc>
      </w:tr>
      <w:tr w14:paraId="283F5834">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DDD3F9F">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募集结束日期</w:t>
            </w:r>
          </w:p>
        </w:tc>
        <w:tc>
          <w:tcPr>
            <w:tcW w:w="6972" w:type="dxa"/>
            <w:tcBorders>
              <w:top w:val="single" w:color="auto" w:sz="4" w:space="0"/>
              <w:left w:val="single" w:color="auto" w:sz="4" w:space="0"/>
              <w:bottom w:val="single" w:color="auto" w:sz="4" w:space="0"/>
              <w:right w:val="single" w:color="auto" w:sz="4" w:space="0"/>
            </w:tcBorders>
            <w:vAlign w:val="center"/>
          </w:tcPr>
          <w:p w14:paraId="272F9C4E">
            <w:pPr>
              <w:widowControl/>
              <w:autoSpaceDE w:val="0"/>
              <w:autoSpaceDN w:val="0"/>
              <w:adjustRightInd w:val="0"/>
              <w:snapToGrid w:val="0"/>
              <w:spacing w:line="240" w:lineRule="auto"/>
              <w:jc w:val="left"/>
              <w:textAlignment w:val="auto"/>
              <w:rPr>
                <w:rFonts w:hint="eastAsia" w:ascii="宋体" w:hAnsi="宋体"/>
                <w:b/>
                <w:color w:val="auto"/>
                <w:szCs w:val="24"/>
                <w:highlight w:val="yellow"/>
                <w:u w:val="none"/>
              </w:rPr>
            </w:pPr>
            <w:r>
              <w:rPr>
                <w:rFonts w:hint="eastAsia" w:ascii="宋体" w:hAnsi="宋体"/>
                <w:color w:val="auto"/>
                <w:szCs w:val="24"/>
                <w:highlight w:val="yellow"/>
                <w:u w:val="none"/>
              </w:rPr>
              <w:t>【</w:t>
            </w:r>
            <w:r>
              <w:rPr>
                <w:rFonts w:hint="eastAsia" w:ascii="宋体" w:hAnsi="宋体"/>
                <w:b/>
                <w:color w:val="auto"/>
                <w:szCs w:val="24"/>
                <w:highlight w:val="yellow"/>
                <w:u w:val="none"/>
              </w:rPr>
              <w:t>】年【】月【】日【</w:t>
            </w:r>
            <w:r>
              <w:rPr>
                <w:rFonts w:hint="eastAsia" w:ascii="宋体" w:hAnsi="宋体"/>
                <w:b/>
                <w:color w:val="auto"/>
                <w:szCs w:val="24"/>
                <w:highlight w:val="yellow"/>
                <w:u w:val="none"/>
                <w:lang w:val="en-US" w:eastAsia="zh-CN"/>
              </w:rPr>
              <w:t>xx</w:t>
            </w:r>
            <w:r>
              <w:rPr>
                <w:rFonts w:hint="eastAsia" w:ascii="宋体" w:hAnsi="宋体"/>
                <w:b/>
                <w:color w:val="auto"/>
                <w:szCs w:val="24"/>
                <w:highlight w:val="yellow"/>
                <w:u w:val="none"/>
              </w:rPr>
              <w:t>:</w:t>
            </w:r>
            <w:r>
              <w:rPr>
                <w:rFonts w:hint="eastAsia" w:ascii="宋体" w:hAnsi="宋体"/>
                <w:b/>
                <w:color w:val="auto"/>
                <w:szCs w:val="24"/>
                <w:highlight w:val="yellow"/>
                <w:u w:val="none"/>
                <w:lang w:val="en-US" w:eastAsia="zh-CN"/>
              </w:rPr>
              <w:t>xx</w:t>
            </w:r>
            <w:r>
              <w:rPr>
                <w:rFonts w:hint="eastAsia" w:ascii="宋体" w:hAnsi="宋体"/>
                <w:b/>
                <w:color w:val="auto"/>
                <w:szCs w:val="24"/>
                <w:highlight w:val="yellow"/>
                <w:u w:val="none"/>
              </w:rPr>
              <w:t>】</w:t>
            </w:r>
          </w:p>
          <w:p w14:paraId="00FD1CE2">
            <w:pPr>
              <w:widowControl/>
              <w:autoSpaceDE w:val="0"/>
              <w:autoSpaceDN w:val="0"/>
              <w:adjustRightInd w:val="0"/>
              <w:snapToGrid w:val="0"/>
              <w:spacing w:line="240" w:lineRule="auto"/>
              <w:jc w:val="left"/>
              <w:textAlignment w:val="auto"/>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color w:val="auto"/>
                <w:szCs w:val="24"/>
                <w:highlight w:val="none"/>
                <w:u w:val="none"/>
              </w:rPr>
              <w:t>销售机构实际受理时间可能与说明书不一致，具体以销售机构通知为准。</w:t>
            </w:r>
            <w:r>
              <w:rPr>
                <w:rFonts w:hint="eastAsia" w:ascii="宋体" w:hAnsi="宋体"/>
                <w:b/>
                <w:color w:val="auto"/>
                <w:szCs w:val="24"/>
                <w:highlight w:val="none"/>
                <w:u w:val="none"/>
              </w:rPr>
              <w:t>管理人有权提前结束募集并提前成立理财产品或延长募集期，具体以管理人或销售机构公告为准。</w:t>
            </w:r>
          </w:p>
        </w:tc>
      </w:tr>
      <w:tr w14:paraId="3444B38D">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1AF3B5F">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产品成立日期</w:t>
            </w:r>
          </w:p>
        </w:tc>
        <w:tc>
          <w:tcPr>
            <w:tcW w:w="6972" w:type="dxa"/>
            <w:tcBorders>
              <w:top w:val="single" w:color="auto" w:sz="4" w:space="0"/>
              <w:left w:val="single" w:color="auto" w:sz="4" w:space="0"/>
              <w:bottom w:val="single" w:color="auto" w:sz="4" w:space="0"/>
              <w:right w:val="single" w:color="auto" w:sz="4" w:space="0"/>
            </w:tcBorders>
            <w:vAlign w:val="center"/>
          </w:tcPr>
          <w:p w14:paraId="17844516">
            <w:pPr>
              <w:widowControl/>
              <w:spacing w:line="400" w:lineRule="exact"/>
              <w:jc w:val="left"/>
              <w:textAlignment w:val="center"/>
              <w:rPr>
                <w:rFonts w:hint="eastAsia" w:ascii="宋体" w:hAnsi="宋体"/>
                <w:color w:val="auto"/>
                <w:szCs w:val="24"/>
                <w:highlight w:val="yellow"/>
                <w:u w:val="none"/>
              </w:rPr>
            </w:pPr>
            <w:r>
              <w:rPr>
                <w:rFonts w:hint="eastAsia" w:ascii="宋体" w:hAnsi="宋体"/>
                <w:color w:val="auto"/>
                <w:szCs w:val="24"/>
                <w:highlight w:val="yellow"/>
                <w:u w:val="none"/>
              </w:rPr>
              <w:t>【】年【】月【】日</w:t>
            </w:r>
          </w:p>
          <w:p w14:paraId="2CBB03D0">
            <w:pPr>
              <w:snapToGrid w:val="0"/>
              <w:rPr>
                <w:rFonts w:ascii="宋体" w:hAnsi="宋体"/>
                <w:b/>
                <w:color w:val="auto"/>
                <w:szCs w:val="24"/>
                <w:highlight w:val="none"/>
                <w:u w:val="none"/>
              </w:rPr>
            </w:pPr>
            <w:r>
              <w:rPr>
                <w:rFonts w:hint="eastAsia" w:ascii="宋体" w:hAnsi="宋体"/>
                <w:b/>
                <w:color w:val="auto"/>
                <w:szCs w:val="24"/>
                <w:highlight w:val="none"/>
                <w:u w:val="none"/>
              </w:rPr>
              <w:t>如遇非</w:t>
            </w:r>
            <w:r>
              <w:rPr>
                <w:rFonts w:hint="eastAsia" w:ascii="宋体" w:hAnsi="宋体"/>
                <w:color w:val="auto"/>
                <w:szCs w:val="24"/>
                <w:highlight w:val="yellow"/>
              </w:rPr>
              <w:t>【</w:t>
            </w:r>
            <w:r>
              <w:rPr>
                <w:rFonts w:hint="eastAsia" w:ascii="宋体" w:hAnsi="宋体"/>
                <w:color w:val="auto"/>
                <w:szCs w:val="24"/>
                <w:highlight w:val="yellow"/>
                <w:lang w:eastAsia="zh-CN"/>
              </w:rPr>
              <w:t>□</w:t>
            </w:r>
            <w:r>
              <w:rPr>
                <w:rFonts w:hint="eastAsia" w:ascii="宋体" w:hAnsi="宋体"/>
                <w:color w:val="auto"/>
                <w:szCs w:val="24"/>
                <w:highlight w:val="yellow"/>
              </w:rPr>
              <w:t>工作日</w:t>
            </w:r>
            <w:r>
              <w:rPr>
                <w:rFonts w:ascii="宋体" w:hAnsi="宋体"/>
                <w:color w:val="auto"/>
                <w:szCs w:val="24"/>
                <w:highlight w:val="yellow"/>
              </w:rPr>
              <w:t>/</w:t>
            </w:r>
            <w:r>
              <w:rPr>
                <w:rFonts w:hint="eastAsia" w:ascii="宋体" w:hAnsi="宋体"/>
                <w:color w:val="auto"/>
                <w:szCs w:val="24"/>
                <w:highlight w:val="yellow"/>
                <w:lang w:eastAsia="zh-CN"/>
              </w:rPr>
              <w:t>□</w:t>
            </w:r>
            <w:r>
              <w:rPr>
                <w:rFonts w:hint="eastAsia" w:ascii="宋体" w:hAnsi="宋体"/>
                <w:color w:val="auto"/>
                <w:szCs w:val="24"/>
                <w:highlight w:val="yellow"/>
              </w:rPr>
              <w:t>交易日】</w:t>
            </w:r>
            <w:r>
              <w:rPr>
                <w:rFonts w:hint="eastAsia" w:ascii="宋体" w:hAnsi="宋体"/>
                <w:b/>
                <w:color w:val="auto"/>
                <w:szCs w:val="24"/>
                <w:highlight w:val="none"/>
                <w:u w:val="none"/>
              </w:rPr>
              <w:t>则顺延至下一</w:t>
            </w:r>
            <w:r>
              <w:rPr>
                <w:rFonts w:hint="eastAsia" w:ascii="宋体" w:hAnsi="宋体"/>
                <w:color w:val="auto"/>
                <w:szCs w:val="24"/>
                <w:highlight w:val="yellow"/>
              </w:rPr>
              <w:t>【</w:t>
            </w:r>
            <w:r>
              <w:rPr>
                <w:rFonts w:hint="eastAsia" w:ascii="宋体" w:hAnsi="宋体"/>
                <w:color w:val="auto"/>
                <w:szCs w:val="24"/>
                <w:highlight w:val="yellow"/>
                <w:lang w:eastAsia="zh-CN"/>
              </w:rPr>
              <w:t>□</w:t>
            </w:r>
            <w:r>
              <w:rPr>
                <w:rFonts w:hint="eastAsia" w:ascii="宋体" w:hAnsi="宋体"/>
                <w:color w:val="auto"/>
                <w:szCs w:val="24"/>
                <w:highlight w:val="yellow"/>
              </w:rPr>
              <w:t>工作日</w:t>
            </w:r>
            <w:r>
              <w:rPr>
                <w:rFonts w:ascii="宋体" w:hAnsi="宋体"/>
                <w:color w:val="auto"/>
                <w:szCs w:val="24"/>
                <w:highlight w:val="yellow"/>
              </w:rPr>
              <w:t>/</w:t>
            </w:r>
            <w:r>
              <w:rPr>
                <w:rFonts w:hint="eastAsia" w:ascii="宋体" w:hAnsi="宋体"/>
                <w:color w:val="auto"/>
                <w:szCs w:val="24"/>
                <w:highlight w:val="yellow"/>
                <w:lang w:eastAsia="zh-CN"/>
              </w:rPr>
              <w:t>□</w:t>
            </w:r>
            <w:r>
              <w:rPr>
                <w:rFonts w:hint="eastAsia" w:ascii="宋体" w:hAnsi="宋体"/>
                <w:color w:val="auto"/>
                <w:szCs w:val="24"/>
                <w:highlight w:val="yellow"/>
              </w:rPr>
              <w:t>交易日】</w:t>
            </w:r>
            <w:r>
              <w:rPr>
                <w:rFonts w:hint="eastAsia" w:ascii="宋体" w:hAnsi="宋体"/>
                <w:b/>
                <w:color w:val="auto"/>
                <w:szCs w:val="24"/>
                <w:highlight w:val="none"/>
                <w:u w:val="none"/>
              </w:rPr>
              <w:t>。</w:t>
            </w:r>
          </w:p>
          <w:p w14:paraId="050051AC">
            <w:pPr>
              <w:widowControl/>
              <w:spacing w:line="400" w:lineRule="exact"/>
              <w:jc w:val="left"/>
              <w:textAlignment w:val="center"/>
              <w:rPr>
                <w:rFonts w:hint="eastAsia" w:ascii="宋体" w:hAnsi="宋体"/>
                <w:color w:val="auto"/>
                <w:szCs w:val="24"/>
                <w:highlight w:val="none"/>
                <w:u w:val="none"/>
              </w:rPr>
            </w:pPr>
            <w:r>
              <w:rPr>
                <w:rFonts w:hint="eastAsia" w:ascii="宋体" w:hAnsi="宋体"/>
                <w:b/>
                <w:color w:val="auto"/>
                <w:szCs w:val="24"/>
                <w:highlight w:val="none"/>
                <w:u w:val="none"/>
              </w:rPr>
              <w:t>如本理财产品募集期提前终止或延长，实际成立日以管理人或销售机构公告为准。</w:t>
            </w:r>
          </w:p>
        </w:tc>
      </w:tr>
      <w:tr w14:paraId="57D89B09">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C95AB36">
            <w:pPr>
              <w:widowControl/>
              <w:spacing w:line="400" w:lineRule="exact"/>
              <w:jc w:val="center"/>
              <w:textAlignment w:val="center"/>
              <w:rPr>
                <w:rFonts w:hint="eastAsia" w:ascii="仿宋_GB2312" w:hAnsi="等线" w:eastAsia="仿宋_GB2312" w:cs="仿宋_GB2312"/>
                <w:color w:val="000000" w:themeColor="text1"/>
                <w:kern w:val="0"/>
                <w:sz w:val="24"/>
                <w:highlight w:val="none"/>
                <w:lang w:bidi="ar"/>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产品到期日期</w:t>
            </w:r>
          </w:p>
        </w:tc>
        <w:tc>
          <w:tcPr>
            <w:tcW w:w="6972" w:type="dxa"/>
            <w:tcBorders>
              <w:top w:val="single" w:color="auto" w:sz="4" w:space="0"/>
              <w:left w:val="single" w:color="auto" w:sz="4" w:space="0"/>
              <w:bottom w:val="single" w:color="auto" w:sz="4" w:space="0"/>
              <w:right w:val="single" w:color="auto" w:sz="4" w:space="0"/>
            </w:tcBorders>
            <w:vAlign w:val="center"/>
          </w:tcPr>
          <w:p w14:paraId="1C1FE22B">
            <w:pPr>
              <w:widowControl/>
              <w:spacing w:line="400" w:lineRule="exact"/>
              <w:jc w:val="left"/>
              <w:textAlignment w:val="center"/>
              <w:rPr>
                <w:rFonts w:hint="eastAsia" w:ascii="仿宋_GB2312" w:hAnsi="等线" w:cs="仿宋_GB2312"/>
                <w:bCs/>
                <w:color w:val="000000" w:themeColor="text1"/>
                <w:sz w:val="24"/>
                <w:highlight w:val="yellow"/>
                <w:lang w:eastAsia="zh-CN"/>
                <w14:textFill>
                  <w14:solidFill>
                    <w14:schemeClr w14:val="tx1"/>
                  </w14:solidFill>
                </w14:textFill>
              </w:rPr>
            </w:pPr>
            <w:r>
              <w:rPr>
                <w:rFonts w:hint="eastAsia" w:ascii="仿宋_GB2312" w:hAnsi="等线" w:cs="仿宋_GB2312"/>
                <w:bCs/>
                <w:color w:val="000000" w:themeColor="text1"/>
                <w:sz w:val="24"/>
                <w:highlight w:val="yellow"/>
                <w:lang w:eastAsia="zh-CN"/>
                <w14:textFill>
                  <w14:solidFill>
                    <w14:schemeClr w14:val="tx1"/>
                  </w14:solidFill>
                </w14:textFill>
              </w:rPr>
              <w:t>【无固定期限】</w:t>
            </w:r>
          </w:p>
          <w:p w14:paraId="2E99354D">
            <w:pPr>
              <w:widowControl/>
              <w:spacing w:line="400" w:lineRule="exact"/>
              <w:jc w:val="left"/>
              <w:textAlignment w:val="center"/>
              <w:rPr>
                <w:rFonts w:hint="eastAsia" w:ascii="仿宋_GB2312" w:hAnsi="等线" w:cs="仿宋_GB2312"/>
                <w:bCs/>
                <w:color w:val="000000" w:themeColor="text1"/>
                <w:sz w:val="24"/>
                <w:highlight w:val="none"/>
                <w:lang w:eastAsia="zh-CN"/>
                <w14:textFill>
                  <w14:solidFill>
                    <w14:schemeClr w14:val="tx1"/>
                  </w14:solidFill>
                </w14:textFill>
              </w:rPr>
            </w:pPr>
            <w:r>
              <w:rPr>
                <w:rFonts w:hint="eastAsia" w:ascii="宋体" w:hAnsi="宋体"/>
                <w:color w:val="auto"/>
                <w:szCs w:val="24"/>
                <w:highlight w:val="none"/>
                <w:u w:val="none"/>
              </w:rPr>
              <w:t>产品管理人有权根据实际情况提前终止，并提前</w:t>
            </w:r>
            <w:r>
              <w:rPr>
                <w:rFonts w:hint="eastAsia" w:ascii="宋体" w:hAnsi="宋体"/>
                <w:color w:val="auto"/>
                <w:szCs w:val="24"/>
                <w:highlight w:val="yellow"/>
                <w:u w:val="none"/>
              </w:rPr>
              <w:t>【</w:t>
            </w:r>
            <w:r>
              <w:rPr>
                <w:rFonts w:hint="eastAsia" w:ascii="宋体" w:hAnsi="宋体"/>
                <w:color w:val="auto"/>
                <w:szCs w:val="24"/>
                <w:highlight w:val="yellow"/>
                <w:u w:val="none"/>
                <w:lang w:val="en-US" w:eastAsia="zh-CN"/>
              </w:rPr>
              <w:t>1</w:t>
            </w:r>
            <w:r>
              <w:rPr>
                <w:rFonts w:hint="eastAsia" w:ascii="宋体" w:hAnsi="宋体"/>
                <w:color w:val="auto"/>
                <w:szCs w:val="24"/>
                <w:highlight w:val="yellow"/>
                <w:u w:val="none"/>
              </w:rPr>
              <w:t>】</w:t>
            </w:r>
            <w:r>
              <w:rPr>
                <w:rFonts w:hint="eastAsia" w:ascii="宋体" w:hAnsi="宋体"/>
                <w:color w:val="auto"/>
                <w:szCs w:val="24"/>
                <w:highlight w:val="none"/>
                <w:u w:val="none"/>
              </w:rPr>
              <w:t>个</w:t>
            </w:r>
            <w:r>
              <w:rPr>
                <w:rFonts w:ascii="宋体" w:hAnsi="宋体"/>
                <w:color w:val="auto"/>
                <w:szCs w:val="24"/>
                <w:highlight w:val="none"/>
                <w:u w:val="none"/>
              </w:rPr>
              <w:t>工作</w:t>
            </w:r>
            <w:r>
              <w:rPr>
                <w:rFonts w:hint="eastAsia" w:ascii="宋体" w:hAnsi="宋体"/>
                <w:color w:val="auto"/>
                <w:szCs w:val="24"/>
                <w:highlight w:val="none"/>
                <w:u w:val="none"/>
              </w:rPr>
              <w:t>日按照本《产品说明书》“信息披露”约定的方式通知投资者。</w:t>
            </w:r>
          </w:p>
        </w:tc>
      </w:tr>
      <w:tr w14:paraId="7D5ECCB8">
        <w:tblPrEx>
          <w:tblCellMar>
            <w:top w:w="0" w:type="dxa"/>
            <w:left w:w="108" w:type="dxa"/>
            <w:bottom w:w="0" w:type="dxa"/>
            <w:right w:w="108" w:type="dxa"/>
          </w:tblCellMar>
        </w:tblPrEx>
        <w:trPr>
          <w:trHeight w:val="447" w:hRule="atLeast"/>
        </w:trPr>
        <w:tc>
          <w:tcPr>
            <w:tcW w:w="2453" w:type="dxa"/>
            <w:tcBorders>
              <w:top w:val="single" w:color="auto" w:sz="4" w:space="0"/>
              <w:left w:val="single" w:color="auto" w:sz="4" w:space="0"/>
              <w:bottom w:val="single" w:color="auto" w:sz="4" w:space="0"/>
              <w:right w:val="single" w:color="auto" w:sz="4" w:space="0"/>
            </w:tcBorders>
            <w:vAlign w:val="center"/>
          </w:tcPr>
          <w:p w14:paraId="38504F40">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资金到账日</w:t>
            </w:r>
          </w:p>
        </w:tc>
        <w:tc>
          <w:tcPr>
            <w:tcW w:w="6972" w:type="dxa"/>
            <w:tcBorders>
              <w:top w:val="single" w:color="auto" w:sz="4" w:space="0"/>
              <w:left w:val="single" w:color="auto" w:sz="4" w:space="0"/>
              <w:bottom w:val="single" w:color="auto" w:sz="4" w:space="0"/>
              <w:right w:val="single" w:color="auto" w:sz="4" w:space="0"/>
            </w:tcBorders>
            <w:vAlign w:val="center"/>
          </w:tcPr>
          <w:p w14:paraId="12ACDDF3">
            <w:pPr>
              <w:widowControl/>
              <w:spacing w:line="400" w:lineRule="exact"/>
              <w:jc w:val="left"/>
              <w:textAlignment w:val="center"/>
              <w:rPr>
                <w:rFonts w:hint="eastAsia" w:ascii="宋体" w:hAnsi="宋体" w:eastAsia="仿宋_GB2312" w:cstheme="minorBidi"/>
                <w:bCs w:val="0"/>
                <w:color w:val="auto"/>
                <w:sz w:val="24"/>
                <w:szCs w:val="24"/>
                <w:highlight w:val="none"/>
                <w:u w:val="none"/>
              </w:rPr>
            </w:pPr>
            <w:r>
              <w:rPr>
                <w:rFonts w:hint="eastAsia" w:ascii="宋体" w:hAnsi="宋体" w:cstheme="minorBidi"/>
                <w:bCs w:val="0"/>
                <w:color w:val="auto"/>
                <w:kern w:val="2"/>
                <w:sz w:val="24"/>
                <w:szCs w:val="24"/>
                <w:highlight w:val="yellow"/>
                <w:u w:val="none"/>
                <w:lang w:eastAsia="zh-CN" w:bidi="ar"/>
              </w:rPr>
              <w:t>【</w:t>
            </w:r>
            <w:r>
              <w:rPr>
                <w:rFonts w:hint="eastAsia" w:ascii="宋体" w:hAnsi="宋体" w:eastAsia="仿宋_GB2312" w:cstheme="minorBidi"/>
                <w:bCs w:val="0"/>
                <w:color w:val="auto"/>
                <w:kern w:val="2"/>
                <w:sz w:val="24"/>
                <w:szCs w:val="24"/>
                <w:highlight w:val="yellow"/>
                <w:u w:val="none"/>
                <w:lang w:bidi="ar"/>
              </w:rPr>
              <w:t>T+5</w:t>
            </w:r>
            <w:r>
              <w:rPr>
                <w:rFonts w:hint="eastAsia" w:ascii="宋体" w:hAnsi="宋体" w:cstheme="minorBidi"/>
                <w:bCs w:val="0"/>
                <w:color w:val="auto"/>
                <w:kern w:val="2"/>
                <w:sz w:val="24"/>
                <w:szCs w:val="24"/>
                <w:highlight w:val="yellow"/>
                <w:u w:val="none"/>
                <w:lang w:eastAsia="zh-CN" w:bidi="ar"/>
              </w:rPr>
              <w:t>】</w:t>
            </w:r>
            <w:r>
              <w:rPr>
                <w:rFonts w:hint="eastAsia" w:ascii="宋体" w:hAnsi="宋体" w:eastAsia="仿宋_GB2312" w:cstheme="minorBidi"/>
                <w:bCs w:val="0"/>
                <w:color w:val="auto"/>
                <w:kern w:val="2"/>
                <w:sz w:val="24"/>
                <w:szCs w:val="24"/>
                <w:highlight w:val="none"/>
                <w:u w:val="none"/>
                <w:lang w:bidi="ar"/>
              </w:rPr>
              <w:t>及以上</w:t>
            </w:r>
          </w:p>
        </w:tc>
      </w:tr>
      <w:tr w14:paraId="3E47483C">
        <w:tblPrEx>
          <w:tblCellMar>
            <w:top w:w="0" w:type="dxa"/>
            <w:left w:w="108" w:type="dxa"/>
            <w:bottom w:w="0" w:type="dxa"/>
            <w:right w:w="108" w:type="dxa"/>
          </w:tblCellMar>
        </w:tblPrEx>
        <w:trPr>
          <w:trHeight w:val="328" w:hRule="atLeast"/>
        </w:trPr>
        <w:tc>
          <w:tcPr>
            <w:tcW w:w="2453" w:type="dxa"/>
            <w:tcBorders>
              <w:top w:val="single" w:color="auto" w:sz="4" w:space="0"/>
              <w:left w:val="single" w:color="auto" w:sz="4" w:space="0"/>
              <w:bottom w:val="single" w:color="auto" w:sz="4" w:space="0"/>
              <w:right w:val="single" w:color="auto" w:sz="4" w:space="0"/>
            </w:tcBorders>
            <w:vAlign w:val="center"/>
          </w:tcPr>
          <w:p w14:paraId="50FFABD6">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投资周期</w:t>
            </w:r>
          </w:p>
        </w:tc>
        <w:tc>
          <w:tcPr>
            <w:tcW w:w="6972" w:type="dxa"/>
            <w:tcBorders>
              <w:top w:val="single" w:color="auto" w:sz="4" w:space="0"/>
              <w:left w:val="single" w:color="auto" w:sz="4" w:space="0"/>
              <w:bottom w:val="single" w:color="auto" w:sz="4" w:space="0"/>
              <w:right w:val="single" w:color="auto" w:sz="4" w:space="0"/>
            </w:tcBorders>
            <w:vAlign w:val="center"/>
          </w:tcPr>
          <w:p w14:paraId="7B0B9D41">
            <w:pPr>
              <w:widowControl/>
              <w:spacing w:line="400" w:lineRule="exact"/>
              <w:jc w:val="left"/>
              <w:textAlignment w:val="center"/>
              <w:rPr>
                <w:rFonts w:hint="eastAsia" w:ascii="宋体" w:hAnsi="宋体" w:eastAsia="仿宋_GB2312" w:cstheme="minorBidi"/>
                <w:bCs w:val="0"/>
                <w:color w:val="auto"/>
                <w:sz w:val="24"/>
                <w:szCs w:val="24"/>
                <w:highlight w:val="none"/>
                <w:u w:val="none"/>
              </w:rPr>
            </w:pPr>
            <w:r>
              <w:rPr>
                <w:rFonts w:hint="eastAsia" w:ascii="宋体" w:hAnsi="宋体" w:eastAsia="仿宋_GB2312" w:cstheme="minorBidi"/>
                <w:bCs w:val="0"/>
                <w:color w:val="auto"/>
                <w:kern w:val="2"/>
                <w:sz w:val="24"/>
                <w:szCs w:val="24"/>
                <w:highlight w:val="none"/>
                <w:u w:val="none"/>
                <w:lang w:bidi="ar"/>
              </w:rPr>
              <w:t>每天</w:t>
            </w:r>
          </w:p>
        </w:tc>
      </w:tr>
      <w:tr w14:paraId="3A08095F">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7DA7B523">
            <w:pPr>
              <w:widowControl/>
              <w:spacing w:line="400" w:lineRule="exact"/>
              <w:jc w:val="center"/>
              <w:textAlignment w:val="center"/>
              <w:rPr>
                <w:rFonts w:hint="eastAsia" w:ascii="楷体_GB2312" w:hAnsi="等线" w:eastAsia="楷体_GB2312" w:cs="楷体_GB2312"/>
                <w:b/>
                <w:bCs/>
                <w:color w:val="000000" w:themeColor="text1"/>
                <w:sz w:val="24"/>
                <w:highlight w:val="none"/>
                <w14:textFill>
                  <w14:solidFill>
                    <w14:schemeClr w14:val="tx1"/>
                  </w14:solidFill>
                </w14:textFill>
              </w:rPr>
            </w:pPr>
            <w:r>
              <w:rPr>
                <w:rFonts w:hint="eastAsia" w:ascii="楷体_GB2312" w:hAnsi="等线" w:eastAsia="楷体_GB2312" w:cs="楷体_GB2312"/>
                <w:b/>
                <w:bCs/>
                <w:color w:val="000000" w:themeColor="text1"/>
                <w:kern w:val="0"/>
                <w:sz w:val="24"/>
                <w:highlight w:val="none"/>
                <w:lang w:bidi="ar"/>
                <w14:textFill>
                  <w14:solidFill>
                    <w14:schemeClr w14:val="tx1"/>
                  </w14:solidFill>
                </w14:textFill>
              </w:rPr>
              <w:t>（五）产品费用</w:t>
            </w:r>
          </w:p>
        </w:tc>
      </w:tr>
      <w:tr w14:paraId="146D6A48">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D1C25C9">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销售</w:t>
            </w:r>
            <w:r>
              <w:rPr>
                <w:rFonts w:hint="eastAsia" w:ascii="仿宋_GB2312" w:hAnsi="等线" w:cs="仿宋_GB2312"/>
                <w:color w:val="000000" w:themeColor="text1"/>
                <w:kern w:val="0"/>
                <w:sz w:val="24"/>
                <w:highlight w:val="none"/>
                <w:lang w:eastAsia="zh-CN" w:bidi="ar"/>
                <w14:textFill>
                  <w14:solidFill>
                    <w14:schemeClr w14:val="tx1"/>
                  </w14:solidFill>
                </w14:textFill>
              </w:rPr>
              <w:t>服务</w:t>
            </w:r>
            <w:r>
              <w:rPr>
                <w:rFonts w:hint="eastAsia" w:ascii="仿宋_GB2312" w:hAnsi="等线" w:eastAsia="仿宋_GB2312" w:cs="仿宋_GB2312"/>
                <w:color w:val="000000" w:themeColor="text1"/>
                <w:kern w:val="0"/>
                <w:sz w:val="24"/>
                <w:highlight w:val="none"/>
                <w:lang w:bidi="ar"/>
                <w14:textFill>
                  <w14:solidFill>
                    <w14:schemeClr w14:val="tx1"/>
                  </w14:solidFill>
                </w14:textFill>
              </w:rPr>
              <w:t>费率（年化）</w:t>
            </w:r>
          </w:p>
        </w:tc>
        <w:tc>
          <w:tcPr>
            <w:tcW w:w="6972" w:type="dxa"/>
            <w:tcBorders>
              <w:top w:val="single" w:color="auto" w:sz="4" w:space="0"/>
              <w:left w:val="single" w:color="auto" w:sz="4" w:space="0"/>
              <w:bottom w:val="single" w:color="auto" w:sz="4" w:space="0"/>
              <w:right w:val="single" w:color="auto" w:sz="4" w:space="0"/>
            </w:tcBorders>
            <w:vAlign w:val="center"/>
          </w:tcPr>
          <w:p w14:paraId="4A09053A">
            <w:pPr>
              <w:widowControl/>
              <w:spacing w:line="400" w:lineRule="exact"/>
              <w:jc w:val="left"/>
              <w:textAlignment w:val="center"/>
              <w:rPr>
                <w:rFonts w:hint="default" w:ascii="仿宋_GB2312" w:hAnsi="等线" w:eastAsia="仿宋_GB2312" w:cs="仿宋_GB2312"/>
                <w:bCs/>
                <w:color w:val="000000" w:themeColor="text1"/>
                <w:sz w:val="24"/>
                <w:highlight w:val="none"/>
                <w:lang w:val="en-US"/>
                <w14:textFill>
                  <w14:solidFill>
                    <w14:schemeClr w14:val="tx1"/>
                  </w14:solidFill>
                </w14:textFill>
              </w:rPr>
            </w:pPr>
            <w:r>
              <w:rPr>
                <w:rFonts w:hint="eastAsia" w:ascii="宋体" w:hAnsi="宋体"/>
                <w:color w:val="auto"/>
                <w:szCs w:val="24"/>
                <w:highlight w:val="yellow"/>
                <w:lang w:eastAsia="zh-CN"/>
              </w:rPr>
              <w:t>【份额代码】</w:t>
            </w:r>
            <w:r>
              <w:rPr>
                <w:rFonts w:hint="eastAsia" w:ascii="宋体" w:hAnsi="宋体"/>
                <w:color w:val="auto"/>
                <w:szCs w:val="24"/>
                <w:highlight w:val="none"/>
                <w:u w:val="none"/>
                <w:lang w:val="en-US" w:eastAsia="zh-CN"/>
              </w:rPr>
              <w:t>：</w:t>
            </w:r>
            <w:r>
              <w:rPr>
                <w:rFonts w:hint="eastAsia" w:ascii="宋体" w:hAnsi="宋体"/>
                <w:color w:val="auto"/>
                <w:szCs w:val="24"/>
                <w:highlight w:val="yellow"/>
                <w:u w:val="none"/>
                <w:lang w:val="en-US" w:eastAsia="zh-CN"/>
              </w:rPr>
              <w:t>【%】</w:t>
            </w:r>
          </w:p>
        </w:tc>
      </w:tr>
      <w:tr w14:paraId="0ACC8123">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A2593EE">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托管费率（年化）</w:t>
            </w:r>
          </w:p>
        </w:tc>
        <w:tc>
          <w:tcPr>
            <w:tcW w:w="6972" w:type="dxa"/>
            <w:tcBorders>
              <w:top w:val="single" w:color="auto" w:sz="4" w:space="0"/>
              <w:left w:val="single" w:color="auto" w:sz="4" w:space="0"/>
              <w:bottom w:val="single" w:color="auto" w:sz="4" w:space="0"/>
              <w:right w:val="single" w:color="auto" w:sz="4" w:space="0"/>
            </w:tcBorders>
            <w:vAlign w:val="center"/>
          </w:tcPr>
          <w:p w14:paraId="6FE56CE0">
            <w:pPr>
              <w:widowControl/>
              <w:spacing w:line="400" w:lineRule="exact"/>
              <w:jc w:val="left"/>
              <w:textAlignment w:val="center"/>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ascii="宋体" w:hAnsi="宋体"/>
                <w:color w:val="auto"/>
                <w:szCs w:val="24"/>
                <w:highlight w:val="yellow"/>
                <w:u w:val="none"/>
                <w:lang w:val="en-US" w:eastAsia="zh-CN"/>
              </w:rPr>
              <w:t>【%】</w:t>
            </w:r>
          </w:p>
        </w:tc>
      </w:tr>
      <w:tr w14:paraId="1031091B">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EB7FE1A">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cs="仿宋_GB2312"/>
                <w:color w:val="000000" w:themeColor="text1"/>
                <w:kern w:val="0"/>
                <w:sz w:val="24"/>
                <w:highlight w:val="none"/>
                <w:lang w:eastAsia="zh-CN" w:bidi="ar"/>
                <w14:textFill>
                  <w14:solidFill>
                    <w14:schemeClr w14:val="tx1"/>
                  </w14:solidFill>
                </w14:textFill>
              </w:rPr>
              <w:t>固定</w:t>
            </w:r>
            <w:r>
              <w:rPr>
                <w:rFonts w:hint="eastAsia" w:ascii="仿宋_GB2312" w:hAnsi="等线" w:eastAsia="仿宋_GB2312" w:cs="仿宋_GB2312"/>
                <w:color w:val="000000" w:themeColor="text1"/>
                <w:kern w:val="0"/>
                <w:sz w:val="24"/>
                <w:highlight w:val="none"/>
                <w:lang w:bidi="ar"/>
                <w14:textFill>
                  <w14:solidFill>
                    <w14:schemeClr w14:val="tx1"/>
                  </w14:solidFill>
                </w14:textFill>
              </w:rPr>
              <w:t>管理费率（年化）</w:t>
            </w:r>
          </w:p>
        </w:tc>
        <w:tc>
          <w:tcPr>
            <w:tcW w:w="6972" w:type="dxa"/>
            <w:tcBorders>
              <w:top w:val="single" w:color="auto" w:sz="4" w:space="0"/>
              <w:left w:val="single" w:color="auto" w:sz="4" w:space="0"/>
              <w:bottom w:val="single" w:color="auto" w:sz="4" w:space="0"/>
              <w:right w:val="single" w:color="auto" w:sz="4" w:space="0"/>
            </w:tcBorders>
            <w:vAlign w:val="center"/>
          </w:tcPr>
          <w:p w14:paraId="2FA0227D">
            <w:pPr>
              <w:widowControl/>
              <w:spacing w:line="400" w:lineRule="exact"/>
              <w:jc w:val="left"/>
              <w:textAlignment w:val="center"/>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ascii="宋体" w:hAnsi="宋体"/>
                <w:color w:val="auto"/>
                <w:szCs w:val="24"/>
                <w:highlight w:val="yellow"/>
                <w:u w:val="none"/>
                <w:lang w:val="en-US" w:eastAsia="zh-CN"/>
              </w:rPr>
              <w:t>【%】</w:t>
            </w:r>
          </w:p>
        </w:tc>
      </w:tr>
      <w:tr w14:paraId="0E70822C">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6EAB9518">
            <w:pPr>
              <w:widowControl/>
              <w:spacing w:line="400" w:lineRule="exact"/>
              <w:jc w:val="center"/>
              <w:textAlignment w:val="center"/>
              <w:rPr>
                <w:rFonts w:hint="eastAsia" w:ascii="仿宋_GB2312" w:hAnsi="等线" w:eastAsia="仿宋_GB2312" w:cs="仿宋_GB2312"/>
                <w:color w:val="000000" w:themeColor="text1"/>
                <w:sz w:val="24"/>
                <w:highlight w:val="none"/>
                <w:lang w:eastAsia="zh-CN"/>
                <w14:textFill>
                  <w14:solidFill>
                    <w14:schemeClr w14:val="tx1"/>
                  </w14:solidFill>
                </w14:textFill>
              </w:rPr>
            </w:pPr>
            <w:r>
              <w:rPr>
                <w:rFonts w:hint="eastAsia" w:ascii="仿宋_GB2312" w:hAnsi="等线" w:cs="仿宋_GB2312"/>
                <w:color w:val="000000" w:themeColor="text1"/>
                <w:kern w:val="0"/>
                <w:sz w:val="24"/>
                <w:highlight w:val="none"/>
                <w:lang w:eastAsia="zh-CN" w:bidi="ar"/>
                <w14:textFill>
                  <w14:solidFill>
                    <w14:schemeClr w14:val="tx1"/>
                  </w14:solidFill>
                </w14:textFill>
              </w:rPr>
              <w:t>浮动管理费</w:t>
            </w:r>
          </w:p>
        </w:tc>
        <w:tc>
          <w:tcPr>
            <w:tcW w:w="6972" w:type="dxa"/>
            <w:tcBorders>
              <w:top w:val="single" w:color="auto" w:sz="4" w:space="0"/>
              <w:left w:val="single" w:color="auto" w:sz="4" w:space="0"/>
              <w:bottom w:val="single" w:color="auto" w:sz="4" w:space="0"/>
              <w:right w:val="single" w:color="auto" w:sz="4" w:space="0"/>
            </w:tcBorders>
            <w:vAlign w:val="center"/>
          </w:tcPr>
          <w:p w14:paraId="382BC948">
            <w:pPr>
              <w:widowControl/>
              <w:tabs>
                <w:tab w:val="left" w:pos="312"/>
              </w:tabs>
              <w:jc w:val="left"/>
              <w:rPr>
                <w:rFonts w:hint="eastAsia" w:ascii="宋体" w:hAnsi="宋体"/>
                <w:b/>
                <w:color w:val="auto"/>
                <w:szCs w:val="24"/>
                <w:highlight w:val="yellow"/>
                <w:lang w:eastAsia="zh-CN"/>
              </w:rPr>
            </w:pPr>
            <w:r>
              <w:rPr>
                <w:rFonts w:hint="eastAsia" w:ascii="宋体" w:hAnsi="宋体"/>
                <w:b/>
                <w:color w:val="auto"/>
                <w:szCs w:val="24"/>
                <w:highlight w:val="yellow"/>
                <w:lang w:eastAsia="zh-CN"/>
              </w:rPr>
              <w:t>【□</w:t>
            </w:r>
            <w:r>
              <w:rPr>
                <w:rFonts w:hint="eastAsia" w:ascii="宋体" w:hAnsi="宋体"/>
                <w:b/>
                <w:color w:val="auto"/>
                <w:szCs w:val="24"/>
                <w:highlight w:val="yellow"/>
              </w:rPr>
              <w:t xml:space="preserve"> 产品管理人</w:t>
            </w:r>
            <w:r>
              <w:rPr>
                <w:rFonts w:hint="eastAsia" w:ascii="宋体" w:hAnsi="宋体"/>
                <w:b/>
                <w:color w:val="auto"/>
                <w:szCs w:val="24"/>
                <w:highlight w:val="yellow"/>
                <w:lang w:eastAsia="zh-CN"/>
              </w:rPr>
              <w:t>设置浮动管理费</w:t>
            </w:r>
          </w:p>
          <w:p w14:paraId="4E5B7FA0">
            <w:pPr>
              <w:widowControl/>
              <w:tabs>
                <w:tab w:val="left" w:pos="312"/>
              </w:tabs>
              <w:jc w:val="left"/>
              <w:rPr>
                <w:rFonts w:hint="eastAsia" w:ascii="宋体" w:hAnsi="宋体"/>
                <w:b/>
                <w:color w:val="auto"/>
                <w:szCs w:val="24"/>
                <w:highlight w:val="yellow"/>
                <w:lang w:eastAsia="zh-CN"/>
              </w:rPr>
            </w:pPr>
          </w:p>
          <w:p w14:paraId="0A4537E3">
            <w:pPr>
              <w:widowControl/>
              <w:tabs>
                <w:tab w:val="left" w:pos="312"/>
              </w:tabs>
              <w:jc w:val="left"/>
              <w:rPr>
                <w:rFonts w:hint="eastAsia" w:ascii="宋体" w:hAnsi="宋体"/>
                <w:b/>
                <w:color w:val="auto"/>
                <w:szCs w:val="24"/>
                <w:highlight w:val="yellow"/>
                <w:lang w:eastAsia="zh-CN"/>
              </w:rPr>
            </w:pPr>
            <w:r>
              <w:rPr>
                <w:rFonts w:hint="eastAsia" w:ascii="宋体" w:hAnsi="宋体"/>
                <w:b/>
                <w:color w:val="auto"/>
                <w:szCs w:val="24"/>
                <w:highlight w:val="yellow"/>
                <w:lang w:eastAsia="zh-CN"/>
              </w:rPr>
              <w:t>□</w:t>
            </w:r>
            <w:r>
              <w:rPr>
                <w:rFonts w:hint="eastAsia" w:ascii="宋体" w:hAnsi="宋体"/>
                <w:b/>
                <w:color w:val="auto"/>
                <w:szCs w:val="24"/>
                <w:highlight w:val="yellow"/>
              </w:rPr>
              <w:t xml:space="preserve"> 产品管理人不设</w:t>
            </w:r>
            <w:r>
              <w:rPr>
                <w:rFonts w:hint="eastAsia" w:ascii="宋体" w:hAnsi="宋体"/>
                <w:b/>
                <w:color w:val="auto"/>
                <w:szCs w:val="24"/>
                <w:highlight w:val="yellow"/>
                <w:lang w:eastAsia="zh-CN"/>
              </w:rPr>
              <w:t>浮动管理费】</w:t>
            </w:r>
          </w:p>
          <w:p w14:paraId="693E92E3">
            <w:pPr>
              <w:widowControl/>
              <w:jc w:val="left"/>
              <w:rPr>
                <w:rFonts w:hint="eastAsia" w:ascii="宋体" w:hAnsi="宋体" w:eastAsia="仿宋_GB2312"/>
                <w:b/>
                <w:color w:val="auto"/>
                <w:szCs w:val="24"/>
                <w:highlight w:val="none"/>
                <w:lang w:eastAsia="zh-CN"/>
              </w:rPr>
            </w:pPr>
            <w:r>
              <w:rPr>
                <w:rFonts w:hint="eastAsia" w:ascii="宋体" w:hAnsi="宋体"/>
                <w:b/>
                <w:color w:val="auto"/>
                <w:szCs w:val="24"/>
                <w:highlight w:val="none"/>
                <w:lang w:eastAsia="zh-CN"/>
              </w:rPr>
              <w:t>浮动管理费计提基准：</w:t>
            </w:r>
            <w:r>
              <w:rPr>
                <w:rFonts w:hint="eastAsia" w:ascii="宋体" w:hAnsi="宋体"/>
                <w:b/>
                <w:color w:val="auto"/>
                <w:szCs w:val="24"/>
                <w:highlight w:val="yellow"/>
                <w:lang w:eastAsia="zh-CN"/>
              </w:rPr>
              <w:t>【】</w:t>
            </w:r>
          </w:p>
          <w:p w14:paraId="2936F316">
            <w:pPr>
              <w:snapToGrid w:val="0"/>
              <w:jc w:val="left"/>
              <w:rPr>
                <w:rFonts w:ascii="宋体" w:hAnsi="宋体"/>
                <w:b/>
                <w:color w:val="auto"/>
                <w:szCs w:val="24"/>
                <w:highlight w:val="none"/>
              </w:rPr>
            </w:pP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计提基准的提示：</w:t>
            </w:r>
          </w:p>
          <w:p w14:paraId="50407714">
            <w:pPr>
              <w:snapToGrid w:val="0"/>
              <w:jc w:val="left"/>
              <w:rPr>
                <w:rFonts w:ascii="宋体" w:hAnsi="宋体"/>
                <w:b/>
                <w:color w:val="auto"/>
                <w:szCs w:val="24"/>
                <w:highlight w:val="none"/>
              </w:rPr>
            </w:pPr>
            <w:r>
              <w:rPr>
                <w:rFonts w:hint="eastAsia" w:ascii="宋体" w:hAnsi="宋体"/>
                <w:b/>
                <w:color w:val="auto"/>
                <w:szCs w:val="24"/>
                <w:highlight w:val="none"/>
              </w:rPr>
              <w:t>（1）</w:t>
            </w:r>
            <w:r>
              <w:rPr>
                <w:rFonts w:hint="eastAsia" w:ascii="宋体" w:hAnsi="宋体"/>
                <w:b/>
                <w:color w:val="auto"/>
                <w:szCs w:val="24"/>
                <w:highlight w:val="none"/>
                <w:lang w:eastAsia="zh-CN"/>
              </w:rPr>
              <w:t>浮动管理费计</w:t>
            </w:r>
            <w:r>
              <w:rPr>
                <w:rFonts w:hint="eastAsia" w:ascii="宋体" w:hAnsi="宋体"/>
                <w:b/>
                <w:color w:val="auto"/>
                <w:szCs w:val="24"/>
                <w:highlight w:val="none"/>
              </w:rPr>
              <w:t>提基准仅作为管理人计算</w:t>
            </w:r>
            <w:r>
              <w:rPr>
                <w:rFonts w:hint="eastAsia" w:ascii="宋体" w:hAnsi="宋体"/>
                <w:b/>
                <w:color w:val="auto"/>
                <w:szCs w:val="24"/>
                <w:highlight w:val="none"/>
                <w:lang w:eastAsia="zh-CN"/>
              </w:rPr>
              <w:t>浮动管理费</w:t>
            </w:r>
            <w:r>
              <w:rPr>
                <w:rFonts w:hint="eastAsia" w:ascii="宋体" w:hAnsi="宋体"/>
                <w:b/>
                <w:color w:val="auto"/>
                <w:szCs w:val="24"/>
                <w:highlight w:val="none"/>
              </w:rPr>
              <w:t>的参照标准。</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计提基准不是预期收益率，不代表产品的未来表现和实际收益，不构成对产品收益的承诺。</w:t>
            </w:r>
          </w:p>
          <w:p w14:paraId="27352607">
            <w:pPr>
              <w:widowControl/>
              <w:spacing w:line="400" w:lineRule="exact"/>
              <w:jc w:val="left"/>
              <w:textAlignment w:val="center"/>
              <w:rPr>
                <w:rFonts w:hint="eastAsia" w:ascii="仿宋" w:hAnsi="仿宋" w:eastAsia="仿宋" w:cs="宋体"/>
                <w:bCs/>
                <w:color w:val="000000" w:themeColor="text1"/>
                <w:kern w:val="0"/>
                <w:sz w:val="24"/>
                <w:highlight w:val="none"/>
                <w:lang w:bidi="ar"/>
                <w14:textFill>
                  <w14:solidFill>
                    <w14:schemeClr w14:val="tx1"/>
                  </w14:solidFill>
                </w14:textFill>
              </w:rPr>
            </w:pPr>
            <w:r>
              <w:rPr>
                <w:rFonts w:hint="eastAsia" w:ascii="宋体" w:hAnsi="宋体"/>
                <w:b/>
                <w:color w:val="auto"/>
                <w:szCs w:val="24"/>
                <w:highlight w:val="none"/>
              </w:rPr>
              <w:t>（2）如果法律法规、</w:t>
            </w:r>
            <w:r>
              <w:rPr>
                <w:rFonts w:ascii="宋体" w:hAnsi="宋体"/>
                <w:b/>
                <w:color w:val="auto"/>
                <w:szCs w:val="24"/>
                <w:highlight w:val="none"/>
              </w:rPr>
              <w:t>国家政策</w:t>
            </w:r>
            <w:r>
              <w:rPr>
                <w:rFonts w:hint="eastAsia" w:ascii="宋体" w:hAnsi="宋体"/>
                <w:b/>
                <w:color w:val="auto"/>
                <w:szCs w:val="24"/>
                <w:highlight w:val="none"/>
              </w:rPr>
              <w:t>发生变化，或者有其他代表性更强、更科学客观的</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计提基准适用于本产品时，经产品管理人和产品托管人协商一致后，本产品可以调整</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计提基准并及时公告。</w:t>
            </w:r>
          </w:p>
        </w:tc>
      </w:tr>
      <w:tr w14:paraId="1984AB3E">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876289E">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认购费率</w:t>
            </w:r>
          </w:p>
        </w:tc>
        <w:tc>
          <w:tcPr>
            <w:tcW w:w="6972" w:type="dxa"/>
            <w:tcBorders>
              <w:top w:val="single" w:color="auto" w:sz="4" w:space="0"/>
              <w:left w:val="single" w:color="auto" w:sz="4" w:space="0"/>
              <w:bottom w:val="single" w:color="auto" w:sz="4" w:space="0"/>
              <w:right w:val="single" w:color="auto" w:sz="4" w:space="0"/>
            </w:tcBorders>
            <w:vAlign w:val="center"/>
          </w:tcPr>
          <w:p w14:paraId="52339186">
            <w:pPr>
              <w:widowControl/>
              <w:spacing w:line="400" w:lineRule="exact"/>
              <w:jc w:val="left"/>
              <w:textAlignment w:val="center"/>
              <w:rPr>
                <w:rFonts w:hint="eastAsia" w:ascii="仿宋_GB2312" w:hAnsi="等线" w:eastAsia="仿宋_GB2312" w:cs="仿宋_GB2312"/>
                <w:bCs/>
                <w:color w:val="000000" w:themeColor="text1"/>
                <w:sz w:val="24"/>
                <w:highlight w:val="none"/>
                <w:lang w:val="en-US" w:eastAsia="zh-CN"/>
                <w14:textFill>
                  <w14:solidFill>
                    <w14:schemeClr w14:val="tx1"/>
                  </w14:solidFill>
                </w14:textFill>
              </w:rPr>
            </w:pPr>
            <w:r>
              <w:rPr>
                <w:rFonts w:hint="eastAsia" w:ascii="宋体" w:hAnsi="宋体"/>
                <w:b/>
                <w:color w:val="auto"/>
                <w:szCs w:val="24"/>
                <w:highlight w:val="none"/>
                <w:lang w:val="en-US" w:eastAsia="zh-CN"/>
              </w:rPr>
              <w:t>/</w:t>
            </w:r>
          </w:p>
        </w:tc>
      </w:tr>
      <w:tr w14:paraId="0DF0EE72">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A76D533">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申购费率</w:t>
            </w:r>
          </w:p>
        </w:tc>
        <w:tc>
          <w:tcPr>
            <w:tcW w:w="6972" w:type="dxa"/>
            <w:tcBorders>
              <w:top w:val="single" w:color="auto" w:sz="4" w:space="0"/>
              <w:left w:val="single" w:color="auto" w:sz="4" w:space="0"/>
              <w:bottom w:val="single" w:color="auto" w:sz="4" w:space="0"/>
              <w:right w:val="single" w:color="auto" w:sz="4" w:space="0"/>
            </w:tcBorders>
            <w:vAlign w:val="center"/>
          </w:tcPr>
          <w:p w14:paraId="701BBEA6">
            <w:pPr>
              <w:widowControl/>
              <w:spacing w:line="400" w:lineRule="exact"/>
              <w:jc w:val="left"/>
              <w:textAlignment w:val="center"/>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ascii="宋体" w:hAnsi="宋体"/>
                <w:b/>
                <w:color w:val="auto"/>
                <w:szCs w:val="24"/>
                <w:highlight w:val="none"/>
                <w:lang w:val="en-US" w:eastAsia="zh-CN"/>
              </w:rPr>
              <w:t>/</w:t>
            </w:r>
          </w:p>
        </w:tc>
      </w:tr>
      <w:tr w14:paraId="15446DF8">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FF788F8">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赎回费率</w:t>
            </w:r>
          </w:p>
        </w:tc>
        <w:tc>
          <w:tcPr>
            <w:tcW w:w="6972" w:type="dxa"/>
            <w:tcBorders>
              <w:top w:val="single" w:color="auto" w:sz="4" w:space="0"/>
              <w:left w:val="single" w:color="auto" w:sz="4" w:space="0"/>
              <w:bottom w:val="single" w:color="auto" w:sz="4" w:space="0"/>
              <w:right w:val="single" w:color="auto" w:sz="4" w:space="0"/>
            </w:tcBorders>
            <w:vAlign w:val="center"/>
          </w:tcPr>
          <w:p w14:paraId="752133FB">
            <w:pPr>
              <w:widowControl/>
              <w:spacing w:line="400" w:lineRule="exact"/>
              <w:jc w:val="left"/>
              <w:textAlignment w:val="center"/>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ascii="宋体" w:hAnsi="宋体"/>
                <w:b/>
                <w:color w:val="auto"/>
                <w:szCs w:val="24"/>
                <w:highlight w:val="none"/>
                <w:lang w:val="en-US" w:eastAsia="zh-CN"/>
              </w:rPr>
              <w:t>/</w:t>
            </w:r>
          </w:p>
        </w:tc>
      </w:tr>
      <w:tr w14:paraId="1454D493">
        <w:tblPrEx>
          <w:tblCellMar>
            <w:top w:w="0" w:type="dxa"/>
            <w:left w:w="108" w:type="dxa"/>
            <w:bottom w:w="0" w:type="dxa"/>
            <w:right w:w="108" w:type="dxa"/>
          </w:tblCellMar>
        </w:tblPrEx>
        <w:trPr>
          <w:trHeight w:val="830" w:hRule="atLeast"/>
        </w:trPr>
        <w:tc>
          <w:tcPr>
            <w:tcW w:w="2453" w:type="dxa"/>
            <w:tcBorders>
              <w:top w:val="single" w:color="auto" w:sz="4" w:space="0"/>
              <w:left w:val="single" w:color="auto" w:sz="4" w:space="0"/>
              <w:bottom w:val="single" w:color="auto" w:sz="4" w:space="0"/>
              <w:right w:val="single" w:color="auto" w:sz="4" w:space="0"/>
            </w:tcBorders>
            <w:vAlign w:val="center"/>
          </w:tcPr>
          <w:p w14:paraId="4B2B7AAE">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其他费用说明</w:t>
            </w:r>
          </w:p>
        </w:tc>
        <w:tc>
          <w:tcPr>
            <w:tcW w:w="6972" w:type="dxa"/>
            <w:tcBorders>
              <w:top w:val="single" w:color="auto" w:sz="4" w:space="0"/>
              <w:left w:val="single" w:color="auto" w:sz="4" w:space="0"/>
              <w:bottom w:val="single" w:color="auto" w:sz="4" w:space="0"/>
              <w:right w:val="single" w:color="auto" w:sz="4" w:space="0"/>
            </w:tcBorders>
            <w:vAlign w:val="center"/>
          </w:tcPr>
          <w:p w14:paraId="307BAC85">
            <w:pPr>
              <w:snapToGrid w:val="0"/>
              <w:rPr>
                <w:rFonts w:ascii="宋体" w:hAnsi="宋体" w:cs="宋体"/>
                <w:b/>
                <w:szCs w:val="24"/>
                <w:highlight w:val="none"/>
              </w:rPr>
            </w:pPr>
            <w:r>
              <w:rPr>
                <w:rFonts w:hint="eastAsia" w:ascii="宋体" w:hAnsi="宋体" w:cs="宋体"/>
                <w:b/>
                <w:szCs w:val="24"/>
                <w:highlight w:val="none"/>
              </w:rPr>
              <w:t>强制赎回费：</w:t>
            </w:r>
          </w:p>
          <w:p w14:paraId="3C2CE3E8">
            <w:pPr>
              <w:snapToGrid w:val="0"/>
              <w:rPr>
                <w:rFonts w:ascii="宋体" w:hAnsi="宋体"/>
                <w:b/>
                <w:color w:val="000000"/>
                <w:kern w:val="0"/>
                <w:szCs w:val="24"/>
                <w:highlight w:val="none"/>
              </w:rPr>
            </w:pPr>
            <w:r>
              <w:rPr>
                <w:rFonts w:hint="eastAsia" w:ascii="宋体" w:hAnsi="宋体"/>
                <w:b/>
                <w:szCs w:val="24"/>
                <w:highlight w:val="none"/>
              </w:rPr>
              <w:t xml:space="preserve"> </w:t>
            </w:r>
            <w:r>
              <w:rPr>
                <w:rFonts w:ascii="宋体" w:hAnsi="宋体"/>
                <w:b/>
                <w:color w:val="000000"/>
                <w:kern w:val="0"/>
                <w:szCs w:val="24"/>
                <w:highlight w:val="none"/>
              </w:rPr>
              <w:t>1</w:t>
            </w:r>
            <w:r>
              <w:rPr>
                <w:rFonts w:hint="eastAsia" w:ascii="宋体" w:hAnsi="宋体"/>
                <w:b/>
                <w:color w:val="000000"/>
                <w:kern w:val="0"/>
                <w:szCs w:val="24"/>
                <w:highlight w:val="none"/>
              </w:rPr>
              <w:t>）当</w:t>
            </w:r>
            <w:r>
              <w:rPr>
                <w:rFonts w:hint="eastAsia" w:ascii="宋体" w:hAnsi="宋体"/>
                <w:b/>
                <w:color w:val="000000"/>
                <w:kern w:val="0"/>
                <w:szCs w:val="24"/>
                <w:highlight w:val="none"/>
                <w:lang w:eastAsia="zh-CN"/>
              </w:rPr>
              <w:t>本</w:t>
            </w:r>
            <w:r>
              <w:rPr>
                <w:rFonts w:hint="eastAsia" w:ascii="宋体" w:hAnsi="宋体"/>
                <w:b/>
                <w:color w:val="000000"/>
                <w:kern w:val="0"/>
                <w:szCs w:val="24"/>
                <w:highlight w:val="none"/>
              </w:rPr>
              <w:t>产品持有的现金、国债、中央银行票据、政策性金融债券以及</w:t>
            </w:r>
            <w:r>
              <w:rPr>
                <w:rFonts w:ascii="宋体" w:hAnsi="宋体"/>
                <w:b/>
                <w:color w:val="000000"/>
                <w:kern w:val="0"/>
                <w:szCs w:val="24"/>
                <w:highlight w:val="none"/>
              </w:rPr>
              <w:t>5</w:t>
            </w:r>
            <w:r>
              <w:rPr>
                <w:rFonts w:hint="eastAsia" w:ascii="宋体" w:hAnsi="宋体"/>
                <w:b/>
                <w:color w:val="000000"/>
                <w:kern w:val="0"/>
                <w:szCs w:val="24"/>
                <w:highlight w:val="none"/>
              </w:rPr>
              <w:t>个交易日内到期的其他金融工具占</w:t>
            </w:r>
            <w:r>
              <w:rPr>
                <w:rFonts w:hint="eastAsia" w:ascii="宋体" w:hAnsi="宋体"/>
                <w:b/>
                <w:color w:val="000000"/>
                <w:kern w:val="0"/>
                <w:szCs w:val="24"/>
                <w:highlight w:val="none"/>
                <w:lang w:eastAsia="zh-CN"/>
              </w:rPr>
              <w:t>本</w:t>
            </w:r>
            <w:r>
              <w:rPr>
                <w:rFonts w:hint="eastAsia" w:ascii="宋体" w:hAnsi="宋体"/>
                <w:b/>
                <w:color w:val="000000"/>
                <w:kern w:val="0"/>
                <w:szCs w:val="24"/>
                <w:highlight w:val="none"/>
              </w:rPr>
              <w:t>产品资产净值的比例合计低于</w:t>
            </w:r>
            <w:r>
              <w:rPr>
                <w:rFonts w:ascii="宋体" w:hAnsi="宋体"/>
                <w:b/>
                <w:color w:val="000000"/>
                <w:kern w:val="0"/>
                <w:szCs w:val="24"/>
                <w:highlight w:val="none"/>
              </w:rPr>
              <w:t>5%</w:t>
            </w:r>
            <w:r>
              <w:rPr>
                <w:rFonts w:hint="eastAsia" w:ascii="宋体" w:hAnsi="宋体"/>
                <w:b/>
                <w:color w:val="000000"/>
                <w:kern w:val="0"/>
                <w:szCs w:val="24"/>
                <w:highlight w:val="none"/>
              </w:rPr>
              <w:t>且偏离度为负时</w:t>
            </w:r>
            <w:r>
              <w:rPr>
                <w:rFonts w:ascii="宋体" w:hAnsi="宋体"/>
                <w:b/>
                <w:color w:val="000000"/>
                <w:kern w:val="0"/>
                <w:szCs w:val="24"/>
                <w:highlight w:val="none"/>
              </w:rPr>
              <w:t>,</w:t>
            </w:r>
            <w:r>
              <w:rPr>
                <w:rFonts w:hint="eastAsia" w:ascii="宋体" w:hAnsi="宋体"/>
                <w:b/>
                <w:color w:val="000000"/>
                <w:kern w:val="0"/>
                <w:szCs w:val="24"/>
                <w:highlight w:val="none"/>
              </w:rPr>
              <w:t>管理人有权对当日单个产品投资者申请赎回份额超过</w:t>
            </w:r>
            <w:r>
              <w:rPr>
                <w:rFonts w:hint="eastAsia" w:ascii="宋体" w:hAnsi="宋体"/>
                <w:b/>
                <w:color w:val="000000"/>
                <w:kern w:val="0"/>
                <w:szCs w:val="24"/>
                <w:highlight w:val="none"/>
                <w:lang w:eastAsia="zh-CN"/>
              </w:rPr>
              <w:t>本</w:t>
            </w:r>
            <w:r>
              <w:rPr>
                <w:rFonts w:hint="eastAsia" w:ascii="宋体" w:hAnsi="宋体"/>
                <w:b/>
                <w:color w:val="000000"/>
                <w:kern w:val="0"/>
                <w:szCs w:val="24"/>
                <w:highlight w:val="none"/>
              </w:rPr>
              <w:t>产品总份额</w:t>
            </w:r>
            <w:r>
              <w:rPr>
                <w:rFonts w:ascii="宋体" w:hAnsi="宋体"/>
                <w:b/>
                <w:color w:val="000000"/>
                <w:kern w:val="0"/>
                <w:szCs w:val="24"/>
                <w:highlight w:val="none"/>
              </w:rPr>
              <w:t>1%</w:t>
            </w:r>
            <w:r>
              <w:rPr>
                <w:rFonts w:hint="eastAsia" w:ascii="宋体" w:hAnsi="宋体"/>
                <w:b/>
                <w:color w:val="000000"/>
                <w:kern w:val="0"/>
                <w:szCs w:val="24"/>
                <w:highlight w:val="none"/>
              </w:rPr>
              <w:t>以上的赎回申请征收</w:t>
            </w:r>
            <w:r>
              <w:rPr>
                <w:rFonts w:ascii="宋体" w:hAnsi="宋体"/>
                <w:b/>
                <w:color w:val="000000"/>
                <w:kern w:val="0"/>
                <w:szCs w:val="24"/>
                <w:highlight w:val="none"/>
              </w:rPr>
              <w:t>1%</w:t>
            </w:r>
            <w:r>
              <w:rPr>
                <w:rFonts w:hint="eastAsia" w:ascii="宋体" w:hAnsi="宋体"/>
                <w:b/>
                <w:color w:val="000000"/>
                <w:kern w:val="0"/>
                <w:szCs w:val="24"/>
                <w:highlight w:val="none"/>
              </w:rPr>
              <w:t>的强制赎回费用</w:t>
            </w:r>
            <w:r>
              <w:rPr>
                <w:rFonts w:ascii="宋体" w:hAnsi="宋体"/>
                <w:b/>
                <w:color w:val="000000"/>
                <w:kern w:val="0"/>
                <w:szCs w:val="24"/>
                <w:highlight w:val="none"/>
              </w:rPr>
              <w:t>,</w:t>
            </w:r>
            <w:r>
              <w:rPr>
                <w:rFonts w:hint="eastAsia" w:ascii="宋体" w:hAnsi="宋体"/>
                <w:b/>
                <w:color w:val="000000"/>
                <w:kern w:val="0"/>
                <w:szCs w:val="24"/>
                <w:highlight w:val="none"/>
              </w:rPr>
              <w:t>并将上述赎回费用全额计入</w:t>
            </w:r>
            <w:r>
              <w:rPr>
                <w:rFonts w:hint="eastAsia" w:ascii="宋体" w:hAnsi="宋体"/>
                <w:b/>
                <w:color w:val="000000"/>
                <w:kern w:val="0"/>
                <w:szCs w:val="24"/>
                <w:highlight w:val="none"/>
                <w:lang w:eastAsia="zh-CN"/>
              </w:rPr>
              <w:t>本</w:t>
            </w:r>
            <w:r>
              <w:rPr>
                <w:rFonts w:hint="eastAsia" w:ascii="宋体" w:hAnsi="宋体"/>
                <w:b/>
                <w:color w:val="000000"/>
                <w:kern w:val="0"/>
                <w:szCs w:val="24"/>
                <w:highlight w:val="none"/>
              </w:rPr>
              <w:t>产品财产。管理人与托管人协商确认上述做法无益于</w:t>
            </w:r>
            <w:r>
              <w:rPr>
                <w:rFonts w:hint="eastAsia" w:ascii="宋体" w:hAnsi="宋体"/>
                <w:b/>
                <w:color w:val="000000"/>
                <w:kern w:val="0"/>
                <w:szCs w:val="24"/>
                <w:highlight w:val="none"/>
                <w:lang w:eastAsia="zh-CN"/>
              </w:rPr>
              <w:t>本</w:t>
            </w:r>
            <w:r>
              <w:rPr>
                <w:rFonts w:hint="eastAsia" w:ascii="宋体" w:hAnsi="宋体"/>
                <w:b/>
                <w:color w:val="000000"/>
                <w:kern w:val="0"/>
                <w:szCs w:val="24"/>
                <w:highlight w:val="none"/>
              </w:rPr>
              <w:t>产品利益最大化的情形除外。</w:t>
            </w:r>
          </w:p>
          <w:p w14:paraId="18AEDCCB">
            <w:pPr>
              <w:rPr>
                <w:rFonts w:ascii="宋体" w:hAnsi="宋体"/>
                <w:b/>
                <w:color w:val="000000"/>
                <w:kern w:val="0"/>
                <w:szCs w:val="24"/>
                <w:highlight w:val="none"/>
              </w:rPr>
            </w:pPr>
            <w:r>
              <w:rPr>
                <w:rFonts w:ascii="宋体" w:hAnsi="宋体"/>
                <w:b/>
                <w:color w:val="000000"/>
                <w:kern w:val="0"/>
                <w:szCs w:val="24"/>
                <w:highlight w:val="none"/>
              </w:rPr>
              <w:t>2</w:t>
            </w:r>
            <w:r>
              <w:rPr>
                <w:rFonts w:hint="eastAsia" w:ascii="宋体" w:hAnsi="宋体"/>
                <w:b/>
                <w:color w:val="000000"/>
                <w:kern w:val="0"/>
                <w:szCs w:val="24"/>
                <w:highlight w:val="none"/>
              </w:rPr>
              <w:t>）本产品前</w:t>
            </w:r>
            <w:r>
              <w:rPr>
                <w:rFonts w:ascii="宋体" w:hAnsi="宋体"/>
                <w:b/>
                <w:color w:val="000000"/>
                <w:kern w:val="0"/>
                <w:szCs w:val="24"/>
                <w:highlight w:val="none"/>
              </w:rPr>
              <w:t>10</w:t>
            </w:r>
            <w:r>
              <w:rPr>
                <w:rFonts w:hint="eastAsia" w:ascii="宋体" w:hAnsi="宋体"/>
                <w:b/>
                <w:color w:val="000000"/>
                <w:kern w:val="0"/>
                <w:szCs w:val="24"/>
                <w:highlight w:val="none"/>
              </w:rPr>
              <w:t>名投资者的持有份额合计超过</w:t>
            </w:r>
            <w:r>
              <w:rPr>
                <w:rFonts w:hint="eastAsia" w:ascii="宋体" w:hAnsi="宋体"/>
                <w:b/>
                <w:color w:val="000000"/>
                <w:kern w:val="0"/>
                <w:szCs w:val="24"/>
                <w:highlight w:val="none"/>
                <w:lang w:eastAsia="zh-CN"/>
              </w:rPr>
              <w:t>本</w:t>
            </w:r>
            <w:r>
              <w:rPr>
                <w:rFonts w:hint="eastAsia" w:ascii="宋体" w:hAnsi="宋体"/>
                <w:b/>
                <w:color w:val="000000"/>
                <w:kern w:val="0"/>
                <w:szCs w:val="24"/>
                <w:highlight w:val="none"/>
              </w:rPr>
              <w:t>产品总份额</w:t>
            </w:r>
            <w:r>
              <w:rPr>
                <w:rFonts w:ascii="宋体" w:hAnsi="宋体"/>
                <w:b/>
                <w:color w:val="000000"/>
                <w:kern w:val="0"/>
                <w:szCs w:val="24"/>
                <w:highlight w:val="none"/>
              </w:rPr>
              <w:t>50%</w:t>
            </w:r>
            <w:r>
              <w:rPr>
                <w:rFonts w:hint="eastAsia" w:ascii="宋体" w:hAnsi="宋体"/>
                <w:b/>
                <w:color w:val="000000"/>
                <w:kern w:val="0"/>
                <w:szCs w:val="24"/>
                <w:highlight w:val="none"/>
              </w:rPr>
              <w:t>的</w:t>
            </w:r>
            <w:r>
              <w:rPr>
                <w:rFonts w:ascii="宋体" w:hAnsi="宋体"/>
                <w:b/>
                <w:color w:val="000000"/>
                <w:kern w:val="0"/>
                <w:szCs w:val="24"/>
                <w:highlight w:val="none"/>
              </w:rPr>
              <w:t>,</w:t>
            </w:r>
            <w:r>
              <w:rPr>
                <w:rFonts w:hint="eastAsia" w:ascii="宋体" w:hAnsi="宋体"/>
                <w:b/>
                <w:color w:val="000000"/>
                <w:kern w:val="0"/>
                <w:szCs w:val="24"/>
                <w:highlight w:val="none"/>
              </w:rPr>
              <w:t>当投资组合中现金、国债、中央银行票据、政策性金融债券以及</w:t>
            </w:r>
            <w:r>
              <w:rPr>
                <w:rFonts w:ascii="宋体" w:hAnsi="宋体"/>
                <w:b/>
                <w:color w:val="000000"/>
                <w:kern w:val="0"/>
                <w:szCs w:val="24"/>
                <w:highlight w:val="none"/>
              </w:rPr>
              <w:t>5</w:t>
            </w:r>
            <w:r>
              <w:rPr>
                <w:rFonts w:hint="eastAsia" w:ascii="宋体" w:hAnsi="宋体"/>
                <w:b/>
                <w:color w:val="000000"/>
                <w:kern w:val="0"/>
                <w:szCs w:val="24"/>
                <w:highlight w:val="none"/>
              </w:rPr>
              <w:t>个交易日内到期的其他金融工具占</w:t>
            </w:r>
            <w:r>
              <w:rPr>
                <w:rFonts w:hint="eastAsia" w:ascii="宋体" w:hAnsi="宋体"/>
                <w:b/>
                <w:color w:val="000000"/>
                <w:kern w:val="0"/>
                <w:szCs w:val="24"/>
                <w:highlight w:val="none"/>
                <w:lang w:eastAsia="zh-CN"/>
              </w:rPr>
              <w:t>本</w:t>
            </w:r>
            <w:r>
              <w:rPr>
                <w:rFonts w:hint="eastAsia" w:ascii="宋体" w:hAnsi="宋体"/>
                <w:b/>
                <w:color w:val="000000"/>
                <w:kern w:val="0"/>
                <w:szCs w:val="24"/>
                <w:highlight w:val="none"/>
              </w:rPr>
              <w:t>产品资产净值的比例合计低于</w:t>
            </w:r>
            <w:r>
              <w:rPr>
                <w:rFonts w:ascii="宋体" w:hAnsi="宋体"/>
                <w:b/>
                <w:color w:val="000000"/>
                <w:kern w:val="0"/>
                <w:szCs w:val="24"/>
                <w:highlight w:val="none"/>
              </w:rPr>
              <w:t>10%</w:t>
            </w:r>
            <w:r>
              <w:rPr>
                <w:rFonts w:hint="eastAsia" w:ascii="宋体" w:hAnsi="宋体"/>
                <w:b/>
                <w:color w:val="000000"/>
                <w:kern w:val="0"/>
                <w:szCs w:val="24"/>
                <w:highlight w:val="none"/>
              </w:rPr>
              <w:t>且偏离度为负时</w:t>
            </w:r>
            <w:r>
              <w:rPr>
                <w:rFonts w:ascii="宋体" w:hAnsi="宋体"/>
                <w:b/>
                <w:color w:val="000000"/>
                <w:kern w:val="0"/>
                <w:szCs w:val="24"/>
                <w:highlight w:val="none"/>
              </w:rPr>
              <w:t>,</w:t>
            </w:r>
            <w:r>
              <w:rPr>
                <w:rFonts w:hint="eastAsia" w:ascii="宋体" w:hAnsi="宋体"/>
                <w:b/>
                <w:color w:val="000000"/>
                <w:kern w:val="0"/>
                <w:szCs w:val="24"/>
                <w:highlight w:val="none"/>
              </w:rPr>
              <w:t>管理人有权对投资者超过</w:t>
            </w:r>
            <w:r>
              <w:rPr>
                <w:rFonts w:hint="eastAsia" w:ascii="宋体" w:hAnsi="宋体"/>
                <w:b/>
                <w:color w:val="000000"/>
                <w:kern w:val="0"/>
                <w:szCs w:val="24"/>
                <w:highlight w:val="none"/>
                <w:lang w:eastAsia="zh-CN"/>
              </w:rPr>
              <w:t>本</w:t>
            </w:r>
            <w:r>
              <w:rPr>
                <w:rFonts w:hint="eastAsia" w:ascii="宋体" w:hAnsi="宋体"/>
                <w:b/>
                <w:color w:val="000000"/>
                <w:kern w:val="0"/>
                <w:szCs w:val="24"/>
                <w:highlight w:val="none"/>
              </w:rPr>
              <w:t>产品总份额</w:t>
            </w:r>
            <w:r>
              <w:rPr>
                <w:rFonts w:ascii="宋体" w:hAnsi="宋体"/>
                <w:b/>
                <w:color w:val="000000"/>
                <w:kern w:val="0"/>
                <w:szCs w:val="24"/>
                <w:highlight w:val="none"/>
              </w:rPr>
              <w:t>1%</w:t>
            </w:r>
            <w:r>
              <w:rPr>
                <w:rFonts w:hint="eastAsia" w:ascii="宋体" w:hAnsi="宋体"/>
                <w:b/>
                <w:color w:val="000000"/>
                <w:kern w:val="0"/>
                <w:szCs w:val="24"/>
                <w:highlight w:val="none"/>
              </w:rPr>
              <w:t>以上的赎回申请征收</w:t>
            </w:r>
            <w:r>
              <w:rPr>
                <w:rFonts w:ascii="宋体" w:hAnsi="宋体"/>
                <w:b/>
                <w:color w:val="000000"/>
                <w:kern w:val="0"/>
                <w:szCs w:val="24"/>
                <w:highlight w:val="none"/>
              </w:rPr>
              <w:t>1%</w:t>
            </w:r>
            <w:r>
              <w:rPr>
                <w:rFonts w:hint="eastAsia" w:ascii="宋体" w:hAnsi="宋体"/>
                <w:b/>
                <w:color w:val="000000"/>
                <w:kern w:val="0"/>
                <w:szCs w:val="24"/>
                <w:highlight w:val="none"/>
              </w:rPr>
              <w:t>的强制赎回费用。</w:t>
            </w:r>
          </w:p>
          <w:p w14:paraId="76A00231">
            <w:pPr>
              <w:tabs>
                <w:tab w:val="left" w:pos="312"/>
              </w:tabs>
              <w:snapToGrid w:val="0"/>
              <w:rPr>
                <w:rFonts w:ascii="宋体" w:hAnsi="宋体"/>
                <w:b/>
                <w:szCs w:val="24"/>
                <w:highlight w:val="none"/>
              </w:rPr>
            </w:pPr>
            <w:r>
              <w:rPr>
                <w:rFonts w:ascii="宋体" w:hAnsi="宋体"/>
                <w:b/>
                <w:color w:val="000000"/>
                <w:kern w:val="0"/>
                <w:szCs w:val="24"/>
                <w:highlight w:val="none"/>
              </w:rPr>
              <w:t>3</w:t>
            </w:r>
            <w:r>
              <w:rPr>
                <w:rFonts w:hint="eastAsia" w:ascii="宋体" w:hAnsi="宋体"/>
                <w:b/>
                <w:color w:val="000000"/>
                <w:kern w:val="0"/>
                <w:szCs w:val="24"/>
                <w:highlight w:val="none"/>
              </w:rPr>
              <w:t>）强制</w:t>
            </w:r>
            <w:r>
              <w:rPr>
                <w:rFonts w:ascii="宋体" w:hAnsi="宋体"/>
                <w:b/>
                <w:color w:val="000000"/>
                <w:kern w:val="0"/>
                <w:szCs w:val="24"/>
                <w:highlight w:val="none"/>
              </w:rPr>
              <w:t>赎回</w:t>
            </w:r>
            <w:r>
              <w:rPr>
                <w:rFonts w:hint="eastAsia" w:ascii="宋体" w:hAnsi="宋体"/>
                <w:b/>
                <w:color w:val="000000"/>
                <w:kern w:val="0"/>
                <w:szCs w:val="24"/>
                <w:highlight w:val="none"/>
              </w:rPr>
              <w:t>费用</w:t>
            </w:r>
            <w:r>
              <w:rPr>
                <w:rFonts w:ascii="宋体" w:hAnsi="宋体"/>
                <w:b/>
                <w:color w:val="000000"/>
                <w:kern w:val="0"/>
                <w:szCs w:val="24"/>
                <w:highlight w:val="none"/>
              </w:rPr>
              <w:t>将从投资者</w:t>
            </w:r>
            <w:r>
              <w:rPr>
                <w:rFonts w:hint="eastAsia" w:ascii="宋体" w:hAnsi="宋体"/>
                <w:b/>
                <w:color w:val="000000"/>
                <w:kern w:val="0"/>
                <w:szCs w:val="24"/>
                <w:highlight w:val="none"/>
              </w:rPr>
              <w:t>赎回</w:t>
            </w:r>
            <w:r>
              <w:rPr>
                <w:rFonts w:ascii="宋体" w:hAnsi="宋体"/>
                <w:b/>
                <w:color w:val="000000"/>
                <w:kern w:val="0"/>
                <w:szCs w:val="24"/>
                <w:highlight w:val="none"/>
              </w:rPr>
              <w:t>资金中扣除，敬请投资者注意。</w:t>
            </w:r>
          </w:p>
          <w:p w14:paraId="7FB75E62">
            <w:pPr>
              <w:widowControl/>
              <w:spacing w:line="400" w:lineRule="exact"/>
              <w:jc w:val="left"/>
              <w:textAlignment w:val="center"/>
              <w:rPr>
                <w:rFonts w:hint="eastAsia" w:ascii="宋体" w:hAnsi="宋体"/>
                <w:color w:val="auto"/>
                <w:szCs w:val="24"/>
                <w:highlight w:val="none"/>
                <w:u w:val="none"/>
              </w:rPr>
            </w:pPr>
            <w:r>
              <w:rPr>
                <w:rFonts w:hint="eastAsia" w:ascii="宋体" w:hAnsi="宋体"/>
                <w:szCs w:val="24"/>
                <w:highlight w:val="none"/>
              </w:rPr>
              <w:t>产品管理人保留调整上述理财产品收取费率标准的权利。以上费用精确到小数点后2位，小数点2位以后四舍五入。</w:t>
            </w:r>
          </w:p>
          <w:p w14:paraId="0052B801">
            <w:pPr>
              <w:widowControl/>
              <w:spacing w:line="400" w:lineRule="exact"/>
              <w:jc w:val="left"/>
              <w:textAlignment w:val="center"/>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ascii="宋体" w:hAnsi="宋体"/>
                <w:b/>
                <w:bCs/>
                <w:color w:val="auto"/>
                <w:szCs w:val="24"/>
                <w:highlight w:val="none"/>
                <w:u w:val="none"/>
                <w:lang w:eastAsia="zh-CN"/>
              </w:rPr>
              <w:t>其他费用说明</w:t>
            </w:r>
            <w:r>
              <w:rPr>
                <w:rFonts w:hint="eastAsia" w:ascii="宋体" w:hAnsi="宋体"/>
                <w:b/>
                <w:bCs/>
                <w:color w:val="auto"/>
                <w:szCs w:val="24"/>
                <w:highlight w:val="none"/>
                <w:u w:val="none"/>
              </w:rPr>
              <w:t>详见</w:t>
            </w:r>
            <w:r>
              <w:rPr>
                <w:rFonts w:ascii="宋体" w:hAnsi="宋体"/>
                <w:b/>
                <w:bCs/>
                <w:color w:val="auto"/>
                <w:szCs w:val="24"/>
                <w:highlight w:val="none"/>
                <w:u w:val="none"/>
              </w:rPr>
              <w:t>第</w:t>
            </w:r>
            <w:r>
              <w:rPr>
                <w:rFonts w:hint="eastAsia" w:ascii="宋体" w:hAnsi="宋体"/>
                <w:b/>
                <w:bCs/>
                <w:color w:val="auto"/>
                <w:szCs w:val="24"/>
                <w:highlight w:val="none"/>
                <w:u w:val="none"/>
                <w:lang w:eastAsia="zh-CN"/>
              </w:rPr>
              <w:t>十</w:t>
            </w:r>
            <w:r>
              <w:rPr>
                <w:rFonts w:ascii="宋体" w:hAnsi="宋体"/>
                <w:b/>
                <w:bCs/>
                <w:color w:val="auto"/>
                <w:szCs w:val="24"/>
                <w:highlight w:val="none"/>
                <w:u w:val="none"/>
              </w:rPr>
              <w:t>节</w:t>
            </w:r>
            <w:r>
              <w:rPr>
                <w:rFonts w:hint="eastAsia" w:ascii="宋体" w:hAnsi="宋体"/>
                <w:b/>
                <w:bCs/>
                <w:color w:val="auto"/>
                <w:szCs w:val="24"/>
                <w:highlight w:val="none"/>
                <w:u w:val="none"/>
              </w:rPr>
              <w:t xml:space="preserve"> “理财</w:t>
            </w:r>
            <w:r>
              <w:rPr>
                <w:rFonts w:ascii="宋体" w:hAnsi="宋体"/>
                <w:b/>
                <w:bCs/>
                <w:color w:val="auto"/>
                <w:szCs w:val="24"/>
                <w:highlight w:val="none"/>
                <w:u w:val="none"/>
              </w:rPr>
              <w:t>产品</w:t>
            </w:r>
            <w:r>
              <w:rPr>
                <w:rFonts w:hint="eastAsia" w:ascii="宋体" w:hAnsi="宋体"/>
                <w:b/>
                <w:bCs/>
                <w:color w:val="auto"/>
                <w:szCs w:val="24"/>
                <w:highlight w:val="none"/>
                <w:u w:val="none"/>
                <w:lang w:eastAsia="zh-CN"/>
              </w:rPr>
              <w:t>的</w:t>
            </w:r>
            <w:r>
              <w:rPr>
                <w:rFonts w:ascii="宋体" w:hAnsi="宋体"/>
                <w:b/>
                <w:bCs/>
                <w:color w:val="auto"/>
                <w:szCs w:val="24"/>
                <w:highlight w:val="none"/>
                <w:u w:val="none"/>
              </w:rPr>
              <w:t>费用与税收”</w:t>
            </w:r>
            <w:r>
              <w:rPr>
                <w:rFonts w:hint="eastAsia" w:ascii="宋体" w:hAnsi="宋体"/>
                <w:b/>
                <w:bCs/>
                <w:color w:val="auto"/>
                <w:szCs w:val="24"/>
                <w:highlight w:val="none"/>
                <w:u w:val="none"/>
              </w:rPr>
              <w:t>。</w:t>
            </w:r>
          </w:p>
        </w:tc>
      </w:tr>
      <w:tr w14:paraId="06E92E1C">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7C7C30AF">
            <w:pPr>
              <w:widowControl/>
              <w:spacing w:line="400" w:lineRule="exact"/>
              <w:jc w:val="center"/>
              <w:textAlignment w:val="center"/>
              <w:rPr>
                <w:rFonts w:hint="eastAsia" w:ascii="楷体_GB2312" w:hAnsi="等线" w:eastAsia="楷体_GB2312" w:cs="楷体_GB2312"/>
                <w:b/>
                <w:bCs/>
                <w:color w:val="000000" w:themeColor="text1"/>
                <w:sz w:val="24"/>
                <w:highlight w:val="none"/>
                <w14:textFill>
                  <w14:solidFill>
                    <w14:schemeClr w14:val="tx1"/>
                  </w14:solidFill>
                </w14:textFill>
              </w:rPr>
            </w:pPr>
            <w:r>
              <w:rPr>
                <w:rFonts w:hint="eastAsia" w:ascii="楷体_GB2312" w:hAnsi="等线" w:eastAsia="楷体_GB2312" w:cs="楷体_GB2312"/>
                <w:b/>
                <w:bCs/>
                <w:color w:val="000000" w:themeColor="text1"/>
                <w:kern w:val="0"/>
                <w:sz w:val="24"/>
                <w:highlight w:val="none"/>
                <w:lang w:bidi="ar"/>
                <w14:textFill>
                  <w14:solidFill>
                    <w14:schemeClr w14:val="tx1"/>
                  </w14:solidFill>
                </w14:textFill>
              </w:rPr>
              <w:t>（六）业绩比较基准</w:t>
            </w:r>
          </w:p>
        </w:tc>
      </w:tr>
      <w:tr w14:paraId="3578937D">
        <w:tblPrEx>
          <w:tblCellMar>
            <w:top w:w="0" w:type="dxa"/>
            <w:left w:w="108" w:type="dxa"/>
            <w:bottom w:w="0" w:type="dxa"/>
            <w:right w:w="108" w:type="dxa"/>
          </w:tblCellMar>
        </w:tblPrEx>
        <w:trPr>
          <w:trHeight w:val="1180" w:hRule="atLeast"/>
        </w:trPr>
        <w:tc>
          <w:tcPr>
            <w:tcW w:w="2453" w:type="dxa"/>
            <w:tcBorders>
              <w:top w:val="single" w:color="auto" w:sz="4" w:space="0"/>
              <w:left w:val="single" w:color="auto" w:sz="4" w:space="0"/>
              <w:bottom w:val="single" w:color="auto" w:sz="4" w:space="0"/>
              <w:right w:val="single" w:color="auto" w:sz="4" w:space="0"/>
            </w:tcBorders>
            <w:vAlign w:val="center"/>
          </w:tcPr>
          <w:p w14:paraId="28B8023E">
            <w:pPr>
              <w:widowControl/>
              <w:spacing w:line="40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业绩比较基准</w:t>
            </w:r>
          </w:p>
        </w:tc>
        <w:tc>
          <w:tcPr>
            <w:tcW w:w="6972" w:type="dxa"/>
            <w:tcBorders>
              <w:top w:val="single" w:color="auto" w:sz="4" w:space="0"/>
              <w:left w:val="single" w:color="auto" w:sz="4" w:space="0"/>
              <w:bottom w:val="single" w:color="auto" w:sz="4" w:space="0"/>
              <w:right w:val="single" w:color="auto" w:sz="4" w:space="0"/>
            </w:tcBorders>
            <w:vAlign w:val="center"/>
          </w:tcPr>
          <w:p w14:paraId="41C46067">
            <w:pPr>
              <w:widowControl/>
              <w:spacing w:line="400" w:lineRule="exact"/>
              <w:jc w:val="left"/>
              <w:textAlignment w:val="center"/>
              <w:rPr>
                <w:rFonts w:hint="eastAsia" w:ascii="宋体" w:hAnsi="宋体" w:eastAsia="仿宋_GB2312"/>
                <w:b/>
                <w:color w:val="auto"/>
                <w:szCs w:val="24"/>
                <w:highlight w:val="none"/>
                <w:u w:val="none"/>
                <w:lang w:eastAsia="zh-CN"/>
              </w:rPr>
            </w:pPr>
            <w:r>
              <w:rPr>
                <w:rFonts w:hint="eastAsia" w:ascii="宋体" w:hAnsi="宋体"/>
                <w:b/>
                <w:color w:val="auto"/>
                <w:szCs w:val="24"/>
                <w:highlight w:val="none"/>
                <w:u w:val="none"/>
                <w:lang w:val="en-US" w:eastAsia="zh-CN"/>
              </w:rPr>
              <w:t>1.</w:t>
            </w:r>
            <w:r>
              <w:rPr>
                <w:rFonts w:hint="eastAsia" w:ascii="宋体" w:hAnsi="宋体"/>
                <w:b/>
                <w:color w:val="auto"/>
                <w:szCs w:val="24"/>
                <w:highlight w:val="none"/>
                <w:u w:val="none"/>
              </w:rPr>
              <w:t>业绩比较基准设置</w:t>
            </w:r>
          </w:p>
          <w:p w14:paraId="6702B140">
            <w:pPr>
              <w:widowControl/>
              <w:spacing w:line="400" w:lineRule="exact"/>
              <w:jc w:val="left"/>
              <w:textAlignment w:val="center"/>
              <w:rPr>
                <w:rFonts w:ascii="宋体" w:hAnsi="宋体"/>
                <w:b/>
                <w:color w:val="auto"/>
                <w:szCs w:val="24"/>
                <w:highlight w:val="yellow"/>
                <w:u w:val="none"/>
              </w:rPr>
            </w:pPr>
            <w:r>
              <w:rPr>
                <w:rFonts w:hint="eastAsia" w:ascii="宋体" w:hAnsi="宋体"/>
                <w:b/>
                <w:color w:val="auto"/>
                <w:szCs w:val="24"/>
                <w:highlight w:val="yellow"/>
                <w:u w:val="none"/>
                <w:lang w:eastAsia="zh-CN"/>
              </w:rPr>
              <w:t>【</w:t>
            </w:r>
            <w:r>
              <w:rPr>
                <w:rFonts w:hint="eastAsia" w:ascii="宋体" w:hAnsi="宋体"/>
                <w:b/>
                <w:color w:val="auto"/>
                <w:szCs w:val="24"/>
                <w:highlight w:val="yellow"/>
                <w:u w:val="none"/>
              </w:rPr>
              <w:t>■ 设置业绩比较基准。</w:t>
            </w:r>
          </w:p>
          <w:p w14:paraId="2A3E345E">
            <w:pPr>
              <w:widowControl/>
              <w:spacing w:line="400" w:lineRule="exact"/>
              <w:jc w:val="left"/>
              <w:textAlignment w:val="center"/>
              <w:rPr>
                <w:rFonts w:hint="eastAsia" w:ascii="宋体" w:hAnsi="宋体"/>
                <w:b/>
                <w:color w:val="auto"/>
                <w:szCs w:val="24"/>
                <w:highlight w:val="yellow"/>
              </w:rPr>
            </w:pPr>
            <w:r>
              <w:rPr>
                <w:rFonts w:hint="eastAsia" w:ascii="宋体" w:hAnsi="宋体"/>
                <w:color w:val="auto"/>
                <w:szCs w:val="24"/>
                <w:highlight w:val="yellow"/>
                <w:lang w:eastAsia="zh-CN"/>
              </w:rPr>
              <w:t>【份额代码】</w:t>
            </w:r>
            <w:r>
              <w:rPr>
                <w:rFonts w:hint="eastAsia" w:ascii="宋体" w:hAnsi="宋体"/>
                <w:color w:val="auto"/>
                <w:szCs w:val="24"/>
                <w:highlight w:val="yellow"/>
                <w:u w:val="none"/>
                <w:lang w:val="en-US" w:eastAsia="zh-CN"/>
              </w:rPr>
              <w:t>：</w:t>
            </w:r>
          </w:p>
          <w:p w14:paraId="0A115EEA">
            <w:pPr>
              <w:widowControl/>
              <w:spacing w:line="400" w:lineRule="exact"/>
              <w:jc w:val="left"/>
              <w:textAlignment w:val="center"/>
              <w:rPr>
                <w:rFonts w:hint="eastAsia" w:ascii="宋体" w:hAnsi="宋体" w:eastAsia="仿宋_GB2312"/>
                <w:b/>
                <w:color w:val="auto"/>
                <w:szCs w:val="24"/>
                <w:highlight w:val="yellow"/>
                <w:u w:val="none"/>
                <w:lang w:eastAsia="zh-CN"/>
              </w:rPr>
            </w:pPr>
            <w:r>
              <w:rPr>
                <w:rFonts w:hint="eastAsia" w:ascii="宋体" w:hAnsi="宋体"/>
                <w:b/>
                <w:color w:val="auto"/>
                <w:szCs w:val="24"/>
                <w:highlight w:val="yellow"/>
                <w:u w:val="none"/>
              </w:rPr>
              <w:t xml:space="preserve">□ </w:t>
            </w:r>
            <w:r>
              <w:rPr>
                <w:rFonts w:hint="eastAsia" w:ascii="宋体" w:hAnsi="宋体"/>
                <w:b/>
                <w:color w:val="auto"/>
                <w:szCs w:val="24"/>
                <w:highlight w:val="yellow"/>
                <w:u w:val="none"/>
                <w:lang w:eastAsia="zh-CN"/>
              </w:rPr>
              <w:t>无</w:t>
            </w:r>
            <w:r>
              <w:rPr>
                <w:rFonts w:hint="eastAsia" w:ascii="宋体" w:hAnsi="宋体"/>
                <w:b/>
                <w:color w:val="auto"/>
                <w:szCs w:val="24"/>
                <w:highlight w:val="yellow"/>
                <w:u w:val="none"/>
              </w:rPr>
              <w:t>业绩比较基准。</w:t>
            </w:r>
            <w:r>
              <w:rPr>
                <w:rFonts w:hint="eastAsia" w:ascii="宋体" w:hAnsi="宋体"/>
                <w:b/>
                <w:color w:val="auto"/>
                <w:szCs w:val="24"/>
                <w:highlight w:val="yellow"/>
                <w:u w:val="none"/>
                <w:lang w:eastAsia="zh-CN"/>
              </w:rPr>
              <w:t>】</w:t>
            </w:r>
          </w:p>
          <w:p w14:paraId="3DBD4A9D">
            <w:pPr>
              <w:widowControl/>
              <w:spacing w:line="400" w:lineRule="exact"/>
              <w:jc w:val="left"/>
              <w:textAlignment w:val="center"/>
              <w:rPr>
                <w:rFonts w:hint="eastAsia" w:ascii="宋体" w:hAnsi="宋体"/>
                <w:b/>
                <w:color w:val="auto"/>
                <w:szCs w:val="24"/>
                <w:highlight w:val="none"/>
                <w:u w:val="none"/>
                <w:lang w:eastAsia="zh-CN"/>
              </w:rPr>
            </w:pPr>
            <w:r>
              <w:rPr>
                <w:rFonts w:hint="eastAsia" w:ascii="宋体" w:hAnsi="宋体"/>
                <w:b/>
                <w:color w:val="auto"/>
                <w:szCs w:val="24"/>
                <w:highlight w:val="none"/>
                <w:u w:val="none"/>
              </w:rPr>
              <w:t>2</w:t>
            </w:r>
            <w:r>
              <w:rPr>
                <w:rFonts w:ascii="宋体" w:hAnsi="宋体"/>
                <w:b/>
                <w:color w:val="auto"/>
                <w:szCs w:val="24"/>
                <w:highlight w:val="none"/>
                <w:u w:val="none"/>
              </w:rPr>
              <w:t>.</w:t>
            </w:r>
            <w:r>
              <w:rPr>
                <w:rFonts w:hint="eastAsia" w:ascii="宋体" w:hAnsi="宋体"/>
                <w:b/>
                <w:color w:val="auto"/>
                <w:szCs w:val="24"/>
                <w:highlight w:val="none"/>
                <w:u w:val="none"/>
              </w:rPr>
              <w:t>业绩</w:t>
            </w:r>
            <w:r>
              <w:rPr>
                <w:rFonts w:ascii="宋体" w:hAnsi="宋体"/>
                <w:b/>
                <w:color w:val="auto"/>
                <w:szCs w:val="24"/>
                <w:highlight w:val="none"/>
                <w:u w:val="none"/>
              </w:rPr>
              <w:t>比较基准</w:t>
            </w:r>
            <w:r>
              <w:rPr>
                <w:rFonts w:hint="eastAsia" w:ascii="宋体" w:hAnsi="宋体"/>
                <w:b/>
                <w:color w:val="auto"/>
                <w:szCs w:val="24"/>
                <w:highlight w:val="none"/>
                <w:u w:val="none"/>
              </w:rPr>
              <w:t>提示</w:t>
            </w:r>
          </w:p>
          <w:p w14:paraId="1792C95E">
            <w:pPr>
              <w:widowControl/>
              <w:spacing w:line="400" w:lineRule="exact"/>
              <w:jc w:val="left"/>
              <w:textAlignment w:val="center"/>
              <w:rPr>
                <w:rFonts w:ascii="宋体" w:hAnsi="宋体"/>
                <w:b/>
                <w:color w:val="auto"/>
                <w:szCs w:val="24"/>
                <w:highlight w:val="none"/>
                <w:u w:val="none"/>
              </w:rPr>
            </w:pPr>
            <w:r>
              <w:rPr>
                <w:rFonts w:hint="eastAsia" w:ascii="宋体" w:hAnsi="宋体"/>
                <w:b/>
                <w:color w:val="auto"/>
                <w:szCs w:val="24"/>
                <w:highlight w:val="none"/>
                <w:u w:val="none"/>
              </w:rPr>
              <w:t>本理财产品为净值型产品，业绩表现将随市场波动，具有不确定性。业绩比较基准是管理人基于投资范围内各类资产的收益率水平、投资比例、市场情况等因素进行静态测算和情景分析所得出和设定的投资目标。</w:t>
            </w:r>
          </w:p>
          <w:p w14:paraId="45B006F9">
            <w:pPr>
              <w:widowControl/>
              <w:snapToGrid/>
              <w:spacing w:line="400" w:lineRule="exact"/>
              <w:jc w:val="left"/>
              <w:textAlignment w:val="center"/>
              <w:rPr>
                <w:rFonts w:ascii="宋体" w:hAnsi="宋体"/>
                <w:b/>
                <w:bCs/>
                <w:color w:val="auto"/>
                <w:szCs w:val="24"/>
                <w:highlight w:val="none"/>
                <w:u w:val="none"/>
              </w:rPr>
            </w:pPr>
            <w:r>
              <w:rPr>
                <w:rFonts w:hint="eastAsia" w:asciiTheme="minorEastAsia" w:hAnsiTheme="minorEastAsia"/>
                <w:color w:val="auto"/>
                <w:kern w:val="0"/>
                <w:szCs w:val="24"/>
                <w:highlight w:val="none"/>
                <w:u w:val="none"/>
              </w:rPr>
              <w:t>本理财产品</w:t>
            </w:r>
            <w:r>
              <w:rPr>
                <w:rFonts w:hint="eastAsia" w:asciiTheme="minorEastAsia" w:hAnsiTheme="minorEastAsia" w:cstheme="minorEastAsia"/>
                <w:b/>
                <w:color w:val="auto"/>
                <w:szCs w:val="24"/>
                <w:highlight w:val="yellow"/>
              </w:rPr>
              <w:t>【100%投资于货币市场工具】</w:t>
            </w:r>
            <w:r>
              <w:rPr>
                <w:rFonts w:hint="eastAsia" w:asciiTheme="minorEastAsia" w:hAnsiTheme="minorEastAsia" w:cstheme="minorEastAsia"/>
                <w:b/>
                <w:color w:val="auto"/>
                <w:szCs w:val="24"/>
                <w:highlight w:val="none"/>
                <w:lang w:eastAsia="zh-CN"/>
              </w:rPr>
              <w:t>。</w:t>
            </w:r>
            <w:r>
              <w:rPr>
                <w:rFonts w:hint="eastAsia" w:ascii="宋体" w:hAnsi="宋体"/>
                <w:b/>
                <w:bCs/>
                <w:color w:val="auto"/>
                <w:szCs w:val="24"/>
                <w:highlight w:val="none"/>
                <w:u w:val="none"/>
              </w:rPr>
              <w:t>管理人根据拟投资资产种类、配置比例、运作策略等因素，结合宏观经济情况和市场趋势的预判分析，综合测算、确定本理财产品的业绩比较基准。</w:t>
            </w:r>
          </w:p>
          <w:p w14:paraId="386A8F2A">
            <w:pPr>
              <w:widowControl/>
              <w:snapToGrid/>
              <w:spacing w:line="400" w:lineRule="exact"/>
              <w:jc w:val="left"/>
              <w:textAlignment w:val="center"/>
              <w:rPr>
                <w:rFonts w:asciiTheme="minorEastAsia" w:hAnsiTheme="minorEastAsia" w:cstheme="minorEastAsia"/>
                <w:b/>
                <w:color w:val="auto"/>
                <w:highlight w:val="none"/>
                <w:u w:val="none"/>
              </w:rPr>
            </w:pPr>
            <w:r>
              <w:rPr>
                <w:rFonts w:hint="eastAsia" w:asciiTheme="minorEastAsia" w:hAnsiTheme="minorEastAsia" w:cstheme="minorEastAsia"/>
                <w:b/>
                <w:color w:val="auto"/>
                <w:highlight w:val="none"/>
                <w:u w:val="none"/>
              </w:rPr>
              <w:t>业绩比较基准不是预期收益率，不代表产品的未来表现和实际收益，仅作为业绩参考和</w:t>
            </w:r>
            <w:r>
              <w:rPr>
                <w:rFonts w:asciiTheme="minorEastAsia" w:hAnsiTheme="minorEastAsia" w:cstheme="minorEastAsia"/>
                <w:b/>
                <w:color w:val="auto"/>
                <w:highlight w:val="none"/>
                <w:u w:val="none"/>
              </w:rPr>
              <w:t>计算</w:t>
            </w:r>
            <w:r>
              <w:rPr>
                <w:rFonts w:hint="eastAsia" w:asciiTheme="minorEastAsia" w:hAnsiTheme="minorEastAsia" w:cstheme="minorEastAsia"/>
                <w:b/>
                <w:color w:val="auto"/>
                <w:highlight w:val="none"/>
                <w:u w:val="none"/>
                <w:lang w:eastAsia="zh-CN"/>
              </w:rPr>
              <w:t>浮动管理费</w:t>
            </w:r>
            <w:r>
              <w:rPr>
                <w:rFonts w:hint="eastAsia" w:asciiTheme="minorEastAsia" w:hAnsiTheme="minorEastAsia" w:cstheme="minorEastAsia"/>
                <w:b/>
                <w:color w:val="auto"/>
                <w:highlight w:val="none"/>
                <w:u w:val="none"/>
              </w:rPr>
              <w:t>（如有）的依据，不构成对该理财产品的任何收益承诺，投资者能获得的最终收益以实际支付为准。</w:t>
            </w:r>
          </w:p>
          <w:p w14:paraId="68CE782E">
            <w:pPr>
              <w:widowControl/>
              <w:spacing w:line="400" w:lineRule="exact"/>
              <w:jc w:val="left"/>
              <w:textAlignment w:val="center"/>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asciiTheme="minorEastAsia" w:hAnsiTheme="minorEastAsia" w:cstheme="minorEastAsia"/>
                <w:b/>
                <w:color w:val="auto"/>
                <w:highlight w:val="none"/>
                <w:u w:val="none"/>
              </w:rPr>
              <w:t>理财产品存续期内，管理人有权根据市场情况对业绩比较基准进行调整，该调整将通过本《产品说明书》之“信息披露”约定的方式进行信息披露，如未披露调整，以最新披露的业绩比较基准为准。</w:t>
            </w:r>
          </w:p>
        </w:tc>
      </w:tr>
      <w:tr w14:paraId="6C4DDDEB">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3950F438">
            <w:pPr>
              <w:widowControl/>
              <w:spacing w:line="400" w:lineRule="exact"/>
              <w:jc w:val="center"/>
              <w:textAlignment w:val="center"/>
              <w:rPr>
                <w:rFonts w:hint="eastAsia" w:ascii="楷体_GB2312" w:hAnsi="等线" w:eastAsia="楷体_GB2312" w:cs="楷体_GB2312"/>
                <w:bCs/>
                <w:color w:val="000000" w:themeColor="text1"/>
                <w:sz w:val="24"/>
                <w:highlight w:val="none"/>
                <w14:textFill>
                  <w14:solidFill>
                    <w14:schemeClr w14:val="tx1"/>
                  </w14:solidFill>
                </w14:textFill>
              </w:rPr>
            </w:pPr>
            <w:r>
              <w:rPr>
                <w:rFonts w:hint="eastAsia" w:ascii="楷体_GB2312" w:hAnsi="等线" w:eastAsia="楷体_GB2312" w:cs="楷体_GB2312"/>
                <w:b/>
                <w:color w:val="000000" w:themeColor="text1"/>
                <w:kern w:val="0"/>
                <w:sz w:val="24"/>
                <w:highlight w:val="none"/>
                <w:lang w:bidi="ar"/>
                <w14:textFill>
                  <w14:solidFill>
                    <w14:schemeClr w14:val="tx1"/>
                  </w14:solidFill>
                </w14:textFill>
              </w:rPr>
              <w:t>（七）投资范围与策略</w:t>
            </w:r>
          </w:p>
        </w:tc>
      </w:tr>
      <w:tr w14:paraId="3E304D56">
        <w:tblPrEx>
          <w:tblCellMar>
            <w:top w:w="0" w:type="dxa"/>
            <w:left w:w="108" w:type="dxa"/>
            <w:bottom w:w="0" w:type="dxa"/>
            <w:right w:w="108" w:type="dxa"/>
          </w:tblCellMar>
        </w:tblPrEx>
        <w:trPr>
          <w:trHeight w:val="835" w:hRule="atLeast"/>
        </w:trPr>
        <w:tc>
          <w:tcPr>
            <w:tcW w:w="2453" w:type="dxa"/>
            <w:tcBorders>
              <w:top w:val="single" w:color="auto" w:sz="4" w:space="0"/>
              <w:left w:val="single" w:color="auto" w:sz="4" w:space="0"/>
              <w:bottom w:val="single" w:color="auto" w:sz="4" w:space="0"/>
              <w:right w:val="single" w:color="auto" w:sz="4" w:space="0"/>
            </w:tcBorders>
            <w:vAlign w:val="center"/>
          </w:tcPr>
          <w:p w14:paraId="2BABD259">
            <w:pPr>
              <w:widowControl/>
              <w:spacing w:line="56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投资范围</w:t>
            </w:r>
          </w:p>
        </w:tc>
        <w:tc>
          <w:tcPr>
            <w:tcW w:w="6972" w:type="dxa"/>
            <w:tcBorders>
              <w:top w:val="single" w:color="auto" w:sz="4" w:space="0"/>
              <w:left w:val="single" w:color="auto" w:sz="4" w:space="0"/>
              <w:bottom w:val="single" w:color="auto" w:sz="4" w:space="0"/>
              <w:right w:val="single" w:color="auto" w:sz="4" w:space="0"/>
            </w:tcBorders>
            <w:vAlign w:val="center"/>
          </w:tcPr>
          <w:p w14:paraId="390A8DCF">
            <w:pPr>
              <w:tabs>
                <w:tab w:val="left" w:pos="3119"/>
              </w:tabs>
              <w:autoSpaceDE w:val="0"/>
              <w:autoSpaceDN w:val="0"/>
              <w:spacing w:line="360" w:lineRule="auto"/>
              <w:ind w:right="31" w:rightChars="15"/>
              <w:rPr>
                <w:rFonts w:hint="eastAsia" w:ascii="仿宋_GB2312" w:hAnsi="等线" w:eastAsia="仿宋_GB2312" w:cs="仿宋_GB2312"/>
                <w:bCs/>
                <w:color w:val="000000" w:themeColor="text1"/>
                <w:sz w:val="24"/>
                <w:highlight w:val="yellow"/>
                <w:lang w:eastAsia="zh-CN"/>
                <w14:textFill>
                  <w14:solidFill>
                    <w14:schemeClr w14:val="tx1"/>
                  </w14:solidFill>
                </w14:textFill>
              </w:rPr>
            </w:pPr>
            <w:r>
              <w:rPr>
                <w:rFonts w:hint="eastAsia" w:ascii="仿宋_GB2312" w:hAnsi="宋体" w:cs="宋体"/>
                <w:bCs/>
                <w:color w:val="auto"/>
                <w:kern w:val="0"/>
                <w:szCs w:val="24"/>
                <w:highlight w:val="yellow"/>
                <w:lang w:eastAsia="zh-CN"/>
              </w:rPr>
              <w:t>【】</w:t>
            </w:r>
          </w:p>
        </w:tc>
      </w:tr>
      <w:tr w14:paraId="6A92CFE1">
        <w:tblPrEx>
          <w:tblCellMar>
            <w:top w:w="0" w:type="dxa"/>
            <w:left w:w="108" w:type="dxa"/>
            <w:bottom w:w="0" w:type="dxa"/>
            <w:right w:w="108" w:type="dxa"/>
          </w:tblCellMar>
        </w:tblPrEx>
        <w:trPr>
          <w:trHeight w:val="780" w:hRule="atLeast"/>
        </w:trPr>
        <w:tc>
          <w:tcPr>
            <w:tcW w:w="2453" w:type="dxa"/>
            <w:tcBorders>
              <w:top w:val="single" w:color="auto" w:sz="4" w:space="0"/>
              <w:left w:val="single" w:color="auto" w:sz="4" w:space="0"/>
              <w:bottom w:val="single" w:color="auto" w:sz="4" w:space="0"/>
              <w:right w:val="single" w:color="auto" w:sz="4" w:space="0"/>
            </w:tcBorders>
            <w:vAlign w:val="center"/>
          </w:tcPr>
          <w:p w14:paraId="798E53E2">
            <w:pPr>
              <w:widowControl/>
              <w:spacing w:line="56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投资策略</w:t>
            </w:r>
          </w:p>
        </w:tc>
        <w:tc>
          <w:tcPr>
            <w:tcW w:w="6972" w:type="dxa"/>
            <w:tcBorders>
              <w:top w:val="single" w:color="auto" w:sz="4" w:space="0"/>
              <w:left w:val="single" w:color="auto" w:sz="4" w:space="0"/>
              <w:bottom w:val="single" w:color="auto" w:sz="4" w:space="0"/>
              <w:right w:val="single" w:color="auto" w:sz="4" w:space="0"/>
            </w:tcBorders>
            <w:vAlign w:val="center"/>
          </w:tcPr>
          <w:p w14:paraId="0BAE0E53">
            <w:pPr>
              <w:widowControl/>
              <w:tabs>
                <w:tab w:val="left" w:pos="3119"/>
              </w:tabs>
              <w:autoSpaceDE w:val="0"/>
              <w:autoSpaceDN w:val="0"/>
              <w:adjustRightInd w:val="0"/>
              <w:snapToGrid w:val="0"/>
              <w:spacing w:line="360" w:lineRule="auto"/>
              <w:ind w:firstLine="0" w:firstLineChars="0"/>
              <w:jc w:val="left"/>
              <w:textAlignment w:val="auto"/>
              <w:rPr>
                <w:rFonts w:hint="eastAsia" w:ascii="仿宋_GB2312" w:hAnsi="等线" w:eastAsia="仿宋_GB2312" w:cs="仿宋_GB2312"/>
                <w:bCs/>
                <w:color w:val="000000" w:themeColor="text1"/>
                <w:sz w:val="24"/>
                <w:highlight w:val="yellow"/>
                <w:lang w:eastAsia="zh-CN"/>
                <w14:textFill>
                  <w14:solidFill>
                    <w14:schemeClr w14:val="tx1"/>
                  </w14:solidFill>
                </w14:textFill>
              </w:rPr>
            </w:pPr>
            <w:r>
              <w:rPr>
                <w:rFonts w:hint="eastAsia"/>
                <w:color w:val="auto"/>
                <w:highlight w:val="yellow"/>
                <w:lang w:eastAsia="zh-CN"/>
              </w:rPr>
              <w:t>【】</w:t>
            </w:r>
          </w:p>
        </w:tc>
      </w:tr>
      <w:tr w14:paraId="3587B0BA">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146951FB">
            <w:pPr>
              <w:widowControl/>
              <w:spacing w:line="56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cs="仿宋_GB2312"/>
                <w:color w:val="000000" w:themeColor="text1"/>
                <w:kern w:val="0"/>
                <w:sz w:val="24"/>
                <w:highlight w:val="none"/>
                <w:lang w:eastAsia="zh-CN" w:bidi="ar"/>
                <w14:textFill>
                  <w14:solidFill>
                    <w14:schemeClr w14:val="tx1"/>
                  </w14:solidFill>
                </w14:textFill>
              </w:rPr>
              <w:t>债权</w:t>
            </w:r>
            <w:r>
              <w:rPr>
                <w:rFonts w:hint="eastAsia" w:ascii="仿宋_GB2312" w:hAnsi="等线" w:eastAsia="仿宋_GB2312" w:cs="仿宋_GB2312"/>
                <w:color w:val="000000" w:themeColor="text1"/>
                <w:kern w:val="0"/>
                <w:sz w:val="24"/>
                <w:highlight w:val="none"/>
                <w:lang w:bidi="ar"/>
                <w14:textFill>
                  <w14:solidFill>
                    <w14:schemeClr w14:val="tx1"/>
                  </w14:solidFill>
                </w14:textFill>
              </w:rPr>
              <w:t>类资产投资上限</w:t>
            </w:r>
          </w:p>
        </w:tc>
        <w:tc>
          <w:tcPr>
            <w:tcW w:w="6972" w:type="dxa"/>
            <w:tcBorders>
              <w:top w:val="single" w:color="auto" w:sz="4" w:space="0"/>
              <w:left w:val="single" w:color="auto" w:sz="4" w:space="0"/>
              <w:bottom w:val="single" w:color="auto" w:sz="4" w:space="0"/>
              <w:right w:val="single" w:color="auto" w:sz="4" w:space="0"/>
            </w:tcBorders>
            <w:vAlign w:val="center"/>
          </w:tcPr>
          <w:p w14:paraId="61F066E5">
            <w:pPr>
              <w:widowControl/>
              <w:spacing w:line="560" w:lineRule="exact"/>
              <w:jc w:val="left"/>
              <w:textAlignment w:val="center"/>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ascii="仿宋_GB2312" w:hAnsi="宋体" w:cs="宋体"/>
                <w:b/>
                <w:bCs/>
                <w:color w:val="auto"/>
                <w:kern w:val="0"/>
                <w:szCs w:val="24"/>
                <w:highlight w:val="none"/>
                <w:u w:val="none"/>
                <w:lang w:val="en-US" w:eastAsia="zh-CN"/>
              </w:rPr>
              <w:t>100%（投向货币市场工具）</w:t>
            </w:r>
          </w:p>
        </w:tc>
      </w:tr>
      <w:tr w14:paraId="64133070">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1B86D69A">
            <w:pPr>
              <w:widowControl/>
              <w:spacing w:line="56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cs="仿宋_GB2312"/>
                <w:color w:val="000000" w:themeColor="text1"/>
                <w:kern w:val="0"/>
                <w:sz w:val="24"/>
                <w:highlight w:val="none"/>
                <w:lang w:eastAsia="zh-CN" w:bidi="ar"/>
                <w14:textFill>
                  <w14:solidFill>
                    <w14:schemeClr w14:val="tx1"/>
                  </w14:solidFill>
                </w14:textFill>
              </w:rPr>
              <w:t>债权</w:t>
            </w:r>
            <w:r>
              <w:rPr>
                <w:rFonts w:hint="eastAsia" w:ascii="仿宋_GB2312" w:hAnsi="等线" w:eastAsia="仿宋_GB2312" w:cs="仿宋_GB2312"/>
                <w:color w:val="000000" w:themeColor="text1"/>
                <w:kern w:val="0"/>
                <w:sz w:val="24"/>
                <w:highlight w:val="none"/>
                <w:lang w:bidi="ar"/>
                <w14:textFill>
                  <w14:solidFill>
                    <w14:schemeClr w14:val="tx1"/>
                  </w14:solidFill>
                </w14:textFill>
              </w:rPr>
              <w:t>类资产投资下限</w:t>
            </w:r>
          </w:p>
        </w:tc>
        <w:tc>
          <w:tcPr>
            <w:tcW w:w="6972" w:type="dxa"/>
            <w:tcBorders>
              <w:top w:val="single" w:color="auto" w:sz="4" w:space="0"/>
              <w:left w:val="single" w:color="auto" w:sz="4" w:space="0"/>
              <w:bottom w:val="single" w:color="auto" w:sz="4" w:space="0"/>
              <w:right w:val="single" w:color="auto" w:sz="4" w:space="0"/>
            </w:tcBorders>
            <w:vAlign w:val="center"/>
          </w:tcPr>
          <w:p w14:paraId="4315A3DF">
            <w:pPr>
              <w:widowControl/>
              <w:spacing w:line="560" w:lineRule="exact"/>
              <w:jc w:val="left"/>
              <w:textAlignment w:val="center"/>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ascii="仿宋_GB2312" w:hAnsi="宋体" w:cs="宋体"/>
                <w:b/>
                <w:bCs/>
                <w:color w:val="auto"/>
                <w:kern w:val="0"/>
                <w:szCs w:val="24"/>
                <w:highlight w:val="none"/>
                <w:u w:val="none"/>
                <w:lang w:val="en-US" w:eastAsia="zh-CN"/>
              </w:rPr>
              <w:t>100%（投向货币市场工具）</w:t>
            </w:r>
          </w:p>
        </w:tc>
      </w:tr>
      <w:tr w14:paraId="68B59E16">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14CB9739">
            <w:pPr>
              <w:widowControl/>
              <w:spacing w:line="56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权益类资产投资上限</w:t>
            </w:r>
          </w:p>
        </w:tc>
        <w:tc>
          <w:tcPr>
            <w:tcW w:w="6972" w:type="dxa"/>
            <w:tcBorders>
              <w:top w:val="single" w:color="auto" w:sz="4" w:space="0"/>
              <w:left w:val="single" w:color="auto" w:sz="4" w:space="0"/>
              <w:bottom w:val="single" w:color="auto" w:sz="4" w:space="0"/>
              <w:right w:val="single" w:color="auto" w:sz="4" w:space="0"/>
            </w:tcBorders>
            <w:vAlign w:val="center"/>
          </w:tcPr>
          <w:p w14:paraId="21987A74">
            <w:pPr>
              <w:widowControl/>
              <w:spacing w:line="560" w:lineRule="exact"/>
              <w:jc w:val="left"/>
              <w:textAlignment w:val="center"/>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ascii="仿宋_GB2312" w:hAnsi="宋体" w:cs="宋体"/>
                <w:b/>
                <w:bCs/>
                <w:color w:val="auto"/>
                <w:kern w:val="0"/>
                <w:szCs w:val="24"/>
                <w:highlight w:val="none"/>
                <w:u w:val="none"/>
                <w:lang w:val="en-US" w:eastAsia="zh-CN"/>
              </w:rPr>
              <w:t>0%</w:t>
            </w:r>
          </w:p>
        </w:tc>
      </w:tr>
      <w:tr w14:paraId="56FC2033">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7D00D1BC">
            <w:pPr>
              <w:widowControl/>
              <w:spacing w:line="56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权益类资产投资下限</w:t>
            </w:r>
          </w:p>
        </w:tc>
        <w:tc>
          <w:tcPr>
            <w:tcW w:w="6972" w:type="dxa"/>
            <w:tcBorders>
              <w:top w:val="single" w:color="auto" w:sz="4" w:space="0"/>
              <w:left w:val="single" w:color="auto" w:sz="4" w:space="0"/>
              <w:bottom w:val="single" w:color="auto" w:sz="4" w:space="0"/>
              <w:right w:val="single" w:color="auto" w:sz="4" w:space="0"/>
            </w:tcBorders>
            <w:vAlign w:val="center"/>
          </w:tcPr>
          <w:p w14:paraId="70914409">
            <w:pPr>
              <w:widowControl/>
              <w:spacing w:line="560" w:lineRule="exact"/>
              <w:jc w:val="left"/>
              <w:textAlignment w:val="center"/>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ascii="仿宋_GB2312" w:hAnsi="宋体" w:cs="宋体"/>
                <w:b/>
                <w:bCs/>
                <w:color w:val="auto"/>
                <w:kern w:val="0"/>
                <w:szCs w:val="24"/>
                <w:highlight w:val="none"/>
                <w:u w:val="none"/>
                <w:lang w:val="en-US" w:eastAsia="zh-CN"/>
              </w:rPr>
              <w:t>0%</w:t>
            </w:r>
          </w:p>
        </w:tc>
      </w:tr>
      <w:tr w14:paraId="460CD960">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076CE5BF">
            <w:pPr>
              <w:widowControl/>
              <w:spacing w:line="56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商品及金融衍生品类资产投资上限</w:t>
            </w:r>
          </w:p>
        </w:tc>
        <w:tc>
          <w:tcPr>
            <w:tcW w:w="6972" w:type="dxa"/>
            <w:tcBorders>
              <w:top w:val="single" w:color="auto" w:sz="4" w:space="0"/>
              <w:left w:val="single" w:color="auto" w:sz="4" w:space="0"/>
              <w:bottom w:val="single" w:color="auto" w:sz="4" w:space="0"/>
              <w:right w:val="single" w:color="auto" w:sz="4" w:space="0"/>
            </w:tcBorders>
            <w:vAlign w:val="center"/>
          </w:tcPr>
          <w:p w14:paraId="5561FF0B">
            <w:pPr>
              <w:widowControl/>
              <w:spacing w:line="560" w:lineRule="exact"/>
              <w:jc w:val="left"/>
              <w:textAlignment w:val="center"/>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ascii="仿宋_GB2312" w:hAnsi="宋体" w:cs="宋体"/>
                <w:b/>
                <w:bCs/>
                <w:color w:val="auto"/>
                <w:kern w:val="0"/>
                <w:szCs w:val="24"/>
                <w:highlight w:val="none"/>
                <w:u w:val="none"/>
                <w:lang w:val="en-US" w:eastAsia="zh-CN"/>
              </w:rPr>
              <w:t>0%</w:t>
            </w:r>
          </w:p>
        </w:tc>
      </w:tr>
      <w:tr w14:paraId="1A4D946D">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1A8CC5B5">
            <w:pPr>
              <w:widowControl/>
              <w:spacing w:line="56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商品及金融衍生品类资产投资下限</w:t>
            </w:r>
          </w:p>
        </w:tc>
        <w:tc>
          <w:tcPr>
            <w:tcW w:w="6972" w:type="dxa"/>
            <w:tcBorders>
              <w:top w:val="single" w:color="auto" w:sz="4" w:space="0"/>
              <w:left w:val="single" w:color="auto" w:sz="4" w:space="0"/>
              <w:bottom w:val="single" w:color="auto" w:sz="4" w:space="0"/>
              <w:right w:val="single" w:color="auto" w:sz="4" w:space="0"/>
            </w:tcBorders>
            <w:vAlign w:val="center"/>
          </w:tcPr>
          <w:p w14:paraId="714E47D1">
            <w:pPr>
              <w:widowControl/>
              <w:spacing w:line="560" w:lineRule="exact"/>
              <w:jc w:val="left"/>
              <w:textAlignment w:val="center"/>
              <w:rPr>
                <w:rFonts w:hint="default" w:ascii="仿宋_GB2312" w:hAnsi="等线"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宋体" w:cs="宋体"/>
                <w:b/>
                <w:bCs/>
                <w:color w:val="auto"/>
                <w:kern w:val="0"/>
                <w:szCs w:val="24"/>
                <w:highlight w:val="none"/>
                <w:u w:val="none"/>
                <w:lang w:val="en-US" w:eastAsia="zh-CN"/>
              </w:rPr>
              <w:t>0%</w:t>
            </w:r>
          </w:p>
        </w:tc>
      </w:tr>
      <w:tr w14:paraId="20CF442E">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7CB9C273">
            <w:pPr>
              <w:widowControl/>
              <w:spacing w:line="560" w:lineRule="exact"/>
              <w:jc w:val="center"/>
              <w:textAlignment w:val="center"/>
              <w:rPr>
                <w:rFonts w:hint="eastAsia" w:ascii="楷体_GB2312" w:hAnsi="等线" w:eastAsia="楷体_GB2312" w:cs="楷体_GB2312"/>
                <w:bCs/>
                <w:color w:val="000000" w:themeColor="text1"/>
                <w:sz w:val="24"/>
                <w:highlight w:val="none"/>
                <w14:textFill>
                  <w14:solidFill>
                    <w14:schemeClr w14:val="tx1"/>
                  </w14:solidFill>
                </w14:textFill>
              </w:rPr>
            </w:pPr>
            <w:r>
              <w:rPr>
                <w:rFonts w:hint="eastAsia" w:ascii="楷体_GB2312" w:hAnsi="等线" w:eastAsia="楷体_GB2312" w:cs="楷体_GB2312"/>
                <w:b/>
                <w:color w:val="000000" w:themeColor="text1"/>
                <w:kern w:val="0"/>
                <w:sz w:val="24"/>
                <w:highlight w:val="none"/>
                <w:lang w:bidi="ar"/>
                <w14:textFill>
                  <w14:solidFill>
                    <w14:schemeClr w14:val="tx1"/>
                  </w14:solidFill>
                </w14:textFill>
              </w:rPr>
              <w:t>（八）其他约定</w:t>
            </w:r>
          </w:p>
        </w:tc>
      </w:tr>
      <w:tr w14:paraId="0E0C663B">
        <w:tblPrEx>
          <w:tblCellMar>
            <w:top w:w="0" w:type="dxa"/>
            <w:left w:w="108" w:type="dxa"/>
            <w:bottom w:w="0" w:type="dxa"/>
            <w:right w:w="108" w:type="dxa"/>
          </w:tblCellMar>
        </w:tblPrEx>
        <w:trPr>
          <w:trHeight w:val="1010" w:hRule="atLeast"/>
        </w:trPr>
        <w:tc>
          <w:tcPr>
            <w:tcW w:w="2453" w:type="dxa"/>
            <w:tcBorders>
              <w:top w:val="single" w:color="auto" w:sz="4" w:space="0"/>
              <w:left w:val="single" w:color="auto" w:sz="4" w:space="0"/>
              <w:bottom w:val="single" w:color="auto" w:sz="4" w:space="0"/>
              <w:right w:val="single" w:color="auto" w:sz="4" w:space="0"/>
            </w:tcBorders>
            <w:vAlign w:val="center"/>
          </w:tcPr>
          <w:p w14:paraId="38C7B9E3">
            <w:pPr>
              <w:snapToGrid w:val="0"/>
              <w:ind w:left="-140" w:leftChars="-74" w:hanging="15" w:firstLineChars="0"/>
              <w:jc w:val="center"/>
              <w:rPr>
                <w:rFonts w:hint="eastAsia" w:ascii="仿宋_GB2312" w:hAnsi="等线" w:eastAsia="仿宋_GB2312" w:cs="仿宋_GB2312"/>
                <w:color w:val="000000" w:themeColor="text1"/>
                <w:kern w:val="0"/>
                <w:sz w:val="24"/>
                <w:highlight w:val="none"/>
                <w:lang w:bidi="ar"/>
                <w14:textFill>
                  <w14:solidFill>
                    <w14:schemeClr w14:val="tx1"/>
                  </w14:solidFill>
                </w14:textFill>
              </w:rPr>
            </w:pPr>
            <w:r>
              <w:rPr>
                <w:rFonts w:hint="eastAsia" w:ascii="宋体" w:hAnsi="宋体"/>
                <w:color w:val="auto"/>
                <w:szCs w:val="24"/>
                <w:highlight w:val="none"/>
              </w:rPr>
              <w:t>情景</w:t>
            </w:r>
            <w:r>
              <w:rPr>
                <w:rFonts w:ascii="宋体" w:hAnsi="宋体"/>
                <w:color w:val="auto"/>
                <w:szCs w:val="24"/>
                <w:highlight w:val="none"/>
              </w:rPr>
              <w:t>分析</w:t>
            </w:r>
          </w:p>
        </w:tc>
        <w:tc>
          <w:tcPr>
            <w:tcW w:w="6972" w:type="dxa"/>
            <w:tcBorders>
              <w:top w:val="single" w:color="auto" w:sz="4" w:space="0"/>
              <w:left w:val="single" w:color="auto" w:sz="4" w:space="0"/>
              <w:bottom w:val="single" w:color="auto" w:sz="4" w:space="0"/>
              <w:right w:val="single" w:color="auto" w:sz="4" w:space="0"/>
            </w:tcBorders>
            <w:vAlign w:val="center"/>
          </w:tcPr>
          <w:p w14:paraId="372CD459">
            <w:pPr>
              <w:snapToGrid w:val="0"/>
              <w:rPr>
                <w:rFonts w:ascii="宋体" w:hAnsi="宋体"/>
                <w:color w:val="auto"/>
                <w:szCs w:val="24"/>
                <w:highlight w:val="none"/>
              </w:rPr>
            </w:pPr>
            <w:r>
              <w:rPr>
                <w:rFonts w:hint="eastAsia" w:ascii="宋体" w:hAnsi="宋体"/>
                <w:color w:val="auto"/>
                <w:szCs w:val="24"/>
                <w:highlight w:val="none"/>
              </w:rPr>
              <w:t>采用</w:t>
            </w:r>
            <w:r>
              <w:rPr>
                <w:rFonts w:ascii="宋体" w:hAnsi="宋体"/>
                <w:color w:val="auto"/>
                <w:szCs w:val="24"/>
                <w:highlight w:val="none"/>
              </w:rPr>
              <w:t>模拟数据</w:t>
            </w:r>
            <w:r>
              <w:rPr>
                <w:rFonts w:hint="eastAsia" w:ascii="宋体" w:hAnsi="宋体"/>
                <w:color w:val="auto"/>
                <w:szCs w:val="24"/>
                <w:highlight w:val="none"/>
              </w:rPr>
              <w:t>计算</w:t>
            </w:r>
            <w:r>
              <w:rPr>
                <w:rFonts w:ascii="宋体" w:hAnsi="宋体"/>
                <w:color w:val="auto"/>
                <w:szCs w:val="24"/>
                <w:highlight w:val="none"/>
              </w:rPr>
              <w:t>，仅为举例之用，不作为最终收益的计算依据。</w:t>
            </w:r>
          </w:p>
          <w:p w14:paraId="7E65B3E9">
            <w:pPr>
              <w:snapToGrid w:val="0"/>
              <w:rPr>
                <w:rFonts w:ascii="宋体" w:hAnsi="宋体"/>
                <w:color w:val="auto"/>
                <w:szCs w:val="24"/>
                <w:highlight w:val="none"/>
              </w:rPr>
            </w:pPr>
            <w:r>
              <w:rPr>
                <w:rFonts w:hint="eastAsia" w:ascii="宋体" w:hAnsi="宋体"/>
                <w:color w:val="auto"/>
                <w:szCs w:val="24"/>
                <w:highlight w:val="none"/>
              </w:rPr>
              <w:t>投资者</w:t>
            </w:r>
            <w:r>
              <w:rPr>
                <w:rFonts w:ascii="宋体" w:hAnsi="宋体"/>
                <w:color w:val="auto"/>
                <w:szCs w:val="24"/>
                <w:highlight w:val="none"/>
              </w:rPr>
              <w:t>于T日（</w:t>
            </w:r>
            <w:r>
              <w:rPr>
                <w:rFonts w:hint="eastAsia" w:ascii="宋体" w:hAnsi="宋体"/>
                <w:color w:val="auto"/>
                <w:szCs w:val="24"/>
                <w:highlight w:val="none"/>
              </w:rPr>
              <w:t>工作日</w:t>
            </w:r>
            <w:r>
              <w:rPr>
                <w:rFonts w:ascii="宋体" w:hAnsi="宋体"/>
                <w:color w:val="auto"/>
                <w:szCs w:val="24"/>
                <w:highlight w:val="none"/>
              </w:rPr>
              <w:t>/</w:t>
            </w:r>
            <w:r>
              <w:rPr>
                <w:rFonts w:hint="eastAsia" w:ascii="宋体" w:hAnsi="宋体"/>
                <w:color w:val="auto"/>
                <w:szCs w:val="24"/>
                <w:highlight w:val="none"/>
              </w:rPr>
              <w:t>交易日</w:t>
            </w:r>
            <w:r>
              <w:rPr>
                <w:rFonts w:ascii="宋体" w:hAnsi="宋体"/>
                <w:color w:val="auto"/>
                <w:szCs w:val="24"/>
                <w:highlight w:val="none"/>
              </w:rPr>
              <w:t>）</w:t>
            </w:r>
            <w:r>
              <w:rPr>
                <w:rFonts w:hint="eastAsia" w:ascii="宋体" w:hAnsi="宋体"/>
                <w:color w:val="auto"/>
                <w:szCs w:val="24"/>
                <w:highlight w:val="none"/>
              </w:rPr>
              <w:t>投资1000000元</w:t>
            </w:r>
            <w:r>
              <w:rPr>
                <w:rFonts w:ascii="宋体" w:hAnsi="宋体"/>
                <w:color w:val="auto"/>
                <w:szCs w:val="24"/>
                <w:highlight w:val="none"/>
              </w:rPr>
              <w:t>申购本产品，则其可得到的申购份额为</w:t>
            </w:r>
            <w:r>
              <w:rPr>
                <w:rFonts w:hint="eastAsia" w:ascii="宋体" w:hAnsi="宋体"/>
                <w:color w:val="auto"/>
                <w:szCs w:val="24"/>
                <w:highlight w:val="none"/>
              </w:rPr>
              <w:t>1000000份。</w:t>
            </w:r>
            <w:r>
              <w:rPr>
                <w:rFonts w:ascii="宋体" w:hAnsi="宋体"/>
                <w:color w:val="auto"/>
                <w:szCs w:val="24"/>
                <w:highlight w:val="none"/>
              </w:rPr>
              <w:t>若</w:t>
            </w:r>
            <w:r>
              <w:rPr>
                <w:rFonts w:hint="eastAsia" w:ascii="宋体" w:hAnsi="宋体"/>
                <w:color w:val="auto"/>
                <w:szCs w:val="24"/>
                <w:highlight w:val="none"/>
              </w:rPr>
              <w:t>运作</w:t>
            </w:r>
            <w:r>
              <w:rPr>
                <w:rFonts w:ascii="宋体" w:hAnsi="宋体"/>
                <w:color w:val="auto"/>
                <w:szCs w:val="24"/>
                <w:highlight w:val="none"/>
              </w:rPr>
              <w:t>至T+7</w:t>
            </w:r>
            <w:r>
              <w:rPr>
                <w:rFonts w:hint="eastAsia" w:ascii="宋体" w:hAnsi="宋体"/>
                <w:color w:val="auto"/>
                <w:szCs w:val="24"/>
                <w:highlight w:val="none"/>
              </w:rPr>
              <w:t>日</w:t>
            </w:r>
            <w:r>
              <w:rPr>
                <w:rFonts w:ascii="宋体" w:hAnsi="宋体"/>
                <w:color w:val="auto"/>
                <w:szCs w:val="24"/>
                <w:highlight w:val="none"/>
              </w:rPr>
              <w:t>后，客户收益情况如下表：</w:t>
            </w:r>
          </w:p>
          <w:tbl>
            <w:tblPr>
              <w:tblStyle w:val="7"/>
              <w:tblW w:w="0" w:type="auto"/>
              <w:tblInd w:w="0" w:type="dxa"/>
              <w:tblLayout w:type="fixed"/>
              <w:tblCellMar>
                <w:top w:w="0" w:type="dxa"/>
                <w:left w:w="108" w:type="dxa"/>
                <w:bottom w:w="0" w:type="dxa"/>
                <w:right w:w="108" w:type="dxa"/>
              </w:tblCellMar>
            </w:tblPr>
            <w:tblGrid>
              <w:gridCol w:w="1019"/>
              <w:gridCol w:w="992"/>
              <w:gridCol w:w="1439"/>
              <w:gridCol w:w="1763"/>
              <w:gridCol w:w="1312"/>
            </w:tblGrid>
            <w:tr w14:paraId="347B3A6C">
              <w:tblPrEx>
                <w:tblCellMar>
                  <w:top w:w="0" w:type="dxa"/>
                  <w:left w:w="108" w:type="dxa"/>
                  <w:bottom w:w="0" w:type="dxa"/>
                  <w:right w:w="108" w:type="dxa"/>
                </w:tblCellMar>
              </w:tblPrEx>
              <w:trPr>
                <w:trHeight w:val="285" w:hRule="atLeast"/>
              </w:trPr>
              <w:tc>
                <w:tcPr>
                  <w:tcW w:w="2011" w:type="dxa"/>
                  <w:gridSpan w:val="2"/>
                  <w:tcBorders>
                    <w:top w:val="single" w:color="auto" w:sz="4" w:space="0"/>
                    <w:left w:val="single" w:color="auto" w:sz="4" w:space="0"/>
                    <w:bottom w:val="single" w:color="auto" w:sz="4" w:space="0"/>
                    <w:right w:val="single" w:color="auto" w:sz="4" w:space="0"/>
                  </w:tcBorders>
                  <w:shd w:val="clear" w:color="auto" w:fill="auto"/>
                  <w:noWrap/>
                  <w:vAlign w:val="bottom"/>
                </w:tcPr>
                <w:p w14:paraId="4AC19DAB">
                  <w:pPr>
                    <w:widowControl/>
                    <w:snapToGrid w:val="0"/>
                    <w:jc w:val="left"/>
                    <w:rPr>
                      <w:rFonts w:ascii="宋体" w:hAnsi="宋体"/>
                      <w:color w:val="auto"/>
                      <w:szCs w:val="24"/>
                      <w:highlight w:val="none"/>
                    </w:rPr>
                  </w:pPr>
                  <w:r>
                    <w:rPr>
                      <w:rFonts w:ascii="宋体" w:hAnsi="宋体"/>
                      <w:color w:val="auto"/>
                      <w:szCs w:val="24"/>
                      <w:highlight w:val="none"/>
                    </w:rPr>
                    <w:t>估值日</w:t>
                  </w:r>
                </w:p>
              </w:tc>
              <w:tc>
                <w:tcPr>
                  <w:tcW w:w="1439" w:type="dxa"/>
                  <w:tcBorders>
                    <w:top w:val="single" w:color="auto" w:sz="4" w:space="0"/>
                    <w:left w:val="nil"/>
                    <w:bottom w:val="single" w:color="auto" w:sz="4" w:space="0"/>
                    <w:right w:val="single" w:color="auto" w:sz="4" w:space="0"/>
                  </w:tcBorders>
                  <w:shd w:val="clear" w:color="auto" w:fill="auto"/>
                  <w:noWrap/>
                  <w:vAlign w:val="bottom"/>
                </w:tcPr>
                <w:p w14:paraId="72DC0EF3">
                  <w:pPr>
                    <w:widowControl/>
                    <w:snapToGrid w:val="0"/>
                    <w:jc w:val="left"/>
                    <w:rPr>
                      <w:rFonts w:ascii="宋体" w:hAnsi="宋体"/>
                      <w:color w:val="auto"/>
                      <w:szCs w:val="24"/>
                      <w:highlight w:val="none"/>
                    </w:rPr>
                  </w:pPr>
                  <w:r>
                    <w:rPr>
                      <w:rFonts w:ascii="宋体" w:hAnsi="宋体"/>
                      <w:color w:val="auto"/>
                      <w:szCs w:val="24"/>
                      <w:highlight w:val="none"/>
                    </w:rPr>
                    <w:t>万份收益</w:t>
                  </w:r>
                </w:p>
              </w:tc>
              <w:tc>
                <w:tcPr>
                  <w:tcW w:w="1763" w:type="dxa"/>
                  <w:tcBorders>
                    <w:top w:val="single" w:color="auto" w:sz="4" w:space="0"/>
                    <w:left w:val="nil"/>
                    <w:bottom w:val="single" w:color="auto" w:sz="4" w:space="0"/>
                    <w:right w:val="single" w:color="auto" w:sz="4" w:space="0"/>
                  </w:tcBorders>
                  <w:shd w:val="clear" w:color="auto" w:fill="auto"/>
                  <w:noWrap/>
                  <w:vAlign w:val="bottom"/>
                </w:tcPr>
                <w:p w14:paraId="1E935123">
                  <w:pPr>
                    <w:widowControl/>
                    <w:snapToGrid w:val="0"/>
                    <w:jc w:val="left"/>
                    <w:rPr>
                      <w:rFonts w:ascii="宋体" w:hAnsi="宋体"/>
                      <w:color w:val="auto"/>
                      <w:szCs w:val="24"/>
                      <w:highlight w:val="none"/>
                    </w:rPr>
                  </w:pPr>
                  <w:r>
                    <w:rPr>
                      <w:rFonts w:ascii="宋体" w:hAnsi="宋体"/>
                      <w:color w:val="auto"/>
                      <w:szCs w:val="24"/>
                      <w:highlight w:val="none"/>
                    </w:rPr>
                    <w:t>持有份额</w:t>
                  </w:r>
                </w:p>
              </w:tc>
              <w:tc>
                <w:tcPr>
                  <w:tcW w:w="1312" w:type="dxa"/>
                  <w:tcBorders>
                    <w:top w:val="single" w:color="auto" w:sz="4" w:space="0"/>
                    <w:left w:val="nil"/>
                    <w:bottom w:val="single" w:color="auto" w:sz="4" w:space="0"/>
                    <w:right w:val="single" w:color="auto" w:sz="4" w:space="0"/>
                  </w:tcBorders>
                  <w:shd w:val="clear" w:color="auto" w:fill="auto"/>
                  <w:noWrap/>
                  <w:vAlign w:val="bottom"/>
                </w:tcPr>
                <w:p w14:paraId="0CD13DD9">
                  <w:pPr>
                    <w:widowControl/>
                    <w:snapToGrid w:val="0"/>
                    <w:jc w:val="left"/>
                    <w:rPr>
                      <w:rFonts w:ascii="宋体" w:hAnsi="宋体"/>
                      <w:color w:val="auto"/>
                      <w:szCs w:val="24"/>
                      <w:highlight w:val="none"/>
                    </w:rPr>
                  </w:pPr>
                  <w:r>
                    <w:rPr>
                      <w:rFonts w:ascii="宋体" w:hAnsi="宋体"/>
                      <w:color w:val="auto"/>
                      <w:szCs w:val="24"/>
                      <w:highlight w:val="none"/>
                    </w:rPr>
                    <w:t>每日收益</w:t>
                  </w:r>
                </w:p>
              </w:tc>
            </w:tr>
            <w:tr w14:paraId="1EE663F9">
              <w:tblPrEx>
                <w:tblCellMar>
                  <w:top w:w="0" w:type="dxa"/>
                  <w:left w:w="108" w:type="dxa"/>
                  <w:bottom w:w="0" w:type="dxa"/>
                  <w:right w:w="108" w:type="dxa"/>
                </w:tblCellMar>
              </w:tblPrEx>
              <w:trPr>
                <w:trHeight w:val="285" w:hRule="atLeast"/>
              </w:trPr>
              <w:tc>
                <w:tcPr>
                  <w:tcW w:w="1019" w:type="dxa"/>
                  <w:tcBorders>
                    <w:top w:val="nil"/>
                    <w:left w:val="single" w:color="auto" w:sz="4" w:space="0"/>
                    <w:bottom w:val="single" w:color="auto" w:sz="4" w:space="0"/>
                    <w:right w:val="single" w:color="auto" w:sz="4" w:space="0"/>
                  </w:tcBorders>
                  <w:shd w:val="clear" w:color="auto" w:fill="auto"/>
                  <w:noWrap/>
                  <w:vAlign w:val="center"/>
                </w:tcPr>
                <w:p w14:paraId="722BE4ED">
                  <w:pPr>
                    <w:widowControl/>
                    <w:snapToGrid w:val="0"/>
                    <w:jc w:val="left"/>
                    <w:rPr>
                      <w:rFonts w:ascii="宋体" w:hAnsi="宋体"/>
                      <w:color w:val="auto"/>
                      <w:szCs w:val="24"/>
                      <w:highlight w:val="none"/>
                    </w:rPr>
                  </w:pPr>
                  <w:r>
                    <w:rPr>
                      <w:rFonts w:ascii="宋体" w:hAnsi="宋体"/>
                      <w:color w:val="auto"/>
                      <w:szCs w:val="24"/>
                      <w:highlight w:val="none"/>
                    </w:rPr>
                    <w:t>周一</w:t>
                  </w:r>
                </w:p>
              </w:tc>
              <w:tc>
                <w:tcPr>
                  <w:tcW w:w="992" w:type="dxa"/>
                  <w:tcBorders>
                    <w:top w:val="nil"/>
                    <w:left w:val="nil"/>
                    <w:bottom w:val="single" w:color="auto" w:sz="4" w:space="0"/>
                    <w:right w:val="single" w:color="auto" w:sz="4" w:space="0"/>
                  </w:tcBorders>
                  <w:shd w:val="clear" w:color="auto" w:fill="auto"/>
                  <w:noWrap/>
                  <w:vAlign w:val="center"/>
                </w:tcPr>
                <w:p w14:paraId="7EFA34F1">
                  <w:pPr>
                    <w:widowControl/>
                    <w:snapToGrid w:val="0"/>
                    <w:jc w:val="left"/>
                    <w:rPr>
                      <w:rFonts w:ascii="宋体" w:hAnsi="宋体"/>
                      <w:color w:val="auto"/>
                      <w:szCs w:val="24"/>
                      <w:highlight w:val="none"/>
                    </w:rPr>
                  </w:pPr>
                  <w:r>
                    <w:rPr>
                      <w:rFonts w:ascii="宋体" w:hAnsi="宋体"/>
                      <w:color w:val="auto"/>
                      <w:szCs w:val="24"/>
                      <w:highlight w:val="none"/>
                    </w:rPr>
                    <w:t>T+7</w:t>
                  </w:r>
                </w:p>
              </w:tc>
              <w:tc>
                <w:tcPr>
                  <w:tcW w:w="1439" w:type="dxa"/>
                  <w:tcBorders>
                    <w:top w:val="nil"/>
                    <w:left w:val="nil"/>
                    <w:bottom w:val="single" w:color="auto" w:sz="4" w:space="0"/>
                    <w:right w:val="single" w:color="auto" w:sz="4" w:space="0"/>
                  </w:tcBorders>
                  <w:shd w:val="clear" w:color="auto" w:fill="auto"/>
                  <w:noWrap/>
                  <w:vAlign w:val="center"/>
                </w:tcPr>
                <w:p w14:paraId="5D0C0641">
                  <w:pPr>
                    <w:widowControl/>
                    <w:snapToGrid w:val="0"/>
                    <w:jc w:val="left"/>
                    <w:rPr>
                      <w:rFonts w:ascii="宋体" w:hAnsi="宋体"/>
                      <w:color w:val="auto"/>
                      <w:szCs w:val="24"/>
                      <w:highlight w:val="none"/>
                    </w:rPr>
                  </w:pPr>
                  <w:r>
                    <w:rPr>
                      <w:rFonts w:ascii="宋体" w:hAnsi="宋体"/>
                      <w:color w:val="auto"/>
                      <w:szCs w:val="24"/>
                      <w:highlight w:val="none"/>
                    </w:rPr>
                    <w:t>0.5812</w:t>
                  </w:r>
                </w:p>
              </w:tc>
              <w:tc>
                <w:tcPr>
                  <w:tcW w:w="1763" w:type="dxa"/>
                  <w:tcBorders>
                    <w:top w:val="nil"/>
                    <w:left w:val="nil"/>
                    <w:bottom w:val="single" w:color="auto" w:sz="4" w:space="0"/>
                    <w:right w:val="single" w:color="auto" w:sz="4" w:space="0"/>
                  </w:tcBorders>
                  <w:shd w:val="clear" w:color="auto" w:fill="auto"/>
                  <w:noWrap/>
                  <w:vAlign w:val="center"/>
                </w:tcPr>
                <w:p w14:paraId="67EED1A3">
                  <w:pPr>
                    <w:widowControl/>
                    <w:snapToGrid w:val="0"/>
                    <w:jc w:val="left"/>
                    <w:rPr>
                      <w:rFonts w:ascii="宋体" w:hAnsi="宋体"/>
                      <w:color w:val="auto"/>
                      <w:szCs w:val="24"/>
                      <w:highlight w:val="none"/>
                    </w:rPr>
                  </w:pPr>
                  <w:r>
                    <w:rPr>
                      <w:rFonts w:ascii="宋体" w:hAnsi="宋体"/>
                      <w:color w:val="auto"/>
                      <w:szCs w:val="24"/>
                      <w:highlight w:val="none"/>
                    </w:rPr>
                    <w:t xml:space="preserve">1,000,264.92 </w:t>
                  </w:r>
                </w:p>
              </w:tc>
              <w:tc>
                <w:tcPr>
                  <w:tcW w:w="1312" w:type="dxa"/>
                  <w:tcBorders>
                    <w:top w:val="nil"/>
                    <w:left w:val="nil"/>
                    <w:bottom w:val="single" w:color="auto" w:sz="4" w:space="0"/>
                    <w:right w:val="single" w:color="auto" w:sz="4" w:space="0"/>
                  </w:tcBorders>
                  <w:shd w:val="clear" w:color="auto" w:fill="auto"/>
                  <w:noWrap/>
                  <w:vAlign w:val="center"/>
                </w:tcPr>
                <w:p w14:paraId="72EEFE27">
                  <w:pPr>
                    <w:widowControl/>
                    <w:snapToGrid w:val="0"/>
                    <w:jc w:val="left"/>
                    <w:rPr>
                      <w:rFonts w:ascii="宋体" w:hAnsi="宋体"/>
                      <w:color w:val="auto"/>
                      <w:szCs w:val="24"/>
                      <w:highlight w:val="none"/>
                    </w:rPr>
                  </w:pPr>
                  <w:r>
                    <w:rPr>
                      <w:rFonts w:ascii="宋体" w:hAnsi="宋体"/>
                      <w:color w:val="auto"/>
                      <w:szCs w:val="24"/>
                      <w:highlight w:val="none"/>
                    </w:rPr>
                    <w:t>58.13</w:t>
                  </w:r>
                </w:p>
              </w:tc>
            </w:tr>
            <w:tr w14:paraId="305D897A">
              <w:tblPrEx>
                <w:tblCellMar>
                  <w:top w:w="0" w:type="dxa"/>
                  <w:left w:w="108" w:type="dxa"/>
                  <w:bottom w:w="0" w:type="dxa"/>
                  <w:right w:w="108" w:type="dxa"/>
                </w:tblCellMar>
              </w:tblPrEx>
              <w:trPr>
                <w:trHeight w:val="285" w:hRule="atLeast"/>
              </w:trPr>
              <w:tc>
                <w:tcPr>
                  <w:tcW w:w="1019" w:type="dxa"/>
                  <w:tcBorders>
                    <w:top w:val="nil"/>
                    <w:left w:val="single" w:color="auto" w:sz="4" w:space="0"/>
                    <w:bottom w:val="single" w:color="auto" w:sz="4" w:space="0"/>
                    <w:right w:val="single" w:color="auto" w:sz="4" w:space="0"/>
                  </w:tcBorders>
                  <w:shd w:val="clear" w:color="auto" w:fill="auto"/>
                  <w:noWrap/>
                  <w:vAlign w:val="center"/>
                </w:tcPr>
                <w:p w14:paraId="28D4E7EB">
                  <w:pPr>
                    <w:widowControl/>
                    <w:snapToGrid w:val="0"/>
                    <w:jc w:val="left"/>
                    <w:rPr>
                      <w:rFonts w:ascii="宋体" w:hAnsi="宋体"/>
                      <w:color w:val="auto"/>
                      <w:szCs w:val="24"/>
                      <w:highlight w:val="none"/>
                    </w:rPr>
                  </w:pPr>
                  <w:r>
                    <w:rPr>
                      <w:rFonts w:ascii="宋体" w:hAnsi="宋体"/>
                      <w:color w:val="auto"/>
                      <w:szCs w:val="24"/>
                      <w:highlight w:val="none"/>
                    </w:rPr>
                    <w:t>周日</w:t>
                  </w:r>
                </w:p>
              </w:tc>
              <w:tc>
                <w:tcPr>
                  <w:tcW w:w="992" w:type="dxa"/>
                  <w:tcBorders>
                    <w:top w:val="nil"/>
                    <w:left w:val="nil"/>
                    <w:bottom w:val="single" w:color="auto" w:sz="4" w:space="0"/>
                    <w:right w:val="single" w:color="auto" w:sz="4" w:space="0"/>
                  </w:tcBorders>
                  <w:shd w:val="clear" w:color="auto" w:fill="auto"/>
                  <w:noWrap/>
                  <w:vAlign w:val="center"/>
                </w:tcPr>
                <w:p w14:paraId="79DFAF51">
                  <w:pPr>
                    <w:widowControl/>
                    <w:snapToGrid w:val="0"/>
                    <w:jc w:val="left"/>
                    <w:rPr>
                      <w:rFonts w:ascii="宋体" w:hAnsi="宋体"/>
                      <w:color w:val="auto"/>
                      <w:szCs w:val="24"/>
                      <w:highlight w:val="none"/>
                    </w:rPr>
                  </w:pPr>
                  <w:r>
                    <w:rPr>
                      <w:rFonts w:ascii="宋体" w:hAnsi="宋体"/>
                      <w:color w:val="auto"/>
                      <w:szCs w:val="24"/>
                      <w:highlight w:val="none"/>
                    </w:rPr>
                    <w:t>T+6</w:t>
                  </w:r>
                </w:p>
              </w:tc>
              <w:tc>
                <w:tcPr>
                  <w:tcW w:w="1439" w:type="dxa"/>
                  <w:tcBorders>
                    <w:top w:val="nil"/>
                    <w:left w:val="nil"/>
                    <w:bottom w:val="single" w:color="auto" w:sz="4" w:space="0"/>
                    <w:right w:val="single" w:color="auto" w:sz="4" w:space="0"/>
                  </w:tcBorders>
                  <w:shd w:val="clear" w:color="auto" w:fill="auto"/>
                  <w:noWrap/>
                  <w:vAlign w:val="center"/>
                </w:tcPr>
                <w:p w14:paraId="20E29FA5">
                  <w:pPr>
                    <w:widowControl/>
                    <w:snapToGrid w:val="0"/>
                    <w:jc w:val="left"/>
                    <w:rPr>
                      <w:rFonts w:ascii="宋体" w:hAnsi="宋体"/>
                      <w:color w:val="auto"/>
                      <w:szCs w:val="24"/>
                      <w:highlight w:val="none"/>
                    </w:rPr>
                  </w:pPr>
                  <w:r>
                    <w:rPr>
                      <w:rFonts w:ascii="宋体" w:hAnsi="宋体"/>
                      <w:color w:val="auto"/>
                      <w:szCs w:val="24"/>
                      <w:highlight w:val="none"/>
                    </w:rPr>
                    <w:t>0.3111</w:t>
                  </w:r>
                </w:p>
              </w:tc>
              <w:tc>
                <w:tcPr>
                  <w:tcW w:w="1763" w:type="dxa"/>
                  <w:tcBorders>
                    <w:top w:val="nil"/>
                    <w:left w:val="nil"/>
                    <w:bottom w:val="single" w:color="auto" w:sz="4" w:space="0"/>
                    <w:right w:val="single" w:color="auto" w:sz="4" w:space="0"/>
                  </w:tcBorders>
                  <w:shd w:val="clear" w:color="auto" w:fill="auto"/>
                  <w:noWrap/>
                  <w:vAlign w:val="center"/>
                </w:tcPr>
                <w:p w14:paraId="4AB1DED5">
                  <w:pPr>
                    <w:widowControl/>
                    <w:snapToGrid w:val="0"/>
                    <w:jc w:val="left"/>
                    <w:rPr>
                      <w:rFonts w:ascii="宋体" w:hAnsi="宋体"/>
                      <w:color w:val="auto"/>
                      <w:szCs w:val="24"/>
                      <w:highlight w:val="none"/>
                    </w:rPr>
                  </w:pPr>
                  <w:r>
                    <w:rPr>
                      <w:rFonts w:ascii="宋体" w:hAnsi="宋体"/>
                      <w:color w:val="auto"/>
                      <w:szCs w:val="24"/>
                      <w:highlight w:val="none"/>
                    </w:rPr>
                    <w:t xml:space="preserve">1,000,233.81 </w:t>
                  </w:r>
                </w:p>
              </w:tc>
              <w:tc>
                <w:tcPr>
                  <w:tcW w:w="1312" w:type="dxa"/>
                  <w:tcBorders>
                    <w:top w:val="nil"/>
                    <w:left w:val="nil"/>
                    <w:bottom w:val="single" w:color="auto" w:sz="4" w:space="0"/>
                    <w:right w:val="single" w:color="auto" w:sz="4" w:space="0"/>
                  </w:tcBorders>
                  <w:shd w:val="clear" w:color="auto" w:fill="auto"/>
                  <w:noWrap/>
                  <w:vAlign w:val="center"/>
                </w:tcPr>
                <w:p w14:paraId="228E4545">
                  <w:pPr>
                    <w:widowControl/>
                    <w:snapToGrid w:val="0"/>
                    <w:jc w:val="left"/>
                    <w:rPr>
                      <w:rFonts w:ascii="宋体" w:hAnsi="宋体"/>
                      <w:color w:val="auto"/>
                      <w:szCs w:val="24"/>
                      <w:highlight w:val="none"/>
                    </w:rPr>
                  </w:pPr>
                  <w:r>
                    <w:rPr>
                      <w:rFonts w:ascii="宋体" w:hAnsi="宋体"/>
                      <w:color w:val="auto"/>
                      <w:szCs w:val="24"/>
                      <w:highlight w:val="none"/>
                    </w:rPr>
                    <w:t>31.11</w:t>
                  </w:r>
                </w:p>
              </w:tc>
            </w:tr>
            <w:tr w14:paraId="68D2F4AB">
              <w:tblPrEx>
                <w:tblCellMar>
                  <w:top w:w="0" w:type="dxa"/>
                  <w:left w:w="108" w:type="dxa"/>
                  <w:bottom w:w="0" w:type="dxa"/>
                  <w:right w:w="108" w:type="dxa"/>
                </w:tblCellMar>
              </w:tblPrEx>
              <w:trPr>
                <w:trHeight w:val="285" w:hRule="atLeast"/>
              </w:trPr>
              <w:tc>
                <w:tcPr>
                  <w:tcW w:w="1019" w:type="dxa"/>
                  <w:tcBorders>
                    <w:top w:val="nil"/>
                    <w:left w:val="single" w:color="auto" w:sz="4" w:space="0"/>
                    <w:bottom w:val="single" w:color="auto" w:sz="4" w:space="0"/>
                    <w:right w:val="single" w:color="auto" w:sz="4" w:space="0"/>
                  </w:tcBorders>
                  <w:shd w:val="clear" w:color="auto" w:fill="auto"/>
                  <w:noWrap/>
                  <w:vAlign w:val="center"/>
                </w:tcPr>
                <w:p w14:paraId="648B3F2F">
                  <w:pPr>
                    <w:widowControl/>
                    <w:snapToGrid w:val="0"/>
                    <w:jc w:val="left"/>
                    <w:rPr>
                      <w:rFonts w:ascii="宋体" w:hAnsi="宋体"/>
                      <w:color w:val="auto"/>
                      <w:szCs w:val="24"/>
                      <w:highlight w:val="none"/>
                    </w:rPr>
                  </w:pPr>
                  <w:r>
                    <w:rPr>
                      <w:rFonts w:ascii="宋体" w:hAnsi="宋体"/>
                      <w:color w:val="auto"/>
                      <w:szCs w:val="24"/>
                      <w:highlight w:val="none"/>
                    </w:rPr>
                    <w:t>周六</w:t>
                  </w:r>
                </w:p>
              </w:tc>
              <w:tc>
                <w:tcPr>
                  <w:tcW w:w="992" w:type="dxa"/>
                  <w:tcBorders>
                    <w:top w:val="nil"/>
                    <w:left w:val="nil"/>
                    <w:bottom w:val="single" w:color="auto" w:sz="4" w:space="0"/>
                    <w:right w:val="single" w:color="auto" w:sz="4" w:space="0"/>
                  </w:tcBorders>
                  <w:shd w:val="clear" w:color="auto" w:fill="auto"/>
                  <w:noWrap/>
                  <w:vAlign w:val="center"/>
                </w:tcPr>
                <w:p w14:paraId="1900F2ED">
                  <w:pPr>
                    <w:widowControl/>
                    <w:snapToGrid w:val="0"/>
                    <w:jc w:val="left"/>
                    <w:rPr>
                      <w:rFonts w:ascii="宋体" w:hAnsi="宋体"/>
                      <w:color w:val="auto"/>
                      <w:szCs w:val="24"/>
                      <w:highlight w:val="none"/>
                    </w:rPr>
                  </w:pPr>
                  <w:r>
                    <w:rPr>
                      <w:rFonts w:ascii="宋体" w:hAnsi="宋体"/>
                      <w:color w:val="auto"/>
                      <w:szCs w:val="24"/>
                      <w:highlight w:val="none"/>
                    </w:rPr>
                    <w:t>T+5</w:t>
                  </w:r>
                </w:p>
              </w:tc>
              <w:tc>
                <w:tcPr>
                  <w:tcW w:w="1439" w:type="dxa"/>
                  <w:tcBorders>
                    <w:top w:val="nil"/>
                    <w:left w:val="nil"/>
                    <w:bottom w:val="single" w:color="auto" w:sz="4" w:space="0"/>
                    <w:right w:val="single" w:color="auto" w:sz="4" w:space="0"/>
                  </w:tcBorders>
                  <w:shd w:val="clear" w:color="auto" w:fill="auto"/>
                  <w:noWrap/>
                  <w:vAlign w:val="center"/>
                </w:tcPr>
                <w:p w14:paraId="003EC33C">
                  <w:pPr>
                    <w:widowControl/>
                    <w:snapToGrid w:val="0"/>
                    <w:jc w:val="left"/>
                    <w:rPr>
                      <w:rFonts w:ascii="宋体" w:hAnsi="宋体"/>
                      <w:color w:val="auto"/>
                      <w:szCs w:val="24"/>
                      <w:highlight w:val="none"/>
                    </w:rPr>
                  </w:pPr>
                  <w:r>
                    <w:rPr>
                      <w:rFonts w:ascii="宋体" w:hAnsi="宋体"/>
                      <w:color w:val="auto"/>
                      <w:szCs w:val="24"/>
                      <w:highlight w:val="none"/>
                    </w:rPr>
                    <w:t>0.3111</w:t>
                  </w:r>
                </w:p>
              </w:tc>
              <w:tc>
                <w:tcPr>
                  <w:tcW w:w="1763" w:type="dxa"/>
                  <w:tcBorders>
                    <w:top w:val="nil"/>
                    <w:left w:val="nil"/>
                    <w:bottom w:val="single" w:color="auto" w:sz="4" w:space="0"/>
                    <w:right w:val="single" w:color="auto" w:sz="4" w:space="0"/>
                  </w:tcBorders>
                  <w:shd w:val="clear" w:color="auto" w:fill="auto"/>
                  <w:noWrap/>
                  <w:vAlign w:val="center"/>
                </w:tcPr>
                <w:p w14:paraId="1F74D4FE">
                  <w:pPr>
                    <w:widowControl/>
                    <w:snapToGrid w:val="0"/>
                    <w:jc w:val="left"/>
                    <w:rPr>
                      <w:rFonts w:ascii="宋体" w:hAnsi="宋体"/>
                      <w:color w:val="auto"/>
                      <w:szCs w:val="24"/>
                      <w:highlight w:val="none"/>
                    </w:rPr>
                  </w:pPr>
                  <w:r>
                    <w:rPr>
                      <w:rFonts w:ascii="宋体" w:hAnsi="宋体"/>
                      <w:color w:val="auto"/>
                      <w:szCs w:val="24"/>
                      <w:highlight w:val="none"/>
                    </w:rPr>
                    <w:t xml:space="preserve">1,000,202.70 </w:t>
                  </w:r>
                </w:p>
              </w:tc>
              <w:tc>
                <w:tcPr>
                  <w:tcW w:w="1312" w:type="dxa"/>
                  <w:tcBorders>
                    <w:top w:val="nil"/>
                    <w:left w:val="nil"/>
                    <w:bottom w:val="single" w:color="auto" w:sz="4" w:space="0"/>
                    <w:right w:val="single" w:color="auto" w:sz="4" w:space="0"/>
                  </w:tcBorders>
                  <w:shd w:val="clear" w:color="auto" w:fill="auto"/>
                  <w:noWrap/>
                  <w:vAlign w:val="center"/>
                </w:tcPr>
                <w:p w14:paraId="1B343782">
                  <w:pPr>
                    <w:widowControl/>
                    <w:snapToGrid w:val="0"/>
                    <w:jc w:val="left"/>
                    <w:rPr>
                      <w:rFonts w:ascii="宋体" w:hAnsi="宋体"/>
                      <w:color w:val="auto"/>
                      <w:szCs w:val="24"/>
                      <w:highlight w:val="none"/>
                    </w:rPr>
                  </w:pPr>
                  <w:r>
                    <w:rPr>
                      <w:rFonts w:ascii="宋体" w:hAnsi="宋体"/>
                      <w:color w:val="auto"/>
                      <w:szCs w:val="24"/>
                      <w:highlight w:val="none"/>
                    </w:rPr>
                    <w:t>31.11</w:t>
                  </w:r>
                </w:p>
              </w:tc>
            </w:tr>
            <w:tr w14:paraId="08B9DF8C">
              <w:tblPrEx>
                <w:tblCellMar>
                  <w:top w:w="0" w:type="dxa"/>
                  <w:left w:w="108" w:type="dxa"/>
                  <w:bottom w:w="0" w:type="dxa"/>
                  <w:right w:w="108" w:type="dxa"/>
                </w:tblCellMar>
              </w:tblPrEx>
              <w:trPr>
                <w:trHeight w:val="285" w:hRule="atLeast"/>
              </w:trPr>
              <w:tc>
                <w:tcPr>
                  <w:tcW w:w="1019" w:type="dxa"/>
                  <w:tcBorders>
                    <w:top w:val="nil"/>
                    <w:left w:val="single" w:color="auto" w:sz="4" w:space="0"/>
                    <w:bottom w:val="single" w:color="auto" w:sz="4" w:space="0"/>
                    <w:right w:val="single" w:color="auto" w:sz="4" w:space="0"/>
                  </w:tcBorders>
                  <w:shd w:val="clear" w:color="auto" w:fill="auto"/>
                  <w:noWrap/>
                  <w:vAlign w:val="center"/>
                </w:tcPr>
                <w:p w14:paraId="1B6AE90B">
                  <w:pPr>
                    <w:widowControl/>
                    <w:snapToGrid w:val="0"/>
                    <w:jc w:val="left"/>
                    <w:rPr>
                      <w:rFonts w:ascii="宋体" w:hAnsi="宋体"/>
                      <w:color w:val="auto"/>
                      <w:szCs w:val="24"/>
                      <w:highlight w:val="none"/>
                    </w:rPr>
                  </w:pPr>
                  <w:r>
                    <w:rPr>
                      <w:rFonts w:ascii="宋体" w:hAnsi="宋体"/>
                      <w:color w:val="auto"/>
                      <w:szCs w:val="24"/>
                      <w:highlight w:val="none"/>
                    </w:rPr>
                    <w:t>周五</w:t>
                  </w:r>
                </w:p>
              </w:tc>
              <w:tc>
                <w:tcPr>
                  <w:tcW w:w="992" w:type="dxa"/>
                  <w:tcBorders>
                    <w:top w:val="nil"/>
                    <w:left w:val="nil"/>
                    <w:bottom w:val="single" w:color="auto" w:sz="4" w:space="0"/>
                    <w:right w:val="single" w:color="auto" w:sz="4" w:space="0"/>
                  </w:tcBorders>
                  <w:shd w:val="clear" w:color="auto" w:fill="auto"/>
                  <w:noWrap/>
                  <w:vAlign w:val="center"/>
                </w:tcPr>
                <w:p w14:paraId="56E9EAA1">
                  <w:pPr>
                    <w:widowControl/>
                    <w:snapToGrid w:val="0"/>
                    <w:jc w:val="left"/>
                    <w:rPr>
                      <w:rFonts w:ascii="宋体" w:hAnsi="宋体"/>
                      <w:color w:val="auto"/>
                      <w:szCs w:val="24"/>
                      <w:highlight w:val="none"/>
                    </w:rPr>
                  </w:pPr>
                  <w:r>
                    <w:rPr>
                      <w:rFonts w:ascii="宋体" w:hAnsi="宋体"/>
                      <w:color w:val="auto"/>
                      <w:szCs w:val="24"/>
                      <w:highlight w:val="none"/>
                    </w:rPr>
                    <w:t>T+4</w:t>
                  </w:r>
                </w:p>
              </w:tc>
              <w:tc>
                <w:tcPr>
                  <w:tcW w:w="1439" w:type="dxa"/>
                  <w:tcBorders>
                    <w:top w:val="nil"/>
                    <w:left w:val="nil"/>
                    <w:bottom w:val="single" w:color="auto" w:sz="4" w:space="0"/>
                    <w:right w:val="single" w:color="auto" w:sz="4" w:space="0"/>
                  </w:tcBorders>
                  <w:shd w:val="clear" w:color="auto" w:fill="auto"/>
                  <w:noWrap/>
                  <w:vAlign w:val="center"/>
                </w:tcPr>
                <w:p w14:paraId="02EEDDC8">
                  <w:pPr>
                    <w:widowControl/>
                    <w:snapToGrid w:val="0"/>
                    <w:jc w:val="left"/>
                    <w:rPr>
                      <w:rFonts w:ascii="宋体" w:hAnsi="宋体"/>
                      <w:color w:val="auto"/>
                      <w:szCs w:val="24"/>
                      <w:highlight w:val="none"/>
                    </w:rPr>
                  </w:pPr>
                  <w:r>
                    <w:rPr>
                      <w:rFonts w:ascii="宋体" w:hAnsi="宋体"/>
                      <w:color w:val="auto"/>
                      <w:szCs w:val="24"/>
                      <w:highlight w:val="none"/>
                    </w:rPr>
                    <w:t>0.3286</w:t>
                  </w:r>
                </w:p>
              </w:tc>
              <w:tc>
                <w:tcPr>
                  <w:tcW w:w="1763" w:type="dxa"/>
                  <w:tcBorders>
                    <w:top w:val="nil"/>
                    <w:left w:val="nil"/>
                    <w:bottom w:val="single" w:color="auto" w:sz="4" w:space="0"/>
                    <w:right w:val="single" w:color="auto" w:sz="4" w:space="0"/>
                  </w:tcBorders>
                  <w:shd w:val="clear" w:color="auto" w:fill="auto"/>
                  <w:noWrap/>
                  <w:vAlign w:val="center"/>
                </w:tcPr>
                <w:p w14:paraId="3EE288D9">
                  <w:pPr>
                    <w:widowControl/>
                    <w:snapToGrid w:val="0"/>
                    <w:jc w:val="left"/>
                    <w:rPr>
                      <w:rFonts w:ascii="宋体" w:hAnsi="宋体"/>
                      <w:color w:val="auto"/>
                      <w:szCs w:val="24"/>
                      <w:highlight w:val="none"/>
                    </w:rPr>
                  </w:pPr>
                  <w:r>
                    <w:rPr>
                      <w:rFonts w:ascii="宋体" w:hAnsi="宋体"/>
                      <w:color w:val="auto"/>
                      <w:szCs w:val="24"/>
                      <w:highlight w:val="none"/>
                    </w:rPr>
                    <w:t xml:space="preserve">1,000,169.84 </w:t>
                  </w:r>
                </w:p>
              </w:tc>
              <w:tc>
                <w:tcPr>
                  <w:tcW w:w="1312" w:type="dxa"/>
                  <w:tcBorders>
                    <w:top w:val="nil"/>
                    <w:left w:val="nil"/>
                    <w:bottom w:val="single" w:color="auto" w:sz="4" w:space="0"/>
                    <w:right w:val="single" w:color="auto" w:sz="4" w:space="0"/>
                  </w:tcBorders>
                  <w:shd w:val="clear" w:color="auto" w:fill="auto"/>
                  <w:noWrap/>
                  <w:vAlign w:val="center"/>
                </w:tcPr>
                <w:p w14:paraId="4F326DFC">
                  <w:pPr>
                    <w:widowControl/>
                    <w:snapToGrid w:val="0"/>
                    <w:jc w:val="left"/>
                    <w:rPr>
                      <w:rFonts w:ascii="宋体" w:hAnsi="宋体"/>
                      <w:color w:val="auto"/>
                      <w:szCs w:val="24"/>
                      <w:highlight w:val="none"/>
                    </w:rPr>
                  </w:pPr>
                  <w:r>
                    <w:rPr>
                      <w:rFonts w:ascii="宋体" w:hAnsi="宋体"/>
                      <w:color w:val="auto"/>
                      <w:szCs w:val="24"/>
                      <w:highlight w:val="none"/>
                    </w:rPr>
                    <w:t>32.86</w:t>
                  </w:r>
                </w:p>
              </w:tc>
            </w:tr>
            <w:tr w14:paraId="3D8B9112">
              <w:tblPrEx>
                <w:tblCellMar>
                  <w:top w:w="0" w:type="dxa"/>
                  <w:left w:w="108" w:type="dxa"/>
                  <w:bottom w:w="0" w:type="dxa"/>
                  <w:right w:w="108" w:type="dxa"/>
                </w:tblCellMar>
              </w:tblPrEx>
              <w:trPr>
                <w:trHeight w:val="285" w:hRule="atLeast"/>
              </w:trPr>
              <w:tc>
                <w:tcPr>
                  <w:tcW w:w="1019" w:type="dxa"/>
                  <w:tcBorders>
                    <w:top w:val="nil"/>
                    <w:left w:val="single" w:color="auto" w:sz="4" w:space="0"/>
                    <w:bottom w:val="single" w:color="auto" w:sz="4" w:space="0"/>
                    <w:right w:val="single" w:color="auto" w:sz="4" w:space="0"/>
                  </w:tcBorders>
                  <w:shd w:val="clear" w:color="auto" w:fill="auto"/>
                  <w:noWrap/>
                  <w:vAlign w:val="center"/>
                </w:tcPr>
                <w:p w14:paraId="18771158">
                  <w:pPr>
                    <w:widowControl/>
                    <w:snapToGrid w:val="0"/>
                    <w:jc w:val="left"/>
                    <w:rPr>
                      <w:rFonts w:ascii="宋体" w:hAnsi="宋体"/>
                      <w:color w:val="auto"/>
                      <w:szCs w:val="24"/>
                      <w:highlight w:val="none"/>
                    </w:rPr>
                  </w:pPr>
                  <w:r>
                    <w:rPr>
                      <w:rFonts w:ascii="宋体" w:hAnsi="宋体"/>
                      <w:color w:val="auto"/>
                      <w:szCs w:val="24"/>
                      <w:highlight w:val="none"/>
                    </w:rPr>
                    <w:t>周四</w:t>
                  </w:r>
                </w:p>
              </w:tc>
              <w:tc>
                <w:tcPr>
                  <w:tcW w:w="992" w:type="dxa"/>
                  <w:tcBorders>
                    <w:top w:val="nil"/>
                    <w:left w:val="nil"/>
                    <w:bottom w:val="single" w:color="auto" w:sz="4" w:space="0"/>
                    <w:right w:val="single" w:color="auto" w:sz="4" w:space="0"/>
                  </w:tcBorders>
                  <w:shd w:val="clear" w:color="auto" w:fill="auto"/>
                  <w:noWrap/>
                  <w:vAlign w:val="center"/>
                </w:tcPr>
                <w:p w14:paraId="0F7088C2">
                  <w:pPr>
                    <w:widowControl/>
                    <w:snapToGrid w:val="0"/>
                    <w:jc w:val="left"/>
                    <w:rPr>
                      <w:rFonts w:ascii="宋体" w:hAnsi="宋体"/>
                      <w:color w:val="auto"/>
                      <w:szCs w:val="24"/>
                      <w:highlight w:val="none"/>
                    </w:rPr>
                  </w:pPr>
                  <w:r>
                    <w:rPr>
                      <w:rFonts w:ascii="宋体" w:hAnsi="宋体"/>
                      <w:color w:val="auto"/>
                      <w:szCs w:val="24"/>
                      <w:highlight w:val="none"/>
                    </w:rPr>
                    <w:t>T+3</w:t>
                  </w:r>
                </w:p>
              </w:tc>
              <w:tc>
                <w:tcPr>
                  <w:tcW w:w="1439" w:type="dxa"/>
                  <w:tcBorders>
                    <w:top w:val="nil"/>
                    <w:left w:val="nil"/>
                    <w:bottom w:val="single" w:color="auto" w:sz="4" w:space="0"/>
                    <w:right w:val="single" w:color="auto" w:sz="4" w:space="0"/>
                  </w:tcBorders>
                  <w:shd w:val="clear" w:color="auto" w:fill="auto"/>
                  <w:noWrap/>
                  <w:vAlign w:val="center"/>
                </w:tcPr>
                <w:p w14:paraId="02AF65BD">
                  <w:pPr>
                    <w:widowControl/>
                    <w:snapToGrid w:val="0"/>
                    <w:jc w:val="left"/>
                    <w:rPr>
                      <w:rFonts w:ascii="宋体" w:hAnsi="宋体"/>
                      <w:color w:val="auto"/>
                      <w:szCs w:val="24"/>
                      <w:highlight w:val="none"/>
                    </w:rPr>
                  </w:pPr>
                  <w:r>
                    <w:rPr>
                      <w:rFonts w:ascii="宋体" w:hAnsi="宋体"/>
                      <w:color w:val="auto"/>
                      <w:szCs w:val="24"/>
                      <w:highlight w:val="none"/>
                    </w:rPr>
                    <w:t>0.5112</w:t>
                  </w:r>
                </w:p>
              </w:tc>
              <w:tc>
                <w:tcPr>
                  <w:tcW w:w="1763" w:type="dxa"/>
                  <w:tcBorders>
                    <w:top w:val="nil"/>
                    <w:left w:val="nil"/>
                    <w:bottom w:val="single" w:color="auto" w:sz="4" w:space="0"/>
                    <w:right w:val="single" w:color="auto" w:sz="4" w:space="0"/>
                  </w:tcBorders>
                  <w:shd w:val="clear" w:color="auto" w:fill="auto"/>
                  <w:noWrap/>
                  <w:vAlign w:val="center"/>
                </w:tcPr>
                <w:p w14:paraId="0DE901DC">
                  <w:pPr>
                    <w:widowControl/>
                    <w:snapToGrid w:val="0"/>
                    <w:jc w:val="left"/>
                    <w:rPr>
                      <w:rFonts w:ascii="宋体" w:hAnsi="宋体"/>
                      <w:color w:val="auto"/>
                      <w:szCs w:val="24"/>
                      <w:highlight w:val="none"/>
                    </w:rPr>
                  </w:pPr>
                  <w:r>
                    <w:rPr>
                      <w:rFonts w:ascii="宋体" w:hAnsi="宋体"/>
                      <w:color w:val="auto"/>
                      <w:szCs w:val="24"/>
                      <w:highlight w:val="none"/>
                    </w:rPr>
                    <w:t xml:space="preserve">1,000,118.72 </w:t>
                  </w:r>
                </w:p>
              </w:tc>
              <w:tc>
                <w:tcPr>
                  <w:tcW w:w="1312" w:type="dxa"/>
                  <w:tcBorders>
                    <w:top w:val="nil"/>
                    <w:left w:val="nil"/>
                    <w:bottom w:val="single" w:color="auto" w:sz="4" w:space="0"/>
                    <w:right w:val="single" w:color="auto" w:sz="4" w:space="0"/>
                  </w:tcBorders>
                  <w:shd w:val="clear" w:color="auto" w:fill="auto"/>
                  <w:noWrap/>
                  <w:vAlign w:val="center"/>
                </w:tcPr>
                <w:p w14:paraId="37E999A9">
                  <w:pPr>
                    <w:widowControl/>
                    <w:snapToGrid w:val="0"/>
                    <w:jc w:val="left"/>
                    <w:rPr>
                      <w:rFonts w:ascii="宋体" w:hAnsi="宋体"/>
                      <w:color w:val="auto"/>
                      <w:szCs w:val="24"/>
                      <w:highlight w:val="none"/>
                    </w:rPr>
                  </w:pPr>
                  <w:r>
                    <w:rPr>
                      <w:rFonts w:ascii="宋体" w:hAnsi="宋体"/>
                      <w:color w:val="auto"/>
                      <w:szCs w:val="24"/>
                      <w:highlight w:val="none"/>
                    </w:rPr>
                    <w:t>51.12</w:t>
                  </w:r>
                </w:p>
              </w:tc>
            </w:tr>
            <w:tr w14:paraId="50C6FDCB">
              <w:tblPrEx>
                <w:tblCellMar>
                  <w:top w:w="0" w:type="dxa"/>
                  <w:left w:w="108" w:type="dxa"/>
                  <w:bottom w:w="0" w:type="dxa"/>
                  <w:right w:w="108" w:type="dxa"/>
                </w:tblCellMar>
              </w:tblPrEx>
              <w:trPr>
                <w:trHeight w:val="285" w:hRule="atLeast"/>
              </w:trPr>
              <w:tc>
                <w:tcPr>
                  <w:tcW w:w="1019" w:type="dxa"/>
                  <w:tcBorders>
                    <w:top w:val="nil"/>
                    <w:left w:val="single" w:color="auto" w:sz="4" w:space="0"/>
                    <w:bottom w:val="single" w:color="auto" w:sz="4" w:space="0"/>
                    <w:right w:val="single" w:color="auto" w:sz="4" w:space="0"/>
                  </w:tcBorders>
                  <w:shd w:val="clear" w:color="auto" w:fill="auto"/>
                  <w:noWrap/>
                  <w:vAlign w:val="center"/>
                </w:tcPr>
                <w:p w14:paraId="1C2F8F97">
                  <w:pPr>
                    <w:widowControl/>
                    <w:snapToGrid w:val="0"/>
                    <w:jc w:val="left"/>
                    <w:rPr>
                      <w:rFonts w:ascii="宋体" w:hAnsi="宋体"/>
                      <w:color w:val="auto"/>
                      <w:szCs w:val="24"/>
                      <w:highlight w:val="none"/>
                    </w:rPr>
                  </w:pPr>
                  <w:r>
                    <w:rPr>
                      <w:rFonts w:ascii="宋体" w:hAnsi="宋体"/>
                      <w:color w:val="auto"/>
                      <w:szCs w:val="24"/>
                      <w:highlight w:val="none"/>
                    </w:rPr>
                    <w:t>周三</w:t>
                  </w:r>
                </w:p>
              </w:tc>
              <w:tc>
                <w:tcPr>
                  <w:tcW w:w="992" w:type="dxa"/>
                  <w:tcBorders>
                    <w:top w:val="nil"/>
                    <w:left w:val="nil"/>
                    <w:bottom w:val="single" w:color="auto" w:sz="4" w:space="0"/>
                    <w:right w:val="single" w:color="auto" w:sz="4" w:space="0"/>
                  </w:tcBorders>
                  <w:shd w:val="clear" w:color="auto" w:fill="auto"/>
                  <w:noWrap/>
                  <w:vAlign w:val="center"/>
                </w:tcPr>
                <w:p w14:paraId="19A95D73">
                  <w:pPr>
                    <w:widowControl/>
                    <w:snapToGrid w:val="0"/>
                    <w:jc w:val="left"/>
                    <w:rPr>
                      <w:rFonts w:ascii="宋体" w:hAnsi="宋体"/>
                      <w:color w:val="auto"/>
                      <w:szCs w:val="24"/>
                      <w:highlight w:val="none"/>
                    </w:rPr>
                  </w:pPr>
                  <w:r>
                    <w:rPr>
                      <w:rFonts w:ascii="宋体" w:hAnsi="宋体"/>
                      <w:color w:val="auto"/>
                      <w:szCs w:val="24"/>
                      <w:highlight w:val="none"/>
                    </w:rPr>
                    <w:t>T+2</w:t>
                  </w:r>
                </w:p>
              </w:tc>
              <w:tc>
                <w:tcPr>
                  <w:tcW w:w="1439" w:type="dxa"/>
                  <w:tcBorders>
                    <w:top w:val="nil"/>
                    <w:left w:val="nil"/>
                    <w:bottom w:val="single" w:color="auto" w:sz="4" w:space="0"/>
                    <w:right w:val="single" w:color="auto" w:sz="4" w:space="0"/>
                  </w:tcBorders>
                  <w:shd w:val="clear" w:color="auto" w:fill="auto"/>
                  <w:noWrap/>
                  <w:vAlign w:val="center"/>
                </w:tcPr>
                <w:p w14:paraId="1985560F">
                  <w:pPr>
                    <w:widowControl/>
                    <w:snapToGrid w:val="0"/>
                    <w:jc w:val="left"/>
                    <w:rPr>
                      <w:rFonts w:ascii="宋体" w:hAnsi="宋体"/>
                      <w:color w:val="auto"/>
                      <w:szCs w:val="24"/>
                      <w:highlight w:val="none"/>
                    </w:rPr>
                  </w:pPr>
                  <w:r>
                    <w:rPr>
                      <w:rFonts w:ascii="宋体" w:hAnsi="宋体"/>
                      <w:color w:val="auto"/>
                      <w:szCs w:val="24"/>
                      <w:highlight w:val="none"/>
                    </w:rPr>
                    <w:t>0.6659</w:t>
                  </w:r>
                </w:p>
              </w:tc>
              <w:tc>
                <w:tcPr>
                  <w:tcW w:w="1763" w:type="dxa"/>
                  <w:tcBorders>
                    <w:top w:val="nil"/>
                    <w:left w:val="nil"/>
                    <w:bottom w:val="single" w:color="auto" w:sz="4" w:space="0"/>
                    <w:right w:val="single" w:color="auto" w:sz="4" w:space="0"/>
                  </w:tcBorders>
                  <w:shd w:val="clear" w:color="auto" w:fill="auto"/>
                  <w:noWrap/>
                  <w:vAlign w:val="center"/>
                </w:tcPr>
                <w:p w14:paraId="77468556">
                  <w:pPr>
                    <w:widowControl/>
                    <w:snapToGrid w:val="0"/>
                    <w:jc w:val="left"/>
                    <w:rPr>
                      <w:rFonts w:ascii="宋体" w:hAnsi="宋体"/>
                      <w:color w:val="auto"/>
                      <w:szCs w:val="24"/>
                      <w:highlight w:val="none"/>
                    </w:rPr>
                  </w:pPr>
                  <w:r>
                    <w:rPr>
                      <w:rFonts w:ascii="宋体" w:hAnsi="宋体"/>
                      <w:color w:val="auto"/>
                      <w:szCs w:val="24"/>
                      <w:highlight w:val="none"/>
                    </w:rPr>
                    <w:t xml:space="preserve">1,000,052.13 </w:t>
                  </w:r>
                </w:p>
              </w:tc>
              <w:tc>
                <w:tcPr>
                  <w:tcW w:w="1312" w:type="dxa"/>
                  <w:tcBorders>
                    <w:top w:val="nil"/>
                    <w:left w:val="nil"/>
                    <w:bottom w:val="single" w:color="auto" w:sz="4" w:space="0"/>
                    <w:right w:val="single" w:color="auto" w:sz="4" w:space="0"/>
                  </w:tcBorders>
                  <w:shd w:val="clear" w:color="auto" w:fill="auto"/>
                  <w:noWrap/>
                  <w:vAlign w:val="center"/>
                </w:tcPr>
                <w:p w14:paraId="1AA426D9">
                  <w:pPr>
                    <w:widowControl/>
                    <w:snapToGrid w:val="0"/>
                    <w:jc w:val="left"/>
                    <w:rPr>
                      <w:rFonts w:ascii="宋体" w:hAnsi="宋体"/>
                      <w:color w:val="auto"/>
                      <w:szCs w:val="24"/>
                      <w:highlight w:val="none"/>
                    </w:rPr>
                  </w:pPr>
                  <w:r>
                    <w:rPr>
                      <w:rFonts w:ascii="宋体" w:hAnsi="宋体"/>
                      <w:color w:val="auto"/>
                      <w:szCs w:val="24"/>
                      <w:highlight w:val="none"/>
                    </w:rPr>
                    <w:t>66.59</w:t>
                  </w:r>
                </w:p>
              </w:tc>
            </w:tr>
            <w:tr w14:paraId="7A22E8E6">
              <w:tblPrEx>
                <w:tblCellMar>
                  <w:top w:w="0" w:type="dxa"/>
                  <w:left w:w="108" w:type="dxa"/>
                  <w:bottom w:w="0" w:type="dxa"/>
                  <w:right w:w="108" w:type="dxa"/>
                </w:tblCellMar>
              </w:tblPrEx>
              <w:trPr>
                <w:trHeight w:val="285" w:hRule="atLeast"/>
              </w:trPr>
              <w:tc>
                <w:tcPr>
                  <w:tcW w:w="1019" w:type="dxa"/>
                  <w:tcBorders>
                    <w:top w:val="nil"/>
                    <w:left w:val="single" w:color="auto" w:sz="4" w:space="0"/>
                    <w:bottom w:val="single" w:color="auto" w:sz="4" w:space="0"/>
                    <w:right w:val="single" w:color="auto" w:sz="4" w:space="0"/>
                  </w:tcBorders>
                  <w:shd w:val="clear" w:color="auto" w:fill="auto"/>
                  <w:noWrap/>
                  <w:vAlign w:val="center"/>
                </w:tcPr>
                <w:p w14:paraId="29F60C20">
                  <w:pPr>
                    <w:widowControl/>
                    <w:snapToGrid w:val="0"/>
                    <w:jc w:val="left"/>
                    <w:rPr>
                      <w:rFonts w:ascii="宋体" w:hAnsi="宋体"/>
                      <w:color w:val="auto"/>
                      <w:szCs w:val="24"/>
                      <w:highlight w:val="none"/>
                    </w:rPr>
                  </w:pPr>
                  <w:r>
                    <w:rPr>
                      <w:rFonts w:ascii="宋体" w:hAnsi="宋体"/>
                      <w:color w:val="auto"/>
                      <w:szCs w:val="24"/>
                      <w:highlight w:val="none"/>
                    </w:rPr>
                    <w:t>周二</w:t>
                  </w:r>
                </w:p>
              </w:tc>
              <w:tc>
                <w:tcPr>
                  <w:tcW w:w="992" w:type="dxa"/>
                  <w:tcBorders>
                    <w:top w:val="nil"/>
                    <w:left w:val="nil"/>
                    <w:bottom w:val="single" w:color="auto" w:sz="4" w:space="0"/>
                    <w:right w:val="single" w:color="auto" w:sz="4" w:space="0"/>
                  </w:tcBorders>
                  <w:shd w:val="clear" w:color="auto" w:fill="auto"/>
                  <w:noWrap/>
                  <w:vAlign w:val="center"/>
                </w:tcPr>
                <w:p w14:paraId="4063C6A6">
                  <w:pPr>
                    <w:widowControl/>
                    <w:snapToGrid w:val="0"/>
                    <w:jc w:val="left"/>
                    <w:rPr>
                      <w:rFonts w:ascii="宋体" w:hAnsi="宋体"/>
                      <w:color w:val="auto"/>
                      <w:szCs w:val="24"/>
                      <w:highlight w:val="none"/>
                    </w:rPr>
                  </w:pPr>
                  <w:r>
                    <w:rPr>
                      <w:rFonts w:ascii="宋体" w:hAnsi="宋体"/>
                      <w:color w:val="auto"/>
                      <w:szCs w:val="24"/>
                      <w:highlight w:val="none"/>
                    </w:rPr>
                    <w:t>T+1</w:t>
                  </w:r>
                </w:p>
              </w:tc>
              <w:tc>
                <w:tcPr>
                  <w:tcW w:w="1439" w:type="dxa"/>
                  <w:tcBorders>
                    <w:top w:val="nil"/>
                    <w:left w:val="nil"/>
                    <w:bottom w:val="single" w:color="auto" w:sz="4" w:space="0"/>
                    <w:right w:val="single" w:color="auto" w:sz="4" w:space="0"/>
                  </w:tcBorders>
                  <w:shd w:val="clear" w:color="auto" w:fill="auto"/>
                  <w:noWrap/>
                  <w:vAlign w:val="center"/>
                </w:tcPr>
                <w:p w14:paraId="74D25E12">
                  <w:pPr>
                    <w:widowControl/>
                    <w:snapToGrid w:val="0"/>
                    <w:jc w:val="left"/>
                    <w:rPr>
                      <w:rFonts w:ascii="宋体" w:hAnsi="宋体"/>
                      <w:color w:val="auto"/>
                      <w:szCs w:val="24"/>
                      <w:highlight w:val="none"/>
                    </w:rPr>
                  </w:pPr>
                  <w:r>
                    <w:rPr>
                      <w:rFonts w:ascii="宋体" w:hAnsi="宋体"/>
                      <w:color w:val="auto"/>
                      <w:szCs w:val="24"/>
                      <w:highlight w:val="none"/>
                    </w:rPr>
                    <w:t>0.5213</w:t>
                  </w:r>
                </w:p>
              </w:tc>
              <w:tc>
                <w:tcPr>
                  <w:tcW w:w="1763" w:type="dxa"/>
                  <w:tcBorders>
                    <w:top w:val="nil"/>
                    <w:left w:val="nil"/>
                    <w:bottom w:val="single" w:color="auto" w:sz="4" w:space="0"/>
                    <w:right w:val="single" w:color="auto" w:sz="4" w:space="0"/>
                  </w:tcBorders>
                  <w:shd w:val="clear" w:color="auto" w:fill="auto"/>
                  <w:noWrap/>
                  <w:vAlign w:val="center"/>
                </w:tcPr>
                <w:p w14:paraId="48E47B89">
                  <w:pPr>
                    <w:widowControl/>
                    <w:snapToGrid w:val="0"/>
                    <w:jc w:val="left"/>
                    <w:rPr>
                      <w:rFonts w:ascii="宋体" w:hAnsi="宋体"/>
                      <w:color w:val="auto"/>
                      <w:szCs w:val="24"/>
                      <w:highlight w:val="none"/>
                    </w:rPr>
                  </w:pPr>
                  <w:r>
                    <w:rPr>
                      <w:rFonts w:ascii="宋体" w:hAnsi="宋体"/>
                      <w:color w:val="auto"/>
                      <w:szCs w:val="24"/>
                      <w:highlight w:val="none"/>
                    </w:rPr>
                    <w:t xml:space="preserve">1,000,000.00 </w:t>
                  </w:r>
                </w:p>
              </w:tc>
              <w:tc>
                <w:tcPr>
                  <w:tcW w:w="1312" w:type="dxa"/>
                  <w:tcBorders>
                    <w:top w:val="nil"/>
                    <w:left w:val="nil"/>
                    <w:bottom w:val="single" w:color="auto" w:sz="4" w:space="0"/>
                    <w:right w:val="single" w:color="auto" w:sz="4" w:space="0"/>
                  </w:tcBorders>
                  <w:shd w:val="clear" w:color="auto" w:fill="auto"/>
                  <w:noWrap/>
                  <w:vAlign w:val="center"/>
                </w:tcPr>
                <w:p w14:paraId="16C49072">
                  <w:pPr>
                    <w:widowControl/>
                    <w:snapToGrid w:val="0"/>
                    <w:jc w:val="left"/>
                    <w:rPr>
                      <w:rFonts w:ascii="宋体" w:hAnsi="宋体"/>
                      <w:color w:val="auto"/>
                      <w:szCs w:val="24"/>
                      <w:highlight w:val="none"/>
                    </w:rPr>
                  </w:pPr>
                  <w:r>
                    <w:rPr>
                      <w:rFonts w:ascii="宋体" w:hAnsi="宋体"/>
                      <w:color w:val="auto"/>
                      <w:szCs w:val="24"/>
                      <w:highlight w:val="none"/>
                    </w:rPr>
                    <w:t>52.13</w:t>
                  </w:r>
                </w:p>
              </w:tc>
            </w:tr>
            <w:tr w14:paraId="2E5A5D42">
              <w:tblPrEx>
                <w:tblCellMar>
                  <w:top w:w="0" w:type="dxa"/>
                  <w:left w:w="108" w:type="dxa"/>
                  <w:bottom w:w="0" w:type="dxa"/>
                  <w:right w:w="108" w:type="dxa"/>
                </w:tblCellMar>
              </w:tblPrEx>
              <w:trPr>
                <w:trHeight w:val="312" w:hRule="atLeast"/>
              </w:trPr>
              <w:tc>
                <w:tcPr>
                  <w:tcW w:w="3450"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35040C4">
                  <w:pPr>
                    <w:widowControl/>
                    <w:snapToGrid w:val="0"/>
                    <w:jc w:val="left"/>
                    <w:rPr>
                      <w:rFonts w:ascii="宋体" w:hAnsi="宋体"/>
                      <w:color w:val="auto"/>
                      <w:szCs w:val="24"/>
                      <w:highlight w:val="none"/>
                    </w:rPr>
                  </w:pPr>
                  <w:r>
                    <w:rPr>
                      <w:rFonts w:ascii="宋体" w:hAnsi="宋体"/>
                      <w:color w:val="auto"/>
                      <w:szCs w:val="24"/>
                      <w:highlight w:val="none"/>
                    </w:rPr>
                    <w:t>T日提交申购申请，T+1日确认</w:t>
                  </w:r>
                </w:p>
                <w:p w14:paraId="7EECD8EF">
                  <w:pPr>
                    <w:widowControl/>
                    <w:snapToGrid w:val="0"/>
                    <w:jc w:val="left"/>
                    <w:rPr>
                      <w:rFonts w:ascii="宋体" w:hAnsi="宋体"/>
                      <w:color w:val="auto"/>
                      <w:szCs w:val="24"/>
                      <w:highlight w:val="none"/>
                    </w:rPr>
                  </w:pPr>
                  <w:r>
                    <w:rPr>
                      <w:rFonts w:ascii="宋体" w:hAnsi="宋体"/>
                      <w:color w:val="auto"/>
                      <w:szCs w:val="24"/>
                      <w:highlight w:val="none"/>
                    </w:rPr>
                    <w:t>申购成功</w:t>
                  </w:r>
                </w:p>
              </w:tc>
              <w:tc>
                <w:tcPr>
                  <w:tcW w:w="3075"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4196F12">
                  <w:pPr>
                    <w:widowControl/>
                    <w:snapToGrid w:val="0"/>
                    <w:jc w:val="left"/>
                    <w:rPr>
                      <w:rFonts w:ascii="宋体" w:hAnsi="宋体"/>
                      <w:color w:val="auto"/>
                      <w:szCs w:val="24"/>
                      <w:highlight w:val="none"/>
                    </w:rPr>
                  </w:pPr>
                  <w:r>
                    <w:rPr>
                      <w:rFonts w:ascii="宋体" w:hAnsi="宋体"/>
                      <w:color w:val="auto"/>
                      <w:szCs w:val="24"/>
                      <w:highlight w:val="none"/>
                    </w:rPr>
                    <w:t>1000000</w:t>
                  </w:r>
                </w:p>
              </w:tc>
            </w:tr>
            <w:tr w14:paraId="1765A770">
              <w:tblPrEx>
                <w:tblCellMar>
                  <w:top w:w="0" w:type="dxa"/>
                  <w:left w:w="108" w:type="dxa"/>
                  <w:bottom w:w="0" w:type="dxa"/>
                  <w:right w:w="108" w:type="dxa"/>
                </w:tblCellMar>
              </w:tblPrEx>
              <w:trPr>
                <w:trHeight w:val="312" w:hRule="atLeast"/>
              </w:trPr>
              <w:tc>
                <w:tcPr>
                  <w:tcW w:w="3450" w:type="dxa"/>
                  <w:gridSpan w:val="3"/>
                  <w:vMerge w:val="continue"/>
                  <w:tcBorders>
                    <w:top w:val="single" w:color="auto" w:sz="4" w:space="0"/>
                    <w:left w:val="single" w:color="auto" w:sz="4" w:space="0"/>
                    <w:bottom w:val="single" w:color="auto" w:sz="4" w:space="0"/>
                    <w:right w:val="single" w:color="auto" w:sz="4" w:space="0"/>
                  </w:tcBorders>
                  <w:vAlign w:val="center"/>
                </w:tcPr>
                <w:p w14:paraId="33FE61E1">
                  <w:pPr>
                    <w:widowControl/>
                    <w:jc w:val="left"/>
                    <w:rPr>
                      <w:rFonts w:ascii="等线" w:hAnsi="等线" w:eastAsia="等线" w:cs="宋体"/>
                      <w:color w:val="auto"/>
                      <w:kern w:val="0"/>
                      <w:sz w:val="22"/>
                      <w:highlight w:val="none"/>
                    </w:rPr>
                  </w:pPr>
                </w:p>
              </w:tc>
              <w:tc>
                <w:tcPr>
                  <w:tcW w:w="3075" w:type="dxa"/>
                  <w:gridSpan w:val="2"/>
                  <w:vMerge w:val="continue"/>
                  <w:tcBorders>
                    <w:top w:val="single" w:color="auto" w:sz="4" w:space="0"/>
                    <w:left w:val="single" w:color="auto" w:sz="4" w:space="0"/>
                    <w:bottom w:val="single" w:color="auto" w:sz="4" w:space="0"/>
                    <w:right w:val="single" w:color="auto" w:sz="4" w:space="0"/>
                  </w:tcBorders>
                  <w:vAlign w:val="center"/>
                </w:tcPr>
                <w:p w14:paraId="2AD5DAAB">
                  <w:pPr>
                    <w:widowControl/>
                    <w:jc w:val="left"/>
                    <w:rPr>
                      <w:rFonts w:ascii="等线" w:hAnsi="等线" w:eastAsia="等线" w:cs="宋体"/>
                      <w:color w:val="auto"/>
                      <w:kern w:val="0"/>
                      <w:sz w:val="22"/>
                      <w:highlight w:val="none"/>
                    </w:rPr>
                  </w:pPr>
                </w:p>
              </w:tc>
            </w:tr>
          </w:tbl>
          <w:p w14:paraId="4AA18165">
            <w:pPr>
              <w:snapToGrid w:val="0"/>
              <w:rPr>
                <w:rFonts w:ascii="宋体" w:hAnsi="宋体"/>
                <w:color w:val="auto"/>
                <w:szCs w:val="24"/>
                <w:highlight w:val="none"/>
              </w:rPr>
            </w:pPr>
          </w:p>
          <w:p w14:paraId="5427317D">
            <w:pPr>
              <w:snapToGrid w:val="0"/>
              <w:rPr>
                <w:rFonts w:ascii="仿宋_GB2312" w:hAnsi="宋体" w:cs="宋体"/>
                <w:bCs/>
                <w:color w:val="auto"/>
                <w:kern w:val="0"/>
                <w:szCs w:val="24"/>
                <w:highlight w:val="none"/>
              </w:rPr>
            </w:pPr>
            <w:r>
              <w:rPr>
                <w:rFonts w:hint="eastAsia" w:ascii="宋体" w:hAnsi="宋体"/>
                <w:color w:val="auto"/>
                <w:szCs w:val="24"/>
                <w:highlight w:val="none"/>
              </w:rPr>
              <w:t>注：</w:t>
            </w:r>
            <w:r>
              <w:rPr>
                <w:rFonts w:ascii="宋体" w:hAnsi="宋体"/>
                <w:color w:val="auto"/>
                <w:szCs w:val="24"/>
                <w:highlight w:val="none"/>
              </w:rPr>
              <w:t>当日每万份理财产品已实现收益以产品管理人实际公布为准。</w:t>
            </w:r>
            <w:r>
              <w:rPr>
                <w:rFonts w:hint="eastAsia" w:ascii="宋体" w:hAnsi="宋体"/>
                <w:color w:val="auto"/>
                <w:szCs w:val="24"/>
                <w:highlight w:val="none"/>
              </w:rPr>
              <w:t>每日收益=持有份额*每万份收益/10000，</w:t>
            </w:r>
            <w:r>
              <w:rPr>
                <w:rFonts w:hint="eastAsia" w:ascii="仿宋_GB2312" w:hAnsi="宋体" w:cs="宋体"/>
                <w:bCs/>
                <w:color w:val="auto"/>
                <w:kern w:val="0"/>
                <w:szCs w:val="24"/>
                <w:highlight w:val="none"/>
              </w:rPr>
              <w:t>计算保留到小数点后</w:t>
            </w:r>
            <w:r>
              <w:rPr>
                <w:rFonts w:ascii="仿宋_GB2312" w:hAnsi="宋体" w:cs="宋体"/>
                <w:bCs/>
                <w:color w:val="auto"/>
                <w:kern w:val="0"/>
                <w:szCs w:val="24"/>
                <w:highlight w:val="none"/>
              </w:rPr>
              <w:t>2</w:t>
            </w:r>
            <w:r>
              <w:rPr>
                <w:rFonts w:hint="eastAsia" w:ascii="仿宋_GB2312" w:hAnsi="宋体" w:cs="宋体"/>
                <w:bCs/>
                <w:color w:val="auto"/>
                <w:kern w:val="0"/>
                <w:szCs w:val="24"/>
                <w:highlight w:val="none"/>
              </w:rPr>
              <w:t>位，小数点后第</w:t>
            </w:r>
            <w:r>
              <w:rPr>
                <w:rFonts w:ascii="仿宋_GB2312" w:hAnsi="宋体" w:cs="宋体"/>
                <w:bCs/>
                <w:color w:val="auto"/>
                <w:kern w:val="0"/>
                <w:szCs w:val="24"/>
                <w:highlight w:val="none"/>
              </w:rPr>
              <w:t>3</w:t>
            </w:r>
            <w:r>
              <w:rPr>
                <w:rFonts w:hint="eastAsia" w:ascii="仿宋_GB2312" w:hAnsi="宋体" w:cs="宋体"/>
                <w:bCs/>
                <w:color w:val="auto"/>
                <w:kern w:val="0"/>
                <w:szCs w:val="24"/>
                <w:highlight w:val="none"/>
              </w:rPr>
              <w:t>位按截位原则处理，</w:t>
            </w:r>
            <w:r>
              <w:rPr>
                <w:rFonts w:ascii="仿宋_GB2312" w:hAnsi="宋体" w:cs="宋体"/>
                <w:bCs/>
                <w:color w:val="auto"/>
                <w:kern w:val="0"/>
                <w:szCs w:val="24"/>
                <w:highlight w:val="none"/>
              </w:rPr>
              <w:t>因</w:t>
            </w:r>
            <w:r>
              <w:rPr>
                <w:rFonts w:hint="eastAsia" w:ascii="仿宋_GB2312" w:hAnsi="宋体" w:cs="宋体"/>
                <w:bCs/>
                <w:color w:val="auto"/>
                <w:kern w:val="0"/>
                <w:szCs w:val="24"/>
                <w:highlight w:val="none"/>
              </w:rPr>
              <w:t>截位</w:t>
            </w:r>
            <w:r>
              <w:rPr>
                <w:rFonts w:ascii="仿宋_GB2312" w:hAnsi="宋体" w:cs="宋体"/>
                <w:bCs/>
                <w:color w:val="auto"/>
                <w:kern w:val="0"/>
                <w:szCs w:val="24"/>
                <w:highlight w:val="none"/>
              </w:rPr>
              <w:t>形成的余额将再次分配，直到分</w:t>
            </w:r>
            <w:r>
              <w:rPr>
                <w:rFonts w:hint="eastAsia" w:ascii="仿宋_GB2312" w:hAnsi="宋体" w:cs="宋体"/>
                <w:bCs/>
                <w:color w:val="auto"/>
                <w:kern w:val="0"/>
                <w:szCs w:val="24"/>
                <w:highlight w:val="none"/>
              </w:rPr>
              <w:t>完</w:t>
            </w:r>
            <w:r>
              <w:rPr>
                <w:rFonts w:ascii="仿宋_GB2312" w:hAnsi="宋体" w:cs="宋体"/>
                <w:bCs/>
                <w:color w:val="auto"/>
                <w:kern w:val="0"/>
                <w:szCs w:val="24"/>
                <w:highlight w:val="none"/>
              </w:rPr>
              <w:t>为止</w:t>
            </w:r>
            <w:r>
              <w:rPr>
                <w:rFonts w:hint="eastAsia" w:ascii="仿宋_GB2312" w:hAnsi="宋体" w:cs="宋体"/>
                <w:bCs/>
                <w:color w:val="auto"/>
                <w:kern w:val="0"/>
                <w:szCs w:val="24"/>
                <w:highlight w:val="none"/>
              </w:rPr>
              <w:t>。</w:t>
            </w:r>
          </w:p>
          <w:p w14:paraId="2230C399">
            <w:pPr>
              <w:snapToGrid w:val="0"/>
              <w:rPr>
                <w:rFonts w:hint="eastAsia" w:ascii="宋体" w:hAnsi="宋体"/>
                <w:b/>
                <w:bCs/>
                <w:iCs/>
                <w:color w:val="auto"/>
                <w:szCs w:val="24"/>
                <w:highlight w:val="none"/>
                <w:u w:val="none"/>
              </w:rPr>
            </w:pPr>
            <w:r>
              <w:rPr>
                <w:rFonts w:hint="eastAsia" w:ascii="宋体" w:hAnsi="宋体"/>
                <w:b/>
                <w:color w:val="auto"/>
                <w:szCs w:val="24"/>
                <w:highlight w:val="none"/>
              </w:rPr>
              <w:t>最不利</w:t>
            </w:r>
            <w:r>
              <w:rPr>
                <w:rFonts w:ascii="宋体" w:hAnsi="宋体"/>
                <w:b/>
                <w:color w:val="auto"/>
                <w:szCs w:val="24"/>
                <w:highlight w:val="none"/>
              </w:rPr>
              <w:t>投资情形：如出现债券发行人不</w:t>
            </w:r>
            <w:r>
              <w:rPr>
                <w:rFonts w:hint="eastAsia" w:ascii="宋体" w:hAnsi="宋体"/>
                <w:b/>
                <w:color w:val="auto"/>
                <w:szCs w:val="24"/>
                <w:highlight w:val="none"/>
              </w:rPr>
              <w:t>兑付</w:t>
            </w:r>
            <w:r>
              <w:rPr>
                <w:rFonts w:ascii="宋体" w:hAnsi="宋体"/>
                <w:b/>
                <w:color w:val="auto"/>
                <w:szCs w:val="24"/>
                <w:highlight w:val="none"/>
              </w:rPr>
              <w:t>债券、交易对手违约等其他极端情况，产品运作到期后投资者</w:t>
            </w:r>
            <w:r>
              <w:rPr>
                <w:rFonts w:hint="eastAsia" w:ascii="宋体" w:hAnsi="宋体"/>
                <w:b/>
                <w:color w:val="auto"/>
                <w:szCs w:val="24"/>
                <w:highlight w:val="none"/>
              </w:rPr>
              <w:t>无</w:t>
            </w:r>
            <w:r>
              <w:rPr>
                <w:rFonts w:ascii="宋体" w:hAnsi="宋体"/>
                <w:b/>
                <w:color w:val="auto"/>
                <w:szCs w:val="24"/>
                <w:highlight w:val="none"/>
              </w:rPr>
              <w:t>收益，并将损失全部投资本金。</w:t>
            </w:r>
          </w:p>
        </w:tc>
      </w:tr>
      <w:tr w14:paraId="0C34C96C">
        <w:tblPrEx>
          <w:tblCellMar>
            <w:top w:w="0" w:type="dxa"/>
            <w:left w:w="108" w:type="dxa"/>
            <w:bottom w:w="0" w:type="dxa"/>
            <w:right w:w="108" w:type="dxa"/>
          </w:tblCellMar>
        </w:tblPrEx>
        <w:trPr>
          <w:trHeight w:val="1010" w:hRule="atLeast"/>
        </w:trPr>
        <w:tc>
          <w:tcPr>
            <w:tcW w:w="2453" w:type="dxa"/>
            <w:tcBorders>
              <w:top w:val="single" w:color="auto" w:sz="4" w:space="0"/>
              <w:left w:val="single" w:color="auto" w:sz="4" w:space="0"/>
              <w:bottom w:val="single" w:color="auto" w:sz="4" w:space="0"/>
              <w:right w:val="single" w:color="auto" w:sz="4" w:space="0"/>
            </w:tcBorders>
            <w:vAlign w:val="center"/>
          </w:tcPr>
          <w:p w14:paraId="66992123">
            <w:pPr>
              <w:snapToGrid w:val="0"/>
              <w:ind w:left="-140" w:leftChars="-74" w:hanging="15" w:firstLineChars="0"/>
              <w:jc w:val="center"/>
              <w:rPr>
                <w:rFonts w:hint="eastAsia" w:ascii="宋体" w:hAnsi="宋体"/>
                <w:color w:val="auto"/>
                <w:kern w:val="0"/>
                <w:szCs w:val="24"/>
                <w:highlight w:val="none"/>
                <w:u w:val="none"/>
              </w:rPr>
            </w:pPr>
            <w:r>
              <w:rPr>
                <w:rFonts w:hint="eastAsia" w:asciiTheme="minorEastAsia" w:hAnsiTheme="minorEastAsia"/>
                <w:color w:val="auto"/>
                <w:kern w:val="0"/>
                <w:szCs w:val="24"/>
                <w:highlight w:val="none"/>
              </w:rPr>
              <w:t>日每万份产品</w:t>
            </w:r>
            <w:r>
              <w:rPr>
                <w:rFonts w:hint="eastAsia"/>
                <w:color w:val="auto"/>
                <w:highlight w:val="none"/>
              </w:rPr>
              <w:t>已实现收益</w:t>
            </w:r>
          </w:p>
        </w:tc>
        <w:tc>
          <w:tcPr>
            <w:tcW w:w="6972" w:type="dxa"/>
            <w:tcBorders>
              <w:top w:val="single" w:color="auto" w:sz="4" w:space="0"/>
              <w:left w:val="single" w:color="auto" w:sz="4" w:space="0"/>
              <w:bottom w:val="single" w:color="auto" w:sz="4" w:space="0"/>
              <w:right w:val="single" w:color="auto" w:sz="4" w:space="0"/>
            </w:tcBorders>
            <w:vAlign w:val="center"/>
          </w:tcPr>
          <w:p w14:paraId="27D961C3">
            <w:pPr>
              <w:snapToGrid w:val="0"/>
              <w:rPr>
                <w:rFonts w:asciiTheme="minorEastAsia" w:hAnsiTheme="minorEastAsia"/>
                <w:color w:val="auto"/>
                <w:kern w:val="0"/>
                <w:szCs w:val="24"/>
                <w:highlight w:val="none"/>
              </w:rPr>
            </w:pPr>
            <w:r>
              <w:rPr>
                <w:rFonts w:hint="eastAsia" w:asciiTheme="minorEastAsia" w:hAnsiTheme="minorEastAsia"/>
                <w:color w:val="auto"/>
                <w:kern w:val="0"/>
                <w:szCs w:val="24"/>
                <w:highlight w:val="none"/>
              </w:rPr>
              <w:t>1</w:t>
            </w:r>
            <w:r>
              <w:rPr>
                <w:rFonts w:asciiTheme="minorEastAsia" w:hAnsiTheme="minorEastAsia"/>
                <w:color w:val="auto"/>
                <w:kern w:val="0"/>
                <w:szCs w:val="24"/>
                <w:highlight w:val="none"/>
              </w:rPr>
              <w:t>.</w:t>
            </w:r>
            <w:r>
              <w:rPr>
                <w:rFonts w:hint="eastAsia" w:asciiTheme="minorEastAsia" w:hAnsiTheme="minorEastAsia"/>
                <w:color w:val="auto"/>
                <w:kern w:val="0"/>
                <w:szCs w:val="24"/>
                <w:highlight w:val="none"/>
              </w:rPr>
              <w:t>日每万份产品已实现收益＝当日理财产品份额已实现收益/当日产品份额总额×10000。</w:t>
            </w:r>
          </w:p>
          <w:p w14:paraId="4894B620">
            <w:pPr>
              <w:snapToGrid w:val="0"/>
              <w:rPr>
                <w:rFonts w:hint="eastAsia" w:asciiTheme="minorEastAsia" w:hAnsiTheme="minorEastAsia"/>
                <w:color w:val="auto"/>
                <w:szCs w:val="24"/>
                <w:highlight w:val="none"/>
              </w:rPr>
            </w:pPr>
            <w:r>
              <w:rPr>
                <w:rFonts w:asciiTheme="minorEastAsia" w:hAnsiTheme="minorEastAsia"/>
                <w:color w:val="auto"/>
                <w:kern w:val="0"/>
                <w:szCs w:val="24"/>
                <w:highlight w:val="none"/>
              </w:rPr>
              <w:t>2.</w:t>
            </w:r>
            <w:r>
              <w:rPr>
                <w:rFonts w:hint="eastAsia" w:asciiTheme="minorEastAsia" w:hAnsiTheme="minorEastAsia"/>
                <w:color w:val="auto"/>
                <w:kern w:val="0"/>
                <w:szCs w:val="24"/>
                <w:highlight w:val="none"/>
              </w:rPr>
              <w:t>每万份</w:t>
            </w:r>
            <w:r>
              <w:rPr>
                <w:rFonts w:asciiTheme="minorEastAsia" w:hAnsiTheme="minorEastAsia"/>
                <w:color w:val="auto"/>
                <w:kern w:val="0"/>
                <w:szCs w:val="24"/>
                <w:highlight w:val="none"/>
              </w:rPr>
              <w:t>理财</w:t>
            </w:r>
            <w:r>
              <w:rPr>
                <w:rFonts w:hint="eastAsia" w:asciiTheme="minorEastAsia" w:hAnsiTheme="minorEastAsia"/>
                <w:color w:val="auto"/>
                <w:kern w:val="0"/>
                <w:szCs w:val="24"/>
                <w:highlight w:val="none"/>
              </w:rPr>
              <w:t>产品已实现</w:t>
            </w:r>
            <w:r>
              <w:rPr>
                <w:rFonts w:asciiTheme="minorEastAsia" w:hAnsiTheme="minorEastAsia"/>
                <w:color w:val="auto"/>
                <w:kern w:val="0"/>
                <w:szCs w:val="24"/>
                <w:highlight w:val="none"/>
              </w:rPr>
              <w:t>收益是</w:t>
            </w:r>
            <w:r>
              <w:rPr>
                <w:rFonts w:hint="eastAsia" w:asciiTheme="minorEastAsia" w:hAnsiTheme="minorEastAsia"/>
                <w:color w:val="auto"/>
                <w:kern w:val="0"/>
                <w:szCs w:val="24"/>
                <w:highlight w:val="none"/>
              </w:rPr>
              <w:t>每万份</w:t>
            </w:r>
            <w:r>
              <w:rPr>
                <w:rFonts w:asciiTheme="minorEastAsia" w:hAnsiTheme="minorEastAsia"/>
                <w:color w:val="auto"/>
                <w:kern w:val="0"/>
                <w:szCs w:val="24"/>
                <w:highlight w:val="none"/>
              </w:rPr>
              <w:t>理财</w:t>
            </w:r>
            <w:r>
              <w:rPr>
                <w:rFonts w:hint="eastAsia" w:asciiTheme="minorEastAsia" w:hAnsiTheme="minorEastAsia"/>
                <w:color w:val="auto"/>
                <w:kern w:val="0"/>
                <w:szCs w:val="24"/>
                <w:highlight w:val="none"/>
              </w:rPr>
              <w:t>产品份额</w:t>
            </w:r>
            <w:r>
              <w:rPr>
                <w:rFonts w:asciiTheme="minorEastAsia" w:hAnsiTheme="minorEastAsia"/>
                <w:color w:val="auto"/>
                <w:kern w:val="0"/>
                <w:szCs w:val="24"/>
                <w:highlight w:val="none"/>
              </w:rPr>
              <w:t>的</w:t>
            </w:r>
            <w:r>
              <w:rPr>
                <w:rFonts w:hint="eastAsia" w:asciiTheme="minorEastAsia" w:hAnsiTheme="minorEastAsia"/>
                <w:color w:val="auto"/>
                <w:kern w:val="0"/>
                <w:szCs w:val="24"/>
                <w:highlight w:val="none"/>
              </w:rPr>
              <w:t>日已</w:t>
            </w:r>
            <w:r>
              <w:rPr>
                <w:rFonts w:asciiTheme="minorEastAsia" w:hAnsiTheme="minorEastAsia"/>
                <w:color w:val="auto"/>
                <w:kern w:val="0"/>
                <w:szCs w:val="24"/>
                <w:highlight w:val="none"/>
              </w:rPr>
              <w:t>实现收益</w:t>
            </w:r>
            <w:r>
              <w:rPr>
                <w:rFonts w:hint="eastAsia" w:asciiTheme="minorEastAsia" w:hAnsiTheme="minorEastAsia"/>
                <w:color w:val="auto"/>
                <w:kern w:val="0"/>
                <w:szCs w:val="24"/>
                <w:highlight w:val="none"/>
              </w:rPr>
              <w:t>，精确至小数点</w:t>
            </w:r>
            <w:r>
              <w:rPr>
                <w:rFonts w:asciiTheme="minorEastAsia" w:hAnsiTheme="minorEastAsia"/>
                <w:color w:val="auto"/>
                <w:kern w:val="0"/>
                <w:szCs w:val="24"/>
                <w:highlight w:val="none"/>
              </w:rPr>
              <w:t>后</w:t>
            </w:r>
            <w:r>
              <w:rPr>
                <w:rFonts w:hint="eastAsia" w:asciiTheme="minorEastAsia" w:hAnsiTheme="minorEastAsia"/>
                <w:color w:val="auto"/>
                <w:kern w:val="0"/>
                <w:szCs w:val="24"/>
                <w:highlight w:val="none"/>
              </w:rPr>
              <w:t>4位</w:t>
            </w:r>
            <w:r>
              <w:rPr>
                <w:rFonts w:asciiTheme="minorEastAsia" w:hAnsiTheme="minorEastAsia"/>
                <w:color w:val="auto"/>
                <w:kern w:val="0"/>
                <w:szCs w:val="24"/>
                <w:highlight w:val="none"/>
              </w:rPr>
              <w:t>，</w:t>
            </w:r>
            <w:r>
              <w:rPr>
                <w:rFonts w:hint="eastAsia" w:asciiTheme="minorEastAsia" w:hAnsiTheme="minorEastAsia"/>
                <w:color w:val="auto"/>
                <w:kern w:val="0"/>
                <w:szCs w:val="24"/>
                <w:highlight w:val="none"/>
              </w:rPr>
              <w:t>小数点后第5位按四舍五入原则处理。</w:t>
            </w:r>
          </w:p>
        </w:tc>
      </w:tr>
      <w:tr w14:paraId="1F343FFB">
        <w:tblPrEx>
          <w:tblCellMar>
            <w:top w:w="0" w:type="dxa"/>
            <w:left w:w="108" w:type="dxa"/>
            <w:bottom w:w="0" w:type="dxa"/>
            <w:right w:w="108" w:type="dxa"/>
          </w:tblCellMar>
        </w:tblPrEx>
        <w:trPr>
          <w:trHeight w:val="1010" w:hRule="atLeast"/>
        </w:trPr>
        <w:tc>
          <w:tcPr>
            <w:tcW w:w="2453" w:type="dxa"/>
            <w:tcBorders>
              <w:top w:val="single" w:color="auto" w:sz="4" w:space="0"/>
              <w:left w:val="single" w:color="auto" w:sz="4" w:space="0"/>
              <w:bottom w:val="single" w:color="auto" w:sz="4" w:space="0"/>
              <w:right w:val="single" w:color="auto" w:sz="4" w:space="0"/>
            </w:tcBorders>
            <w:vAlign w:val="center"/>
          </w:tcPr>
          <w:p w14:paraId="79E39E17">
            <w:pPr>
              <w:snapToGrid w:val="0"/>
              <w:ind w:left="-140" w:leftChars="-74" w:hanging="15" w:firstLineChars="0"/>
              <w:jc w:val="center"/>
              <w:rPr>
                <w:rFonts w:hint="eastAsia" w:ascii="宋体" w:hAnsi="宋体"/>
                <w:color w:val="auto"/>
                <w:kern w:val="0"/>
                <w:szCs w:val="24"/>
                <w:highlight w:val="none"/>
                <w:u w:val="none"/>
              </w:rPr>
            </w:pPr>
            <w:r>
              <w:rPr>
                <w:rFonts w:hint="eastAsia" w:asciiTheme="minorEastAsia" w:hAnsiTheme="minorEastAsia"/>
                <w:color w:val="auto"/>
                <w:kern w:val="0"/>
                <w:szCs w:val="24"/>
                <w:highlight w:val="none"/>
              </w:rPr>
              <w:t>七日年化收益率</w:t>
            </w:r>
          </w:p>
        </w:tc>
        <w:tc>
          <w:tcPr>
            <w:tcW w:w="6972" w:type="dxa"/>
            <w:tcBorders>
              <w:top w:val="single" w:color="auto" w:sz="4" w:space="0"/>
              <w:left w:val="single" w:color="auto" w:sz="4" w:space="0"/>
              <w:bottom w:val="single" w:color="auto" w:sz="4" w:space="0"/>
              <w:right w:val="single" w:color="auto" w:sz="4" w:space="0"/>
            </w:tcBorders>
            <w:vAlign w:val="center"/>
          </w:tcPr>
          <w:p w14:paraId="5BCDF5F5">
            <w:pPr>
              <w:autoSpaceDE w:val="0"/>
              <w:autoSpaceDN w:val="0"/>
              <w:adjustRightInd w:val="0"/>
              <w:jc w:val="left"/>
              <w:rPr>
                <w:rFonts w:ascii="仿宋_GB2312" w:hAnsi="宋体" w:cs="宋体"/>
                <w:bCs/>
                <w:color w:val="auto"/>
                <w:kern w:val="0"/>
                <w:szCs w:val="24"/>
                <w:highlight w:val="none"/>
              </w:rPr>
            </w:pPr>
            <w:r>
              <w:rPr>
                <w:rFonts w:hint="eastAsia" w:asciiTheme="minorEastAsia" w:hAnsiTheme="minorEastAsia"/>
                <w:color w:val="auto"/>
                <w:szCs w:val="24"/>
                <w:highlight w:val="none"/>
              </w:rPr>
              <w:t>本理财产品最近七个自然日收益率所折算的产品年收益率，</w:t>
            </w:r>
            <w:r>
              <w:rPr>
                <w:rFonts w:hint="eastAsia" w:ascii="仿宋_GB2312" w:hAnsi="宋体" w:cs="宋体"/>
                <w:bCs/>
                <w:color w:val="auto"/>
                <w:kern w:val="0"/>
                <w:szCs w:val="24"/>
                <w:highlight w:val="none"/>
              </w:rPr>
              <w:t>精确到百分比小数点后</w:t>
            </w:r>
            <w:r>
              <w:rPr>
                <w:rFonts w:ascii="仿宋_GB2312" w:hAnsi="宋体" w:cs="宋体"/>
                <w:bCs/>
                <w:color w:val="auto"/>
                <w:kern w:val="0"/>
                <w:szCs w:val="24"/>
                <w:highlight w:val="none"/>
              </w:rPr>
              <w:t>4</w:t>
            </w:r>
            <w:r>
              <w:rPr>
                <w:rFonts w:hint="eastAsia" w:ascii="仿宋_GB2312" w:hAnsi="宋体" w:cs="宋体"/>
                <w:bCs/>
                <w:color w:val="auto"/>
                <w:kern w:val="0"/>
                <w:szCs w:val="24"/>
                <w:highlight w:val="none"/>
              </w:rPr>
              <w:t>位，小数点后</w:t>
            </w:r>
            <w:r>
              <w:rPr>
                <w:rFonts w:ascii="仿宋_GB2312" w:hAnsi="宋体" w:cs="宋体"/>
                <w:bCs/>
                <w:color w:val="auto"/>
                <w:kern w:val="0"/>
                <w:szCs w:val="24"/>
                <w:highlight w:val="none"/>
              </w:rPr>
              <w:t>第5</w:t>
            </w:r>
            <w:r>
              <w:rPr>
                <w:rFonts w:hint="eastAsia" w:ascii="仿宋_GB2312" w:hAnsi="宋体" w:cs="宋体"/>
                <w:bCs/>
                <w:color w:val="auto"/>
                <w:kern w:val="0"/>
                <w:szCs w:val="24"/>
                <w:highlight w:val="none"/>
              </w:rPr>
              <w:t>位按四舍五入原则处理。</w:t>
            </w:r>
          </w:p>
          <w:p w14:paraId="28DE3A9F">
            <w:pPr>
              <w:autoSpaceDE w:val="0"/>
              <w:autoSpaceDN w:val="0"/>
              <w:adjustRightInd w:val="0"/>
              <w:jc w:val="left"/>
              <w:rPr>
                <w:rFonts w:asciiTheme="minorEastAsia" w:hAnsiTheme="minorEastAsia"/>
                <w:color w:val="auto"/>
                <w:szCs w:val="24"/>
                <w:highlight w:val="none"/>
              </w:rPr>
            </w:pPr>
            <w:r>
              <w:rPr>
                <w:rFonts w:hint="eastAsia" w:asciiTheme="minorEastAsia" w:hAnsiTheme="minorEastAsia"/>
                <w:color w:val="auto"/>
                <w:szCs w:val="24"/>
                <w:highlight w:val="none"/>
              </w:rPr>
              <w:t>七日年化收益率（%）=</w:t>
            </w:r>
            <m:oMath>
              <m:d>
                <m:dPr>
                  <m:begChr m:val=""/>
                  <m:endChr m:val="}"/>
                  <m:ctrlPr>
                    <w:rPr>
                      <w:rFonts w:ascii="DejaVu Math TeX Gyre" w:hAnsi="DejaVu Math TeX Gyre" w:cs="Times New Roman"/>
                      <w:color w:val="auto"/>
                      <w:szCs w:val="24"/>
                      <w:highlight w:val="none"/>
                    </w:rPr>
                  </m:ctrlPr>
                </m:dPr>
                <m:e>
                  <m:d>
                    <m:dPr>
                      <m:begChr m:val="{"/>
                      <m:endChr m:val=""/>
                      <m:ctrlPr>
                        <w:rPr>
                          <w:rFonts w:ascii="DejaVu Math TeX Gyre" w:hAnsi="DejaVu Math TeX Gyre" w:cs="Times New Roman"/>
                          <w:color w:val="auto"/>
                          <w:szCs w:val="24"/>
                          <w:highlight w:val="none"/>
                        </w:rPr>
                      </m:ctrlPr>
                    </m:dPr>
                    <m:e>
                      <m:sSup>
                        <m:sSupPr>
                          <m:ctrlPr>
                            <w:rPr>
                              <w:rFonts w:ascii="DejaVu Math TeX Gyre" w:hAnsi="DejaVu Math TeX Gyre" w:cs="Times New Roman"/>
                              <w:color w:val="auto"/>
                              <w:szCs w:val="24"/>
                              <w:highlight w:val="none"/>
                            </w:rPr>
                          </m:ctrlPr>
                        </m:sSupPr>
                        <m:e>
                          <m:r>
                            <m:rPr/>
                            <w:rPr>
                              <w:rFonts w:ascii="DejaVu Math TeX Gyre" w:hAnsi="DejaVu Math TeX Gyre"/>
                              <w:color w:val="auto"/>
                              <w:szCs w:val="24"/>
                              <w:highlight w:val="none"/>
                            </w:rPr>
                            <m:t>[</m:t>
                          </m:r>
                          <m:nary>
                            <m:naryPr>
                              <m:chr m:val="∏"/>
                              <m:limLoc m:val="undOvr"/>
                              <m:ctrlPr>
                                <w:rPr>
                                  <w:rFonts w:ascii="DejaVu Math TeX Gyre" w:hAnsi="DejaVu Math TeX Gyre" w:cs="Times New Roman"/>
                                  <w:i/>
                                  <w:color w:val="auto"/>
                                  <w:szCs w:val="24"/>
                                  <w:highlight w:val="none"/>
                                </w:rPr>
                              </m:ctrlPr>
                            </m:naryPr>
                            <m:sub>
                              <m:r>
                                <m:rPr/>
                                <w:rPr>
                                  <w:rFonts w:ascii="DejaVu Math TeX Gyre" w:hAnsi="DejaVu Math TeX Gyre"/>
                                  <w:color w:val="auto"/>
                                  <w:szCs w:val="24"/>
                                  <w:highlight w:val="none"/>
                                </w:rPr>
                                <m:t>i=1</m:t>
                              </m:r>
                              <m:ctrlPr>
                                <w:rPr>
                                  <w:rFonts w:ascii="DejaVu Math TeX Gyre" w:hAnsi="DejaVu Math TeX Gyre" w:cs="Times New Roman"/>
                                  <w:i/>
                                  <w:color w:val="auto"/>
                                  <w:szCs w:val="24"/>
                                  <w:highlight w:val="none"/>
                                </w:rPr>
                              </m:ctrlPr>
                            </m:sub>
                            <m:sup>
                              <m:r>
                                <m:rPr/>
                                <w:rPr>
                                  <w:rFonts w:ascii="DejaVu Math TeX Gyre" w:hAnsi="DejaVu Math TeX Gyre"/>
                                  <w:color w:val="auto"/>
                                  <w:szCs w:val="24"/>
                                  <w:highlight w:val="none"/>
                                </w:rPr>
                                <m:t>7</m:t>
                              </m:r>
                              <m:ctrlPr>
                                <w:rPr>
                                  <w:rFonts w:ascii="DejaVu Math TeX Gyre" w:hAnsi="DejaVu Math TeX Gyre" w:cs="Times New Roman"/>
                                  <w:i/>
                                  <w:color w:val="auto"/>
                                  <w:szCs w:val="24"/>
                                  <w:highlight w:val="none"/>
                                </w:rPr>
                              </m:ctrlPr>
                            </m:sup>
                            <m:e>
                              <m:r>
                                <m:rPr/>
                                <w:rPr>
                                  <w:rFonts w:ascii="DejaVu Math TeX Gyre" w:hAnsi="DejaVu Math TeX Gyre"/>
                                  <w:color w:val="auto"/>
                                  <w:szCs w:val="24"/>
                                  <w:highlight w:val="none"/>
                                </w:rPr>
                                <m:t>(1+</m:t>
                              </m:r>
                              <m:f>
                                <m:fPr>
                                  <m:ctrlPr>
                                    <w:rPr>
                                      <w:rFonts w:ascii="DejaVu Math TeX Gyre" w:hAnsi="DejaVu Math TeX Gyre" w:cs="Times New Roman"/>
                                      <w:i/>
                                      <w:color w:val="auto"/>
                                      <w:szCs w:val="24"/>
                                      <w:highlight w:val="none"/>
                                    </w:rPr>
                                  </m:ctrlPr>
                                </m:fPr>
                                <m:num>
                                  <m:sSub>
                                    <m:sSubPr>
                                      <m:ctrlPr>
                                        <w:rPr>
                                          <w:rFonts w:ascii="DejaVu Math TeX Gyre" w:hAnsi="DejaVu Math TeX Gyre" w:cs="Times New Roman"/>
                                          <w:i/>
                                          <w:color w:val="auto"/>
                                          <w:szCs w:val="24"/>
                                          <w:highlight w:val="none"/>
                                        </w:rPr>
                                      </m:ctrlPr>
                                    </m:sSubPr>
                                    <m:e>
                                      <m:r>
                                        <m:rPr/>
                                        <w:rPr>
                                          <w:rFonts w:ascii="DejaVu Math TeX Gyre" w:hAnsi="DejaVu Math TeX Gyre"/>
                                          <w:color w:val="auto"/>
                                          <w:szCs w:val="24"/>
                                          <w:highlight w:val="none"/>
                                        </w:rPr>
                                        <m:t>R</m:t>
                                      </m:r>
                                      <m:ctrlPr>
                                        <w:rPr>
                                          <w:rFonts w:ascii="DejaVu Math TeX Gyre" w:hAnsi="DejaVu Math TeX Gyre" w:cs="Times New Roman"/>
                                          <w:i/>
                                          <w:color w:val="auto"/>
                                          <w:szCs w:val="24"/>
                                          <w:highlight w:val="none"/>
                                        </w:rPr>
                                      </m:ctrlPr>
                                    </m:e>
                                    <m:sub>
                                      <m:r>
                                        <m:rPr/>
                                        <w:rPr>
                                          <w:rFonts w:ascii="DejaVu Math TeX Gyre" w:hAnsi="DejaVu Math TeX Gyre"/>
                                          <w:color w:val="auto"/>
                                          <w:szCs w:val="24"/>
                                          <w:highlight w:val="none"/>
                                        </w:rPr>
                                        <m:t>i</m:t>
                                      </m:r>
                                      <m:ctrlPr>
                                        <w:rPr>
                                          <w:rFonts w:ascii="DejaVu Math TeX Gyre" w:hAnsi="DejaVu Math TeX Gyre" w:cs="Times New Roman"/>
                                          <w:i/>
                                          <w:color w:val="auto"/>
                                          <w:szCs w:val="24"/>
                                          <w:highlight w:val="none"/>
                                        </w:rPr>
                                      </m:ctrlPr>
                                    </m:sub>
                                  </m:sSub>
                                  <m:ctrlPr>
                                    <w:rPr>
                                      <w:rFonts w:ascii="DejaVu Math TeX Gyre" w:hAnsi="DejaVu Math TeX Gyre" w:cs="Times New Roman"/>
                                      <w:i/>
                                      <w:color w:val="auto"/>
                                      <w:szCs w:val="24"/>
                                      <w:highlight w:val="none"/>
                                    </w:rPr>
                                  </m:ctrlPr>
                                </m:num>
                                <m:den>
                                  <m:r>
                                    <m:rPr/>
                                    <w:rPr>
                                      <w:rFonts w:ascii="DejaVu Math TeX Gyre" w:hAnsi="DejaVu Math TeX Gyre"/>
                                      <w:color w:val="auto"/>
                                      <w:szCs w:val="24"/>
                                      <w:highlight w:val="none"/>
                                    </w:rPr>
                                    <m:t>10000</m:t>
                                  </m:r>
                                  <m:ctrlPr>
                                    <w:rPr>
                                      <w:rFonts w:ascii="DejaVu Math TeX Gyre" w:hAnsi="DejaVu Math TeX Gyre" w:cs="Times New Roman"/>
                                      <w:i/>
                                      <w:color w:val="auto"/>
                                      <w:szCs w:val="24"/>
                                      <w:highlight w:val="none"/>
                                    </w:rPr>
                                  </m:ctrlPr>
                                </m:den>
                              </m:f>
                              <m:r>
                                <m:rPr/>
                                <w:rPr>
                                  <w:rFonts w:ascii="DejaVu Math TeX Gyre" w:hAnsi="DejaVu Math TeX Gyre"/>
                                  <w:color w:val="auto"/>
                                  <w:szCs w:val="24"/>
                                  <w:highlight w:val="none"/>
                                </w:rPr>
                                <m:t>)]</m:t>
                              </m:r>
                              <m:ctrlPr>
                                <w:rPr>
                                  <w:rFonts w:ascii="DejaVu Math TeX Gyre" w:hAnsi="DejaVu Math TeX Gyre" w:cs="Times New Roman"/>
                                  <w:i/>
                                  <w:color w:val="auto"/>
                                  <w:szCs w:val="24"/>
                                  <w:highlight w:val="none"/>
                                </w:rPr>
                              </m:ctrlPr>
                            </m:e>
                          </m:nary>
                          <m:ctrlPr>
                            <w:rPr>
                              <w:rFonts w:ascii="DejaVu Math TeX Gyre" w:hAnsi="DejaVu Math TeX Gyre" w:cs="Times New Roman"/>
                              <w:color w:val="auto"/>
                              <w:szCs w:val="24"/>
                              <w:highlight w:val="none"/>
                            </w:rPr>
                          </m:ctrlPr>
                        </m:e>
                        <m:sup>
                          <m:f>
                            <m:fPr>
                              <m:ctrlPr>
                                <w:rPr>
                                  <w:rFonts w:ascii="DejaVu Math TeX Gyre" w:hAnsi="DejaVu Math TeX Gyre" w:cs="Times New Roman"/>
                                  <w:i/>
                                  <w:color w:val="auto"/>
                                  <w:szCs w:val="24"/>
                                  <w:highlight w:val="none"/>
                                </w:rPr>
                              </m:ctrlPr>
                            </m:fPr>
                            <m:num>
                              <m:r>
                                <m:rPr/>
                                <w:rPr>
                                  <w:rFonts w:ascii="DejaVu Math TeX Gyre" w:hAnsi="DejaVu Math TeX Gyre"/>
                                  <w:color w:val="auto"/>
                                  <w:szCs w:val="24"/>
                                  <w:highlight w:val="none"/>
                                </w:rPr>
                                <m:t>365</m:t>
                              </m:r>
                              <m:ctrlPr>
                                <w:rPr>
                                  <w:rFonts w:ascii="DejaVu Math TeX Gyre" w:hAnsi="DejaVu Math TeX Gyre" w:cs="Times New Roman"/>
                                  <w:i/>
                                  <w:color w:val="auto"/>
                                  <w:szCs w:val="24"/>
                                  <w:highlight w:val="none"/>
                                </w:rPr>
                              </m:ctrlPr>
                            </m:num>
                            <m:den>
                              <m:r>
                                <m:rPr/>
                                <w:rPr>
                                  <w:rFonts w:ascii="DejaVu Math TeX Gyre" w:hAnsi="DejaVu Math TeX Gyre"/>
                                  <w:color w:val="auto"/>
                                  <w:szCs w:val="24"/>
                                  <w:highlight w:val="none"/>
                                </w:rPr>
                                <m:t>7</m:t>
                              </m:r>
                              <m:ctrlPr>
                                <w:rPr>
                                  <w:rFonts w:ascii="DejaVu Math TeX Gyre" w:hAnsi="DejaVu Math TeX Gyre" w:cs="Times New Roman"/>
                                  <w:i/>
                                  <w:color w:val="auto"/>
                                  <w:szCs w:val="24"/>
                                  <w:highlight w:val="none"/>
                                </w:rPr>
                              </m:ctrlPr>
                            </m:den>
                          </m:f>
                          <m:ctrlPr>
                            <w:rPr>
                              <w:rFonts w:ascii="DejaVu Math TeX Gyre" w:hAnsi="DejaVu Math TeX Gyre" w:cs="Times New Roman"/>
                              <w:color w:val="auto"/>
                              <w:szCs w:val="24"/>
                              <w:highlight w:val="none"/>
                            </w:rPr>
                          </m:ctrlPr>
                        </m:sup>
                      </m:sSup>
                      <m:r>
                        <m:rPr/>
                        <w:rPr>
                          <w:rFonts w:ascii="DejaVu Math TeX Gyre" w:hAnsi="DejaVu Math TeX Gyre"/>
                          <w:color w:val="auto"/>
                          <w:szCs w:val="24"/>
                          <w:highlight w:val="none"/>
                        </w:rPr>
                        <m:t>−1</m:t>
                      </m:r>
                      <m:ctrlPr>
                        <w:rPr>
                          <w:rFonts w:ascii="DejaVu Math TeX Gyre" w:hAnsi="DejaVu Math TeX Gyre" w:cs="Times New Roman"/>
                          <w:color w:val="auto"/>
                          <w:szCs w:val="24"/>
                          <w:highlight w:val="none"/>
                        </w:rPr>
                      </m:ctrlPr>
                    </m:e>
                  </m:d>
                  <m:ctrlPr>
                    <w:rPr>
                      <w:rFonts w:ascii="DejaVu Math TeX Gyre" w:hAnsi="DejaVu Math TeX Gyre" w:cs="Times New Roman"/>
                      <w:color w:val="auto"/>
                      <w:szCs w:val="24"/>
                      <w:highlight w:val="none"/>
                    </w:rPr>
                  </m:ctrlPr>
                </m:e>
              </m:d>
            </m:oMath>
            <w:r>
              <w:rPr>
                <w:rFonts w:hint="eastAsia" w:asciiTheme="minorEastAsia" w:hAnsiTheme="minorEastAsia"/>
                <w:color w:val="auto"/>
                <w:szCs w:val="24"/>
                <w:highlight w:val="none"/>
              </w:rPr>
              <w:t>×100%</w:t>
            </w:r>
          </w:p>
          <w:p w14:paraId="526D76A9">
            <w:pPr>
              <w:autoSpaceDE w:val="0"/>
              <w:autoSpaceDN w:val="0"/>
              <w:adjustRightInd w:val="0"/>
              <w:jc w:val="left"/>
              <w:rPr>
                <w:rFonts w:hint="eastAsia" w:asciiTheme="minorEastAsia" w:hAnsiTheme="minorEastAsia"/>
                <w:color w:val="auto"/>
                <w:szCs w:val="24"/>
                <w:highlight w:val="none"/>
              </w:rPr>
            </w:pPr>
            <w:r>
              <w:rPr>
                <w:rFonts w:hint="eastAsia" w:asciiTheme="minorEastAsia" w:hAnsiTheme="minorEastAsia"/>
                <w:color w:val="auto"/>
                <w:kern w:val="0"/>
                <w:szCs w:val="24"/>
                <w:highlight w:val="none"/>
              </w:rPr>
              <w:t>其中，Ri为最近第i个自然日（包括计算当日）的每万份理财产品份额已实现收益。产品成立不满7日时以实际日收益率折算年化收益率。</w:t>
            </w:r>
          </w:p>
        </w:tc>
      </w:tr>
      <w:tr w14:paraId="79024296">
        <w:tblPrEx>
          <w:tblCellMar>
            <w:top w:w="0" w:type="dxa"/>
            <w:left w:w="108" w:type="dxa"/>
            <w:bottom w:w="0" w:type="dxa"/>
            <w:right w:w="108" w:type="dxa"/>
          </w:tblCellMar>
        </w:tblPrEx>
        <w:trPr>
          <w:trHeight w:val="1010" w:hRule="atLeast"/>
        </w:trPr>
        <w:tc>
          <w:tcPr>
            <w:tcW w:w="2453" w:type="dxa"/>
            <w:tcBorders>
              <w:top w:val="single" w:color="auto" w:sz="4" w:space="0"/>
              <w:left w:val="single" w:color="auto" w:sz="4" w:space="0"/>
              <w:bottom w:val="single" w:color="auto" w:sz="4" w:space="0"/>
              <w:right w:val="single" w:color="auto" w:sz="4" w:space="0"/>
            </w:tcBorders>
            <w:vAlign w:val="center"/>
          </w:tcPr>
          <w:p w14:paraId="22DBF239">
            <w:pPr>
              <w:widowControl/>
              <w:spacing w:line="560" w:lineRule="exact"/>
              <w:jc w:val="center"/>
              <w:textAlignment w:val="center"/>
              <w:rPr>
                <w:rFonts w:hint="eastAsia" w:ascii="仿宋_GB2312" w:hAnsi="等线" w:eastAsia="仿宋_GB2312" w:cs="仿宋_GB2312"/>
                <w:color w:val="000000" w:themeColor="text1"/>
                <w:kern w:val="0"/>
                <w:sz w:val="24"/>
                <w:highlight w:val="none"/>
                <w:lang w:bidi="ar"/>
                <w14:textFill>
                  <w14:solidFill>
                    <w14:schemeClr w14:val="tx1"/>
                  </w14:solidFill>
                </w14:textFill>
              </w:rPr>
            </w:pPr>
            <w:r>
              <w:rPr>
                <w:rFonts w:hint="eastAsia" w:ascii="宋体" w:hAnsi="宋体"/>
                <w:color w:val="auto"/>
                <w:kern w:val="0"/>
                <w:szCs w:val="24"/>
                <w:highlight w:val="none"/>
                <w:u w:val="none"/>
              </w:rPr>
              <w:t>信息披露</w:t>
            </w:r>
          </w:p>
        </w:tc>
        <w:tc>
          <w:tcPr>
            <w:tcW w:w="6972" w:type="dxa"/>
            <w:tcBorders>
              <w:top w:val="single" w:color="auto" w:sz="4" w:space="0"/>
              <w:left w:val="single" w:color="auto" w:sz="4" w:space="0"/>
              <w:bottom w:val="single" w:color="auto" w:sz="4" w:space="0"/>
              <w:right w:val="single" w:color="auto" w:sz="4" w:space="0"/>
            </w:tcBorders>
            <w:vAlign w:val="center"/>
          </w:tcPr>
          <w:p w14:paraId="12FC3FAD">
            <w:pPr>
              <w:widowControl/>
              <w:snapToGrid w:val="0"/>
              <w:spacing w:line="240" w:lineRule="auto"/>
              <w:jc w:val="left"/>
              <w:textAlignment w:val="auto"/>
              <w:rPr>
                <w:rFonts w:hint="eastAsia" w:ascii="宋体" w:hAnsi="宋体"/>
                <w:b/>
                <w:color w:val="auto"/>
                <w:szCs w:val="24"/>
                <w:highlight w:val="none"/>
              </w:rPr>
            </w:pPr>
            <w:r>
              <w:rPr>
                <w:rFonts w:hint="eastAsia" w:ascii="宋体" w:hAnsi="宋体"/>
                <w:b/>
                <w:color w:val="auto"/>
                <w:szCs w:val="24"/>
                <w:highlight w:val="none"/>
              </w:rPr>
              <w:t>本理财产品成立后，管理人将通过《产品说明书》之“信息披露”约定的方式进行信息披露。详细内容见《本产品说明书》之“信息披露”</w:t>
            </w:r>
          </w:p>
          <w:p w14:paraId="48AB7BA1">
            <w:pPr>
              <w:widowControl/>
              <w:snapToGrid w:val="0"/>
              <w:spacing w:line="240" w:lineRule="auto"/>
              <w:jc w:val="left"/>
              <w:textAlignment w:val="auto"/>
              <w:rPr>
                <w:rFonts w:hint="eastAsia" w:ascii="宋体" w:hAnsi="宋体"/>
                <w:b/>
                <w:bCs/>
                <w:iCs/>
                <w:color w:val="auto"/>
                <w:szCs w:val="24"/>
                <w:highlight w:val="none"/>
                <w:u w:val="none"/>
              </w:rPr>
            </w:pPr>
            <w:r>
              <w:rPr>
                <w:rFonts w:hint="eastAsia" w:asciiTheme="minorEastAsia" w:hAnsiTheme="minorEastAsia"/>
                <w:color w:val="auto"/>
                <w:szCs w:val="24"/>
                <w:highlight w:val="none"/>
              </w:rPr>
              <w:t>本产品成立、运行、到期、净值等信息将通过管理人</w:t>
            </w:r>
            <w:r>
              <w:rPr>
                <w:rFonts w:asciiTheme="minorEastAsia" w:hAnsiTheme="minorEastAsia"/>
                <w:color w:val="auto"/>
                <w:szCs w:val="24"/>
                <w:highlight w:val="none"/>
              </w:rPr>
              <w:t>官方网站</w:t>
            </w:r>
            <w:r>
              <w:rPr>
                <w:rFonts w:hint="eastAsia" w:ascii="仿宋_GB2312" w:hAnsi="宋体" w:cs="宋体"/>
                <w:color w:val="auto"/>
                <w:kern w:val="0"/>
                <w:szCs w:val="24"/>
                <w:highlight w:val="none"/>
              </w:rPr>
              <w:t>【</w:t>
            </w:r>
            <w:r>
              <w:rPr>
                <w:rFonts w:ascii="仿宋_GB2312" w:hAnsi="宋体" w:cs="宋体"/>
                <w:color w:val="auto"/>
                <w:kern w:val="0"/>
                <w:szCs w:val="24"/>
                <w:highlight w:val="none"/>
              </w:rPr>
              <w:t>www.czbank-wm.com</w:t>
            </w:r>
            <w:r>
              <w:rPr>
                <w:rFonts w:hint="eastAsia" w:ascii="仿宋_GB2312" w:hAnsi="宋体" w:cs="宋体"/>
                <w:color w:val="auto"/>
                <w:kern w:val="0"/>
                <w:szCs w:val="24"/>
                <w:highlight w:val="none"/>
              </w:rPr>
              <w:t>】、销售机构官方网站、个人手机银行或其他约定的方式等</w:t>
            </w:r>
            <w:r>
              <w:rPr>
                <w:rFonts w:hint="eastAsia" w:cs="宋体" w:asciiTheme="minorEastAsia" w:hAnsiTheme="minorEastAsia"/>
                <w:color w:val="auto"/>
                <w:kern w:val="0"/>
                <w:szCs w:val="24"/>
                <w:highlight w:val="none"/>
              </w:rPr>
              <w:t>一种或多种渠道进行信息披露，</w:t>
            </w:r>
            <w:r>
              <w:rPr>
                <w:rFonts w:hint="eastAsia" w:asciiTheme="minorEastAsia" w:hAnsiTheme="minorEastAsia"/>
                <w:color w:val="auto"/>
                <w:szCs w:val="24"/>
                <w:highlight w:val="none"/>
              </w:rPr>
              <w:t>请投资者持续关注并及时查看。</w:t>
            </w:r>
          </w:p>
        </w:tc>
      </w:tr>
      <w:tr w14:paraId="6A6A1BBD">
        <w:tblPrEx>
          <w:tblCellMar>
            <w:top w:w="0" w:type="dxa"/>
            <w:left w:w="108" w:type="dxa"/>
            <w:bottom w:w="0" w:type="dxa"/>
            <w:right w:w="108" w:type="dxa"/>
          </w:tblCellMar>
        </w:tblPrEx>
        <w:trPr>
          <w:trHeight w:val="1010" w:hRule="atLeast"/>
        </w:trPr>
        <w:tc>
          <w:tcPr>
            <w:tcW w:w="2453" w:type="dxa"/>
            <w:tcBorders>
              <w:top w:val="single" w:color="auto" w:sz="4" w:space="0"/>
              <w:left w:val="single" w:color="auto" w:sz="4" w:space="0"/>
              <w:bottom w:val="single" w:color="auto" w:sz="4" w:space="0"/>
              <w:right w:val="single" w:color="auto" w:sz="4" w:space="0"/>
            </w:tcBorders>
            <w:vAlign w:val="center"/>
          </w:tcPr>
          <w:p w14:paraId="5B9561A2">
            <w:pPr>
              <w:widowControl/>
              <w:spacing w:line="560" w:lineRule="exact"/>
              <w:jc w:val="center"/>
              <w:textAlignment w:val="center"/>
              <w:rPr>
                <w:rFonts w:hint="eastAsia" w:ascii="仿宋_GB2312" w:hAnsi="等线" w:eastAsia="仿宋_GB2312" w:cs="仿宋_GB2312"/>
                <w:color w:val="000000" w:themeColor="text1"/>
                <w:sz w:val="24"/>
                <w:highlight w:val="none"/>
                <w14:textFill>
                  <w14:solidFill>
                    <w14:schemeClr w14:val="tx1"/>
                  </w14:solidFill>
                </w14:textFill>
              </w:rPr>
            </w:pPr>
            <w:r>
              <w:rPr>
                <w:rFonts w:hint="eastAsia" w:ascii="仿宋_GB2312" w:hAnsi="等线" w:eastAsia="仿宋_GB2312" w:cs="仿宋_GB2312"/>
                <w:color w:val="000000" w:themeColor="text1"/>
                <w:kern w:val="0"/>
                <w:sz w:val="24"/>
                <w:highlight w:val="none"/>
                <w:lang w:bidi="ar"/>
                <w14:textFill>
                  <w14:solidFill>
                    <w14:schemeClr w14:val="tx1"/>
                  </w14:solidFill>
                </w14:textFill>
              </w:rPr>
              <w:t>其他约定</w:t>
            </w:r>
          </w:p>
        </w:tc>
        <w:tc>
          <w:tcPr>
            <w:tcW w:w="6972" w:type="dxa"/>
            <w:tcBorders>
              <w:top w:val="single" w:color="auto" w:sz="4" w:space="0"/>
              <w:left w:val="single" w:color="auto" w:sz="4" w:space="0"/>
              <w:bottom w:val="single" w:color="auto" w:sz="4" w:space="0"/>
              <w:right w:val="single" w:color="auto" w:sz="4" w:space="0"/>
            </w:tcBorders>
            <w:vAlign w:val="center"/>
          </w:tcPr>
          <w:p w14:paraId="7280590D">
            <w:pPr>
              <w:snapToGrid w:val="0"/>
              <w:jc w:val="left"/>
              <w:rPr>
                <w:rFonts w:ascii="宋体" w:hAnsi="宋体"/>
                <w:b/>
                <w:bCs/>
                <w:iCs/>
                <w:color w:val="auto"/>
                <w:szCs w:val="24"/>
                <w:highlight w:val="none"/>
                <w:u w:val="none"/>
              </w:rPr>
            </w:pPr>
            <w:r>
              <w:rPr>
                <w:rFonts w:ascii="宋体" w:hAnsi="宋体"/>
                <w:b/>
                <w:bCs/>
                <w:iCs/>
                <w:color w:val="auto"/>
                <w:szCs w:val="24"/>
                <w:highlight w:val="none"/>
                <w:u w:val="none"/>
              </w:rPr>
              <w:t>1.</w:t>
            </w:r>
            <w:r>
              <w:rPr>
                <w:rFonts w:hint="eastAsia" w:ascii="宋体" w:hAnsi="宋体"/>
                <w:b/>
                <w:bCs/>
                <w:iCs/>
                <w:color w:val="auto"/>
                <w:szCs w:val="24"/>
                <w:highlight w:val="none"/>
                <w:u w:val="none"/>
              </w:rPr>
              <w:t>募集期内认购资金是否计息以销售机构为准，但利息不计入认购本金份额。</w:t>
            </w:r>
          </w:p>
          <w:p w14:paraId="568FD0A4">
            <w:pPr>
              <w:widowControl/>
              <w:snapToGrid w:val="0"/>
              <w:spacing w:line="240" w:lineRule="auto"/>
              <w:jc w:val="left"/>
              <w:textAlignment w:val="auto"/>
              <w:rPr>
                <w:rFonts w:hint="eastAsia" w:ascii="宋体" w:hAnsi="宋体"/>
                <w:b/>
                <w:bCs/>
                <w:iCs/>
                <w:color w:val="auto"/>
                <w:szCs w:val="24"/>
                <w:highlight w:val="none"/>
                <w:u w:val="none"/>
              </w:rPr>
            </w:pPr>
            <w:r>
              <w:rPr>
                <w:rFonts w:hint="eastAsia" w:ascii="宋体" w:hAnsi="宋体"/>
                <w:b/>
                <w:bCs/>
                <w:iCs/>
                <w:color w:val="auto"/>
                <w:szCs w:val="24"/>
                <w:highlight w:val="none"/>
                <w:u w:val="none"/>
              </w:rPr>
              <w:t>2.本产品到期日（或提前/延期终止日）至资金到账日期间，投资者理财资金如因清算安排实际产生利息的，相关利息归投资者所有。</w:t>
            </w:r>
          </w:p>
          <w:p w14:paraId="4791BE3A">
            <w:pPr>
              <w:widowControl/>
              <w:snapToGrid w:val="0"/>
              <w:spacing w:line="240" w:lineRule="auto"/>
              <w:jc w:val="left"/>
              <w:textAlignment w:val="auto"/>
              <w:rPr>
                <w:rFonts w:hint="eastAsia" w:ascii="仿宋_GB2312" w:hAnsi="等线" w:eastAsia="仿宋_GB2312" w:cs="仿宋_GB2312"/>
                <w:bCs/>
                <w:color w:val="000000" w:themeColor="text1"/>
                <w:sz w:val="24"/>
                <w:highlight w:val="none"/>
                <w14:textFill>
                  <w14:solidFill>
                    <w14:schemeClr w14:val="tx1"/>
                  </w14:solidFill>
                </w14:textFill>
              </w:rPr>
            </w:pPr>
            <w:r>
              <w:rPr>
                <w:rFonts w:hint="eastAsia" w:ascii="宋体" w:hAnsi="宋体"/>
                <w:b/>
                <w:bCs/>
                <w:iCs/>
                <w:color w:val="auto"/>
                <w:szCs w:val="24"/>
                <w:highlight w:val="none"/>
                <w:u w:val="none"/>
              </w:rPr>
              <w:t>3.理财产品份额转让</w:t>
            </w:r>
            <w:r>
              <w:rPr>
                <w:rFonts w:ascii="宋体" w:hAnsi="宋体"/>
                <w:b/>
                <w:bCs/>
                <w:iCs/>
                <w:color w:val="auto"/>
                <w:szCs w:val="24"/>
                <w:highlight w:val="none"/>
                <w:u w:val="none"/>
              </w:rPr>
              <w:t>、</w:t>
            </w:r>
            <w:r>
              <w:rPr>
                <w:rFonts w:hint="eastAsia" w:ascii="宋体" w:hAnsi="宋体"/>
                <w:b/>
                <w:bCs/>
                <w:iCs/>
                <w:color w:val="auto"/>
                <w:szCs w:val="24"/>
                <w:highlight w:val="none"/>
                <w:u w:val="none"/>
              </w:rPr>
              <w:t>质押将依照销售机构</w:t>
            </w:r>
            <w:r>
              <w:rPr>
                <w:rFonts w:hint="eastAsia" w:ascii="宋体" w:hAnsi="宋体"/>
                <w:b/>
                <w:bCs/>
                <w:iCs/>
                <w:color w:val="auto"/>
                <w:szCs w:val="24"/>
                <w:highlight w:val="none"/>
                <w:u w:val="none"/>
                <w:lang w:eastAsia="zh-CN"/>
              </w:rPr>
              <w:t>与管理人</w:t>
            </w:r>
            <w:r>
              <w:rPr>
                <w:rFonts w:hint="eastAsia" w:ascii="宋体" w:hAnsi="宋体"/>
                <w:b/>
                <w:bCs/>
                <w:iCs/>
                <w:color w:val="auto"/>
                <w:szCs w:val="24"/>
                <w:highlight w:val="none"/>
                <w:u w:val="none"/>
              </w:rPr>
              <w:t>的业务政策执行。</w:t>
            </w:r>
          </w:p>
        </w:tc>
      </w:tr>
    </w:tbl>
    <w:p w14:paraId="5FD4C248">
      <w:pPr>
        <w:rPr>
          <w:rFonts w:hint="eastAsia"/>
          <w:color w:val="auto"/>
          <w:highlight w:val="none"/>
          <w:u w:val="none"/>
        </w:rPr>
      </w:pPr>
    </w:p>
    <w:p w14:paraId="34B474E2">
      <w:pPr>
        <w:widowControl/>
        <w:snapToGrid w:val="0"/>
        <w:jc w:val="center"/>
        <w:rPr>
          <w:rFonts w:ascii="方正小标宋简体" w:hAnsi="宋体" w:eastAsia="方正小标宋简体" w:cs="宋体"/>
          <w:bCs/>
          <w:color w:val="auto"/>
          <w:kern w:val="0"/>
          <w:sz w:val="36"/>
          <w:szCs w:val="36"/>
        </w:rPr>
      </w:pPr>
      <w:r>
        <w:rPr>
          <w:rFonts w:hint="eastAsia" w:ascii="黑体" w:hAnsi="宋体" w:cs="宋体"/>
          <w:bCs/>
          <w:color w:val="auto"/>
          <w:kern w:val="0"/>
          <w:szCs w:val="24"/>
          <w:highlight w:val="none"/>
          <w:u w:val="none"/>
        </w:rPr>
        <w:br w:type="page"/>
      </w:r>
    </w:p>
    <w:p w14:paraId="420C9EF5">
      <w:pPr>
        <w:pStyle w:val="2"/>
        <w:numPr>
          <w:ilvl w:val="0"/>
          <w:numId w:val="14"/>
        </w:numPr>
        <w:rPr>
          <w:color w:val="auto"/>
        </w:rPr>
      </w:pPr>
      <w:r>
        <w:rPr>
          <w:rFonts w:hint="eastAsia"/>
          <w:color w:val="auto"/>
          <w:lang w:eastAsia="zh-CN"/>
        </w:rPr>
        <w:t>重要提示</w:t>
      </w:r>
    </w:p>
    <w:p w14:paraId="71F90D67">
      <w:pPr>
        <w:widowControl/>
        <w:tabs>
          <w:tab w:val="left" w:pos="709"/>
        </w:tabs>
        <w:snapToGrid w:val="0"/>
        <w:spacing w:line="360" w:lineRule="auto"/>
        <w:rPr>
          <w:rFonts w:ascii="仿宋_GB2312" w:hAnsi="宋体" w:cs="宋体"/>
          <w:b/>
          <w:bCs/>
          <w:color w:val="auto"/>
          <w:kern w:val="0"/>
          <w:szCs w:val="24"/>
        </w:rPr>
      </w:pPr>
      <w:r>
        <w:rPr>
          <w:rFonts w:hint="eastAsia" w:ascii="仿宋_GB2312" w:cs="宋体" w:hAnsiTheme="minorEastAsia"/>
          <w:b/>
          <w:bCs/>
          <w:color w:val="auto"/>
          <w:kern w:val="0"/>
          <w:szCs w:val="32"/>
        </w:rPr>
        <w:t>●</w:t>
      </w:r>
      <w:r>
        <w:rPr>
          <w:rFonts w:hint="eastAsia" w:ascii="仿宋_GB2312" w:hAnsi="宋体" w:cs="宋体"/>
          <w:b/>
          <w:bCs/>
          <w:color w:val="auto"/>
          <w:kern w:val="0"/>
          <w:szCs w:val="24"/>
        </w:rPr>
        <w:t>理财非存款、产品有风险、投资须谨慎。</w:t>
      </w:r>
    </w:p>
    <w:p w14:paraId="6457B90D">
      <w:pPr>
        <w:widowControl/>
        <w:tabs>
          <w:tab w:val="left" w:pos="709"/>
        </w:tabs>
        <w:snapToGrid w:val="0"/>
        <w:spacing w:line="360" w:lineRule="auto"/>
        <w:rPr>
          <w:rFonts w:ascii="仿宋_GB2312" w:hAnsi="宋体" w:cs="宋体"/>
          <w:b/>
          <w:bCs/>
          <w:color w:val="auto"/>
          <w:kern w:val="0"/>
          <w:szCs w:val="24"/>
        </w:rPr>
      </w:pPr>
      <w:r>
        <w:rPr>
          <w:rFonts w:hint="eastAsia" w:ascii="仿宋_GB2312" w:hAnsi="宋体" w:cs="宋体"/>
          <w:b/>
          <w:bCs/>
          <w:color w:val="auto"/>
          <w:kern w:val="0"/>
          <w:szCs w:val="24"/>
        </w:rPr>
        <w:t>●浙银理财有限责任公司（以下称“浙银</w:t>
      </w:r>
      <w:r>
        <w:rPr>
          <w:rFonts w:ascii="仿宋_GB2312" w:hAnsi="宋体" w:cs="宋体"/>
          <w:b/>
          <w:bCs/>
          <w:color w:val="auto"/>
          <w:kern w:val="0"/>
          <w:szCs w:val="24"/>
        </w:rPr>
        <w:t>理财</w:t>
      </w:r>
      <w:r>
        <w:rPr>
          <w:rFonts w:hint="eastAsia" w:ascii="仿宋_GB2312" w:hAnsi="宋体" w:cs="宋体"/>
          <w:b/>
          <w:bCs/>
          <w:color w:val="auto"/>
          <w:kern w:val="0"/>
          <w:szCs w:val="24"/>
        </w:rPr>
        <w:t>”）郑重提示：在购买理财产品前，请投资者应确保自己完全明白该项投资的性质和所涉及的风险，详细了解和审慎评估该理财产品的资金投资方向及风险类型等基本情况，在慎重考虑后自行决定购买与自身风险承受能力和资产管理需求匹配的理财产品，并承受由此产生的收益与风险。如影响投资者风险承受能力的因素发生变化，请及时完成风险承受能力评估</w:t>
      </w:r>
      <w:r>
        <w:rPr>
          <w:rFonts w:hint="eastAsia"/>
          <w:b/>
          <w:color w:val="auto"/>
        </w:rPr>
        <w:t>。</w:t>
      </w:r>
    </w:p>
    <w:p w14:paraId="7824CC89">
      <w:pPr>
        <w:pStyle w:val="13"/>
        <w:spacing w:line="360" w:lineRule="auto"/>
        <w:ind w:firstLine="0" w:firstLineChars="0"/>
        <w:rPr>
          <w:rFonts w:ascii="仿宋_GB2312" w:hAnsi="宋体" w:cs="宋体"/>
          <w:b/>
          <w:bCs/>
          <w:color w:val="auto"/>
          <w:kern w:val="0"/>
          <w:szCs w:val="24"/>
        </w:rPr>
      </w:pPr>
      <w:r>
        <w:rPr>
          <w:rFonts w:hint="eastAsia" w:ascii="仿宋_GB2312" w:hAnsi="宋体" w:cs="宋体"/>
          <w:b/>
          <w:bCs/>
          <w:color w:val="auto"/>
          <w:kern w:val="0"/>
          <w:szCs w:val="24"/>
        </w:rPr>
        <w:t>●</w:t>
      </w:r>
      <w:r>
        <w:rPr>
          <w:rFonts w:hint="eastAsia" w:ascii="仿宋_GB2312" w:hAnsi="宋体" w:cs="宋体"/>
          <w:bCs/>
          <w:color w:val="auto"/>
          <w:kern w:val="0"/>
          <w:szCs w:val="24"/>
        </w:rPr>
        <w:t>本理财产品说明书与《风险揭示书》《投资协议书》《投资者权益须知》《（代理）销售协议书》等共同构成本理财产品完整</w:t>
      </w:r>
      <w:r>
        <w:rPr>
          <w:rFonts w:ascii="仿宋_GB2312" w:hAnsi="宋体" w:cs="宋体"/>
          <w:bCs/>
          <w:color w:val="auto"/>
          <w:kern w:val="0"/>
          <w:szCs w:val="24"/>
        </w:rPr>
        <w:t>的</w:t>
      </w:r>
      <w:r>
        <w:rPr>
          <w:rFonts w:hint="eastAsia" w:ascii="仿宋_GB2312" w:hAnsi="宋体" w:cs="宋体"/>
          <w:bCs/>
          <w:color w:val="auto"/>
          <w:kern w:val="0"/>
          <w:szCs w:val="24"/>
        </w:rPr>
        <w:t>、</w:t>
      </w:r>
      <w:r>
        <w:rPr>
          <w:rFonts w:ascii="仿宋_GB2312" w:hAnsi="宋体" w:cs="宋体"/>
          <w:bCs/>
          <w:color w:val="auto"/>
          <w:kern w:val="0"/>
          <w:szCs w:val="24"/>
        </w:rPr>
        <w:t>不可</w:t>
      </w:r>
      <w:r>
        <w:rPr>
          <w:rFonts w:hint="eastAsia" w:ascii="仿宋_GB2312" w:hAnsi="宋体" w:cs="宋体"/>
          <w:bCs/>
          <w:color w:val="auto"/>
          <w:kern w:val="0"/>
          <w:szCs w:val="24"/>
        </w:rPr>
        <w:t>分割</w:t>
      </w:r>
      <w:r>
        <w:rPr>
          <w:rFonts w:ascii="仿宋_GB2312" w:hAnsi="宋体" w:cs="宋体"/>
          <w:bCs/>
          <w:color w:val="auto"/>
          <w:kern w:val="0"/>
          <w:szCs w:val="24"/>
        </w:rPr>
        <w:t>的</w:t>
      </w:r>
      <w:r>
        <w:rPr>
          <w:rFonts w:hint="eastAsia" w:ascii="仿宋_GB2312" w:hAnsi="宋体" w:cs="宋体"/>
          <w:bCs/>
          <w:color w:val="auto"/>
          <w:kern w:val="0"/>
          <w:szCs w:val="24"/>
        </w:rPr>
        <w:t>销售文件。</w:t>
      </w:r>
      <w:r>
        <w:rPr>
          <w:rFonts w:hint="eastAsia" w:ascii="仿宋_GB2312" w:hAnsi="宋体" w:cs="宋体"/>
          <w:b/>
          <w:bCs/>
          <w:color w:val="auto"/>
          <w:kern w:val="0"/>
          <w:szCs w:val="24"/>
        </w:rPr>
        <w:t>为了维护投资者的合法权益，请在投资前仔细阅读本说明书及其他销售文件，了解理财产品具体情况。</w:t>
      </w:r>
    </w:p>
    <w:p w14:paraId="4CEE53BF">
      <w:pPr>
        <w:pStyle w:val="13"/>
        <w:spacing w:line="360" w:lineRule="auto"/>
        <w:ind w:firstLine="0" w:firstLineChars="0"/>
        <w:rPr>
          <w:rFonts w:ascii="仿宋_GB2312" w:hAnsi="宋体" w:cs="宋体"/>
          <w:b/>
          <w:bCs/>
          <w:color w:val="auto"/>
          <w:kern w:val="0"/>
          <w:szCs w:val="24"/>
        </w:rPr>
      </w:pPr>
      <w:r>
        <w:rPr>
          <w:rFonts w:hint="eastAsia" w:ascii="仿宋_GB2312" w:hAnsi="宋体" w:cs="宋体"/>
          <w:b/>
          <w:bCs/>
          <w:color w:val="auto"/>
          <w:kern w:val="0"/>
          <w:szCs w:val="24"/>
        </w:rPr>
        <w:t>●</w:t>
      </w:r>
      <w:r>
        <w:rPr>
          <w:rFonts w:hint="eastAsia" w:ascii="仿宋_GB2312" w:hAnsi="宋体" w:cs="宋体"/>
          <w:bCs/>
          <w:color w:val="auto"/>
          <w:kern w:val="0"/>
          <w:szCs w:val="24"/>
        </w:rPr>
        <w:t>本理财产品为</w:t>
      </w:r>
      <w:r>
        <w:rPr>
          <w:rFonts w:hint="eastAsia" w:ascii="仿宋_GB2312" w:hAnsi="宋体" w:cs="宋体"/>
          <w:b/>
          <w:bCs/>
          <w:color w:val="auto"/>
          <w:kern w:val="0"/>
          <w:szCs w:val="24"/>
        </w:rPr>
        <w:t>非保本浮动收益型理财产品，与银行存款存在显著区别，不受</w:t>
      </w:r>
      <w:r>
        <w:rPr>
          <w:rFonts w:hint="eastAsia" w:ascii="仿宋_GB2312" w:cs="宋体" w:hAnsiTheme="minorEastAsia"/>
          <w:b/>
          <w:bCs/>
          <w:color w:val="auto"/>
          <w:kern w:val="0"/>
          <w:szCs w:val="32"/>
        </w:rPr>
        <w:t>存款保险及其他保障机制的保障。</w:t>
      </w:r>
      <w:r>
        <w:rPr>
          <w:rFonts w:hint="eastAsia" w:ascii="仿宋_GB2312" w:hAnsi="宋体" w:cs="宋体"/>
          <w:b/>
          <w:bCs/>
          <w:color w:val="auto"/>
          <w:kern w:val="0"/>
          <w:szCs w:val="24"/>
        </w:rPr>
        <w:t>本理财产品不保证投资者理财本金安全及最低收益，投资者投资/持有本理财产品可能因市场变化、突发事件等因素遭受收益乃至本金损失</w:t>
      </w:r>
      <w:r>
        <w:rPr>
          <w:rFonts w:hint="eastAsia" w:ascii="仿宋_GB2312" w:cs="宋体" w:hAnsiTheme="minorEastAsia"/>
          <w:b/>
          <w:bCs/>
          <w:color w:val="auto"/>
          <w:kern w:val="0"/>
          <w:szCs w:val="32"/>
        </w:rPr>
        <w:t>，</w:t>
      </w:r>
      <w:r>
        <w:rPr>
          <w:rFonts w:hint="eastAsia" w:cs="宋体" w:asciiTheme="minorEastAsia" w:hAnsiTheme="minorEastAsia"/>
          <w:b/>
          <w:bCs/>
          <w:color w:val="auto"/>
          <w:kern w:val="0"/>
          <w:szCs w:val="24"/>
        </w:rPr>
        <w:t>请</w:t>
      </w:r>
      <w:r>
        <w:rPr>
          <w:rFonts w:hint="eastAsia" w:ascii="仿宋_GB2312" w:hAnsi="宋体" w:cs="宋体"/>
          <w:b/>
          <w:bCs/>
          <w:color w:val="auto"/>
          <w:kern w:val="0"/>
          <w:szCs w:val="24"/>
        </w:rPr>
        <w:t>投资者充分知晓、理解投资风险，谨慎投资。</w:t>
      </w:r>
    </w:p>
    <w:p w14:paraId="70CBAF4B">
      <w:pPr>
        <w:pStyle w:val="13"/>
        <w:spacing w:line="360" w:lineRule="auto"/>
        <w:ind w:firstLine="0" w:firstLineChars="0"/>
        <w:rPr>
          <w:rFonts w:hint="eastAsia" w:ascii="仿宋_GB2312" w:hAnsi="宋体" w:cs="宋体"/>
          <w:b/>
          <w:bCs/>
          <w:color w:val="auto"/>
          <w:kern w:val="0"/>
          <w:szCs w:val="24"/>
        </w:rPr>
      </w:pPr>
      <w:r>
        <w:rPr>
          <w:rFonts w:hint="eastAsia" w:ascii="仿宋_GB2312" w:hAnsi="宋体" w:cs="宋体"/>
          <w:b/>
          <w:bCs/>
          <w:color w:val="auto"/>
          <w:kern w:val="0"/>
          <w:szCs w:val="24"/>
        </w:rPr>
        <w:t>●</w:t>
      </w:r>
      <w:r>
        <w:rPr>
          <w:rFonts w:hint="eastAsia" w:ascii="仿宋_GB2312" w:hAnsi="宋体" w:cs="宋体"/>
          <w:bCs/>
          <w:color w:val="auto"/>
          <w:kern w:val="0"/>
          <w:szCs w:val="24"/>
        </w:rPr>
        <w:t>本理财产品涉及的主要风险包括政策风险、信用风险、市场风险、流动性风险、经营管理风险、交易对手风险、操作风险、代销风险、募集期延长/缩短风险、产品不成立风险、提前终止风险、延期分配风险、信息传递风险、关联关系及关联交易风险、再投资风险、估值风险、托管及清算风险、税务风险、不同理财产品份额类别存在差异的风险、</w:t>
      </w:r>
      <w:r>
        <w:rPr>
          <w:rFonts w:hint="eastAsia" w:ascii="仿宋_GB2312" w:hAnsi="宋体" w:cs="宋体"/>
          <w:bCs/>
          <w:color w:val="auto"/>
          <w:kern w:val="0"/>
          <w:szCs w:val="24"/>
          <w:lang w:eastAsia="zh-CN"/>
        </w:rPr>
        <w:t>投资特定风险、</w:t>
      </w:r>
      <w:r>
        <w:rPr>
          <w:rFonts w:hint="eastAsia" w:ascii="仿宋_GB2312" w:hAnsi="宋体" w:cs="宋体"/>
          <w:bCs/>
          <w:color w:val="auto"/>
          <w:kern w:val="0"/>
          <w:szCs w:val="24"/>
        </w:rPr>
        <w:t>其他风险等，</w:t>
      </w:r>
      <w:r>
        <w:rPr>
          <w:rFonts w:hint="eastAsia" w:ascii="仿宋_GB2312" w:hAnsi="宋体" w:cs="宋体"/>
          <w:b/>
          <w:bCs/>
          <w:color w:val="auto"/>
          <w:kern w:val="0"/>
          <w:szCs w:val="24"/>
        </w:rPr>
        <w:t>请投资者仔细阅读《风险揭示书》。</w:t>
      </w:r>
    </w:p>
    <w:p w14:paraId="39DD3579">
      <w:pPr>
        <w:pStyle w:val="13"/>
        <w:spacing w:line="360" w:lineRule="auto"/>
        <w:ind w:firstLine="0" w:firstLineChars="0"/>
        <w:rPr>
          <w:rFonts w:ascii="仿宋_GB2312" w:hAnsi="宋体" w:cs="宋体"/>
          <w:b/>
          <w:bCs/>
          <w:color w:val="auto"/>
          <w:kern w:val="0"/>
          <w:szCs w:val="24"/>
        </w:rPr>
      </w:pPr>
      <w:r>
        <w:rPr>
          <w:rFonts w:hint="eastAsia" w:ascii="仿宋_GB2312" w:hAnsi="宋体" w:cs="宋体"/>
          <w:b/>
          <w:bCs/>
          <w:color w:val="auto"/>
          <w:kern w:val="0"/>
          <w:szCs w:val="24"/>
        </w:rPr>
        <w:t>●本理财产品销售文件中的任何“业绩比较基准”“业绩比较基准区间”以及其他类似表述均不代表投资者可能获得的实际收益，亦不构成管理人对本理财产品的任何收益承诺，不具有法律效力。</w:t>
      </w:r>
    </w:p>
    <w:p w14:paraId="0FF9CF1A">
      <w:pPr>
        <w:pStyle w:val="13"/>
        <w:spacing w:line="360" w:lineRule="auto"/>
        <w:ind w:firstLine="0" w:firstLineChars="0"/>
        <w:rPr>
          <w:rFonts w:ascii="仿宋_GB2312" w:hAnsi="宋体" w:cs="宋体"/>
          <w:b/>
          <w:bCs/>
          <w:color w:val="auto"/>
          <w:kern w:val="0"/>
          <w:szCs w:val="24"/>
        </w:rPr>
      </w:pPr>
      <w:r>
        <w:rPr>
          <w:rFonts w:hint="eastAsia" w:ascii="仿宋_GB2312" w:hAnsi="宋体" w:cs="宋体"/>
          <w:b/>
          <w:bCs/>
          <w:color w:val="auto"/>
          <w:kern w:val="0"/>
          <w:szCs w:val="24"/>
        </w:rPr>
        <w:t>●本理财</w:t>
      </w:r>
      <w:r>
        <w:rPr>
          <w:rFonts w:ascii="仿宋_GB2312" w:hAnsi="宋体" w:cs="宋体"/>
          <w:b/>
          <w:bCs/>
          <w:color w:val="auto"/>
          <w:kern w:val="0"/>
          <w:szCs w:val="24"/>
        </w:rPr>
        <w:t>产品的投资运作情况体现为产品净值变化，</w:t>
      </w:r>
      <w:r>
        <w:rPr>
          <w:rFonts w:hint="eastAsia" w:ascii="仿宋_GB2312" w:hAnsi="宋体" w:cs="宋体"/>
          <w:b/>
          <w:bCs/>
          <w:color w:val="auto"/>
          <w:kern w:val="0"/>
          <w:szCs w:val="24"/>
        </w:rPr>
        <w:t>投资者最终理财收益以实际到账为准。本理财产品过往业绩不代表其未来表现，不等于投资者未来可获得的实际收益。</w:t>
      </w:r>
    </w:p>
    <w:p w14:paraId="013E1DE7">
      <w:pPr>
        <w:tabs>
          <w:tab w:val="left" w:pos="709"/>
        </w:tabs>
        <w:snapToGrid w:val="0"/>
        <w:spacing w:line="360" w:lineRule="auto"/>
        <w:rPr>
          <w:rFonts w:ascii="仿宋_GB2312" w:hAnsi="宋体" w:cs="宋体"/>
          <w:bCs/>
          <w:color w:val="auto"/>
          <w:kern w:val="0"/>
          <w:szCs w:val="24"/>
        </w:rPr>
      </w:pPr>
      <w:r>
        <w:rPr>
          <w:rFonts w:hint="eastAsia" w:ascii="仿宋_GB2312" w:hAnsi="宋体" w:cs="宋体"/>
          <w:b/>
          <w:bCs/>
          <w:color w:val="auto"/>
          <w:kern w:val="0"/>
          <w:szCs w:val="24"/>
        </w:rPr>
        <w:t>●本理财产品仅向依据中华人民共和国法律法规及监管规定可以购买本类理财产品的投资者发售。</w:t>
      </w:r>
      <w:r>
        <w:rPr>
          <w:rFonts w:ascii="仿宋_GB2312" w:hAnsi="宋体" w:cs="宋体"/>
          <w:b/>
          <w:color w:val="auto"/>
          <w:kern w:val="0"/>
          <w:szCs w:val="24"/>
        </w:rPr>
        <w:t>投资者通过销售机构与浙银理财签订理财产品销售文件后，销售机构或浙银理财在划款时，不再通过任何方式与投资者进行最后确认，直接划款。</w:t>
      </w:r>
      <w:r>
        <w:rPr>
          <w:rFonts w:hint="eastAsia"/>
          <w:b/>
          <w:color w:val="auto"/>
        </w:rPr>
        <w:t>投</w:t>
      </w:r>
      <w:r>
        <w:rPr>
          <w:rFonts w:ascii="仿宋_GB2312" w:hAnsi="宋体" w:cs="宋体"/>
          <w:b/>
          <w:color w:val="auto"/>
          <w:kern w:val="0"/>
          <w:szCs w:val="24"/>
        </w:rPr>
        <w:t>资者通过销售机构电子渠道购买本理财产品，成功提交认购/申购申请后视同为投资者已完全知悉并接受本理财产品销售文件载明的风险揭示、重要提示以及其他约定，与浙银理财已完成理财产品销售</w:t>
      </w:r>
      <w:r>
        <w:rPr>
          <w:rFonts w:hint="eastAsia" w:ascii="仿宋_GB2312" w:hAnsi="宋体" w:cs="宋体"/>
          <w:b/>
          <w:color w:val="auto"/>
          <w:kern w:val="0"/>
          <w:szCs w:val="24"/>
        </w:rPr>
        <w:t>文件</w:t>
      </w:r>
      <w:r>
        <w:rPr>
          <w:rFonts w:ascii="仿宋_GB2312" w:hAnsi="宋体" w:cs="宋体"/>
          <w:b/>
          <w:color w:val="auto"/>
          <w:kern w:val="0"/>
          <w:szCs w:val="24"/>
        </w:rPr>
        <w:t>的签订。</w:t>
      </w:r>
    </w:p>
    <w:p w14:paraId="73569584">
      <w:pPr>
        <w:tabs>
          <w:tab w:val="left" w:pos="709"/>
        </w:tabs>
        <w:snapToGrid w:val="0"/>
        <w:spacing w:line="360" w:lineRule="auto"/>
        <w:rPr>
          <w:rFonts w:ascii="仿宋_GB2312" w:hAnsi="宋体" w:cs="宋体"/>
          <w:bCs/>
          <w:color w:val="auto"/>
          <w:kern w:val="0"/>
          <w:szCs w:val="24"/>
        </w:rPr>
      </w:pPr>
      <w:r>
        <w:rPr>
          <w:rFonts w:hint="eastAsia" w:ascii="仿宋_GB2312" w:hAnsi="宋体" w:cs="宋体"/>
          <w:b/>
          <w:bCs/>
          <w:color w:val="auto"/>
          <w:kern w:val="0"/>
          <w:szCs w:val="24"/>
        </w:rPr>
        <w:t>●</w:t>
      </w:r>
      <w:r>
        <w:rPr>
          <w:rFonts w:hint="eastAsia" w:ascii="仿宋_GB2312" w:hAnsi="宋体" w:cs="宋体"/>
          <w:bCs/>
          <w:color w:val="auto"/>
          <w:kern w:val="0"/>
          <w:szCs w:val="24"/>
        </w:rPr>
        <w:t>投资本理财产品后，投资者应随时关注本理财产品的信息披露情况，及时获取相关信息。相关信息以销售文件约定的信息披露方式进行披露。</w:t>
      </w:r>
    </w:p>
    <w:p w14:paraId="790BD923">
      <w:pPr>
        <w:tabs>
          <w:tab w:val="left" w:pos="709"/>
        </w:tabs>
        <w:snapToGrid w:val="0"/>
        <w:spacing w:line="360" w:lineRule="auto"/>
        <w:rPr>
          <w:rFonts w:ascii="仿宋_GB2312" w:hAnsi="宋体" w:cs="宋体"/>
          <w:bCs/>
          <w:color w:val="auto"/>
          <w:kern w:val="0"/>
          <w:szCs w:val="24"/>
        </w:rPr>
      </w:pPr>
      <w:r>
        <w:rPr>
          <w:rFonts w:hint="eastAsia" w:ascii="仿宋_GB2312" w:hAnsi="宋体" w:cs="宋体"/>
          <w:b/>
          <w:bCs/>
          <w:color w:val="auto"/>
          <w:kern w:val="0"/>
          <w:szCs w:val="24"/>
        </w:rPr>
        <w:t>●</w:t>
      </w:r>
      <w:r>
        <w:rPr>
          <w:rFonts w:hint="eastAsia" w:ascii="仿宋_GB2312" w:hAnsi="宋体" w:cs="宋体"/>
          <w:bCs/>
          <w:color w:val="auto"/>
          <w:kern w:val="0"/>
          <w:szCs w:val="24"/>
        </w:rPr>
        <w:t>投资者承诺其用于购买本理财产品的资金来源合法合规，并且其系为合法之目的投资本理财产品，而非为洗钱等违法犯罪目的；投资者应确保用于投资本理财产品的资金不来源于贷款、发行债券等筹集的非自有资金（受托管理的资产管理产品除外）。</w:t>
      </w:r>
    </w:p>
    <w:p w14:paraId="5B275E59">
      <w:pPr>
        <w:tabs>
          <w:tab w:val="left" w:pos="709"/>
        </w:tabs>
        <w:snapToGrid w:val="0"/>
        <w:spacing w:line="360" w:lineRule="auto"/>
        <w:rPr>
          <w:rFonts w:ascii="仿宋_GB2312" w:hAnsi="宋体" w:cs="宋体"/>
          <w:bCs/>
          <w:color w:val="auto"/>
          <w:kern w:val="0"/>
          <w:szCs w:val="24"/>
        </w:rPr>
      </w:pPr>
      <w:r>
        <w:rPr>
          <w:rFonts w:hint="eastAsia" w:ascii="仿宋_GB2312" w:hAnsi="宋体" w:cs="宋体"/>
          <w:b/>
          <w:bCs/>
          <w:color w:val="auto"/>
          <w:kern w:val="0"/>
          <w:szCs w:val="24"/>
        </w:rPr>
        <w:t>●</w:t>
      </w:r>
      <w:r>
        <w:rPr>
          <w:rFonts w:ascii="仿宋_GB2312" w:hAnsi="宋体" w:cs="宋体"/>
          <w:b/>
          <w:color w:val="auto"/>
          <w:kern w:val="0"/>
          <w:szCs w:val="24"/>
        </w:rPr>
        <w:t>在本理财产品存续期内，</w:t>
      </w:r>
      <w:r>
        <w:rPr>
          <w:rFonts w:ascii="仿宋_GB2312" w:cs="宋体" w:hAnsiTheme="minorEastAsia"/>
          <w:b/>
          <w:color w:val="auto"/>
          <w:kern w:val="0"/>
          <w:szCs w:val="32"/>
        </w:rPr>
        <w:t>如因维持本理财产品正常运营的需要且在不损害投资者利益的前提下，或因监管政策、法律法规发生变化</w:t>
      </w:r>
      <w:r>
        <w:rPr>
          <w:rFonts w:ascii="仿宋_GB2312" w:hAnsi="宋体" w:cs="宋体"/>
          <w:b/>
          <w:color w:val="auto"/>
          <w:kern w:val="0"/>
          <w:szCs w:val="24"/>
        </w:rPr>
        <w:t>，浙银理财有权单方对本理财产品销售文件条款进行修订，并按本理财产品说明书约定的披露方式向投资者进行信息披露。浙银理财按照前述规则发布该信息披露即视为该修订通知已送达投资者并对投资者具有法律约束力。</w:t>
      </w:r>
    </w:p>
    <w:p w14:paraId="2286F366">
      <w:pPr>
        <w:tabs>
          <w:tab w:val="left" w:pos="709"/>
        </w:tabs>
        <w:snapToGrid w:val="0"/>
        <w:spacing w:line="360" w:lineRule="auto"/>
        <w:rPr>
          <w:color w:val="auto"/>
        </w:rPr>
      </w:pPr>
      <w:r>
        <w:rPr>
          <w:rFonts w:hint="eastAsia" w:ascii="仿宋_GB2312" w:cs="宋体" w:hAnsiTheme="minorEastAsia"/>
          <w:bCs/>
          <w:color w:val="auto"/>
          <w:kern w:val="0"/>
          <w:szCs w:val="32"/>
        </w:rPr>
        <w:t>●如对本理财产品、服务有任何疑问、意见或建议，敬请联系您的销售服务机构，具体联系方式以《产品说明书》等销售文件的披露为准；或反馈至浙银理财服务电话：0571-57192881。</w:t>
      </w:r>
    </w:p>
    <w:p w14:paraId="5788DA4F">
      <w:pPr>
        <w:rPr>
          <w:color w:val="auto"/>
        </w:rPr>
      </w:pPr>
      <w:r>
        <w:rPr>
          <w:color w:val="auto"/>
        </w:rPr>
        <w:br w:type="page"/>
      </w:r>
    </w:p>
    <w:p w14:paraId="28CF22B9">
      <w:pPr>
        <w:pStyle w:val="2"/>
        <w:numPr>
          <w:ilvl w:val="0"/>
          <w:numId w:val="14"/>
        </w:numPr>
        <w:rPr>
          <w:color w:val="auto"/>
        </w:rPr>
      </w:pPr>
      <w:r>
        <w:rPr>
          <w:rFonts w:hint="eastAsia"/>
          <w:color w:val="auto"/>
        </w:rPr>
        <w:t>释义</w:t>
      </w:r>
    </w:p>
    <w:p w14:paraId="3E8BEF46">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本说明书中，除非另有明确说明，否则下列词语或简称具有如下含义：</w:t>
      </w:r>
    </w:p>
    <w:p w14:paraId="1D8D6716">
      <w:pPr>
        <w:pStyle w:val="3"/>
        <w:numPr>
          <w:ilvl w:val="1"/>
          <w:numId w:val="14"/>
        </w:numPr>
        <w:ind w:firstLine="482"/>
        <w:rPr>
          <w:rFonts w:ascii="仿宋_GB2312" w:hAnsi="宋体" w:cs="宋体"/>
          <w:bCs/>
          <w:color w:val="auto"/>
          <w:kern w:val="0"/>
          <w:szCs w:val="24"/>
        </w:rPr>
      </w:pPr>
      <w:r>
        <w:rPr>
          <w:rFonts w:hint="eastAsia" w:ascii="仿宋_GB2312" w:hAnsi="宋体" w:cs="宋体"/>
          <w:bCs/>
          <w:color w:val="auto"/>
          <w:kern w:val="0"/>
          <w:szCs w:val="24"/>
        </w:rPr>
        <w:t>产品参与主体用语</w:t>
      </w:r>
    </w:p>
    <w:p w14:paraId="51C1C25C">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1.</w:t>
      </w:r>
      <w:r>
        <w:rPr>
          <w:rFonts w:ascii="仿宋_GB2312" w:hAnsi="宋体" w:cs="宋体"/>
          <w:bCs/>
          <w:color w:val="auto"/>
          <w:kern w:val="0"/>
          <w:szCs w:val="24"/>
        </w:rPr>
        <w:t>管理人/产品管理人/理财产品管理人</w:t>
      </w:r>
      <w:r>
        <w:rPr>
          <w:rFonts w:hint="eastAsia" w:ascii="仿宋_GB2312" w:hAnsi="宋体" w:cs="宋体"/>
          <w:bCs/>
          <w:color w:val="auto"/>
          <w:kern w:val="0"/>
          <w:szCs w:val="24"/>
          <w:highlight w:val="none"/>
          <w:u w:val="none"/>
          <w:lang w:val="en-US" w:eastAsia="zh-CN"/>
        </w:rPr>
        <w:t>/发行机构</w:t>
      </w:r>
      <w:r>
        <w:rPr>
          <w:rFonts w:ascii="仿宋_GB2312" w:hAnsi="宋体" w:cs="宋体"/>
          <w:bCs/>
          <w:color w:val="auto"/>
          <w:kern w:val="0"/>
          <w:szCs w:val="24"/>
        </w:rPr>
        <w:t>：指浙银理财有限责任公司（简称“浙银理财”）。</w:t>
      </w:r>
    </w:p>
    <w:p w14:paraId="1CF0CD6A">
      <w:pPr>
        <w:tabs>
          <w:tab w:val="left" w:pos="709"/>
        </w:tabs>
        <w:snapToGrid w:val="0"/>
        <w:spacing w:line="360" w:lineRule="auto"/>
        <w:ind w:firstLine="420" w:firstLineChars="200"/>
        <w:rPr>
          <w:rFonts w:ascii="仿宋_GB2312" w:hAnsi="宋体" w:cs="宋体"/>
          <w:bCs/>
          <w:color w:val="auto"/>
          <w:kern w:val="0"/>
          <w:szCs w:val="24"/>
        </w:rPr>
      </w:pPr>
      <w:r>
        <w:rPr>
          <w:rFonts w:ascii="仿宋_GB2312" w:hAnsi="宋体" w:cs="宋体"/>
          <w:bCs/>
          <w:color w:val="auto"/>
          <w:kern w:val="0"/>
          <w:szCs w:val="24"/>
        </w:rPr>
        <w:t>2.</w:t>
      </w:r>
      <w:r>
        <w:rPr>
          <w:rFonts w:hint="eastAsia" w:ascii="仿宋_GB2312" w:hAnsi="宋体" w:cs="宋体"/>
          <w:bCs/>
          <w:color w:val="auto"/>
          <w:kern w:val="0"/>
          <w:szCs w:val="24"/>
        </w:rPr>
        <w:t>销售机构/理财产品销售机构：指符合</w:t>
      </w:r>
      <w:r>
        <w:rPr>
          <w:rFonts w:ascii="仿宋_GB2312" w:hAnsi="宋体" w:cs="宋体"/>
          <w:bCs/>
          <w:color w:val="auto"/>
          <w:kern w:val="0"/>
          <w:szCs w:val="24"/>
        </w:rPr>
        <w:t>监管</w:t>
      </w:r>
      <w:r>
        <w:rPr>
          <w:rFonts w:hint="eastAsia" w:ascii="仿宋_GB2312" w:hAnsi="宋体" w:cs="宋体"/>
          <w:bCs/>
          <w:color w:val="auto"/>
          <w:kern w:val="0"/>
          <w:szCs w:val="24"/>
        </w:rPr>
        <w:t>规定</w:t>
      </w:r>
      <w:r>
        <w:rPr>
          <w:rFonts w:ascii="仿宋_GB2312" w:hAnsi="宋体" w:cs="宋体"/>
          <w:bCs/>
          <w:color w:val="auto"/>
          <w:kern w:val="0"/>
          <w:szCs w:val="24"/>
        </w:rPr>
        <w:t>具备理财产品销售资格</w:t>
      </w:r>
      <w:r>
        <w:rPr>
          <w:rFonts w:hint="eastAsia" w:ascii="仿宋_GB2312" w:hAnsi="宋体" w:cs="宋体"/>
          <w:bCs/>
          <w:color w:val="auto"/>
          <w:kern w:val="0"/>
          <w:szCs w:val="24"/>
        </w:rPr>
        <w:t>的</w:t>
      </w:r>
      <w:r>
        <w:rPr>
          <w:rFonts w:ascii="仿宋_GB2312" w:hAnsi="宋体" w:cs="宋体"/>
          <w:bCs/>
          <w:color w:val="auto"/>
          <w:kern w:val="0"/>
          <w:szCs w:val="24"/>
        </w:rPr>
        <w:t>机构</w:t>
      </w:r>
      <w:r>
        <w:rPr>
          <w:rFonts w:hint="eastAsia" w:ascii="仿宋_GB2312" w:hAnsi="宋体" w:cs="宋体"/>
          <w:bCs/>
          <w:color w:val="auto"/>
          <w:kern w:val="0"/>
          <w:szCs w:val="24"/>
        </w:rPr>
        <w:t>，</w:t>
      </w:r>
      <w:r>
        <w:rPr>
          <w:rFonts w:ascii="仿宋_GB2312" w:hAnsi="宋体" w:cs="宋体"/>
          <w:bCs/>
          <w:color w:val="auto"/>
          <w:kern w:val="0"/>
          <w:szCs w:val="24"/>
        </w:rPr>
        <w:t>销售机构在其渠道开展向投资者</w:t>
      </w:r>
      <w:r>
        <w:rPr>
          <w:rFonts w:hint="eastAsia" w:ascii="仿宋_GB2312" w:hAnsi="宋体" w:cs="宋体"/>
          <w:bCs/>
          <w:color w:val="auto"/>
          <w:kern w:val="0"/>
          <w:szCs w:val="24"/>
        </w:rPr>
        <w:t>进行</w:t>
      </w:r>
      <w:r>
        <w:rPr>
          <w:rFonts w:ascii="仿宋_GB2312" w:hAnsi="宋体" w:cs="宋体"/>
          <w:bCs/>
          <w:color w:val="auto"/>
          <w:kern w:val="0"/>
          <w:szCs w:val="24"/>
        </w:rPr>
        <w:t>宣传推介</w:t>
      </w:r>
      <w:r>
        <w:rPr>
          <w:rFonts w:hint="eastAsia" w:ascii="仿宋_GB2312" w:hAnsi="宋体" w:cs="宋体"/>
          <w:bCs/>
          <w:color w:val="auto"/>
          <w:kern w:val="0"/>
          <w:szCs w:val="24"/>
        </w:rPr>
        <w:t>，为</w:t>
      </w:r>
      <w:r>
        <w:rPr>
          <w:rFonts w:ascii="仿宋_GB2312" w:hAnsi="宋体" w:cs="宋体"/>
          <w:bCs/>
          <w:color w:val="auto"/>
          <w:kern w:val="0"/>
          <w:szCs w:val="24"/>
        </w:rPr>
        <w:t>投资者</w:t>
      </w:r>
      <w:r>
        <w:rPr>
          <w:rFonts w:hint="eastAsia" w:ascii="仿宋_GB2312" w:hAnsi="宋体" w:cs="宋体"/>
          <w:bCs/>
          <w:color w:val="auto"/>
          <w:kern w:val="0"/>
          <w:szCs w:val="24"/>
        </w:rPr>
        <w:t>办理理财产品认购、申购和赎回，以及监管许可的其他销售活动。理财</w:t>
      </w:r>
      <w:r>
        <w:rPr>
          <w:rFonts w:ascii="仿宋_GB2312" w:hAnsi="宋体" w:cs="宋体"/>
          <w:bCs/>
          <w:color w:val="auto"/>
          <w:kern w:val="0"/>
          <w:szCs w:val="24"/>
        </w:rPr>
        <w:t>产品</w:t>
      </w:r>
      <w:r>
        <w:rPr>
          <w:rFonts w:hint="eastAsia" w:ascii="仿宋_GB2312" w:hAnsi="宋体" w:cs="宋体"/>
          <w:bCs/>
          <w:color w:val="auto"/>
          <w:kern w:val="0"/>
          <w:szCs w:val="24"/>
        </w:rPr>
        <w:t>销售可分为直销和代理</w:t>
      </w:r>
      <w:r>
        <w:rPr>
          <w:rFonts w:ascii="仿宋_GB2312" w:hAnsi="宋体" w:cs="宋体"/>
          <w:bCs/>
          <w:color w:val="auto"/>
          <w:kern w:val="0"/>
          <w:szCs w:val="24"/>
        </w:rPr>
        <w:t>销售</w:t>
      </w:r>
      <w:r>
        <w:rPr>
          <w:rFonts w:hint="eastAsia" w:ascii="仿宋_GB2312" w:hAnsi="宋体" w:cs="宋体"/>
          <w:bCs/>
          <w:color w:val="auto"/>
          <w:kern w:val="0"/>
          <w:szCs w:val="24"/>
        </w:rPr>
        <w:t>，直销机构指销售本公司发行理财产品的理财公司，代销机构指接受理财公司委托销售发行理财产品的代理销售机构。销售机构在其渠道开展向投资者宣传推介、销售产品管理人依法发行的资产管理产品的活动。</w:t>
      </w:r>
    </w:p>
    <w:p w14:paraId="7CD65503">
      <w:pPr>
        <w:tabs>
          <w:tab w:val="left" w:pos="709"/>
        </w:tabs>
        <w:snapToGrid w:val="0"/>
        <w:spacing w:line="360" w:lineRule="auto"/>
        <w:ind w:firstLine="420" w:firstLineChars="200"/>
        <w:rPr>
          <w:rFonts w:ascii="仿宋_GB2312" w:hAnsi="宋体" w:cs="宋体"/>
          <w:bCs/>
          <w:color w:val="auto"/>
          <w:kern w:val="0"/>
          <w:szCs w:val="24"/>
        </w:rPr>
      </w:pPr>
      <w:r>
        <w:rPr>
          <w:rFonts w:ascii="仿宋_GB2312" w:hAnsi="宋体" w:cs="宋体"/>
          <w:bCs/>
          <w:color w:val="auto"/>
          <w:kern w:val="0"/>
          <w:szCs w:val="24"/>
        </w:rPr>
        <w:t>3.</w:t>
      </w:r>
      <w:r>
        <w:rPr>
          <w:rFonts w:hint="eastAsia" w:ascii="仿宋_GB2312" w:hAnsi="宋体" w:cs="宋体"/>
          <w:bCs/>
          <w:color w:val="auto"/>
          <w:kern w:val="0"/>
          <w:szCs w:val="24"/>
        </w:rPr>
        <w:t>托管人</w:t>
      </w:r>
      <w:r>
        <w:rPr>
          <w:rFonts w:ascii="仿宋_GB2312" w:hAnsi="宋体" w:cs="宋体"/>
          <w:bCs/>
          <w:color w:val="auto"/>
          <w:kern w:val="0"/>
          <w:szCs w:val="24"/>
        </w:rPr>
        <w:t>/</w:t>
      </w:r>
      <w:r>
        <w:rPr>
          <w:rFonts w:hint="eastAsia" w:ascii="仿宋_GB2312" w:hAnsi="宋体" w:cs="宋体"/>
          <w:bCs/>
          <w:color w:val="auto"/>
          <w:kern w:val="0"/>
          <w:szCs w:val="24"/>
        </w:rPr>
        <w:t>产品托管人</w:t>
      </w:r>
      <w:r>
        <w:rPr>
          <w:rFonts w:ascii="仿宋_GB2312" w:hAnsi="宋体" w:cs="宋体"/>
          <w:bCs/>
          <w:color w:val="auto"/>
          <w:kern w:val="0"/>
          <w:szCs w:val="24"/>
        </w:rPr>
        <w:t>/</w:t>
      </w:r>
      <w:r>
        <w:rPr>
          <w:rFonts w:hint="eastAsia" w:ascii="仿宋_GB2312" w:hAnsi="宋体" w:cs="宋体"/>
          <w:bCs/>
          <w:color w:val="auto"/>
          <w:kern w:val="0"/>
          <w:szCs w:val="24"/>
        </w:rPr>
        <w:t>理财产品托管人</w:t>
      </w:r>
      <w:r>
        <w:rPr>
          <w:rFonts w:hint="eastAsia" w:ascii="仿宋_GB2312" w:hAnsi="宋体" w:cs="宋体"/>
          <w:bCs/>
          <w:color w:val="auto"/>
          <w:kern w:val="0"/>
          <w:szCs w:val="24"/>
          <w:highlight w:val="none"/>
          <w:u w:val="none"/>
          <w:lang w:val="en-US" w:eastAsia="zh-CN"/>
        </w:rPr>
        <w:t>/托管机构</w:t>
      </w:r>
      <w:r>
        <w:rPr>
          <w:rFonts w:hint="eastAsia" w:ascii="仿宋_GB2312" w:hAnsi="宋体" w:cs="宋体"/>
          <w:bCs/>
          <w:color w:val="auto"/>
          <w:kern w:val="0"/>
          <w:szCs w:val="24"/>
        </w:rPr>
        <w:t>：</w:t>
      </w:r>
      <w:r>
        <w:rPr>
          <w:rFonts w:ascii="仿宋_GB2312" w:hAnsi="宋体" w:cs="宋体"/>
          <w:bCs/>
          <w:color w:val="auto"/>
          <w:kern w:val="0"/>
          <w:szCs w:val="24"/>
        </w:rPr>
        <w:t>指</w:t>
      </w:r>
      <w:r>
        <w:rPr>
          <w:rFonts w:hint="eastAsia" w:ascii="仿宋_GB2312" w:hAnsi="宋体" w:cs="宋体"/>
          <w:bCs/>
          <w:color w:val="auto"/>
          <w:kern w:val="0"/>
          <w:szCs w:val="24"/>
        </w:rPr>
        <w:t>根据管理人委托对理财产品财产进行托管的机构。本理财</w:t>
      </w:r>
      <w:r>
        <w:rPr>
          <w:rFonts w:ascii="仿宋_GB2312" w:hAnsi="宋体" w:cs="宋体"/>
          <w:bCs/>
          <w:color w:val="auto"/>
          <w:kern w:val="0"/>
          <w:szCs w:val="24"/>
        </w:rPr>
        <w:t>产品托管人</w:t>
      </w:r>
      <w:r>
        <w:rPr>
          <w:rFonts w:hint="eastAsia" w:ascii="仿宋_GB2312" w:hAnsi="宋体" w:cs="宋体"/>
          <w:bCs/>
          <w:color w:val="auto"/>
          <w:kern w:val="0"/>
          <w:szCs w:val="24"/>
        </w:rPr>
        <w:t>指</w:t>
      </w:r>
      <w:r>
        <w:rPr>
          <w:rFonts w:hint="eastAsia" w:ascii="仿宋_GB2312" w:hAnsi="宋体" w:cs="宋体"/>
          <w:bCs/>
          <w:color w:val="auto"/>
          <w:kern w:val="0"/>
          <w:szCs w:val="24"/>
          <w:highlight w:val="yellow"/>
        </w:rPr>
        <w:t>【】（简称【】）。【】</w:t>
      </w:r>
      <w:r>
        <w:rPr>
          <w:rFonts w:hint="eastAsia" w:ascii="仿宋_GB2312" w:hAnsi="宋体" w:cs="宋体"/>
          <w:bCs/>
          <w:color w:val="auto"/>
          <w:kern w:val="0"/>
          <w:szCs w:val="24"/>
        </w:rPr>
        <w:t>具备理财产品托管资格。</w:t>
      </w:r>
    </w:p>
    <w:p w14:paraId="1AE80D9A">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4.投资者：指符合相关法律法规、监管规定要求的，可以购买理财产品份额的自然人、法人及</w:t>
      </w:r>
      <w:r>
        <w:rPr>
          <w:rFonts w:ascii="仿宋_GB2312" w:hAnsi="宋体" w:cs="宋体"/>
          <w:bCs/>
          <w:color w:val="auto"/>
          <w:kern w:val="0"/>
          <w:szCs w:val="24"/>
        </w:rPr>
        <w:t>依法成立的</w:t>
      </w:r>
      <w:r>
        <w:rPr>
          <w:rFonts w:hint="eastAsia" w:ascii="仿宋_GB2312" w:hAnsi="宋体" w:cs="宋体"/>
          <w:bCs/>
          <w:color w:val="auto"/>
          <w:kern w:val="0"/>
          <w:szCs w:val="24"/>
        </w:rPr>
        <w:t>其他</w:t>
      </w:r>
      <w:r>
        <w:rPr>
          <w:rFonts w:ascii="仿宋_GB2312" w:hAnsi="宋体" w:cs="宋体"/>
          <w:bCs/>
          <w:color w:val="auto"/>
          <w:kern w:val="0"/>
          <w:szCs w:val="24"/>
        </w:rPr>
        <w:t>组织</w:t>
      </w:r>
      <w:r>
        <w:rPr>
          <w:rFonts w:hint="eastAsia" w:ascii="仿宋_GB2312" w:hAnsi="宋体" w:cs="宋体"/>
          <w:bCs/>
          <w:color w:val="auto"/>
          <w:kern w:val="0"/>
          <w:szCs w:val="24"/>
        </w:rPr>
        <w:t>。</w:t>
      </w:r>
    </w:p>
    <w:p w14:paraId="0A2EC7E1">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5.合格投资者：合格投资者是指具备相应风险识别能力和风险承受能力，投资于单只理财产品不低于一定金额且符合下列条件的自然人、法人或者依法成立的其他组织：</w:t>
      </w:r>
    </w:p>
    <w:p w14:paraId="7D4A060E">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（1）具有2年以上投资经历，且满足家庭金融净资产不低于300万元人民币，或者家庭金融资产不低于500万元人民币，或者近3年本人年均收入不低于40万元人民币；</w:t>
      </w:r>
    </w:p>
    <w:p w14:paraId="08B62F91">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（2）最近1年末净资产不低于1000万元人民币的法人或者依法成立的其他组织；</w:t>
      </w:r>
    </w:p>
    <w:p w14:paraId="6CEB70ED">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（3）国务院银行业监督管理机构规定的其他情形。</w:t>
      </w:r>
    </w:p>
    <w:p w14:paraId="366E5180">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6.专业投资者：符合下列条件之一的是专业投资者：</w:t>
      </w:r>
    </w:p>
    <w:p w14:paraId="4159D71A">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（1）银行业金融机构、保险业金融机构、金融控股公司、证券基金期货经营机构、私募基金管理人；</w:t>
      </w:r>
    </w:p>
    <w:p w14:paraId="16975219">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（2）上述机构面向投资者发行的金融产品，信托公司管理的资产服务信托、公益慈善信托；</w:t>
      </w:r>
    </w:p>
    <w:p w14:paraId="6C19CA16">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（3）社会保障基金、企业年金、职业年金等养老基金，慈善基金等社会公益基金，合格境外机构投资者（QFII）、人民币合格境外机构投资者（RQFII）。</w:t>
      </w:r>
    </w:p>
    <w:p w14:paraId="697CA650">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7.普通投资者：专业投资者之外的投资者为普通投资者。</w:t>
      </w:r>
    </w:p>
    <w:p w14:paraId="199F8E6E">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8.全国银行业理财信息登记系统：指供商业银行及商业银行理财公司进行理财产品电子化报告和信息登记的电子信息系统。</w:t>
      </w:r>
    </w:p>
    <w:p w14:paraId="208FAEE9">
      <w:pPr>
        <w:pStyle w:val="3"/>
        <w:numPr>
          <w:ilvl w:val="1"/>
          <w:numId w:val="14"/>
        </w:numPr>
        <w:ind w:firstLine="482"/>
        <w:rPr>
          <w:rFonts w:ascii="仿宋_GB2312" w:hAnsi="宋体" w:cs="宋体"/>
          <w:bCs/>
          <w:color w:val="auto"/>
          <w:kern w:val="0"/>
          <w:szCs w:val="24"/>
        </w:rPr>
      </w:pPr>
      <w:r>
        <w:rPr>
          <w:rFonts w:hint="eastAsia" w:ascii="仿宋_GB2312" w:hAnsi="宋体" w:cs="宋体"/>
          <w:bCs/>
          <w:color w:val="auto"/>
          <w:kern w:val="0"/>
          <w:szCs w:val="24"/>
        </w:rPr>
        <w:t>法律文件用语</w:t>
      </w:r>
    </w:p>
    <w:p w14:paraId="18A85133">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1.理财产品销售文件/销售文件：指产品管理人向投资者提供的，用于描述产品特征，约定权利义务的文件。具体指</w:t>
      </w: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rPr>
        <w:t>销售文件，包括《投资协议书》、《产品说明书》、《（代理）销售协议书》、《风险揭示书》、《投资者权益须知》以及对该文件的有效修改或补充。上述文件共同构成一份完整且不可分割的理财产品销售文件。经产品管理人委托，代理销售机构可以编制《（代理）销售协议书》、《风险揭示书》、《投资者权益须知》。</w:t>
      </w:r>
    </w:p>
    <w:p w14:paraId="1005AFA0">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2.《投资协议书》：指管理人统一编制的《浙银理财理财产品投资协议书》，以及对该文件的有效修改或补充。</w:t>
      </w:r>
    </w:p>
    <w:p w14:paraId="3298AF22">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3.《产品说明书》：指管理人统一编制的《</w:t>
      </w: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rPr>
        <w:t>说明书》，以及对该文件的有效修改或补充。</w:t>
      </w:r>
    </w:p>
    <w:p w14:paraId="5714937E">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4.《（代理）销售协议书》：指管理人统一编制的《浙银理财理财产品（代理）销售协议书》或代理销售机构接受产品管理人委托自行编制的《理财产品（代理）销售协议书》（文件名称以代理销售机构实际编制为准），以及对该文件的有效修改或补充。</w:t>
      </w:r>
    </w:p>
    <w:p w14:paraId="287146A1">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5.《风险揭示书》：指管理人统一编制的《</w:t>
      </w: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rPr>
        <w:t>风险揭示书》或代理销售机构接受产品管理人委托自行编制的《</w:t>
      </w: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rPr>
        <w:t>风险揭示书》（文件名称以代理销售机构实际编制为准），以及对该文件的有效修改或补充。</w:t>
      </w:r>
    </w:p>
    <w:p w14:paraId="318D7DFE">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6.《投资者权益须知》：指管理人统一编制的《理财产品投资者权益须知》或代理销售机构接受产品管理人委托自行编制的《理财产品投资者权益须知》（文件名称以代理销售机构实际编制为准），以及对该文件的有效修改或补充。</w:t>
      </w:r>
    </w:p>
    <w:p w14:paraId="3D2D069A">
      <w:pPr>
        <w:pStyle w:val="3"/>
        <w:numPr>
          <w:ilvl w:val="1"/>
          <w:numId w:val="14"/>
        </w:numPr>
        <w:ind w:firstLine="482"/>
        <w:rPr>
          <w:rFonts w:ascii="仿宋_GB2312" w:hAnsi="宋体" w:cs="宋体"/>
          <w:bCs/>
          <w:color w:val="auto"/>
          <w:kern w:val="0"/>
          <w:szCs w:val="24"/>
        </w:rPr>
      </w:pPr>
      <w:r>
        <w:rPr>
          <w:rFonts w:hint="eastAsia" w:ascii="仿宋_GB2312" w:hAnsi="宋体" w:cs="宋体"/>
          <w:bCs/>
          <w:color w:val="auto"/>
          <w:kern w:val="0"/>
          <w:szCs w:val="24"/>
        </w:rPr>
        <w:t>理财产品用语</w:t>
      </w:r>
    </w:p>
    <w:p w14:paraId="6D6C3552">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1.理财产品登记编码</w:t>
      </w:r>
      <w:r>
        <w:rPr>
          <w:rFonts w:hint="eastAsia" w:ascii="仿宋_GB2312" w:hAnsi="宋体" w:cs="宋体"/>
          <w:bCs/>
          <w:color w:val="auto"/>
          <w:kern w:val="0"/>
          <w:szCs w:val="24"/>
          <w:highlight w:val="none"/>
          <w:u w:val="none"/>
          <w:lang w:val="en-US" w:eastAsia="zh-CN"/>
        </w:rPr>
        <w:t>/产品登记编码</w:t>
      </w:r>
      <w:r>
        <w:rPr>
          <w:rFonts w:hint="eastAsia" w:ascii="仿宋_GB2312" w:hAnsi="宋体" w:cs="宋体"/>
          <w:bCs/>
          <w:color w:val="auto"/>
          <w:kern w:val="0"/>
          <w:szCs w:val="24"/>
          <w:highlight w:val="none"/>
          <w:u w:val="none"/>
        </w:rPr>
        <w:t>：指本款理财产品在全国银行业理财信息登记系统对理财产品进行信息登记后，由全国银行业理财信息登记系统发放的唯一性的理财产品编码。投资者可依据登记编码在中国理财网（www.chinawealth.com.cn）查询产品信息。</w:t>
      </w:r>
    </w:p>
    <w:p w14:paraId="5E5A8189">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2.理财产品代码/产品代码：指产品管理人在全国银行业理财信息登记系统中为理财产品设置的内部识别码。</w:t>
      </w:r>
    </w:p>
    <w:p w14:paraId="3C6E06F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3.理财产品销售代码/销售代码</w:t>
      </w:r>
      <w:r>
        <w:rPr>
          <w:rFonts w:hint="eastAsia" w:ascii="仿宋_GB2312" w:hAnsi="宋体" w:cs="宋体"/>
          <w:bCs/>
          <w:color w:val="auto"/>
          <w:kern w:val="0"/>
          <w:szCs w:val="24"/>
          <w:highlight w:val="none"/>
          <w:u w:val="none"/>
          <w:lang w:val="en-US" w:eastAsia="zh-CN"/>
        </w:rPr>
        <w:t>/份额代码</w:t>
      </w:r>
      <w:r>
        <w:rPr>
          <w:rFonts w:hint="eastAsia" w:ascii="仿宋_GB2312" w:hAnsi="宋体" w:cs="宋体"/>
          <w:bCs/>
          <w:color w:val="auto"/>
          <w:kern w:val="0"/>
          <w:szCs w:val="24"/>
          <w:highlight w:val="none"/>
          <w:u w:val="none"/>
        </w:rPr>
        <w:t>：指本款理财产品若设置不同产品份额类别，为在理财产品销售管理过程中区分不同产品份额类别，管理人在同一理财产品代码项下，为每类份额类别设置的唯一性内部识别码。</w:t>
      </w:r>
    </w:p>
    <w:p w14:paraId="27B32A03">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4.理财产品风险等级：理财产品风险等级为产品管理人和销售机构经过审慎评估后确定的产品风险等级。若本产品通过代理销售机构销售的，理财产品风险等级以代理销售机构最终披露的风险等级结果为准。产品管理人和代理销售机构对理财产品的风险等级评估结果不一致时，代理销售机构应采用对应较高风险的评级结果。</w:t>
      </w:r>
      <w:r>
        <w:rPr>
          <w:rFonts w:hint="eastAsia" w:ascii="宋体" w:hAnsi="宋体"/>
          <w:b/>
          <w:bCs/>
          <w:color w:val="auto"/>
          <w:szCs w:val="24"/>
        </w:rPr>
        <w:t>产品管理人在符合监管政策的前提下可对产品风险评级进行动态管理，如产品风险等级发生调整，将提前通过本《产品说明书》“信息披露”约定的方式通知投资者。</w:t>
      </w:r>
    </w:p>
    <w:p w14:paraId="7687DA91">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5.投资者风险承受能力评估：指销售机构对理财投资者的风险承受能力进行评价的过程。</w:t>
      </w:r>
    </w:p>
    <w:p w14:paraId="63A833B8">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6.理财产品份额：指投资者持有本理财产品的单位数额。投资者基于其所持有的理财产品单位数额享有理财产品利益、承担理财产品风险。理财产品份额四舍五入保留2位小数。</w:t>
      </w:r>
    </w:p>
    <w:p w14:paraId="57DC7C16">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7.理财产品资产净值/理财资产净值/产品资产净值：理财产品资产净值=理财产品资产总值-理财产品负债总值。</w:t>
      </w:r>
    </w:p>
    <w:p w14:paraId="47762525">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理财产品资产总值是指理财产品拥有的各类有价证券、银行存款、应收款项及其他资产的价值总和。</w:t>
      </w:r>
    </w:p>
    <w:p w14:paraId="24C81C2E">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理财产品负债总值是指理财产品运作及融资时形成的负债价值总和，包括融资资金本息、</w:t>
      </w:r>
      <w:r>
        <w:rPr>
          <w:rFonts w:hint="eastAsia" w:ascii="仿宋_GB2312" w:hAnsi="宋体" w:cs="宋体"/>
          <w:bCs/>
          <w:color w:val="auto"/>
          <w:kern w:val="0"/>
          <w:sz w:val="22"/>
        </w:rPr>
        <w:t>应付各项费用</w:t>
      </w:r>
      <w:r>
        <w:rPr>
          <w:rFonts w:hint="eastAsia" w:ascii="仿宋_GB2312" w:hAnsi="宋体" w:cs="宋体"/>
          <w:bCs/>
          <w:color w:val="auto"/>
          <w:kern w:val="0"/>
          <w:szCs w:val="24"/>
        </w:rPr>
        <w:t>（包括</w:t>
      </w:r>
      <w:r>
        <w:rPr>
          <w:rFonts w:hint="eastAsia" w:ascii="仿宋_GB2312" w:hAnsi="宋体" w:cs="宋体"/>
          <w:bCs/>
          <w:color w:val="auto"/>
          <w:kern w:val="0"/>
          <w:szCs w:val="24"/>
          <w:lang w:eastAsia="zh-CN"/>
        </w:rPr>
        <w:t>托管费</w:t>
      </w:r>
      <w:r>
        <w:rPr>
          <w:rFonts w:hint="eastAsia" w:ascii="仿宋_GB2312" w:hAnsi="宋体" w:cs="宋体"/>
          <w:bCs/>
          <w:color w:val="auto"/>
          <w:kern w:val="0"/>
          <w:szCs w:val="24"/>
        </w:rPr>
        <w:t>、认购费、</w:t>
      </w:r>
      <w:r>
        <w:rPr>
          <w:rFonts w:hint="eastAsia" w:ascii="仿宋_GB2312" w:hAnsi="宋体" w:cs="宋体"/>
          <w:bCs/>
          <w:color w:val="auto"/>
          <w:kern w:val="0"/>
          <w:szCs w:val="24"/>
          <w:lang w:eastAsia="zh-CN"/>
        </w:rPr>
        <w:t>固定管理费</w:t>
      </w:r>
      <w:r>
        <w:rPr>
          <w:rFonts w:hint="eastAsia" w:ascii="仿宋_GB2312" w:hAnsi="宋体" w:cs="宋体"/>
          <w:bCs/>
          <w:color w:val="auto"/>
          <w:kern w:val="0"/>
          <w:szCs w:val="24"/>
        </w:rPr>
        <w:t>、</w:t>
      </w:r>
      <w:r>
        <w:rPr>
          <w:rFonts w:hint="eastAsia" w:ascii="仿宋_GB2312" w:hAnsi="宋体" w:cs="宋体"/>
          <w:bCs/>
          <w:color w:val="auto"/>
          <w:kern w:val="0"/>
          <w:szCs w:val="24"/>
          <w:lang w:eastAsia="zh-CN"/>
        </w:rPr>
        <w:t>浮动管理费</w:t>
      </w:r>
      <w:r>
        <w:rPr>
          <w:rFonts w:hint="eastAsia" w:ascii="仿宋_GB2312" w:hAnsi="宋体" w:cs="宋体"/>
          <w:bCs/>
          <w:color w:val="auto"/>
          <w:kern w:val="0"/>
          <w:szCs w:val="24"/>
        </w:rPr>
        <w:t>、其他费用等）、应付税金及其他应付款项等。</w:t>
      </w:r>
    </w:p>
    <w:p w14:paraId="75EE9CD5">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8.理财产品份额净值/理财份额净值/产品份额净值：指理财产品份额的单位净值，即每1份理财产品份额以人民币计价的价格。理财产品份额净值=理财资产净值/产品总份额。投资者按该份额净值进行理财产品申购、赎回时分配。理财产品份额净值四舍五入保留</w:t>
      </w:r>
      <w:r>
        <w:rPr>
          <w:rFonts w:hint="eastAsia" w:ascii="仿宋_GB2312" w:hAnsi="宋体" w:cs="宋体"/>
          <w:bCs/>
          <w:color w:val="auto"/>
          <w:kern w:val="0"/>
          <w:szCs w:val="24"/>
          <w:highlight w:val="yellow"/>
        </w:rPr>
        <w:t>【位】</w:t>
      </w:r>
      <w:r>
        <w:rPr>
          <w:rFonts w:hint="eastAsia" w:ascii="仿宋_GB2312" w:hAnsi="宋体" w:cs="宋体"/>
          <w:bCs/>
          <w:color w:val="auto"/>
          <w:kern w:val="0"/>
          <w:szCs w:val="24"/>
        </w:rPr>
        <w:t>小数。</w:t>
      </w:r>
    </w:p>
    <w:p w14:paraId="72E8436A">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理财产品份额净值可以展示为</w:t>
      </w:r>
      <w:r>
        <w:rPr>
          <w:rFonts w:ascii="仿宋_GB2312" w:hAnsi="宋体" w:cs="宋体"/>
          <w:b/>
          <w:color w:val="auto"/>
          <w:kern w:val="0"/>
          <w:szCs w:val="24"/>
        </w:rPr>
        <w:t>当前理财产品份额净值</w:t>
      </w:r>
      <w:r>
        <w:rPr>
          <w:rFonts w:hint="eastAsia" w:ascii="仿宋_GB2312" w:hAnsi="宋体" w:cs="宋体"/>
          <w:bCs/>
          <w:color w:val="auto"/>
          <w:kern w:val="0"/>
          <w:szCs w:val="24"/>
        </w:rPr>
        <w:t>和</w:t>
      </w:r>
      <w:r>
        <w:rPr>
          <w:rFonts w:ascii="仿宋_GB2312" w:hAnsi="宋体" w:cs="宋体"/>
          <w:b/>
          <w:color w:val="auto"/>
          <w:kern w:val="0"/>
          <w:szCs w:val="24"/>
        </w:rPr>
        <w:t>累计理财产品份额净值</w:t>
      </w:r>
      <w:r>
        <w:rPr>
          <w:rFonts w:hint="eastAsia" w:ascii="仿宋_GB2312" w:hAnsi="宋体" w:cs="宋体"/>
          <w:bCs/>
          <w:color w:val="auto"/>
          <w:kern w:val="0"/>
          <w:szCs w:val="24"/>
        </w:rPr>
        <w:t>。</w:t>
      </w:r>
    </w:p>
    <w:p w14:paraId="25C97CDA">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当前理财产品份额净值，指产品当前的份额净值。</w:t>
      </w:r>
    </w:p>
    <w:p w14:paraId="01BC8D58">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累计理财产品份额净值，指产品当前份额净值及产品成立到现在单位理财产品份额分红之和。</w:t>
      </w:r>
    </w:p>
    <w:p w14:paraId="1F989313">
      <w:pPr>
        <w:tabs>
          <w:tab w:val="left" w:pos="709"/>
        </w:tabs>
        <w:snapToGrid w:val="0"/>
        <w:spacing w:line="360" w:lineRule="auto"/>
        <w:ind w:firstLine="422" w:firstLineChars="200"/>
        <w:rPr>
          <w:rFonts w:ascii="仿宋_GB2312" w:hAnsi="宋体" w:cs="宋体"/>
          <w:b/>
          <w:color w:val="auto"/>
          <w:kern w:val="0"/>
          <w:szCs w:val="24"/>
        </w:rPr>
      </w:pPr>
      <w:r>
        <w:rPr>
          <w:rFonts w:ascii="仿宋_GB2312" w:hAnsi="宋体" w:cs="宋体"/>
          <w:b/>
          <w:color w:val="auto"/>
          <w:kern w:val="0"/>
          <w:szCs w:val="24"/>
        </w:rPr>
        <w:t>（注：若无特别说明，理财产品份额净值通常指当前理财产品份额净值）</w:t>
      </w:r>
    </w:p>
    <w:p w14:paraId="3D6343A7">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9.理财产品估值：指计算评估理财产品资产和理财产品负债的价值，以确定理财产品份额净值、每万份理财产品已实现收益和7日年化收益率的过程。</w:t>
      </w:r>
    </w:p>
    <w:p w14:paraId="11F3347B">
      <w:pPr>
        <w:tabs>
          <w:tab w:val="left" w:pos="709"/>
        </w:tabs>
        <w:snapToGrid w:val="0"/>
        <w:spacing w:line="360" w:lineRule="auto"/>
        <w:ind w:firstLine="420" w:firstLineChars="200"/>
        <w:rPr>
          <w:rFonts w:ascii="仿宋_GB2312" w:hAnsi="宋体" w:cs="宋体"/>
          <w:b/>
          <w:color w:val="auto"/>
          <w:kern w:val="0"/>
          <w:szCs w:val="24"/>
        </w:rPr>
      </w:pPr>
      <w:r>
        <w:rPr>
          <w:rFonts w:hint="eastAsia" w:ascii="仿宋_GB2312" w:hAnsi="宋体" w:cs="宋体"/>
          <w:bCs/>
          <w:color w:val="auto"/>
          <w:kern w:val="0"/>
          <w:szCs w:val="24"/>
        </w:rPr>
        <w:t>10.业绩比较基准：指管理人基于过往投资经验及对产品存续期投资市场波动的预判而对本产品所设定的投资目标。</w:t>
      </w:r>
      <w:r>
        <w:rPr>
          <w:rFonts w:ascii="仿宋_GB2312" w:hAnsi="宋体" w:cs="宋体"/>
          <w:b/>
          <w:color w:val="auto"/>
          <w:kern w:val="0"/>
          <w:szCs w:val="24"/>
        </w:rPr>
        <w:t>业绩比较基准不代表理财产品未来表现，不等于理财产品实际收益，不作为产品收益的业绩保证，投资须谨慎。</w:t>
      </w:r>
    </w:p>
    <w:p w14:paraId="685591A4">
      <w:pPr>
        <w:tabs>
          <w:tab w:val="left" w:pos="709"/>
        </w:tabs>
        <w:snapToGrid w:val="0"/>
        <w:spacing w:line="360" w:lineRule="auto"/>
        <w:ind w:firstLine="420" w:firstLineChars="200"/>
        <w:rPr>
          <w:rFonts w:ascii="仿宋_GB2312" w:hAnsi="宋体" w:cs="宋体"/>
          <w:b/>
          <w:color w:val="auto"/>
          <w:kern w:val="0"/>
          <w:szCs w:val="24"/>
          <w:highlight w:val="none"/>
          <w:u w:val="none"/>
        </w:rPr>
      </w:pPr>
      <w:r>
        <w:rPr>
          <w:rFonts w:ascii="仿宋_GB2312" w:hAnsi="宋体" w:cs="宋体"/>
          <w:bCs/>
          <w:color w:val="auto"/>
          <w:kern w:val="0"/>
          <w:szCs w:val="24"/>
          <w:highlight w:val="none"/>
          <w:u w:val="none"/>
        </w:rPr>
        <w:t>11.</w:t>
      </w:r>
      <w:r>
        <w:rPr>
          <w:rFonts w:hint="eastAsia" w:ascii="仿宋_GB2312" w:hAnsi="宋体" w:cs="宋体"/>
          <w:bCs/>
          <w:color w:val="auto"/>
          <w:kern w:val="0"/>
          <w:szCs w:val="24"/>
          <w:highlight w:val="none"/>
          <w:u w:val="none"/>
          <w:lang w:eastAsia="zh-CN"/>
        </w:rPr>
        <w:t>浮动管理费</w:t>
      </w:r>
      <w:r>
        <w:rPr>
          <w:rFonts w:ascii="仿宋_GB2312" w:hAnsi="宋体" w:cs="宋体"/>
          <w:bCs/>
          <w:color w:val="auto"/>
          <w:kern w:val="0"/>
          <w:szCs w:val="24"/>
          <w:highlight w:val="none"/>
          <w:u w:val="none"/>
        </w:rPr>
        <w:t>计提基准：指管理人收取</w:t>
      </w:r>
      <w:r>
        <w:rPr>
          <w:rFonts w:hint="eastAsia" w:ascii="仿宋_GB2312" w:hAnsi="宋体" w:cs="宋体"/>
          <w:bCs/>
          <w:color w:val="auto"/>
          <w:kern w:val="0"/>
          <w:szCs w:val="24"/>
          <w:highlight w:val="none"/>
          <w:u w:val="none"/>
          <w:lang w:eastAsia="zh-CN"/>
        </w:rPr>
        <w:t>浮动管理费</w:t>
      </w:r>
      <w:r>
        <w:rPr>
          <w:rFonts w:ascii="仿宋_GB2312" w:hAnsi="宋体" w:cs="宋体"/>
          <w:bCs/>
          <w:color w:val="auto"/>
          <w:kern w:val="0"/>
          <w:szCs w:val="24"/>
          <w:highlight w:val="none"/>
          <w:u w:val="none"/>
        </w:rPr>
        <w:t>的参照相关数值标准。</w:t>
      </w:r>
      <w:r>
        <w:rPr>
          <w:rFonts w:hint="eastAsia" w:ascii="仿宋_GB2312" w:hAnsi="宋体" w:cs="宋体"/>
          <w:b/>
          <w:color w:val="auto"/>
          <w:kern w:val="0"/>
          <w:szCs w:val="24"/>
          <w:highlight w:val="none"/>
          <w:u w:val="none"/>
          <w:lang w:eastAsia="zh-CN"/>
        </w:rPr>
        <w:t>浮动管理费</w:t>
      </w:r>
      <w:r>
        <w:rPr>
          <w:rFonts w:ascii="仿宋_GB2312" w:hAnsi="宋体" w:cs="宋体"/>
          <w:b/>
          <w:color w:val="auto"/>
          <w:kern w:val="0"/>
          <w:szCs w:val="24"/>
          <w:highlight w:val="none"/>
          <w:u w:val="none"/>
        </w:rPr>
        <w:t>计提基准不代表理财产品未来表现，不等于理财产品实际收益，不作为产品收益的业绩保证，投资须谨慎。</w:t>
      </w:r>
    </w:p>
    <w:p w14:paraId="1EC6159F">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12.理财产品利益/理财利益</w:t>
      </w:r>
      <w:r>
        <w:rPr>
          <w:rFonts w:hint="eastAsia" w:ascii="仿宋_GB2312" w:hAnsi="宋体" w:cs="宋体"/>
          <w:bCs/>
          <w:color w:val="auto"/>
          <w:kern w:val="0"/>
          <w:szCs w:val="24"/>
          <w:highlight w:val="none"/>
          <w:u w:val="none"/>
          <w:lang w:val="en-US" w:eastAsia="zh-CN"/>
        </w:rPr>
        <w:t>/理财产品收益/理财收益</w:t>
      </w:r>
      <w:r>
        <w:rPr>
          <w:rFonts w:hint="eastAsia" w:ascii="仿宋_GB2312" w:hAnsi="宋体" w:cs="宋体"/>
          <w:bCs/>
          <w:color w:val="auto"/>
          <w:kern w:val="0"/>
          <w:szCs w:val="24"/>
          <w:highlight w:val="none"/>
          <w:u w:val="none"/>
        </w:rPr>
        <w:t>：指投资者因持有理财产品份额，按照销售文件约定取得或有权取得的理财产品管理人分配的理财产品资产。</w:t>
      </w:r>
    </w:p>
    <w:p w14:paraId="50E00E01">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13.</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分配：指产品管理人向投资者进行理财产品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 xml:space="preserve">分配。 </w:t>
      </w:r>
    </w:p>
    <w:p w14:paraId="02CF0413">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14.期间分配：指在理财产品终止日（不含当日）前的理财产品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 xml:space="preserve">分配。 </w:t>
      </w:r>
    </w:p>
    <w:p w14:paraId="79EC0416">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15.终止分配：指在理财产品终止日当日及之后的理财产品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w:t>
      </w:r>
    </w:p>
    <w:p w14:paraId="6393BEA7">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16.认购：指投资者根据本协议约定在认购期/募集期内申请购买本产品理财产品份额的行为。</w:t>
      </w:r>
    </w:p>
    <w:p w14:paraId="1B237DC8">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17.申购：指理财产品成立后，在理财产品申购期内，投资者申请购买理财产品份额的行为。</w:t>
      </w:r>
    </w:p>
    <w:p w14:paraId="1F4BD890">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首次申购，指未进行认购的投资者，在理财产品成立</w:t>
      </w:r>
      <w:r>
        <w:rPr>
          <w:rFonts w:hint="eastAsia" w:ascii="仿宋_GB2312" w:hAnsi="宋体" w:cs="宋体"/>
          <w:bCs/>
          <w:color w:val="auto"/>
          <w:kern w:val="0"/>
          <w:szCs w:val="24"/>
          <w:highlight w:val="none"/>
        </w:rPr>
        <w:t>后申请购买理财产品份额的行为。投资者</w:t>
      </w:r>
      <w:r>
        <w:rPr>
          <w:rFonts w:hint="eastAsia" w:ascii="仿宋_GB2312" w:hAnsi="宋体" w:cs="宋体"/>
          <w:bCs/>
          <w:color w:val="auto"/>
          <w:kern w:val="0"/>
          <w:szCs w:val="24"/>
          <w:highlight w:val="none"/>
          <w:lang w:eastAsia="zh-CN"/>
        </w:rPr>
        <w:t>全部</w:t>
      </w:r>
      <w:r>
        <w:rPr>
          <w:rFonts w:hint="eastAsia" w:ascii="仿宋_GB2312" w:hAnsi="宋体" w:cs="宋体"/>
          <w:bCs/>
          <w:color w:val="auto"/>
          <w:kern w:val="0"/>
          <w:szCs w:val="24"/>
          <w:highlight w:val="none"/>
        </w:rPr>
        <w:t>赎回不再持有理财产品份额后再次申购的，视同首次申购</w:t>
      </w:r>
      <w:r>
        <w:rPr>
          <w:rFonts w:hint="eastAsia" w:ascii="仿宋_GB2312" w:hAnsi="宋体" w:cs="宋体"/>
          <w:bCs/>
          <w:color w:val="auto"/>
          <w:kern w:val="0"/>
          <w:szCs w:val="24"/>
        </w:rPr>
        <w:t>处理。</w:t>
      </w:r>
    </w:p>
    <w:p w14:paraId="1575C213">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追加申购，指已经完成认购或首次申购的投资者，在理财产品成立后申请购买理财产品份额的行为。</w:t>
      </w:r>
    </w:p>
    <w:p w14:paraId="55C0F7AF">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18.赎回：指理财产品成立后，在理财产品赎回期内，投资者申请赎回理财产品份额的行为，即投资者申请将理财产品份额兑换为现金。</w:t>
      </w:r>
    </w:p>
    <w:p w14:paraId="5DEA0CCB">
      <w:pPr>
        <w:tabs>
          <w:tab w:val="left" w:pos="709"/>
        </w:tabs>
        <w:snapToGrid w:val="0"/>
        <w:spacing w:line="360" w:lineRule="auto"/>
        <w:ind w:firstLine="420" w:firstLineChars="200"/>
        <w:rPr>
          <w:rFonts w:ascii="仿宋_GB2312" w:hAnsi="宋体" w:cs="宋体"/>
          <w:bCs/>
          <w:color w:val="auto"/>
          <w:kern w:val="0"/>
          <w:szCs w:val="24"/>
        </w:rPr>
      </w:pPr>
      <w:r>
        <w:rPr>
          <w:rFonts w:ascii="仿宋_GB2312" w:hAnsi="宋体" w:cs="宋体"/>
          <w:bCs/>
          <w:color w:val="auto"/>
          <w:kern w:val="0"/>
          <w:szCs w:val="24"/>
        </w:rPr>
        <w:t>19.巨额赎回：</w:t>
      </w:r>
      <w:r>
        <w:rPr>
          <w:rFonts w:hint="eastAsia" w:ascii="仿宋_GB2312" w:hAnsi="宋体" w:cs="宋体"/>
          <w:bCs/>
          <w:color w:val="auto"/>
          <w:kern w:val="0"/>
          <w:szCs w:val="24"/>
        </w:rPr>
        <w:t>指</w:t>
      </w:r>
      <w:r>
        <w:rPr>
          <w:rFonts w:ascii="仿宋_GB2312" w:hAnsi="宋体" w:cs="宋体"/>
          <w:bCs/>
          <w:color w:val="auto"/>
          <w:kern w:val="0"/>
          <w:szCs w:val="24"/>
        </w:rPr>
        <w:t>在理财产品存续期内，</w:t>
      </w:r>
      <w:r>
        <w:rPr>
          <w:rFonts w:hint="eastAsia" w:ascii="仿宋_GB2312" w:hAnsi="宋体" w:cs="宋体"/>
          <w:bCs/>
          <w:color w:val="auto"/>
          <w:kern w:val="0"/>
          <w:szCs w:val="24"/>
        </w:rPr>
        <w:t>单个开放日产品净赎回申请（</w:t>
      </w:r>
      <w:r>
        <w:rPr>
          <w:rFonts w:ascii="仿宋_GB2312" w:hAnsi="宋体" w:cs="宋体"/>
          <w:bCs/>
          <w:color w:val="auto"/>
          <w:kern w:val="0"/>
          <w:szCs w:val="24"/>
        </w:rPr>
        <w:t>赎回</w:t>
      </w:r>
      <w:r>
        <w:rPr>
          <w:rFonts w:hint="eastAsia" w:ascii="仿宋_GB2312" w:hAnsi="宋体" w:cs="宋体"/>
          <w:bCs/>
          <w:color w:val="auto"/>
          <w:kern w:val="0"/>
          <w:szCs w:val="24"/>
        </w:rPr>
        <w:t>申请总份额扣除申购总份额后的余额</w:t>
      </w:r>
      <w:r>
        <w:rPr>
          <w:rFonts w:ascii="仿宋_GB2312" w:hAnsi="宋体" w:cs="宋体"/>
          <w:bCs/>
          <w:color w:val="auto"/>
          <w:kern w:val="0"/>
          <w:szCs w:val="24"/>
        </w:rPr>
        <w:t>,下同）</w:t>
      </w:r>
      <w:r>
        <w:rPr>
          <w:rFonts w:hint="eastAsia" w:ascii="仿宋_GB2312" w:hAnsi="宋体" w:cs="宋体"/>
          <w:bCs/>
          <w:color w:val="auto"/>
          <w:kern w:val="0"/>
          <w:szCs w:val="24"/>
        </w:rPr>
        <w:t>超过前一日终理财产品总份额的</w:t>
      </w:r>
      <w:r>
        <w:rPr>
          <w:rFonts w:ascii="仿宋_GB2312" w:hAnsi="宋体" w:cs="宋体"/>
          <w:bCs/>
          <w:color w:val="auto"/>
          <w:kern w:val="0"/>
          <w:szCs w:val="24"/>
        </w:rPr>
        <w:t>10</w:t>
      </w:r>
      <w:r>
        <w:rPr>
          <w:rFonts w:hint="eastAsia" w:ascii="仿宋_GB2312" w:hAnsi="宋体" w:cs="宋体"/>
          <w:bCs/>
          <w:color w:val="auto"/>
          <w:kern w:val="0"/>
          <w:szCs w:val="24"/>
        </w:rPr>
        <w:t>％的赎回行为，国家金融监督管理总局另有规定的除外。</w:t>
      </w:r>
    </w:p>
    <w:p w14:paraId="4154F6F7">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20.流动性受限资产：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14:paraId="55C318BC">
      <w:pPr>
        <w:tabs>
          <w:tab w:val="left" w:pos="709"/>
        </w:tabs>
        <w:snapToGrid w:val="0"/>
        <w:spacing w:line="360" w:lineRule="auto"/>
        <w:ind w:firstLine="420" w:firstLineChars="200"/>
        <w:rPr>
          <w:rFonts w:hint="eastAsia" w:ascii="仿宋_GB2312" w:hAnsi="宋体" w:cs="宋体"/>
          <w:bCs/>
          <w:color w:val="auto"/>
          <w:kern w:val="0"/>
          <w:szCs w:val="24"/>
        </w:rPr>
      </w:pPr>
      <w:r>
        <w:rPr>
          <w:rFonts w:hint="eastAsia" w:ascii="仿宋_GB2312" w:hAnsi="宋体" w:cs="宋体"/>
          <w:bCs/>
          <w:color w:val="auto"/>
          <w:kern w:val="0"/>
          <w:szCs w:val="24"/>
        </w:rPr>
        <w:t>21.7个工作日可变现资产：包括可在交易所、银行间市场正常交易的股票、债券、非金融企业债务融资工具、期货及期权合约以及同业存单，7个工作日内到期或可支取的买入返售、银行存款，7个工作日内能够确认收到的各类应收款项等。</w:t>
      </w:r>
    </w:p>
    <w:p w14:paraId="370DF933">
      <w:pPr>
        <w:keepNext w:val="0"/>
        <w:keepLines w:val="0"/>
        <w:widowControl/>
        <w:numPr>
          <w:ilvl w:val="0"/>
          <w:numId w:val="0"/>
        </w:numPr>
        <w:suppressLineNumbers w:val="0"/>
        <w:tabs>
          <w:tab w:val="left" w:pos="709"/>
        </w:tabs>
        <w:snapToGrid w:val="0"/>
        <w:spacing w:line="360" w:lineRule="auto"/>
        <w:ind w:firstLine="480" w:firstLineChars="200"/>
        <w:jc w:val="left"/>
        <w:rPr>
          <w:rFonts w:hint="eastAsia" w:ascii="仿宋_GB2312" w:hAnsi="宋体" w:eastAsia="仿宋_GB2312" w:cs="宋体"/>
          <w:bCs/>
          <w:color w:val="auto"/>
          <w:kern w:val="0"/>
          <w:sz w:val="24"/>
          <w:szCs w:val="24"/>
          <w:highlight w:val="none"/>
          <w:u w:val="none"/>
          <w:lang w:val="en-US" w:eastAsia="zh-CN" w:bidi="ar"/>
        </w:rPr>
      </w:pPr>
      <w:r>
        <w:rPr>
          <w:rFonts w:hint="eastAsia" w:ascii="仿宋_GB2312" w:hAnsi="宋体" w:cs="宋体"/>
          <w:b w:val="0"/>
          <w:bCs/>
          <w:color w:val="auto"/>
          <w:kern w:val="0"/>
          <w:sz w:val="24"/>
          <w:szCs w:val="24"/>
          <w:highlight w:val="none"/>
          <w:u w:val="none"/>
          <w:lang w:val="en-US" w:eastAsia="zh-CN" w:bidi="ar"/>
        </w:rPr>
        <w:t>22.</w:t>
      </w:r>
      <w:r>
        <w:rPr>
          <w:rFonts w:hint="eastAsia" w:ascii="仿宋_GB2312" w:hAnsi="宋体" w:eastAsia="仿宋_GB2312" w:cs="宋体"/>
          <w:b w:val="0"/>
          <w:bCs/>
          <w:color w:val="auto"/>
          <w:kern w:val="0"/>
          <w:sz w:val="24"/>
          <w:szCs w:val="24"/>
          <w:highlight w:val="none"/>
          <w:u w:val="none"/>
          <w:lang w:val="en-US" w:eastAsia="zh-CN" w:bidi="ar"/>
        </w:rPr>
        <w:t>短期赎回费机制：</w:t>
      </w:r>
      <w:r>
        <w:rPr>
          <w:rFonts w:hint="eastAsia" w:ascii="仿宋_GB2312" w:hAnsi="宋体" w:eastAsia="仿宋_GB2312" w:cs="宋体"/>
          <w:bCs/>
          <w:color w:val="auto"/>
          <w:kern w:val="0"/>
          <w:sz w:val="24"/>
          <w:szCs w:val="24"/>
          <w:highlight w:val="none"/>
          <w:u w:val="none"/>
          <w:lang w:val="en-US" w:eastAsia="zh-CN" w:bidi="ar"/>
        </w:rPr>
        <w:t>指当理财计划发生巨额赎回或管理人认为可能导致理财计划流动性风险的其他情形下，理财计划管理人可临时性收取短期赎回费以应对流动性风险事件，并将上述产生费用全额计入理财计划</w:t>
      </w:r>
      <w:r>
        <w:rPr>
          <w:rFonts w:hint="eastAsia" w:ascii="仿宋_GB2312" w:hAnsi="宋体" w:cs="宋体"/>
          <w:bCs/>
          <w:color w:val="auto"/>
          <w:kern w:val="0"/>
          <w:sz w:val="24"/>
          <w:szCs w:val="24"/>
          <w:highlight w:val="none"/>
          <w:u w:val="none"/>
          <w:lang w:val="en-US" w:eastAsia="zh-CN" w:bidi="ar"/>
        </w:rPr>
        <w:t>财产。</w:t>
      </w:r>
      <w:r>
        <w:rPr>
          <w:rFonts w:hint="eastAsia" w:ascii="仿宋_GB2312" w:hAnsi="宋体" w:eastAsia="仿宋_GB2312" w:cs="宋体"/>
          <w:bCs/>
          <w:color w:val="auto"/>
          <w:kern w:val="0"/>
          <w:sz w:val="24"/>
          <w:szCs w:val="24"/>
          <w:highlight w:val="none"/>
          <w:u w:val="none"/>
          <w:lang w:val="en-US" w:eastAsia="zh-CN" w:bidi="ar"/>
        </w:rPr>
        <w:t>在此情形下，投资者在提交赎回申请时，实际赎回金额可能少于按照赎回申请当日理财产品份额净值计算出的赎回金额。</w:t>
      </w:r>
    </w:p>
    <w:p w14:paraId="4F78CA21">
      <w:pPr>
        <w:tabs>
          <w:tab w:val="left" w:pos="709"/>
        </w:tabs>
        <w:snapToGrid w:val="0"/>
        <w:spacing w:line="360" w:lineRule="auto"/>
        <w:ind w:firstLine="420" w:firstLineChars="200"/>
        <w:rPr>
          <w:rFonts w:hint="eastAsia" w:ascii="仿宋_GB2312" w:hAnsi="宋体" w:cs="宋体"/>
          <w:bCs/>
          <w:kern w:val="0"/>
          <w:szCs w:val="24"/>
        </w:rPr>
      </w:pPr>
      <w:r>
        <w:rPr>
          <w:rFonts w:hint="eastAsia" w:ascii="仿宋_GB2312" w:hAnsi="宋体" w:cs="宋体"/>
          <w:bCs/>
          <w:kern w:val="0"/>
          <w:szCs w:val="24"/>
        </w:rPr>
        <w:t>2</w:t>
      </w:r>
      <w:r>
        <w:rPr>
          <w:rFonts w:hint="eastAsia" w:ascii="仿宋_GB2312" w:hAnsi="宋体" w:cs="宋体"/>
          <w:bCs/>
          <w:kern w:val="0"/>
          <w:szCs w:val="24"/>
          <w:highlight w:val="yellow"/>
          <w:lang w:val="en-US" w:eastAsia="zh-CN"/>
        </w:rPr>
        <w:t>3</w:t>
      </w:r>
      <w:r>
        <w:rPr>
          <w:rFonts w:hint="eastAsia" w:ascii="仿宋_GB2312" w:hAnsi="宋体" w:cs="宋体"/>
          <w:bCs/>
          <w:kern w:val="0"/>
          <w:szCs w:val="24"/>
          <w:highlight w:val="yellow"/>
        </w:rPr>
        <w:t>.</w:t>
      </w:r>
      <w:r>
        <w:rPr>
          <w:rFonts w:hint="eastAsia" w:ascii="仿宋_GB2312" w:hAnsi="宋体" w:cs="宋体"/>
          <w:bCs/>
          <w:kern w:val="0"/>
          <w:szCs w:val="24"/>
          <w:highlight w:val="yellow"/>
          <w:lang w:val="en-US" w:eastAsia="zh-CN"/>
        </w:rPr>
        <w:t>未结转收益：投资者持有的产品份额每日计提当日理财收益，当日净收益按1.0000元/份结转为投资者下一日理财份额，参与下一日收益分配；因每日收益结转存在系统处理时滞，计提后尚未完成份额增加的部分，即为未结转收益。</w:t>
      </w:r>
    </w:p>
    <w:p w14:paraId="392F9B14">
      <w:pPr>
        <w:pStyle w:val="3"/>
        <w:numPr>
          <w:ilvl w:val="1"/>
          <w:numId w:val="14"/>
        </w:numPr>
        <w:ind w:firstLine="482"/>
        <w:rPr>
          <w:rFonts w:ascii="仿宋_GB2312" w:hAnsi="宋体" w:cs="宋体"/>
          <w:bCs/>
          <w:color w:val="auto"/>
          <w:kern w:val="0"/>
          <w:szCs w:val="24"/>
        </w:rPr>
      </w:pPr>
      <w:r>
        <w:rPr>
          <w:rFonts w:hint="eastAsia" w:ascii="仿宋_GB2312" w:hAnsi="宋体" w:cs="宋体"/>
          <w:bCs/>
          <w:color w:val="auto"/>
          <w:kern w:val="0"/>
          <w:szCs w:val="24"/>
        </w:rPr>
        <w:t>期间与日期</w:t>
      </w:r>
    </w:p>
    <w:p w14:paraId="7F86598A">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1.日：指自然日。</w:t>
      </w:r>
    </w:p>
    <w:p w14:paraId="3B52065D">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2.交易日：指证券交易所的正常开盘交易日。</w:t>
      </w:r>
    </w:p>
    <w:p w14:paraId="250DA9C5">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3.工作日：指国家法定工作日。</w:t>
      </w:r>
    </w:p>
    <w:p w14:paraId="44B68026">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4.成立日：指达到《产品说明书》约定的成立条件后本产品开始运作的日期。</w:t>
      </w:r>
    </w:p>
    <w:p w14:paraId="36DF9C8D">
      <w:pPr>
        <w:tabs>
          <w:tab w:val="left" w:pos="709"/>
        </w:tabs>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rPr>
        <w:t>5.到期日/终止日：指本产品终止的日期，包括理财产品正常到期之日、提前终止之日及延期终止之日。根据《产品说明书》的</w:t>
      </w:r>
      <w:r>
        <w:rPr>
          <w:rFonts w:hint="eastAsia" w:ascii="仿宋_GB2312" w:hAnsi="宋体" w:cs="宋体"/>
          <w:bCs/>
          <w:color w:val="auto"/>
          <w:kern w:val="0"/>
          <w:szCs w:val="24"/>
          <w:highlight w:val="none"/>
        </w:rPr>
        <w:t>约定，【本产品无固定期限】，但管理人有权在发生终止事件时终止该理财产品。如管理人终止理财产品，将通过约定方式向投资者进行信息披露。</w:t>
      </w:r>
    </w:p>
    <w:p w14:paraId="40983932">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分配基准日</w:t>
      </w:r>
      <w:r>
        <w:rPr>
          <w:rFonts w:hint="eastAsia" w:ascii="仿宋_GB2312" w:hAnsi="宋体" w:cs="宋体"/>
          <w:bCs/>
          <w:color w:val="auto"/>
          <w:kern w:val="0"/>
          <w:szCs w:val="24"/>
          <w:highlight w:val="none"/>
          <w:u w:val="none"/>
          <w:lang w:val="en-US" w:eastAsia="zh-CN"/>
        </w:rPr>
        <w:t>/</w:t>
      </w:r>
      <w:r>
        <w:rPr>
          <w:rFonts w:hint="eastAsia" w:ascii="仿宋_GB2312" w:hAnsi="宋体" w:cs="宋体"/>
          <w:bCs/>
          <w:color w:val="auto"/>
          <w:kern w:val="0"/>
          <w:szCs w:val="24"/>
          <w:highlight w:val="none"/>
          <w:u w:val="none"/>
        </w:rPr>
        <w:t>分配基准日：指本产品管理人以该日日终产品份额净值计算并确定可供分配的投资期间理财</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的日期。</w:t>
      </w:r>
    </w:p>
    <w:p w14:paraId="310D4476">
      <w:pPr>
        <w:tabs>
          <w:tab w:val="left" w:pos="709"/>
        </w:tabs>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7.分配日：指产品管理人向投资者进行理财产品</w:t>
      </w:r>
      <w:r>
        <w:rPr>
          <w:rFonts w:hint="eastAsia" w:ascii="仿宋_GB2312" w:hAnsi="宋体" w:cs="宋体"/>
          <w:bCs/>
          <w:color w:val="auto"/>
          <w:kern w:val="0"/>
          <w:szCs w:val="24"/>
          <w:highlight w:val="none"/>
          <w:lang w:eastAsia="zh-CN"/>
        </w:rPr>
        <w:t>收益</w:t>
      </w:r>
      <w:r>
        <w:rPr>
          <w:rFonts w:hint="eastAsia" w:ascii="仿宋_GB2312" w:hAnsi="宋体" w:cs="宋体"/>
          <w:bCs/>
          <w:color w:val="auto"/>
          <w:kern w:val="0"/>
          <w:szCs w:val="24"/>
          <w:highlight w:val="none"/>
        </w:rPr>
        <w:t>分配的日期。</w:t>
      </w:r>
    </w:p>
    <w:p w14:paraId="4B754E57">
      <w:pPr>
        <w:tabs>
          <w:tab w:val="left" w:pos="709"/>
        </w:tabs>
        <w:snapToGrid w:val="0"/>
        <w:spacing w:line="360" w:lineRule="auto"/>
        <w:ind w:firstLine="420" w:firstLineChars="200"/>
        <w:rPr>
          <w:rFonts w:ascii="仿宋_GB2312" w:hAnsi="宋体" w:cs="宋体"/>
          <w:bCs/>
          <w:color w:val="auto"/>
          <w:kern w:val="0"/>
          <w:szCs w:val="24"/>
          <w:highlight w:val="none"/>
        </w:rPr>
      </w:pPr>
      <w:r>
        <w:rPr>
          <w:rFonts w:hint="eastAsia" w:ascii="仿宋_GB2312" w:hAnsi="宋体" w:cs="宋体"/>
          <w:bCs/>
          <w:color w:val="auto"/>
          <w:kern w:val="0"/>
          <w:szCs w:val="24"/>
          <w:highlight w:val="none"/>
        </w:rPr>
        <w:t>8.募集期/认购期：指理财产品成立前，理财产品管理人接受理财产品认购的时间。但在该期间内如认购人提交认购申请的认购份额提前达到《产品说明书》所载的发行规模上限的，管理人有权选择认购期提前结束并停止接受认购申请。该情形下，产品成立日维持《产品说明书》的约定，保持不变。</w:t>
      </w:r>
    </w:p>
    <w:p w14:paraId="77932775">
      <w:pPr>
        <w:tabs>
          <w:tab w:val="left" w:pos="709"/>
        </w:tabs>
        <w:snapToGrid w:val="0"/>
        <w:spacing w:line="360" w:lineRule="auto"/>
        <w:ind w:firstLine="420" w:firstLineChars="200"/>
        <w:rPr>
          <w:rFonts w:hint="eastAsia" w:ascii="仿宋_GB2312" w:hAnsi="宋体" w:cs="宋体"/>
          <w:bCs/>
          <w:color w:val="auto"/>
          <w:kern w:val="0"/>
          <w:szCs w:val="24"/>
          <w:highlight w:val="none"/>
        </w:rPr>
      </w:pPr>
      <w:r>
        <w:rPr>
          <w:rFonts w:hint="eastAsia" w:ascii="仿宋_GB2312" w:hAnsi="宋体" w:cs="宋体"/>
          <w:bCs/>
          <w:color w:val="auto"/>
          <w:kern w:val="0"/>
          <w:szCs w:val="24"/>
          <w:highlight w:val="none"/>
        </w:rPr>
        <w:t>9.持有期：指自产品成立日/申购确认日起，投资者持有该产品份额的期间。</w:t>
      </w:r>
    </w:p>
    <w:p w14:paraId="24E5CB40">
      <w:pPr>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lang w:val="en-US" w:eastAsia="zh-CN"/>
        </w:rPr>
        <w:t>0</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投资周期：投资周期指投资者持有理财产品份额所对应的理财资金由产品管理人进行</w:t>
      </w:r>
      <w:r>
        <w:rPr>
          <w:rFonts w:hint="eastAsia" w:ascii="仿宋_GB2312" w:hAnsi="宋体" w:cs="宋体"/>
          <w:bCs/>
          <w:color w:val="auto"/>
          <w:kern w:val="0"/>
          <w:szCs w:val="24"/>
          <w:highlight w:val="none"/>
          <w:u w:val="none"/>
          <w:lang w:eastAsia="zh-CN"/>
        </w:rPr>
        <w:t>最短</w:t>
      </w:r>
      <w:r>
        <w:rPr>
          <w:rFonts w:hint="eastAsia" w:ascii="仿宋_GB2312" w:hAnsi="宋体" w:cs="宋体"/>
          <w:bCs/>
          <w:color w:val="auto"/>
          <w:kern w:val="0"/>
          <w:szCs w:val="24"/>
          <w:highlight w:val="none"/>
          <w:u w:val="none"/>
        </w:rPr>
        <w:t>投资运作的一段完整期间，每一个投资周期为该投资周期起始日至该投资周期终止日的理财期间。</w:t>
      </w:r>
    </w:p>
    <w:p w14:paraId="2F65CEFF">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投资周期起始日：指每一个投资周期开始的日期。</w:t>
      </w:r>
    </w:p>
    <w:p w14:paraId="15B034AA">
      <w:pPr>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投资周期终止日：指每一个投资周期结束的日期。</w:t>
      </w:r>
    </w:p>
    <w:p w14:paraId="3449E9C5">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highlight w:val="none"/>
        </w:rPr>
        <w:t>1</w:t>
      </w:r>
      <w:r>
        <w:rPr>
          <w:rFonts w:hint="eastAsia" w:ascii="仿宋_GB2312" w:hAnsi="宋体" w:cs="宋体"/>
          <w:bCs/>
          <w:color w:val="auto"/>
          <w:kern w:val="0"/>
          <w:szCs w:val="24"/>
          <w:highlight w:val="none"/>
          <w:lang w:val="en-US" w:eastAsia="zh-CN"/>
        </w:rPr>
        <w:t>1</w:t>
      </w:r>
      <w:r>
        <w:rPr>
          <w:rFonts w:hint="eastAsia" w:ascii="仿宋_GB2312" w:hAnsi="宋体" w:cs="宋体"/>
          <w:bCs/>
          <w:color w:val="auto"/>
          <w:kern w:val="0"/>
          <w:szCs w:val="24"/>
          <w:highlight w:val="none"/>
        </w:rPr>
        <w:t>.产品存续期：指自理财产品成立日起，至理财产品终止</w:t>
      </w:r>
      <w:r>
        <w:rPr>
          <w:rFonts w:hint="eastAsia" w:ascii="仿宋_GB2312" w:hAnsi="宋体" w:cs="宋体"/>
          <w:bCs/>
          <w:color w:val="auto"/>
          <w:kern w:val="0"/>
          <w:szCs w:val="24"/>
        </w:rPr>
        <w:t>日的期间。</w:t>
      </w:r>
    </w:p>
    <w:p w14:paraId="1A1FAA27">
      <w:pPr>
        <w:tabs>
          <w:tab w:val="left" w:pos="709"/>
        </w:tabs>
        <w:snapToGrid w:val="0"/>
        <w:spacing w:line="360" w:lineRule="auto"/>
        <w:ind w:firstLine="420" w:firstLineChars="200"/>
        <w:rPr>
          <w:rFonts w:ascii="仿宋_GB2312" w:hAnsi="宋体" w:cs="宋体"/>
          <w:bCs/>
          <w:color w:val="auto"/>
          <w:kern w:val="0"/>
          <w:szCs w:val="24"/>
        </w:rPr>
      </w:pPr>
      <w:r>
        <w:rPr>
          <w:rFonts w:ascii="仿宋_GB2312" w:hAnsi="宋体" w:cs="宋体"/>
          <w:bCs/>
          <w:color w:val="auto"/>
          <w:kern w:val="0"/>
          <w:szCs w:val="24"/>
        </w:rPr>
        <w:t>1</w:t>
      </w:r>
      <w:r>
        <w:rPr>
          <w:rFonts w:hint="eastAsia" w:ascii="仿宋_GB2312" w:hAnsi="宋体" w:cs="宋体"/>
          <w:bCs/>
          <w:color w:val="auto"/>
          <w:kern w:val="0"/>
          <w:szCs w:val="24"/>
          <w:lang w:val="en-US" w:eastAsia="zh-CN"/>
        </w:rPr>
        <w:t>2</w:t>
      </w:r>
      <w:r>
        <w:rPr>
          <w:rFonts w:hint="eastAsia" w:ascii="仿宋_GB2312" w:hAnsi="宋体" w:cs="宋体"/>
          <w:bCs/>
          <w:color w:val="auto"/>
          <w:kern w:val="0"/>
          <w:szCs w:val="24"/>
        </w:rPr>
        <w:t>.清算期：指自本理财产品终止日至投资者理财</w:t>
      </w:r>
      <w:r>
        <w:rPr>
          <w:rFonts w:hint="eastAsia" w:ascii="仿宋_GB2312" w:hAnsi="宋体" w:cs="宋体"/>
          <w:bCs/>
          <w:color w:val="auto"/>
          <w:kern w:val="0"/>
          <w:szCs w:val="24"/>
          <w:lang w:eastAsia="zh-CN"/>
        </w:rPr>
        <w:t>收益</w:t>
      </w:r>
      <w:r>
        <w:rPr>
          <w:rFonts w:hint="eastAsia" w:ascii="仿宋_GB2312" w:hAnsi="宋体" w:cs="宋体"/>
          <w:bCs/>
          <w:color w:val="auto"/>
          <w:kern w:val="0"/>
          <w:szCs w:val="24"/>
        </w:rPr>
        <w:t>到账日之间的期间。</w:t>
      </w:r>
    </w:p>
    <w:p w14:paraId="6A43D716">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1</w:t>
      </w:r>
      <w:r>
        <w:rPr>
          <w:rFonts w:hint="eastAsia" w:ascii="仿宋_GB2312" w:hAnsi="宋体" w:cs="宋体"/>
          <w:bCs/>
          <w:color w:val="auto"/>
          <w:kern w:val="0"/>
          <w:szCs w:val="24"/>
          <w:lang w:val="en-US" w:eastAsia="zh-CN"/>
        </w:rPr>
        <w:t>3</w:t>
      </w:r>
      <w:r>
        <w:rPr>
          <w:rFonts w:hint="eastAsia" w:ascii="仿宋_GB2312" w:hAnsi="宋体" w:cs="宋体"/>
          <w:bCs/>
          <w:color w:val="auto"/>
          <w:kern w:val="0"/>
          <w:szCs w:val="24"/>
        </w:rPr>
        <w:t>.开放日：指投资者可提交申购与赎回申请的日期。</w:t>
      </w:r>
    </w:p>
    <w:p w14:paraId="77B0484E">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1</w:t>
      </w:r>
      <w:r>
        <w:rPr>
          <w:rFonts w:hint="eastAsia" w:ascii="仿宋_GB2312" w:hAnsi="宋体" w:cs="宋体"/>
          <w:bCs/>
          <w:color w:val="auto"/>
          <w:kern w:val="0"/>
          <w:szCs w:val="24"/>
          <w:lang w:val="en-US" w:eastAsia="zh-CN"/>
        </w:rPr>
        <w:t>4</w:t>
      </w:r>
      <w:r>
        <w:rPr>
          <w:rFonts w:hint="eastAsia" w:ascii="仿宋_GB2312" w:hAnsi="宋体" w:cs="宋体"/>
          <w:bCs/>
          <w:color w:val="auto"/>
          <w:kern w:val="0"/>
          <w:szCs w:val="24"/>
        </w:rPr>
        <w:t>.申购/赎回日：指投资者提交申购、赎回申请的日期。</w:t>
      </w:r>
    </w:p>
    <w:p w14:paraId="5D235A02">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1</w:t>
      </w:r>
      <w:r>
        <w:rPr>
          <w:rFonts w:hint="eastAsia" w:ascii="仿宋_GB2312" w:hAnsi="宋体" w:cs="宋体"/>
          <w:bCs/>
          <w:color w:val="auto"/>
          <w:kern w:val="0"/>
          <w:szCs w:val="24"/>
          <w:lang w:val="en-US" w:eastAsia="zh-CN"/>
        </w:rPr>
        <w:t>5</w:t>
      </w:r>
      <w:r>
        <w:rPr>
          <w:rFonts w:hint="eastAsia" w:ascii="仿宋_GB2312" w:hAnsi="宋体" w:cs="宋体"/>
          <w:bCs/>
          <w:color w:val="auto"/>
          <w:kern w:val="0"/>
          <w:szCs w:val="24"/>
        </w:rPr>
        <w:t>.申购/赎回确认日：指投资者提交申购、赎回申请后，管理人对申购、赎回申请进行确认的日期。</w:t>
      </w:r>
    </w:p>
    <w:p w14:paraId="4AA0054D">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1</w:t>
      </w:r>
      <w:r>
        <w:rPr>
          <w:rFonts w:hint="eastAsia" w:ascii="仿宋_GB2312" w:hAnsi="宋体" w:cs="宋体"/>
          <w:bCs/>
          <w:color w:val="auto"/>
          <w:kern w:val="0"/>
          <w:szCs w:val="24"/>
          <w:lang w:val="en-US" w:eastAsia="zh-CN"/>
        </w:rPr>
        <w:t>6</w:t>
      </w:r>
      <w:r>
        <w:rPr>
          <w:rFonts w:hint="eastAsia" w:ascii="仿宋_GB2312" w:hAnsi="宋体" w:cs="宋体"/>
          <w:bCs/>
          <w:color w:val="auto"/>
          <w:kern w:val="0"/>
          <w:szCs w:val="24"/>
        </w:rPr>
        <w:t>.T日：指某一事件或行为发生的当日。</w:t>
      </w:r>
    </w:p>
    <w:p w14:paraId="1EAEDECA">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1</w:t>
      </w:r>
      <w:r>
        <w:rPr>
          <w:rFonts w:hint="eastAsia" w:ascii="仿宋_GB2312" w:hAnsi="宋体" w:cs="宋体"/>
          <w:bCs/>
          <w:color w:val="auto"/>
          <w:kern w:val="0"/>
          <w:szCs w:val="24"/>
          <w:lang w:val="en-US" w:eastAsia="zh-CN"/>
        </w:rPr>
        <w:t>7</w:t>
      </w:r>
      <w:r>
        <w:rPr>
          <w:rFonts w:hint="eastAsia" w:ascii="仿宋_GB2312" w:hAnsi="宋体" w:cs="宋体"/>
          <w:bCs/>
          <w:color w:val="auto"/>
          <w:kern w:val="0"/>
          <w:szCs w:val="24"/>
        </w:rPr>
        <w:t>.T+n日：指T日后（不包括T日）的第n个</w:t>
      </w:r>
      <w:r>
        <w:rPr>
          <w:rFonts w:hint="eastAsia" w:ascii="仿宋_GB2312" w:hAnsi="宋体" w:cs="宋体"/>
          <w:bCs/>
          <w:color w:val="auto"/>
          <w:kern w:val="0"/>
          <w:szCs w:val="24"/>
          <w:highlight w:val="yellow"/>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工作日</w:t>
      </w:r>
      <w:r>
        <w:rPr>
          <w:rFonts w:ascii="仿宋_GB2312" w:hAnsi="宋体" w:cs="宋体"/>
          <w:bCs/>
          <w:color w:val="auto"/>
          <w:kern w:val="0"/>
          <w:szCs w:val="24"/>
          <w:highlight w:val="yellow"/>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交易日】</w:t>
      </w:r>
      <w:r>
        <w:rPr>
          <w:rFonts w:hint="eastAsia" w:ascii="仿宋_GB2312" w:hAnsi="宋体" w:cs="宋体"/>
          <w:bCs/>
          <w:color w:val="auto"/>
          <w:kern w:val="0"/>
          <w:szCs w:val="24"/>
        </w:rPr>
        <w:t>。</w:t>
      </w:r>
    </w:p>
    <w:p w14:paraId="5C5F31DF">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1</w:t>
      </w:r>
      <w:r>
        <w:rPr>
          <w:rFonts w:hint="eastAsia" w:ascii="仿宋_GB2312" w:hAnsi="宋体" w:cs="宋体"/>
          <w:bCs/>
          <w:color w:val="auto"/>
          <w:kern w:val="0"/>
          <w:szCs w:val="24"/>
          <w:lang w:val="en-US" w:eastAsia="zh-CN"/>
        </w:rPr>
        <w:t>8</w:t>
      </w:r>
      <w:r>
        <w:rPr>
          <w:rFonts w:hint="eastAsia" w:ascii="仿宋_GB2312" w:hAnsi="宋体" w:cs="宋体"/>
          <w:bCs/>
          <w:color w:val="auto"/>
          <w:kern w:val="0"/>
          <w:szCs w:val="24"/>
        </w:rPr>
        <w:t>.T-n日：指T前（不包括T日）的第n个</w:t>
      </w:r>
      <w:r>
        <w:rPr>
          <w:rFonts w:hint="eastAsia" w:ascii="仿宋_GB2312" w:hAnsi="宋体" w:cs="宋体"/>
          <w:bCs/>
          <w:color w:val="auto"/>
          <w:kern w:val="0"/>
          <w:szCs w:val="24"/>
          <w:highlight w:val="yellow"/>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工作日</w:t>
      </w:r>
      <w:r>
        <w:rPr>
          <w:rFonts w:ascii="仿宋_GB2312" w:hAnsi="宋体" w:cs="宋体"/>
          <w:bCs/>
          <w:color w:val="auto"/>
          <w:kern w:val="0"/>
          <w:szCs w:val="24"/>
          <w:highlight w:val="yellow"/>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交易日】</w:t>
      </w:r>
      <w:r>
        <w:rPr>
          <w:rFonts w:hint="eastAsia" w:ascii="仿宋_GB2312" w:hAnsi="宋体" w:cs="宋体"/>
          <w:bCs/>
          <w:color w:val="auto"/>
          <w:kern w:val="0"/>
          <w:szCs w:val="24"/>
        </w:rPr>
        <w:t>。</w:t>
      </w:r>
    </w:p>
    <w:p w14:paraId="157F03E9">
      <w:pPr>
        <w:pStyle w:val="3"/>
        <w:numPr>
          <w:ilvl w:val="1"/>
          <w:numId w:val="14"/>
        </w:numPr>
        <w:ind w:firstLine="482"/>
        <w:rPr>
          <w:rFonts w:ascii="仿宋_GB2312" w:hAnsi="宋体" w:cs="宋体"/>
          <w:bCs/>
          <w:color w:val="auto"/>
          <w:kern w:val="0"/>
          <w:szCs w:val="24"/>
        </w:rPr>
      </w:pPr>
      <w:r>
        <w:rPr>
          <w:rFonts w:hint="eastAsia" w:ascii="仿宋_GB2312" w:hAnsi="宋体" w:cs="宋体"/>
          <w:bCs/>
          <w:color w:val="auto"/>
          <w:kern w:val="0"/>
          <w:szCs w:val="24"/>
        </w:rPr>
        <w:t>费用</w:t>
      </w:r>
    </w:p>
    <w:p w14:paraId="1C31AE00">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1.认购费：指投资者认购产品时需缴纳的费用。</w:t>
      </w:r>
    </w:p>
    <w:p w14:paraId="55735356">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2.申购费：指投资者申购产品时需缴纳的费用。</w:t>
      </w:r>
    </w:p>
    <w:p w14:paraId="3531290A">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3.赎回费：指投资者赎回产品时需缴纳的费用。</w:t>
      </w:r>
    </w:p>
    <w:p w14:paraId="402662F2">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4.销售服务费：指因理财产品销售行为产生，销售机构所收取的费用。</w:t>
      </w:r>
    </w:p>
    <w:p w14:paraId="632121B9">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5.</w:t>
      </w:r>
      <w:r>
        <w:rPr>
          <w:rFonts w:hint="eastAsia" w:ascii="仿宋_GB2312" w:hAnsi="宋体" w:cs="宋体"/>
          <w:bCs/>
          <w:color w:val="auto"/>
          <w:kern w:val="0"/>
          <w:szCs w:val="24"/>
          <w:lang w:eastAsia="zh-CN"/>
        </w:rPr>
        <w:t>固定管理费</w:t>
      </w:r>
      <w:r>
        <w:rPr>
          <w:rFonts w:hint="eastAsia" w:ascii="仿宋_GB2312" w:hAnsi="宋体" w:cs="宋体"/>
          <w:bCs/>
          <w:color w:val="auto"/>
          <w:kern w:val="0"/>
          <w:szCs w:val="24"/>
        </w:rPr>
        <w:t>：指因理财产品投资管理产生，管理人所收取的费用。</w:t>
      </w:r>
    </w:p>
    <w:p w14:paraId="545B89C2">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6.</w:t>
      </w:r>
      <w:r>
        <w:rPr>
          <w:rFonts w:hint="eastAsia" w:ascii="仿宋_GB2312" w:hAnsi="宋体" w:cs="宋体"/>
          <w:bCs/>
          <w:color w:val="auto"/>
          <w:kern w:val="0"/>
          <w:szCs w:val="24"/>
          <w:lang w:eastAsia="zh-CN"/>
        </w:rPr>
        <w:t>托管费</w:t>
      </w:r>
      <w:r>
        <w:rPr>
          <w:rFonts w:hint="eastAsia" w:ascii="仿宋_GB2312" w:hAnsi="宋体" w:cs="宋体"/>
          <w:bCs/>
          <w:color w:val="auto"/>
          <w:kern w:val="0"/>
          <w:szCs w:val="24"/>
        </w:rPr>
        <w:t>：指因理财产品进行托管产生，托管人收取的费用。</w:t>
      </w:r>
    </w:p>
    <w:p w14:paraId="20C2386C">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7.</w:t>
      </w:r>
      <w:r>
        <w:rPr>
          <w:rFonts w:hint="eastAsia" w:ascii="仿宋_GB2312" w:hAnsi="宋体" w:cs="宋体"/>
          <w:bCs/>
          <w:color w:val="auto"/>
          <w:kern w:val="0"/>
          <w:szCs w:val="24"/>
          <w:lang w:eastAsia="zh-CN"/>
        </w:rPr>
        <w:t>浮动管理费</w:t>
      </w:r>
      <w:r>
        <w:rPr>
          <w:rFonts w:hint="eastAsia" w:ascii="仿宋_GB2312" w:hAnsi="宋体" w:cs="宋体"/>
          <w:bCs/>
          <w:color w:val="auto"/>
          <w:kern w:val="0"/>
          <w:szCs w:val="24"/>
        </w:rPr>
        <w:t>：指产品管理人依照理财产品销售文件约定规则收取的浮动性质的管理费用。</w:t>
      </w:r>
    </w:p>
    <w:p w14:paraId="5235F7F4">
      <w:pPr>
        <w:tabs>
          <w:tab w:val="left" w:pos="709"/>
        </w:tabs>
        <w:snapToGrid w:val="0"/>
        <w:spacing w:line="360" w:lineRule="auto"/>
        <w:ind w:firstLine="420" w:firstLineChars="200"/>
        <w:rPr>
          <w:color w:val="auto"/>
        </w:rPr>
      </w:pPr>
      <w:r>
        <w:rPr>
          <w:rFonts w:hint="eastAsia" w:ascii="仿宋_GB2312" w:hAnsi="宋体" w:cs="宋体"/>
          <w:bCs/>
          <w:color w:val="auto"/>
          <w:kern w:val="0"/>
          <w:szCs w:val="24"/>
        </w:rPr>
        <w:t>8.其他费</w:t>
      </w:r>
      <w:r>
        <w:rPr>
          <w:rFonts w:hint="eastAsia"/>
          <w:color w:val="auto"/>
        </w:rPr>
        <w:t>用（如有）：与理财</w:t>
      </w:r>
      <w:r>
        <w:rPr>
          <w:color w:val="auto"/>
        </w:rPr>
        <w:t>产品相关的</w:t>
      </w:r>
      <w:r>
        <w:rPr>
          <w:rFonts w:hint="eastAsia"/>
          <w:color w:val="auto"/>
        </w:rPr>
        <w:t>账户服务费用、资产服务费用、交易费用（包括但不限于交易佣金、撮合费用等）、注册登记费、验资费、审计费、信息披露费</w:t>
      </w:r>
      <w:r>
        <w:rPr>
          <w:rFonts w:hint="eastAsia"/>
          <w:color w:val="auto"/>
          <w:lang w:eastAsia="zh-CN"/>
        </w:rPr>
        <w:t>、</w:t>
      </w:r>
      <w:r>
        <w:rPr>
          <w:rFonts w:hint="eastAsia"/>
          <w:color w:val="auto"/>
          <w:highlight w:val="yellow"/>
          <w:lang w:eastAsia="zh-CN"/>
        </w:rPr>
        <w:t>【信息服务费用】、</w:t>
      </w:r>
      <w:r>
        <w:rPr>
          <w:rFonts w:hint="eastAsia"/>
          <w:color w:val="auto"/>
        </w:rPr>
        <w:t>清算费用、执行费用（包括但不限于律师费、诉讼费、仲裁费、公证费、保全费、执行费等）以及按照法律法规、监管规定和理财产品销售文件约定可以列入的其他费用，具体以实际发生为准。</w:t>
      </w:r>
    </w:p>
    <w:p w14:paraId="21940ED5">
      <w:pPr>
        <w:pStyle w:val="3"/>
        <w:numPr>
          <w:ilvl w:val="1"/>
          <w:numId w:val="14"/>
        </w:numPr>
        <w:snapToGrid w:val="0"/>
        <w:ind w:firstLine="482"/>
        <w:rPr>
          <w:color w:val="auto"/>
        </w:rPr>
      </w:pPr>
      <w:r>
        <w:rPr>
          <w:rFonts w:hint="eastAsia"/>
          <w:color w:val="auto"/>
        </w:rPr>
        <w:t>其他</w:t>
      </w:r>
    </w:p>
    <w:p w14:paraId="7354B988">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1.不可抗力：指理财产品各方不能预见、不能避免且不能克服的客观情况，该事件妨碍、影响或延误任何一方依相关理财产品销售文件履行其全部或部分义务。该事件包括但不限于：</w:t>
      </w:r>
    </w:p>
    <w:p w14:paraId="43725A96">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A、地震、台风、海啸、洪水、火灾、停电、瘟疫；</w:t>
      </w:r>
    </w:p>
    <w:p w14:paraId="78629172">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B、战争、政变、恐怖主义行动、骚乱、罢工；</w:t>
      </w:r>
    </w:p>
    <w:p w14:paraId="6294CC2D">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C、新的适用法律或国家政策的颁布或实施、对原适用法律或国家政策的修改；</w:t>
      </w:r>
    </w:p>
    <w:p w14:paraId="137400B8">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D、金融管理部门强制要求终止理财产品（该等强制要求不可归咎于任何一方）；</w:t>
      </w:r>
    </w:p>
    <w:p w14:paraId="4C36CBDE">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E、因理财产品各方和/或其关联方运营网络系统遭受黑客攻击、电信部门技术调整或故障等原因而造成的理财产品各方和/或其关联方之服务、营业的中断或者延迟。</w:t>
      </w:r>
    </w:p>
    <w:p w14:paraId="588D9442">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2.元：指人民币元。</w:t>
      </w:r>
    </w:p>
    <w:p w14:paraId="40DE2399">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3.适用法律：指在理财产品销售文件签署日和履行过程中，适用中华人民共和国法律（为本协议之目的，在此不包括香港、澳门特别行政区和台湾地区的法律），包括中国任何立法机构、政府部门、银行业理财登记托管中心、银行间交易商协会、证券交易所、证券登记结算机构、相关行业协会依法颁布的，适用于本理财产品相关事宜的法律、行政法规、地方法规、部委规章、地方政府规章、规范性文件、规则、通知、须知、业务指南、指引或操作规程，及其有效的修改、更新或补充。</w:t>
      </w:r>
    </w:p>
    <w:p w14:paraId="19493C16">
      <w:pPr>
        <w:rPr>
          <w:rFonts w:ascii="仿宋_GB2312" w:hAnsi="宋体" w:cs="宋体"/>
          <w:bCs/>
          <w:color w:val="auto"/>
          <w:kern w:val="0"/>
          <w:szCs w:val="24"/>
        </w:rPr>
      </w:pPr>
      <w:r>
        <w:rPr>
          <w:rFonts w:hint="eastAsia" w:ascii="仿宋_GB2312" w:hAnsi="宋体" w:cs="宋体"/>
          <w:bCs/>
          <w:color w:val="auto"/>
          <w:kern w:val="0"/>
          <w:szCs w:val="24"/>
        </w:rPr>
        <w:br w:type="page"/>
      </w:r>
    </w:p>
    <w:p w14:paraId="6D4F68A2">
      <w:pPr>
        <w:pStyle w:val="2"/>
        <w:numPr>
          <w:ilvl w:val="0"/>
          <w:numId w:val="14"/>
        </w:numPr>
        <w:rPr>
          <w:color w:val="auto"/>
        </w:rPr>
      </w:pPr>
      <w:r>
        <w:rPr>
          <w:rFonts w:hint="eastAsia"/>
          <w:color w:val="auto"/>
        </w:rPr>
        <w:t>理财产品的认购与成立</w:t>
      </w:r>
    </w:p>
    <w:p w14:paraId="19679AC0">
      <w:pPr>
        <w:pStyle w:val="3"/>
        <w:widowControl/>
        <w:numPr>
          <w:ilvl w:val="1"/>
          <w:numId w:val="14"/>
        </w:numPr>
        <w:tabs>
          <w:tab w:val="left" w:pos="709"/>
        </w:tabs>
        <w:adjustRightInd w:val="0"/>
        <w:snapToGrid w:val="0"/>
        <w:ind w:firstLine="482"/>
        <w:rPr>
          <w:rFonts w:ascii="仿宋_GB2312" w:hAnsi="宋体" w:cs="宋体"/>
          <w:bCs/>
          <w:color w:val="auto"/>
          <w:kern w:val="0"/>
          <w:szCs w:val="24"/>
        </w:rPr>
      </w:pPr>
      <w:r>
        <w:rPr>
          <w:rFonts w:hint="eastAsia" w:ascii="仿宋_GB2312" w:hAnsi="宋体" w:cs="宋体"/>
          <w:bCs/>
          <w:color w:val="auto"/>
          <w:kern w:val="0"/>
          <w:szCs w:val="24"/>
        </w:rPr>
        <w:t>参与主体及主要职责</w:t>
      </w:r>
    </w:p>
    <w:p w14:paraId="04E69311">
      <w:pPr>
        <w:widowControl/>
        <w:tabs>
          <w:tab w:val="left" w:pos="709"/>
        </w:tabs>
        <w:adjustRightInd w:val="0"/>
        <w:snapToGrid w:val="0"/>
        <w:spacing w:line="360" w:lineRule="auto"/>
        <w:ind w:firstLine="420" w:firstLineChars="200"/>
        <w:rPr>
          <w:rFonts w:ascii="仿宋_GB2312" w:hAnsi="宋体" w:cs="宋体"/>
          <w:bCs/>
          <w:color w:val="auto"/>
          <w:kern w:val="0"/>
          <w:szCs w:val="24"/>
        </w:rPr>
      </w:pPr>
      <w:r>
        <w:rPr>
          <w:rFonts w:ascii="仿宋_GB2312" w:hAnsi="宋体" w:cs="宋体"/>
          <w:bCs/>
          <w:color w:val="auto"/>
          <w:kern w:val="0"/>
          <w:szCs w:val="24"/>
        </w:rPr>
        <w:t>1.</w:t>
      </w:r>
      <w:r>
        <w:rPr>
          <w:rFonts w:hint="eastAsia" w:ascii="仿宋_GB2312" w:hAnsi="宋体" w:cs="宋体"/>
          <w:bCs/>
          <w:color w:val="auto"/>
          <w:kern w:val="0"/>
          <w:szCs w:val="24"/>
        </w:rPr>
        <w:t>产品管理人</w:t>
      </w:r>
    </w:p>
    <w:p w14:paraId="630AE730">
      <w:pPr>
        <w:widowControl/>
        <w:tabs>
          <w:tab w:val="left" w:pos="709"/>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名称：浙银理财有限责任公司</w:t>
      </w:r>
    </w:p>
    <w:p w14:paraId="14D64077">
      <w:pPr>
        <w:widowControl/>
        <w:tabs>
          <w:tab w:val="left" w:pos="709"/>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注册地：浙江省杭州市萧山区宁围街道民和路939号浙江商会大厦2幢20-22楼</w:t>
      </w:r>
    </w:p>
    <w:p w14:paraId="6CD961A3">
      <w:pPr>
        <w:widowControl/>
        <w:tabs>
          <w:tab w:val="left" w:pos="709"/>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浙银理财负责本产品的投资运作和产品管理，</w:t>
      </w:r>
      <w:r>
        <w:rPr>
          <w:rFonts w:hint="eastAsia" w:ascii="仿宋_GB2312" w:hAnsi="宋体" w:cs="宋体"/>
          <w:b/>
          <w:color w:val="auto"/>
          <w:kern w:val="0"/>
          <w:szCs w:val="24"/>
        </w:rPr>
        <w:t>投资者在此授权并同意浙银理财享有以下权利</w:t>
      </w:r>
      <w:r>
        <w:rPr>
          <w:rFonts w:hint="eastAsia" w:ascii="仿宋_GB2312" w:hAnsi="宋体" w:cs="宋体"/>
          <w:bCs/>
          <w:color w:val="auto"/>
          <w:kern w:val="0"/>
          <w:szCs w:val="24"/>
        </w:rPr>
        <w:t>：</w:t>
      </w:r>
    </w:p>
    <w:p w14:paraId="352F0369">
      <w:pPr>
        <w:widowControl/>
        <w:numPr>
          <w:ilvl w:val="0"/>
          <w:numId w:val="8"/>
        </w:numPr>
        <w:tabs>
          <w:tab w:val="left" w:pos="709"/>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按照本产品销售文件的约定，管理、运用和处分理财产品资金；</w:t>
      </w:r>
    </w:p>
    <w:p w14:paraId="7E6504E8">
      <w:pPr>
        <w:widowControl/>
        <w:numPr>
          <w:ilvl w:val="0"/>
          <w:numId w:val="8"/>
        </w:numPr>
        <w:tabs>
          <w:tab w:val="left" w:pos="709"/>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按照本产品销售文件的约定，及时、足额获得管理费和本产品说明书约定的其他费用（如有）；</w:t>
      </w:r>
    </w:p>
    <w:p w14:paraId="24D45F63">
      <w:pPr>
        <w:widowControl/>
        <w:numPr>
          <w:ilvl w:val="0"/>
          <w:numId w:val="8"/>
        </w:numPr>
        <w:tabs>
          <w:tab w:val="left" w:pos="709"/>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管理人以其固有财产先行垫付因处理本产品相关事务所支出的理财产品费用及税费的，对理财产品资金享有优先受偿权；</w:t>
      </w:r>
    </w:p>
    <w:p w14:paraId="511757D5">
      <w:pPr>
        <w:widowControl/>
        <w:numPr>
          <w:ilvl w:val="0"/>
          <w:numId w:val="8"/>
        </w:numPr>
        <w:tabs>
          <w:tab w:val="left" w:pos="709"/>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管理人有权根据本产品销售文件的约定提前终止或延长本理财产品的期限；</w:t>
      </w:r>
    </w:p>
    <w:p w14:paraId="7D409D93">
      <w:pPr>
        <w:widowControl/>
        <w:tabs>
          <w:tab w:val="left" w:pos="709"/>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（5）管理人有权单方调整本产品的发行规模上限、认/申购起点金额、投资者累计认/申购上限、赎回上限等要素；</w:t>
      </w:r>
    </w:p>
    <w:p w14:paraId="5E6D9481">
      <w:pPr>
        <w:widowControl/>
        <w:tabs>
          <w:tab w:val="left" w:pos="709"/>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（6）管理人有权按照法律法规和监管机构的要求将投资者的信息向有权部门或相关机构披露；</w:t>
      </w:r>
    </w:p>
    <w:p w14:paraId="1DCFC3C3">
      <w:pPr>
        <w:widowControl/>
        <w:tabs>
          <w:tab w:val="left" w:pos="709"/>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（7）以理财产品管理人的名义，依照法律法规相关规定以及为理财产品的利益，对被投资的各类资产行使出资人/投资者权利（包括但不限于表决投票的权利）；</w:t>
      </w:r>
    </w:p>
    <w:p w14:paraId="3457DA7C">
      <w:pPr>
        <w:widowControl/>
        <w:tabs>
          <w:tab w:val="left" w:pos="709"/>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8）以理财产品管理人的名义，依照法律法规相关规定以及代表理财产品份额持有人的利益代为行使追索的权利（包括但不限于提起诉讼/仲裁、申请保全/执行的权利）或者实施其他风险处置、行使、放弃、变更相关权利义务的法律行为；</w:t>
      </w:r>
    </w:p>
    <w:p w14:paraId="0AF07627">
      <w:pPr>
        <w:widowControl/>
        <w:tabs>
          <w:tab w:val="left" w:pos="709"/>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（9）法律法规、监管政策及本产品文件约定的其他权利。</w:t>
      </w:r>
    </w:p>
    <w:p w14:paraId="196CF45A">
      <w:pPr>
        <w:widowControl/>
        <w:tabs>
          <w:tab w:val="left" w:pos="709"/>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2.产品托管机构</w:t>
      </w:r>
    </w:p>
    <w:p w14:paraId="196F3EFF">
      <w:pPr>
        <w:widowControl/>
        <w:tabs>
          <w:tab w:val="left" w:pos="709"/>
        </w:tabs>
        <w:adjustRightInd w:val="0"/>
        <w:snapToGrid w:val="0"/>
        <w:spacing w:line="360" w:lineRule="auto"/>
        <w:ind w:firstLine="420" w:firstLineChars="200"/>
        <w:rPr>
          <w:rFonts w:hint="eastAsia" w:ascii="仿宋_GB2312" w:hAnsi="宋体" w:cs="宋体"/>
          <w:bCs/>
          <w:color w:val="auto"/>
          <w:kern w:val="0"/>
          <w:szCs w:val="24"/>
          <w:lang w:eastAsia="zh-CN"/>
        </w:rPr>
      </w:pPr>
      <w:r>
        <w:rPr>
          <w:rFonts w:hint="eastAsia" w:ascii="仿宋_GB2312" w:hAnsi="宋体" w:cs="宋体"/>
          <w:bCs/>
          <w:color w:val="auto"/>
          <w:kern w:val="0"/>
          <w:szCs w:val="24"/>
        </w:rPr>
        <w:t>名称：</w:t>
      </w:r>
      <w:r>
        <w:rPr>
          <w:rFonts w:hint="eastAsia" w:ascii="仿宋_GB2312" w:hAnsi="宋体" w:cs="宋体"/>
          <w:bCs/>
          <w:color w:val="auto"/>
          <w:kern w:val="0"/>
          <w:szCs w:val="24"/>
          <w:highlight w:val="yellow"/>
          <w:lang w:eastAsia="zh-CN"/>
        </w:rPr>
        <w:t>【】</w:t>
      </w:r>
    </w:p>
    <w:p w14:paraId="203C9D56">
      <w:pPr>
        <w:widowControl/>
        <w:tabs>
          <w:tab w:val="left" w:pos="709"/>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注册地：</w:t>
      </w:r>
      <w:r>
        <w:rPr>
          <w:rFonts w:hint="eastAsia" w:ascii="仿宋_GB2312" w:hAnsi="宋体" w:cs="宋体"/>
          <w:bCs/>
          <w:color w:val="auto"/>
          <w:kern w:val="0"/>
          <w:szCs w:val="24"/>
          <w:highlight w:val="yellow"/>
          <w:lang w:eastAsia="zh-CN"/>
        </w:rPr>
        <w:t>【】</w:t>
      </w:r>
    </w:p>
    <w:p w14:paraId="06A1959F">
      <w:pPr>
        <w:widowControl/>
        <w:tabs>
          <w:tab w:val="left" w:pos="709"/>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客户服务热线：</w:t>
      </w:r>
      <w:r>
        <w:rPr>
          <w:rFonts w:hint="eastAsia" w:ascii="仿宋_GB2312" w:hAnsi="宋体" w:cs="宋体"/>
          <w:bCs/>
          <w:color w:val="auto"/>
          <w:kern w:val="0"/>
          <w:szCs w:val="24"/>
          <w:highlight w:val="yellow"/>
          <w:lang w:eastAsia="zh-CN"/>
        </w:rPr>
        <w:t>【】</w:t>
      </w:r>
    </w:p>
    <w:p w14:paraId="223F576D">
      <w:pPr>
        <w:widowControl/>
        <w:tabs>
          <w:tab w:val="left" w:pos="709"/>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托管机构主要职责：提供包括账户开立、资金保管、资金清算、估值核算、投资监督等理财产品托管服务。</w:t>
      </w:r>
    </w:p>
    <w:p w14:paraId="59C03CB9">
      <w:pPr>
        <w:widowControl/>
        <w:tabs>
          <w:tab w:val="left" w:pos="709"/>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产品管理人为理财产品资金管理之目的，以本产品的名义在托管人处单独开立资金账户，理财产品资金的一切收支活动，包括但不限于划付对外投资资金、缴纳理财产品税费、接收理财产品回收资金、支付理财产品费用，均必须通过该账户进行。</w:t>
      </w:r>
    </w:p>
    <w:p w14:paraId="5CA44882">
      <w:pPr>
        <w:widowControl/>
        <w:tabs>
          <w:tab w:val="left" w:pos="709"/>
        </w:tabs>
        <w:adjustRightInd w:val="0"/>
        <w:snapToGrid w:val="0"/>
        <w:spacing w:line="360" w:lineRule="auto"/>
        <w:ind w:firstLine="420" w:firstLineChars="200"/>
        <w:rPr>
          <w:rFonts w:ascii="仿宋_GB2312" w:hAnsi="宋体" w:cs="宋体"/>
          <w:bCs/>
          <w:color w:val="auto"/>
          <w:kern w:val="0"/>
          <w:szCs w:val="24"/>
        </w:rPr>
      </w:pPr>
      <w:r>
        <w:rPr>
          <w:rFonts w:ascii="仿宋_GB2312" w:hAnsi="宋体" w:cs="宋体"/>
          <w:bCs/>
          <w:color w:val="auto"/>
          <w:kern w:val="0"/>
          <w:szCs w:val="24"/>
        </w:rPr>
        <w:t>3.</w:t>
      </w:r>
      <w:r>
        <w:rPr>
          <w:rFonts w:hint="eastAsia" w:ascii="仿宋_GB2312" w:hAnsi="宋体" w:cs="宋体"/>
          <w:bCs/>
          <w:color w:val="auto"/>
          <w:kern w:val="0"/>
          <w:szCs w:val="24"/>
        </w:rPr>
        <w:t>产品销售机构</w:t>
      </w:r>
    </w:p>
    <w:p w14:paraId="62C0A847">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名称：</w:t>
      </w:r>
      <w:r>
        <w:rPr>
          <w:rFonts w:hint="eastAsia" w:ascii="仿宋_GB2312" w:hAnsi="宋体" w:cs="宋体"/>
          <w:bCs/>
          <w:color w:val="auto"/>
          <w:kern w:val="0"/>
          <w:szCs w:val="24"/>
          <w:highlight w:val="yellow"/>
          <w:lang w:eastAsia="zh-CN"/>
        </w:rPr>
        <w:t>【】</w:t>
      </w:r>
    </w:p>
    <w:p w14:paraId="25A10421">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注册地：</w:t>
      </w:r>
      <w:r>
        <w:rPr>
          <w:rFonts w:hint="eastAsia" w:ascii="仿宋_GB2312" w:hAnsi="宋体" w:cs="宋体"/>
          <w:bCs/>
          <w:color w:val="auto"/>
          <w:kern w:val="0"/>
          <w:szCs w:val="24"/>
          <w:highlight w:val="yellow"/>
          <w:lang w:eastAsia="zh-CN"/>
        </w:rPr>
        <w:t>【】</w:t>
      </w:r>
    </w:p>
    <w:p w14:paraId="4D6ABA60">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客户服务热线：</w:t>
      </w:r>
      <w:r>
        <w:rPr>
          <w:rFonts w:hint="eastAsia" w:ascii="仿宋_GB2312" w:hAnsi="宋体" w:cs="宋体"/>
          <w:bCs/>
          <w:color w:val="auto"/>
          <w:kern w:val="0"/>
          <w:szCs w:val="24"/>
          <w:highlight w:val="yellow"/>
          <w:lang w:eastAsia="zh-CN"/>
        </w:rPr>
        <w:t>【】</w:t>
      </w:r>
    </w:p>
    <w:p w14:paraId="631BFAD5">
      <w:pPr>
        <w:widowControl/>
        <w:tabs>
          <w:tab w:val="left" w:pos="709"/>
        </w:tabs>
        <w:adjustRightInd w:val="0"/>
        <w:snapToGrid w:val="0"/>
        <w:spacing w:line="360" w:lineRule="auto"/>
        <w:ind w:firstLine="420" w:firstLineChars="200"/>
        <w:rPr>
          <w:rFonts w:ascii="仿宋_GB2312" w:hAnsi="宋体" w:cs="宋体"/>
          <w:b/>
          <w:bCs/>
          <w:color w:val="auto"/>
          <w:kern w:val="0"/>
          <w:szCs w:val="24"/>
        </w:rPr>
      </w:pPr>
      <w:r>
        <w:rPr>
          <w:rFonts w:hint="eastAsia" w:ascii="仿宋_GB2312" w:hAnsi="宋体" w:cs="宋体"/>
          <w:bCs/>
          <w:color w:val="auto"/>
          <w:kern w:val="0"/>
          <w:szCs w:val="24"/>
        </w:rPr>
        <w:t>本产品的认购将通过销售机构的</w:t>
      </w:r>
      <w:r>
        <w:rPr>
          <w:rFonts w:ascii="仿宋_GB2312" w:hAnsi="宋体" w:cs="宋体"/>
          <w:bCs/>
          <w:color w:val="auto"/>
          <w:kern w:val="0"/>
          <w:szCs w:val="24"/>
        </w:rPr>
        <w:t>销售渠道</w:t>
      </w:r>
      <w:r>
        <w:rPr>
          <w:rFonts w:hint="eastAsia" w:ascii="仿宋_GB2312" w:hAnsi="宋体" w:cs="宋体"/>
          <w:bCs/>
          <w:color w:val="auto"/>
          <w:kern w:val="0"/>
          <w:szCs w:val="24"/>
        </w:rPr>
        <w:t>进行（</w:t>
      </w:r>
      <w:r>
        <w:rPr>
          <w:rFonts w:ascii="仿宋_GB2312" w:hAnsi="宋体" w:cs="宋体"/>
          <w:bCs/>
          <w:color w:val="auto"/>
          <w:kern w:val="0"/>
          <w:szCs w:val="24"/>
        </w:rPr>
        <w:t>具体以销售机构提供的方式为准)。本产品销售机构包括但不限于</w:t>
      </w:r>
      <w:r>
        <w:rPr>
          <w:rFonts w:hint="eastAsia" w:ascii="仿宋_GB2312" w:hAnsi="宋体" w:cs="宋体"/>
          <w:bCs/>
          <w:color w:val="auto"/>
          <w:kern w:val="0"/>
          <w:szCs w:val="24"/>
          <w:highlight w:val="yellow"/>
        </w:rPr>
        <w:t>【】</w:t>
      </w:r>
      <w:r>
        <w:rPr>
          <w:rFonts w:hint="eastAsia" w:ascii="仿宋_GB2312" w:hAnsi="宋体" w:cs="宋体"/>
          <w:bCs/>
          <w:color w:val="auto"/>
          <w:kern w:val="0"/>
          <w:szCs w:val="24"/>
        </w:rPr>
        <w:t>等机构，如有</w:t>
      </w:r>
      <w:r>
        <w:rPr>
          <w:rFonts w:ascii="仿宋_GB2312" w:hAnsi="宋体" w:cs="宋体"/>
          <w:bCs/>
          <w:color w:val="auto"/>
          <w:kern w:val="0"/>
          <w:szCs w:val="24"/>
        </w:rPr>
        <w:t>变更以管理人</w:t>
      </w:r>
      <w:r>
        <w:rPr>
          <w:rFonts w:hint="eastAsia" w:ascii="仿宋_GB2312" w:hAnsi="宋体" w:cs="宋体"/>
          <w:bCs/>
          <w:color w:val="auto"/>
          <w:kern w:val="0"/>
          <w:szCs w:val="24"/>
        </w:rPr>
        <w:t>信息披露为准。</w:t>
      </w:r>
    </w:p>
    <w:p w14:paraId="373503B1">
      <w:pPr>
        <w:widowControl/>
        <w:tabs>
          <w:tab w:val="left" w:pos="709"/>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销售</w:t>
      </w:r>
      <w:r>
        <w:rPr>
          <w:rFonts w:ascii="仿宋_GB2312" w:hAnsi="宋体" w:cs="宋体"/>
          <w:bCs/>
          <w:color w:val="auto"/>
          <w:kern w:val="0"/>
          <w:szCs w:val="24"/>
        </w:rPr>
        <w:t>机构</w:t>
      </w:r>
      <w:r>
        <w:rPr>
          <w:rFonts w:hint="eastAsia" w:ascii="仿宋_GB2312" w:hAnsi="宋体" w:cs="宋体"/>
          <w:bCs/>
          <w:color w:val="auto"/>
          <w:kern w:val="0"/>
          <w:szCs w:val="24"/>
        </w:rPr>
        <w:t>主要职责：理财产品宣传推介；为</w:t>
      </w:r>
      <w:r>
        <w:rPr>
          <w:rFonts w:ascii="仿宋_GB2312" w:hAnsi="宋体" w:cs="宋体"/>
          <w:bCs/>
          <w:color w:val="auto"/>
          <w:kern w:val="0"/>
          <w:szCs w:val="24"/>
        </w:rPr>
        <w:t>投资者办理</w:t>
      </w:r>
      <w:r>
        <w:rPr>
          <w:rFonts w:hint="eastAsia" w:ascii="仿宋_GB2312" w:hAnsi="宋体" w:cs="宋体"/>
          <w:bCs/>
          <w:color w:val="auto"/>
          <w:kern w:val="0"/>
          <w:szCs w:val="24"/>
        </w:rPr>
        <w:t>理财产品份额认购</w:t>
      </w:r>
      <w:r>
        <w:rPr>
          <w:rFonts w:ascii="仿宋_GB2312" w:hAnsi="宋体" w:cs="宋体"/>
          <w:bCs/>
          <w:color w:val="auto"/>
          <w:kern w:val="0"/>
          <w:szCs w:val="24"/>
        </w:rPr>
        <w:t>/</w:t>
      </w:r>
      <w:r>
        <w:rPr>
          <w:rFonts w:hint="eastAsia" w:ascii="仿宋_GB2312" w:hAnsi="宋体" w:cs="宋体"/>
          <w:bCs/>
          <w:color w:val="auto"/>
          <w:kern w:val="0"/>
          <w:szCs w:val="24"/>
        </w:rPr>
        <w:t>申购</w:t>
      </w:r>
      <w:r>
        <w:rPr>
          <w:rFonts w:ascii="仿宋_GB2312" w:hAnsi="宋体" w:cs="宋体"/>
          <w:bCs/>
          <w:color w:val="auto"/>
          <w:kern w:val="0"/>
          <w:szCs w:val="24"/>
        </w:rPr>
        <w:t>/</w:t>
      </w:r>
      <w:r>
        <w:rPr>
          <w:rFonts w:hint="eastAsia" w:ascii="仿宋_GB2312" w:hAnsi="宋体" w:cs="宋体"/>
          <w:bCs/>
          <w:color w:val="auto"/>
          <w:kern w:val="0"/>
          <w:szCs w:val="24"/>
        </w:rPr>
        <w:t>赎回服务；投资者风险承受能力评估和投资者适当性管理；</w:t>
      </w:r>
      <w:r>
        <w:rPr>
          <w:rFonts w:hint="eastAsia" w:ascii="仿宋_GB2312"/>
          <w:color w:val="auto"/>
        </w:rPr>
        <w:t>反洗钱、反恐怖融资、反扩散融资及非居民金融账户涉税信息尽职调查等</w:t>
      </w:r>
      <w:r>
        <w:rPr>
          <w:rFonts w:ascii="仿宋_GB2312"/>
          <w:color w:val="auto"/>
        </w:rPr>
        <w:t>；</w:t>
      </w:r>
      <w:r>
        <w:rPr>
          <w:rFonts w:hint="eastAsia" w:ascii="仿宋_GB2312"/>
          <w:color w:val="auto"/>
        </w:rPr>
        <w:t>协助投资者与管理人沟通</w:t>
      </w:r>
      <w:r>
        <w:rPr>
          <w:rFonts w:hint="eastAsia" w:ascii="仿宋_GB2312" w:hAnsi="宋体" w:cs="宋体"/>
          <w:bCs/>
          <w:color w:val="auto"/>
          <w:kern w:val="0"/>
          <w:szCs w:val="24"/>
        </w:rPr>
        <w:t>和客户维护等销售服务；国务院银行业监督管理机构规定的其他职责。</w:t>
      </w:r>
    </w:p>
    <w:p w14:paraId="6AB60CFB">
      <w:pPr>
        <w:widowControl/>
        <w:tabs>
          <w:tab w:val="left" w:pos="709"/>
        </w:tabs>
        <w:adjustRightInd w:val="0"/>
        <w:snapToGrid w:val="0"/>
        <w:spacing w:line="360" w:lineRule="auto"/>
        <w:ind w:firstLine="422" w:firstLineChars="200"/>
        <w:rPr>
          <w:rFonts w:ascii="仿宋_GB2312" w:hAnsi="宋体" w:cs="宋体"/>
          <w:b/>
          <w:bCs/>
          <w:color w:val="auto"/>
          <w:kern w:val="0"/>
          <w:szCs w:val="24"/>
        </w:rPr>
      </w:pPr>
      <w:r>
        <w:rPr>
          <w:rFonts w:hint="eastAsia" w:ascii="仿宋_GB2312" w:hAnsi="宋体" w:cs="宋体"/>
          <w:b/>
          <w:bCs/>
          <w:color w:val="auto"/>
          <w:kern w:val="0"/>
          <w:szCs w:val="24"/>
        </w:rPr>
        <w:t>★重要</w:t>
      </w:r>
      <w:r>
        <w:rPr>
          <w:rFonts w:ascii="仿宋_GB2312" w:hAnsi="宋体" w:cs="宋体"/>
          <w:b/>
          <w:bCs/>
          <w:color w:val="auto"/>
          <w:kern w:val="0"/>
          <w:szCs w:val="24"/>
        </w:rPr>
        <w:t>提示：</w:t>
      </w:r>
      <w:r>
        <w:rPr>
          <w:rFonts w:hint="eastAsia" w:ascii="仿宋_GB2312" w:hAnsi="宋体" w:cs="宋体"/>
          <w:b/>
          <w:bCs/>
          <w:color w:val="auto"/>
          <w:kern w:val="0"/>
          <w:szCs w:val="24"/>
        </w:rPr>
        <w:t>浙银理财委托托管机构托管理财产品或委托销售机构销售理财产品的，可能涉及委托浙商银行股份有限公司（以下简称“浙商银行”）担任理财产品的托管机构或销售机构。浙银理财是浙商银行控股的子公司，双方存在关联关系。如浙银理财委托浙商银行托管或销售本理财产品，将严格</w:t>
      </w:r>
      <w:r>
        <w:rPr>
          <w:rFonts w:ascii="仿宋_GB2312" w:hAnsi="宋体" w:cs="宋体"/>
          <w:b/>
          <w:bCs/>
          <w:color w:val="auto"/>
          <w:kern w:val="0"/>
          <w:szCs w:val="24"/>
        </w:rPr>
        <w:t>履行</w:t>
      </w:r>
      <w:r>
        <w:rPr>
          <w:rFonts w:hint="eastAsia" w:ascii="仿宋_GB2312" w:hAnsi="宋体" w:cs="宋体"/>
          <w:b/>
          <w:bCs/>
          <w:color w:val="auto"/>
          <w:kern w:val="0"/>
          <w:szCs w:val="24"/>
        </w:rPr>
        <w:t>现行法律</w:t>
      </w:r>
      <w:r>
        <w:rPr>
          <w:rFonts w:ascii="仿宋_GB2312" w:hAnsi="宋体" w:cs="宋体"/>
          <w:b/>
          <w:bCs/>
          <w:color w:val="auto"/>
          <w:kern w:val="0"/>
          <w:szCs w:val="24"/>
        </w:rPr>
        <w:t>法规和</w:t>
      </w:r>
      <w:r>
        <w:rPr>
          <w:rFonts w:hint="eastAsia" w:ascii="仿宋_GB2312" w:hAnsi="宋体" w:cs="宋体"/>
          <w:b/>
          <w:bCs/>
          <w:color w:val="auto"/>
          <w:kern w:val="0"/>
          <w:szCs w:val="24"/>
        </w:rPr>
        <w:t>监管</w:t>
      </w:r>
      <w:r>
        <w:rPr>
          <w:rFonts w:ascii="仿宋_GB2312" w:hAnsi="宋体" w:cs="宋体"/>
          <w:b/>
          <w:bCs/>
          <w:color w:val="auto"/>
          <w:kern w:val="0"/>
          <w:szCs w:val="24"/>
        </w:rPr>
        <w:t>规定</w:t>
      </w:r>
      <w:r>
        <w:rPr>
          <w:rFonts w:hint="eastAsia" w:ascii="仿宋_GB2312" w:hAnsi="宋体" w:cs="宋体"/>
          <w:b/>
          <w:bCs/>
          <w:color w:val="auto"/>
          <w:kern w:val="0"/>
          <w:szCs w:val="24"/>
        </w:rPr>
        <w:t>所</w:t>
      </w:r>
      <w:r>
        <w:rPr>
          <w:rFonts w:ascii="仿宋_GB2312" w:hAnsi="宋体" w:cs="宋体"/>
          <w:b/>
          <w:bCs/>
          <w:color w:val="auto"/>
          <w:kern w:val="0"/>
          <w:szCs w:val="24"/>
        </w:rPr>
        <w:t>规定</w:t>
      </w:r>
      <w:r>
        <w:rPr>
          <w:rFonts w:hint="eastAsia" w:ascii="仿宋_GB2312" w:hAnsi="宋体" w:cs="宋体"/>
          <w:b/>
          <w:bCs/>
          <w:color w:val="auto"/>
          <w:kern w:val="0"/>
          <w:szCs w:val="24"/>
        </w:rPr>
        <w:t>必须</w:t>
      </w:r>
      <w:r>
        <w:rPr>
          <w:rFonts w:ascii="仿宋_GB2312" w:hAnsi="宋体" w:cs="宋体"/>
          <w:b/>
          <w:bCs/>
          <w:color w:val="auto"/>
          <w:kern w:val="0"/>
          <w:szCs w:val="24"/>
        </w:rPr>
        <w:t>履行的</w:t>
      </w:r>
      <w:r>
        <w:rPr>
          <w:rFonts w:hint="eastAsia" w:ascii="仿宋_GB2312" w:hAnsi="宋体" w:cs="宋体"/>
          <w:b/>
          <w:bCs/>
          <w:color w:val="auto"/>
          <w:kern w:val="0"/>
          <w:szCs w:val="24"/>
        </w:rPr>
        <w:t>程序。前述关联</w:t>
      </w:r>
      <w:r>
        <w:rPr>
          <w:rFonts w:ascii="仿宋_GB2312" w:hAnsi="宋体" w:cs="宋体"/>
          <w:b/>
          <w:bCs/>
          <w:color w:val="auto"/>
          <w:kern w:val="0"/>
          <w:szCs w:val="24"/>
        </w:rPr>
        <w:t>关系</w:t>
      </w:r>
      <w:r>
        <w:rPr>
          <w:rFonts w:hint="eastAsia" w:ascii="仿宋_GB2312" w:hAnsi="宋体" w:cs="宋体"/>
          <w:b/>
          <w:bCs/>
          <w:color w:val="auto"/>
          <w:kern w:val="0"/>
          <w:szCs w:val="24"/>
        </w:rPr>
        <w:t>可能</w:t>
      </w:r>
      <w:r>
        <w:rPr>
          <w:rFonts w:ascii="仿宋_GB2312" w:hAnsi="宋体" w:cs="宋体"/>
          <w:b/>
          <w:bCs/>
          <w:color w:val="auto"/>
          <w:kern w:val="0"/>
          <w:szCs w:val="24"/>
        </w:rPr>
        <w:t>导致</w:t>
      </w:r>
      <w:r>
        <w:rPr>
          <w:rFonts w:hint="eastAsia" w:ascii="仿宋_GB2312" w:hAnsi="宋体" w:cs="宋体"/>
          <w:b/>
          <w:bCs/>
          <w:color w:val="auto"/>
          <w:kern w:val="0"/>
          <w:szCs w:val="24"/>
        </w:rPr>
        <w:t>影响</w:t>
      </w:r>
      <w:r>
        <w:rPr>
          <w:rFonts w:ascii="仿宋_GB2312" w:hAnsi="宋体" w:cs="宋体"/>
          <w:b/>
          <w:bCs/>
          <w:color w:val="auto"/>
          <w:kern w:val="0"/>
          <w:szCs w:val="24"/>
        </w:rPr>
        <w:t>管理人</w:t>
      </w:r>
      <w:r>
        <w:rPr>
          <w:rFonts w:hint="eastAsia" w:ascii="仿宋_GB2312" w:hAnsi="宋体" w:cs="宋体"/>
          <w:b/>
          <w:bCs/>
          <w:color w:val="auto"/>
          <w:kern w:val="0"/>
          <w:szCs w:val="24"/>
        </w:rPr>
        <w:t>独立</w:t>
      </w:r>
      <w:r>
        <w:rPr>
          <w:rFonts w:ascii="仿宋_GB2312" w:hAnsi="宋体" w:cs="宋体"/>
          <w:b/>
          <w:bCs/>
          <w:color w:val="auto"/>
          <w:kern w:val="0"/>
          <w:szCs w:val="24"/>
        </w:rPr>
        <w:t>决策的</w:t>
      </w:r>
      <w:r>
        <w:rPr>
          <w:rFonts w:hint="eastAsia" w:ascii="仿宋_GB2312" w:hAnsi="宋体" w:cs="宋体"/>
          <w:b/>
          <w:bCs/>
          <w:color w:val="auto"/>
          <w:kern w:val="0"/>
          <w:szCs w:val="24"/>
        </w:rPr>
        <w:t>潜在</w:t>
      </w:r>
      <w:r>
        <w:rPr>
          <w:rFonts w:ascii="仿宋_GB2312" w:hAnsi="宋体" w:cs="宋体"/>
          <w:b/>
          <w:bCs/>
          <w:color w:val="auto"/>
          <w:kern w:val="0"/>
          <w:szCs w:val="24"/>
        </w:rPr>
        <w:t>风险</w:t>
      </w:r>
      <w:r>
        <w:rPr>
          <w:rFonts w:hint="eastAsia" w:ascii="仿宋_GB2312" w:hAnsi="宋体" w:cs="宋体"/>
          <w:b/>
          <w:bCs/>
          <w:color w:val="auto"/>
          <w:kern w:val="0"/>
          <w:szCs w:val="24"/>
        </w:rPr>
        <w:t>。</w:t>
      </w:r>
      <w:r>
        <w:rPr>
          <w:rFonts w:ascii="仿宋_GB2312" w:hAnsi="宋体" w:cs="宋体"/>
          <w:b/>
          <w:bCs/>
          <w:color w:val="auto"/>
          <w:kern w:val="0"/>
          <w:szCs w:val="24"/>
        </w:rPr>
        <w:t>投资者</w:t>
      </w:r>
      <w:r>
        <w:rPr>
          <w:rFonts w:hint="eastAsia" w:ascii="仿宋_GB2312" w:hAnsi="宋体" w:cs="宋体"/>
          <w:b/>
          <w:bCs/>
          <w:color w:val="auto"/>
          <w:kern w:val="0"/>
          <w:szCs w:val="24"/>
        </w:rPr>
        <w:t>确认已充分</w:t>
      </w:r>
      <w:r>
        <w:rPr>
          <w:rFonts w:ascii="仿宋_GB2312" w:hAnsi="宋体" w:cs="宋体"/>
          <w:b/>
          <w:bCs/>
          <w:color w:val="auto"/>
          <w:kern w:val="0"/>
          <w:szCs w:val="24"/>
        </w:rPr>
        <w:t>知悉前述</w:t>
      </w:r>
      <w:r>
        <w:rPr>
          <w:rFonts w:hint="eastAsia" w:ascii="仿宋_GB2312" w:hAnsi="宋体" w:cs="宋体"/>
          <w:b/>
          <w:bCs/>
          <w:color w:val="auto"/>
          <w:kern w:val="0"/>
          <w:szCs w:val="24"/>
        </w:rPr>
        <w:t>关联关系</w:t>
      </w:r>
      <w:r>
        <w:rPr>
          <w:rFonts w:ascii="仿宋_GB2312" w:hAnsi="宋体" w:cs="宋体"/>
          <w:b/>
          <w:bCs/>
          <w:color w:val="auto"/>
          <w:kern w:val="0"/>
          <w:szCs w:val="24"/>
        </w:rPr>
        <w:t>，</w:t>
      </w:r>
      <w:r>
        <w:rPr>
          <w:rFonts w:hint="eastAsia" w:ascii="仿宋_GB2312" w:hAnsi="宋体" w:cs="宋体"/>
          <w:b/>
          <w:bCs/>
          <w:color w:val="auto"/>
          <w:kern w:val="0"/>
          <w:szCs w:val="24"/>
        </w:rPr>
        <w:t>并</w:t>
      </w:r>
      <w:r>
        <w:rPr>
          <w:rFonts w:ascii="仿宋_GB2312" w:hAnsi="宋体" w:cs="宋体"/>
          <w:b/>
          <w:bCs/>
          <w:color w:val="auto"/>
          <w:kern w:val="0"/>
          <w:szCs w:val="24"/>
        </w:rPr>
        <w:t>接受</w:t>
      </w:r>
      <w:r>
        <w:rPr>
          <w:rFonts w:hint="eastAsia" w:ascii="仿宋_GB2312" w:hAnsi="宋体" w:cs="宋体"/>
          <w:b/>
          <w:bCs/>
          <w:color w:val="auto"/>
          <w:kern w:val="0"/>
          <w:szCs w:val="24"/>
        </w:rPr>
        <w:t>理财</w:t>
      </w:r>
      <w:r>
        <w:rPr>
          <w:rFonts w:ascii="仿宋_GB2312" w:hAnsi="宋体" w:cs="宋体"/>
          <w:b/>
          <w:bCs/>
          <w:color w:val="auto"/>
          <w:kern w:val="0"/>
          <w:szCs w:val="24"/>
        </w:rPr>
        <w:t>产品由</w:t>
      </w:r>
      <w:r>
        <w:rPr>
          <w:rFonts w:hint="eastAsia" w:ascii="仿宋_GB2312" w:hAnsi="宋体" w:cs="宋体"/>
          <w:b/>
          <w:bCs/>
          <w:color w:val="auto"/>
          <w:kern w:val="0"/>
          <w:szCs w:val="24"/>
        </w:rPr>
        <w:t>销售</w:t>
      </w:r>
      <w:r>
        <w:rPr>
          <w:rFonts w:ascii="仿宋_GB2312" w:hAnsi="宋体" w:cs="宋体"/>
          <w:b/>
          <w:bCs/>
          <w:color w:val="auto"/>
          <w:kern w:val="0"/>
          <w:szCs w:val="24"/>
        </w:rPr>
        <w:t>机构</w:t>
      </w:r>
      <w:r>
        <w:rPr>
          <w:rFonts w:hint="eastAsia" w:ascii="仿宋_GB2312" w:hAnsi="宋体" w:cs="宋体"/>
          <w:b/>
          <w:bCs/>
          <w:color w:val="auto"/>
          <w:kern w:val="0"/>
          <w:szCs w:val="24"/>
        </w:rPr>
        <w:t>代理</w:t>
      </w:r>
      <w:r>
        <w:rPr>
          <w:rFonts w:ascii="仿宋_GB2312" w:hAnsi="宋体" w:cs="宋体"/>
          <w:b/>
          <w:bCs/>
          <w:color w:val="auto"/>
          <w:kern w:val="0"/>
          <w:szCs w:val="24"/>
        </w:rPr>
        <w:t>销售</w:t>
      </w:r>
      <w:r>
        <w:rPr>
          <w:rFonts w:hint="eastAsia" w:ascii="仿宋_GB2312" w:hAnsi="宋体" w:cs="宋体"/>
          <w:b/>
          <w:bCs/>
          <w:color w:val="auto"/>
          <w:kern w:val="0"/>
          <w:szCs w:val="24"/>
        </w:rPr>
        <w:t>、托管机构</w:t>
      </w:r>
      <w:r>
        <w:rPr>
          <w:rFonts w:ascii="仿宋_GB2312" w:hAnsi="宋体" w:cs="宋体"/>
          <w:b/>
          <w:bCs/>
          <w:color w:val="auto"/>
          <w:kern w:val="0"/>
          <w:szCs w:val="24"/>
        </w:rPr>
        <w:t>托管。</w:t>
      </w:r>
    </w:p>
    <w:p w14:paraId="7430AE18">
      <w:pPr>
        <w:pStyle w:val="3"/>
        <w:widowControl/>
        <w:numPr>
          <w:ilvl w:val="1"/>
          <w:numId w:val="14"/>
        </w:numPr>
        <w:tabs>
          <w:tab w:val="left" w:pos="709"/>
        </w:tabs>
        <w:adjustRightInd w:val="0"/>
        <w:snapToGrid w:val="0"/>
        <w:ind w:firstLine="482"/>
        <w:rPr>
          <w:color w:val="auto"/>
        </w:rPr>
      </w:pPr>
      <w:r>
        <w:rPr>
          <w:color w:val="auto"/>
        </w:rPr>
        <w:t>募集期</w:t>
      </w:r>
    </w:p>
    <w:p w14:paraId="349A283E">
      <w:pPr>
        <w:widowControl/>
        <w:tabs>
          <w:tab w:val="left" w:pos="709"/>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产品募集期内，投资者可多次对本产品认购、追加、</w:t>
      </w:r>
      <w:r>
        <w:rPr>
          <w:rFonts w:hint="eastAsia"/>
          <w:color w:val="auto"/>
        </w:rPr>
        <w:t>撤单</w:t>
      </w:r>
      <w:r>
        <w:rPr>
          <w:rFonts w:hint="eastAsia" w:ascii="仿宋_GB2312" w:hAnsi="宋体" w:cs="宋体"/>
          <w:bCs/>
          <w:color w:val="auto"/>
          <w:kern w:val="0"/>
          <w:szCs w:val="24"/>
        </w:rPr>
        <w:t>。如投资者认购成功，销售机构有权冻结投资者认购资金，</w:t>
      </w:r>
      <w:r>
        <w:rPr>
          <w:rFonts w:hint="eastAsia" w:ascii="仿宋_GB2312" w:hAnsi="宋体" w:cs="宋体"/>
          <w:b/>
          <w:color w:val="auto"/>
          <w:kern w:val="0"/>
          <w:szCs w:val="24"/>
        </w:rPr>
        <w:t>但募集期内认购资金是否计息以销售机构规则为准</w:t>
      </w:r>
      <w:r>
        <w:rPr>
          <w:rFonts w:hint="eastAsia" w:ascii="仿宋_GB2312" w:hAnsi="宋体" w:cs="宋体"/>
          <w:b/>
          <w:color w:val="auto"/>
          <w:kern w:val="0"/>
          <w:szCs w:val="24"/>
          <w:lang w:eastAsia="zh-CN"/>
        </w:rPr>
        <w:t>，</w:t>
      </w:r>
      <w:r>
        <w:rPr>
          <w:rFonts w:hint="eastAsia" w:ascii="仿宋_GB2312" w:hAnsi="宋体" w:cs="宋体"/>
          <w:b/>
          <w:color w:val="auto"/>
          <w:kern w:val="0"/>
          <w:szCs w:val="24"/>
          <w:highlight w:val="none"/>
          <w:u w:val="none"/>
        </w:rPr>
        <w:t>利息不计入认购本金份额</w:t>
      </w:r>
      <w:r>
        <w:rPr>
          <w:rFonts w:hint="eastAsia" w:ascii="仿宋_GB2312" w:hAnsi="宋体" w:cs="宋体"/>
          <w:b/>
          <w:color w:val="auto"/>
          <w:kern w:val="0"/>
          <w:szCs w:val="24"/>
        </w:rPr>
        <w:t>。</w:t>
      </w:r>
      <w:r>
        <w:rPr>
          <w:rFonts w:hint="eastAsia" w:ascii="仿宋_GB2312" w:hAnsi="宋体" w:cs="宋体"/>
          <w:bCs/>
          <w:color w:val="auto"/>
          <w:kern w:val="0"/>
          <w:szCs w:val="24"/>
        </w:rPr>
        <w:t>销售机构实际受理投资者成功提交的认购申请时间可能与说明书不一致，具体以销售机构信息为准。</w:t>
      </w:r>
    </w:p>
    <w:p w14:paraId="48A7D824">
      <w:pPr>
        <w:widowControl/>
        <w:tabs>
          <w:tab w:val="left" w:pos="709"/>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本理财产品累计认购份额达到发行规模上限时，销售机构有权停止接受认购申请。管理人有权根据募集情况提前终止或延长产品募集期，</w:t>
      </w:r>
      <w:r>
        <w:rPr>
          <w:rFonts w:ascii="仿宋_GB2312" w:hAnsi="宋体" w:cs="宋体"/>
          <w:bCs/>
          <w:color w:val="auto"/>
          <w:kern w:val="0"/>
          <w:szCs w:val="24"/>
        </w:rPr>
        <w:t>如有变动</w:t>
      </w:r>
      <w:r>
        <w:rPr>
          <w:rFonts w:hint="eastAsia" w:ascii="仿宋_GB2312" w:hAnsi="宋体" w:cs="宋体"/>
          <w:bCs/>
          <w:color w:val="auto"/>
          <w:kern w:val="0"/>
          <w:szCs w:val="24"/>
        </w:rPr>
        <w:t>以管理人或销售机构公告为准。</w:t>
      </w:r>
    </w:p>
    <w:p w14:paraId="54A17722">
      <w:pPr>
        <w:pStyle w:val="3"/>
        <w:widowControl/>
        <w:numPr>
          <w:ilvl w:val="1"/>
          <w:numId w:val="14"/>
        </w:numPr>
        <w:tabs>
          <w:tab w:val="left" w:pos="709"/>
        </w:tabs>
        <w:snapToGrid w:val="0"/>
        <w:ind w:firstLine="482"/>
        <w:rPr>
          <w:rFonts w:hint="eastAsia" w:ascii="仿宋_GB2312" w:hAnsi="宋体" w:cs="宋体"/>
          <w:bCs/>
          <w:color w:val="auto"/>
          <w:kern w:val="0"/>
          <w:szCs w:val="24"/>
        </w:rPr>
      </w:pPr>
      <w:r>
        <w:rPr>
          <w:rFonts w:hint="eastAsia" w:ascii="仿宋_GB2312" w:hAnsi="宋体" w:cs="宋体"/>
          <w:bCs/>
          <w:color w:val="auto"/>
          <w:kern w:val="0"/>
          <w:szCs w:val="24"/>
        </w:rPr>
        <w:t>投资者范围</w:t>
      </w:r>
    </w:p>
    <w:p w14:paraId="7F0DD989">
      <w:pPr>
        <w:pStyle w:val="3"/>
        <w:widowControl/>
        <w:numPr>
          <w:ilvl w:val="1"/>
          <w:numId w:val="0"/>
        </w:numPr>
        <w:tabs>
          <w:tab w:val="left" w:pos="709"/>
        </w:tabs>
        <w:snapToGrid w:val="0"/>
        <w:ind w:leftChars="200"/>
        <w:rPr>
          <w:rFonts w:hint="eastAsia" w:ascii="仿宋_GB2312" w:hAnsi="宋体" w:cs="宋体"/>
          <w:b w:val="0"/>
          <w:bCs w:val="0"/>
          <w:color w:val="auto"/>
          <w:kern w:val="0"/>
          <w:szCs w:val="24"/>
        </w:rPr>
      </w:pPr>
      <w:r>
        <w:rPr>
          <w:rFonts w:hint="eastAsia" w:ascii="仿宋_GB2312" w:hAnsi="宋体" w:cs="宋体"/>
          <w:b w:val="0"/>
          <w:bCs w:val="0"/>
          <w:color w:val="auto"/>
          <w:kern w:val="0"/>
          <w:szCs w:val="24"/>
        </w:rPr>
        <w:t>详见《产品说明书》“</w:t>
      </w:r>
      <w:r>
        <w:rPr>
          <w:rFonts w:hint="eastAsia" w:ascii="仿宋_GB2312" w:hAnsi="宋体" w:cs="宋体"/>
          <w:b w:val="0"/>
          <w:bCs w:val="0"/>
          <w:color w:val="auto"/>
          <w:kern w:val="0"/>
          <w:szCs w:val="24"/>
          <w:lang w:eastAsia="zh-CN"/>
        </w:rPr>
        <w:t>第一节 理财产品说明书关键要素</w:t>
      </w:r>
      <w:r>
        <w:rPr>
          <w:rFonts w:hint="eastAsia" w:ascii="仿宋_GB2312" w:hAnsi="宋体" w:cs="宋体"/>
          <w:b w:val="0"/>
          <w:bCs w:val="0"/>
          <w:color w:val="auto"/>
          <w:kern w:val="0"/>
          <w:szCs w:val="24"/>
        </w:rPr>
        <w:t>”。</w:t>
      </w:r>
    </w:p>
    <w:p w14:paraId="664BA040">
      <w:pPr>
        <w:pStyle w:val="3"/>
        <w:widowControl/>
        <w:numPr>
          <w:ilvl w:val="1"/>
          <w:numId w:val="14"/>
        </w:numPr>
        <w:tabs>
          <w:tab w:val="left" w:pos="709"/>
        </w:tabs>
        <w:snapToGrid w:val="0"/>
        <w:ind w:firstLine="482"/>
        <w:rPr>
          <w:rFonts w:hint="eastAsia" w:ascii="仿宋_GB2312" w:hAnsi="宋体" w:cs="宋体"/>
          <w:bCs/>
          <w:color w:val="auto"/>
          <w:kern w:val="0"/>
          <w:szCs w:val="24"/>
        </w:rPr>
      </w:pPr>
      <w:r>
        <w:rPr>
          <w:rFonts w:hint="eastAsia" w:ascii="仿宋_GB2312" w:hAnsi="宋体" w:cs="宋体"/>
          <w:bCs/>
          <w:color w:val="auto"/>
          <w:kern w:val="0"/>
          <w:szCs w:val="24"/>
        </w:rPr>
        <w:t>认购的价格</w:t>
      </w:r>
    </w:p>
    <w:p w14:paraId="43D6AE01">
      <w:pPr>
        <w:pStyle w:val="3"/>
        <w:widowControl/>
        <w:numPr>
          <w:ilvl w:val="1"/>
          <w:numId w:val="0"/>
        </w:numPr>
        <w:tabs>
          <w:tab w:val="left" w:pos="709"/>
        </w:tabs>
        <w:snapToGrid w:val="0"/>
        <w:ind w:leftChars="200"/>
        <w:rPr>
          <w:rFonts w:hint="eastAsia" w:ascii="仿宋_GB2312" w:hAnsi="宋体" w:cs="宋体"/>
          <w:b w:val="0"/>
          <w:bCs w:val="0"/>
          <w:color w:val="auto"/>
          <w:kern w:val="0"/>
          <w:szCs w:val="24"/>
        </w:rPr>
      </w:pPr>
      <w:r>
        <w:rPr>
          <w:rFonts w:hint="eastAsia" w:ascii="仿宋_GB2312" w:hAnsi="宋体" w:cs="宋体"/>
          <w:b w:val="0"/>
          <w:bCs w:val="0"/>
          <w:color w:val="auto"/>
          <w:kern w:val="0"/>
          <w:szCs w:val="24"/>
        </w:rPr>
        <w:t>本理财产品份额净值固定为1.0000元/份。</w:t>
      </w:r>
    </w:p>
    <w:p w14:paraId="7B7D9B51">
      <w:pPr>
        <w:pStyle w:val="3"/>
        <w:widowControl/>
        <w:numPr>
          <w:ilvl w:val="1"/>
          <w:numId w:val="14"/>
        </w:numPr>
        <w:tabs>
          <w:tab w:val="left" w:pos="709"/>
        </w:tabs>
        <w:snapToGrid w:val="0"/>
        <w:ind w:firstLine="482"/>
        <w:rPr>
          <w:rFonts w:hint="eastAsia" w:ascii="仿宋_GB2312" w:hAnsi="宋体" w:cs="宋体"/>
          <w:bCs/>
          <w:color w:val="auto"/>
          <w:kern w:val="0"/>
          <w:szCs w:val="24"/>
        </w:rPr>
      </w:pPr>
      <w:r>
        <w:rPr>
          <w:rFonts w:hint="eastAsia" w:ascii="仿宋_GB2312" w:hAnsi="宋体" w:cs="宋体"/>
          <w:bCs/>
          <w:color w:val="auto"/>
          <w:kern w:val="0"/>
          <w:szCs w:val="24"/>
        </w:rPr>
        <w:t>认购份额的计算</w:t>
      </w:r>
    </w:p>
    <w:p w14:paraId="6AAE6A34">
      <w:pPr>
        <w:pStyle w:val="3"/>
        <w:widowControl/>
        <w:numPr>
          <w:ilvl w:val="1"/>
          <w:numId w:val="0"/>
        </w:numPr>
        <w:tabs>
          <w:tab w:val="left" w:pos="709"/>
        </w:tabs>
        <w:snapToGrid w:val="0"/>
        <w:ind w:leftChars="200"/>
        <w:rPr>
          <w:rFonts w:hint="eastAsia" w:ascii="仿宋_GB2312" w:hAnsi="宋体" w:cs="宋体"/>
          <w:b w:val="0"/>
          <w:bCs w:val="0"/>
          <w:color w:val="auto"/>
          <w:kern w:val="0"/>
          <w:szCs w:val="24"/>
        </w:rPr>
      </w:pPr>
      <w:r>
        <w:rPr>
          <w:rFonts w:hint="eastAsia" w:ascii="仿宋_GB2312" w:hAnsi="宋体" w:cs="宋体"/>
          <w:b w:val="0"/>
          <w:bCs w:val="0"/>
          <w:color w:val="auto"/>
          <w:kern w:val="0"/>
          <w:szCs w:val="24"/>
        </w:rPr>
        <w:t xml:space="preserve">本产品采用金额认购方法，认购金额包括认购费用和净认购金额，认购时计算方法如下： </w:t>
      </w:r>
    </w:p>
    <w:p w14:paraId="168DD9F9">
      <w:pPr>
        <w:pStyle w:val="3"/>
        <w:widowControl/>
        <w:numPr>
          <w:ilvl w:val="1"/>
          <w:numId w:val="0"/>
        </w:numPr>
        <w:tabs>
          <w:tab w:val="left" w:pos="709"/>
        </w:tabs>
        <w:snapToGrid w:val="0"/>
        <w:ind w:leftChars="200"/>
        <w:rPr>
          <w:rFonts w:hint="eastAsia" w:ascii="仿宋_GB2312" w:hAnsi="宋体" w:cs="宋体"/>
          <w:b w:val="0"/>
          <w:bCs w:val="0"/>
          <w:color w:val="auto"/>
          <w:kern w:val="0"/>
          <w:szCs w:val="24"/>
          <w:highlight w:val="yellow"/>
        </w:rPr>
      </w:pPr>
      <w:r>
        <w:rPr>
          <w:rFonts w:hint="eastAsia" w:ascii="仿宋_GB2312" w:hAnsi="宋体" w:cs="宋体"/>
          <w:b w:val="0"/>
          <w:bCs w:val="0"/>
          <w:color w:val="auto"/>
          <w:kern w:val="0"/>
          <w:szCs w:val="24"/>
          <w:highlight w:val="yellow"/>
          <w:lang w:eastAsia="zh-CN"/>
        </w:rPr>
        <w:t>【</w:t>
      </w:r>
      <w:r>
        <w:rPr>
          <w:rFonts w:hint="eastAsia" w:ascii="仿宋_GB2312" w:hAnsi="宋体" w:cs="宋体"/>
          <w:b w:val="0"/>
          <w:bCs w:val="0"/>
          <w:color w:val="auto"/>
          <w:kern w:val="0"/>
          <w:szCs w:val="24"/>
          <w:highlight w:val="yellow"/>
        </w:rPr>
        <w:t>净认购金额=认购金额/（1+认购费率）（认购费率详见产品说明书关于费用的说明）</w:t>
      </w:r>
    </w:p>
    <w:p w14:paraId="01382AB9">
      <w:pPr>
        <w:pStyle w:val="3"/>
        <w:widowControl/>
        <w:numPr>
          <w:ilvl w:val="1"/>
          <w:numId w:val="0"/>
        </w:numPr>
        <w:tabs>
          <w:tab w:val="left" w:pos="709"/>
        </w:tabs>
        <w:snapToGrid w:val="0"/>
        <w:ind w:leftChars="200"/>
        <w:rPr>
          <w:rFonts w:hint="eastAsia" w:ascii="仿宋_GB2312" w:hAnsi="宋体" w:cs="宋体"/>
          <w:b w:val="0"/>
          <w:bCs w:val="0"/>
          <w:color w:val="auto"/>
          <w:kern w:val="0"/>
          <w:szCs w:val="24"/>
          <w:highlight w:val="yellow"/>
        </w:rPr>
      </w:pPr>
      <w:r>
        <w:rPr>
          <w:rFonts w:hint="eastAsia" w:ascii="仿宋_GB2312" w:hAnsi="宋体" w:cs="宋体"/>
          <w:b w:val="0"/>
          <w:bCs w:val="0"/>
          <w:color w:val="auto"/>
          <w:kern w:val="0"/>
          <w:szCs w:val="24"/>
          <w:highlight w:val="yellow"/>
        </w:rPr>
        <w:t>认购费用=认购金额-净认购金额</w:t>
      </w:r>
    </w:p>
    <w:p w14:paraId="346D874C">
      <w:pPr>
        <w:pStyle w:val="3"/>
        <w:widowControl/>
        <w:numPr>
          <w:ilvl w:val="1"/>
          <w:numId w:val="0"/>
        </w:numPr>
        <w:tabs>
          <w:tab w:val="left" w:pos="709"/>
        </w:tabs>
        <w:snapToGrid w:val="0"/>
        <w:ind w:leftChars="200"/>
        <w:rPr>
          <w:rFonts w:hint="eastAsia" w:ascii="仿宋_GB2312" w:hAnsi="宋体" w:eastAsia="仿宋_GB2312" w:cs="宋体"/>
          <w:b w:val="0"/>
          <w:bCs w:val="0"/>
          <w:color w:val="auto"/>
          <w:kern w:val="0"/>
          <w:szCs w:val="24"/>
          <w:highlight w:val="yellow"/>
          <w:lang w:eastAsia="zh-CN"/>
        </w:rPr>
      </w:pPr>
      <w:r>
        <w:rPr>
          <w:rFonts w:hint="eastAsia" w:ascii="仿宋_GB2312" w:hAnsi="宋体" w:cs="宋体"/>
          <w:b w:val="0"/>
          <w:bCs w:val="0"/>
          <w:color w:val="auto"/>
          <w:kern w:val="0"/>
          <w:szCs w:val="24"/>
          <w:highlight w:val="yellow"/>
        </w:rPr>
        <w:t>认购份额=净认购金额/理财产品单位份额净值</w:t>
      </w:r>
      <w:r>
        <w:rPr>
          <w:rFonts w:hint="eastAsia" w:ascii="仿宋_GB2312" w:hAnsi="宋体" w:cs="宋体"/>
          <w:b w:val="0"/>
          <w:bCs w:val="0"/>
          <w:color w:val="auto"/>
          <w:kern w:val="0"/>
          <w:szCs w:val="24"/>
          <w:highlight w:val="yellow"/>
          <w:lang w:eastAsia="zh-CN"/>
        </w:rPr>
        <w:t>】</w:t>
      </w:r>
    </w:p>
    <w:p w14:paraId="6DFFB89E">
      <w:pPr>
        <w:pStyle w:val="3"/>
        <w:widowControl/>
        <w:numPr>
          <w:ilvl w:val="1"/>
          <w:numId w:val="0"/>
        </w:numPr>
        <w:tabs>
          <w:tab w:val="left" w:pos="709"/>
        </w:tabs>
        <w:snapToGrid w:val="0"/>
        <w:ind w:leftChars="200"/>
        <w:rPr>
          <w:rFonts w:hint="eastAsia" w:ascii="仿宋_GB2312" w:hAnsi="宋体" w:cs="宋体"/>
          <w:b w:val="0"/>
          <w:bCs w:val="0"/>
          <w:color w:val="auto"/>
          <w:kern w:val="0"/>
          <w:szCs w:val="24"/>
        </w:rPr>
      </w:pPr>
      <w:r>
        <w:rPr>
          <w:rFonts w:hint="eastAsia" w:ascii="仿宋_GB2312" w:hAnsi="宋体" w:cs="宋体"/>
          <w:b w:val="0"/>
          <w:bCs w:val="0"/>
          <w:color w:val="auto"/>
          <w:kern w:val="0"/>
          <w:szCs w:val="24"/>
        </w:rPr>
        <w:t>认购份额以四舍五入的方法保留到小数点后两位。</w:t>
      </w:r>
    </w:p>
    <w:p w14:paraId="4F811D11">
      <w:pPr>
        <w:pStyle w:val="3"/>
        <w:widowControl/>
        <w:numPr>
          <w:ilvl w:val="1"/>
          <w:numId w:val="14"/>
        </w:numPr>
        <w:tabs>
          <w:tab w:val="left" w:pos="709"/>
        </w:tabs>
        <w:snapToGrid w:val="0"/>
        <w:ind w:firstLine="482"/>
        <w:rPr>
          <w:rFonts w:hint="eastAsia" w:ascii="仿宋_GB2312" w:hAnsi="宋体" w:cs="宋体"/>
          <w:bCs/>
          <w:color w:val="auto"/>
          <w:kern w:val="0"/>
          <w:szCs w:val="24"/>
        </w:rPr>
      </w:pPr>
      <w:r>
        <w:rPr>
          <w:rFonts w:hint="eastAsia" w:ascii="仿宋_GB2312" w:hAnsi="宋体" w:cs="宋体"/>
          <w:bCs/>
          <w:color w:val="auto"/>
          <w:kern w:val="0"/>
          <w:szCs w:val="24"/>
        </w:rPr>
        <w:t>认购</w:t>
      </w:r>
      <w:r>
        <w:rPr>
          <w:rFonts w:hint="eastAsia" w:ascii="仿宋_GB2312" w:hAnsi="宋体" w:cs="宋体"/>
          <w:bCs/>
          <w:color w:val="auto"/>
          <w:kern w:val="0"/>
          <w:szCs w:val="24"/>
          <w:lang w:eastAsia="zh-CN"/>
        </w:rPr>
        <w:t>的</w:t>
      </w:r>
      <w:r>
        <w:rPr>
          <w:rFonts w:hint="eastAsia" w:ascii="仿宋_GB2312" w:hAnsi="宋体" w:cs="宋体"/>
          <w:bCs/>
          <w:color w:val="auto"/>
          <w:kern w:val="0"/>
          <w:szCs w:val="24"/>
        </w:rPr>
        <w:t>起点</w:t>
      </w:r>
      <w:r>
        <w:rPr>
          <w:rFonts w:hint="eastAsia" w:ascii="仿宋_GB2312" w:hAnsi="宋体" w:cs="宋体"/>
          <w:bCs/>
          <w:color w:val="auto"/>
          <w:kern w:val="0"/>
          <w:szCs w:val="24"/>
          <w:lang w:eastAsia="zh-CN"/>
        </w:rPr>
        <w:t>销售金额</w:t>
      </w:r>
      <w:r>
        <w:rPr>
          <w:rFonts w:hint="eastAsia" w:ascii="仿宋_GB2312" w:hAnsi="宋体" w:cs="宋体"/>
          <w:bCs/>
          <w:color w:val="auto"/>
          <w:kern w:val="0"/>
          <w:szCs w:val="24"/>
        </w:rPr>
        <w:t>和</w:t>
      </w:r>
      <w:r>
        <w:rPr>
          <w:rFonts w:hint="eastAsia" w:ascii="仿宋_GB2312" w:hAnsi="宋体" w:cs="宋体"/>
          <w:bCs/>
          <w:color w:val="auto"/>
          <w:kern w:val="0"/>
          <w:szCs w:val="24"/>
          <w:lang w:eastAsia="zh-CN"/>
        </w:rPr>
        <w:t>追加</w:t>
      </w:r>
      <w:r>
        <w:rPr>
          <w:rFonts w:hint="eastAsia" w:ascii="仿宋_GB2312" w:hAnsi="宋体" w:cs="宋体"/>
          <w:bCs/>
          <w:color w:val="auto"/>
          <w:kern w:val="0"/>
          <w:szCs w:val="24"/>
        </w:rPr>
        <w:t>递增金额</w:t>
      </w:r>
    </w:p>
    <w:p w14:paraId="7DC8C0A5">
      <w:pPr>
        <w:pStyle w:val="3"/>
        <w:widowControl/>
        <w:numPr>
          <w:ilvl w:val="1"/>
          <w:numId w:val="0"/>
        </w:numPr>
        <w:tabs>
          <w:tab w:val="left" w:pos="709"/>
        </w:tabs>
        <w:snapToGrid w:val="0"/>
        <w:ind w:leftChars="200"/>
        <w:rPr>
          <w:rFonts w:hint="eastAsia" w:ascii="仿宋_GB2312" w:hAnsi="宋体" w:cs="宋体"/>
          <w:b w:val="0"/>
          <w:bCs w:val="0"/>
          <w:color w:val="auto"/>
          <w:kern w:val="0"/>
          <w:szCs w:val="24"/>
        </w:rPr>
      </w:pPr>
      <w:r>
        <w:rPr>
          <w:rFonts w:hint="eastAsia" w:ascii="仿宋_GB2312" w:hAnsi="宋体" w:cs="宋体"/>
          <w:b w:val="0"/>
          <w:bCs w:val="0"/>
          <w:color w:val="auto"/>
          <w:kern w:val="0"/>
          <w:szCs w:val="24"/>
        </w:rPr>
        <w:t>详见《产品说明书》“</w:t>
      </w:r>
      <w:r>
        <w:rPr>
          <w:rFonts w:hint="eastAsia" w:ascii="仿宋_GB2312" w:hAnsi="宋体" w:cs="宋体"/>
          <w:b w:val="0"/>
          <w:bCs w:val="0"/>
          <w:color w:val="auto"/>
          <w:kern w:val="0"/>
          <w:szCs w:val="24"/>
          <w:lang w:eastAsia="zh-CN"/>
        </w:rPr>
        <w:t>第一节 理财产品说明书关键要素</w:t>
      </w:r>
      <w:r>
        <w:rPr>
          <w:rFonts w:hint="eastAsia" w:ascii="仿宋_GB2312" w:hAnsi="宋体" w:cs="宋体"/>
          <w:b w:val="0"/>
          <w:bCs w:val="0"/>
          <w:color w:val="auto"/>
          <w:kern w:val="0"/>
          <w:szCs w:val="24"/>
        </w:rPr>
        <w:t>”。</w:t>
      </w:r>
    </w:p>
    <w:p w14:paraId="7A988CED">
      <w:pPr>
        <w:pStyle w:val="3"/>
        <w:widowControl/>
        <w:numPr>
          <w:ilvl w:val="1"/>
          <w:numId w:val="14"/>
        </w:numPr>
        <w:tabs>
          <w:tab w:val="left" w:pos="709"/>
        </w:tabs>
        <w:snapToGrid w:val="0"/>
        <w:ind w:firstLine="482"/>
        <w:rPr>
          <w:rFonts w:ascii="仿宋_GB2312" w:hAnsi="宋体" w:cs="宋体"/>
          <w:bCs/>
          <w:color w:val="auto"/>
          <w:kern w:val="0"/>
          <w:szCs w:val="24"/>
        </w:rPr>
      </w:pPr>
      <w:r>
        <w:rPr>
          <w:rFonts w:hint="eastAsia" w:ascii="仿宋_GB2312" w:hAnsi="宋体" w:cs="宋体"/>
          <w:bCs/>
          <w:color w:val="auto"/>
          <w:kern w:val="0"/>
          <w:szCs w:val="24"/>
        </w:rPr>
        <w:t>认购确认</w:t>
      </w:r>
    </w:p>
    <w:p w14:paraId="36029E6C">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投资者提交认购申请后，如管理人在认购</w:t>
      </w:r>
      <w:r>
        <w:rPr>
          <w:rFonts w:ascii="仿宋_GB2312" w:hAnsi="宋体" w:cs="宋体"/>
          <w:bCs/>
          <w:color w:val="auto"/>
          <w:kern w:val="0"/>
          <w:szCs w:val="24"/>
        </w:rPr>
        <w:t>确认日</w:t>
      </w:r>
      <w:r>
        <w:rPr>
          <w:rFonts w:hint="eastAsia" w:ascii="仿宋_GB2312" w:hAnsi="宋体" w:cs="宋体"/>
          <w:bCs/>
          <w:color w:val="auto"/>
          <w:kern w:val="0"/>
          <w:szCs w:val="24"/>
        </w:rPr>
        <w:t>成功登记投资者认购份额，则视为投资者的认购申请生效。销售机构成功登记投资者认购份额、投资者认购申请生效并不代表销售机构对该认购申请结果的成功确认或承诺，而仅代表其收到认购申请，认购申请结果是否成功以管理人确认为准。本产品认购确认日为本产品成立日。</w:t>
      </w:r>
    </w:p>
    <w:p w14:paraId="75FDD96A">
      <w:pPr>
        <w:pStyle w:val="3"/>
        <w:widowControl/>
        <w:numPr>
          <w:ilvl w:val="1"/>
          <w:numId w:val="14"/>
        </w:numPr>
        <w:tabs>
          <w:tab w:val="left" w:pos="709"/>
        </w:tabs>
        <w:snapToGrid w:val="0"/>
        <w:ind w:firstLine="482"/>
        <w:rPr>
          <w:rFonts w:ascii="仿宋_GB2312" w:hAnsi="宋体" w:cs="宋体"/>
          <w:bCs/>
          <w:color w:val="auto"/>
          <w:kern w:val="0"/>
          <w:szCs w:val="24"/>
        </w:rPr>
      </w:pPr>
      <w:r>
        <w:rPr>
          <w:rFonts w:hint="eastAsia" w:ascii="仿宋_GB2312" w:hAnsi="宋体" w:cs="宋体"/>
          <w:bCs/>
          <w:color w:val="auto"/>
          <w:kern w:val="0"/>
          <w:szCs w:val="24"/>
        </w:rPr>
        <w:t>认购撤销</w:t>
      </w:r>
    </w:p>
    <w:p w14:paraId="10D42449">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募集期内投资者可以撤销已提交的认购申请，具体请以销售机构规定为准。</w:t>
      </w:r>
    </w:p>
    <w:p w14:paraId="2D30BA93">
      <w:pPr>
        <w:pStyle w:val="3"/>
        <w:widowControl/>
        <w:numPr>
          <w:ilvl w:val="1"/>
          <w:numId w:val="14"/>
        </w:numPr>
        <w:tabs>
          <w:tab w:val="left" w:pos="709"/>
        </w:tabs>
        <w:snapToGrid w:val="0"/>
        <w:ind w:firstLine="482"/>
        <w:rPr>
          <w:rFonts w:ascii="仿宋_GB2312" w:hAnsi="宋体" w:cs="宋体"/>
          <w:bCs/>
          <w:color w:val="auto"/>
          <w:kern w:val="0"/>
          <w:szCs w:val="24"/>
        </w:rPr>
      </w:pPr>
      <w:r>
        <w:rPr>
          <w:rFonts w:hint="eastAsia" w:ascii="仿宋_GB2312" w:hAnsi="宋体" w:cs="宋体"/>
          <w:bCs/>
          <w:color w:val="auto"/>
          <w:kern w:val="0"/>
          <w:szCs w:val="24"/>
        </w:rPr>
        <w:t>认购数量</w:t>
      </w:r>
      <w:r>
        <w:rPr>
          <w:rFonts w:ascii="仿宋_GB2312" w:hAnsi="宋体" w:cs="宋体"/>
          <w:bCs/>
          <w:color w:val="auto"/>
          <w:kern w:val="0"/>
          <w:szCs w:val="24"/>
        </w:rPr>
        <w:t>限制</w:t>
      </w:r>
    </w:p>
    <w:p w14:paraId="513A2096">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详见《产品说明书》“</w:t>
      </w:r>
      <w:r>
        <w:rPr>
          <w:rFonts w:hint="eastAsia" w:ascii="仿宋_GB2312" w:hAnsi="宋体" w:cs="宋体"/>
          <w:bCs/>
          <w:color w:val="auto"/>
          <w:kern w:val="0"/>
          <w:szCs w:val="24"/>
          <w:lang w:eastAsia="zh-CN"/>
        </w:rPr>
        <w:t>第一节 理财产品说明书关键要素</w:t>
      </w:r>
      <w:r>
        <w:rPr>
          <w:rFonts w:hint="eastAsia" w:ascii="仿宋_GB2312" w:hAnsi="宋体" w:cs="宋体"/>
          <w:bCs/>
          <w:color w:val="auto"/>
          <w:kern w:val="0"/>
          <w:szCs w:val="24"/>
        </w:rPr>
        <w:t>”。</w:t>
      </w:r>
    </w:p>
    <w:p w14:paraId="34DDA682">
      <w:pPr>
        <w:pStyle w:val="3"/>
        <w:numPr>
          <w:ilvl w:val="1"/>
          <w:numId w:val="14"/>
        </w:numPr>
        <w:ind w:firstLine="482"/>
        <w:rPr>
          <w:color w:val="auto"/>
        </w:rPr>
      </w:pPr>
      <w:r>
        <w:rPr>
          <w:rFonts w:hint="eastAsia"/>
          <w:color w:val="auto"/>
        </w:rPr>
        <w:t>产品成立</w:t>
      </w:r>
    </w:p>
    <w:p w14:paraId="669544D4">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1.募集期届满，募集总资金累计金额不低于产品最低成立规模时，产品成立。</w:t>
      </w:r>
    </w:p>
    <w:p w14:paraId="5442F70A">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2.</w:t>
      </w:r>
      <w:r>
        <w:rPr>
          <w:rFonts w:hint="eastAsia" w:ascii="仿宋_GB2312" w:hAnsi="宋体" w:cs="宋体"/>
          <w:b/>
          <w:bCs/>
          <w:color w:val="auto"/>
          <w:kern w:val="0"/>
          <w:szCs w:val="24"/>
        </w:rPr>
        <w:t>本产品募集期限内，如募集总金额未达到产品最低成立规模，或国家宏观政策以及市场相关法规政策发生变化，或市场发生剧烈波动，或发生其他经管理人合理判断难以履行本理财产品说明书约定或可能导致投资者权益受损的情形，管理人有权利但无义务宣布本理财产品不成立</w:t>
      </w:r>
      <w:r>
        <w:rPr>
          <w:rFonts w:hint="eastAsia" w:ascii="仿宋_GB2312" w:hAnsi="宋体"/>
          <w:b/>
          <w:color w:val="auto"/>
          <w:kern w:val="0"/>
          <w:szCs w:val="24"/>
        </w:rPr>
        <w:t>，亦有权延长募集期或调整募集规模</w:t>
      </w:r>
      <w:r>
        <w:rPr>
          <w:rFonts w:hint="eastAsia" w:ascii="仿宋_GB2312" w:hAnsi="宋体" w:cs="宋体"/>
          <w:b/>
          <w:bCs/>
          <w:color w:val="auto"/>
          <w:kern w:val="0"/>
          <w:szCs w:val="24"/>
        </w:rPr>
        <w:t>。</w:t>
      </w:r>
    </w:p>
    <w:p w14:paraId="753DB449">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（1）产品不成立：管理人决定理财产品不成立，将及时通过本产品说明书约定的</w:t>
      </w:r>
      <w:r>
        <w:rPr>
          <w:rFonts w:ascii="仿宋_GB2312" w:hAnsi="宋体" w:cs="宋体"/>
          <w:bCs/>
          <w:color w:val="auto"/>
          <w:kern w:val="0"/>
          <w:szCs w:val="24"/>
        </w:rPr>
        <w:t>方式</w:t>
      </w:r>
      <w:r>
        <w:rPr>
          <w:rFonts w:hint="eastAsia" w:ascii="仿宋_GB2312" w:hAnsi="宋体" w:cs="宋体"/>
          <w:bCs/>
          <w:color w:val="auto"/>
          <w:kern w:val="0"/>
          <w:szCs w:val="24"/>
        </w:rPr>
        <w:t>披露产品不成立相关信息，并在不晚于产品原计划成立日后的3个</w:t>
      </w:r>
      <w:r>
        <w:rPr>
          <w:rFonts w:hint="eastAsia" w:ascii="仿宋_GB2312" w:hAnsi="宋体" w:cs="宋体"/>
          <w:bCs/>
          <w:color w:val="auto"/>
          <w:kern w:val="0"/>
          <w:szCs w:val="24"/>
          <w:highlight w:val="yellow"/>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工作日</w:t>
      </w:r>
      <w:r>
        <w:rPr>
          <w:rFonts w:ascii="仿宋_GB2312" w:hAnsi="宋体" w:cs="宋体"/>
          <w:bCs/>
          <w:color w:val="auto"/>
          <w:kern w:val="0"/>
          <w:szCs w:val="24"/>
          <w:highlight w:val="yellow"/>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交易日】</w:t>
      </w:r>
      <w:r>
        <w:rPr>
          <w:rFonts w:hint="eastAsia" w:ascii="仿宋_GB2312" w:hAnsi="宋体" w:cs="宋体"/>
          <w:bCs/>
          <w:color w:val="auto"/>
          <w:kern w:val="0"/>
          <w:szCs w:val="24"/>
        </w:rPr>
        <w:t>通过销售机构将理财投资本金退回投资者指定账户。</w:t>
      </w:r>
    </w:p>
    <w:p w14:paraId="4098AC7E">
      <w:pPr>
        <w:widowControl/>
        <w:tabs>
          <w:tab w:val="left" w:pos="709"/>
        </w:tabs>
        <w:snapToGrid w:val="0"/>
        <w:spacing w:line="360" w:lineRule="auto"/>
        <w:ind w:firstLine="420" w:firstLineChars="200"/>
        <w:rPr>
          <w:rFonts w:ascii="仿宋_GB2312" w:hAnsi="宋体"/>
          <w:color w:val="auto"/>
          <w:kern w:val="0"/>
          <w:szCs w:val="24"/>
        </w:rPr>
      </w:pPr>
      <w:r>
        <w:rPr>
          <w:rFonts w:hint="eastAsia" w:ascii="仿宋_GB2312" w:hAnsi="宋体" w:cs="宋体"/>
          <w:bCs/>
          <w:color w:val="auto"/>
          <w:kern w:val="0"/>
          <w:szCs w:val="24"/>
        </w:rPr>
        <w:t>（2）</w:t>
      </w:r>
      <w:r>
        <w:rPr>
          <w:rFonts w:hint="eastAsia" w:ascii="仿宋_GB2312" w:hAnsi="宋体"/>
          <w:color w:val="auto"/>
          <w:kern w:val="0"/>
          <w:szCs w:val="24"/>
        </w:rPr>
        <w:t>延长产品募集期:</w:t>
      </w:r>
      <w:r>
        <w:rPr>
          <w:rFonts w:hint="eastAsia" w:ascii="仿宋_GB2312" w:hAnsi="宋体" w:cs="宋体"/>
          <w:bCs/>
          <w:color w:val="auto"/>
          <w:kern w:val="0"/>
          <w:szCs w:val="24"/>
        </w:rPr>
        <w:t>管理人决定延长产品募集期，</w:t>
      </w:r>
      <w:r>
        <w:rPr>
          <w:rFonts w:hint="eastAsia" w:ascii="仿宋_GB2312" w:hAnsi="宋体"/>
          <w:color w:val="auto"/>
          <w:kern w:val="0"/>
          <w:szCs w:val="24"/>
        </w:rPr>
        <w:t>将在理财</w:t>
      </w:r>
      <w:r>
        <w:rPr>
          <w:rFonts w:ascii="仿宋_GB2312" w:hAnsi="宋体"/>
          <w:color w:val="auto"/>
          <w:kern w:val="0"/>
          <w:szCs w:val="24"/>
        </w:rPr>
        <w:t>产品</w:t>
      </w:r>
      <w:r>
        <w:rPr>
          <w:rFonts w:hint="eastAsia" w:ascii="仿宋_GB2312" w:hAnsi="宋体"/>
          <w:color w:val="auto"/>
          <w:kern w:val="0"/>
          <w:szCs w:val="24"/>
        </w:rPr>
        <w:t>原定成立日前</w:t>
      </w:r>
      <w:r>
        <w:rPr>
          <w:rFonts w:hint="eastAsia" w:ascii="仿宋_GB2312" w:hAnsi="宋体" w:cs="宋体"/>
          <w:bCs/>
          <w:color w:val="auto"/>
          <w:kern w:val="0"/>
          <w:szCs w:val="24"/>
        </w:rPr>
        <w:t>通过本产品说明书约定</w:t>
      </w:r>
      <w:r>
        <w:rPr>
          <w:rFonts w:ascii="仿宋_GB2312" w:hAnsi="宋体" w:cs="宋体"/>
          <w:bCs/>
          <w:color w:val="auto"/>
          <w:kern w:val="0"/>
          <w:szCs w:val="24"/>
        </w:rPr>
        <w:t>方式</w:t>
      </w:r>
      <w:r>
        <w:rPr>
          <w:rFonts w:hint="eastAsia" w:ascii="仿宋_GB2312" w:hAnsi="宋体"/>
          <w:color w:val="auto"/>
          <w:kern w:val="0"/>
          <w:szCs w:val="24"/>
        </w:rPr>
        <w:t>发布募集期延长公告。</w:t>
      </w:r>
    </w:p>
    <w:p w14:paraId="2F1DD3EF">
      <w:pPr>
        <w:widowControl/>
        <w:tabs>
          <w:tab w:val="left" w:pos="709"/>
        </w:tabs>
        <w:snapToGrid w:val="0"/>
        <w:spacing w:line="360" w:lineRule="auto"/>
        <w:ind w:firstLine="420" w:firstLineChars="200"/>
        <w:rPr>
          <w:rFonts w:ascii="仿宋_GB2312" w:hAnsi="宋体"/>
          <w:color w:val="auto"/>
          <w:kern w:val="0"/>
          <w:szCs w:val="24"/>
        </w:rPr>
      </w:pPr>
      <w:r>
        <w:rPr>
          <w:rFonts w:hint="eastAsia" w:ascii="仿宋_GB2312" w:hAnsi="宋体" w:cs="宋体"/>
          <w:bCs/>
          <w:color w:val="auto"/>
          <w:kern w:val="0"/>
          <w:szCs w:val="24"/>
        </w:rPr>
        <w:t>（3）</w:t>
      </w:r>
      <w:r>
        <w:rPr>
          <w:rFonts w:hint="eastAsia" w:ascii="仿宋_GB2312" w:hAnsi="宋体"/>
          <w:color w:val="auto"/>
          <w:kern w:val="0"/>
          <w:szCs w:val="24"/>
        </w:rPr>
        <w:t>调整产品募集规模：</w:t>
      </w:r>
      <w:r>
        <w:rPr>
          <w:rFonts w:hint="eastAsia" w:ascii="仿宋_GB2312" w:hAnsi="宋体" w:cs="宋体"/>
          <w:bCs/>
          <w:color w:val="auto"/>
          <w:kern w:val="0"/>
          <w:szCs w:val="24"/>
        </w:rPr>
        <w:t>管理人决定调整产品募集规模，</w:t>
      </w:r>
      <w:r>
        <w:rPr>
          <w:rFonts w:hint="eastAsia" w:ascii="仿宋_GB2312" w:hAnsi="宋体"/>
          <w:color w:val="auto"/>
          <w:kern w:val="0"/>
          <w:szCs w:val="24"/>
        </w:rPr>
        <w:t>将及时通过</w:t>
      </w:r>
      <w:r>
        <w:rPr>
          <w:rFonts w:hint="eastAsia" w:ascii="仿宋_GB2312" w:hAnsi="宋体" w:cs="宋体"/>
          <w:bCs/>
          <w:color w:val="auto"/>
          <w:kern w:val="0"/>
          <w:szCs w:val="24"/>
        </w:rPr>
        <w:t>本产品说明书约定</w:t>
      </w:r>
      <w:r>
        <w:rPr>
          <w:rFonts w:ascii="仿宋_GB2312" w:hAnsi="宋体" w:cs="宋体"/>
          <w:bCs/>
          <w:color w:val="auto"/>
          <w:kern w:val="0"/>
          <w:szCs w:val="24"/>
        </w:rPr>
        <w:t>方式</w:t>
      </w:r>
      <w:r>
        <w:rPr>
          <w:rFonts w:hint="eastAsia" w:ascii="仿宋_GB2312" w:hAnsi="宋体"/>
          <w:color w:val="auto"/>
          <w:kern w:val="0"/>
          <w:szCs w:val="24"/>
        </w:rPr>
        <w:t>发布产品募集规模调整公告。</w:t>
      </w:r>
      <w:r>
        <w:rPr>
          <w:rFonts w:hint="eastAsia" w:ascii="仿宋_GB2312" w:hAnsi="宋体"/>
          <w:color w:val="auto"/>
          <w:kern w:val="0"/>
          <w:szCs w:val="24"/>
        </w:rPr>
        <w:br w:type="page"/>
      </w:r>
    </w:p>
    <w:p w14:paraId="078190E8">
      <w:pPr>
        <w:pStyle w:val="2"/>
        <w:widowControl/>
        <w:numPr>
          <w:ilvl w:val="0"/>
          <w:numId w:val="14"/>
        </w:numPr>
        <w:tabs>
          <w:tab w:val="left" w:pos="709"/>
        </w:tabs>
        <w:snapToGrid w:val="0"/>
        <w:ind w:firstLine="560"/>
        <w:rPr>
          <w:rFonts w:ascii="仿宋_GB2312" w:hAnsi="宋体"/>
          <w:color w:val="auto"/>
          <w:kern w:val="0"/>
          <w:szCs w:val="24"/>
        </w:rPr>
      </w:pPr>
      <w:r>
        <w:rPr>
          <w:rFonts w:hint="eastAsia"/>
          <w:color w:val="auto"/>
        </w:rPr>
        <w:t>理财产品的申购与赎回</w:t>
      </w:r>
    </w:p>
    <w:p w14:paraId="26BA3815">
      <w:pPr>
        <w:pStyle w:val="3"/>
        <w:numPr>
          <w:ilvl w:val="1"/>
          <w:numId w:val="14"/>
        </w:numPr>
        <w:adjustRightInd w:val="0"/>
        <w:snapToGrid w:val="0"/>
        <w:ind w:firstLine="482"/>
        <w:rPr>
          <w:color w:val="auto"/>
        </w:rPr>
      </w:pPr>
      <w:r>
        <w:rPr>
          <w:rFonts w:hint="eastAsia"/>
          <w:color w:val="auto"/>
        </w:rPr>
        <w:t>申购、赎回原则</w:t>
      </w:r>
    </w:p>
    <w:p w14:paraId="0080208B">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1.“金额申购、份额赎回”原则，即申购以金额申请，赎回以份额申请。</w:t>
      </w:r>
    </w:p>
    <w:p w14:paraId="59C1F691">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2.</w:t>
      </w:r>
      <w:r>
        <w:rPr>
          <w:rFonts w:hint="eastAsia"/>
          <w:color w:val="auto"/>
        </w:rPr>
        <w:t xml:space="preserve"> </w:t>
      </w:r>
      <w:r>
        <w:rPr>
          <w:rFonts w:hint="eastAsia" w:ascii="仿宋_GB2312" w:hAnsi="宋体" w:cs="宋体"/>
          <w:bCs/>
          <w:color w:val="auto"/>
          <w:kern w:val="0"/>
          <w:szCs w:val="24"/>
        </w:rPr>
        <w:t>投资者申购、赎回本理财产品时，采用“确定价”原则，即本理财产品申购和赎回价格为1.0</w:t>
      </w:r>
      <w:r>
        <w:rPr>
          <w:rFonts w:hint="eastAsia" w:ascii="仿宋_GB2312" w:hAnsi="宋体" w:cs="宋体"/>
          <w:bCs/>
          <w:color w:val="auto"/>
          <w:kern w:val="0"/>
          <w:szCs w:val="24"/>
          <w:lang w:val="en-US" w:eastAsia="zh-CN"/>
        </w:rPr>
        <w:t>00</w:t>
      </w:r>
      <w:r>
        <w:rPr>
          <w:rFonts w:hint="eastAsia" w:ascii="仿宋_GB2312" w:hAnsi="宋体" w:cs="宋体"/>
          <w:bCs/>
          <w:color w:val="auto"/>
          <w:kern w:val="0"/>
          <w:szCs w:val="24"/>
        </w:rPr>
        <w:t>0元</w:t>
      </w:r>
      <w:r>
        <w:rPr>
          <w:rFonts w:hint="eastAsia" w:ascii="仿宋_GB2312" w:hAnsi="宋体" w:cs="宋体"/>
          <w:bCs/>
          <w:color w:val="auto"/>
          <w:kern w:val="0"/>
          <w:szCs w:val="24"/>
          <w:lang w:val="en-US" w:eastAsia="zh-CN"/>
        </w:rPr>
        <w:t>/</w:t>
      </w:r>
      <w:r>
        <w:rPr>
          <w:rFonts w:hint="eastAsia" w:ascii="仿宋_GB2312" w:hAnsi="宋体" w:cs="宋体"/>
          <w:bCs/>
          <w:color w:val="auto"/>
          <w:kern w:val="0"/>
          <w:szCs w:val="24"/>
        </w:rPr>
        <w:t>份。</w:t>
      </w:r>
    </w:p>
    <w:p w14:paraId="66E0AF08">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3.申购、赎回申请可以在对应申购日、赎回日交易时间截止前撤销，最终申请确认情况以</w:t>
      </w:r>
      <w:r>
        <w:rPr>
          <w:rFonts w:hint="eastAsia" w:ascii="仿宋_GB2312" w:hAnsi="宋体" w:cs="宋体"/>
          <w:bCs/>
          <w:color w:val="auto"/>
          <w:kern w:val="0"/>
          <w:szCs w:val="24"/>
          <w:lang w:eastAsia="zh-CN"/>
        </w:rPr>
        <w:t>浙银理财</w:t>
      </w:r>
      <w:r>
        <w:rPr>
          <w:rFonts w:hint="eastAsia" w:ascii="仿宋_GB2312" w:hAnsi="宋体" w:cs="宋体"/>
          <w:bCs/>
          <w:color w:val="auto"/>
          <w:kern w:val="0"/>
          <w:szCs w:val="24"/>
        </w:rPr>
        <w:t>确认的结果为准。</w:t>
      </w:r>
    </w:p>
    <w:p w14:paraId="67AE925D">
      <w:pPr>
        <w:pStyle w:val="3"/>
        <w:numPr>
          <w:ilvl w:val="1"/>
          <w:numId w:val="14"/>
        </w:numPr>
        <w:adjustRightInd w:val="0"/>
        <w:snapToGrid w:val="0"/>
        <w:ind w:firstLine="482"/>
        <w:rPr>
          <w:color w:val="auto"/>
        </w:rPr>
      </w:pPr>
      <w:r>
        <w:rPr>
          <w:rFonts w:hint="eastAsia"/>
          <w:color w:val="auto"/>
        </w:rPr>
        <w:t>理财</w:t>
      </w:r>
      <w:r>
        <w:rPr>
          <w:color w:val="auto"/>
        </w:rPr>
        <w:t>产品</w:t>
      </w:r>
      <w:r>
        <w:rPr>
          <w:rFonts w:hint="eastAsia"/>
          <w:color w:val="auto"/>
        </w:rPr>
        <w:t>的</w:t>
      </w:r>
      <w:r>
        <w:rPr>
          <w:color w:val="auto"/>
        </w:rPr>
        <w:t>申购</w:t>
      </w:r>
    </w:p>
    <w:p w14:paraId="6E9E8C6A">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1.申购的时间</w:t>
      </w:r>
    </w:p>
    <w:p w14:paraId="51B93CE0">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本产品具体申购时间以《产品说明书》“</w:t>
      </w:r>
      <w:r>
        <w:rPr>
          <w:rFonts w:hint="eastAsia" w:ascii="仿宋_GB2312" w:hAnsi="宋体" w:cs="宋体"/>
          <w:bCs/>
          <w:color w:val="auto"/>
          <w:kern w:val="0"/>
          <w:szCs w:val="24"/>
          <w:lang w:eastAsia="zh-CN"/>
        </w:rPr>
        <w:t>第一节 理财产品说明书关键要素</w:t>
      </w:r>
      <w:r>
        <w:rPr>
          <w:rFonts w:hint="eastAsia" w:ascii="仿宋_GB2312" w:hAnsi="宋体" w:cs="宋体"/>
          <w:bCs/>
          <w:color w:val="auto"/>
          <w:kern w:val="0"/>
          <w:szCs w:val="24"/>
        </w:rPr>
        <w:t>”为准。</w:t>
      </w:r>
    </w:p>
    <w:p w14:paraId="289335EE">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2.申购的方式</w:t>
      </w:r>
    </w:p>
    <w:p w14:paraId="547D2687">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投资者可通过销售机构的销售渠道申购。不同销售机构的销售渠道，申购确认时效可能存在差异。</w:t>
      </w:r>
    </w:p>
    <w:p w14:paraId="1481524F">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投资者通过销售机构线下渠道申购的，应签署有关理财产品销售文件。</w:t>
      </w:r>
    </w:p>
    <w:p w14:paraId="475FEFFB">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投资者通过销售机构线上渠道申购的，应根据销售机构线上渠道的具体要求执行。</w:t>
      </w:r>
    </w:p>
    <w:p w14:paraId="3A310A39">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3.申购的确认</w:t>
      </w:r>
    </w:p>
    <w:p w14:paraId="26422FB7">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本产品申购确认详见《产品说明书》“</w:t>
      </w:r>
      <w:r>
        <w:rPr>
          <w:rFonts w:hint="eastAsia" w:ascii="仿宋_GB2312" w:hAnsi="宋体" w:cs="宋体"/>
          <w:bCs/>
          <w:color w:val="auto"/>
          <w:kern w:val="0"/>
          <w:szCs w:val="24"/>
          <w:lang w:eastAsia="zh-CN"/>
        </w:rPr>
        <w:t>第一节 理财产品说明书关键要素</w:t>
      </w:r>
      <w:r>
        <w:rPr>
          <w:rFonts w:hint="eastAsia" w:ascii="仿宋_GB2312" w:hAnsi="宋体" w:cs="宋体"/>
          <w:bCs/>
          <w:color w:val="auto"/>
          <w:kern w:val="0"/>
          <w:szCs w:val="24"/>
        </w:rPr>
        <w:t>”。</w:t>
      </w:r>
    </w:p>
    <w:p w14:paraId="36EACD94">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投资者提交申购申请并不代表申购成功，产品管理人将在申购确认日确认投资者是否申购成功。申购是否成功以管理人的确认结果为准。投资者可以在申购确认日系统完成处理后，查询产品份额。</w:t>
      </w:r>
    </w:p>
    <w:p w14:paraId="3E8BBDF7">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4.申购的价格</w:t>
      </w:r>
    </w:p>
    <w:p w14:paraId="4AB07346">
      <w:pPr>
        <w:tabs>
          <w:tab w:val="left" w:pos="312"/>
        </w:tabs>
        <w:adjustRightInd w:val="0"/>
        <w:snapToGrid w:val="0"/>
        <w:spacing w:line="360" w:lineRule="auto"/>
        <w:ind w:firstLine="420" w:firstLineChars="200"/>
        <w:rPr>
          <w:rFonts w:ascii="仿宋_GB2312" w:hAnsi="宋体" w:cs="宋体"/>
          <w:color w:val="auto"/>
          <w:kern w:val="0"/>
          <w:szCs w:val="24"/>
        </w:rPr>
      </w:pPr>
      <w:r>
        <w:rPr>
          <w:rFonts w:hint="eastAsia" w:ascii="仿宋_GB2312" w:hAnsi="宋体" w:cs="宋体"/>
          <w:bCs/>
          <w:color w:val="auto"/>
          <w:kern w:val="0"/>
          <w:szCs w:val="24"/>
        </w:rPr>
        <w:t>本理财产品份额净值固定为1.0</w:t>
      </w:r>
      <w:r>
        <w:rPr>
          <w:rFonts w:hint="eastAsia" w:ascii="仿宋_GB2312" w:hAnsi="宋体" w:cs="宋体"/>
          <w:bCs/>
          <w:color w:val="auto"/>
          <w:kern w:val="0"/>
          <w:szCs w:val="24"/>
          <w:lang w:val="en-US" w:eastAsia="zh-CN"/>
        </w:rPr>
        <w:t>0</w:t>
      </w:r>
      <w:r>
        <w:rPr>
          <w:rFonts w:hint="eastAsia" w:ascii="仿宋_GB2312" w:hAnsi="宋体" w:cs="宋体"/>
          <w:bCs/>
          <w:color w:val="auto"/>
          <w:kern w:val="0"/>
          <w:szCs w:val="24"/>
        </w:rPr>
        <w:t>00元/份。</w:t>
      </w:r>
      <w:r>
        <w:rPr>
          <w:rFonts w:hint="eastAsia" w:ascii="宋体" w:hAnsi="宋体" w:cs="宋体"/>
          <w:color w:val="auto"/>
          <w:kern w:val="0"/>
          <w:szCs w:val="24"/>
        </w:rPr>
        <w:t>如遇某一类产品份额类别存续期间产品份额被全部赎回的情况，符合该产品份额类别的投资者适当性要求的投资者仍可按照相关申购规则进行购买，投资者提交申购申请的首日，申购价格参照该产品份额类别的最近估值日的产品份额净值计算。请详见</w:t>
      </w:r>
      <w:r>
        <w:rPr>
          <w:rFonts w:hint="eastAsia" w:ascii="仿宋_GB2312" w:hAnsi="宋体" w:cs="宋体"/>
          <w:color w:val="auto"/>
          <w:kern w:val="0"/>
          <w:szCs w:val="24"/>
        </w:rPr>
        <w:t>产品管理人的开放日公告。</w:t>
      </w:r>
    </w:p>
    <w:p w14:paraId="2B8E76B3">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5.申购的费用</w:t>
      </w:r>
    </w:p>
    <w:p w14:paraId="7558DD25">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本产品申购费率详见《产品说明书》“</w:t>
      </w:r>
      <w:r>
        <w:rPr>
          <w:rFonts w:hint="eastAsia" w:ascii="仿宋_GB2312" w:hAnsi="宋体" w:cs="宋体"/>
          <w:bCs/>
          <w:color w:val="auto"/>
          <w:kern w:val="0"/>
          <w:szCs w:val="24"/>
          <w:lang w:eastAsia="zh-CN"/>
        </w:rPr>
        <w:t>第一节 理财产品说明书关键要素</w:t>
      </w:r>
      <w:r>
        <w:rPr>
          <w:rFonts w:hint="eastAsia" w:ascii="仿宋_GB2312" w:hAnsi="宋体" w:cs="宋体"/>
          <w:bCs/>
          <w:color w:val="auto"/>
          <w:kern w:val="0"/>
          <w:szCs w:val="24"/>
        </w:rPr>
        <w:t>”。</w:t>
      </w:r>
    </w:p>
    <w:p w14:paraId="6D6492E0">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6.申购份额计算</w:t>
      </w:r>
    </w:p>
    <w:p w14:paraId="02131E05">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本产品的申购金额包括申购费用和净申购金额。申购份额的计算公式为：</w:t>
      </w:r>
    </w:p>
    <w:p w14:paraId="0C4ECA47">
      <w:pPr>
        <w:tabs>
          <w:tab w:val="left" w:pos="312"/>
        </w:tabs>
        <w:adjustRightInd w:val="0"/>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yellow"/>
        </w:rPr>
        <w:t>净申购金额=申购金额/（1+申购费率）  （申购</w:t>
      </w:r>
      <w:r>
        <w:rPr>
          <w:rFonts w:ascii="仿宋_GB2312" w:hAnsi="宋体" w:cs="宋体"/>
          <w:bCs/>
          <w:color w:val="auto"/>
          <w:kern w:val="0"/>
          <w:szCs w:val="24"/>
          <w:highlight w:val="yellow"/>
        </w:rPr>
        <w:t>费</w:t>
      </w:r>
      <w:r>
        <w:rPr>
          <w:rFonts w:hint="eastAsia" w:ascii="仿宋_GB2312" w:hAnsi="宋体" w:cs="宋体"/>
          <w:bCs/>
          <w:color w:val="auto"/>
          <w:kern w:val="0"/>
          <w:szCs w:val="24"/>
          <w:highlight w:val="yellow"/>
        </w:rPr>
        <w:t>率详见产品说明书</w:t>
      </w:r>
      <w:r>
        <w:rPr>
          <w:rFonts w:ascii="仿宋_GB2312" w:hAnsi="宋体" w:cs="宋体"/>
          <w:bCs/>
          <w:color w:val="auto"/>
          <w:kern w:val="0"/>
          <w:szCs w:val="24"/>
          <w:highlight w:val="yellow"/>
        </w:rPr>
        <w:t>关于费用</w:t>
      </w:r>
      <w:r>
        <w:rPr>
          <w:rFonts w:hint="eastAsia" w:ascii="仿宋_GB2312" w:hAnsi="宋体" w:cs="宋体"/>
          <w:bCs/>
          <w:color w:val="auto"/>
          <w:kern w:val="0"/>
          <w:szCs w:val="24"/>
          <w:highlight w:val="yellow"/>
        </w:rPr>
        <w:t>的说明</w:t>
      </w:r>
      <w:r>
        <w:rPr>
          <w:rFonts w:ascii="仿宋_GB2312" w:hAnsi="宋体" w:cs="宋体"/>
          <w:bCs/>
          <w:color w:val="auto"/>
          <w:kern w:val="0"/>
          <w:szCs w:val="24"/>
          <w:highlight w:val="yellow"/>
        </w:rPr>
        <w:t>）</w:t>
      </w:r>
    </w:p>
    <w:p w14:paraId="594BDAE8">
      <w:pPr>
        <w:tabs>
          <w:tab w:val="left" w:pos="312"/>
        </w:tabs>
        <w:adjustRightInd w:val="0"/>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申购费用=申购金额－净申购金额</w:t>
      </w:r>
    </w:p>
    <w:p w14:paraId="16EB660F">
      <w:pPr>
        <w:tabs>
          <w:tab w:val="left" w:pos="312"/>
        </w:tabs>
        <w:adjustRightInd w:val="0"/>
        <w:snapToGrid w:val="0"/>
        <w:spacing w:line="360" w:lineRule="auto"/>
        <w:ind w:firstLine="420" w:firstLineChars="200"/>
        <w:rPr>
          <w:rFonts w:hint="eastAsia" w:ascii="仿宋_GB2312" w:hAnsi="宋体" w:eastAsia="仿宋_GB2312" w:cs="宋体"/>
          <w:bCs/>
          <w:color w:val="auto"/>
          <w:kern w:val="0"/>
          <w:szCs w:val="24"/>
          <w:highlight w:val="yellow"/>
          <w:lang w:eastAsia="zh-CN"/>
        </w:rPr>
      </w:pPr>
      <w:r>
        <w:rPr>
          <w:rFonts w:hint="eastAsia" w:ascii="仿宋_GB2312" w:hAnsi="宋体" w:cs="宋体"/>
          <w:bCs/>
          <w:color w:val="auto"/>
          <w:kern w:val="0"/>
          <w:szCs w:val="24"/>
          <w:highlight w:val="yellow"/>
        </w:rPr>
        <w:t>申购份额=净申购金额/申购日产品份额净值</w:t>
      </w:r>
      <w:r>
        <w:rPr>
          <w:rFonts w:hint="eastAsia" w:ascii="仿宋_GB2312" w:hAnsi="宋体" w:cs="宋体"/>
          <w:bCs/>
          <w:color w:val="auto"/>
          <w:kern w:val="0"/>
          <w:szCs w:val="24"/>
          <w:highlight w:val="yellow"/>
          <w:lang w:eastAsia="zh-CN"/>
        </w:rPr>
        <w:t>】</w:t>
      </w:r>
    </w:p>
    <w:p w14:paraId="308B04A9">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上述计算结果均按四舍五入方法，保留到小数点后2位，由此产生的收益或损失由理财产品承担。</w:t>
      </w:r>
    </w:p>
    <w:p w14:paraId="2D1E1D78">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7.申购的</w:t>
      </w:r>
      <w:r>
        <w:rPr>
          <w:rFonts w:hint="eastAsia" w:ascii="仿宋_GB2312" w:hAnsi="宋体" w:cs="宋体"/>
          <w:bCs/>
          <w:color w:val="auto"/>
          <w:kern w:val="0"/>
          <w:szCs w:val="24"/>
          <w:highlight w:val="none"/>
          <w:u w:val="none"/>
        </w:rPr>
        <w:t>起点</w:t>
      </w:r>
      <w:r>
        <w:rPr>
          <w:rFonts w:hint="eastAsia" w:ascii="仿宋_GB2312" w:hAnsi="宋体" w:cs="宋体"/>
          <w:bCs/>
          <w:color w:val="auto"/>
          <w:kern w:val="0"/>
          <w:szCs w:val="24"/>
          <w:highlight w:val="none"/>
          <w:u w:val="none"/>
          <w:lang w:eastAsia="zh-CN"/>
        </w:rPr>
        <w:t>销售金额</w:t>
      </w:r>
      <w:r>
        <w:rPr>
          <w:rFonts w:hint="eastAsia" w:ascii="仿宋_GB2312" w:hAnsi="宋体" w:cs="宋体"/>
          <w:bCs/>
          <w:color w:val="auto"/>
          <w:kern w:val="0"/>
          <w:szCs w:val="24"/>
          <w:highlight w:val="none"/>
          <w:u w:val="none"/>
        </w:rPr>
        <w:t>和</w:t>
      </w:r>
      <w:r>
        <w:rPr>
          <w:rFonts w:hint="eastAsia" w:ascii="仿宋_GB2312" w:hAnsi="宋体" w:cs="宋体"/>
          <w:bCs/>
          <w:color w:val="auto"/>
          <w:kern w:val="0"/>
          <w:szCs w:val="24"/>
          <w:highlight w:val="none"/>
          <w:u w:val="none"/>
          <w:lang w:eastAsia="zh-CN"/>
        </w:rPr>
        <w:t>追加</w:t>
      </w:r>
      <w:r>
        <w:rPr>
          <w:rFonts w:hint="eastAsia" w:ascii="仿宋_GB2312" w:hAnsi="宋体" w:cs="宋体"/>
          <w:bCs/>
          <w:color w:val="auto"/>
          <w:kern w:val="0"/>
          <w:szCs w:val="24"/>
          <w:highlight w:val="none"/>
          <w:u w:val="none"/>
        </w:rPr>
        <w:t>递增金额</w:t>
      </w:r>
    </w:p>
    <w:p w14:paraId="563CA8C0">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详见《产品说明书》“</w:t>
      </w:r>
      <w:r>
        <w:rPr>
          <w:rFonts w:hint="eastAsia" w:ascii="仿宋_GB2312" w:hAnsi="宋体" w:cs="宋体"/>
          <w:bCs/>
          <w:color w:val="auto"/>
          <w:kern w:val="0"/>
          <w:szCs w:val="24"/>
          <w:lang w:eastAsia="zh-CN"/>
        </w:rPr>
        <w:t>第一节 理财产品说明书关键要素</w:t>
      </w:r>
      <w:r>
        <w:rPr>
          <w:rFonts w:hint="eastAsia" w:ascii="仿宋_GB2312" w:hAnsi="宋体" w:cs="宋体"/>
          <w:bCs/>
          <w:color w:val="auto"/>
          <w:kern w:val="0"/>
          <w:szCs w:val="24"/>
        </w:rPr>
        <w:t>”。</w:t>
      </w:r>
    </w:p>
    <w:p w14:paraId="585D5CCE">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8.申购的数量限制</w:t>
      </w:r>
    </w:p>
    <w:p w14:paraId="7C8FE193">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详见《产品说明书》“</w:t>
      </w:r>
      <w:r>
        <w:rPr>
          <w:rFonts w:hint="eastAsia" w:ascii="仿宋_GB2312" w:hAnsi="宋体" w:cs="宋体"/>
          <w:bCs/>
          <w:color w:val="auto"/>
          <w:kern w:val="0"/>
          <w:szCs w:val="24"/>
          <w:lang w:eastAsia="zh-CN"/>
        </w:rPr>
        <w:t>第一节 理财产品说明书关键要素</w:t>
      </w:r>
      <w:r>
        <w:rPr>
          <w:rFonts w:hint="eastAsia" w:ascii="仿宋_GB2312" w:hAnsi="宋体" w:cs="宋体"/>
          <w:bCs/>
          <w:color w:val="auto"/>
          <w:kern w:val="0"/>
          <w:szCs w:val="24"/>
        </w:rPr>
        <w:t>”。</w:t>
      </w:r>
    </w:p>
    <w:p w14:paraId="70217826">
      <w:pPr>
        <w:tabs>
          <w:tab w:val="left" w:pos="312"/>
        </w:tabs>
        <w:adjustRightInd w:val="0"/>
        <w:snapToGrid w:val="0"/>
        <w:spacing w:line="360" w:lineRule="auto"/>
        <w:ind w:firstLine="420" w:firstLineChars="200"/>
        <w:rPr>
          <w:rFonts w:hint="eastAsia" w:ascii="仿宋_GB2312" w:hAnsi="宋体" w:cs="宋体"/>
          <w:bCs/>
          <w:color w:val="auto"/>
          <w:kern w:val="0"/>
          <w:szCs w:val="24"/>
        </w:rPr>
      </w:pPr>
      <w:r>
        <w:rPr>
          <w:rFonts w:hint="eastAsia" w:ascii="仿宋_GB2312" w:hAnsi="宋体" w:cs="宋体"/>
          <w:bCs/>
          <w:color w:val="auto"/>
          <w:kern w:val="0"/>
          <w:szCs w:val="24"/>
        </w:rPr>
        <w:t>9.拒绝或暂停申购</w:t>
      </w:r>
    </w:p>
    <w:p w14:paraId="2C15CF51">
      <w:pPr>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除本理财产品说明书另有规定外，当出现以下情形之一时，管理人有权拒绝投资者提交的理财产品申购申请并确认投资者申购失败，或通知销售机构暂停投资者申购并关闭系统申购交易功能，并在3个工作日内公告。在拒绝、暂停申购的情况消除后，管理人应及时通知销售机构恢复理财产品申购业务的办理。</w:t>
      </w:r>
    </w:p>
    <w:p w14:paraId="181B3690">
      <w:pPr>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1.因不可抗力导致管理人无法接受投资者的申购申请；</w:t>
      </w:r>
    </w:p>
    <w:p w14:paraId="259246D1">
      <w:pPr>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2.证券交易场所依法决定临时停市，导致管理人无法计算当日产品资产净值；</w:t>
      </w:r>
    </w:p>
    <w:p w14:paraId="3DF3B648">
      <w:pPr>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3.当管理人认为某笔申购申请会有损于其他产品份额持有人利益时，可拒绝该笔申购申请；</w:t>
      </w:r>
    </w:p>
    <w:p w14:paraId="470E2B6D">
      <w:pPr>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4.法律、法规规定认定的其他情形。</w:t>
      </w:r>
    </w:p>
    <w:p w14:paraId="36629A1E">
      <w:pPr>
        <w:pStyle w:val="3"/>
        <w:numPr>
          <w:ilvl w:val="1"/>
          <w:numId w:val="14"/>
        </w:numPr>
        <w:adjustRightInd w:val="0"/>
        <w:snapToGrid w:val="0"/>
        <w:ind w:firstLine="482"/>
        <w:rPr>
          <w:rFonts w:ascii="仿宋_GB2312" w:hAnsi="宋体" w:cs="宋体"/>
          <w:bCs/>
          <w:color w:val="auto"/>
          <w:kern w:val="0"/>
          <w:szCs w:val="24"/>
        </w:rPr>
      </w:pPr>
      <w:r>
        <w:rPr>
          <w:rFonts w:hint="eastAsia" w:ascii="仿宋_GB2312" w:hAnsi="宋体" w:cs="宋体"/>
          <w:bCs/>
          <w:color w:val="auto"/>
          <w:kern w:val="0"/>
          <w:szCs w:val="24"/>
        </w:rPr>
        <w:t>理财产品的赎回</w:t>
      </w:r>
    </w:p>
    <w:p w14:paraId="5E4EA9C0">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1.赎回的时间</w:t>
      </w:r>
    </w:p>
    <w:p w14:paraId="7BC5FF3F">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本产品具体赎回时间以《产品说明书》“</w:t>
      </w:r>
      <w:r>
        <w:rPr>
          <w:rFonts w:hint="eastAsia" w:ascii="仿宋_GB2312" w:hAnsi="宋体" w:cs="宋体"/>
          <w:bCs/>
          <w:color w:val="auto"/>
          <w:kern w:val="0"/>
          <w:szCs w:val="24"/>
          <w:lang w:eastAsia="zh-CN"/>
        </w:rPr>
        <w:t>第一节 理财产品说明书关键要素</w:t>
      </w:r>
      <w:r>
        <w:rPr>
          <w:rFonts w:hint="eastAsia" w:ascii="仿宋_GB2312" w:hAnsi="宋体" w:cs="宋体"/>
          <w:bCs/>
          <w:color w:val="auto"/>
          <w:kern w:val="0"/>
          <w:szCs w:val="24"/>
        </w:rPr>
        <w:t>”为准。</w:t>
      </w:r>
    </w:p>
    <w:p w14:paraId="79AC2863">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2.赎回的方式</w:t>
      </w:r>
    </w:p>
    <w:p w14:paraId="07934469">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投资者可通过销售机构的销售渠道赎回。不同销售机构的销售渠道，赎回确认时效可能存在差异。</w:t>
      </w:r>
    </w:p>
    <w:p w14:paraId="1E3210BA">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投资者通过销售机构线下渠道赎回的，应签署有关理财产品销售文件。</w:t>
      </w:r>
    </w:p>
    <w:p w14:paraId="0E34D229">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投资者通过销售机构线上渠道赎回的，应根据销售机构线上渠道的具体要求执行。</w:t>
      </w:r>
    </w:p>
    <w:p w14:paraId="71E41BC0">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3.赎回的确认</w:t>
      </w:r>
    </w:p>
    <w:p w14:paraId="26B53700">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本产品赎回确认详见《产品说明书》“</w:t>
      </w:r>
      <w:r>
        <w:rPr>
          <w:rFonts w:hint="eastAsia" w:ascii="仿宋_GB2312" w:hAnsi="宋体" w:cs="宋体"/>
          <w:bCs/>
          <w:color w:val="auto"/>
          <w:kern w:val="0"/>
          <w:szCs w:val="24"/>
          <w:lang w:eastAsia="zh-CN"/>
        </w:rPr>
        <w:t>第一节 理财产品说明书关键要素</w:t>
      </w:r>
      <w:r>
        <w:rPr>
          <w:rFonts w:hint="eastAsia" w:ascii="仿宋_GB2312" w:hAnsi="宋体" w:cs="宋体"/>
          <w:bCs/>
          <w:color w:val="auto"/>
          <w:kern w:val="0"/>
          <w:szCs w:val="24"/>
        </w:rPr>
        <w:t>”。</w:t>
      </w:r>
    </w:p>
    <w:p w14:paraId="3F6605EE">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投资者提交赎回申请并不代表赎回成功，产品管理人将在赎回确认日确认投资者是否赎回成功。赎回是否成功以管理人的确认结果为准。</w:t>
      </w:r>
    </w:p>
    <w:p w14:paraId="39EAAB45">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4.赎回的价格</w:t>
      </w:r>
    </w:p>
    <w:p w14:paraId="70285E7A">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本理财产品份额净值固定为1.0000元/份。</w:t>
      </w:r>
    </w:p>
    <w:p w14:paraId="53076385">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5.赎回的费用</w:t>
      </w:r>
    </w:p>
    <w:p w14:paraId="0DACCE39">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本产品赎回费用详见《产品说明书》“</w:t>
      </w:r>
      <w:r>
        <w:rPr>
          <w:rFonts w:hint="eastAsia" w:ascii="仿宋_GB2312" w:hAnsi="宋体" w:cs="宋体"/>
          <w:bCs/>
          <w:color w:val="auto"/>
          <w:kern w:val="0"/>
          <w:szCs w:val="24"/>
          <w:lang w:eastAsia="zh-CN"/>
        </w:rPr>
        <w:t>第一节 理财产品说明书关键要素</w:t>
      </w:r>
      <w:r>
        <w:rPr>
          <w:rFonts w:hint="eastAsia" w:ascii="仿宋_GB2312" w:hAnsi="宋体" w:cs="宋体"/>
          <w:bCs/>
          <w:color w:val="auto"/>
          <w:kern w:val="0"/>
          <w:szCs w:val="24"/>
        </w:rPr>
        <w:t>”。</w:t>
      </w:r>
    </w:p>
    <w:p w14:paraId="0FF21668">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6.赎回金额计算</w:t>
      </w:r>
    </w:p>
    <w:p w14:paraId="2ADBCCC3">
      <w:pPr>
        <w:tabs>
          <w:tab w:val="left" w:pos="312"/>
        </w:tabs>
        <w:adjustRightInd w:val="0"/>
        <w:snapToGrid w:val="0"/>
        <w:spacing w:line="360" w:lineRule="auto"/>
        <w:ind w:firstLine="420" w:firstLineChars="200"/>
        <w:rPr>
          <w:rFonts w:ascii="仿宋_GB2312" w:hAnsi="宋体" w:cs="宋体"/>
          <w:bCs/>
          <w:kern w:val="0"/>
          <w:szCs w:val="24"/>
          <w:highlight w:val="yellow"/>
        </w:rPr>
      </w:pP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rPr>
        <w:t>本产品采用“份额赎回”方式，产品份额净值固定为1.0000元/份。赎回金额按下列情形分别计算：</w:t>
      </w:r>
    </w:p>
    <w:p w14:paraId="102B1600">
      <w:pPr>
        <w:tabs>
          <w:tab w:val="left" w:pos="312"/>
        </w:tabs>
        <w:adjustRightInd w:val="0"/>
        <w:snapToGrid w:val="0"/>
        <w:spacing w:line="360" w:lineRule="auto"/>
        <w:ind w:firstLine="420" w:firstLineChars="200"/>
        <w:rPr>
          <w:rFonts w:ascii="仿宋_GB2312" w:hAnsi="宋体" w:cs="宋体"/>
          <w:bCs/>
          <w:kern w:val="0"/>
          <w:szCs w:val="24"/>
          <w:highlight w:val="yellow"/>
        </w:rPr>
      </w:pPr>
      <w:r>
        <w:rPr>
          <w:rFonts w:hint="eastAsia" w:ascii="仿宋_GB2312" w:hAnsi="宋体" w:cs="宋体"/>
          <w:bCs/>
          <w:kern w:val="0"/>
          <w:szCs w:val="24"/>
          <w:highlight w:val="yellow"/>
        </w:rPr>
        <w:t>（1）全部赎回（投资者赎回其持有的</w:t>
      </w:r>
      <w:r>
        <w:rPr>
          <w:rFonts w:hint="eastAsia"/>
          <w:highlight w:val="yellow"/>
          <w:lang w:val="en-US" w:eastAsia="zh-CN"/>
        </w:rPr>
        <w:t>产品或</w:t>
      </w:r>
      <w:r>
        <w:rPr>
          <w:rFonts w:hint="eastAsia" w:ascii="宋体" w:hAnsi="宋体" w:cs="宋体"/>
          <w:kern w:val="0"/>
          <w:szCs w:val="24"/>
          <w:highlight w:val="yellow"/>
        </w:rPr>
        <w:t>产品份额类别</w:t>
      </w:r>
      <w:r>
        <w:rPr>
          <w:rFonts w:hint="eastAsia" w:ascii="宋体" w:hAnsi="宋体" w:cs="宋体"/>
          <w:kern w:val="0"/>
          <w:szCs w:val="24"/>
          <w:highlight w:val="yellow"/>
          <w:lang w:val="en-US" w:eastAsia="zh-CN"/>
        </w:rPr>
        <w:t>的全部份额</w:t>
      </w:r>
      <w:r>
        <w:rPr>
          <w:rFonts w:hint="eastAsia" w:ascii="仿宋_GB2312" w:hAnsi="宋体" w:cs="宋体"/>
          <w:bCs/>
          <w:kern w:val="0"/>
          <w:szCs w:val="24"/>
          <w:highlight w:val="yellow"/>
        </w:rPr>
        <w:t>），根据产品管理人及销售机构的系统处理方式，按以下两种情形之一处理：</w:t>
      </w:r>
    </w:p>
    <w:p w14:paraId="556A32A8">
      <w:pPr>
        <w:tabs>
          <w:tab w:val="left" w:pos="312"/>
        </w:tabs>
        <w:adjustRightInd w:val="0"/>
        <w:snapToGrid w:val="0"/>
        <w:spacing w:line="360" w:lineRule="auto"/>
        <w:ind w:firstLine="420" w:firstLineChars="200"/>
        <w:rPr>
          <w:rFonts w:ascii="仿宋_GB2312" w:hAnsi="宋体" w:cs="宋体"/>
          <w:bCs/>
          <w:kern w:val="0"/>
          <w:szCs w:val="24"/>
          <w:highlight w:val="yellow"/>
        </w:rPr>
      </w:pPr>
      <w:r>
        <w:rPr>
          <w:rFonts w:hint="eastAsia" w:ascii="仿宋_GB2312" w:hAnsi="宋体" w:cs="宋体"/>
          <w:bCs/>
          <w:kern w:val="0"/>
          <w:szCs w:val="24"/>
          <w:highlight w:val="yellow"/>
        </w:rPr>
        <w:t>①情形一（一次性全部赎回）：投资者应得赎回金额＝本次被确认的赎回份额×1.0000＋该赎回份额对应的未</w:t>
      </w:r>
      <w:r>
        <w:rPr>
          <w:rFonts w:hint="eastAsia" w:ascii="仿宋_GB2312" w:hAnsi="宋体" w:cs="宋体"/>
          <w:bCs/>
          <w:kern w:val="0"/>
          <w:szCs w:val="24"/>
          <w:highlight w:val="yellow"/>
          <w:lang w:val="en-US" w:eastAsia="zh-CN"/>
        </w:rPr>
        <w:t>结转</w:t>
      </w:r>
      <w:r>
        <w:rPr>
          <w:rFonts w:hint="eastAsia" w:ascii="仿宋_GB2312" w:hAnsi="宋体" w:cs="宋体"/>
          <w:bCs/>
          <w:kern w:val="0"/>
          <w:szCs w:val="24"/>
          <w:highlight w:val="yellow"/>
        </w:rPr>
        <w:t>收益。</w:t>
      </w:r>
    </w:p>
    <w:p w14:paraId="400A0A13">
      <w:pPr>
        <w:tabs>
          <w:tab w:val="left" w:pos="312"/>
        </w:tabs>
        <w:adjustRightInd w:val="0"/>
        <w:snapToGrid w:val="0"/>
        <w:spacing w:line="360" w:lineRule="auto"/>
        <w:ind w:firstLine="420" w:firstLineChars="200"/>
        <w:rPr>
          <w:rFonts w:ascii="仿宋_GB2312" w:hAnsi="宋体" w:cs="宋体"/>
          <w:bCs/>
          <w:kern w:val="0"/>
          <w:szCs w:val="24"/>
          <w:highlight w:val="yellow"/>
        </w:rPr>
      </w:pPr>
      <w:r>
        <w:rPr>
          <w:rFonts w:hint="eastAsia" w:ascii="仿宋_GB2312" w:hAnsi="宋体" w:cs="宋体"/>
          <w:bCs/>
          <w:kern w:val="0"/>
          <w:szCs w:val="24"/>
          <w:highlight w:val="yellow"/>
        </w:rPr>
        <w:t>②情形二（未</w:t>
      </w:r>
      <w:r>
        <w:rPr>
          <w:rFonts w:hint="eastAsia" w:ascii="仿宋_GB2312" w:hAnsi="宋体" w:cs="宋体"/>
          <w:bCs/>
          <w:kern w:val="0"/>
          <w:szCs w:val="24"/>
          <w:highlight w:val="yellow"/>
          <w:lang w:val="en-US" w:eastAsia="zh-CN"/>
        </w:rPr>
        <w:t>结转</w:t>
      </w:r>
      <w:r>
        <w:rPr>
          <w:rFonts w:hint="eastAsia" w:ascii="仿宋_GB2312" w:hAnsi="宋体" w:cs="宋体"/>
          <w:bCs/>
          <w:kern w:val="0"/>
          <w:szCs w:val="24"/>
          <w:highlight w:val="yellow"/>
        </w:rPr>
        <w:t>收益结转份额后由投资者自行赎回）：投资者应得赎回金额＝本次被确认的赎回份额×1.0000；该赎回份额对应的未</w:t>
      </w:r>
      <w:r>
        <w:rPr>
          <w:rFonts w:hint="eastAsia" w:ascii="仿宋_GB2312" w:hAnsi="宋体" w:cs="宋体"/>
          <w:bCs/>
          <w:kern w:val="0"/>
          <w:szCs w:val="24"/>
          <w:highlight w:val="yellow"/>
          <w:lang w:val="en-US" w:eastAsia="zh-CN"/>
        </w:rPr>
        <w:t>结转</w:t>
      </w:r>
      <w:r>
        <w:rPr>
          <w:rFonts w:hint="eastAsia" w:ascii="仿宋_GB2312" w:hAnsi="宋体" w:cs="宋体"/>
          <w:bCs/>
          <w:kern w:val="0"/>
          <w:szCs w:val="24"/>
          <w:highlight w:val="yellow"/>
        </w:rPr>
        <w:t>收益不予当次支付，按本说明书“理财产品的利益分配”约定的收益结转规则，以红利再投资（红利转产品份额）方式结转为产品份额，投资者如需取得该部分收益，应就结转所得的产品份额自行再次发起赎回申请，直至结清（详见本说明书“理财产品的利益分配·</w:t>
      </w:r>
      <w:r>
        <w:rPr>
          <w:rFonts w:hint="eastAsia" w:ascii="仿宋_GB2312" w:hAnsi="宋体" w:cs="宋体"/>
          <w:bCs/>
          <w:kern w:val="0"/>
          <w:szCs w:val="24"/>
          <w:highlight w:val="yellow"/>
          <w:lang w:val="en-US" w:eastAsia="zh-CN"/>
        </w:rPr>
        <w:t>3.</w:t>
      </w:r>
      <w:r>
        <w:rPr>
          <w:rFonts w:hint="eastAsia" w:ascii="仿宋_GB2312" w:hAnsi="宋体" w:cs="宋体"/>
          <w:bCs/>
          <w:kern w:val="0"/>
          <w:szCs w:val="24"/>
          <w:highlight w:val="yellow"/>
        </w:rPr>
        <w:t>未</w:t>
      </w:r>
      <w:r>
        <w:rPr>
          <w:rFonts w:hint="eastAsia" w:ascii="仿宋_GB2312" w:hAnsi="宋体" w:cs="宋体"/>
          <w:bCs/>
          <w:kern w:val="0"/>
          <w:szCs w:val="24"/>
          <w:highlight w:val="yellow"/>
          <w:lang w:val="en-US" w:eastAsia="zh-CN"/>
        </w:rPr>
        <w:t>结转</w:t>
      </w:r>
      <w:r>
        <w:rPr>
          <w:rFonts w:hint="eastAsia" w:ascii="仿宋_GB2312" w:hAnsi="宋体" w:cs="宋体"/>
          <w:bCs/>
          <w:kern w:val="0"/>
          <w:szCs w:val="24"/>
          <w:highlight w:val="yellow"/>
        </w:rPr>
        <w:t>收益的结转与清尾”）。</w:t>
      </w:r>
    </w:p>
    <w:p w14:paraId="784F47B0">
      <w:pPr>
        <w:tabs>
          <w:tab w:val="left" w:pos="312"/>
        </w:tabs>
        <w:adjustRightInd w:val="0"/>
        <w:snapToGrid w:val="0"/>
        <w:spacing w:line="360" w:lineRule="auto"/>
        <w:ind w:firstLine="420" w:firstLineChars="200"/>
        <w:rPr>
          <w:rFonts w:ascii="仿宋_GB2312" w:hAnsi="宋体" w:cs="宋体"/>
          <w:bCs/>
          <w:kern w:val="0"/>
          <w:szCs w:val="24"/>
          <w:highlight w:val="yellow"/>
        </w:rPr>
      </w:pPr>
      <w:r>
        <w:rPr>
          <w:rFonts w:hint="eastAsia" w:ascii="仿宋_GB2312" w:hAnsi="宋体" w:cs="宋体"/>
          <w:bCs/>
          <w:kern w:val="0"/>
          <w:szCs w:val="24"/>
          <w:highlight w:val="yellow"/>
        </w:rPr>
        <w:t>上述具体采用何种情形，取决于产品管理人及销售机构的系统处理方式，并以相关约定为准；投资者可在赎回前向销售机构查询本产品</w:t>
      </w:r>
      <w:r>
        <w:rPr>
          <w:rFonts w:hint="eastAsia" w:ascii="仿宋_GB2312" w:hAnsi="宋体" w:cs="宋体"/>
          <w:bCs/>
          <w:kern w:val="0"/>
          <w:szCs w:val="24"/>
          <w:highlight w:val="yellow"/>
          <w:lang w:val="en-US" w:eastAsia="zh-CN"/>
        </w:rPr>
        <w:t>或产品份额类别</w:t>
      </w:r>
      <w:r>
        <w:rPr>
          <w:rFonts w:hint="eastAsia" w:ascii="仿宋_GB2312" w:hAnsi="宋体" w:cs="宋体"/>
          <w:bCs/>
          <w:kern w:val="0"/>
          <w:szCs w:val="24"/>
          <w:highlight w:val="yellow"/>
        </w:rPr>
        <w:t>全部赎回所适用的情形及未</w:t>
      </w:r>
      <w:r>
        <w:rPr>
          <w:rFonts w:hint="eastAsia" w:ascii="仿宋_GB2312" w:hAnsi="宋体" w:cs="宋体"/>
          <w:bCs/>
          <w:kern w:val="0"/>
          <w:szCs w:val="24"/>
          <w:highlight w:val="yellow"/>
          <w:lang w:val="en-US" w:eastAsia="zh-CN"/>
        </w:rPr>
        <w:t>结转</w:t>
      </w:r>
      <w:r>
        <w:rPr>
          <w:rFonts w:hint="eastAsia" w:ascii="仿宋_GB2312" w:hAnsi="宋体" w:cs="宋体"/>
          <w:bCs/>
          <w:kern w:val="0"/>
          <w:szCs w:val="24"/>
          <w:highlight w:val="yellow"/>
        </w:rPr>
        <w:t>收益的具体处理方式。</w:t>
      </w:r>
    </w:p>
    <w:p w14:paraId="33574B5E">
      <w:pPr>
        <w:tabs>
          <w:tab w:val="left" w:pos="312"/>
        </w:tabs>
        <w:adjustRightInd w:val="0"/>
        <w:snapToGrid w:val="0"/>
        <w:spacing w:line="360" w:lineRule="auto"/>
        <w:ind w:firstLine="420" w:firstLineChars="200"/>
        <w:rPr>
          <w:rFonts w:ascii="仿宋_GB2312" w:hAnsi="宋体" w:cs="宋体"/>
          <w:bCs/>
          <w:kern w:val="0"/>
          <w:szCs w:val="24"/>
          <w:highlight w:val="yellow"/>
        </w:rPr>
      </w:pPr>
      <w:r>
        <w:rPr>
          <w:rFonts w:hint="eastAsia" w:ascii="仿宋_GB2312" w:hAnsi="宋体" w:cs="宋体"/>
          <w:bCs/>
          <w:kern w:val="0"/>
          <w:szCs w:val="24"/>
          <w:highlight w:val="yellow"/>
        </w:rPr>
        <w:t>（2）部分赎回（投资者赎回其持有的部分产品</w:t>
      </w:r>
      <w:r>
        <w:rPr>
          <w:rFonts w:hint="eastAsia" w:ascii="仿宋_GB2312" w:hAnsi="宋体" w:cs="宋体"/>
          <w:bCs/>
          <w:kern w:val="0"/>
          <w:szCs w:val="24"/>
          <w:highlight w:val="yellow"/>
          <w:lang w:val="en-US" w:eastAsia="zh-CN"/>
        </w:rPr>
        <w:t>份额或产品份额类别</w:t>
      </w:r>
      <w:r>
        <w:rPr>
          <w:rFonts w:hint="eastAsia" w:ascii="仿宋_GB2312" w:hAnsi="宋体" w:cs="宋体"/>
          <w:bCs/>
          <w:kern w:val="0"/>
          <w:szCs w:val="24"/>
          <w:highlight w:val="yellow"/>
        </w:rPr>
        <w:t>份额）：</w:t>
      </w:r>
    </w:p>
    <w:p w14:paraId="13EE77E2">
      <w:pPr>
        <w:tabs>
          <w:tab w:val="left" w:pos="312"/>
        </w:tabs>
        <w:adjustRightInd w:val="0"/>
        <w:snapToGrid w:val="0"/>
        <w:spacing w:line="360" w:lineRule="auto"/>
        <w:ind w:firstLine="420" w:firstLineChars="200"/>
        <w:rPr>
          <w:rFonts w:ascii="仿宋_GB2312" w:hAnsi="宋体" w:cs="宋体"/>
          <w:bCs/>
          <w:kern w:val="0"/>
          <w:szCs w:val="24"/>
          <w:highlight w:val="yellow"/>
        </w:rPr>
      </w:pPr>
      <w:r>
        <w:rPr>
          <w:rFonts w:hint="eastAsia" w:ascii="仿宋_GB2312" w:hAnsi="宋体" w:cs="宋体"/>
          <w:bCs/>
          <w:kern w:val="0"/>
          <w:szCs w:val="24"/>
          <w:highlight w:val="yellow"/>
        </w:rPr>
        <w:t>投资者应得赎回金额＝本次被确认的赎回份额×1.0000</w:t>
      </w:r>
    </w:p>
    <w:p w14:paraId="7571A8B9">
      <w:pPr>
        <w:tabs>
          <w:tab w:val="left" w:pos="312"/>
        </w:tabs>
        <w:adjustRightInd w:val="0"/>
        <w:snapToGrid w:val="0"/>
        <w:spacing w:line="360" w:lineRule="auto"/>
        <w:ind w:firstLine="420" w:firstLineChars="200"/>
        <w:rPr>
          <w:rFonts w:ascii="仿宋_GB2312" w:hAnsi="宋体" w:cs="宋体"/>
          <w:bCs/>
          <w:kern w:val="0"/>
          <w:szCs w:val="24"/>
          <w:highlight w:val="yellow"/>
        </w:rPr>
      </w:pPr>
      <w:r>
        <w:rPr>
          <w:rFonts w:hint="eastAsia" w:ascii="仿宋_GB2312" w:hAnsi="宋体" w:cs="宋体"/>
          <w:bCs/>
          <w:kern w:val="0"/>
          <w:szCs w:val="24"/>
          <w:highlight w:val="yellow"/>
        </w:rPr>
        <w:t>未</w:t>
      </w:r>
      <w:r>
        <w:rPr>
          <w:rFonts w:hint="eastAsia" w:ascii="仿宋_GB2312" w:hAnsi="宋体" w:cs="宋体"/>
          <w:bCs/>
          <w:kern w:val="0"/>
          <w:szCs w:val="24"/>
          <w:highlight w:val="yellow"/>
          <w:lang w:val="en-US" w:eastAsia="zh-CN"/>
        </w:rPr>
        <w:t>结转</w:t>
      </w:r>
      <w:r>
        <w:rPr>
          <w:rFonts w:hint="eastAsia" w:ascii="仿宋_GB2312" w:hAnsi="宋体" w:cs="宋体"/>
          <w:bCs/>
          <w:kern w:val="0"/>
          <w:szCs w:val="24"/>
          <w:highlight w:val="yellow"/>
        </w:rPr>
        <w:t>收益按本说明书“理财产品的利益分配”约定的收益结转规则于后续结转为产品份额。</w:t>
      </w:r>
    </w:p>
    <w:p w14:paraId="30B8CCC9">
      <w:pPr>
        <w:tabs>
          <w:tab w:val="left" w:pos="312"/>
        </w:tabs>
        <w:adjustRightInd w:val="0"/>
        <w:snapToGrid w:val="0"/>
        <w:spacing w:line="360" w:lineRule="auto"/>
        <w:ind w:firstLine="420" w:firstLineChars="200"/>
        <w:rPr>
          <w:rFonts w:ascii="仿宋_GB2312" w:hAnsi="宋体" w:cs="宋体"/>
          <w:bCs/>
          <w:kern w:val="0"/>
          <w:szCs w:val="24"/>
          <w:highlight w:val="yellow"/>
        </w:rPr>
      </w:pPr>
      <w:r>
        <w:rPr>
          <w:rFonts w:hint="eastAsia" w:ascii="仿宋_GB2312" w:hAnsi="宋体" w:cs="宋体"/>
          <w:bCs/>
          <w:kern w:val="0"/>
          <w:szCs w:val="24"/>
          <w:highlight w:val="yellow"/>
        </w:rPr>
        <w:t>如本产品</w:t>
      </w:r>
      <w:r>
        <w:rPr>
          <w:rFonts w:hint="eastAsia" w:ascii="仿宋_GB2312" w:hAnsi="宋体" w:cs="宋体"/>
          <w:bCs/>
          <w:kern w:val="0"/>
          <w:szCs w:val="24"/>
          <w:highlight w:val="yellow"/>
          <w:lang w:val="en-US" w:eastAsia="zh-CN"/>
        </w:rPr>
        <w:t>或产品份额类别</w:t>
      </w:r>
      <w:r>
        <w:rPr>
          <w:rFonts w:hint="eastAsia" w:ascii="仿宋_GB2312" w:hAnsi="宋体" w:cs="宋体"/>
          <w:bCs/>
          <w:kern w:val="0"/>
          <w:szCs w:val="24"/>
          <w:highlight w:val="yellow"/>
        </w:rPr>
        <w:t>设有赎回费率，赎回费用＝赎回金额×该产品</w:t>
      </w:r>
      <w:r>
        <w:rPr>
          <w:rFonts w:hint="eastAsia" w:ascii="仿宋_GB2312" w:hAnsi="宋体" w:cs="宋体"/>
          <w:bCs/>
          <w:kern w:val="0"/>
          <w:szCs w:val="24"/>
          <w:highlight w:val="yellow"/>
          <w:lang w:val="en-US" w:eastAsia="zh-CN"/>
        </w:rPr>
        <w:t>或产品份额类别</w:t>
      </w:r>
      <w:r>
        <w:rPr>
          <w:rFonts w:hint="eastAsia" w:ascii="仿宋_GB2312" w:hAnsi="宋体" w:cs="宋体"/>
          <w:bCs/>
          <w:kern w:val="0"/>
          <w:szCs w:val="24"/>
          <w:highlight w:val="yellow"/>
        </w:rPr>
        <w:t>赎回费率，净赎回金额＝赎回金额－赎回费用；如触发强制赎回费情形，强制赎回费用自赎回金额中扣除。</w:t>
      </w:r>
    </w:p>
    <w:p w14:paraId="4ED8E94D">
      <w:pPr>
        <w:tabs>
          <w:tab w:val="left" w:pos="312"/>
        </w:tabs>
        <w:adjustRightInd w:val="0"/>
        <w:snapToGrid w:val="0"/>
        <w:spacing w:line="360" w:lineRule="auto"/>
        <w:ind w:firstLine="420" w:firstLineChars="200"/>
        <w:rPr>
          <w:rFonts w:ascii="仿宋_GB2312" w:hAnsi="宋体" w:cs="宋体"/>
          <w:bCs/>
          <w:kern w:val="0"/>
          <w:szCs w:val="24"/>
          <w:highlight w:val="yellow"/>
        </w:rPr>
      </w:pPr>
      <w:r>
        <w:rPr>
          <w:rFonts w:hint="eastAsia" w:ascii="仿宋_GB2312" w:hAnsi="宋体" w:cs="宋体"/>
          <w:bCs/>
          <w:kern w:val="0"/>
          <w:szCs w:val="24"/>
          <w:highlight w:val="yellow"/>
        </w:rPr>
        <w:t>示例（采用假设数据，仅为说明，不作为收益计算依据）：</w:t>
      </w:r>
    </w:p>
    <w:p w14:paraId="7DF2E11F">
      <w:pPr>
        <w:tabs>
          <w:tab w:val="left" w:pos="312"/>
        </w:tabs>
        <w:adjustRightInd w:val="0"/>
        <w:snapToGrid w:val="0"/>
        <w:spacing w:line="360" w:lineRule="auto"/>
        <w:ind w:firstLine="420" w:firstLineChars="200"/>
        <w:rPr>
          <w:rFonts w:ascii="仿宋_GB2312" w:hAnsi="宋体" w:cs="宋体"/>
          <w:bCs/>
          <w:kern w:val="0"/>
          <w:szCs w:val="24"/>
          <w:highlight w:val="yellow"/>
        </w:rPr>
      </w:pPr>
      <w:r>
        <w:rPr>
          <w:rFonts w:hint="eastAsia" w:ascii="仿宋_GB2312" w:hAnsi="宋体" w:cs="宋体"/>
          <w:bCs/>
          <w:kern w:val="0"/>
          <w:szCs w:val="24"/>
          <w:highlight w:val="yellow"/>
        </w:rPr>
        <w:t>示例1（部分赎回）：投资者持有1,000,000份，</w:t>
      </w:r>
      <w:r>
        <w:rPr>
          <w:rFonts w:hint="eastAsia" w:ascii="仿宋_GB2312" w:hAnsi="宋体" w:cs="宋体"/>
          <w:bCs/>
          <w:kern w:val="0"/>
          <w:szCs w:val="24"/>
          <w:highlight w:val="yellow"/>
          <w:lang w:val="en-US" w:eastAsia="zh-CN"/>
        </w:rPr>
        <w:t>申请</w:t>
      </w:r>
      <w:r>
        <w:rPr>
          <w:rFonts w:hint="eastAsia" w:ascii="仿宋_GB2312" w:hAnsi="宋体" w:cs="宋体"/>
          <w:bCs/>
          <w:kern w:val="0"/>
          <w:szCs w:val="24"/>
          <w:highlight w:val="yellow"/>
        </w:rPr>
        <w:t>赎回500,000份，赎回金额＝500,000×1.0000＝500,000元人民币（部分赎回不结算未</w:t>
      </w:r>
      <w:r>
        <w:rPr>
          <w:rFonts w:hint="eastAsia" w:ascii="仿宋_GB2312" w:hAnsi="宋体" w:cs="宋体"/>
          <w:bCs/>
          <w:kern w:val="0"/>
          <w:szCs w:val="24"/>
          <w:highlight w:val="yellow"/>
          <w:lang w:val="en-US" w:eastAsia="zh-CN"/>
        </w:rPr>
        <w:t>结转</w:t>
      </w:r>
      <w:r>
        <w:rPr>
          <w:rFonts w:hint="eastAsia" w:ascii="仿宋_GB2312" w:hAnsi="宋体" w:cs="宋体"/>
          <w:bCs/>
          <w:kern w:val="0"/>
          <w:szCs w:val="24"/>
          <w:highlight w:val="yellow"/>
        </w:rPr>
        <w:t>收益，未</w:t>
      </w:r>
      <w:r>
        <w:rPr>
          <w:rFonts w:hint="eastAsia" w:ascii="仿宋_GB2312" w:hAnsi="宋体" w:cs="宋体"/>
          <w:bCs/>
          <w:kern w:val="0"/>
          <w:szCs w:val="24"/>
          <w:highlight w:val="yellow"/>
          <w:lang w:val="en-US" w:eastAsia="zh-CN"/>
        </w:rPr>
        <w:t>结转</w:t>
      </w:r>
      <w:r>
        <w:rPr>
          <w:rFonts w:hint="eastAsia" w:ascii="仿宋_GB2312" w:hAnsi="宋体" w:cs="宋体"/>
          <w:bCs/>
          <w:kern w:val="0"/>
          <w:szCs w:val="24"/>
          <w:highlight w:val="yellow"/>
        </w:rPr>
        <w:t>收益留存于剩余持有份额）。</w:t>
      </w:r>
    </w:p>
    <w:p w14:paraId="436A4B36">
      <w:pPr>
        <w:tabs>
          <w:tab w:val="left" w:pos="312"/>
        </w:tabs>
        <w:adjustRightInd w:val="0"/>
        <w:snapToGrid w:val="0"/>
        <w:spacing w:line="360" w:lineRule="auto"/>
        <w:ind w:firstLine="420" w:firstLineChars="200"/>
        <w:rPr>
          <w:rFonts w:ascii="仿宋_GB2312" w:hAnsi="宋体" w:cs="宋体"/>
          <w:bCs/>
          <w:kern w:val="0"/>
          <w:szCs w:val="24"/>
          <w:highlight w:val="yellow"/>
        </w:rPr>
      </w:pPr>
      <w:r>
        <w:rPr>
          <w:rFonts w:hint="eastAsia" w:ascii="仿宋_GB2312" w:hAnsi="宋体" w:cs="宋体"/>
          <w:bCs/>
          <w:kern w:val="0"/>
          <w:szCs w:val="24"/>
          <w:highlight w:val="yellow"/>
        </w:rPr>
        <w:t>示例2（全部赎回·情形一）：投资者持有1,000,000份，</w:t>
      </w:r>
      <w:r>
        <w:rPr>
          <w:rFonts w:hint="eastAsia" w:ascii="仿宋_GB2312" w:hAnsi="宋体" w:cs="宋体"/>
          <w:bCs/>
          <w:kern w:val="0"/>
          <w:szCs w:val="24"/>
          <w:highlight w:val="yellow"/>
          <w:lang w:val="en-US" w:eastAsia="zh-CN"/>
        </w:rPr>
        <w:t>申请</w:t>
      </w:r>
      <w:r>
        <w:rPr>
          <w:rFonts w:hint="eastAsia" w:ascii="仿宋_GB2312" w:hAnsi="宋体" w:cs="宋体"/>
          <w:bCs/>
          <w:kern w:val="0"/>
          <w:szCs w:val="24"/>
          <w:highlight w:val="yellow"/>
        </w:rPr>
        <w:t>赎回1,000,000份，赎回份额对应</w:t>
      </w:r>
      <w:r>
        <w:rPr>
          <w:rFonts w:hint="eastAsia" w:ascii="仿宋_GB2312" w:hAnsi="宋体" w:cs="宋体"/>
          <w:bCs/>
          <w:kern w:val="0"/>
          <w:szCs w:val="24"/>
          <w:highlight w:val="yellow"/>
          <w:lang w:val="en-US" w:eastAsia="zh-CN"/>
        </w:rPr>
        <w:t>的</w:t>
      </w:r>
      <w:r>
        <w:rPr>
          <w:rFonts w:hint="eastAsia" w:ascii="仿宋_GB2312" w:hAnsi="宋体" w:cs="宋体"/>
          <w:bCs/>
          <w:kern w:val="0"/>
          <w:szCs w:val="24"/>
          <w:highlight w:val="yellow"/>
        </w:rPr>
        <w:t>未</w:t>
      </w:r>
      <w:r>
        <w:rPr>
          <w:rFonts w:hint="eastAsia" w:ascii="仿宋_GB2312" w:hAnsi="宋体" w:cs="宋体"/>
          <w:bCs/>
          <w:kern w:val="0"/>
          <w:szCs w:val="24"/>
          <w:highlight w:val="yellow"/>
          <w:lang w:val="en-US" w:eastAsia="zh-CN"/>
        </w:rPr>
        <w:t>结转</w:t>
      </w:r>
      <w:r>
        <w:rPr>
          <w:rFonts w:hint="eastAsia" w:ascii="仿宋_GB2312" w:hAnsi="宋体" w:cs="宋体"/>
          <w:bCs/>
          <w:kern w:val="0"/>
          <w:szCs w:val="24"/>
          <w:highlight w:val="yellow"/>
        </w:rPr>
        <w:t>收益2,500元，赎回金额＝1,000,000×1.0000＋2,500＝1,002,500元人民币。</w:t>
      </w:r>
    </w:p>
    <w:p w14:paraId="3B8E7FD8">
      <w:pPr>
        <w:tabs>
          <w:tab w:val="left" w:pos="312"/>
        </w:tabs>
        <w:adjustRightInd w:val="0"/>
        <w:snapToGrid w:val="0"/>
        <w:spacing w:line="360" w:lineRule="auto"/>
        <w:ind w:firstLine="420" w:firstLineChars="200"/>
        <w:rPr>
          <w:rFonts w:hint="eastAsia" w:ascii="仿宋_GB2312" w:hAnsi="宋体" w:eastAsia="仿宋_GB2312" w:cs="宋体"/>
          <w:bCs/>
          <w:kern w:val="0"/>
          <w:szCs w:val="24"/>
          <w:highlight w:val="yellow"/>
          <w:lang w:eastAsia="zh-CN"/>
        </w:rPr>
      </w:pPr>
      <w:r>
        <w:rPr>
          <w:rFonts w:hint="eastAsia" w:ascii="仿宋_GB2312" w:hAnsi="宋体" w:cs="宋体"/>
          <w:bCs/>
          <w:kern w:val="0"/>
          <w:szCs w:val="24"/>
          <w:highlight w:val="yellow"/>
        </w:rPr>
        <w:t>示例3（全部赎回·情形二）：承示例2数据，投资者</w:t>
      </w:r>
      <w:r>
        <w:rPr>
          <w:rFonts w:hint="eastAsia" w:ascii="仿宋_GB2312" w:hAnsi="宋体" w:cs="宋体"/>
          <w:bCs/>
          <w:kern w:val="0"/>
          <w:szCs w:val="24"/>
          <w:highlight w:val="yellow"/>
          <w:lang w:val="en-US" w:eastAsia="zh-CN"/>
        </w:rPr>
        <w:t>申请</w:t>
      </w:r>
      <w:r>
        <w:rPr>
          <w:rFonts w:hint="eastAsia" w:ascii="仿宋_GB2312" w:hAnsi="宋体" w:cs="宋体"/>
          <w:bCs/>
          <w:kern w:val="0"/>
          <w:szCs w:val="24"/>
          <w:highlight w:val="yellow"/>
        </w:rPr>
        <w:t>赎回1,000,000份，赎回金额＝1,000,000×1.0000＝1,000,000元人民币；</w:t>
      </w:r>
      <w:r>
        <w:rPr>
          <w:rFonts w:hint="eastAsia" w:ascii="仿宋_GB2312" w:hAnsi="宋体" w:cs="宋体"/>
          <w:bCs/>
          <w:kern w:val="0"/>
          <w:szCs w:val="24"/>
          <w:highlight w:val="yellow"/>
          <w:lang w:val="en-US" w:eastAsia="zh-CN"/>
        </w:rPr>
        <w:t>申请赎回份额</w:t>
      </w:r>
      <w:r>
        <w:rPr>
          <w:rFonts w:hint="eastAsia" w:ascii="仿宋_GB2312" w:hAnsi="宋体" w:cs="宋体"/>
          <w:bCs/>
          <w:kern w:val="0"/>
          <w:szCs w:val="24"/>
          <w:highlight w:val="yellow"/>
        </w:rPr>
        <w:t>对应</w:t>
      </w:r>
      <w:r>
        <w:rPr>
          <w:rFonts w:hint="eastAsia" w:ascii="仿宋_GB2312" w:hAnsi="宋体" w:cs="宋体"/>
          <w:bCs/>
          <w:kern w:val="0"/>
          <w:szCs w:val="24"/>
          <w:highlight w:val="yellow"/>
          <w:lang w:val="en-US" w:eastAsia="zh-CN"/>
        </w:rPr>
        <w:t>的</w:t>
      </w:r>
      <w:r>
        <w:rPr>
          <w:rFonts w:hint="eastAsia" w:ascii="仿宋_GB2312" w:hAnsi="宋体" w:cs="宋体"/>
          <w:bCs/>
          <w:kern w:val="0"/>
          <w:szCs w:val="24"/>
          <w:highlight w:val="yellow"/>
        </w:rPr>
        <w:t>未</w:t>
      </w:r>
      <w:r>
        <w:rPr>
          <w:rFonts w:hint="eastAsia" w:ascii="仿宋_GB2312" w:hAnsi="宋体" w:cs="宋体"/>
          <w:bCs/>
          <w:kern w:val="0"/>
          <w:szCs w:val="24"/>
          <w:highlight w:val="yellow"/>
          <w:lang w:val="en-US" w:eastAsia="zh-CN"/>
        </w:rPr>
        <w:t>结转</w:t>
      </w:r>
      <w:r>
        <w:rPr>
          <w:rFonts w:hint="eastAsia" w:ascii="仿宋_GB2312" w:hAnsi="宋体" w:cs="宋体"/>
          <w:bCs/>
          <w:kern w:val="0"/>
          <w:szCs w:val="24"/>
          <w:highlight w:val="yellow"/>
        </w:rPr>
        <w:t>收益2,500元</w:t>
      </w:r>
      <w:r>
        <w:rPr>
          <w:rFonts w:hint="eastAsia" w:ascii="仿宋_GB2312" w:hAnsi="宋体" w:cs="宋体"/>
          <w:bCs/>
          <w:kern w:val="0"/>
          <w:szCs w:val="24"/>
          <w:highlight w:val="yellow"/>
          <w:lang w:val="en-US" w:eastAsia="zh-CN"/>
        </w:rPr>
        <w:t>于赎回确认日</w:t>
      </w:r>
      <w:r>
        <w:rPr>
          <w:rFonts w:hint="eastAsia" w:ascii="仿宋_GB2312" w:hAnsi="宋体" w:cs="宋体"/>
          <w:bCs/>
          <w:kern w:val="0"/>
          <w:szCs w:val="24"/>
          <w:highlight w:val="yellow"/>
        </w:rPr>
        <w:t>结转为2,500份产品份额，投资者可就该2,500份再次发起赎回取得2,500元。两情形投资者最终所得一致，情形二分</w:t>
      </w:r>
      <w:r>
        <w:rPr>
          <w:rFonts w:hint="eastAsia" w:ascii="仿宋_GB2312" w:hAnsi="宋体" w:cs="宋体"/>
          <w:bCs/>
          <w:kern w:val="0"/>
          <w:szCs w:val="24"/>
          <w:highlight w:val="yellow"/>
          <w:lang w:eastAsia="zh-CN"/>
        </w:rPr>
        <w:t>多</w:t>
      </w:r>
      <w:r>
        <w:rPr>
          <w:rFonts w:hint="eastAsia" w:ascii="仿宋_GB2312" w:hAnsi="宋体" w:cs="宋体"/>
          <w:bCs/>
          <w:kern w:val="0"/>
          <w:szCs w:val="24"/>
          <w:highlight w:val="yellow"/>
        </w:rPr>
        <w:t>次完成。</w:t>
      </w:r>
    </w:p>
    <w:p w14:paraId="6E712E29">
      <w:pPr>
        <w:tabs>
          <w:tab w:val="left" w:pos="312"/>
        </w:tabs>
        <w:adjustRightInd w:val="0"/>
        <w:snapToGrid w:val="0"/>
        <w:spacing w:line="360" w:lineRule="auto"/>
        <w:ind w:firstLine="420" w:firstLineChars="200"/>
        <w:rPr>
          <w:rFonts w:hint="eastAsia" w:ascii="仿宋_GB2312" w:hAnsi="宋体" w:eastAsia="仿宋_GB2312" w:cs="宋体"/>
          <w:bCs/>
          <w:kern w:val="0"/>
          <w:szCs w:val="24"/>
          <w:highlight w:val="yellow"/>
          <w:lang w:eastAsia="zh-CN"/>
        </w:rPr>
      </w:pPr>
      <w:r>
        <w:rPr>
          <w:rFonts w:hint="eastAsia" w:ascii="仿宋_GB2312" w:hAnsi="宋体" w:cs="宋体"/>
          <w:bCs/>
          <w:kern w:val="0"/>
          <w:szCs w:val="24"/>
          <w:highlight w:val="yellow"/>
        </w:rPr>
        <w:t>上述计算结果均按四舍五入方法，保留到小数点后2位，由此产生的收益或损失由理财产品承担。</w:t>
      </w:r>
      <w:r>
        <w:rPr>
          <w:rFonts w:hint="eastAsia" w:ascii="仿宋_GB2312" w:hAnsi="宋体" w:cs="宋体"/>
          <w:bCs/>
          <w:kern w:val="0"/>
          <w:szCs w:val="24"/>
          <w:highlight w:val="yellow"/>
          <w:lang w:eastAsia="zh-CN"/>
        </w:rPr>
        <w:t>】</w:t>
      </w:r>
    </w:p>
    <w:p w14:paraId="27985AAF">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7.赎回的数量限制</w:t>
      </w:r>
    </w:p>
    <w:p w14:paraId="71435682">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详见《产品说明书》“</w:t>
      </w:r>
      <w:r>
        <w:rPr>
          <w:rFonts w:hint="eastAsia" w:ascii="仿宋_GB2312" w:hAnsi="宋体" w:cs="宋体"/>
          <w:bCs/>
          <w:color w:val="auto"/>
          <w:kern w:val="0"/>
          <w:szCs w:val="24"/>
          <w:lang w:eastAsia="zh-CN"/>
        </w:rPr>
        <w:t>第一节 理财产品说明书关键要素</w:t>
      </w:r>
      <w:r>
        <w:rPr>
          <w:rFonts w:hint="eastAsia" w:ascii="仿宋_GB2312" w:hAnsi="宋体" w:cs="宋体"/>
          <w:bCs/>
          <w:color w:val="auto"/>
          <w:kern w:val="0"/>
          <w:szCs w:val="24"/>
        </w:rPr>
        <w:t>”。</w:t>
      </w:r>
    </w:p>
    <w:p w14:paraId="357CF177">
      <w:pPr>
        <w:pStyle w:val="3"/>
        <w:numPr>
          <w:ilvl w:val="1"/>
          <w:numId w:val="14"/>
        </w:numPr>
        <w:adjustRightInd w:val="0"/>
        <w:snapToGrid w:val="0"/>
        <w:ind w:firstLine="482"/>
        <w:rPr>
          <w:rFonts w:ascii="仿宋_GB2312" w:hAnsi="宋体" w:cs="宋体"/>
          <w:bCs/>
          <w:color w:val="auto"/>
          <w:kern w:val="0"/>
          <w:szCs w:val="24"/>
        </w:rPr>
      </w:pPr>
      <w:r>
        <w:rPr>
          <w:rFonts w:hint="eastAsia" w:ascii="仿宋_GB2312" w:hAnsi="宋体" w:cs="宋体"/>
          <w:bCs/>
          <w:color w:val="auto"/>
          <w:kern w:val="0"/>
          <w:szCs w:val="24"/>
        </w:rPr>
        <w:t>巨额赎回的情形及处理方式</w:t>
      </w:r>
    </w:p>
    <w:p w14:paraId="02F95673">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1.巨额赎回的认定</w:t>
      </w:r>
    </w:p>
    <w:p w14:paraId="6C049172">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详见《产品说明书》“</w:t>
      </w:r>
      <w:r>
        <w:rPr>
          <w:rFonts w:hint="eastAsia" w:ascii="仿宋_GB2312" w:hAnsi="宋体" w:cs="宋体"/>
          <w:bCs/>
          <w:color w:val="auto"/>
          <w:kern w:val="0"/>
          <w:szCs w:val="24"/>
          <w:lang w:eastAsia="zh-CN"/>
        </w:rPr>
        <w:t>第一节 理财产品说明书关键要素</w:t>
      </w:r>
      <w:r>
        <w:rPr>
          <w:rFonts w:hint="eastAsia" w:ascii="仿宋_GB2312" w:hAnsi="宋体" w:cs="宋体"/>
          <w:bCs/>
          <w:color w:val="auto"/>
          <w:kern w:val="0"/>
          <w:szCs w:val="24"/>
        </w:rPr>
        <w:t>”。</w:t>
      </w:r>
    </w:p>
    <w:p w14:paraId="02CF6E1D">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2.巨额赎回的处理方式</w:t>
      </w:r>
    </w:p>
    <w:p w14:paraId="06F362E9">
      <w:pPr>
        <w:tabs>
          <w:tab w:val="left" w:pos="312"/>
        </w:tabs>
        <w:adjustRightInd w:val="0"/>
        <w:snapToGrid w:val="0"/>
        <w:spacing w:line="360" w:lineRule="auto"/>
        <w:ind w:firstLine="420" w:firstLineChars="200"/>
        <w:rPr>
          <w:rFonts w:ascii="仿宋_GB2312" w:hAnsi="宋体" w:cs="宋体"/>
          <w:bCs/>
          <w:color w:val="auto"/>
          <w:kern w:val="0"/>
          <w:szCs w:val="24"/>
          <w:highlight w:val="cyan"/>
        </w:rPr>
      </w:pPr>
      <w:r>
        <w:rPr>
          <w:rFonts w:hint="eastAsia" w:ascii="仿宋_GB2312" w:hAnsi="宋体" w:cs="宋体"/>
          <w:bCs/>
          <w:color w:val="auto"/>
          <w:kern w:val="0"/>
          <w:szCs w:val="24"/>
        </w:rPr>
        <w:t>详见《产品说明书》“</w:t>
      </w:r>
      <w:r>
        <w:rPr>
          <w:rFonts w:hint="eastAsia" w:ascii="仿宋_GB2312" w:hAnsi="宋体" w:cs="宋体"/>
          <w:bCs/>
          <w:color w:val="auto"/>
          <w:kern w:val="0"/>
          <w:szCs w:val="24"/>
          <w:lang w:eastAsia="zh-CN"/>
        </w:rPr>
        <w:t>第一节 理财产品说明书关键要素</w:t>
      </w:r>
      <w:r>
        <w:rPr>
          <w:rFonts w:hint="eastAsia" w:ascii="仿宋_GB2312" w:hAnsi="宋体" w:cs="宋体"/>
          <w:bCs/>
          <w:color w:val="auto"/>
          <w:kern w:val="0"/>
          <w:szCs w:val="24"/>
        </w:rPr>
        <w:t>”。</w:t>
      </w:r>
    </w:p>
    <w:p w14:paraId="397508F1">
      <w:pPr>
        <w:tabs>
          <w:tab w:val="left" w:pos="312"/>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3.巨额赎回的公告</w:t>
      </w:r>
    </w:p>
    <w:p w14:paraId="45D15D85">
      <w:pPr>
        <w:autoSpaceDE w:val="0"/>
        <w:autoSpaceDN w:val="0"/>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在发生巨额赎回产品管理人</w:t>
      </w:r>
      <w:r>
        <w:rPr>
          <w:rFonts w:hint="eastAsia" w:asciiTheme="minorEastAsia" w:hAnsiTheme="minorEastAsia"/>
          <w:color w:val="auto"/>
          <w:szCs w:val="24"/>
        </w:rPr>
        <w:t>暂停接受或延期办理</w:t>
      </w:r>
      <w:r>
        <w:rPr>
          <w:rFonts w:hint="eastAsia" w:ascii="仿宋_GB2312" w:hAnsi="宋体" w:cs="宋体"/>
          <w:bCs/>
          <w:color w:val="auto"/>
          <w:kern w:val="0"/>
          <w:szCs w:val="24"/>
        </w:rPr>
        <w:t>投资者赎回申请时，产品管理人将依约定发布相关公告信息。</w:t>
      </w:r>
    </w:p>
    <w:p w14:paraId="2D74F310">
      <w:pPr>
        <w:pStyle w:val="3"/>
        <w:numPr>
          <w:ilvl w:val="1"/>
          <w:numId w:val="14"/>
        </w:numPr>
        <w:ind w:firstLine="482"/>
        <w:rPr>
          <w:rFonts w:ascii="仿宋_GB2312" w:hAnsi="宋体"/>
          <w:color w:val="auto"/>
          <w:kern w:val="0"/>
          <w:szCs w:val="24"/>
        </w:rPr>
      </w:pPr>
      <w:r>
        <w:rPr>
          <w:rFonts w:hint="eastAsia"/>
          <w:color w:val="auto"/>
        </w:rPr>
        <w:t>暂停赎回或延缓支付赎回款项的情形</w:t>
      </w:r>
    </w:p>
    <w:p w14:paraId="64BD4EA1">
      <w:pPr>
        <w:adjustRightInd w:val="0"/>
        <w:snapToGrid w:val="0"/>
        <w:spacing w:line="360" w:lineRule="auto"/>
        <w:ind w:firstLine="422" w:firstLineChars="200"/>
        <w:rPr>
          <w:rFonts w:ascii="仿宋_GB2312" w:hAnsi="宋体"/>
          <w:b/>
          <w:color w:val="auto"/>
          <w:kern w:val="0"/>
          <w:szCs w:val="24"/>
        </w:rPr>
      </w:pPr>
      <w:r>
        <w:rPr>
          <w:rFonts w:hint="eastAsia" w:ascii="仿宋_GB2312" w:hAnsi="宋体"/>
          <w:b/>
          <w:color w:val="auto"/>
          <w:kern w:val="0"/>
          <w:szCs w:val="24"/>
        </w:rPr>
        <w:t>发生下列情形时，产品管理人可暂停接受投资者的赎回申请或延缓支付赎回款项，</w:t>
      </w:r>
      <w:r>
        <w:rPr>
          <w:rFonts w:ascii="仿宋_GB2312" w:hAnsi="宋体"/>
          <w:b/>
          <w:color w:val="auto"/>
          <w:kern w:val="0"/>
          <w:szCs w:val="24"/>
        </w:rPr>
        <w:t>并</w:t>
      </w:r>
      <w:r>
        <w:rPr>
          <w:rFonts w:hint="eastAsia" w:ascii="仿宋_GB2312" w:hAnsi="宋体"/>
          <w:b/>
          <w:color w:val="auto"/>
          <w:kern w:val="0"/>
          <w:szCs w:val="24"/>
        </w:rPr>
        <w:t>发布</w:t>
      </w:r>
      <w:r>
        <w:rPr>
          <w:rFonts w:ascii="仿宋_GB2312" w:hAnsi="宋体"/>
          <w:b/>
          <w:color w:val="auto"/>
          <w:kern w:val="0"/>
          <w:szCs w:val="24"/>
        </w:rPr>
        <w:t>公告</w:t>
      </w:r>
      <w:r>
        <w:rPr>
          <w:rFonts w:hint="eastAsia" w:ascii="仿宋_GB2312" w:hAnsi="宋体"/>
          <w:b/>
          <w:color w:val="auto"/>
          <w:kern w:val="0"/>
          <w:szCs w:val="24"/>
        </w:rPr>
        <w:t>披露（具体披露方式参见第十</w:t>
      </w:r>
      <w:r>
        <w:rPr>
          <w:rFonts w:hint="eastAsia" w:ascii="仿宋_GB2312" w:hAnsi="宋体"/>
          <w:b/>
          <w:color w:val="auto"/>
          <w:kern w:val="0"/>
          <w:szCs w:val="24"/>
          <w:lang w:eastAsia="zh-CN"/>
        </w:rPr>
        <w:t>二</w:t>
      </w:r>
      <w:r>
        <w:rPr>
          <w:rFonts w:hint="eastAsia" w:ascii="仿宋_GB2312" w:hAnsi="宋体"/>
          <w:b/>
          <w:color w:val="auto"/>
          <w:kern w:val="0"/>
          <w:szCs w:val="24"/>
        </w:rPr>
        <w:t>节 理财产品的信息披露</w:t>
      </w:r>
      <w:r>
        <w:rPr>
          <w:rFonts w:ascii="仿宋_GB2312" w:hAnsi="宋体"/>
          <w:b/>
          <w:color w:val="auto"/>
          <w:kern w:val="0"/>
          <w:szCs w:val="24"/>
        </w:rPr>
        <w:t>）。</w:t>
      </w:r>
    </w:p>
    <w:p w14:paraId="1F4BEE35">
      <w:pPr>
        <w:widowControl/>
        <w:tabs>
          <w:tab w:val="left" w:pos="709"/>
        </w:tabs>
        <w:snapToGrid w:val="0"/>
        <w:spacing w:line="360" w:lineRule="auto"/>
        <w:ind w:firstLine="420" w:firstLineChars="200"/>
        <w:rPr>
          <w:rFonts w:ascii="仿宋_GB2312" w:hAnsi="宋体"/>
          <w:color w:val="auto"/>
          <w:kern w:val="0"/>
          <w:szCs w:val="24"/>
        </w:rPr>
      </w:pPr>
      <w:r>
        <w:rPr>
          <w:rFonts w:ascii="仿宋_GB2312" w:hAnsi="宋体"/>
          <w:color w:val="auto"/>
          <w:kern w:val="0"/>
          <w:szCs w:val="24"/>
        </w:rPr>
        <w:t>1.因不可抗力导致产品管理机构无法接受投资者赎回申请或产品管理人不能支付赎回款项；</w:t>
      </w:r>
    </w:p>
    <w:p w14:paraId="149A4E40">
      <w:pPr>
        <w:widowControl/>
        <w:tabs>
          <w:tab w:val="left" w:pos="709"/>
        </w:tabs>
        <w:snapToGrid w:val="0"/>
        <w:spacing w:line="360" w:lineRule="auto"/>
        <w:ind w:firstLine="420" w:firstLineChars="200"/>
        <w:rPr>
          <w:rFonts w:ascii="仿宋_GB2312" w:hAnsi="宋体"/>
          <w:color w:val="auto"/>
          <w:kern w:val="0"/>
          <w:szCs w:val="24"/>
        </w:rPr>
      </w:pPr>
      <w:r>
        <w:rPr>
          <w:rFonts w:ascii="仿宋_GB2312" w:hAnsi="宋体"/>
          <w:color w:val="auto"/>
          <w:kern w:val="0"/>
          <w:szCs w:val="24"/>
        </w:rPr>
        <w:t>2.证券交易所或银行间市场依法决定临时停市，导致产品管理人无法计算当日产品资产净值；</w:t>
      </w:r>
    </w:p>
    <w:p w14:paraId="1104D4CE">
      <w:pPr>
        <w:widowControl/>
        <w:tabs>
          <w:tab w:val="left" w:pos="709"/>
        </w:tabs>
        <w:snapToGrid w:val="0"/>
        <w:spacing w:line="360" w:lineRule="auto"/>
        <w:ind w:firstLine="420" w:firstLineChars="200"/>
        <w:rPr>
          <w:rFonts w:ascii="仿宋_GB2312" w:hAnsi="宋体"/>
          <w:color w:val="auto"/>
          <w:kern w:val="0"/>
          <w:szCs w:val="24"/>
        </w:rPr>
      </w:pPr>
      <w:r>
        <w:rPr>
          <w:rFonts w:ascii="仿宋_GB2312" w:hAnsi="宋体"/>
          <w:color w:val="auto"/>
          <w:kern w:val="0"/>
          <w:szCs w:val="24"/>
        </w:rPr>
        <w:t xml:space="preserve">3.本产品投资的公开或非公开交易市场的资产无法变现，或经管理人基于审慎的原则判断资产变现可能会对本产品投资收益造成重大不利影响的； </w:t>
      </w:r>
    </w:p>
    <w:p w14:paraId="5074D86C">
      <w:pPr>
        <w:widowControl/>
        <w:tabs>
          <w:tab w:val="left" w:pos="709"/>
        </w:tabs>
        <w:snapToGrid w:val="0"/>
        <w:spacing w:line="360" w:lineRule="auto"/>
        <w:ind w:firstLine="420" w:firstLineChars="200"/>
        <w:rPr>
          <w:rFonts w:ascii="仿宋_GB2312" w:hAnsi="宋体"/>
          <w:color w:val="auto"/>
          <w:kern w:val="0"/>
          <w:szCs w:val="24"/>
        </w:rPr>
      </w:pPr>
      <w:r>
        <w:rPr>
          <w:rFonts w:ascii="仿宋_GB2312" w:hAnsi="宋体"/>
          <w:color w:val="auto"/>
          <w:kern w:val="0"/>
          <w:szCs w:val="24"/>
        </w:rPr>
        <w:t>4.当管理人认为某笔赎回申请会有损于本产品其他份额持有人利益时，或基于投资运作和风险控制需要；</w:t>
      </w:r>
    </w:p>
    <w:p w14:paraId="758A1865">
      <w:pPr>
        <w:widowControl/>
        <w:tabs>
          <w:tab w:val="left" w:pos="709"/>
        </w:tabs>
        <w:snapToGrid w:val="0"/>
        <w:spacing w:line="360" w:lineRule="auto"/>
        <w:ind w:firstLine="420" w:firstLineChars="200"/>
        <w:rPr>
          <w:rFonts w:ascii="仿宋_GB2312" w:hAnsi="宋体"/>
          <w:color w:val="auto"/>
          <w:kern w:val="0"/>
          <w:szCs w:val="24"/>
        </w:rPr>
      </w:pPr>
      <w:r>
        <w:rPr>
          <w:rFonts w:ascii="仿宋_GB2312" w:hAnsi="宋体"/>
          <w:color w:val="auto"/>
          <w:kern w:val="0"/>
          <w:szCs w:val="24"/>
        </w:rPr>
        <w:t>5.本产品发生巨额赎回</w:t>
      </w:r>
      <w:r>
        <w:rPr>
          <w:rFonts w:hint="eastAsia" w:ascii="仿宋_GB2312" w:hAnsi="宋体"/>
          <w:color w:val="auto"/>
          <w:kern w:val="0"/>
          <w:szCs w:val="24"/>
        </w:rPr>
        <w:t>或连续巨额赎回</w:t>
      </w:r>
      <w:r>
        <w:rPr>
          <w:rFonts w:ascii="仿宋_GB2312" w:hAnsi="宋体"/>
          <w:color w:val="auto"/>
          <w:kern w:val="0"/>
          <w:szCs w:val="24"/>
        </w:rPr>
        <w:t>；</w:t>
      </w:r>
    </w:p>
    <w:p w14:paraId="00944356">
      <w:pPr>
        <w:widowControl/>
        <w:tabs>
          <w:tab w:val="left" w:pos="709"/>
        </w:tabs>
        <w:snapToGrid w:val="0"/>
        <w:spacing w:line="360" w:lineRule="auto"/>
        <w:ind w:firstLine="420" w:firstLineChars="200"/>
        <w:rPr>
          <w:rFonts w:ascii="仿宋_GB2312" w:hAnsi="宋体"/>
          <w:color w:val="auto"/>
          <w:kern w:val="0"/>
          <w:szCs w:val="24"/>
        </w:rPr>
      </w:pPr>
      <w:r>
        <w:rPr>
          <w:rFonts w:ascii="仿宋_GB2312" w:hAnsi="宋体"/>
          <w:color w:val="auto"/>
          <w:kern w:val="0"/>
          <w:szCs w:val="24"/>
        </w:rPr>
        <w:t>6.当影子定价确定的产品资产净值与摊</w:t>
      </w:r>
      <w:r>
        <w:rPr>
          <w:rFonts w:hint="eastAsia" w:ascii="仿宋_GB2312" w:hAnsi="宋体"/>
          <w:color w:val="auto"/>
          <w:kern w:val="0"/>
          <w:szCs w:val="24"/>
        </w:rPr>
        <w:t>余成本法计算的资产净值负偏离度绝对值连续两个交易日超过</w:t>
      </w:r>
      <w:r>
        <w:rPr>
          <w:rFonts w:ascii="仿宋_GB2312" w:hAnsi="宋体"/>
          <w:color w:val="auto"/>
          <w:kern w:val="0"/>
          <w:szCs w:val="24"/>
        </w:rPr>
        <w:t>0.5%时</w:t>
      </w:r>
      <w:r>
        <w:rPr>
          <w:rFonts w:hint="eastAsia" w:ascii="仿宋_GB2312" w:hAnsi="宋体"/>
          <w:color w:val="auto"/>
          <w:kern w:val="0"/>
          <w:szCs w:val="24"/>
        </w:rPr>
        <w:t>；</w:t>
      </w:r>
    </w:p>
    <w:p w14:paraId="68F74865">
      <w:pPr>
        <w:widowControl/>
        <w:tabs>
          <w:tab w:val="left" w:pos="709"/>
        </w:tabs>
        <w:snapToGrid w:val="0"/>
        <w:spacing w:line="360" w:lineRule="auto"/>
        <w:ind w:firstLine="420" w:firstLineChars="200"/>
        <w:rPr>
          <w:rFonts w:ascii="仿宋_GB2312" w:hAnsi="宋体"/>
          <w:color w:val="auto"/>
          <w:kern w:val="0"/>
          <w:szCs w:val="24"/>
        </w:rPr>
      </w:pPr>
      <w:r>
        <w:rPr>
          <w:rFonts w:ascii="仿宋_GB2312" w:hAnsi="宋体"/>
          <w:color w:val="auto"/>
          <w:kern w:val="0"/>
          <w:szCs w:val="24"/>
        </w:rPr>
        <w:t>7.法律、法规或相关监管认定的其他情形。</w:t>
      </w:r>
    </w:p>
    <w:p w14:paraId="674F3FED">
      <w:pPr>
        <w:widowControl/>
        <w:spacing w:line="360" w:lineRule="auto"/>
        <w:ind w:firstLine="480"/>
        <w:jc w:val="left"/>
        <w:rPr>
          <w:rFonts w:hint="eastAsia" w:ascii="仿宋_GB2312" w:hAnsi="宋体"/>
          <w:color w:val="auto"/>
          <w:kern w:val="0"/>
          <w:szCs w:val="24"/>
        </w:rPr>
      </w:pPr>
      <w:r>
        <w:rPr>
          <w:rFonts w:hint="eastAsia" w:ascii="仿宋_GB2312" w:hAnsi="宋体"/>
          <w:color w:val="auto"/>
          <w:kern w:val="0"/>
          <w:szCs w:val="24"/>
        </w:rPr>
        <w:t>在暂停赎回或延缓支付赎回款项的情况消除时，产品管理人应及时恢复赎回或支付业务赎回款项的办理。</w:t>
      </w:r>
    </w:p>
    <w:p w14:paraId="57B6A390">
      <w:pPr>
        <w:widowControl/>
        <w:spacing w:line="360" w:lineRule="auto"/>
        <w:ind w:firstLine="480"/>
        <w:jc w:val="left"/>
        <w:rPr>
          <w:rFonts w:hint="eastAsia" w:ascii="仿宋_GB2312" w:hAnsi="宋体"/>
          <w:color w:val="auto"/>
          <w:kern w:val="0"/>
          <w:szCs w:val="24"/>
        </w:rPr>
      </w:pPr>
    </w:p>
    <w:p w14:paraId="7E233C7C">
      <w:pPr>
        <w:widowControl/>
        <w:spacing w:line="360" w:lineRule="auto"/>
        <w:ind w:firstLine="480"/>
        <w:jc w:val="left"/>
        <w:rPr>
          <w:rFonts w:hint="eastAsia" w:ascii="仿宋_GB2312" w:hAnsi="宋体"/>
          <w:color w:val="auto"/>
          <w:kern w:val="0"/>
          <w:szCs w:val="24"/>
        </w:rPr>
      </w:pPr>
    </w:p>
    <w:p w14:paraId="4DBC122A">
      <w:pPr>
        <w:widowControl/>
        <w:spacing w:line="360" w:lineRule="auto"/>
        <w:ind w:firstLine="480"/>
        <w:jc w:val="left"/>
        <w:rPr>
          <w:rFonts w:hint="eastAsia" w:ascii="仿宋_GB2312" w:hAnsi="宋体"/>
          <w:color w:val="auto"/>
          <w:kern w:val="0"/>
          <w:szCs w:val="24"/>
        </w:rPr>
      </w:pPr>
    </w:p>
    <w:p w14:paraId="72CCFCC2">
      <w:pPr>
        <w:widowControl/>
        <w:spacing w:line="360" w:lineRule="auto"/>
        <w:ind w:firstLine="480"/>
        <w:jc w:val="left"/>
        <w:rPr>
          <w:rFonts w:hint="eastAsia" w:ascii="仿宋_GB2312" w:hAnsi="宋体"/>
          <w:color w:val="auto"/>
          <w:kern w:val="0"/>
          <w:szCs w:val="24"/>
        </w:rPr>
      </w:pPr>
    </w:p>
    <w:p w14:paraId="1C4ACC37">
      <w:pPr>
        <w:widowControl/>
        <w:spacing w:line="360" w:lineRule="auto"/>
        <w:ind w:firstLine="480"/>
        <w:jc w:val="left"/>
        <w:rPr>
          <w:rFonts w:hint="eastAsia" w:ascii="仿宋_GB2312" w:hAnsi="宋体"/>
          <w:color w:val="auto"/>
          <w:kern w:val="0"/>
          <w:szCs w:val="24"/>
        </w:rPr>
      </w:pPr>
    </w:p>
    <w:p w14:paraId="4E0C4A95">
      <w:pPr>
        <w:widowControl/>
        <w:spacing w:line="360" w:lineRule="auto"/>
        <w:ind w:firstLine="480"/>
        <w:jc w:val="left"/>
        <w:rPr>
          <w:rFonts w:hint="eastAsia" w:ascii="仿宋_GB2312" w:hAnsi="宋体"/>
          <w:color w:val="auto"/>
          <w:kern w:val="0"/>
          <w:szCs w:val="24"/>
        </w:rPr>
      </w:pPr>
    </w:p>
    <w:p w14:paraId="5B094A56">
      <w:pPr>
        <w:widowControl/>
        <w:spacing w:line="360" w:lineRule="auto"/>
        <w:ind w:firstLine="480"/>
        <w:jc w:val="left"/>
        <w:rPr>
          <w:rFonts w:hint="eastAsia" w:ascii="仿宋_GB2312" w:hAnsi="宋体"/>
          <w:color w:val="auto"/>
          <w:kern w:val="0"/>
          <w:szCs w:val="24"/>
        </w:rPr>
      </w:pPr>
    </w:p>
    <w:p w14:paraId="4BF9C47A">
      <w:pPr>
        <w:pStyle w:val="2"/>
        <w:numPr>
          <w:ilvl w:val="0"/>
          <w:numId w:val="14"/>
        </w:numPr>
        <w:rPr>
          <w:color w:val="auto"/>
        </w:rPr>
      </w:pPr>
      <w:r>
        <w:rPr>
          <w:rFonts w:hint="eastAsia"/>
          <w:color w:val="auto"/>
        </w:rPr>
        <w:t>理财产品的投资</w:t>
      </w:r>
    </w:p>
    <w:p w14:paraId="2C8542B3">
      <w:pPr>
        <w:pStyle w:val="3"/>
        <w:numPr>
          <w:ilvl w:val="1"/>
          <w:numId w:val="14"/>
        </w:numPr>
        <w:ind w:firstLine="482"/>
        <w:rPr>
          <w:color w:val="auto"/>
        </w:rPr>
      </w:pPr>
      <w:r>
        <w:rPr>
          <w:rFonts w:hint="eastAsia"/>
          <w:color w:val="auto"/>
        </w:rPr>
        <w:t>投资范围</w:t>
      </w:r>
    </w:p>
    <w:p w14:paraId="05E5361D">
      <w:pPr>
        <w:tabs>
          <w:tab w:val="left" w:pos="3119"/>
        </w:tabs>
        <w:autoSpaceDE w:val="0"/>
        <w:autoSpaceDN w:val="0"/>
        <w:spacing w:line="360" w:lineRule="auto"/>
        <w:ind w:right="31" w:rightChars="15" w:firstLine="420" w:firstLineChars="200"/>
        <w:rPr>
          <w:rFonts w:hint="default" w:ascii="仿宋_GB2312" w:hAnsi="宋体" w:cs="宋体"/>
          <w:bCs/>
          <w:color w:val="000000" w:themeColor="text1"/>
          <w:kern w:val="0"/>
          <w:szCs w:val="24"/>
          <w:highlight w:val="none"/>
          <w:lang w:val="en-US" w:eastAsia="zh-CN"/>
          <w14:textFill>
            <w14:solidFill>
              <w14:schemeClr w14:val="tx1"/>
            </w14:solidFill>
          </w14:textFill>
        </w:rPr>
      </w:pPr>
      <w:r>
        <w:rPr>
          <w:rFonts w:hint="eastAsia" w:ascii="仿宋_GB2312" w:hAnsi="宋体" w:cs="宋体"/>
          <w:bCs/>
          <w:color w:val="000000" w:themeColor="text1"/>
          <w:kern w:val="0"/>
          <w:szCs w:val="24"/>
          <w:highlight w:val="yellow"/>
          <w:lang w:eastAsia="zh-CN"/>
          <w14:textFill>
            <w14:solidFill>
              <w14:schemeClr w14:val="tx1"/>
            </w14:solidFill>
          </w14:textFill>
        </w:rPr>
        <w:t>【</w:t>
      </w:r>
      <w:r>
        <w:rPr>
          <w:rFonts w:hint="eastAsia" w:ascii="仿宋_GB2312" w:hAnsi="宋体" w:cs="宋体"/>
          <w:bCs/>
          <w:color w:val="000000" w:themeColor="text1"/>
          <w:kern w:val="0"/>
          <w:szCs w:val="24"/>
          <w:highlight w:val="none"/>
          <w:lang w:eastAsia="zh-CN"/>
          <w14:textFill>
            <w14:solidFill>
              <w14:schemeClr w14:val="tx1"/>
            </w14:solidFill>
          </w14:textFill>
        </w:rPr>
        <w:t>……</w:t>
      </w:r>
    </w:p>
    <w:p w14:paraId="19EC3A69">
      <w:pPr>
        <w:tabs>
          <w:tab w:val="left" w:pos="3119"/>
        </w:tabs>
        <w:autoSpaceDE w:val="0"/>
        <w:autoSpaceDN w:val="0"/>
        <w:spacing w:line="360" w:lineRule="auto"/>
        <w:ind w:right="31" w:rightChars="15" w:firstLine="420" w:firstLineChars="200"/>
        <w:rPr>
          <w:rFonts w:hint="eastAsia" w:ascii="仿宋_GB2312" w:hAnsi="宋体" w:cs="宋体"/>
          <w:bCs/>
          <w:color w:val="000000" w:themeColor="text1"/>
          <w:kern w:val="0"/>
          <w:szCs w:val="24"/>
          <w:highlight w:val="none"/>
          <w14:textFill>
            <w14:solidFill>
              <w14:schemeClr w14:val="tx1"/>
            </w14:solidFill>
          </w14:textFill>
        </w:rPr>
      </w:pPr>
      <w:r>
        <w:rPr>
          <w:rFonts w:hint="eastAsia" w:ascii="仿宋_GB2312" w:hAnsi="宋体" w:cs="宋体"/>
          <w:bCs/>
          <w:color w:val="000000" w:themeColor="text1"/>
          <w:kern w:val="0"/>
          <w:szCs w:val="24"/>
          <w:highlight w:val="none"/>
          <w14:textFill>
            <w14:solidFill>
              <w14:schemeClr w14:val="tx1"/>
            </w14:solidFill>
          </w14:textFill>
        </w:rPr>
        <w:t>本理财产品在投资于商品及金融衍生品类资产之前，管理人应获得相应的业务经营范围或投资交易资格。</w:t>
      </w:r>
    </w:p>
    <w:p w14:paraId="335EF874">
      <w:pPr>
        <w:tabs>
          <w:tab w:val="left" w:pos="3119"/>
        </w:tabs>
        <w:autoSpaceDE w:val="0"/>
        <w:autoSpaceDN w:val="0"/>
        <w:spacing w:line="360" w:lineRule="auto"/>
        <w:ind w:right="31" w:rightChars="15" w:firstLine="480" w:firstLineChars="200"/>
        <w:rPr>
          <w:rFonts w:ascii="仿宋_GB2312" w:hAnsi="宋体" w:cs="宋体"/>
          <w:bCs/>
          <w:color w:val="000000" w:themeColor="text1"/>
          <w:kern w:val="0"/>
          <w:szCs w:val="24"/>
          <w:highlight w:val="none"/>
          <w:u w:val="single"/>
          <w14:textFill>
            <w14:solidFill>
              <w14:schemeClr w14:val="tx1"/>
            </w14:solidFill>
          </w14:textFill>
        </w:rPr>
      </w:pPr>
      <w:r>
        <w:rPr>
          <w:rFonts w:hint="eastAsia" w:ascii="仿宋_GB2312" w:hAnsi="宋体" w:eastAsia="仿宋_GB2312" w:cs="宋体"/>
          <w:bCs/>
          <w:color w:val="000000" w:themeColor="text1"/>
          <w:kern w:val="0"/>
          <w:sz w:val="24"/>
          <w:szCs w:val="24"/>
          <w:highlight w:val="none"/>
          <w14:textFill>
            <w14:solidFill>
              <w14:schemeClr w14:val="tx1"/>
            </w14:solidFill>
          </w14:textFill>
        </w:rPr>
        <w:t>本理财产品在投资于境外资产之前，管理人应获得相应的业务经营范围或投资交易资格。</w:t>
      </w:r>
      <w:r>
        <w:rPr>
          <w:rFonts w:hint="eastAsia" w:ascii="仿宋_GB2312" w:hAnsi="宋体" w:cs="宋体"/>
          <w:bCs/>
          <w:color w:val="000000" w:themeColor="text1"/>
          <w:kern w:val="0"/>
          <w:szCs w:val="24"/>
          <w:highlight w:val="yellow"/>
          <w:lang w:eastAsia="zh-CN"/>
          <w14:textFill>
            <w14:solidFill>
              <w14:schemeClr w14:val="tx1"/>
            </w14:solidFill>
          </w14:textFill>
        </w:rPr>
        <w:t>】</w:t>
      </w:r>
    </w:p>
    <w:p w14:paraId="51CAA22E">
      <w:pPr>
        <w:tabs>
          <w:tab w:val="left" w:pos="3119"/>
        </w:tabs>
        <w:autoSpaceDE w:val="0"/>
        <w:autoSpaceDN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本理财产品投资的资产范围须完全符合法律法规或监管规定，如因法律法规或监管规定的变更、修订或更新导致本理财产品投资某类资产受到限制或禁止的，该类资产将被视为从上述资产范围中自动剔除。</w:t>
      </w:r>
    </w:p>
    <w:p w14:paraId="0737A350">
      <w:pPr>
        <w:pStyle w:val="3"/>
        <w:numPr>
          <w:ilvl w:val="1"/>
          <w:numId w:val="14"/>
        </w:numPr>
        <w:ind w:firstLine="482"/>
        <w:rPr>
          <w:color w:val="auto"/>
        </w:rPr>
      </w:pPr>
      <w:r>
        <w:rPr>
          <w:rFonts w:hint="eastAsia"/>
          <w:color w:val="auto"/>
        </w:rPr>
        <w:t>投资比例</w:t>
      </w:r>
    </w:p>
    <w:p w14:paraId="4206E297">
      <w:pPr>
        <w:tabs>
          <w:tab w:val="left" w:pos="3119"/>
        </w:tabs>
        <w:autoSpaceDE w:val="0"/>
        <w:autoSpaceDN w:val="0"/>
        <w:adjustRightInd w:val="0"/>
        <w:spacing w:line="360" w:lineRule="auto"/>
        <w:ind w:right="31" w:rightChars="15" w:firstLine="420" w:firstLineChars="200"/>
        <w:contextualSpacing/>
        <w:rPr>
          <w:rFonts w:ascii="仿宋_GB2312" w:hAnsi="宋体" w:cs="宋体"/>
          <w:bCs/>
          <w:color w:val="auto"/>
          <w:kern w:val="0"/>
          <w:szCs w:val="24"/>
        </w:rPr>
      </w:pPr>
      <w:r>
        <w:rPr>
          <w:rFonts w:ascii="仿宋_GB2312" w:hAnsi="宋体" w:cs="宋体"/>
          <w:bCs/>
          <w:color w:val="auto"/>
          <w:kern w:val="0"/>
          <w:szCs w:val="24"/>
        </w:rPr>
        <w:t>1.本产品各投资资产占比如下：</w:t>
      </w:r>
    </w:p>
    <w:tbl>
      <w:tblPr>
        <w:tblStyle w:val="8"/>
        <w:tblW w:w="0" w:type="auto"/>
        <w:tblInd w:w="18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89"/>
        <w:gridCol w:w="1325"/>
      </w:tblGrid>
      <w:tr w14:paraId="40D36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9" w:type="dxa"/>
          </w:tcPr>
          <w:p w14:paraId="157CFB31">
            <w:pPr>
              <w:widowControl/>
              <w:spacing w:line="360" w:lineRule="auto"/>
              <w:jc w:val="center"/>
              <w:rPr>
                <w:rFonts w:ascii="仿宋_GB2312" w:hAnsi="宋体" w:cs="宋体"/>
                <w:bCs/>
                <w:color w:val="auto"/>
                <w:kern w:val="0"/>
                <w:szCs w:val="24"/>
              </w:rPr>
            </w:pPr>
            <w:r>
              <w:rPr>
                <w:rFonts w:hint="eastAsia" w:ascii="仿宋_GB2312" w:hAnsi="宋体" w:cs="宋体"/>
                <w:bCs/>
                <w:color w:val="auto"/>
                <w:kern w:val="0"/>
                <w:szCs w:val="24"/>
              </w:rPr>
              <w:t>投资资产</w:t>
            </w:r>
          </w:p>
        </w:tc>
        <w:tc>
          <w:tcPr>
            <w:tcW w:w="1325" w:type="dxa"/>
          </w:tcPr>
          <w:p w14:paraId="379FB3D2">
            <w:pPr>
              <w:widowControl/>
              <w:spacing w:line="360" w:lineRule="auto"/>
              <w:jc w:val="center"/>
              <w:rPr>
                <w:rFonts w:ascii="仿宋_GB2312" w:hAnsi="宋体" w:cs="宋体"/>
                <w:bCs/>
                <w:color w:val="auto"/>
                <w:kern w:val="0"/>
                <w:szCs w:val="24"/>
              </w:rPr>
            </w:pPr>
            <w:r>
              <w:rPr>
                <w:rFonts w:hint="eastAsia" w:ascii="仿宋_GB2312" w:hAnsi="宋体" w:cs="宋体"/>
                <w:bCs/>
                <w:color w:val="auto"/>
                <w:kern w:val="0"/>
                <w:szCs w:val="24"/>
              </w:rPr>
              <w:t>投资比例</w:t>
            </w:r>
          </w:p>
        </w:tc>
      </w:tr>
      <w:tr w14:paraId="32EE2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9" w:type="dxa"/>
          </w:tcPr>
          <w:p w14:paraId="67B56A4C">
            <w:pPr>
              <w:widowControl/>
              <w:spacing w:line="360" w:lineRule="auto"/>
              <w:jc w:val="center"/>
              <w:rPr>
                <w:rFonts w:hint="eastAsia" w:ascii="仿宋_GB2312" w:hAnsi="宋体" w:eastAsia="仿宋_GB2312" w:cs="宋体"/>
                <w:bCs/>
                <w:color w:val="auto"/>
                <w:kern w:val="0"/>
                <w:szCs w:val="24"/>
                <w:lang w:eastAsia="zh-CN"/>
              </w:rPr>
            </w:pPr>
            <w:r>
              <w:rPr>
                <w:rFonts w:hint="eastAsia" w:ascii="仿宋_GB2312" w:hAnsi="宋体" w:cs="宋体"/>
                <w:bCs/>
                <w:color w:val="auto"/>
                <w:kern w:val="0"/>
                <w:szCs w:val="24"/>
                <w:highlight w:val="none"/>
              </w:rPr>
              <w:t>货币市场工具</w:t>
            </w:r>
          </w:p>
        </w:tc>
        <w:tc>
          <w:tcPr>
            <w:tcW w:w="1325" w:type="dxa"/>
          </w:tcPr>
          <w:p w14:paraId="082EB529">
            <w:pPr>
              <w:widowControl/>
              <w:spacing w:line="360" w:lineRule="auto"/>
              <w:jc w:val="center"/>
              <w:rPr>
                <w:rFonts w:ascii="仿宋_GB2312" w:hAnsi="宋体" w:cs="宋体"/>
                <w:bCs/>
                <w:color w:val="auto"/>
                <w:kern w:val="0"/>
                <w:szCs w:val="24"/>
              </w:rPr>
            </w:pPr>
            <w:r>
              <w:rPr>
                <w:rFonts w:hint="eastAsia" w:ascii="仿宋_GB2312" w:hAnsi="宋体" w:cs="宋体"/>
                <w:bCs/>
                <w:color w:val="auto"/>
                <w:kern w:val="0"/>
                <w:szCs w:val="24"/>
              </w:rPr>
              <w:t>100%</w:t>
            </w:r>
          </w:p>
        </w:tc>
      </w:tr>
    </w:tbl>
    <w:p w14:paraId="239AE3D1">
      <w:pPr>
        <w:autoSpaceDE w:val="0"/>
        <w:autoSpaceDN w:val="0"/>
        <w:adjustRightInd w:val="0"/>
        <w:snapToGrid w:val="0"/>
        <w:spacing w:line="360" w:lineRule="auto"/>
        <w:jc w:val="left"/>
        <w:rPr>
          <w:rFonts w:ascii="仿宋_GB2312" w:hAnsi="宋体" w:cs="宋体"/>
          <w:bCs/>
          <w:color w:val="auto"/>
          <w:kern w:val="0"/>
          <w:szCs w:val="24"/>
        </w:rPr>
      </w:pPr>
    </w:p>
    <w:p w14:paraId="10954E57">
      <w:pPr>
        <w:autoSpaceDE w:val="0"/>
        <w:autoSpaceDN w:val="0"/>
        <w:adjustRightInd w:val="0"/>
        <w:snapToGrid w:val="0"/>
        <w:spacing w:line="360" w:lineRule="auto"/>
        <w:ind w:firstLine="420" w:firstLineChars="200"/>
        <w:jc w:val="left"/>
        <w:rPr>
          <w:rFonts w:ascii="仿宋_GB2312" w:hAnsi="宋体" w:cs="宋体"/>
          <w:bCs/>
          <w:color w:val="auto"/>
          <w:kern w:val="0"/>
          <w:szCs w:val="24"/>
        </w:rPr>
      </w:pPr>
      <w:r>
        <w:rPr>
          <w:rFonts w:hint="eastAsia" w:ascii="仿宋_GB2312" w:hAnsi="宋体" w:cs="宋体"/>
          <w:bCs/>
          <w:color w:val="auto"/>
          <w:kern w:val="0"/>
          <w:szCs w:val="24"/>
        </w:rPr>
        <w:t>管理人将在产品成立后一个月内使资产配置比例符合上述规定。</w:t>
      </w:r>
    </w:p>
    <w:p w14:paraId="39BF976C">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rPr>
      </w:pPr>
      <w:r>
        <w:rPr>
          <w:rFonts w:hint="eastAsia" w:ascii="仿宋_GB2312" w:hAnsi="宋体" w:cs="宋体"/>
          <w:bCs/>
          <w:color w:val="auto"/>
          <w:kern w:val="0"/>
          <w:szCs w:val="24"/>
        </w:rPr>
        <w:t>相关法律法规和监管部门对以上投资范围和配置比例有另行规定的，按照监管最新规定执行。如监管对投资比例无其他明确规定和要求的，由产品管理人与托管人协商确定计算方法。本产品存续期内非</w:t>
      </w:r>
      <w:r>
        <w:rPr>
          <w:rFonts w:ascii="仿宋_GB2312" w:hAnsi="宋体" w:cs="宋体"/>
          <w:bCs/>
          <w:color w:val="auto"/>
          <w:kern w:val="0"/>
          <w:szCs w:val="24"/>
        </w:rPr>
        <w:t>因</w:t>
      </w:r>
      <w:r>
        <w:rPr>
          <w:rFonts w:hint="eastAsia" w:ascii="仿宋_GB2312" w:hAnsi="宋体" w:cs="宋体"/>
          <w:bCs/>
          <w:color w:val="auto"/>
          <w:kern w:val="0"/>
          <w:szCs w:val="24"/>
        </w:rPr>
        <w:t>产品</w:t>
      </w:r>
      <w:r>
        <w:rPr>
          <w:rFonts w:ascii="仿宋_GB2312" w:hAnsi="宋体" w:cs="宋体"/>
          <w:bCs/>
          <w:color w:val="auto"/>
          <w:kern w:val="0"/>
          <w:szCs w:val="24"/>
        </w:rPr>
        <w:t>管理人主</w:t>
      </w:r>
      <w:r>
        <w:rPr>
          <w:rFonts w:hint="eastAsia" w:ascii="仿宋_GB2312" w:hAnsi="宋体" w:cs="宋体"/>
          <w:bCs/>
          <w:color w:val="auto"/>
          <w:kern w:val="0"/>
          <w:szCs w:val="24"/>
        </w:rPr>
        <w:t>观</w:t>
      </w:r>
      <w:r>
        <w:rPr>
          <w:rFonts w:ascii="仿宋_GB2312" w:hAnsi="宋体" w:cs="宋体"/>
          <w:bCs/>
          <w:color w:val="auto"/>
          <w:kern w:val="0"/>
          <w:szCs w:val="24"/>
        </w:rPr>
        <w:t>因素</w:t>
      </w:r>
      <w:r>
        <w:rPr>
          <w:rFonts w:hint="eastAsia" w:ascii="仿宋_GB2312" w:hAnsi="宋体" w:cs="宋体"/>
          <w:bCs/>
          <w:color w:val="auto"/>
          <w:kern w:val="0"/>
          <w:szCs w:val="24"/>
        </w:rPr>
        <w:t>导致产品投资突破上述比例限制，管理人将尽合理努力，在流动性受限资产可出售、可转让或者恢复交易的15个交易日内调整至规定区间。</w:t>
      </w:r>
    </w:p>
    <w:p w14:paraId="1AC99122">
      <w:pPr>
        <w:pStyle w:val="3"/>
        <w:numPr>
          <w:ilvl w:val="1"/>
          <w:numId w:val="14"/>
        </w:numPr>
        <w:ind w:firstLine="482"/>
        <w:rPr>
          <w:color w:val="auto"/>
        </w:rPr>
      </w:pPr>
      <w:r>
        <w:rPr>
          <w:rFonts w:hint="eastAsia"/>
          <w:color w:val="auto"/>
        </w:rPr>
        <w:t>投资</w:t>
      </w:r>
      <w:r>
        <w:rPr>
          <w:color w:val="auto"/>
        </w:rPr>
        <w:t>限制</w:t>
      </w:r>
    </w:p>
    <w:p w14:paraId="157C4916">
      <w:pPr>
        <w:tabs>
          <w:tab w:val="left" w:pos="3119"/>
        </w:tabs>
        <w:autoSpaceDE w:val="0"/>
        <w:autoSpaceDN w:val="0"/>
        <w:adjustRightInd w:val="0"/>
        <w:spacing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投资限制中列示的资产品种不代表管理人的实际投向，本理财计划投资范围以“投资范围”章节表述为准。</w:t>
      </w:r>
    </w:p>
    <w:p w14:paraId="7C44ED11">
      <w:pPr>
        <w:tabs>
          <w:tab w:val="left" w:pos="3119"/>
        </w:tabs>
        <w:autoSpaceDE w:val="0"/>
        <w:autoSpaceDN w:val="0"/>
        <w:adjustRightInd w:val="0"/>
        <w:spacing w:line="360" w:lineRule="auto"/>
        <w:ind w:right="31" w:rightChars="15" w:firstLine="420" w:firstLineChars="200"/>
        <w:contextualSpacing/>
        <w:jc w:val="left"/>
        <w:rPr>
          <w:rFonts w:ascii="仿宋_GB2312" w:hAnsi="宋体" w:cs="宋体"/>
          <w:bCs/>
          <w:color w:val="auto"/>
          <w:kern w:val="0"/>
          <w:szCs w:val="24"/>
        </w:rPr>
      </w:pPr>
      <w:r>
        <w:rPr>
          <w:rFonts w:hint="eastAsia" w:ascii="仿宋_GB2312" w:hAnsi="宋体" w:cs="宋体"/>
          <w:bCs/>
          <w:color w:val="auto"/>
          <w:kern w:val="0"/>
          <w:szCs w:val="24"/>
        </w:rPr>
        <w:t>1.组合限制</w:t>
      </w:r>
    </w:p>
    <w:p w14:paraId="1F96E5C9">
      <w:pPr>
        <w:tabs>
          <w:tab w:val="left" w:pos="3119"/>
        </w:tabs>
        <w:autoSpaceDE w:val="0"/>
        <w:autoSpaceDN w:val="0"/>
        <w:adjustRightInd w:val="0"/>
        <w:spacing w:line="360" w:lineRule="auto"/>
        <w:ind w:right="31" w:rightChars="15" w:firstLine="420" w:firstLineChars="200"/>
        <w:contextualSpacing/>
        <w:jc w:val="left"/>
        <w:rPr>
          <w:rFonts w:ascii="仿宋_GB2312" w:hAnsi="宋体" w:cs="宋体"/>
          <w:bCs/>
          <w:color w:val="auto"/>
          <w:kern w:val="0"/>
          <w:szCs w:val="24"/>
        </w:rPr>
      </w:pPr>
      <w:r>
        <w:rPr>
          <w:rFonts w:hint="eastAsia" w:ascii="仿宋_GB2312" w:hAnsi="宋体" w:cs="宋体"/>
          <w:bCs/>
          <w:color w:val="auto"/>
          <w:kern w:val="0"/>
          <w:szCs w:val="24"/>
        </w:rPr>
        <w:t>（1）本产品不得投资于：1）股票；2）可转换债券、可交换债券；3）以定期存款利率为基准利率的浮动利率债券（已进入最后一个利率调整期的除外）；4）信用等级在AA+以下的债券、资产支持证券；5）国家金融监督管理总局、中国人民银行禁止投资的其他金融工具。</w:t>
      </w:r>
    </w:p>
    <w:p w14:paraId="2D9AF3EE">
      <w:pPr>
        <w:tabs>
          <w:tab w:val="left" w:pos="3119"/>
        </w:tabs>
        <w:autoSpaceDE w:val="0"/>
        <w:autoSpaceDN w:val="0"/>
        <w:adjustRightInd w:val="0"/>
        <w:spacing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w:t>
      </w:r>
      <w:r>
        <w:rPr>
          <w:rFonts w:ascii="仿宋_GB2312" w:hAnsi="宋体" w:cs="宋体"/>
          <w:bCs/>
          <w:color w:val="auto"/>
          <w:kern w:val="0"/>
          <w:szCs w:val="24"/>
        </w:rPr>
        <w:t>2）本产品投资于同一机构发行的债券及其作为原始权益人的资产支持证券的比例合计不得超过本产品资产净值的10%,投资于国债、中央银行票据、政策性金融债券的除外。</w:t>
      </w:r>
    </w:p>
    <w:p w14:paraId="35C2081C">
      <w:pPr>
        <w:tabs>
          <w:tab w:val="left" w:pos="3119"/>
        </w:tabs>
        <w:autoSpaceDE w:val="0"/>
        <w:autoSpaceDN w:val="0"/>
        <w:adjustRightInd w:val="0"/>
        <w:spacing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w:t>
      </w:r>
      <w:r>
        <w:rPr>
          <w:rFonts w:ascii="仿宋_GB2312" w:hAnsi="宋体" w:cs="宋体"/>
          <w:bCs/>
          <w:color w:val="auto"/>
          <w:kern w:val="0"/>
          <w:szCs w:val="24"/>
        </w:rPr>
        <w:t>3）本产品投资于所有主体信用评级低于AAA的机构发行的金融工具（包括债券、银行存款、同业存单、相关机构作为原始权益人的资产支持证券及国家金融监督管理总局认可的其他金融工具）的比例合计不得超过该产品资产净值的10%,其中单一机构发行的金融工具的比例合计不得超过该产品资产净值的2%。</w:t>
      </w:r>
    </w:p>
    <w:p w14:paraId="4FBD33A0">
      <w:pPr>
        <w:tabs>
          <w:tab w:val="left" w:pos="3119"/>
        </w:tabs>
        <w:autoSpaceDE w:val="0"/>
        <w:autoSpaceDN w:val="0"/>
        <w:adjustRightInd w:val="0"/>
        <w:spacing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w:t>
      </w:r>
      <w:r>
        <w:rPr>
          <w:rFonts w:ascii="仿宋_GB2312" w:hAnsi="宋体" w:cs="宋体"/>
          <w:bCs/>
          <w:color w:val="auto"/>
          <w:kern w:val="0"/>
          <w:szCs w:val="24"/>
        </w:rPr>
        <w:t>4）本产品投资于有固定期限银行存款的比例合计不得超过该产品资产净值的30%，投资于有存款期限，根据协议可提前支取的银行存款除外；每只现金管理类产品投资于主体信用评级为AAA的同一商业银行的银行存款、同业存单占该产品资产净值的比例合计不得超过20%。</w:t>
      </w:r>
    </w:p>
    <w:p w14:paraId="6B49DBD1">
      <w:pPr>
        <w:tabs>
          <w:tab w:val="left" w:pos="3119"/>
        </w:tabs>
        <w:autoSpaceDE w:val="0"/>
        <w:autoSpaceDN w:val="0"/>
        <w:adjustRightInd w:val="0"/>
        <w:spacing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w:t>
      </w:r>
      <w:r>
        <w:rPr>
          <w:rFonts w:ascii="仿宋_GB2312" w:hAnsi="宋体" w:cs="宋体"/>
          <w:bCs/>
          <w:color w:val="auto"/>
          <w:kern w:val="0"/>
          <w:szCs w:val="24"/>
        </w:rPr>
        <w:t>5）本产品管理人全部现金管理类产品投资于同一商业银行的存款、同业存单和债券,不得超过该商业银行最近一个季度末净资产的10%。</w:t>
      </w:r>
    </w:p>
    <w:p w14:paraId="7D229CA4">
      <w:pPr>
        <w:tabs>
          <w:tab w:val="left" w:pos="3119"/>
        </w:tabs>
        <w:autoSpaceDE w:val="0"/>
        <w:autoSpaceDN w:val="0"/>
        <w:adjustRightInd w:val="0"/>
        <w:spacing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w:t>
      </w:r>
      <w:r>
        <w:rPr>
          <w:rFonts w:ascii="仿宋_GB2312" w:hAnsi="宋体" w:cs="宋体"/>
          <w:bCs/>
          <w:color w:val="auto"/>
          <w:kern w:val="0"/>
          <w:szCs w:val="24"/>
        </w:rPr>
        <w:t>6）本产品管理人现金管理类产品拟投资于主体信用评级低于AA+的商业银行的银行存款与同业存单的,应当经本机构董事会审议批准,相关交易应当事先告知托管</w:t>
      </w:r>
      <w:r>
        <w:rPr>
          <w:rFonts w:hint="eastAsia" w:ascii="仿宋_GB2312" w:hAnsi="宋体" w:cs="宋体"/>
          <w:bCs/>
          <w:color w:val="auto"/>
          <w:kern w:val="0"/>
          <w:szCs w:val="24"/>
        </w:rPr>
        <w:t>人</w:t>
      </w:r>
      <w:r>
        <w:rPr>
          <w:rFonts w:ascii="仿宋_GB2312" w:hAnsi="宋体" w:cs="宋体"/>
          <w:bCs/>
          <w:color w:val="auto"/>
          <w:kern w:val="0"/>
          <w:szCs w:val="24"/>
        </w:rPr>
        <w:t>,并作为重大事项履行信息披露程序。</w:t>
      </w:r>
    </w:p>
    <w:p w14:paraId="1D0BB1CE">
      <w:pPr>
        <w:tabs>
          <w:tab w:val="left" w:pos="3119"/>
        </w:tabs>
        <w:autoSpaceDE w:val="0"/>
        <w:autoSpaceDN w:val="0"/>
        <w:adjustRightInd w:val="0"/>
        <w:spacing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w:t>
      </w:r>
      <w:r>
        <w:rPr>
          <w:rFonts w:ascii="仿宋_GB2312" w:hAnsi="宋体" w:cs="宋体"/>
          <w:bCs/>
          <w:color w:val="auto"/>
          <w:kern w:val="0"/>
          <w:szCs w:val="24"/>
        </w:rPr>
        <w:t>7）本产品</w:t>
      </w:r>
      <w:r>
        <w:rPr>
          <w:rFonts w:hint="eastAsia" w:ascii="仿宋_GB2312" w:hAnsi="宋体" w:cs="宋体"/>
          <w:bCs/>
          <w:color w:val="auto"/>
          <w:kern w:val="0"/>
          <w:szCs w:val="24"/>
        </w:rPr>
        <w:t>投资到期日在10个交易日以上的债券买入返售、银行定期存款（含协议约定有条件提前支取的银行存款），以及资产支持证券、因发行人债务违约无法进行转让或者交易的债券等由于法律法规、合同或者操作障碍等原因无法以合理价格予以变现的流动性受限资产，合计不得超过该产品资产净值的10%；</w:t>
      </w:r>
    </w:p>
    <w:p w14:paraId="3A3F68A1">
      <w:pPr>
        <w:tabs>
          <w:tab w:val="left" w:pos="3119"/>
        </w:tabs>
        <w:autoSpaceDE w:val="0"/>
        <w:autoSpaceDN w:val="0"/>
        <w:adjustRightInd w:val="0"/>
        <w:spacing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w:t>
      </w:r>
      <w:r>
        <w:rPr>
          <w:rFonts w:ascii="仿宋_GB2312" w:hAnsi="宋体" w:cs="宋体"/>
          <w:bCs/>
          <w:color w:val="auto"/>
          <w:kern w:val="0"/>
          <w:szCs w:val="24"/>
        </w:rPr>
        <w:t>8）本产品每日确认且需当日支付的净赎回申请不超过前一工作日该理财产品7个工作日可变现资产的可变现价值，</w:t>
      </w:r>
      <w:r>
        <w:rPr>
          <w:rFonts w:hint="eastAsia" w:ascii="仿宋_GB2312" w:hAnsi="宋体" w:cs="宋体"/>
          <w:bCs/>
          <w:color w:val="auto"/>
          <w:kern w:val="0"/>
          <w:szCs w:val="24"/>
        </w:rPr>
        <w:t>国家金融监督管理总局另有规定的除外。在开放日前一工作日内，本产品</w:t>
      </w:r>
      <w:r>
        <w:rPr>
          <w:rFonts w:ascii="仿宋_GB2312" w:hAnsi="宋体" w:cs="宋体"/>
          <w:bCs/>
          <w:color w:val="auto"/>
          <w:kern w:val="0"/>
          <w:szCs w:val="24"/>
        </w:rPr>
        <w:t>7个工作日可变现资产的可变现价值应当不低于该产品资产净值的10%。</w:t>
      </w:r>
    </w:p>
    <w:p w14:paraId="3AE22D9A">
      <w:pPr>
        <w:tabs>
          <w:tab w:val="left" w:pos="3119"/>
        </w:tabs>
        <w:autoSpaceDE w:val="0"/>
        <w:autoSpaceDN w:val="0"/>
        <w:adjustRightInd w:val="0"/>
        <w:spacing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对于非因管理人主观因素导致突破上述比例限制的，管理人应当在流动性受限资产可出售、可转让或者恢复交易的10个交易日内调整至符合要求。</w:t>
      </w:r>
    </w:p>
    <w:p w14:paraId="322EC0E9">
      <w:pPr>
        <w:tabs>
          <w:tab w:val="left" w:pos="3119"/>
        </w:tabs>
        <w:autoSpaceDE w:val="0"/>
        <w:autoSpaceDN w:val="0"/>
        <w:adjustRightInd w:val="0"/>
        <w:spacing w:line="360" w:lineRule="auto"/>
        <w:ind w:right="31" w:rightChars="15" w:firstLine="420" w:firstLineChars="200"/>
        <w:contextualSpacing/>
        <w:rPr>
          <w:rFonts w:ascii="仿宋_GB2312" w:hAnsi="宋体" w:cs="宋体"/>
          <w:bCs/>
          <w:color w:val="auto"/>
          <w:kern w:val="0"/>
          <w:szCs w:val="24"/>
        </w:rPr>
      </w:pPr>
      <w:r>
        <w:rPr>
          <w:rFonts w:ascii="仿宋_GB2312" w:hAnsi="宋体" w:cs="宋体"/>
          <w:bCs/>
          <w:color w:val="auto"/>
          <w:kern w:val="0"/>
          <w:szCs w:val="24"/>
        </w:rPr>
        <w:t>2.本产品持有足够的具有良好流动性资产，投资组合符合以下要求：</w:t>
      </w:r>
    </w:p>
    <w:p w14:paraId="7B61F926">
      <w:pPr>
        <w:tabs>
          <w:tab w:val="left" w:pos="3119"/>
        </w:tabs>
        <w:autoSpaceDE w:val="0"/>
        <w:autoSpaceDN w:val="0"/>
        <w:adjustRightInd w:val="0"/>
        <w:spacing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w:t>
      </w:r>
      <w:r>
        <w:rPr>
          <w:rFonts w:ascii="仿宋_GB2312" w:hAnsi="宋体" w:cs="宋体"/>
          <w:bCs/>
          <w:color w:val="auto"/>
          <w:kern w:val="0"/>
          <w:szCs w:val="24"/>
        </w:rPr>
        <w:t>1）本产品持有不低于该产品资产净值5%的现金、国债、中央银行票据、政策性金融债券;</w:t>
      </w:r>
    </w:p>
    <w:p w14:paraId="7C2C3F6C">
      <w:pPr>
        <w:tabs>
          <w:tab w:val="left" w:pos="3119"/>
        </w:tabs>
        <w:autoSpaceDE w:val="0"/>
        <w:autoSpaceDN w:val="0"/>
        <w:adjustRightInd w:val="0"/>
        <w:spacing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w:t>
      </w:r>
      <w:r>
        <w:rPr>
          <w:rFonts w:ascii="仿宋_GB2312" w:hAnsi="宋体" w:cs="宋体"/>
          <w:bCs/>
          <w:color w:val="auto"/>
          <w:kern w:val="0"/>
          <w:szCs w:val="24"/>
        </w:rPr>
        <w:t>2）本产品持有不低于该产品资产净值10%的现金、国债、中央银行票据、政策性金融债券以及五个交易日内到期的其他金融工具;</w:t>
      </w:r>
    </w:p>
    <w:p w14:paraId="7F7EB42D">
      <w:pPr>
        <w:tabs>
          <w:tab w:val="left" w:pos="3119"/>
        </w:tabs>
        <w:autoSpaceDE w:val="0"/>
        <w:autoSpaceDN w:val="0"/>
        <w:adjustRightInd w:val="0"/>
        <w:spacing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w:t>
      </w:r>
      <w:r>
        <w:rPr>
          <w:rFonts w:ascii="仿宋_GB2312" w:hAnsi="宋体" w:cs="宋体"/>
          <w:bCs/>
          <w:color w:val="auto"/>
          <w:kern w:val="0"/>
          <w:szCs w:val="24"/>
        </w:rPr>
        <w:t>3）本产品投资到期日在10个交易日以上的债券买入返售、银行定期存款(含协议约定有条件提前支取的银行存款),以及资产支持证券、因发行人债务违约无法进行转让或者交易的债券等由于法律法规、合同或者操作障碍等原因无法以合理价格予以变现的流动性受限资产,合计不得超过该产品资产净值的10%;</w:t>
      </w:r>
    </w:p>
    <w:p w14:paraId="3CD2C997">
      <w:pPr>
        <w:tabs>
          <w:tab w:val="left" w:pos="3119"/>
        </w:tabs>
        <w:autoSpaceDE w:val="0"/>
        <w:autoSpaceDN w:val="0"/>
        <w:adjustRightInd w:val="0"/>
        <w:spacing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w:t>
      </w:r>
      <w:r>
        <w:rPr>
          <w:rFonts w:ascii="仿宋_GB2312" w:hAnsi="宋体" w:cs="宋体"/>
          <w:bCs/>
          <w:color w:val="auto"/>
          <w:kern w:val="0"/>
          <w:szCs w:val="24"/>
        </w:rPr>
        <w:t>4）本产品的杠杆水平不得超过120%,发生巨额赎回、连续3个交易日累计赎回20%以上或者连续5个交易日累计赎回30%以上的情形除外。</w:t>
      </w:r>
    </w:p>
    <w:p w14:paraId="57370523">
      <w:pPr>
        <w:tabs>
          <w:tab w:val="left" w:pos="3119"/>
        </w:tabs>
        <w:autoSpaceDE w:val="0"/>
        <w:autoSpaceDN w:val="0"/>
        <w:adjustRightInd w:val="0"/>
        <w:spacing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非主观因素导致突破前款第（</w:t>
      </w:r>
      <w:r>
        <w:rPr>
          <w:rFonts w:ascii="仿宋_GB2312" w:hAnsi="宋体" w:cs="宋体"/>
          <w:bCs/>
          <w:color w:val="auto"/>
          <w:kern w:val="0"/>
          <w:szCs w:val="24"/>
        </w:rPr>
        <w:t>2）（4）项比例限制的,管理人应当在10个交易日内调整至符合要</w:t>
      </w:r>
      <w:r>
        <w:rPr>
          <w:rFonts w:hint="eastAsia" w:ascii="仿宋_GB2312" w:hAnsi="宋体" w:cs="宋体"/>
          <w:bCs/>
          <w:color w:val="auto"/>
          <w:kern w:val="0"/>
          <w:szCs w:val="24"/>
        </w:rPr>
        <w:t>求</w:t>
      </w:r>
      <w:r>
        <w:rPr>
          <w:rFonts w:ascii="仿宋_GB2312" w:hAnsi="宋体" w:cs="宋体"/>
          <w:bCs/>
          <w:color w:val="auto"/>
          <w:kern w:val="0"/>
          <w:szCs w:val="24"/>
        </w:rPr>
        <w:t>;非主观因素导致突破前款第（3）项比例限制的,管理人不得主动新增流动性受限资产的投资。</w:t>
      </w:r>
    </w:p>
    <w:p w14:paraId="06A09AF2">
      <w:pPr>
        <w:tabs>
          <w:tab w:val="left" w:pos="3119"/>
        </w:tabs>
        <w:autoSpaceDE w:val="0"/>
        <w:autoSpaceDN w:val="0"/>
        <w:adjustRightInd w:val="0"/>
        <w:spacing w:line="360" w:lineRule="auto"/>
        <w:ind w:right="31" w:rightChars="15" w:firstLine="420" w:firstLineChars="200"/>
        <w:contextualSpacing/>
        <w:rPr>
          <w:rFonts w:ascii="仿宋_GB2312" w:hAnsi="宋体" w:cs="宋体"/>
          <w:bCs/>
          <w:color w:val="auto"/>
          <w:kern w:val="0"/>
          <w:szCs w:val="24"/>
        </w:rPr>
      </w:pPr>
      <w:r>
        <w:rPr>
          <w:rFonts w:ascii="仿宋_GB2312" w:hAnsi="宋体" w:cs="宋体"/>
          <w:bCs/>
          <w:color w:val="auto"/>
          <w:kern w:val="0"/>
          <w:szCs w:val="24"/>
        </w:rPr>
        <w:t>3.本产品投资组合的平均剩余期限不得超过120天,平均剩余存续期限不得超过240天。</w:t>
      </w:r>
    </w:p>
    <w:p w14:paraId="27257539">
      <w:pPr>
        <w:tabs>
          <w:tab w:val="left" w:pos="3119"/>
        </w:tabs>
        <w:autoSpaceDE w:val="0"/>
        <w:autoSpaceDN w:val="0"/>
        <w:adjustRightInd w:val="0"/>
        <w:spacing w:line="360" w:lineRule="auto"/>
        <w:ind w:right="31" w:rightChars="15" w:firstLine="420" w:firstLineChars="200"/>
        <w:contextualSpacing/>
        <w:rPr>
          <w:rFonts w:ascii="仿宋_GB2312" w:hAnsi="宋体" w:cs="宋体"/>
          <w:bCs/>
          <w:color w:val="auto"/>
          <w:kern w:val="0"/>
          <w:szCs w:val="24"/>
        </w:rPr>
      </w:pPr>
      <w:r>
        <w:rPr>
          <w:rFonts w:ascii="仿宋_GB2312" w:hAnsi="宋体" w:cs="宋体"/>
          <w:bCs/>
          <w:color w:val="auto"/>
          <w:kern w:val="0"/>
          <w:szCs w:val="24"/>
        </w:rPr>
        <w:t>4.</w:t>
      </w:r>
      <w:r>
        <w:rPr>
          <w:rFonts w:hint="eastAsia"/>
          <w:color w:val="auto"/>
        </w:rPr>
        <w:t>管理人</w:t>
      </w:r>
      <w:r>
        <w:rPr>
          <w:rFonts w:hint="eastAsia" w:ascii="仿宋_GB2312" w:hAnsi="宋体" w:cs="宋体"/>
          <w:bCs/>
          <w:color w:val="auto"/>
          <w:kern w:val="0"/>
          <w:szCs w:val="24"/>
        </w:rPr>
        <w:t>对本产品的投资者集中度实施严格的监控与管理</w:t>
      </w:r>
      <w:r>
        <w:rPr>
          <w:rFonts w:ascii="仿宋_GB2312" w:hAnsi="宋体" w:cs="宋体"/>
          <w:bCs/>
          <w:color w:val="auto"/>
          <w:kern w:val="0"/>
          <w:szCs w:val="24"/>
        </w:rPr>
        <w:t>,根据投资者集中度情况对投资组合实施调整,并遵守以下要求:</w:t>
      </w:r>
    </w:p>
    <w:p w14:paraId="62CCD56E">
      <w:pPr>
        <w:tabs>
          <w:tab w:val="left" w:pos="3119"/>
        </w:tabs>
        <w:autoSpaceDE w:val="0"/>
        <w:autoSpaceDN w:val="0"/>
        <w:adjustRightInd w:val="0"/>
        <w:spacing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w:t>
      </w:r>
      <w:r>
        <w:rPr>
          <w:rFonts w:ascii="仿宋_GB2312" w:hAnsi="宋体" w:cs="宋体"/>
          <w:bCs/>
          <w:color w:val="auto"/>
          <w:kern w:val="0"/>
          <w:szCs w:val="24"/>
        </w:rPr>
        <w:t>1）当前10名投资者的持有份额合计超过产品总份额的50%时,投资组合的平均剩余期限不得超过60天,平均剩余存续期限不得超过120天,投资组合中现金、国债、中央银行票据、政策性金融债券以及5个交易日内到期的其他金融工具占该产品资产净值的比例合计不得低于30%;</w:t>
      </w:r>
    </w:p>
    <w:p w14:paraId="0328E6C1">
      <w:pPr>
        <w:tabs>
          <w:tab w:val="left" w:pos="3119"/>
        </w:tabs>
        <w:autoSpaceDE w:val="0"/>
        <w:autoSpaceDN w:val="0"/>
        <w:adjustRightInd w:val="0"/>
        <w:spacing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w:t>
      </w:r>
      <w:r>
        <w:rPr>
          <w:rFonts w:ascii="仿宋_GB2312" w:hAnsi="宋体" w:cs="宋体"/>
          <w:bCs/>
          <w:color w:val="auto"/>
          <w:kern w:val="0"/>
          <w:szCs w:val="24"/>
        </w:rPr>
        <w:t>2）当前10名投资者的持有份额合计超过产品总份额的20%时,投资组合的平均剩余期限不得超过90天,平均剩余存续期限不得超过180天,投资组合中现金、国债、中央银行票据、政策性金融债券以及5个交易日内到期的其他金融工具占该产品资产净值的比例合计不得低于20%。</w:t>
      </w:r>
    </w:p>
    <w:p w14:paraId="60801C2D">
      <w:pPr>
        <w:tabs>
          <w:tab w:val="left" w:pos="3119"/>
        </w:tabs>
        <w:autoSpaceDE w:val="0"/>
        <w:autoSpaceDN w:val="0"/>
        <w:adjustRightInd w:val="0"/>
        <w:spacing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本产品存续期内非管理人主观因素导致突破前款第（1）（2）项比例限制的,管理人应当在10个交易日内调整至符合要求,</w:t>
      </w:r>
      <w:r>
        <w:rPr>
          <w:rFonts w:hint="eastAsia"/>
          <w:color w:val="auto"/>
        </w:rPr>
        <w:t xml:space="preserve"> </w:t>
      </w:r>
      <w:r>
        <w:rPr>
          <w:rFonts w:hint="eastAsia" w:ascii="仿宋_GB2312" w:hAnsi="宋体" w:cs="宋体"/>
          <w:bCs/>
          <w:color w:val="auto"/>
          <w:kern w:val="0"/>
          <w:szCs w:val="24"/>
        </w:rPr>
        <w:t>国家金融监督管理总局规定的特殊情形除外。</w:t>
      </w:r>
    </w:p>
    <w:p w14:paraId="196CA5BC">
      <w:pPr>
        <w:pStyle w:val="3"/>
        <w:numPr>
          <w:ilvl w:val="1"/>
          <w:numId w:val="14"/>
        </w:numPr>
        <w:ind w:firstLine="482"/>
        <w:rPr>
          <w:color w:val="auto"/>
        </w:rPr>
      </w:pPr>
      <w:r>
        <w:rPr>
          <w:rFonts w:hint="eastAsia"/>
          <w:color w:val="auto"/>
        </w:rPr>
        <w:t>投资范围调整</w:t>
      </w:r>
    </w:p>
    <w:p w14:paraId="470152EC">
      <w:pPr>
        <w:tabs>
          <w:tab w:val="left" w:pos="3119"/>
        </w:tabs>
        <w:autoSpaceDE w:val="0"/>
        <w:autoSpaceDN w:val="0"/>
        <w:adjustRightInd w:val="0"/>
        <w:snapToGrid w:val="0"/>
        <w:spacing w:line="360" w:lineRule="auto"/>
        <w:ind w:firstLine="422" w:firstLineChars="200"/>
        <w:rPr>
          <w:rFonts w:ascii="仿宋_GB2312" w:hAnsi="宋体" w:cs="宋体"/>
          <w:color w:val="auto"/>
          <w:kern w:val="0"/>
          <w:szCs w:val="24"/>
        </w:rPr>
      </w:pPr>
      <w:r>
        <w:rPr>
          <w:rFonts w:hint="eastAsia" w:ascii="仿宋_GB2312" w:hAnsi="宋体" w:cs="宋体"/>
          <w:b/>
          <w:bCs/>
          <w:color w:val="auto"/>
          <w:kern w:val="0"/>
          <w:szCs w:val="24"/>
        </w:rPr>
        <w:t>在不违反法律、法规、规章和监管规定的强制性规范的前提下，管理人有权根据市场情况，对本产品的投资范围、投资资产种类或投资比例等进行调整，在调整前将通过本产品说明书约定的信息披露渠道进行信息披露。</w:t>
      </w:r>
      <w:r>
        <w:rPr>
          <w:rFonts w:hint="eastAsia" w:ascii="仿宋_GB2312" w:hAnsi="宋体" w:cs="宋体"/>
          <w:color w:val="auto"/>
          <w:kern w:val="0"/>
          <w:szCs w:val="24"/>
        </w:rPr>
        <w:t>上述情况下管理人可能开放赎回，具体以信息披露内容为准。投资者不同意信息披露内容的，可在信息披露中约定的时间内赎回本产品。如投资者未在上述约定时间内赎回本产品，则视为投资者对上述调整无异议并同意继续持有本产品。除高风险类型的理财产品超出比例范围投资较低风险资产的情况外，管理人应提前取得投资者书面同意，并履行登记备案等法律法规以及金融监督管理部门规定的程序。</w:t>
      </w:r>
    </w:p>
    <w:p w14:paraId="7C6CEC24">
      <w:pPr>
        <w:pStyle w:val="3"/>
        <w:numPr>
          <w:ilvl w:val="1"/>
          <w:numId w:val="14"/>
        </w:numPr>
        <w:autoSpaceDE w:val="0"/>
        <w:autoSpaceDN w:val="0"/>
        <w:adjustRightInd w:val="0"/>
        <w:snapToGrid w:val="0"/>
        <w:ind w:right="31" w:rightChars="15" w:firstLine="482"/>
        <w:rPr>
          <w:color w:val="auto"/>
        </w:rPr>
      </w:pPr>
      <w:r>
        <w:rPr>
          <w:rFonts w:hint="eastAsia"/>
          <w:color w:val="auto"/>
        </w:rPr>
        <w:t>投资策略</w:t>
      </w:r>
    </w:p>
    <w:p w14:paraId="66A99379">
      <w:pPr>
        <w:tabs>
          <w:tab w:val="left" w:pos="3119"/>
        </w:tabs>
        <w:autoSpaceDE w:val="0"/>
        <w:autoSpaceDN w:val="0"/>
        <w:adjustRightInd w:val="0"/>
        <w:snapToGrid w:val="0"/>
        <w:spacing w:line="360" w:lineRule="auto"/>
        <w:ind w:firstLine="420" w:firstLineChars="200"/>
        <w:rPr>
          <w:color w:val="auto"/>
          <w:highlight w:val="yellow"/>
        </w:rPr>
      </w:pPr>
      <w:r>
        <w:rPr>
          <w:rFonts w:hint="eastAsia"/>
          <w:color w:val="auto"/>
          <w:highlight w:val="yellow"/>
        </w:rPr>
        <w:t>【</w:t>
      </w:r>
      <w:r>
        <w:rPr>
          <w:color w:val="auto"/>
          <w:highlight w:val="yellow"/>
        </w:rPr>
        <w:t>】</w:t>
      </w:r>
    </w:p>
    <w:p w14:paraId="1DD7F0DD">
      <w:pPr>
        <w:pStyle w:val="3"/>
        <w:numPr>
          <w:ilvl w:val="1"/>
          <w:numId w:val="14"/>
        </w:numPr>
        <w:ind w:firstLine="482"/>
        <w:rPr>
          <w:color w:val="auto"/>
        </w:rPr>
      </w:pPr>
      <w:r>
        <w:rPr>
          <w:rFonts w:hint="eastAsia"/>
          <w:color w:val="auto"/>
        </w:rPr>
        <w:t>投资</w:t>
      </w:r>
      <w:r>
        <w:rPr>
          <w:color w:val="auto"/>
        </w:rPr>
        <w:t>合作机构</w:t>
      </w:r>
    </w:p>
    <w:p w14:paraId="47CFAF88">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rPr>
      </w:pPr>
      <w:r>
        <w:rPr>
          <w:rFonts w:hint="eastAsia" w:ascii="仿宋_GB2312" w:hAnsi="宋体" w:cs="宋体"/>
          <w:bCs/>
          <w:color w:val="auto"/>
          <w:kern w:val="0"/>
          <w:szCs w:val="24"/>
        </w:rPr>
        <w:t>投资合作机构包括但不限于理财产品所投资资产管理产品的发行机构、根据合同约定从事理财产品受托投资的机构、与理财产品投资管理相关的投资顾问等。本理财产品的投资合作机构主要职责为对受托资金进行投资和管理，根据合同约定从事受托投资或提供投资顾问等服务，具体职责以管理人与投资合作机构签署的合同为准。</w:t>
      </w:r>
    </w:p>
    <w:p w14:paraId="07F9D761">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rPr>
      </w:pPr>
      <w:r>
        <w:rPr>
          <w:rFonts w:hint="eastAsia" w:ascii="仿宋_GB2312" w:hAnsi="宋体" w:cs="宋体"/>
          <w:bCs/>
          <w:color w:val="auto"/>
          <w:kern w:val="0"/>
          <w:szCs w:val="24"/>
        </w:rPr>
        <w:t>本理财产品的投资合作机构均为具有专业资质并受国家金融监督管理总局监管的金融机构或国务院银行业监督管理机构认可的其他机构。本理财产品成立时暂无特定投资合作机构，具体以后续信息披露为准。</w:t>
      </w:r>
    </w:p>
    <w:p w14:paraId="37447C3C">
      <w:pPr>
        <w:widowControl/>
        <w:jc w:val="left"/>
        <w:rPr>
          <w:color w:val="auto"/>
        </w:rPr>
      </w:pPr>
      <w:r>
        <w:rPr>
          <w:color w:val="auto"/>
        </w:rPr>
        <w:br w:type="page"/>
      </w:r>
    </w:p>
    <w:p w14:paraId="18869840">
      <w:pPr>
        <w:pStyle w:val="2"/>
        <w:numPr>
          <w:ilvl w:val="0"/>
          <w:numId w:val="14"/>
        </w:numPr>
        <w:tabs>
          <w:tab w:val="left" w:pos="3119"/>
          <w:tab w:val="clear" w:pos="0"/>
        </w:tabs>
        <w:autoSpaceDE w:val="0"/>
        <w:autoSpaceDN w:val="0"/>
        <w:adjustRightInd w:val="0"/>
        <w:spacing w:before="240"/>
        <w:ind w:right="31" w:rightChars="15" w:firstLine="560"/>
        <w:contextualSpacing/>
        <w:rPr>
          <w:color w:val="auto"/>
        </w:rPr>
      </w:pPr>
      <w:r>
        <w:rPr>
          <w:rFonts w:hint="eastAsia"/>
          <w:color w:val="auto"/>
        </w:rPr>
        <w:t>理财产品的托管</w:t>
      </w:r>
    </w:p>
    <w:p w14:paraId="2DC2A81C">
      <w:pPr>
        <w:tabs>
          <w:tab w:val="left" w:pos="3119"/>
        </w:tabs>
        <w:autoSpaceDE w:val="0"/>
        <w:autoSpaceDN w:val="0"/>
        <w:adjustRightInd w:val="0"/>
        <w:spacing w:before="240" w:line="360" w:lineRule="auto"/>
        <w:ind w:right="31" w:rightChars="15" w:firstLine="422" w:firstLineChars="200"/>
        <w:contextualSpacing/>
        <w:rPr>
          <w:rFonts w:ascii="仿宋_GB2312" w:hAnsi="宋体" w:cs="宋体"/>
          <w:bCs/>
          <w:color w:val="auto"/>
          <w:kern w:val="0"/>
          <w:szCs w:val="24"/>
        </w:rPr>
      </w:pPr>
      <w:r>
        <w:rPr>
          <w:rFonts w:hint="eastAsia" w:ascii="仿宋_GB2312" w:hAnsi="宋体" w:cs="宋体"/>
          <w:b/>
          <w:bCs/>
          <w:color w:val="auto"/>
          <w:kern w:val="0"/>
          <w:szCs w:val="24"/>
        </w:rPr>
        <w:t>本理财产品托管人为</w:t>
      </w:r>
      <w:r>
        <w:rPr>
          <w:rFonts w:hint="eastAsia" w:ascii="仿宋_GB2312" w:hAnsi="宋体" w:cs="宋体"/>
          <w:b/>
          <w:bCs/>
          <w:color w:val="auto"/>
          <w:kern w:val="0"/>
          <w:szCs w:val="24"/>
          <w:highlight w:val="yellow"/>
        </w:rPr>
        <w:t>【】</w:t>
      </w:r>
      <w:r>
        <w:rPr>
          <w:rFonts w:hint="eastAsia" w:ascii="仿宋_GB2312" w:hAnsi="宋体" w:cs="宋体"/>
          <w:b/>
          <w:bCs/>
          <w:color w:val="auto"/>
          <w:kern w:val="0"/>
          <w:szCs w:val="24"/>
        </w:rPr>
        <w:t>。托管人</w:t>
      </w:r>
      <w:r>
        <w:rPr>
          <w:rFonts w:hint="eastAsia" w:ascii="仿宋_GB2312" w:hAnsi="宋体" w:cs="宋体"/>
          <w:b/>
          <w:bCs/>
          <w:color w:val="auto"/>
          <w:kern w:val="0"/>
          <w:szCs w:val="24"/>
          <w:highlight w:val="yellow"/>
        </w:rPr>
        <w:t>【</w:t>
      </w:r>
      <w:r>
        <w:rPr>
          <w:rFonts w:hint="eastAsia" w:ascii="仿宋_GB2312" w:hAnsi="宋体"/>
          <w:b/>
          <w:color w:val="auto"/>
          <w:szCs w:val="24"/>
          <w:highlight w:val="yellow"/>
        </w:rPr>
        <w:t>□</w:t>
      </w:r>
      <w:r>
        <w:rPr>
          <w:rFonts w:ascii="仿宋_GB2312" w:hAnsi="宋体"/>
          <w:b/>
          <w:color w:val="auto"/>
          <w:szCs w:val="24"/>
          <w:highlight w:val="yellow"/>
        </w:rPr>
        <w:t xml:space="preserve"> </w:t>
      </w:r>
      <w:r>
        <w:rPr>
          <w:rFonts w:hint="eastAsia" w:ascii="仿宋_GB2312" w:hAnsi="宋体" w:cs="宋体"/>
          <w:b/>
          <w:bCs/>
          <w:color w:val="auto"/>
          <w:kern w:val="0"/>
          <w:szCs w:val="24"/>
          <w:highlight w:val="yellow"/>
        </w:rPr>
        <w:t>是</w:t>
      </w:r>
      <w:r>
        <w:rPr>
          <w:rFonts w:ascii="仿宋_GB2312" w:hAnsi="宋体" w:cs="宋体"/>
          <w:b/>
          <w:bCs/>
          <w:color w:val="auto"/>
          <w:kern w:val="0"/>
          <w:szCs w:val="24"/>
          <w:highlight w:val="yellow"/>
        </w:rPr>
        <w:t xml:space="preserve"> </w:t>
      </w:r>
      <w:r>
        <w:rPr>
          <w:rFonts w:hint="eastAsia" w:ascii="仿宋_GB2312" w:hAnsi="宋体"/>
          <w:b/>
          <w:color w:val="auto"/>
          <w:szCs w:val="24"/>
          <w:highlight w:val="yellow"/>
          <w:lang w:eastAsia="zh-CN"/>
        </w:rPr>
        <w:t>□</w:t>
      </w:r>
      <w:r>
        <w:rPr>
          <w:rFonts w:ascii="仿宋_GB2312" w:hAnsi="宋体"/>
          <w:b/>
          <w:color w:val="auto"/>
          <w:szCs w:val="24"/>
          <w:highlight w:val="yellow"/>
        </w:rPr>
        <w:t xml:space="preserve"> </w:t>
      </w:r>
      <w:r>
        <w:rPr>
          <w:rFonts w:hint="eastAsia" w:ascii="仿宋_GB2312" w:hAnsi="宋体"/>
          <w:b/>
          <w:color w:val="auto"/>
          <w:szCs w:val="24"/>
          <w:highlight w:val="yellow"/>
        </w:rPr>
        <w:t>非</w:t>
      </w:r>
      <w:r>
        <w:rPr>
          <w:rFonts w:hint="eastAsia" w:ascii="仿宋_GB2312" w:hAnsi="宋体" w:cs="宋体"/>
          <w:b/>
          <w:bCs/>
          <w:color w:val="auto"/>
          <w:kern w:val="0"/>
          <w:szCs w:val="24"/>
          <w:highlight w:val="yellow"/>
        </w:rPr>
        <w:t>】</w:t>
      </w:r>
      <w:r>
        <w:rPr>
          <w:rFonts w:hint="eastAsia" w:ascii="仿宋_GB2312" w:hAnsi="宋体" w:cs="宋体"/>
          <w:b/>
          <w:bCs/>
          <w:color w:val="auto"/>
          <w:kern w:val="0"/>
          <w:szCs w:val="24"/>
        </w:rPr>
        <w:t>产品管理人的关联方。</w:t>
      </w:r>
    </w:p>
    <w:p w14:paraId="1389DD31">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highlight w:val="yellow"/>
        </w:rPr>
        <w:t>【】</w:t>
      </w:r>
      <w:r>
        <w:rPr>
          <w:rFonts w:hint="eastAsia" w:ascii="仿宋_GB2312" w:hAnsi="宋体" w:cs="宋体"/>
          <w:bCs/>
          <w:color w:val="auto"/>
          <w:kern w:val="0"/>
          <w:szCs w:val="24"/>
        </w:rPr>
        <w:t>具备监管机构认可的理财产品托管资格，主要履行职责包括：</w:t>
      </w:r>
    </w:p>
    <w:p w14:paraId="5F339EB2">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（一）安全保管理财产品财产；</w:t>
      </w:r>
    </w:p>
    <w:p w14:paraId="408CD1C4">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（二）确保托管资金安全，保证其托管的理财产品财产与其自有资产相互独立；为每只理财产品开设独立的托管账户，不同托管账户中的资产应当相互独立；</w:t>
      </w:r>
    </w:p>
    <w:p w14:paraId="170008A3">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（三）按照托管协议约定和管理人的投资指令，及时办理清算、交割事宜；</w:t>
      </w:r>
    </w:p>
    <w:p w14:paraId="07B64D4B">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（四）建立与管理人的对账机制，复核、审查理财产品资金头寸、资产账目、资产净值、认购和赎回价格等数据，及时核查认购、赎回以及投资资金的支付和到账情况；</w:t>
      </w:r>
    </w:p>
    <w:p w14:paraId="08B8C7F2">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（五）监督理财产品投资运作，发现理财产品违反法律、行政法规、规章规定或合同约定进行投资的，应当拒绝执行，及时通知管理人并报告银行业监督管理机构；</w:t>
      </w:r>
    </w:p>
    <w:p w14:paraId="0383F8FD">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六）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79450DF2">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（七）理财托管业务活动的记录、账册、报表和其他相关资料保存</w:t>
      </w:r>
      <w:r>
        <w:rPr>
          <w:rFonts w:ascii="仿宋_GB2312" w:hAnsi="宋体" w:cs="宋体"/>
          <w:bCs/>
          <w:color w:val="auto"/>
          <w:kern w:val="0"/>
          <w:szCs w:val="24"/>
        </w:rPr>
        <w:t>15年以上；</w:t>
      </w:r>
    </w:p>
    <w:p w14:paraId="2BA867E8">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（八）对理财产品投资信息和相关资料承担保密责任，除法律、行政法规、规章规定、审计要求或者合同约定外，不得向任何机构或者个人提供相关信息和资料；</w:t>
      </w:r>
    </w:p>
    <w:p w14:paraId="41BDED4C">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（九）托管人的董事、监事、高级管理人员和其他托管业务人员不得有《商业银行理财业务监督管理办法》第二十四条第二款所列行为；</w:t>
      </w:r>
    </w:p>
    <w:p w14:paraId="6DEFAAC9">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（十</w:t>
      </w:r>
      <w:r>
        <w:rPr>
          <w:rFonts w:ascii="仿宋_GB2312" w:hAnsi="宋体" w:cs="宋体"/>
          <w:bCs/>
          <w:color w:val="auto"/>
          <w:kern w:val="0"/>
          <w:szCs w:val="24"/>
        </w:rPr>
        <w:t>）</w:t>
      </w:r>
      <w:r>
        <w:rPr>
          <w:rFonts w:hint="eastAsia" w:ascii="仿宋_GB2312" w:hAnsi="宋体" w:cs="宋体"/>
          <w:bCs/>
          <w:color w:val="auto"/>
          <w:kern w:val="0"/>
          <w:szCs w:val="24"/>
        </w:rPr>
        <w:t>配合提供托管人相应关联方信息；</w:t>
      </w:r>
    </w:p>
    <w:p w14:paraId="5F1D1E73">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rPr>
      </w:pPr>
      <w:r>
        <w:rPr>
          <w:rFonts w:hint="eastAsia" w:ascii="仿宋_GB2312" w:hAnsi="宋体" w:cs="宋体"/>
          <w:bCs/>
          <w:color w:val="auto"/>
          <w:kern w:val="0"/>
          <w:szCs w:val="24"/>
        </w:rPr>
        <w:t>（十</w:t>
      </w:r>
      <w:r>
        <w:rPr>
          <w:rFonts w:ascii="仿宋_GB2312" w:hAnsi="宋体" w:cs="宋体"/>
          <w:bCs/>
          <w:color w:val="auto"/>
          <w:kern w:val="0"/>
          <w:szCs w:val="24"/>
        </w:rPr>
        <w:t>一）</w:t>
      </w:r>
      <w:r>
        <w:rPr>
          <w:rFonts w:hint="eastAsia" w:ascii="仿宋_GB2312" w:hAnsi="宋体" w:cs="宋体"/>
          <w:bCs/>
          <w:color w:val="auto"/>
          <w:kern w:val="0"/>
          <w:szCs w:val="24"/>
        </w:rPr>
        <w:t>国务院银行业监督管理机构规定的其他职责。</w:t>
      </w:r>
    </w:p>
    <w:p w14:paraId="0108341B">
      <w:pPr>
        <w:rPr>
          <w:rFonts w:ascii="仿宋_GB2312" w:hAnsi="宋体" w:cs="宋体"/>
          <w:bCs/>
          <w:color w:val="auto"/>
          <w:kern w:val="0"/>
          <w:szCs w:val="24"/>
        </w:rPr>
      </w:pPr>
      <w:r>
        <w:rPr>
          <w:rFonts w:ascii="仿宋_GB2312" w:hAnsi="宋体" w:cs="宋体"/>
          <w:bCs/>
          <w:color w:val="auto"/>
          <w:kern w:val="0"/>
          <w:szCs w:val="24"/>
        </w:rPr>
        <w:br w:type="page"/>
      </w:r>
    </w:p>
    <w:p w14:paraId="4F169891">
      <w:pPr>
        <w:pStyle w:val="2"/>
        <w:numPr>
          <w:ilvl w:val="0"/>
          <w:numId w:val="14"/>
        </w:numPr>
        <w:rPr>
          <w:color w:val="auto"/>
        </w:rPr>
      </w:pPr>
      <w:r>
        <w:rPr>
          <w:rFonts w:hint="eastAsia"/>
          <w:color w:val="auto"/>
        </w:rPr>
        <w:t>理财产品资产估值</w:t>
      </w:r>
    </w:p>
    <w:p w14:paraId="7EF94CA8">
      <w:pPr>
        <w:pStyle w:val="3"/>
        <w:numPr>
          <w:ilvl w:val="1"/>
          <w:numId w:val="14"/>
        </w:numPr>
        <w:ind w:firstLine="482"/>
        <w:rPr>
          <w:color w:val="auto"/>
        </w:rPr>
      </w:pPr>
      <w:r>
        <w:rPr>
          <w:rFonts w:hint="eastAsia"/>
          <w:color w:val="auto"/>
        </w:rPr>
        <w:t>估值日</w:t>
      </w:r>
    </w:p>
    <w:p w14:paraId="3731AD77">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yellow"/>
        </w:rPr>
      </w:pPr>
      <w:r>
        <w:rPr>
          <w:rFonts w:hint="eastAsia"/>
          <w:color w:val="auto"/>
          <w:highlight w:val="yellow"/>
          <w:lang w:eastAsia="zh-CN"/>
        </w:rPr>
        <w:t>【】</w:t>
      </w:r>
    </w:p>
    <w:p w14:paraId="165324A0">
      <w:pPr>
        <w:pStyle w:val="3"/>
        <w:numPr>
          <w:ilvl w:val="1"/>
          <w:numId w:val="14"/>
        </w:numPr>
        <w:ind w:firstLine="482"/>
        <w:rPr>
          <w:color w:val="auto"/>
        </w:rPr>
      </w:pPr>
      <w:r>
        <w:rPr>
          <w:rFonts w:hint="eastAsia"/>
          <w:color w:val="auto"/>
        </w:rPr>
        <w:t>估值对象</w:t>
      </w:r>
    </w:p>
    <w:p w14:paraId="78C06864">
      <w:pPr>
        <w:autoSpaceDE w:val="0"/>
        <w:autoSpaceDN w:val="0"/>
        <w:adjustRightInd w:val="0"/>
        <w:snapToGrid w:val="0"/>
        <w:spacing w:line="360" w:lineRule="auto"/>
        <w:ind w:firstLine="404" w:firstLineChars="200"/>
        <w:jc w:val="left"/>
        <w:rPr>
          <w:rFonts w:ascii="仿宋_GB2312" w:hAnsi="宋体" w:cs="宋体"/>
          <w:bCs/>
          <w:color w:val="auto"/>
          <w:spacing w:val="-4"/>
          <w:kern w:val="0"/>
          <w:szCs w:val="24"/>
        </w:rPr>
      </w:pPr>
      <w:r>
        <w:rPr>
          <w:rFonts w:hint="eastAsia" w:ascii="仿宋_GB2312" w:hAnsi="宋体" w:cs="宋体"/>
          <w:bCs/>
          <w:color w:val="auto"/>
          <w:spacing w:val="-4"/>
          <w:kern w:val="0"/>
          <w:szCs w:val="24"/>
        </w:rPr>
        <w:t>本理财产品估值的对象为本理财产品所持有的一切资产和负债。</w:t>
      </w:r>
    </w:p>
    <w:p w14:paraId="1140F431">
      <w:pPr>
        <w:pStyle w:val="3"/>
        <w:numPr>
          <w:ilvl w:val="1"/>
          <w:numId w:val="14"/>
        </w:numPr>
        <w:ind w:firstLine="482"/>
        <w:rPr>
          <w:color w:val="auto"/>
        </w:rPr>
      </w:pPr>
      <w:r>
        <w:rPr>
          <w:rFonts w:hint="eastAsia"/>
          <w:color w:val="auto"/>
        </w:rPr>
        <w:t>估值方法</w:t>
      </w:r>
    </w:p>
    <w:p w14:paraId="28D72D8C">
      <w:pPr>
        <w:autoSpaceDE w:val="0"/>
        <w:autoSpaceDN w:val="0"/>
        <w:adjustRightInd w:val="0"/>
        <w:snapToGrid w:val="0"/>
        <w:spacing w:line="360" w:lineRule="auto"/>
        <w:ind w:firstLine="420" w:firstLineChars="200"/>
        <w:jc w:val="left"/>
        <w:rPr>
          <w:rFonts w:ascii="仿宋_GB2312" w:hAnsi="宋体" w:cs="宋体"/>
          <w:bCs/>
          <w:color w:val="auto"/>
          <w:kern w:val="0"/>
          <w:szCs w:val="24"/>
        </w:rPr>
      </w:pPr>
      <w:r>
        <w:rPr>
          <w:rFonts w:hint="eastAsia" w:ascii="仿宋_GB2312" w:hAnsi="宋体" w:cs="宋体"/>
          <w:bCs/>
          <w:color w:val="auto"/>
          <w:kern w:val="0"/>
          <w:szCs w:val="24"/>
        </w:rPr>
        <w:t>1.本理财产品在确保资产净值能够公允反映投资组合价值的前提下，采用“摊余成本法”，即计价对象以买入成本列示，按照票面利率或协议利率并考虑其买入时的溢价与折价，在剩余存续期内按照实际利率法摊销，每日计提损益。</w:t>
      </w:r>
    </w:p>
    <w:p w14:paraId="185503A9">
      <w:pPr>
        <w:autoSpaceDE w:val="0"/>
        <w:autoSpaceDN w:val="0"/>
        <w:adjustRightInd w:val="0"/>
        <w:snapToGrid w:val="0"/>
        <w:spacing w:line="360" w:lineRule="auto"/>
        <w:ind w:firstLine="420" w:firstLineChars="200"/>
        <w:jc w:val="left"/>
        <w:rPr>
          <w:rFonts w:ascii="仿宋_GB2312" w:hAnsi="宋体" w:cs="宋体"/>
          <w:bCs/>
          <w:color w:val="auto"/>
          <w:kern w:val="0"/>
          <w:szCs w:val="24"/>
        </w:rPr>
      </w:pPr>
      <w:r>
        <w:rPr>
          <w:rFonts w:hint="eastAsia" w:ascii="仿宋_GB2312" w:hAnsi="宋体" w:cs="宋体"/>
          <w:bCs/>
          <w:color w:val="auto"/>
          <w:kern w:val="0"/>
          <w:szCs w:val="24"/>
        </w:rPr>
        <w:t>（1）银行存款、回购等货币市场工具按其商定利率或协议利率在实际持有期内逐日计提收益。</w:t>
      </w:r>
    </w:p>
    <w:p w14:paraId="147D1E86">
      <w:pPr>
        <w:autoSpaceDE w:val="0"/>
        <w:autoSpaceDN w:val="0"/>
        <w:adjustRightInd w:val="0"/>
        <w:snapToGrid w:val="0"/>
        <w:spacing w:line="360" w:lineRule="auto"/>
        <w:ind w:firstLine="420" w:firstLineChars="200"/>
        <w:jc w:val="left"/>
        <w:rPr>
          <w:rFonts w:ascii="仿宋_GB2312" w:hAnsi="宋体" w:cs="宋体"/>
          <w:bCs/>
          <w:color w:val="auto"/>
          <w:kern w:val="0"/>
          <w:szCs w:val="24"/>
        </w:rPr>
      </w:pPr>
      <w:r>
        <w:rPr>
          <w:rFonts w:hint="eastAsia" w:ascii="仿宋_GB2312" w:hAnsi="宋体" w:cs="宋体"/>
          <w:bCs/>
          <w:color w:val="auto"/>
          <w:kern w:val="0"/>
          <w:szCs w:val="24"/>
        </w:rPr>
        <w:t>（2）场外货币市场基金按最近披露的基金份额净值进行估值，并依据该基金公布的前一日每万份收益计提收益。</w:t>
      </w:r>
    </w:p>
    <w:p w14:paraId="11463A5A">
      <w:pPr>
        <w:autoSpaceDE w:val="0"/>
        <w:autoSpaceDN w:val="0"/>
        <w:adjustRightInd w:val="0"/>
        <w:snapToGrid w:val="0"/>
        <w:spacing w:line="360" w:lineRule="auto"/>
        <w:ind w:firstLine="420" w:firstLineChars="200"/>
        <w:jc w:val="left"/>
        <w:rPr>
          <w:rFonts w:ascii="仿宋_GB2312" w:hAnsi="宋体" w:cs="宋体"/>
          <w:bCs/>
          <w:color w:val="auto"/>
          <w:kern w:val="0"/>
          <w:szCs w:val="24"/>
        </w:rPr>
      </w:pPr>
      <w:r>
        <w:rPr>
          <w:rFonts w:hint="eastAsia" w:ascii="仿宋_GB2312" w:hAnsi="宋体" w:cs="宋体"/>
          <w:bCs/>
          <w:color w:val="auto"/>
          <w:kern w:val="0"/>
          <w:szCs w:val="24"/>
        </w:rPr>
        <w:t>（3）理财产品持有的债券等资产采用折溢价摊销后的摊余成本列示，按照票面利率计提应收利息。</w:t>
      </w:r>
    </w:p>
    <w:p w14:paraId="1667E078">
      <w:pPr>
        <w:autoSpaceDE w:val="0"/>
        <w:autoSpaceDN w:val="0"/>
        <w:adjustRightInd w:val="0"/>
        <w:snapToGrid w:val="0"/>
        <w:spacing w:line="360" w:lineRule="auto"/>
        <w:ind w:firstLine="420" w:firstLineChars="200"/>
        <w:jc w:val="left"/>
        <w:rPr>
          <w:rFonts w:ascii="仿宋_GB2312" w:hAnsi="宋体" w:cs="宋体"/>
          <w:bCs/>
          <w:color w:val="auto"/>
          <w:kern w:val="0"/>
          <w:szCs w:val="24"/>
        </w:rPr>
      </w:pPr>
      <w:r>
        <w:rPr>
          <w:rFonts w:hint="eastAsia" w:ascii="仿宋_GB2312" w:hAnsi="宋体" w:cs="宋体"/>
          <w:bCs/>
          <w:color w:val="auto"/>
          <w:kern w:val="0"/>
          <w:szCs w:val="24"/>
        </w:rPr>
        <w:t>（4</w:t>
      </w:r>
      <w:r>
        <w:rPr>
          <w:rFonts w:ascii="仿宋_GB2312" w:hAnsi="宋体" w:cs="宋体"/>
          <w:bCs/>
          <w:color w:val="auto"/>
          <w:kern w:val="0"/>
          <w:szCs w:val="24"/>
        </w:rPr>
        <w:t>）</w:t>
      </w:r>
      <w:r>
        <w:rPr>
          <w:rFonts w:hint="eastAsia" w:ascii="仿宋_GB2312" w:hAnsi="宋体" w:cs="宋体"/>
          <w:bCs/>
          <w:color w:val="auto"/>
          <w:kern w:val="0"/>
          <w:szCs w:val="24"/>
        </w:rPr>
        <w:t>对投资符合投资范围内的其他各类资产管理产品的估值按管理人公布的最新净值或者投资收益情况进行估值，或以理财产品管理人与理财产品托管人约定的方法进行估值。</w:t>
      </w:r>
    </w:p>
    <w:p w14:paraId="4E338F31">
      <w:pPr>
        <w:autoSpaceDE w:val="0"/>
        <w:autoSpaceDN w:val="0"/>
        <w:adjustRightInd w:val="0"/>
        <w:snapToGrid w:val="0"/>
        <w:spacing w:line="360" w:lineRule="auto"/>
        <w:ind w:firstLine="420" w:firstLineChars="200"/>
        <w:jc w:val="left"/>
        <w:rPr>
          <w:rFonts w:ascii="仿宋_GB2312" w:hAnsi="宋体" w:cs="宋体"/>
          <w:bCs/>
          <w:color w:val="auto"/>
          <w:kern w:val="0"/>
          <w:szCs w:val="24"/>
        </w:rPr>
      </w:pPr>
      <w:r>
        <w:rPr>
          <w:rFonts w:hint="eastAsia" w:ascii="仿宋_GB2312" w:hAnsi="宋体" w:cs="宋体"/>
          <w:bCs/>
          <w:color w:val="auto"/>
          <w:kern w:val="0"/>
          <w:szCs w:val="24"/>
        </w:rPr>
        <w:t>（</w:t>
      </w:r>
      <w:r>
        <w:rPr>
          <w:rFonts w:ascii="仿宋_GB2312" w:hAnsi="宋体" w:cs="宋体"/>
          <w:bCs/>
          <w:color w:val="auto"/>
          <w:kern w:val="0"/>
          <w:szCs w:val="24"/>
        </w:rPr>
        <w:t>5）</w:t>
      </w:r>
      <w:r>
        <w:rPr>
          <w:rFonts w:hint="eastAsia" w:ascii="仿宋_GB2312" w:hAnsi="宋体" w:cs="宋体"/>
          <w:bCs/>
          <w:color w:val="auto"/>
          <w:kern w:val="0"/>
          <w:szCs w:val="24"/>
        </w:rPr>
        <w:t>若本理财产品存续期间持有投资范围内其他投资品种，以理财产品管理人与理财产品托管人共同认可的方法进行估值。</w:t>
      </w:r>
    </w:p>
    <w:p w14:paraId="7D551621">
      <w:pPr>
        <w:autoSpaceDE w:val="0"/>
        <w:autoSpaceDN w:val="0"/>
        <w:adjustRightInd w:val="0"/>
        <w:snapToGrid w:val="0"/>
        <w:spacing w:line="360" w:lineRule="auto"/>
        <w:ind w:firstLine="420" w:firstLineChars="200"/>
        <w:jc w:val="left"/>
        <w:rPr>
          <w:rFonts w:ascii="仿宋_GB2312" w:hAnsi="宋体" w:cs="宋体"/>
          <w:bCs/>
          <w:color w:val="auto"/>
          <w:kern w:val="0"/>
          <w:szCs w:val="24"/>
        </w:rPr>
      </w:pPr>
      <w:r>
        <w:rPr>
          <w:rFonts w:hint="eastAsia" w:ascii="仿宋_GB2312" w:hAnsi="宋体" w:cs="宋体"/>
          <w:bCs/>
          <w:color w:val="auto"/>
          <w:kern w:val="0"/>
          <w:szCs w:val="24"/>
        </w:rPr>
        <w:t>2.</w:t>
      </w:r>
      <w:r>
        <w:rPr>
          <w:rFonts w:hint="eastAsia"/>
          <w:color w:val="auto"/>
        </w:rPr>
        <w:t xml:space="preserve"> </w:t>
      </w:r>
      <w:r>
        <w:rPr>
          <w:rFonts w:hint="eastAsia" w:ascii="仿宋_GB2312" w:hAnsi="宋体" w:cs="宋体"/>
          <w:bCs/>
          <w:color w:val="auto"/>
          <w:kern w:val="0"/>
          <w:szCs w:val="24"/>
        </w:rPr>
        <w:t>为了避免采用摊余成本法核算的理财产品资产净值与按市场利率和交易市价核算的理财产品资产净值发生重大偏离，导致投资者权益的稀释或其他不公平的结果。理财产品管理人与理财产品托管人将采用估值技术，对理财产品持有的估值对象进行重新评估，即“影子定价”。当影子定价确定的理财产品资产净值与摊余成本法计算的理财产品资产净值正偏离度绝对值达到0.5%时，理财产品管理人应当暂停接受</w:t>
      </w:r>
      <w:r>
        <w:rPr>
          <w:rFonts w:hint="eastAsia" w:ascii="仿宋_GB2312" w:hAnsi="宋体" w:cs="宋体"/>
          <w:bCs/>
          <w:color w:val="auto"/>
          <w:kern w:val="0"/>
          <w:szCs w:val="24"/>
          <w:lang w:eastAsia="zh-CN"/>
        </w:rPr>
        <w:t>申</w:t>
      </w:r>
      <w:r>
        <w:rPr>
          <w:rFonts w:hint="eastAsia" w:ascii="仿宋_GB2312" w:hAnsi="宋体" w:cs="宋体"/>
          <w:bCs/>
          <w:color w:val="auto"/>
          <w:kern w:val="0"/>
          <w:szCs w:val="24"/>
        </w:rPr>
        <w:t>购并在5个交易日内将正偏离度绝对值调整到0.5%以内。当负偏离度绝对值达到0.25%时，管理人应当在5个交易日内将负偏离度绝对值调整到0.25%以内。当负偏离度绝对值达到0.5%时，理财产品管理人应当采取相应措施，将负偏离度绝对值控制在0.5%以内。当负偏离度绝对值连续两个交易日超过0.5%时，理财产品管理人应当采用公允价值估值方法对持有投资组合的账面价值进行调整，或采用暂停接受所有赎回申请并终止产品合同进行财产清算等措施。当出现上述情形时，管理人将依据法律法规履行信息披露程序。</w:t>
      </w:r>
    </w:p>
    <w:p w14:paraId="1B3E1DF8">
      <w:pPr>
        <w:tabs>
          <w:tab w:val="left" w:pos="3119"/>
        </w:tabs>
        <w:autoSpaceDE w:val="0"/>
        <w:autoSpaceDN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3</w:t>
      </w:r>
      <w:r>
        <w:rPr>
          <w:rFonts w:ascii="仿宋_GB2312" w:hAnsi="宋体" w:cs="宋体"/>
          <w:bCs/>
          <w:color w:val="auto"/>
          <w:kern w:val="0"/>
          <w:szCs w:val="24"/>
        </w:rPr>
        <w:t>.</w:t>
      </w:r>
      <w:r>
        <w:rPr>
          <w:rFonts w:hint="eastAsia" w:ascii="仿宋_GB2312" w:hAnsi="宋体" w:cs="宋体"/>
          <w:bCs/>
          <w:color w:val="auto"/>
          <w:kern w:val="0"/>
          <w:szCs w:val="24"/>
        </w:rPr>
        <w:t>在任何情况下，如采用以上规定的方法对资产进行估值，均应被认为采用了适当的估值方法。如管理人有证据表明上述规定不能客观反映理财产品资产公允价值的，管理人可根据具体情况，在综合考虑市场成交价、市场报价、流动性、收益率曲线与标的信用风险等多种因素基础上，按最能反映理财产品资产公允价值的方法进行估值。</w:t>
      </w:r>
    </w:p>
    <w:p w14:paraId="451BFED2">
      <w:pPr>
        <w:pStyle w:val="3"/>
        <w:numPr>
          <w:ilvl w:val="1"/>
          <w:numId w:val="14"/>
        </w:numPr>
        <w:ind w:firstLine="482"/>
        <w:rPr>
          <w:color w:val="auto"/>
        </w:rPr>
      </w:pPr>
      <w:r>
        <w:rPr>
          <w:rFonts w:hint="eastAsia"/>
          <w:color w:val="auto"/>
        </w:rPr>
        <w:t>估值错误处理</w:t>
      </w:r>
    </w:p>
    <w:p w14:paraId="362A407C">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rPr>
      </w:pPr>
      <w:r>
        <w:rPr>
          <w:rFonts w:hint="eastAsia" w:ascii="仿宋_GB2312" w:hAnsi="宋体" w:cs="宋体"/>
          <w:bCs/>
          <w:color w:val="auto"/>
          <w:kern w:val="0"/>
          <w:szCs w:val="24"/>
        </w:rPr>
        <w:t>理财</w:t>
      </w:r>
      <w:r>
        <w:rPr>
          <w:rFonts w:ascii="仿宋_GB2312" w:hAnsi="宋体" w:cs="宋体"/>
          <w:bCs/>
          <w:color w:val="auto"/>
          <w:kern w:val="0"/>
          <w:szCs w:val="24"/>
        </w:rPr>
        <w:t>产品</w:t>
      </w:r>
      <w:r>
        <w:rPr>
          <w:rFonts w:hint="eastAsia" w:ascii="仿宋_GB2312" w:hAnsi="宋体" w:cs="宋体"/>
          <w:bCs/>
          <w:color w:val="auto"/>
          <w:kern w:val="0"/>
          <w:szCs w:val="24"/>
        </w:rPr>
        <w:t>管理人和</w:t>
      </w:r>
      <w:r>
        <w:rPr>
          <w:rFonts w:ascii="仿宋_GB2312" w:hAnsi="宋体" w:cs="宋体"/>
          <w:bCs/>
          <w:color w:val="auto"/>
          <w:kern w:val="0"/>
          <w:szCs w:val="24"/>
        </w:rPr>
        <w:t>理财产品托管人</w:t>
      </w:r>
      <w:r>
        <w:rPr>
          <w:rFonts w:hint="eastAsia" w:ascii="仿宋_GB2312" w:hAnsi="宋体" w:cs="宋体"/>
          <w:bCs/>
          <w:color w:val="auto"/>
          <w:kern w:val="0"/>
          <w:szCs w:val="24"/>
        </w:rPr>
        <w:t>将采取必要、适当、合理的措施确保产品资产估值的准确性、及时性。</w:t>
      </w:r>
    </w:p>
    <w:p w14:paraId="7DEE8BC9">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rPr>
      </w:pPr>
      <w:r>
        <w:rPr>
          <w:rFonts w:hint="eastAsia" w:ascii="仿宋_GB2312" w:hAnsi="宋体" w:cs="宋体"/>
          <w:bCs/>
          <w:color w:val="auto"/>
          <w:kern w:val="0"/>
          <w:szCs w:val="24"/>
        </w:rPr>
        <w:t>1.估值错误处理原则</w:t>
      </w:r>
    </w:p>
    <w:p w14:paraId="43A1F806">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rPr>
      </w:pPr>
      <w:r>
        <w:rPr>
          <w:rFonts w:hint="eastAsia" w:ascii="仿宋_GB2312" w:hAnsi="宋体" w:cs="宋体"/>
          <w:bCs/>
          <w:color w:val="auto"/>
          <w:kern w:val="0"/>
          <w:szCs w:val="24"/>
        </w:rPr>
        <w:t>（1）由于理财产品管理人或理财产品托管人自身过错造成的估值错误，导致投资者遭受损失的，由估值错误责任方按照各自过错程度对该估值错误导致投资者遭受的直接损失给予赔偿，承担赔偿责任。</w:t>
      </w:r>
    </w:p>
    <w:p w14:paraId="419FB737">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rPr>
      </w:pPr>
      <w:r>
        <w:rPr>
          <w:rFonts w:hint="eastAsia" w:ascii="仿宋_GB2312" w:hAnsi="宋体" w:cs="宋体"/>
          <w:bCs/>
          <w:color w:val="auto"/>
          <w:kern w:val="0"/>
          <w:szCs w:val="24"/>
        </w:rPr>
        <w:t>（2）对因技术原因引起的差错，若系同行业现有技术水平无法预见、无法避免、无法抗拒，属不可抗力。由于不可抗力原因，或由于证券交易所、期货交易所、第三方估值机构、信托公司、基金公司等发送数据错误等非管理人和托管人原因，管理人和托管人虽然已经采取必要、适当、合理的措施进行检查，但未能发现错误的，由此造成的估值错误，管理人和托管人免除赔偿责任。但管理人、托管人应当积极采取必要的措施减轻或消除由此造成的影响。但因该差错取得不当得利的投资者仍应负有返还不当得利的义务。</w:t>
      </w:r>
    </w:p>
    <w:p w14:paraId="10207685">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rPr>
      </w:pPr>
      <w:r>
        <w:rPr>
          <w:rFonts w:hint="eastAsia" w:ascii="仿宋_GB2312" w:hAnsi="宋体" w:cs="宋体"/>
          <w:bCs/>
          <w:color w:val="auto"/>
          <w:kern w:val="0"/>
          <w:szCs w:val="24"/>
        </w:rPr>
        <w:t>（3）若因理财产品托管人估值错误造成财产损失，理财产品管理人应向托管人追偿；若因理财产品管理人与理财产品托管人之外的第三方估值差错造成财产的损失，并拒绝进行赔偿时，由理财产品管理人负责向差错方追偿，追偿过程中产生的有关费用，应当列入理财产品费用，由理财产品承担。</w:t>
      </w:r>
    </w:p>
    <w:p w14:paraId="07BC99BF">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rPr>
      </w:pPr>
      <w:r>
        <w:rPr>
          <w:rFonts w:hint="eastAsia" w:ascii="仿宋_GB2312" w:hAnsi="宋体" w:cs="宋体"/>
          <w:bCs/>
          <w:color w:val="auto"/>
          <w:kern w:val="0"/>
          <w:szCs w:val="24"/>
        </w:rPr>
        <w:t>（4）因估值错误而获得不当得利的投资者负有及时返还不当得利的义务。</w:t>
      </w:r>
    </w:p>
    <w:p w14:paraId="0E97CF16">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rPr>
      </w:pPr>
      <w:r>
        <w:rPr>
          <w:rFonts w:hint="eastAsia" w:ascii="仿宋_GB2312" w:hAnsi="宋体" w:cs="宋体"/>
          <w:bCs/>
          <w:color w:val="auto"/>
          <w:kern w:val="0"/>
          <w:szCs w:val="24"/>
        </w:rPr>
        <w:t>（5）按法律法规规定的其他原则处理估值错误。</w:t>
      </w:r>
    </w:p>
    <w:p w14:paraId="73BF8B0F">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rPr>
      </w:pPr>
      <w:r>
        <w:rPr>
          <w:rFonts w:hint="eastAsia" w:ascii="仿宋_GB2312" w:hAnsi="宋体" w:cs="宋体"/>
          <w:bCs/>
          <w:color w:val="auto"/>
          <w:kern w:val="0"/>
          <w:szCs w:val="24"/>
        </w:rPr>
        <w:t>2.估值错误处理程序</w:t>
      </w:r>
    </w:p>
    <w:p w14:paraId="7EC65867">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rPr>
      </w:pPr>
      <w:r>
        <w:rPr>
          <w:rFonts w:hint="eastAsia" w:ascii="仿宋_GB2312" w:hAnsi="宋体" w:cs="宋体"/>
          <w:bCs/>
          <w:color w:val="auto"/>
          <w:kern w:val="0"/>
          <w:szCs w:val="24"/>
        </w:rPr>
        <w:t>估值错误被发现后，理财产品管理人与理财产品托管人应当及时进行处理，处理的程序如下：</w:t>
      </w:r>
    </w:p>
    <w:p w14:paraId="2260FEF7">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rPr>
      </w:pPr>
      <w:r>
        <w:rPr>
          <w:rFonts w:hint="eastAsia" w:ascii="仿宋_GB2312" w:hAnsi="宋体" w:cs="宋体"/>
          <w:bCs/>
          <w:color w:val="auto"/>
          <w:kern w:val="0"/>
          <w:szCs w:val="24"/>
        </w:rPr>
        <w:t>（1）查明估值差错发生的原因，根据估值错误发生的原因确定估值错误的责任方；</w:t>
      </w:r>
    </w:p>
    <w:p w14:paraId="38818840">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rPr>
      </w:pPr>
      <w:r>
        <w:rPr>
          <w:rFonts w:hint="eastAsia" w:ascii="仿宋_GB2312" w:hAnsi="宋体" w:cs="宋体"/>
          <w:bCs/>
          <w:color w:val="auto"/>
          <w:kern w:val="0"/>
          <w:szCs w:val="24"/>
        </w:rPr>
        <w:t>（2）根据估值错误处理原则对因估值错误造成的损失进行评估；</w:t>
      </w:r>
    </w:p>
    <w:p w14:paraId="35E5D768">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rPr>
      </w:pPr>
      <w:r>
        <w:rPr>
          <w:rFonts w:hint="eastAsia" w:ascii="仿宋_GB2312" w:hAnsi="宋体" w:cs="宋体"/>
          <w:bCs/>
          <w:color w:val="auto"/>
          <w:kern w:val="0"/>
          <w:szCs w:val="24"/>
        </w:rPr>
        <w:t>（3）根据估值错误处理原则或理财产品管理人与托管人协商的方法，由理财产品管理人与托管人共同进行更正，由估值错误的责任方进行赔偿损失。</w:t>
      </w:r>
    </w:p>
    <w:p w14:paraId="1E86BB56">
      <w:pPr>
        <w:pStyle w:val="3"/>
        <w:numPr>
          <w:ilvl w:val="1"/>
          <w:numId w:val="14"/>
        </w:numPr>
        <w:ind w:firstLine="482"/>
        <w:rPr>
          <w:color w:val="auto"/>
        </w:rPr>
      </w:pPr>
      <w:r>
        <w:rPr>
          <w:rFonts w:hint="eastAsia"/>
          <w:color w:val="auto"/>
        </w:rPr>
        <w:t>暂停估值的情形</w:t>
      </w:r>
    </w:p>
    <w:p w14:paraId="264D7AB5">
      <w:pPr>
        <w:autoSpaceDE w:val="0"/>
        <w:autoSpaceDN w:val="0"/>
        <w:adjustRightInd w:val="0"/>
        <w:snapToGrid w:val="0"/>
        <w:spacing w:line="360" w:lineRule="auto"/>
        <w:ind w:firstLine="420" w:firstLineChars="200"/>
        <w:jc w:val="left"/>
        <w:rPr>
          <w:rFonts w:ascii="仿宋_GB2312" w:hAnsi="宋体" w:cs="宋体"/>
          <w:bCs/>
          <w:color w:val="auto"/>
          <w:kern w:val="0"/>
          <w:szCs w:val="24"/>
        </w:rPr>
      </w:pPr>
      <w:r>
        <w:rPr>
          <w:rFonts w:hint="eastAsia" w:ascii="仿宋_GB2312" w:hAnsi="宋体" w:cs="宋体"/>
          <w:bCs/>
          <w:color w:val="auto"/>
          <w:kern w:val="0"/>
          <w:szCs w:val="24"/>
        </w:rPr>
        <w:t>1.当资产估值因不可抗力或其他情形致使本产品管理人和托管人无法准确评估资产价值时；</w:t>
      </w:r>
    </w:p>
    <w:p w14:paraId="619D02A8">
      <w:pPr>
        <w:autoSpaceDE w:val="0"/>
        <w:autoSpaceDN w:val="0"/>
        <w:adjustRightInd w:val="0"/>
        <w:snapToGrid w:val="0"/>
        <w:spacing w:line="360" w:lineRule="auto"/>
        <w:ind w:firstLine="420" w:firstLineChars="200"/>
        <w:jc w:val="left"/>
        <w:rPr>
          <w:rFonts w:ascii="仿宋_GB2312" w:hAnsi="宋体" w:cs="宋体"/>
          <w:bCs/>
          <w:color w:val="auto"/>
          <w:kern w:val="0"/>
          <w:szCs w:val="24"/>
        </w:rPr>
      </w:pPr>
      <w:r>
        <w:rPr>
          <w:rFonts w:hint="eastAsia" w:ascii="仿宋_GB2312" w:hAnsi="宋体" w:cs="宋体"/>
          <w:bCs/>
          <w:color w:val="auto"/>
          <w:kern w:val="0"/>
          <w:szCs w:val="24"/>
        </w:rPr>
        <w:t>2．理财产品投资所涉及的交易市场遇法定节假日或因其他原因暂停营业时；</w:t>
      </w:r>
    </w:p>
    <w:p w14:paraId="02C98547">
      <w:pPr>
        <w:autoSpaceDE w:val="0"/>
        <w:autoSpaceDN w:val="0"/>
        <w:adjustRightInd w:val="0"/>
        <w:snapToGrid w:val="0"/>
        <w:spacing w:line="360" w:lineRule="auto"/>
        <w:ind w:firstLine="420" w:firstLineChars="200"/>
        <w:jc w:val="left"/>
        <w:rPr>
          <w:rFonts w:ascii="仿宋_GB2312" w:hAnsi="宋体" w:cs="宋体"/>
          <w:bCs/>
          <w:color w:val="auto"/>
          <w:kern w:val="0"/>
          <w:szCs w:val="24"/>
        </w:rPr>
      </w:pPr>
      <w:r>
        <w:rPr>
          <w:rFonts w:hint="eastAsia" w:ascii="仿宋_GB2312" w:hAnsi="宋体" w:cs="宋体"/>
          <w:bCs/>
          <w:color w:val="auto"/>
          <w:kern w:val="0"/>
          <w:szCs w:val="24"/>
        </w:rPr>
        <w:t>3.理财产品投资的其他资产产品合同约定暂停估值或无法估值的情形发生，导致理财产品无法估值时；</w:t>
      </w:r>
    </w:p>
    <w:p w14:paraId="6E4018AE">
      <w:pPr>
        <w:autoSpaceDE w:val="0"/>
        <w:autoSpaceDN w:val="0"/>
        <w:adjustRightInd w:val="0"/>
        <w:snapToGrid w:val="0"/>
        <w:spacing w:line="360" w:lineRule="auto"/>
        <w:ind w:firstLine="420" w:firstLineChars="200"/>
        <w:jc w:val="left"/>
        <w:rPr>
          <w:rFonts w:ascii="仿宋_GB2312" w:hAnsi="宋体" w:cs="宋体"/>
          <w:bCs/>
          <w:color w:val="auto"/>
          <w:kern w:val="0"/>
          <w:szCs w:val="24"/>
        </w:rPr>
      </w:pPr>
      <w:r>
        <w:rPr>
          <w:rFonts w:hint="eastAsia" w:ascii="仿宋_GB2312" w:hAnsi="宋体" w:cs="宋体"/>
          <w:bCs/>
          <w:color w:val="auto"/>
          <w:kern w:val="0"/>
          <w:szCs w:val="24"/>
        </w:rPr>
        <w:t>4</w:t>
      </w:r>
      <w:r>
        <w:rPr>
          <w:rFonts w:ascii="仿宋_GB2312" w:hAnsi="宋体" w:cs="宋体"/>
          <w:bCs/>
          <w:color w:val="auto"/>
          <w:kern w:val="0"/>
          <w:szCs w:val="24"/>
        </w:rPr>
        <w:t>.</w:t>
      </w:r>
      <w:r>
        <w:rPr>
          <w:rFonts w:hint="eastAsia" w:ascii="仿宋_GB2312" w:hAnsi="宋体" w:cs="宋体"/>
          <w:bCs/>
          <w:color w:val="auto"/>
          <w:kern w:val="0"/>
          <w:szCs w:val="24"/>
        </w:rPr>
        <w:t>当前一估值日理财产品资产净值5</w:t>
      </w:r>
      <w:r>
        <w:rPr>
          <w:rFonts w:ascii="仿宋_GB2312" w:hAnsi="宋体" w:cs="宋体"/>
          <w:bCs/>
          <w:color w:val="auto"/>
          <w:kern w:val="0"/>
          <w:szCs w:val="24"/>
        </w:rPr>
        <w:t>0</w:t>
      </w:r>
      <w:r>
        <w:rPr>
          <w:rFonts w:hint="eastAsia" w:ascii="仿宋_GB2312" w:hAnsi="宋体" w:cs="宋体"/>
          <w:bCs/>
          <w:color w:val="auto"/>
          <w:kern w:val="0"/>
          <w:szCs w:val="24"/>
        </w:rPr>
        <w:t>%以上的资产不具备活跃市场或在活跃市场中无报价，且采用估值技术不能可靠计量公允价值时；</w:t>
      </w:r>
    </w:p>
    <w:p w14:paraId="453741E6">
      <w:pPr>
        <w:autoSpaceDE w:val="0"/>
        <w:autoSpaceDN w:val="0"/>
        <w:adjustRightInd w:val="0"/>
        <w:snapToGrid w:val="0"/>
        <w:spacing w:line="360" w:lineRule="auto"/>
        <w:ind w:firstLine="420" w:firstLineChars="200"/>
        <w:jc w:val="left"/>
        <w:rPr>
          <w:rFonts w:ascii="仿宋_GB2312" w:hAnsi="宋体" w:cs="宋体"/>
          <w:bCs/>
          <w:color w:val="auto"/>
          <w:kern w:val="0"/>
          <w:szCs w:val="24"/>
        </w:rPr>
      </w:pPr>
      <w:r>
        <w:rPr>
          <w:rFonts w:ascii="仿宋_GB2312" w:hAnsi="宋体" w:cs="宋体"/>
          <w:bCs/>
          <w:color w:val="auto"/>
          <w:kern w:val="0"/>
          <w:szCs w:val="24"/>
        </w:rPr>
        <w:t>5</w:t>
      </w:r>
      <w:r>
        <w:rPr>
          <w:rFonts w:hint="eastAsia" w:ascii="仿宋_GB2312" w:hAnsi="宋体" w:cs="宋体"/>
          <w:bCs/>
          <w:color w:val="auto"/>
          <w:kern w:val="0"/>
          <w:szCs w:val="24"/>
        </w:rPr>
        <w:t>.国家金融监督管理总局认定的其他情形或理财产品管理人、托管人有合理理由认为将影响本理财产品估值的其他情形。</w:t>
      </w:r>
    </w:p>
    <w:p w14:paraId="2E4BA3E0">
      <w:pPr>
        <w:jc w:val="left"/>
        <w:rPr>
          <w:rFonts w:ascii="仿宋_GB2312" w:hAnsi="宋体" w:cs="宋体"/>
          <w:bCs/>
          <w:color w:val="auto"/>
          <w:kern w:val="0"/>
          <w:szCs w:val="24"/>
        </w:rPr>
      </w:pPr>
      <w:r>
        <w:rPr>
          <w:rFonts w:hint="eastAsia" w:ascii="仿宋_GB2312" w:hAnsi="宋体" w:cs="宋体"/>
          <w:bCs/>
          <w:color w:val="auto"/>
          <w:kern w:val="0"/>
          <w:szCs w:val="24"/>
        </w:rPr>
        <w:br w:type="page"/>
      </w:r>
    </w:p>
    <w:p w14:paraId="5CBBDE8D">
      <w:pPr>
        <w:pStyle w:val="2"/>
        <w:numPr>
          <w:ilvl w:val="0"/>
          <w:numId w:val="14"/>
        </w:numPr>
        <w:rPr>
          <w:color w:val="auto"/>
        </w:rPr>
      </w:pPr>
      <w:r>
        <w:rPr>
          <w:rFonts w:hint="eastAsia"/>
          <w:color w:val="auto"/>
        </w:rPr>
        <w:t>理财产品的</w:t>
      </w:r>
      <w:r>
        <w:rPr>
          <w:rFonts w:hint="eastAsia"/>
          <w:color w:val="auto"/>
          <w:lang w:eastAsia="zh-CN"/>
        </w:rPr>
        <w:t>收益</w:t>
      </w:r>
      <w:r>
        <w:rPr>
          <w:rFonts w:hint="eastAsia"/>
          <w:color w:val="auto"/>
        </w:rPr>
        <w:t>分配</w:t>
      </w:r>
    </w:p>
    <w:p w14:paraId="2FF2F4DF">
      <w:pPr>
        <w:pStyle w:val="3"/>
        <w:numPr>
          <w:ilvl w:val="1"/>
          <w:numId w:val="14"/>
        </w:numPr>
        <w:tabs>
          <w:tab w:val="left" w:pos="709"/>
          <w:tab w:val="left" w:pos="3261"/>
        </w:tabs>
        <w:ind w:firstLine="482"/>
        <w:rPr>
          <w:color w:val="auto"/>
        </w:rPr>
      </w:pPr>
      <w:r>
        <w:rPr>
          <w:rFonts w:hint="eastAsia"/>
          <w:color w:val="auto"/>
        </w:rPr>
        <w:t>理财产品的收益构成</w:t>
      </w:r>
    </w:p>
    <w:p w14:paraId="5DBC9D3D">
      <w:pPr>
        <w:pStyle w:val="3"/>
        <w:numPr>
          <w:ilvl w:val="0"/>
          <w:numId w:val="0"/>
        </w:numPr>
        <w:tabs>
          <w:tab w:val="left" w:pos="709"/>
          <w:tab w:val="left" w:pos="3261"/>
        </w:tabs>
        <w:ind w:firstLine="482"/>
        <w:rPr>
          <w:color w:val="auto"/>
        </w:rPr>
      </w:pPr>
      <w:r>
        <w:rPr>
          <w:rFonts w:hint="eastAsia"/>
          <w:color w:val="auto"/>
        </w:rPr>
        <w:t>本理财产品的收益包括：投资债券、货币市场工具等</w:t>
      </w:r>
      <w:r>
        <w:rPr>
          <w:rFonts w:hint="eastAsia"/>
          <w:color w:val="auto"/>
          <w:highlight w:val="none"/>
          <w:u w:val="none"/>
          <w:lang w:eastAsia="zh-CN"/>
        </w:rPr>
        <w:t>投资范围内的资产和</w:t>
      </w:r>
      <w:r>
        <w:rPr>
          <w:rFonts w:hint="eastAsia"/>
          <w:color w:val="auto"/>
        </w:rPr>
        <w:t>监管机构认可的资产或资产管理产品所产生的利息收入、买卖证券差价收入、银行存款利息以及其他合法收入。该收益构成不代表投资者一定可以获得的收益。</w:t>
      </w:r>
    </w:p>
    <w:p w14:paraId="7FB7B4C3">
      <w:pPr>
        <w:pStyle w:val="3"/>
        <w:numPr>
          <w:ilvl w:val="1"/>
          <w:numId w:val="14"/>
        </w:numPr>
        <w:ind w:firstLine="482"/>
        <w:rPr>
          <w:color w:val="auto"/>
        </w:rPr>
      </w:pPr>
      <w:r>
        <w:rPr>
          <w:rFonts w:hint="eastAsia"/>
          <w:color w:val="auto"/>
          <w:lang w:eastAsia="zh-CN"/>
        </w:rPr>
        <w:t>理财收益</w:t>
      </w:r>
      <w:r>
        <w:rPr>
          <w:rFonts w:hint="eastAsia"/>
          <w:color w:val="auto"/>
        </w:rPr>
        <w:t>的分配类型</w:t>
      </w:r>
    </w:p>
    <w:p w14:paraId="77B3C429">
      <w:pPr>
        <w:autoSpaceDE w:val="0"/>
        <w:autoSpaceDN w:val="0"/>
        <w:adjustRightInd w:val="0"/>
        <w:snapToGrid w:val="0"/>
        <w:spacing w:line="360" w:lineRule="auto"/>
        <w:ind w:firstLine="420" w:firstLineChars="200"/>
        <w:jc w:val="left"/>
        <w:rPr>
          <w:rFonts w:ascii="仿宋_GB2312" w:hAnsi="宋体" w:cs="宋体"/>
          <w:bCs/>
          <w:color w:val="auto"/>
          <w:kern w:val="0"/>
          <w:szCs w:val="24"/>
        </w:rPr>
      </w:pPr>
      <w:r>
        <w:rPr>
          <w:rFonts w:hint="eastAsia" w:ascii="仿宋_GB2312" w:hAnsi="宋体" w:cs="宋体"/>
          <w:bCs/>
          <w:color w:val="auto"/>
          <w:kern w:val="0"/>
          <w:szCs w:val="24"/>
        </w:rPr>
        <w:t>1.依据分配时点，</w:t>
      </w:r>
      <w:r>
        <w:rPr>
          <w:rFonts w:hint="eastAsia" w:ascii="仿宋_GB2312" w:hAnsi="宋体" w:cs="宋体"/>
          <w:bCs/>
          <w:color w:val="auto"/>
          <w:kern w:val="0"/>
          <w:szCs w:val="24"/>
          <w:lang w:eastAsia="zh-CN"/>
        </w:rPr>
        <w:t>理财收益</w:t>
      </w:r>
      <w:r>
        <w:rPr>
          <w:rFonts w:hint="eastAsia" w:ascii="仿宋_GB2312" w:hAnsi="宋体" w:cs="宋体"/>
          <w:bCs/>
          <w:color w:val="auto"/>
          <w:kern w:val="0"/>
          <w:szCs w:val="24"/>
        </w:rPr>
        <w:t>的分配可分为“期间分配”与“终止分配”。</w:t>
      </w:r>
    </w:p>
    <w:p w14:paraId="544A4FE9">
      <w:pPr>
        <w:autoSpaceDE w:val="0"/>
        <w:autoSpaceDN w:val="0"/>
        <w:adjustRightInd w:val="0"/>
        <w:snapToGrid w:val="0"/>
        <w:spacing w:line="360" w:lineRule="auto"/>
        <w:ind w:firstLine="420" w:firstLineChars="200"/>
        <w:jc w:val="left"/>
        <w:rPr>
          <w:rFonts w:ascii="仿宋_GB2312" w:hAnsi="宋体" w:cs="宋体"/>
          <w:bCs/>
          <w:color w:val="auto"/>
          <w:kern w:val="0"/>
          <w:szCs w:val="24"/>
        </w:rPr>
      </w:pPr>
      <w:r>
        <w:rPr>
          <w:rFonts w:hint="eastAsia" w:ascii="仿宋_GB2312" w:hAnsi="宋体" w:cs="宋体"/>
          <w:bCs/>
          <w:color w:val="auto"/>
          <w:kern w:val="0"/>
          <w:szCs w:val="24"/>
        </w:rPr>
        <w:t>2.依据分配方式，</w:t>
      </w:r>
      <w:r>
        <w:rPr>
          <w:rFonts w:hint="eastAsia" w:ascii="仿宋_GB2312" w:hAnsi="宋体" w:cs="宋体"/>
          <w:bCs/>
          <w:color w:val="auto"/>
          <w:kern w:val="0"/>
          <w:szCs w:val="24"/>
          <w:lang w:eastAsia="zh-CN"/>
        </w:rPr>
        <w:t>理财收益</w:t>
      </w:r>
      <w:r>
        <w:rPr>
          <w:rFonts w:hint="eastAsia" w:ascii="仿宋_GB2312" w:hAnsi="宋体" w:cs="宋体"/>
          <w:bCs/>
          <w:color w:val="auto"/>
          <w:kern w:val="0"/>
          <w:szCs w:val="24"/>
        </w:rPr>
        <w:t>的分配可分为“现金分配”与“非现金分配”。</w:t>
      </w:r>
    </w:p>
    <w:p w14:paraId="35D9352E">
      <w:pPr>
        <w:pStyle w:val="3"/>
        <w:numPr>
          <w:ilvl w:val="1"/>
          <w:numId w:val="14"/>
        </w:numPr>
        <w:ind w:firstLine="482"/>
        <w:rPr>
          <w:color w:val="auto"/>
        </w:rPr>
      </w:pPr>
      <w:r>
        <w:rPr>
          <w:rFonts w:hint="eastAsia"/>
          <w:color w:val="auto"/>
          <w:lang w:eastAsia="zh-CN"/>
        </w:rPr>
        <w:t>理财收益</w:t>
      </w:r>
      <w:r>
        <w:rPr>
          <w:rFonts w:hint="eastAsia"/>
          <w:color w:val="auto"/>
        </w:rPr>
        <w:t>的分配原则</w:t>
      </w:r>
    </w:p>
    <w:p w14:paraId="56A59168">
      <w:pPr>
        <w:autoSpaceDE w:val="0"/>
        <w:autoSpaceDN w:val="0"/>
        <w:adjustRightInd w:val="0"/>
        <w:snapToGrid w:val="0"/>
        <w:spacing w:line="360" w:lineRule="auto"/>
        <w:ind w:firstLine="420" w:firstLineChars="200"/>
        <w:jc w:val="left"/>
        <w:rPr>
          <w:rFonts w:ascii="仿宋_GB2312" w:hAnsi="宋体" w:cs="宋体"/>
          <w:bCs/>
          <w:color w:val="auto"/>
          <w:kern w:val="0"/>
          <w:szCs w:val="24"/>
        </w:rPr>
      </w:pPr>
      <w:r>
        <w:rPr>
          <w:rFonts w:hint="eastAsia" w:ascii="仿宋_GB2312" w:hAnsi="宋体" w:cs="宋体"/>
          <w:bCs/>
          <w:color w:val="auto"/>
          <w:kern w:val="0"/>
          <w:szCs w:val="24"/>
        </w:rPr>
        <w:t>1.本产品利益分配应遵循下列原则：</w:t>
      </w:r>
    </w:p>
    <w:p w14:paraId="634C57E1">
      <w:pPr>
        <w:autoSpaceDE w:val="0"/>
        <w:autoSpaceDN w:val="0"/>
        <w:adjustRightInd w:val="0"/>
        <w:snapToGrid w:val="0"/>
        <w:spacing w:line="360" w:lineRule="auto"/>
        <w:ind w:firstLine="420" w:firstLineChars="200"/>
        <w:jc w:val="left"/>
        <w:rPr>
          <w:rFonts w:ascii="仿宋_GB2312" w:hAnsi="宋体" w:cs="宋体"/>
          <w:bCs/>
          <w:color w:val="auto"/>
          <w:kern w:val="0"/>
          <w:szCs w:val="24"/>
        </w:rPr>
      </w:pPr>
      <w:r>
        <w:rPr>
          <w:rFonts w:hint="eastAsia" w:ascii="仿宋_GB2312" w:hAnsi="宋体" w:cs="宋体"/>
          <w:bCs/>
          <w:color w:val="auto"/>
          <w:kern w:val="0"/>
          <w:szCs w:val="24"/>
        </w:rPr>
        <w:t>（1）每一产品份额享有同等分配权。</w:t>
      </w:r>
    </w:p>
    <w:p w14:paraId="2BED9F6A">
      <w:pPr>
        <w:autoSpaceDE w:val="0"/>
        <w:autoSpaceDN w:val="0"/>
        <w:adjustRightInd w:val="0"/>
        <w:snapToGrid w:val="0"/>
        <w:spacing w:line="360" w:lineRule="auto"/>
        <w:ind w:firstLine="420" w:firstLineChars="200"/>
        <w:jc w:val="left"/>
        <w:rPr>
          <w:rFonts w:ascii="仿宋_GB2312" w:hAnsi="宋体" w:cs="宋体"/>
          <w:bCs/>
          <w:color w:val="auto"/>
          <w:kern w:val="0"/>
          <w:szCs w:val="24"/>
        </w:rPr>
      </w:pPr>
      <w:r>
        <w:rPr>
          <w:rFonts w:hint="eastAsia" w:ascii="仿宋_GB2312" w:hAnsi="宋体" w:cs="宋体"/>
          <w:bCs/>
          <w:color w:val="auto"/>
          <w:kern w:val="0"/>
          <w:szCs w:val="24"/>
        </w:rPr>
        <w:t>（2）本产品收益分配方式为红利再投资，免收再投资的费用。</w:t>
      </w:r>
    </w:p>
    <w:p w14:paraId="5566E378">
      <w:pPr>
        <w:autoSpaceDE w:val="0"/>
        <w:autoSpaceDN w:val="0"/>
        <w:adjustRightInd w:val="0"/>
        <w:snapToGrid w:val="0"/>
        <w:spacing w:line="360" w:lineRule="auto"/>
        <w:ind w:firstLine="420" w:firstLineChars="200"/>
        <w:jc w:val="left"/>
        <w:rPr>
          <w:rFonts w:ascii="仿宋_GB2312" w:hAnsi="宋体" w:cs="宋体"/>
          <w:bCs/>
          <w:color w:val="auto"/>
          <w:kern w:val="0"/>
          <w:szCs w:val="24"/>
        </w:rPr>
      </w:pPr>
      <w:r>
        <w:rPr>
          <w:rFonts w:hint="eastAsia" w:ascii="仿宋_GB2312" w:hAnsi="宋体" w:cs="宋体"/>
          <w:bCs/>
          <w:color w:val="auto"/>
          <w:kern w:val="0"/>
          <w:szCs w:val="24"/>
        </w:rPr>
        <w:t>（3）申购的理财产品份额自申购确认之日起，享有产品的收益分配权益；赎回的理财产品份额自赎回确认之日起，不享有产品的收益分配权益。</w:t>
      </w:r>
    </w:p>
    <w:p w14:paraId="4940071F">
      <w:pPr>
        <w:autoSpaceDE w:val="0"/>
        <w:autoSpaceDN w:val="0"/>
        <w:adjustRightInd w:val="0"/>
        <w:snapToGrid w:val="0"/>
        <w:spacing w:line="360" w:lineRule="auto"/>
        <w:ind w:firstLine="420" w:firstLineChars="200"/>
        <w:jc w:val="left"/>
        <w:rPr>
          <w:rStyle w:val="12"/>
          <w:rFonts w:ascii="Calibri" w:hAnsi="Calibri" w:eastAsia="宋体" w:cs="Times New Roman"/>
          <w:color w:val="auto"/>
        </w:rPr>
      </w:pPr>
      <w:r>
        <w:rPr>
          <w:rFonts w:hint="eastAsia" w:ascii="仿宋_GB2312" w:hAnsi="宋体" w:cs="宋体"/>
          <w:bCs/>
          <w:color w:val="auto"/>
          <w:kern w:val="0"/>
          <w:szCs w:val="24"/>
        </w:rPr>
        <w:t>（4）“每日分配、按日支付”。本产品根据每日理财收益情况，以每万份理财已实现收益为基准，为投资人每日计算当日收益并分配，且每日进行支付。投资者当日收益分配的计算保留到小数点后</w:t>
      </w:r>
      <w:r>
        <w:rPr>
          <w:rFonts w:ascii="仿宋_GB2312" w:hAnsi="宋体" w:cs="宋体"/>
          <w:bCs/>
          <w:color w:val="auto"/>
          <w:kern w:val="0"/>
          <w:szCs w:val="24"/>
        </w:rPr>
        <w:t>2</w:t>
      </w:r>
      <w:r>
        <w:rPr>
          <w:rFonts w:hint="eastAsia" w:ascii="仿宋_GB2312" w:hAnsi="宋体" w:cs="宋体"/>
          <w:bCs/>
          <w:color w:val="auto"/>
          <w:kern w:val="0"/>
          <w:szCs w:val="24"/>
        </w:rPr>
        <w:t>位，小数点后第</w:t>
      </w:r>
      <w:r>
        <w:rPr>
          <w:rFonts w:ascii="仿宋_GB2312" w:hAnsi="宋体" w:cs="宋体"/>
          <w:bCs/>
          <w:color w:val="auto"/>
          <w:kern w:val="0"/>
          <w:szCs w:val="24"/>
        </w:rPr>
        <w:t>3</w:t>
      </w:r>
      <w:r>
        <w:rPr>
          <w:rFonts w:hint="eastAsia" w:ascii="仿宋_GB2312" w:hAnsi="宋体" w:cs="宋体"/>
          <w:bCs/>
          <w:color w:val="auto"/>
          <w:kern w:val="0"/>
          <w:szCs w:val="24"/>
        </w:rPr>
        <w:t>位按截位原则处理，</w:t>
      </w:r>
      <w:r>
        <w:rPr>
          <w:rFonts w:ascii="仿宋_GB2312" w:hAnsi="宋体" w:cs="宋体"/>
          <w:bCs/>
          <w:color w:val="auto"/>
          <w:kern w:val="0"/>
          <w:szCs w:val="24"/>
        </w:rPr>
        <w:t>因</w:t>
      </w:r>
      <w:r>
        <w:rPr>
          <w:rFonts w:hint="eastAsia" w:ascii="仿宋_GB2312" w:hAnsi="宋体" w:cs="宋体"/>
          <w:bCs/>
          <w:color w:val="auto"/>
          <w:kern w:val="0"/>
          <w:szCs w:val="24"/>
        </w:rPr>
        <w:t>截位</w:t>
      </w:r>
      <w:r>
        <w:rPr>
          <w:rFonts w:ascii="仿宋_GB2312" w:hAnsi="宋体" w:cs="宋体"/>
          <w:bCs/>
          <w:color w:val="auto"/>
          <w:kern w:val="0"/>
          <w:szCs w:val="24"/>
        </w:rPr>
        <w:t>形成的余额将再次分配，直到分</w:t>
      </w:r>
      <w:r>
        <w:rPr>
          <w:rFonts w:hint="eastAsia" w:ascii="仿宋_GB2312" w:hAnsi="宋体" w:cs="宋体"/>
          <w:bCs/>
          <w:color w:val="auto"/>
          <w:kern w:val="0"/>
          <w:szCs w:val="24"/>
        </w:rPr>
        <w:t>完</w:t>
      </w:r>
      <w:r>
        <w:rPr>
          <w:rFonts w:ascii="仿宋_GB2312" w:hAnsi="宋体" w:cs="宋体"/>
          <w:bCs/>
          <w:color w:val="auto"/>
          <w:kern w:val="0"/>
          <w:szCs w:val="24"/>
        </w:rPr>
        <w:t>为止</w:t>
      </w:r>
      <w:r>
        <w:rPr>
          <w:rFonts w:hint="eastAsia" w:ascii="仿宋_GB2312" w:hAnsi="宋体" w:cs="宋体"/>
          <w:bCs/>
          <w:color w:val="auto"/>
          <w:kern w:val="0"/>
          <w:szCs w:val="24"/>
        </w:rPr>
        <w:t>。</w:t>
      </w:r>
    </w:p>
    <w:p w14:paraId="389D699D">
      <w:pPr>
        <w:autoSpaceDE w:val="0"/>
        <w:autoSpaceDN w:val="0"/>
        <w:adjustRightInd w:val="0"/>
        <w:snapToGrid w:val="0"/>
        <w:spacing w:line="360" w:lineRule="auto"/>
        <w:ind w:firstLine="420" w:firstLineChars="200"/>
        <w:jc w:val="left"/>
        <w:rPr>
          <w:rFonts w:ascii="仿宋_GB2312" w:hAnsi="宋体" w:eastAsia="宋体" w:cs="宋体"/>
          <w:bCs/>
          <w:color w:val="auto"/>
          <w:kern w:val="0"/>
          <w:szCs w:val="24"/>
        </w:rPr>
      </w:pPr>
      <w:r>
        <w:rPr>
          <w:rFonts w:hint="eastAsia" w:ascii="仿宋_GB2312" w:hAnsi="宋体" w:cs="宋体"/>
          <w:bCs/>
          <w:color w:val="auto"/>
          <w:kern w:val="0"/>
          <w:szCs w:val="24"/>
        </w:rPr>
        <w:t>2.</w:t>
      </w:r>
      <w:r>
        <w:rPr>
          <w:rFonts w:hint="eastAsia" w:ascii="仿宋_GB2312" w:hAnsi="宋体" w:cs="宋体"/>
          <w:b/>
          <w:color w:val="auto"/>
          <w:kern w:val="0"/>
          <w:szCs w:val="24"/>
        </w:rPr>
        <w:t>就期间分配而言，</w:t>
      </w:r>
      <w:r>
        <w:rPr>
          <w:rFonts w:hint="eastAsia" w:ascii="仿宋_GB2312" w:hAnsi="宋体" w:cs="宋体"/>
          <w:bCs/>
          <w:color w:val="auto"/>
          <w:kern w:val="0"/>
          <w:szCs w:val="24"/>
        </w:rPr>
        <w:t>本产品收益支付方式为每日收益结转份额。</w:t>
      </w:r>
    </w:p>
    <w:p w14:paraId="4361BC1E">
      <w:pPr>
        <w:autoSpaceDE w:val="0"/>
        <w:autoSpaceDN w:val="0"/>
        <w:adjustRightInd w:val="0"/>
        <w:snapToGrid w:val="0"/>
        <w:spacing w:line="360" w:lineRule="auto"/>
        <w:ind w:firstLine="420" w:firstLineChars="200"/>
        <w:jc w:val="left"/>
        <w:rPr>
          <w:rFonts w:ascii="仿宋_GB2312" w:hAnsi="宋体" w:cs="宋体"/>
          <w:bCs/>
          <w:color w:val="auto"/>
          <w:kern w:val="0"/>
          <w:szCs w:val="24"/>
        </w:rPr>
      </w:pPr>
      <w:r>
        <w:rPr>
          <w:rFonts w:hint="eastAsia" w:ascii="仿宋_GB2312" w:hAnsi="宋体" w:cs="宋体"/>
          <w:bCs/>
          <w:color w:val="auto"/>
          <w:kern w:val="0"/>
          <w:szCs w:val="24"/>
        </w:rPr>
        <w:t>（1）本产品根据每日收益情况，将当日收益全部分配，若当日已实现收益大于零时，为投资者记正收益；若当日已实现收益小于零时，为投资人记负收益；若当日已实现收益等于零时，当日投资者不记收益。</w:t>
      </w:r>
    </w:p>
    <w:p w14:paraId="1C661074">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rPr>
      </w:pPr>
      <w:r>
        <w:rPr>
          <w:rFonts w:hint="eastAsia" w:ascii="仿宋_GB2312" w:hAnsi="宋体" w:cs="宋体"/>
          <w:bCs/>
          <w:color w:val="auto"/>
          <w:kern w:val="0"/>
          <w:szCs w:val="24"/>
        </w:rPr>
        <w:t>（2）本产品每日进行收益计算并分配时，产品管理人根据每日理财收益情况，以每万份理财已实现收益为基准，为投资人每日计算当日收益并分配，且每日进行支付，支付方式只采用红利再投资（即红利转产品份额）方式，收益按日结转份额，投资者可通过赎回理财产品份额获得现金收益；在当日收益支付时，若当日净收益大于零时，则增加投资者产品份额；若当日净收益等于零时，则保持投资者产品份额不变；产品管理人将采取必要措施尽量避免产品净收益小于零，若当日净收益小于零时，则缩减投资者产品份额。</w:t>
      </w:r>
    </w:p>
    <w:p w14:paraId="49EAC268">
      <w:pPr>
        <w:autoSpaceDE w:val="0"/>
        <w:autoSpaceDN w:val="0"/>
        <w:adjustRightInd w:val="0"/>
        <w:snapToGrid w:val="0"/>
        <w:spacing w:line="360" w:lineRule="auto"/>
        <w:ind w:firstLine="422" w:firstLineChars="200"/>
        <w:jc w:val="left"/>
        <w:rPr>
          <w:rFonts w:hint="eastAsia" w:ascii="仿宋_GB2312" w:hAnsi="宋体" w:cs="宋体"/>
          <w:b/>
          <w:kern w:val="0"/>
          <w:szCs w:val="24"/>
          <w:highlight w:val="yellow"/>
        </w:rPr>
      </w:pPr>
      <w:r>
        <w:rPr>
          <w:rFonts w:hint="eastAsia" w:ascii="仿宋_GB2312" w:hAnsi="宋体" w:cs="宋体"/>
          <w:b/>
          <w:kern w:val="0"/>
          <w:szCs w:val="24"/>
          <w:highlight w:val="yellow"/>
        </w:rPr>
        <w:t>3.未</w:t>
      </w:r>
      <w:r>
        <w:rPr>
          <w:rFonts w:hint="eastAsia" w:ascii="仿宋_GB2312" w:hAnsi="宋体" w:cs="宋体"/>
          <w:b/>
          <w:kern w:val="0"/>
          <w:szCs w:val="24"/>
          <w:highlight w:val="yellow"/>
          <w:lang w:val="en-US" w:eastAsia="zh-CN"/>
        </w:rPr>
        <w:t>结转</w:t>
      </w:r>
      <w:r>
        <w:rPr>
          <w:rFonts w:hint="eastAsia" w:ascii="仿宋_GB2312" w:hAnsi="宋体" w:cs="宋体"/>
          <w:b/>
          <w:kern w:val="0"/>
          <w:szCs w:val="24"/>
          <w:highlight w:val="yellow"/>
        </w:rPr>
        <w:t>收益的结转与清尾</w:t>
      </w:r>
    </w:p>
    <w:p w14:paraId="5086706B">
      <w:pPr>
        <w:autoSpaceDE w:val="0"/>
        <w:autoSpaceDN w:val="0"/>
        <w:adjustRightInd w:val="0"/>
        <w:snapToGrid w:val="0"/>
        <w:spacing w:line="360" w:lineRule="auto"/>
        <w:ind w:firstLine="420" w:firstLineChars="200"/>
        <w:jc w:val="left"/>
        <w:rPr>
          <w:rFonts w:ascii="仿宋_GB2312" w:hAnsi="宋体" w:cs="宋体"/>
          <w:kern w:val="0"/>
          <w:szCs w:val="24"/>
          <w:highlight w:val="yellow"/>
        </w:rPr>
      </w:pPr>
      <w:r>
        <w:rPr>
          <w:rFonts w:hint="eastAsia" w:ascii="仿宋_GB2312" w:hAnsi="宋体" w:cs="宋体"/>
          <w:kern w:val="0"/>
          <w:szCs w:val="24"/>
          <w:highlight w:val="yellow"/>
        </w:rPr>
        <w:t>本部分适用于未</w:t>
      </w:r>
      <w:r>
        <w:rPr>
          <w:rFonts w:hint="eastAsia" w:ascii="仿宋_GB2312" w:hAnsi="宋体" w:cs="宋体"/>
          <w:kern w:val="0"/>
          <w:szCs w:val="24"/>
          <w:highlight w:val="yellow"/>
          <w:lang w:val="en-US" w:eastAsia="zh-CN"/>
        </w:rPr>
        <w:t>结转</w:t>
      </w:r>
      <w:r>
        <w:rPr>
          <w:rFonts w:hint="eastAsia" w:ascii="仿宋_GB2312" w:hAnsi="宋体" w:cs="宋体"/>
          <w:kern w:val="0"/>
          <w:szCs w:val="24"/>
          <w:highlight w:val="yellow"/>
        </w:rPr>
        <w:t>收益以结转产品份额方式处理的情形，即部分赎回，以及全部赎回按本说明书“理财产品的赎回·6.赎回金额计算”（1）项之情形二处理的情形；全部赎回按情形一处理的，未</w:t>
      </w:r>
      <w:r>
        <w:rPr>
          <w:rFonts w:hint="eastAsia" w:ascii="仿宋_GB2312" w:hAnsi="宋体" w:cs="宋体"/>
          <w:kern w:val="0"/>
          <w:szCs w:val="24"/>
          <w:highlight w:val="yellow"/>
          <w:lang w:val="en-US" w:eastAsia="zh-CN"/>
        </w:rPr>
        <w:t>结转</w:t>
      </w:r>
      <w:r>
        <w:rPr>
          <w:rFonts w:hint="eastAsia" w:ascii="仿宋_GB2312" w:hAnsi="宋体" w:cs="宋体"/>
          <w:kern w:val="0"/>
          <w:szCs w:val="24"/>
          <w:highlight w:val="yellow"/>
        </w:rPr>
        <w:t>收益已随</w:t>
      </w:r>
      <w:r>
        <w:rPr>
          <w:rFonts w:hint="eastAsia" w:ascii="仿宋_GB2312" w:hAnsi="宋体" w:cs="宋体"/>
          <w:kern w:val="0"/>
          <w:szCs w:val="24"/>
          <w:highlight w:val="yellow"/>
          <w:lang w:val="en-US" w:eastAsia="zh-CN"/>
        </w:rPr>
        <w:t>当</w:t>
      </w:r>
      <w:r>
        <w:rPr>
          <w:rFonts w:hint="eastAsia" w:ascii="仿宋_GB2312" w:hAnsi="宋体" w:cs="宋体"/>
          <w:kern w:val="0"/>
          <w:szCs w:val="24"/>
          <w:highlight w:val="yellow"/>
        </w:rPr>
        <w:t>次赎回款一并结清，不适用本部分。</w:t>
      </w:r>
    </w:p>
    <w:p w14:paraId="5662D03E">
      <w:pPr>
        <w:autoSpaceDE w:val="0"/>
        <w:autoSpaceDN w:val="0"/>
        <w:adjustRightInd w:val="0"/>
        <w:snapToGrid w:val="0"/>
        <w:spacing w:line="360" w:lineRule="auto"/>
        <w:ind w:firstLine="420" w:firstLineChars="200"/>
        <w:jc w:val="left"/>
        <w:rPr>
          <w:rFonts w:ascii="仿宋_GB2312" w:hAnsi="宋体" w:cs="宋体"/>
          <w:kern w:val="0"/>
          <w:szCs w:val="24"/>
          <w:highlight w:val="yellow"/>
        </w:rPr>
      </w:pPr>
      <w:r>
        <w:rPr>
          <w:rFonts w:hint="eastAsia" w:ascii="仿宋_GB2312" w:hAnsi="宋体" w:cs="宋体"/>
          <w:kern w:val="0"/>
          <w:szCs w:val="24"/>
          <w:highlight w:val="yellow"/>
        </w:rPr>
        <w:t>（1）投资者</w:t>
      </w:r>
      <w:r>
        <w:rPr>
          <w:rFonts w:hint="eastAsia" w:ascii="仿宋_GB2312" w:hAnsi="宋体" w:cs="宋体"/>
          <w:kern w:val="0"/>
          <w:szCs w:val="24"/>
          <w:highlight w:val="yellow"/>
          <w:lang w:val="en-US" w:eastAsia="zh-CN"/>
        </w:rPr>
        <w:t>赎回日其持仓份额仍正常计提当日收益，</w:t>
      </w:r>
      <w:r>
        <w:rPr>
          <w:rFonts w:hint="eastAsia" w:ascii="仿宋_GB2312" w:hAnsi="宋体" w:cs="宋体"/>
          <w:kern w:val="0"/>
          <w:szCs w:val="24"/>
          <w:highlight w:val="yellow"/>
        </w:rPr>
        <w:t>若</w:t>
      </w:r>
      <w:r>
        <w:rPr>
          <w:rFonts w:hint="eastAsia" w:ascii="仿宋_GB2312" w:hAnsi="宋体" w:cs="宋体"/>
          <w:kern w:val="0"/>
          <w:szCs w:val="24"/>
          <w:highlight w:val="yellow"/>
          <w:lang w:val="en-US" w:eastAsia="zh-CN"/>
        </w:rPr>
        <w:t>赎回日当日</w:t>
      </w:r>
      <w:r>
        <w:rPr>
          <w:rFonts w:hint="eastAsia" w:ascii="仿宋_GB2312" w:hAnsi="宋体" w:cs="宋体"/>
          <w:kern w:val="0"/>
          <w:szCs w:val="24"/>
          <w:highlight w:val="yellow"/>
        </w:rPr>
        <w:t>系统尚未完成</w:t>
      </w:r>
      <w:r>
        <w:rPr>
          <w:rFonts w:hint="eastAsia" w:ascii="仿宋_GB2312" w:hAnsi="宋体" w:cs="宋体"/>
          <w:kern w:val="0"/>
          <w:szCs w:val="24"/>
          <w:highlight w:val="yellow"/>
          <w:lang w:val="en-US" w:eastAsia="zh-CN"/>
        </w:rPr>
        <w:t>当期净</w:t>
      </w:r>
      <w:r>
        <w:rPr>
          <w:rFonts w:hint="eastAsia" w:ascii="仿宋_GB2312" w:hAnsi="宋体" w:cs="宋体"/>
          <w:kern w:val="0"/>
          <w:szCs w:val="24"/>
          <w:highlight w:val="yellow"/>
        </w:rPr>
        <w:t>收益结转，</w:t>
      </w:r>
      <w:r>
        <w:rPr>
          <w:rFonts w:hint="eastAsia" w:ascii="仿宋_GB2312" w:hAnsi="宋体" w:cs="宋体"/>
          <w:kern w:val="0"/>
          <w:szCs w:val="24"/>
          <w:highlight w:val="yellow"/>
          <w:lang w:val="en-US" w:eastAsia="zh-CN"/>
        </w:rPr>
        <w:t>赎回清算仅兑付已确权存量份额</w:t>
      </w:r>
      <w:r>
        <w:rPr>
          <w:rFonts w:hint="eastAsia" w:ascii="仿宋_GB2312" w:hAnsi="宋体" w:cs="宋体"/>
          <w:kern w:val="0"/>
          <w:szCs w:val="24"/>
          <w:highlight w:val="yellow"/>
        </w:rPr>
        <w:t>；未</w:t>
      </w:r>
      <w:r>
        <w:rPr>
          <w:rFonts w:hint="eastAsia" w:ascii="仿宋_GB2312" w:hAnsi="宋体" w:cs="宋体"/>
          <w:kern w:val="0"/>
          <w:szCs w:val="24"/>
          <w:highlight w:val="yellow"/>
          <w:lang w:val="en-US" w:eastAsia="zh-CN"/>
        </w:rPr>
        <w:t>结转</w:t>
      </w:r>
      <w:r>
        <w:rPr>
          <w:rFonts w:hint="eastAsia" w:ascii="仿宋_GB2312" w:hAnsi="宋体" w:cs="宋体"/>
          <w:kern w:val="0"/>
          <w:szCs w:val="24"/>
          <w:highlight w:val="yellow"/>
        </w:rPr>
        <w:t>收益将于系统</w:t>
      </w:r>
      <w:r>
        <w:rPr>
          <w:rFonts w:hint="eastAsia" w:ascii="仿宋_GB2312" w:hAnsi="宋体" w:cs="宋体"/>
          <w:kern w:val="0"/>
          <w:szCs w:val="24"/>
          <w:highlight w:val="yellow"/>
          <w:lang w:val="en-US" w:eastAsia="zh-CN"/>
        </w:rPr>
        <w:t>完成</w:t>
      </w:r>
      <w:r>
        <w:rPr>
          <w:rFonts w:hint="eastAsia" w:ascii="仿宋_GB2312" w:hAnsi="宋体" w:cs="宋体"/>
          <w:kern w:val="0"/>
          <w:szCs w:val="24"/>
          <w:highlight w:val="yellow"/>
        </w:rPr>
        <w:t>处理后结转为</w:t>
      </w:r>
      <w:r>
        <w:rPr>
          <w:rFonts w:hint="eastAsia" w:ascii="仿宋_GB2312" w:hAnsi="宋体" w:cs="宋体"/>
          <w:kern w:val="0"/>
          <w:szCs w:val="24"/>
          <w:highlight w:val="yellow"/>
          <w:lang w:val="en-US" w:eastAsia="zh-CN"/>
        </w:rPr>
        <w:t>新增</w:t>
      </w:r>
      <w:r>
        <w:rPr>
          <w:rFonts w:hint="eastAsia" w:ascii="仿宋_GB2312" w:hAnsi="宋体" w:cs="宋体"/>
          <w:kern w:val="0"/>
          <w:szCs w:val="24"/>
          <w:highlight w:val="yellow"/>
        </w:rPr>
        <w:t>产品份额至投资者理财账户。</w:t>
      </w:r>
    </w:p>
    <w:p w14:paraId="2C724013">
      <w:pPr>
        <w:autoSpaceDE w:val="0"/>
        <w:autoSpaceDN w:val="0"/>
        <w:adjustRightInd w:val="0"/>
        <w:snapToGrid w:val="0"/>
        <w:spacing w:line="360" w:lineRule="auto"/>
        <w:ind w:firstLine="420" w:firstLineChars="200"/>
        <w:jc w:val="left"/>
        <w:rPr>
          <w:rFonts w:ascii="仿宋_GB2312" w:hAnsi="宋体" w:cs="宋体"/>
          <w:kern w:val="0"/>
          <w:szCs w:val="24"/>
          <w:highlight w:val="yellow"/>
        </w:rPr>
      </w:pPr>
      <w:r>
        <w:rPr>
          <w:rFonts w:hint="eastAsia" w:ascii="仿宋_GB2312" w:hAnsi="宋体" w:cs="宋体"/>
          <w:kern w:val="0"/>
          <w:szCs w:val="24"/>
          <w:highlight w:val="yellow"/>
        </w:rPr>
        <w:t>（2）清尾：投资者发起全部赎回申请后，</w:t>
      </w:r>
      <w:r>
        <w:rPr>
          <w:rFonts w:hint="eastAsia" w:ascii="仿宋_GB2312" w:hAnsi="宋体" w:cs="宋体"/>
          <w:kern w:val="0"/>
          <w:szCs w:val="24"/>
          <w:highlight w:val="yellow"/>
          <w:lang w:val="en-US" w:eastAsia="zh-CN"/>
        </w:rPr>
        <w:t>其赎回日当日持仓份额仍正常计提当日收益，若赎回日当日系统尚未完成当期净收益结转，赎回清算仅兑付已确权存量份额；未结转收益将于系统完成处理后结转为新增产品份额至投资者理财账户</w:t>
      </w:r>
      <w:r>
        <w:rPr>
          <w:rFonts w:hint="eastAsia" w:ascii="仿宋_GB2312" w:hAnsi="宋体" w:cs="宋体"/>
          <w:kern w:val="0"/>
          <w:szCs w:val="24"/>
          <w:highlight w:val="yellow"/>
        </w:rPr>
        <w:t>；投资者如需取得该部分收益，</w:t>
      </w:r>
      <w:r>
        <w:rPr>
          <w:rFonts w:hint="eastAsia" w:ascii="仿宋_GB2312" w:hAnsi="宋体" w:cs="宋体"/>
          <w:kern w:val="0"/>
          <w:szCs w:val="24"/>
          <w:highlight w:val="yellow"/>
          <w:lang w:val="en-US" w:eastAsia="zh-CN"/>
        </w:rPr>
        <w:t>需</w:t>
      </w:r>
      <w:r>
        <w:rPr>
          <w:rFonts w:hint="eastAsia" w:ascii="仿宋_GB2312" w:hAnsi="宋体" w:cs="宋体"/>
          <w:kern w:val="0"/>
          <w:szCs w:val="24"/>
          <w:highlight w:val="yellow"/>
        </w:rPr>
        <w:t>就</w:t>
      </w:r>
      <w:r>
        <w:rPr>
          <w:rFonts w:hint="eastAsia" w:ascii="仿宋_GB2312" w:hAnsi="宋体" w:cs="宋体"/>
          <w:kern w:val="0"/>
          <w:szCs w:val="24"/>
          <w:highlight w:val="yellow"/>
          <w:lang w:val="en-US" w:eastAsia="zh-CN"/>
        </w:rPr>
        <w:t>本次</w:t>
      </w:r>
      <w:r>
        <w:rPr>
          <w:rFonts w:hint="eastAsia" w:ascii="仿宋_GB2312" w:hAnsi="宋体" w:cs="宋体"/>
          <w:kern w:val="0"/>
          <w:szCs w:val="24"/>
          <w:highlight w:val="yellow"/>
        </w:rPr>
        <w:t>结转所得的</w:t>
      </w:r>
      <w:r>
        <w:rPr>
          <w:rFonts w:hint="eastAsia" w:ascii="仿宋_GB2312" w:hAnsi="宋体" w:cs="宋体"/>
          <w:kern w:val="0"/>
          <w:szCs w:val="24"/>
          <w:highlight w:val="yellow"/>
          <w:lang w:val="en-US" w:eastAsia="zh-CN"/>
        </w:rPr>
        <w:t>新增</w:t>
      </w:r>
      <w:r>
        <w:rPr>
          <w:rFonts w:hint="eastAsia" w:ascii="仿宋_GB2312" w:hAnsi="宋体" w:cs="宋体"/>
          <w:kern w:val="0"/>
          <w:szCs w:val="24"/>
          <w:highlight w:val="yellow"/>
        </w:rPr>
        <w:t>产品份额自行再次发起赎回申请，直至</w:t>
      </w:r>
      <w:r>
        <w:rPr>
          <w:rFonts w:hint="eastAsia" w:ascii="仿宋_GB2312" w:hAnsi="宋体" w:cs="宋体"/>
          <w:kern w:val="0"/>
          <w:szCs w:val="24"/>
          <w:highlight w:val="yellow"/>
          <w:lang w:val="en-US" w:eastAsia="zh-CN"/>
        </w:rPr>
        <w:t>持仓项下所有份额赎回</w:t>
      </w:r>
      <w:r>
        <w:rPr>
          <w:rFonts w:hint="eastAsia" w:ascii="仿宋_GB2312" w:hAnsi="宋体" w:cs="宋体"/>
          <w:kern w:val="0"/>
          <w:szCs w:val="24"/>
          <w:highlight w:val="yellow"/>
        </w:rPr>
        <w:t>结清。</w:t>
      </w:r>
    </w:p>
    <w:p w14:paraId="7A104633">
      <w:pPr>
        <w:autoSpaceDE w:val="0"/>
        <w:autoSpaceDN w:val="0"/>
        <w:adjustRightInd w:val="0"/>
        <w:snapToGrid w:val="0"/>
        <w:spacing w:line="360" w:lineRule="auto"/>
        <w:ind w:firstLine="420" w:firstLineChars="200"/>
        <w:jc w:val="left"/>
        <w:rPr>
          <w:rFonts w:ascii="仿宋_GB2312" w:hAnsi="宋体" w:cs="宋体"/>
          <w:kern w:val="0"/>
          <w:szCs w:val="24"/>
          <w:highlight w:val="yellow"/>
        </w:rPr>
      </w:pPr>
      <w:r>
        <w:rPr>
          <w:rFonts w:hint="eastAsia" w:ascii="仿宋_GB2312" w:hAnsi="宋体" w:cs="宋体"/>
          <w:kern w:val="0"/>
          <w:szCs w:val="24"/>
          <w:highlight w:val="yellow"/>
        </w:rPr>
        <w:t>（3）当投资者持有产品份额较低时，由于估值方法与收益结转</w:t>
      </w:r>
      <w:r>
        <w:rPr>
          <w:rFonts w:hint="eastAsia" w:ascii="仿宋_GB2312" w:hAnsi="宋体" w:cs="宋体"/>
          <w:kern w:val="0"/>
          <w:szCs w:val="24"/>
          <w:highlight w:val="yellow"/>
          <w:lang w:val="en-US" w:eastAsia="zh-CN"/>
        </w:rPr>
        <w:t>去尾</w:t>
      </w:r>
      <w:r>
        <w:rPr>
          <w:rFonts w:hint="eastAsia" w:ascii="仿宋_GB2312" w:hAnsi="宋体" w:cs="宋体"/>
          <w:kern w:val="0"/>
          <w:szCs w:val="24"/>
          <w:highlight w:val="yellow"/>
        </w:rPr>
        <w:t>规则的影响，</w:t>
      </w:r>
      <w:r>
        <w:rPr>
          <w:rFonts w:hint="eastAsia" w:ascii="仿宋_GB2312" w:hAnsi="宋体" w:cs="宋体"/>
          <w:kern w:val="0"/>
          <w:szCs w:val="24"/>
          <w:highlight w:val="yellow"/>
          <w:lang w:val="en-US" w:eastAsia="zh-CN"/>
        </w:rPr>
        <w:t>若出现收益金额不足收益结转最小份额单位、无法生成新增份额的情况，</w:t>
      </w:r>
      <w:r>
        <w:rPr>
          <w:rFonts w:hint="eastAsia" w:ascii="仿宋_GB2312" w:hAnsi="宋体" w:cs="宋体"/>
          <w:kern w:val="0"/>
          <w:szCs w:val="24"/>
          <w:highlight w:val="yellow"/>
        </w:rPr>
        <w:t>投资者可能无法</w:t>
      </w:r>
      <w:r>
        <w:rPr>
          <w:rFonts w:hint="eastAsia" w:ascii="仿宋_GB2312" w:hAnsi="宋体" w:cs="宋体"/>
          <w:kern w:val="0"/>
          <w:szCs w:val="24"/>
          <w:highlight w:val="yellow"/>
          <w:lang w:val="en-US" w:eastAsia="zh-CN"/>
        </w:rPr>
        <w:t>获</w:t>
      </w:r>
      <w:r>
        <w:rPr>
          <w:rFonts w:hint="eastAsia" w:ascii="仿宋_GB2312" w:hAnsi="宋体" w:cs="宋体"/>
          <w:kern w:val="0"/>
          <w:szCs w:val="24"/>
          <w:highlight w:val="yellow"/>
        </w:rPr>
        <w:t>得收益；就本部分项下投资者自行再赎回而言，尾额随每次赎回及每日收益结转的去尾规则逐次递减，当不足收益结转</w:t>
      </w:r>
      <w:r>
        <w:rPr>
          <w:rFonts w:hint="eastAsia" w:ascii="仿宋_GB2312" w:hAnsi="宋体" w:cs="宋体"/>
          <w:kern w:val="0"/>
          <w:szCs w:val="24"/>
          <w:highlight w:val="yellow"/>
          <w:lang w:val="en-US" w:eastAsia="zh-CN"/>
        </w:rPr>
        <w:t>最小</w:t>
      </w:r>
      <w:r>
        <w:rPr>
          <w:rFonts w:hint="eastAsia" w:ascii="仿宋_GB2312" w:hAnsi="宋体" w:cs="宋体"/>
          <w:kern w:val="0"/>
          <w:szCs w:val="24"/>
          <w:highlight w:val="yellow"/>
        </w:rPr>
        <w:t>单位时按去尾规则归零，敬请投资者知悉。</w:t>
      </w:r>
    </w:p>
    <w:p w14:paraId="295DBA34">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yellow"/>
        </w:rPr>
      </w:pPr>
      <w:r>
        <w:rPr>
          <w:rFonts w:hint="eastAsia" w:ascii="仿宋_GB2312" w:hAnsi="宋体" w:cs="宋体"/>
          <w:kern w:val="0"/>
          <w:szCs w:val="24"/>
          <w:highlight w:val="yellow"/>
        </w:rPr>
        <w:t>（4）投资者就前述结转所得产品份额再次发起赎回以结清未</w:t>
      </w:r>
      <w:r>
        <w:rPr>
          <w:rFonts w:hint="eastAsia" w:ascii="仿宋_GB2312" w:hAnsi="宋体" w:cs="宋体"/>
          <w:kern w:val="0"/>
          <w:szCs w:val="24"/>
          <w:highlight w:val="yellow"/>
          <w:lang w:val="en-US" w:eastAsia="zh-CN"/>
        </w:rPr>
        <w:t>结转</w:t>
      </w:r>
      <w:r>
        <w:rPr>
          <w:rFonts w:hint="eastAsia" w:ascii="仿宋_GB2312" w:hAnsi="宋体" w:cs="宋体"/>
          <w:kern w:val="0"/>
          <w:szCs w:val="24"/>
          <w:highlight w:val="yellow"/>
        </w:rPr>
        <w:t>收益的，其赎回不受本说明书关于单笔最小赎回份额及部分赎回后单一投资者持有产品份额下限的限制，且不计收强制赎回费。</w:t>
      </w:r>
    </w:p>
    <w:p w14:paraId="05A1CCB7">
      <w:pPr>
        <w:autoSpaceDE w:val="0"/>
        <w:autoSpaceDN w:val="0"/>
        <w:adjustRightInd w:val="0"/>
        <w:snapToGrid w:val="0"/>
        <w:spacing w:line="360" w:lineRule="auto"/>
        <w:ind w:firstLine="422" w:firstLineChars="200"/>
        <w:jc w:val="left"/>
        <w:rPr>
          <w:rFonts w:ascii="仿宋_GB2312" w:hAnsi="宋体" w:cs="宋体"/>
          <w:bCs/>
          <w:kern w:val="0"/>
          <w:szCs w:val="24"/>
        </w:rPr>
      </w:pPr>
      <w:r>
        <w:rPr>
          <w:rFonts w:hint="eastAsia" w:ascii="仿宋_GB2312" w:hAnsi="宋体" w:cs="宋体"/>
          <w:b/>
          <w:kern w:val="0"/>
          <w:szCs w:val="24"/>
          <w:lang w:val="en-US" w:eastAsia="zh-CN"/>
        </w:rPr>
        <w:t>4.</w:t>
      </w:r>
      <w:r>
        <w:rPr>
          <w:rFonts w:hint="eastAsia" w:ascii="仿宋_GB2312" w:hAnsi="宋体" w:cs="宋体"/>
          <w:b/>
          <w:kern w:val="0"/>
          <w:szCs w:val="24"/>
        </w:rPr>
        <w:t>就终止分配而言，</w:t>
      </w:r>
      <w:r>
        <w:rPr>
          <w:rFonts w:hint="eastAsia" w:ascii="仿宋_GB2312" w:hAnsi="宋体" w:cs="宋体"/>
          <w:bCs/>
          <w:kern w:val="0"/>
          <w:szCs w:val="24"/>
        </w:rPr>
        <w:t>（1）在理财产品终止日</w:t>
      </w:r>
      <w:r>
        <w:rPr>
          <w:rFonts w:hint="eastAsia" w:ascii="仿宋_GB2312" w:hAnsi="宋体" w:cs="宋体"/>
          <w:bCs/>
          <w:kern w:val="0"/>
          <w:szCs w:val="24"/>
          <w:lang w:eastAsia="zh-CN"/>
        </w:rPr>
        <w:t>，</w:t>
      </w:r>
      <w:r>
        <w:rPr>
          <w:rFonts w:hint="eastAsia" w:ascii="仿宋_GB2312" w:hAnsi="宋体" w:cs="宋体"/>
          <w:bCs/>
          <w:kern w:val="0"/>
          <w:szCs w:val="24"/>
        </w:rPr>
        <w:t>如理财产品项下财产全部变现，管理人在理财产品终止日后5</w:t>
      </w:r>
      <w:r>
        <w:rPr>
          <w:rFonts w:hint="eastAsia" w:ascii="仿宋_GB2312" w:hAnsi="宋体" w:cs="宋体"/>
          <w:bCs/>
          <w:kern w:val="0"/>
          <w:szCs w:val="24"/>
          <w:highlight w:val="none"/>
        </w:rPr>
        <w:t>个工作日内扣除应由理财产品承担的税费和费用后，将投资者应得资金划转至投资者指定账户。（2）在理财产品终止日，如理财产品项下所投资的标的资产因市场风险、信用风险等原因不能全部变现，则管理人将理财产品资产扣除应由理财产品承担的税费和费用后，按照各投资者持有理财产品份额比例在</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val="en-US" w:eastAsia="zh-CN"/>
        </w:rPr>
        <w:t>5</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rPr>
        <w:t>个</w:t>
      </w:r>
      <w:r>
        <w:rPr>
          <w:rFonts w:hint="eastAsia" w:ascii="仿宋_GB2312" w:hAnsi="宋体" w:cs="宋体"/>
          <w:bCs/>
          <w:color w:val="auto"/>
          <w:kern w:val="0"/>
          <w:szCs w:val="24"/>
          <w:highlight w:val="yellow"/>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工作日</w:t>
      </w:r>
      <w:r>
        <w:rPr>
          <w:rFonts w:ascii="仿宋_GB2312" w:hAnsi="宋体" w:cs="宋体"/>
          <w:bCs/>
          <w:color w:val="auto"/>
          <w:kern w:val="0"/>
          <w:szCs w:val="24"/>
          <w:highlight w:val="yellow"/>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交易日】</w:t>
      </w:r>
      <w:r>
        <w:rPr>
          <w:rFonts w:hint="eastAsia" w:ascii="仿宋_GB2312" w:hAnsi="宋体" w:cs="宋体"/>
          <w:bCs/>
          <w:kern w:val="0"/>
          <w:szCs w:val="24"/>
          <w:highlight w:val="none"/>
        </w:rPr>
        <w:t>内向投资者分配。对于未变现资产部分，管理人以投资者利益最大化原则，寻求变现方式，在资产变现后，扣除应由理财产品承担的费用后，按照各投资者持有理财产品份额比例在</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val="en-US" w:eastAsia="zh-CN"/>
        </w:rPr>
        <w:t>5</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rPr>
        <w:t>个</w:t>
      </w:r>
      <w:r>
        <w:rPr>
          <w:rFonts w:hint="eastAsia" w:ascii="仿宋_GB2312" w:hAnsi="宋体" w:cs="宋体"/>
          <w:bCs/>
          <w:color w:val="auto"/>
          <w:kern w:val="0"/>
          <w:szCs w:val="24"/>
          <w:highlight w:val="yellow"/>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工作日</w:t>
      </w:r>
      <w:r>
        <w:rPr>
          <w:rFonts w:ascii="仿宋_GB2312" w:hAnsi="宋体" w:cs="宋体"/>
          <w:bCs/>
          <w:color w:val="auto"/>
          <w:kern w:val="0"/>
          <w:szCs w:val="24"/>
          <w:highlight w:val="yellow"/>
        </w:rPr>
        <w:t>/</w:t>
      </w:r>
      <w:r>
        <w:rPr>
          <w:rFonts w:hint="eastAsia" w:ascii="仿宋_GB2312" w:hAnsi="宋体"/>
          <w:color w:val="auto"/>
          <w:szCs w:val="24"/>
          <w:highlight w:val="yellow"/>
          <w:lang w:eastAsia="zh-CN"/>
        </w:rPr>
        <w:t>□</w:t>
      </w:r>
      <w:r>
        <w:rPr>
          <w:rFonts w:hint="eastAsia" w:ascii="仿宋_GB2312" w:hAnsi="宋体" w:cs="宋体"/>
          <w:bCs/>
          <w:color w:val="auto"/>
          <w:kern w:val="0"/>
          <w:szCs w:val="24"/>
          <w:highlight w:val="yellow"/>
        </w:rPr>
        <w:t>交易日】</w:t>
      </w:r>
      <w:r>
        <w:rPr>
          <w:rFonts w:hint="eastAsia" w:ascii="仿宋_GB2312" w:hAnsi="宋体" w:cs="宋体"/>
          <w:bCs/>
          <w:kern w:val="0"/>
          <w:szCs w:val="24"/>
          <w:highlight w:val="none"/>
        </w:rPr>
        <w:t>内</w:t>
      </w:r>
      <w:r>
        <w:rPr>
          <w:rFonts w:hint="eastAsia" w:ascii="仿宋_GB2312" w:hAnsi="宋体" w:cs="宋体"/>
          <w:bCs/>
          <w:kern w:val="0"/>
          <w:szCs w:val="24"/>
        </w:rPr>
        <w:t>向投资者分配。（</w:t>
      </w:r>
      <w:r>
        <w:rPr>
          <w:rFonts w:hint="eastAsia" w:ascii="仿宋_GB2312" w:hAnsi="宋体" w:cs="宋体"/>
          <w:bCs/>
          <w:kern w:val="0"/>
          <w:szCs w:val="24"/>
          <w:lang w:val="en-US" w:eastAsia="zh-CN"/>
        </w:rPr>
        <w:t>3</w:t>
      </w:r>
      <w:r>
        <w:rPr>
          <w:rFonts w:hint="eastAsia" w:ascii="仿宋_GB2312" w:hAnsi="宋体" w:cs="宋体"/>
          <w:bCs/>
          <w:kern w:val="0"/>
          <w:szCs w:val="24"/>
        </w:rPr>
        <w:t>）在不</w:t>
      </w:r>
      <w:r>
        <w:rPr>
          <w:rFonts w:ascii="仿宋_GB2312" w:hAnsi="宋体" w:cs="宋体"/>
          <w:bCs/>
          <w:kern w:val="0"/>
          <w:szCs w:val="24"/>
        </w:rPr>
        <w:t>违反法律法规、理财产品销售文件约定以及对份额持有人权益无实质性不利影响的情况下，产品管理人可</w:t>
      </w:r>
      <w:r>
        <w:rPr>
          <w:rFonts w:hint="eastAsia" w:ascii="仿宋_GB2312" w:hAnsi="宋体" w:cs="宋体"/>
          <w:bCs/>
          <w:kern w:val="0"/>
          <w:szCs w:val="24"/>
        </w:rPr>
        <w:t>调整</w:t>
      </w:r>
      <w:r>
        <w:rPr>
          <w:rFonts w:ascii="仿宋_GB2312" w:hAnsi="宋体" w:cs="宋体"/>
          <w:bCs/>
          <w:kern w:val="0"/>
          <w:szCs w:val="24"/>
        </w:rPr>
        <w:t>本理财产品利益的分配原则与支付方式。法律</w:t>
      </w:r>
      <w:r>
        <w:rPr>
          <w:rFonts w:hint="eastAsia" w:ascii="仿宋_GB2312" w:hAnsi="宋体" w:cs="宋体"/>
          <w:bCs/>
          <w:kern w:val="0"/>
          <w:szCs w:val="24"/>
        </w:rPr>
        <w:t>法规</w:t>
      </w:r>
      <w:r>
        <w:rPr>
          <w:rFonts w:ascii="仿宋_GB2312" w:hAnsi="宋体" w:cs="宋体"/>
          <w:bCs/>
          <w:kern w:val="0"/>
          <w:szCs w:val="24"/>
        </w:rPr>
        <w:t>或监管机构另有规定的从其规定。</w:t>
      </w:r>
    </w:p>
    <w:p w14:paraId="304772A6">
      <w:pPr>
        <w:pStyle w:val="3"/>
        <w:numPr>
          <w:ilvl w:val="1"/>
          <w:numId w:val="14"/>
        </w:numPr>
        <w:tabs>
          <w:tab w:val="left" w:pos="0"/>
          <w:tab w:val="left" w:pos="709"/>
        </w:tabs>
        <w:ind w:firstLine="482" w:firstLineChars="0"/>
        <w:rPr>
          <w:color w:val="auto"/>
        </w:rPr>
      </w:pPr>
      <w:r>
        <w:rPr>
          <w:rFonts w:hint="eastAsia"/>
          <w:color w:val="auto"/>
          <w:lang w:eastAsia="zh-CN"/>
        </w:rPr>
        <w:t>理财收益</w:t>
      </w:r>
      <w:r>
        <w:rPr>
          <w:rFonts w:hint="eastAsia"/>
          <w:color w:val="auto"/>
        </w:rPr>
        <w:t>的分配</w:t>
      </w:r>
    </w:p>
    <w:p w14:paraId="31CFA5AC">
      <w:pPr>
        <w:autoSpaceDE w:val="0"/>
        <w:autoSpaceDN w:val="0"/>
        <w:adjustRightInd w:val="0"/>
        <w:snapToGrid w:val="0"/>
        <w:spacing w:line="360" w:lineRule="auto"/>
        <w:ind w:firstLine="420" w:firstLineChars="200"/>
        <w:jc w:val="left"/>
        <w:rPr>
          <w:rFonts w:ascii="仿宋_GB2312" w:hAnsi="宋体" w:cs="宋体"/>
          <w:bCs/>
          <w:color w:val="auto"/>
          <w:kern w:val="0"/>
          <w:szCs w:val="24"/>
        </w:rPr>
      </w:pPr>
      <w:r>
        <w:rPr>
          <w:rFonts w:ascii="仿宋_GB2312" w:hAnsi="宋体" w:cs="宋体"/>
          <w:bCs/>
          <w:color w:val="auto"/>
          <w:kern w:val="0"/>
          <w:szCs w:val="24"/>
        </w:rPr>
        <w:t>1.本产品每万份收益和</w:t>
      </w:r>
      <w:r>
        <w:rPr>
          <w:rFonts w:hint="eastAsia" w:ascii="仿宋_GB2312" w:hAnsi="宋体" w:cs="宋体"/>
          <w:bCs/>
          <w:color w:val="auto"/>
          <w:kern w:val="0"/>
          <w:szCs w:val="24"/>
        </w:rPr>
        <w:t>七日年化收益率的公布时间。管理人每个开放日公告前一个开放日每万份理财已实现收益和</w:t>
      </w:r>
      <w:r>
        <w:rPr>
          <w:rFonts w:ascii="仿宋_GB2312" w:hAnsi="宋体" w:cs="宋体"/>
          <w:bCs/>
          <w:color w:val="auto"/>
          <w:kern w:val="0"/>
          <w:szCs w:val="24"/>
        </w:rPr>
        <w:t>7日年化收益率</w:t>
      </w:r>
      <w:r>
        <w:rPr>
          <w:rFonts w:hint="eastAsia" w:ascii="仿宋_GB2312" w:hAnsi="宋体" w:cs="宋体"/>
          <w:bCs/>
          <w:color w:val="auto"/>
          <w:kern w:val="0"/>
          <w:szCs w:val="24"/>
        </w:rPr>
        <w:t>。若遇法定节假日，应于节假日结束后第一个工作日，披露节假日期间的每万份理财已实现收益和</w:t>
      </w:r>
      <w:r>
        <w:rPr>
          <w:rFonts w:ascii="仿宋_GB2312" w:hAnsi="宋体" w:cs="宋体"/>
          <w:bCs/>
          <w:color w:val="auto"/>
          <w:kern w:val="0"/>
          <w:szCs w:val="24"/>
        </w:rPr>
        <w:t>7日年化收益率</w:t>
      </w:r>
      <w:r>
        <w:rPr>
          <w:rFonts w:hint="eastAsia" w:ascii="仿宋_GB2312" w:hAnsi="宋体" w:cs="宋体"/>
          <w:bCs/>
          <w:color w:val="auto"/>
          <w:kern w:val="0"/>
          <w:szCs w:val="24"/>
        </w:rPr>
        <w:t>。法律法规另有规定的，从其规定。</w:t>
      </w:r>
    </w:p>
    <w:p w14:paraId="77712DEA">
      <w:pPr>
        <w:autoSpaceDE w:val="0"/>
        <w:autoSpaceDN w:val="0"/>
        <w:adjustRightInd w:val="0"/>
        <w:snapToGrid w:val="0"/>
        <w:spacing w:line="360" w:lineRule="auto"/>
        <w:ind w:firstLine="422" w:firstLineChars="200"/>
        <w:jc w:val="left"/>
        <w:rPr>
          <w:rFonts w:ascii="仿宋_GB2312" w:hAnsi="宋体" w:cs="宋体"/>
          <w:b/>
          <w:bCs/>
          <w:color w:val="auto"/>
          <w:kern w:val="0"/>
          <w:szCs w:val="24"/>
        </w:rPr>
      </w:pPr>
      <w:r>
        <w:rPr>
          <w:rFonts w:hint="eastAsia" w:ascii="仿宋_GB2312" w:hAnsi="宋体" w:cs="宋体"/>
          <w:b/>
          <w:bCs/>
          <w:color w:val="auto"/>
          <w:kern w:val="0"/>
          <w:szCs w:val="24"/>
        </w:rPr>
        <w:t>该收益仅供客户购买时决策参考，并不代表该理财产品未来的表现，也不构成产品管理人对本产品收益的任何承诺或保证，理财产品收益以管理人实际支付为准。</w:t>
      </w:r>
    </w:p>
    <w:p w14:paraId="3E384FA9">
      <w:pPr>
        <w:autoSpaceDE w:val="0"/>
        <w:autoSpaceDN w:val="0"/>
        <w:adjustRightInd w:val="0"/>
        <w:snapToGrid w:val="0"/>
        <w:spacing w:line="360" w:lineRule="auto"/>
        <w:ind w:firstLine="420" w:firstLineChars="200"/>
        <w:jc w:val="left"/>
        <w:rPr>
          <w:rFonts w:ascii="仿宋_GB2312" w:hAnsi="宋体" w:cs="宋体"/>
          <w:bCs/>
          <w:color w:val="auto"/>
          <w:kern w:val="0"/>
          <w:szCs w:val="24"/>
        </w:rPr>
      </w:pPr>
      <w:r>
        <w:rPr>
          <w:rFonts w:hint="eastAsia" w:ascii="仿宋_GB2312" w:hAnsi="宋体" w:cs="宋体"/>
          <w:bCs/>
          <w:color w:val="auto"/>
          <w:kern w:val="0"/>
          <w:szCs w:val="24"/>
        </w:rPr>
        <w:t>本产品每日例行对当天实现的收益进行收益结转，每日例行的收益结转不再另行公告。</w:t>
      </w:r>
    </w:p>
    <w:p w14:paraId="214D3B28">
      <w:pPr>
        <w:autoSpaceDE w:val="0"/>
        <w:autoSpaceDN w:val="0"/>
        <w:adjustRightInd w:val="0"/>
        <w:snapToGrid w:val="0"/>
        <w:spacing w:line="360" w:lineRule="auto"/>
        <w:ind w:firstLine="420" w:firstLineChars="200"/>
        <w:jc w:val="left"/>
        <w:rPr>
          <w:color w:val="auto"/>
        </w:rPr>
      </w:pPr>
      <w:r>
        <w:rPr>
          <w:rFonts w:hint="eastAsia" w:ascii="仿宋_GB2312" w:hAnsi="宋体" w:cs="宋体"/>
          <w:bCs/>
          <w:color w:val="auto"/>
          <w:kern w:val="0"/>
          <w:szCs w:val="24"/>
        </w:rPr>
        <w:t>2.如发生需要延期分配的特殊情况，产品管理人将对延期分配的情况进行公告。</w:t>
      </w:r>
      <w:r>
        <w:rPr>
          <w:rFonts w:hint="eastAsia" w:ascii="仿宋_GB2312" w:hAnsi="宋体" w:eastAsia="仿宋_GB2312"/>
          <w:bCs/>
          <w:color w:val="auto"/>
        </w:rPr>
        <w:br w:type="page"/>
      </w:r>
    </w:p>
    <w:p w14:paraId="668A81A4">
      <w:pPr>
        <w:pStyle w:val="2"/>
        <w:numPr>
          <w:ilvl w:val="0"/>
          <w:numId w:val="14"/>
        </w:numPr>
        <w:rPr>
          <w:color w:val="auto"/>
        </w:rPr>
      </w:pPr>
      <w:r>
        <w:rPr>
          <w:rFonts w:hint="eastAsia"/>
          <w:color w:val="auto"/>
        </w:rPr>
        <w:t>理财产品的费用与税收</w:t>
      </w:r>
    </w:p>
    <w:p w14:paraId="6779AB30">
      <w:pPr>
        <w:pStyle w:val="3"/>
        <w:numPr>
          <w:ilvl w:val="1"/>
          <w:numId w:val="14"/>
        </w:numPr>
        <w:tabs>
          <w:tab w:val="left" w:pos="0"/>
          <w:tab w:val="left" w:pos="709"/>
        </w:tabs>
        <w:ind w:firstLine="482" w:firstLineChars="0"/>
        <w:rPr>
          <w:color w:val="auto"/>
        </w:rPr>
      </w:pPr>
      <w:r>
        <w:rPr>
          <w:rFonts w:hint="eastAsia"/>
          <w:color w:val="auto"/>
        </w:rPr>
        <w:t>理财费用</w:t>
      </w:r>
    </w:p>
    <w:p w14:paraId="27D54332">
      <w:pPr>
        <w:widowControl/>
        <w:tabs>
          <w:tab w:val="left" w:pos="709"/>
        </w:tabs>
        <w:snapToGrid w:val="0"/>
        <w:spacing w:line="360" w:lineRule="auto"/>
        <w:ind w:firstLine="420" w:firstLineChars="200"/>
        <w:rPr>
          <w:rFonts w:ascii="仿宋_GB2312" w:hAnsi="宋体" w:cs="宋体"/>
          <w:bCs/>
          <w:color w:val="auto"/>
          <w:kern w:val="0"/>
          <w:szCs w:val="24"/>
        </w:rPr>
      </w:pPr>
      <w:r>
        <w:rPr>
          <w:rFonts w:ascii="仿宋_GB2312" w:hAnsi="宋体" w:cs="宋体"/>
          <w:bCs/>
          <w:color w:val="auto"/>
          <w:kern w:val="0"/>
          <w:szCs w:val="24"/>
        </w:rPr>
        <w:t>1.理财产品费用的种类</w:t>
      </w:r>
    </w:p>
    <w:p w14:paraId="5E0FD4F5">
      <w:pPr>
        <w:widowControl/>
        <w:tabs>
          <w:tab w:val="left" w:pos="709"/>
        </w:tabs>
        <w:snapToGrid w:val="0"/>
        <w:spacing w:line="360" w:lineRule="auto"/>
        <w:ind w:firstLine="420" w:firstLineChars="200"/>
        <w:rPr>
          <w:rFonts w:ascii="仿宋_GB2312" w:hAnsi="宋体" w:cs="宋体"/>
          <w:bCs/>
          <w:color w:val="auto"/>
          <w:kern w:val="0"/>
          <w:szCs w:val="24"/>
        </w:rPr>
      </w:pPr>
      <w:r>
        <w:rPr>
          <w:rFonts w:ascii="仿宋_GB2312" w:hAnsi="宋体" w:cs="宋体"/>
          <w:bCs/>
          <w:color w:val="auto"/>
          <w:kern w:val="0"/>
          <w:szCs w:val="24"/>
        </w:rPr>
        <w:t>（1）理财产品的认购费、申购费、赎回费</w:t>
      </w:r>
      <w:r>
        <w:rPr>
          <w:rFonts w:hint="eastAsia" w:ascii="仿宋_GB2312" w:hAnsi="宋体" w:cs="宋体"/>
          <w:bCs/>
          <w:color w:val="auto"/>
          <w:kern w:val="0"/>
          <w:szCs w:val="24"/>
        </w:rPr>
        <w:t>、强制赎回费</w:t>
      </w:r>
      <w:r>
        <w:rPr>
          <w:rFonts w:ascii="仿宋_GB2312" w:hAnsi="宋体" w:cs="宋体"/>
          <w:bCs/>
          <w:color w:val="auto"/>
          <w:kern w:val="0"/>
          <w:szCs w:val="24"/>
        </w:rPr>
        <w:t>；</w:t>
      </w:r>
    </w:p>
    <w:p w14:paraId="7C9A5A22">
      <w:pPr>
        <w:widowControl/>
        <w:tabs>
          <w:tab w:val="left" w:pos="709"/>
        </w:tabs>
        <w:snapToGrid w:val="0"/>
        <w:spacing w:line="360" w:lineRule="auto"/>
        <w:ind w:firstLine="420" w:firstLineChars="200"/>
        <w:rPr>
          <w:rFonts w:ascii="仿宋_GB2312" w:hAnsi="宋体" w:cs="宋体"/>
          <w:bCs/>
          <w:color w:val="auto"/>
          <w:kern w:val="0"/>
          <w:szCs w:val="24"/>
        </w:rPr>
      </w:pPr>
      <w:r>
        <w:rPr>
          <w:rFonts w:ascii="仿宋_GB2312" w:hAnsi="宋体" w:cs="宋体"/>
          <w:bCs/>
          <w:color w:val="auto"/>
          <w:kern w:val="0"/>
          <w:szCs w:val="24"/>
        </w:rPr>
        <w:t>（2）理财产品的销售服务费；</w:t>
      </w:r>
    </w:p>
    <w:p w14:paraId="31A2D5D0">
      <w:pPr>
        <w:widowControl/>
        <w:tabs>
          <w:tab w:val="left" w:pos="709"/>
        </w:tabs>
        <w:snapToGrid w:val="0"/>
        <w:spacing w:line="360" w:lineRule="auto"/>
        <w:ind w:firstLine="420" w:firstLineChars="200"/>
        <w:rPr>
          <w:rFonts w:ascii="仿宋_GB2312" w:hAnsi="宋体" w:cs="宋体"/>
          <w:bCs/>
          <w:color w:val="auto"/>
          <w:kern w:val="0"/>
          <w:szCs w:val="24"/>
        </w:rPr>
      </w:pPr>
      <w:r>
        <w:rPr>
          <w:rFonts w:ascii="仿宋_GB2312" w:hAnsi="宋体" w:cs="宋体"/>
          <w:bCs/>
          <w:color w:val="auto"/>
          <w:kern w:val="0"/>
          <w:szCs w:val="24"/>
        </w:rPr>
        <w:t>（3）理财产品的</w:t>
      </w:r>
      <w:r>
        <w:rPr>
          <w:rFonts w:hint="eastAsia" w:ascii="仿宋_GB2312" w:hAnsi="宋体" w:cs="宋体"/>
          <w:bCs/>
          <w:color w:val="auto"/>
          <w:kern w:val="0"/>
          <w:szCs w:val="24"/>
          <w:lang w:eastAsia="zh-CN"/>
        </w:rPr>
        <w:t>固定管理费</w:t>
      </w:r>
      <w:r>
        <w:rPr>
          <w:rFonts w:ascii="仿宋_GB2312" w:hAnsi="宋体" w:cs="宋体"/>
          <w:bCs/>
          <w:color w:val="auto"/>
          <w:kern w:val="0"/>
          <w:szCs w:val="24"/>
        </w:rPr>
        <w:t>及</w:t>
      </w:r>
      <w:r>
        <w:rPr>
          <w:rFonts w:hint="eastAsia" w:ascii="仿宋_GB2312" w:hAnsi="宋体" w:cs="宋体"/>
          <w:bCs/>
          <w:color w:val="auto"/>
          <w:kern w:val="0"/>
          <w:szCs w:val="24"/>
          <w:lang w:eastAsia="zh-CN"/>
        </w:rPr>
        <w:t>浮动管理费</w:t>
      </w:r>
      <w:r>
        <w:rPr>
          <w:rFonts w:ascii="仿宋_GB2312" w:hAnsi="宋体" w:cs="宋体"/>
          <w:bCs/>
          <w:color w:val="auto"/>
          <w:kern w:val="0"/>
          <w:szCs w:val="24"/>
        </w:rPr>
        <w:t>；</w:t>
      </w:r>
    </w:p>
    <w:p w14:paraId="30452741">
      <w:pPr>
        <w:widowControl/>
        <w:tabs>
          <w:tab w:val="left" w:pos="709"/>
        </w:tabs>
        <w:snapToGrid w:val="0"/>
        <w:spacing w:line="360" w:lineRule="auto"/>
        <w:ind w:firstLine="420" w:firstLineChars="200"/>
        <w:rPr>
          <w:rFonts w:ascii="仿宋_GB2312" w:hAnsi="宋体" w:cs="宋体"/>
          <w:bCs/>
          <w:color w:val="auto"/>
          <w:kern w:val="0"/>
          <w:szCs w:val="24"/>
        </w:rPr>
      </w:pPr>
      <w:r>
        <w:rPr>
          <w:rFonts w:ascii="仿宋_GB2312" w:hAnsi="宋体" w:cs="宋体"/>
          <w:bCs/>
          <w:color w:val="auto"/>
          <w:kern w:val="0"/>
          <w:szCs w:val="24"/>
        </w:rPr>
        <w:t>（4）理财产品的</w:t>
      </w:r>
      <w:r>
        <w:rPr>
          <w:rFonts w:hint="eastAsia" w:ascii="仿宋_GB2312" w:hAnsi="宋体" w:cs="宋体"/>
          <w:bCs/>
          <w:color w:val="auto"/>
          <w:kern w:val="0"/>
          <w:szCs w:val="24"/>
          <w:lang w:eastAsia="zh-CN"/>
        </w:rPr>
        <w:t>托管费</w:t>
      </w:r>
      <w:r>
        <w:rPr>
          <w:rFonts w:ascii="仿宋_GB2312" w:hAnsi="宋体" w:cs="宋体"/>
          <w:bCs/>
          <w:color w:val="auto"/>
          <w:kern w:val="0"/>
          <w:szCs w:val="24"/>
        </w:rPr>
        <w:t>；</w:t>
      </w:r>
    </w:p>
    <w:p w14:paraId="785982B7">
      <w:pPr>
        <w:widowControl/>
        <w:tabs>
          <w:tab w:val="left" w:pos="709"/>
        </w:tabs>
        <w:snapToGrid w:val="0"/>
        <w:spacing w:line="360" w:lineRule="auto"/>
        <w:ind w:firstLine="420" w:firstLineChars="200"/>
        <w:rPr>
          <w:rFonts w:ascii="仿宋_GB2312" w:hAnsi="宋体" w:cs="宋体"/>
          <w:bCs/>
          <w:color w:val="auto"/>
          <w:kern w:val="0"/>
          <w:szCs w:val="24"/>
        </w:rPr>
      </w:pPr>
      <w:r>
        <w:rPr>
          <w:rFonts w:ascii="仿宋_GB2312" w:hAnsi="宋体" w:cs="宋体"/>
          <w:bCs/>
          <w:color w:val="auto"/>
          <w:kern w:val="0"/>
          <w:szCs w:val="24"/>
        </w:rPr>
        <w:t>（5）</w:t>
      </w:r>
      <w:r>
        <w:rPr>
          <w:rFonts w:hint="eastAsia" w:ascii="仿宋_GB2312" w:hAnsi="宋体" w:cs="宋体"/>
          <w:bCs/>
          <w:color w:val="auto"/>
          <w:kern w:val="0"/>
          <w:szCs w:val="24"/>
        </w:rPr>
        <w:t>其他费用，包括但不限于：与</w:t>
      </w:r>
      <w:r>
        <w:rPr>
          <w:rFonts w:ascii="仿宋_GB2312" w:hAnsi="宋体" w:cs="宋体"/>
          <w:bCs/>
          <w:color w:val="auto"/>
          <w:kern w:val="0"/>
          <w:szCs w:val="24"/>
        </w:rPr>
        <w:t>理财产品相关的</w:t>
      </w:r>
      <w:r>
        <w:rPr>
          <w:rFonts w:hint="eastAsia" w:ascii="仿宋_GB2312" w:hAnsi="宋体" w:cs="宋体"/>
          <w:bCs/>
          <w:color w:val="auto"/>
          <w:kern w:val="0"/>
          <w:szCs w:val="24"/>
        </w:rPr>
        <w:t>账户服务费用、资产服务费用、交易费用（包括但不限于交易佣金、撮合费用等）、注册登记费、验资费、审计费、信息披露费、</w:t>
      </w:r>
      <w:r>
        <w:rPr>
          <w:rFonts w:hint="eastAsia" w:ascii="仿宋_GB2312" w:hAnsi="宋体" w:cs="宋体"/>
          <w:bCs/>
          <w:color w:val="auto"/>
          <w:kern w:val="0"/>
          <w:szCs w:val="24"/>
          <w:highlight w:val="yellow"/>
          <w:lang w:eastAsia="zh-CN"/>
        </w:rPr>
        <w:t>【信息服务费用】</w:t>
      </w:r>
      <w:r>
        <w:rPr>
          <w:rFonts w:hint="eastAsia" w:ascii="仿宋_GB2312" w:hAnsi="宋体" w:cs="宋体"/>
          <w:bCs/>
          <w:color w:val="auto"/>
          <w:kern w:val="0"/>
          <w:szCs w:val="24"/>
          <w:lang w:eastAsia="zh-CN"/>
        </w:rPr>
        <w:t>、</w:t>
      </w:r>
      <w:r>
        <w:rPr>
          <w:rFonts w:hint="eastAsia" w:ascii="仿宋_GB2312" w:hAnsi="宋体" w:cs="宋体"/>
          <w:bCs/>
          <w:color w:val="auto"/>
          <w:kern w:val="0"/>
          <w:szCs w:val="24"/>
        </w:rPr>
        <w:t>清算费用、执行费用（包括但不限于律师费、诉讼费、仲裁费、公证费、保全费、执行费等）以及按照法律法规、监管规定和理财产品销售文件约定可以列入的其他费用，具体以实际发生为准。</w:t>
      </w:r>
    </w:p>
    <w:p w14:paraId="10E68241">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宋体" w:hAnsi="宋体" w:cs="宋体"/>
          <w:color w:val="auto"/>
          <w:kern w:val="0"/>
          <w:szCs w:val="24"/>
        </w:rPr>
        <w:t>本产品可能根据投资者购买理财产品的金额、销售渠道、客户类型等因素设置不同产品份额类别，各类产品份额可能分别设置不同的销售服务费率、托管费率</w:t>
      </w:r>
      <w:r>
        <w:rPr>
          <w:rFonts w:ascii="宋体" w:hAnsi="宋体" w:cs="宋体"/>
          <w:color w:val="auto"/>
          <w:kern w:val="0"/>
          <w:szCs w:val="24"/>
        </w:rPr>
        <w:t>，</w:t>
      </w:r>
      <w:r>
        <w:rPr>
          <w:rFonts w:ascii="仿宋_GB2312" w:hAnsi="宋体" w:cs="宋体"/>
          <w:bCs/>
          <w:color w:val="auto"/>
          <w:kern w:val="0"/>
          <w:szCs w:val="24"/>
        </w:rPr>
        <w:t>费率具体数值以《产品说明书》“</w:t>
      </w:r>
      <w:r>
        <w:rPr>
          <w:rFonts w:hint="eastAsia" w:ascii="仿宋_GB2312" w:hAnsi="宋体" w:cs="宋体"/>
          <w:bCs/>
          <w:color w:val="auto"/>
          <w:kern w:val="0"/>
          <w:szCs w:val="24"/>
          <w:lang w:eastAsia="zh-CN"/>
        </w:rPr>
        <w:t>第一节 理财产品说明书关键要素</w:t>
      </w:r>
      <w:r>
        <w:rPr>
          <w:rFonts w:ascii="仿宋_GB2312" w:hAnsi="宋体" w:cs="宋体"/>
          <w:bCs/>
          <w:color w:val="auto"/>
          <w:kern w:val="0"/>
          <w:szCs w:val="24"/>
        </w:rPr>
        <w:t>”为准。</w:t>
      </w:r>
    </w:p>
    <w:p w14:paraId="78F5BB21">
      <w:pPr>
        <w:widowControl/>
        <w:tabs>
          <w:tab w:val="left" w:pos="709"/>
        </w:tabs>
        <w:snapToGrid w:val="0"/>
        <w:spacing w:line="360" w:lineRule="auto"/>
        <w:ind w:firstLine="420" w:firstLineChars="200"/>
        <w:rPr>
          <w:rFonts w:ascii="仿宋_GB2312" w:hAnsi="宋体" w:cs="宋体"/>
          <w:bCs/>
          <w:color w:val="auto"/>
          <w:kern w:val="0"/>
          <w:szCs w:val="24"/>
        </w:rPr>
      </w:pPr>
      <w:r>
        <w:rPr>
          <w:rFonts w:ascii="仿宋_GB2312" w:hAnsi="宋体" w:cs="宋体"/>
          <w:bCs/>
          <w:color w:val="auto"/>
          <w:kern w:val="0"/>
          <w:szCs w:val="24"/>
        </w:rPr>
        <w:t>2.理财产品费用计提方法、计提标准和支付方式</w:t>
      </w:r>
    </w:p>
    <w:p w14:paraId="60C5586A">
      <w:pPr>
        <w:widowControl/>
        <w:tabs>
          <w:tab w:val="left" w:pos="709"/>
        </w:tabs>
        <w:snapToGrid w:val="0"/>
        <w:spacing w:line="360" w:lineRule="auto"/>
        <w:ind w:firstLine="420" w:firstLineChars="200"/>
        <w:rPr>
          <w:rFonts w:ascii="仿宋_GB2312" w:hAnsi="宋体" w:cs="宋体"/>
          <w:bCs/>
          <w:color w:val="auto"/>
          <w:kern w:val="0"/>
          <w:szCs w:val="24"/>
        </w:rPr>
      </w:pPr>
      <w:r>
        <w:rPr>
          <w:rFonts w:ascii="仿宋_GB2312" w:hAnsi="宋体" w:cs="宋体"/>
          <w:bCs/>
          <w:color w:val="auto"/>
          <w:kern w:val="0"/>
          <w:szCs w:val="24"/>
        </w:rPr>
        <w:t>（1）理财产品的认购费、申购费、赎回费</w:t>
      </w:r>
      <w:r>
        <w:rPr>
          <w:rFonts w:hint="eastAsia" w:ascii="仿宋_GB2312" w:hAnsi="宋体" w:cs="宋体"/>
          <w:bCs/>
          <w:color w:val="auto"/>
          <w:kern w:val="0"/>
          <w:szCs w:val="24"/>
        </w:rPr>
        <w:t>、强制赎回费</w:t>
      </w:r>
    </w:p>
    <w:p w14:paraId="0A64408D">
      <w:pPr>
        <w:widowControl/>
        <w:tabs>
          <w:tab w:val="left" w:pos="709"/>
        </w:tabs>
        <w:snapToGrid w:val="0"/>
        <w:spacing w:line="360" w:lineRule="auto"/>
        <w:ind w:firstLine="420" w:firstLineChars="200"/>
        <w:rPr>
          <w:rFonts w:ascii="仿宋_GB2312" w:hAnsi="宋体" w:cs="宋体"/>
          <w:bCs/>
          <w:color w:val="auto"/>
          <w:kern w:val="0"/>
          <w:szCs w:val="24"/>
        </w:rPr>
      </w:pPr>
      <w:r>
        <w:rPr>
          <w:rFonts w:ascii="仿宋_GB2312" w:hAnsi="宋体" w:cs="宋体"/>
          <w:bCs/>
          <w:color w:val="auto"/>
          <w:kern w:val="0"/>
          <w:szCs w:val="24"/>
        </w:rPr>
        <w:t>1）认购费：费率具体数值以《产品说明书》“</w:t>
      </w:r>
      <w:r>
        <w:rPr>
          <w:rFonts w:hint="eastAsia" w:ascii="仿宋_GB2312" w:hAnsi="宋体" w:cs="宋体"/>
          <w:bCs/>
          <w:color w:val="auto"/>
          <w:kern w:val="0"/>
          <w:szCs w:val="24"/>
          <w:lang w:eastAsia="zh-CN"/>
        </w:rPr>
        <w:t>第一节 理财产品说明书关键要素</w:t>
      </w:r>
      <w:r>
        <w:rPr>
          <w:rFonts w:ascii="仿宋_GB2312" w:hAnsi="宋体" w:cs="宋体"/>
          <w:bCs/>
          <w:color w:val="auto"/>
          <w:kern w:val="0"/>
          <w:szCs w:val="24"/>
        </w:rPr>
        <w:t>”为准。</w:t>
      </w:r>
    </w:p>
    <w:p w14:paraId="17DFFE2D">
      <w:pPr>
        <w:widowControl/>
        <w:tabs>
          <w:tab w:val="left" w:pos="709"/>
        </w:tabs>
        <w:snapToGrid w:val="0"/>
        <w:spacing w:line="360" w:lineRule="auto"/>
        <w:ind w:firstLine="420" w:firstLineChars="200"/>
        <w:rPr>
          <w:rFonts w:ascii="仿宋_GB2312" w:hAnsi="宋体" w:cs="宋体"/>
          <w:bCs/>
          <w:color w:val="auto"/>
          <w:kern w:val="0"/>
          <w:szCs w:val="24"/>
        </w:rPr>
      </w:pPr>
      <w:r>
        <w:rPr>
          <w:rFonts w:ascii="仿宋_GB2312" w:hAnsi="宋体" w:cs="宋体"/>
          <w:bCs/>
          <w:color w:val="auto"/>
          <w:kern w:val="0"/>
          <w:szCs w:val="24"/>
        </w:rPr>
        <w:t>2）申购费：费率具体数值以《产品说明书》“</w:t>
      </w:r>
      <w:r>
        <w:rPr>
          <w:rFonts w:hint="eastAsia" w:ascii="仿宋_GB2312" w:hAnsi="宋体" w:cs="宋体"/>
          <w:bCs/>
          <w:color w:val="auto"/>
          <w:kern w:val="0"/>
          <w:szCs w:val="24"/>
          <w:lang w:eastAsia="zh-CN"/>
        </w:rPr>
        <w:t>第一节 理财产品说明书关键要素</w:t>
      </w:r>
      <w:r>
        <w:rPr>
          <w:rFonts w:ascii="仿宋_GB2312" w:hAnsi="宋体" w:cs="宋体"/>
          <w:bCs/>
          <w:color w:val="auto"/>
          <w:kern w:val="0"/>
          <w:szCs w:val="24"/>
        </w:rPr>
        <w:t>”为准。</w:t>
      </w:r>
    </w:p>
    <w:p w14:paraId="67072D7F">
      <w:pPr>
        <w:widowControl/>
        <w:tabs>
          <w:tab w:val="left" w:pos="709"/>
        </w:tabs>
        <w:snapToGrid w:val="0"/>
        <w:spacing w:line="360" w:lineRule="auto"/>
        <w:ind w:firstLine="420" w:firstLineChars="200"/>
        <w:rPr>
          <w:rFonts w:ascii="仿宋_GB2312" w:hAnsi="宋体" w:cs="宋体"/>
          <w:bCs/>
          <w:color w:val="auto"/>
          <w:kern w:val="0"/>
          <w:szCs w:val="24"/>
        </w:rPr>
      </w:pPr>
      <w:r>
        <w:rPr>
          <w:rFonts w:ascii="仿宋_GB2312" w:hAnsi="宋体" w:cs="宋体"/>
          <w:bCs/>
          <w:color w:val="auto"/>
          <w:kern w:val="0"/>
          <w:szCs w:val="24"/>
        </w:rPr>
        <w:t>3）赎回费：费率具体数值以《产品说明书》“</w:t>
      </w:r>
      <w:r>
        <w:rPr>
          <w:rFonts w:hint="eastAsia" w:ascii="仿宋_GB2312" w:hAnsi="宋体" w:cs="宋体"/>
          <w:bCs/>
          <w:color w:val="auto"/>
          <w:kern w:val="0"/>
          <w:szCs w:val="24"/>
          <w:lang w:eastAsia="zh-CN"/>
        </w:rPr>
        <w:t>第一节 理财产品说明书关键要素</w:t>
      </w:r>
      <w:r>
        <w:rPr>
          <w:rFonts w:hint="eastAsia" w:ascii="仿宋_GB2312" w:hAnsi="宋体" w:cs="宋体"/>
          <w:bCs/>
          <w:color w:val="auto"/>
          <w:kern w:val="0"/>
          <w:szCs w:val="24"/>
        </w:rPr>
        <w:t>”为准。</w:t>
      </w:r>
    </w:p>
    <w:p w14:paraId="190C1155">
      <w:pPr>
        <w:widowControl/>
        <w:tabs>
          <w:tab w:val="left" w:pos="709"/>
        </w:tabs>
        <w:snapToGrid w:val="0"/>
        <w:spacing w:line="360" w:lineRule="auto"/>
        <w:ind w:firstLine="420" w:firstLineChars="200"/>
        <w:rPr>
          <w:rFonts w:ascii="仿宋_GB2312" w:hAnsi="宋体" w:cs="宋体"/>
          <w:b/>
          <w:bCs/>
          <w:color w:val="auto"/>
          <w:kern w:val="0"/>
          <w:szCs w:val="24"/>
        </w:rPr>
      </w:pPr>
      <w:r>
        <w:rPr>
          <w:rFonts w:hint="eastAsia" w:ascii="仿宋_GB2312" w:hAnsi="宋体" w:cs="宋体"/>
          <w:bCs/>
          <w:color w:val="auto"/>
          <w:kern w:val="0"/>
          <w:szCs w:val="24"/>
        </w:rPr>
        <w:t>4</w:t>
      </w:r>
      <w:r>
        <w:rPr>
          <w:rFonts w:ascii="仿宋_GB2312" w:hAnsi="宋体" w:cs="宋体"/>
          <w:bCs/>
          <w:color w:val="auto"/>
          <w:kern w:val="0"/>
          <w:szCs w:val="24"/>
        </w:rPr>
        <w:t>）</w:t>
      </w:r>
      <w:r>
        <w:rPr>
          <w:rFonts w:hint="eastAsia" w:ascii="仿宋_GB2312" w:hAnsi="宋体" w:cs="宋体"/>
          <w:b/>
          <w:bCs/>
          <w:color w:val="auto"/>
          <w:kern w:val="0"/>
          <w:szCs w:val="24"/>
        </w:rPr>
        <w:t>强制赎回费：费率具体数值以《产品说明书》“</w:t>
      </w:r>
      <w:r>
        <w:rPr>
          <w:rFonts w:hint="eastAsia" w:ascii="仿宋_GB2312" w:hAnsi="宋体" w:cs="宋体"/>
          <w:b/>
          <w:bCs/>
          <w:color w:val="auto"/>
          <w:kern w:val="0"/>
          <w:szCs w:val="24"/>
          <w:lang w:eastAsia="zh-CN"/>
        </w:rPr>
        <w:t>第一节 理财产品说明书关键要素</w:t>
      </w:r>
      <w:r>
        <w:rPr>
          <w:rFonts w:hint="eastAsia" w:ascii="仿宋_GB2312" w:hAnsi="宋体" w:cs="宋体"/>
          <w:b/>
          <w:bCs/>
          <w:color w:val="auto"/>
          <w:kern w:val="0"/>
          <w:szCs w:val="24"/>
        </w:rPr>
        <w:t>”为准。</w:t>
      </w:r>
    </w:p>
    <w:p w14:paraId="7A6EC512">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（2）理财产品的销售服务费</w:t>
      </w:r>
    </w:p>
    <w:p w14:paraId="67DA7CF1">
      <w:pPr>
        <w:tabs>
          <w:tab w:val="left" w:pos="3119"/>
        </w:tabs>
        <w:autoSpaceDE w:val="0"/>
        <w:autoSpaceDN w:val="0"/>
        <w:snapToGrid w:val="0"/>
        <w:spacing w:line="360" w:lineRule="auto"/>
        <w:ind w:firstLine="420" w:firstLineChars="200"/>
        <w:rPr>
          <w:rFonts w:ascii="仿宋_GB2312" w:hAnsi="宋体" w:cs="宋体"/>
          <w:bCs/>
          <w:color w:val="auto"/>
          <w:spacing w:val="-4"/>
          <w:kern w:val="0"/>
          <w:szCs w:val="24"/>
          <w:highlight w:val="yellow"/>
        </w:rPr>
      </w:pP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yellow"/>
        </w:rPr>
        <w:t>本产品的销售服务费按当日理财产品份额与销售服务费费率每日计提。</w:t>
      </w:r>
      <w:r>
        <w:rPr>
          <w:rFonts w:hint="eastAsia" w:ascii="仿宋_GB2312" w:hAnsi="宋体" w:cs="宋体"/>
          <w:bCs/>
          <w:color w:val="auto"/>
          <w:spacing w:val="-4"/>
          <w:kern w:val="0"/>
          <w:szCs w:val="24"/>
          <w:highlight w:val="yellow"/>
        </w:rPr>
        <w:t>管理人可按季或产品开放周期（如有）收取，或与后续季度、开放周期（如有）合并收取</w:t>
      </w:r>
      <w:r>
        <w:rPr>
          <w:rFonts w:hint="eastAsia" w:ascii="仿宋_GB2312" w:hAnsi="宋体" w:cs="宋体"/>
          <w:bCs/>
          <w:color w:val="auto"/>
          <w:kern w:val="0"/>
          <w:szCs w:val="24"/>
          <w:highlight w:val="yellow"/>
        </w:rPr>
        <w:t>。销售服务费</w:t>
      </w:r>
      <w:r>
        <w:rPr>
          <w:rFonts w:hint="eastAsia" w:ascii="仿宋_GB2312" w:hAnsi="宋体" w:cs="宋体"/>
          <w:bCs/>
          <w:color w:val="auto"/>
          <w:spacing w:val="-4"/>
          <w:kern w:val="0"/>
          <w:szCs w:val="24"/>
          <w:highlight w:val="yellow"/>
        </w:rPr>
        <w:t>精确到小数点后2位，小数点2位以后四舍五入。</w:t>
      </w:r>
    </w:p>
    <w:p w14:paraId="4A4E04F8">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销售服务费的计算方法如下：</w:t>
      </w:r>
    </w:p>
    <w:p w14:paraId="03E80F0B">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H＝E×销售服务费年费率÷365</w:t>
      </w:r>
    </w:p>
    <w:p w14:paraId="1FED7D45">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H为每日应计提的销售服务费</w:t>
      </w:r>
    </w:p>
    <w:p w14:paraId="33AB5B05">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lang w:eastAsia="zh-CN"/>
        </w:rPr>
      </w:pPr>
      <w:r>
        <w:rPr>
          <w:rFonts w:hint="eastAsia" w:ascii="仿宋_GB2312" w:hAnsi="宋体" w:cs="宋体"/>
          <w:bCs/>
          <w:color w:val="auto"/>
          <w:kern w:val="0"/>
          <w:szCs w:val="24"/>
          <w:highlight w:val="yellow"/>
        </w:rPr>
        <w:t>E为当日理财产品份额</w:t>
      </w:r>
      <w:r>
        <w:rPr>
          <w:rFonts w:hint="eastAsia" w:ascii="仿宋_GB2312" w:hAnsi="宋体" w:cs="宋体"/>
          <w:bCs/>
          <w:color w:val="auto"/>
          <w:kern w:val="0"/>
          <w:szCs w:val="24"/>
          <w:highlight w:val="yellow"/>
          <w:lang w:eastAsia="zh-CN"/>
        </w:rPr>
        <w:t>】</w:t>
      </w:r>
    </w:p>
    <w:p w14:paraId="3B29AF3D">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销售服务费依照上述约定，从理财财产中支付。费率具体数值以《产品说明书》“</w:t>
      </w:r>
      <w:r>
        <w:rPr>
          <w:rFonts w:hint="eastAsia" w:ascii="仿宋_GB2312" w:hAnsi="宋体" w:cs="宋体"/>
          <w:bCs/>
          <w:color w:val="auto"/>
          <w:kern w:val="0"/>
          <w:szCs w:val="24"/>
          <w:lang w:eastAsia="zh-CN"/>
        </w:rPr>
        <w:t>第一节 理财产品说明书关键要素</w:t>
      </w:r>
      <w:r>
        <w:rPr>
          <w:rFonts w:hint="eastAsia" w:ascii="仿宋_GB2312" w:hAnsi="宋体" w:cs="宋体"/>
          <w:bCs/>
          <w:color w:val="auto"/>
          <w:kern w:val="0"/>
          <w:szCs w:val="24"/>
        </w:rPr>
        <w:t>”为准。</w:t>
      </w:r>
    </w:p>
    <w:p w14:paraId="2E75A7A6">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lang w:eastAsia="zh-CN"/>
        </w:rPr>
      </w:pPr>
      <w:r>
        <w:rPr>
          <w:rFonts w:hint="eastAsia" w:ascii="仿宋_GB2312" w:hAnsi="宋体" w:cs="宋体"/>
          <w:bCs/>
          <w:color w:val="auto"/>
          <w:kern w:val="0"/>
          <w:szCs w:val="24"/>
        </w:rPr>
        <w:t>（3）理财产品的</w:t>
      </w:r>
      <w:r>
        <w:rPr>
          <w:rFonts w:hint="eastAsia" w:ascii="仿宋_GB2312" w:hAnsi="宋体" w:cs="宋体"/>
          <w:bCs/>
          <w:color w:val="auto"/>
          <w:kern w:val="0"/>
          <w:szCs w:val="24"/>
          <w:lang w:eastAsia="zh-CN"/>
        </w:rPr>
        <w:t>固定管理费</w:t>
      </w:r>
    </w:p>
    <w:p w14:paraId="45D6AEF5">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yellow"/>
        </w:rPr>
        <w:t>本产品的</w:t>
      </w:r>
      <w:r>
        <w:rPr>
          <w:rFonts w:hint="eastAsia" w:ascii="仿宋_GB2312" w:hAnsi="宋体" w:cs="宋体"/>
          <w:bCs/>
          <w:color w:val="auto"/>
          <w:kern w:val="0"/>
          <w:szCs w:val="24"/>
          <w:highlight w:val="yellow"/>
          <w:lang w:eastAsia="zh-CN"/>
        </w:rPr>
        <w:t>固定管理费</w:t>
      </w:r>
      <w:r>
        <w:rPr>
          <w:rFonts w:hint="eastAsia" w:ascii="仿宋_GB2312" w:hAnsi="宋体" w:cs="宋体"/>
          <w:bCs/>
          <w:color w:val="auto"/>
          <w:kern w:val="0"/>
          <w:szCs w:val="24"/>
          <w:highlight w:val="yellow"/>
        </w:rPr>
        <w:t>按当日理财产品份额与</w:t>
      </w:r>
      <w:r>
        <w:rPr>
          <w:rFonts w:hint="eastAsia" w:ascii="仿宋_GB2312" w:hAnsi="宋体" w:cs="宋体"/>
          <w:bCs/>
          <w:color w:val="auto"/>
          <w:kern w:val="0"/>
          <w:szCs w:val="24"/>
          <w:highlight w:val="yellow"/>
          <w:lang w:eastAsia="zh-CN"/>
        </w:rPr>
        <w:t>固定管理费</w:t>
      </w:r>
      <w:r>
        <w:rPr>
          <w:rFonts w:hint="eastAsia" w:ascii="仿宋_GB2312" w:hAnsi="宋体" w:cs="宋体"/>
          <w:bCs/>
          <w:color w:val="auto"/>
          <w:kern w:val="0"/>
          <w:szCs w:val="24"/>
          <w:highlight w:val="yellow"/>
        </w:rPr>
        <w:t>费率每日计提，</w:t>
      </w:r>
      <w:r>
        <w:rPr>
          <w:rFonts w:hint="eastAsia" w:ascii="仿宋_GB2312" w:hAnsi="宋体" w:cs="宋体"/>
          <w:bCs/>
          <w:color w:val="auto"/>
          <w:spacing w:val="-4"/>
          <w:kern w:val="0"/>
          <w:szCs w:val="24"/>
          <w:highlight w:val="yellow"/>
        </w:rPr>
        <w:t>管理人可按季或产品开放周期（如有）收取，或与后续季度、开放周期（如有）合并收取。</w:t>
      </w:r>
      <w:r>
        <w:rPr>
          <w:rFonts w:hint="eastAsia" w:ascii="仿宋_GB2312" w:hAnsi="宋体" w:cs="宋体"/>
          <w:bCs/>
          <w:color w:val="auto"/>
          <w:kern w:val="0"/>
          <w:szCs w:val="24"/>
          <w:highlight w:val="yellow"/>
          <w:lang w:eastAsia="zh-CN"/>
        </w:rPr>
        <w:t>固定管理费</w:t>
      </w:r>
      <w:r>
        <w:rPr>
          <w:rFonts w:hint="eastAsia" w:ascii="仿宋_GB2312" w:hAnsi="宋体" w:cs="宋体"/>
          <w:bCs/>
          <w:color w:val="auto"/>
          <w:spacing w:val="-4"/>
          <w:kern w:val="0"/>
          <w:szCs w:val="24"/>
          <w:highlight w:val="yellow"/>
        </w:rPr>
        <w:t>精确到小数点后2位，小数点2位以后四舍五入</w:t>
      </w:r>
      <w:r>
        <w:rPr>
          <w:rFonts w:hint="eastAsia" w:ascii="仿宋_GB2312" w:hAnsi="宋体" w:cs="宋体"/>
          <w:bCs/>
          <w:color w:val="auto"/>
          <w:kern w:val="0"/>
          <w:szCs w:val="24"/>
          <w:highlight w:val="yellow"/>
        </w:rPr>
        <w:t>。</w:t>
      </w:r>
    </w:p>
    <w:p w14:paraId="3E13C895">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lang w:eastAsia="zh-CN"/>
        </w:rPr>
        <w:t>固定管理费</w:t>
      </w:r>
      <w:r>
        <w:rPr>
          <w:rFonts w:hint="eastAsia" w:ascii="仿宋_GB2312" w:hAnsi="宋体" w:cs="宋体"/>
          <w:bCs/>
          <w:color w:val="auto"/>
          <w:kern w:val="0"/>
          <w:szCs w:val="24"/>
          <w:highlight w:val="yellow"/>
        </w:rPr>
        <w:t>的计算方法如下：</w:t>
      </w:r>
    </w:p>
    <w:p w14:paraId="270CF115">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H＝E×</w:t>
      </w:r>
      <w:r>
        <w:rPr>
          <w:rFonts w:hint="eastAsia" w:ascii="仿宋_GB2312" w:hAnsi="宋体" w:cs="宋体"/>
          <w:bCs/>
          <w:color w:val="auto"/>
          <w:kern w:val="0"/>
          <w:szCs w:val="24"/>
          <w:highlight w:val="yellow"/>
          <w:lang w:eastAsia="zh-CN"/>
        </w:rPr>
        <w:t>固定管理费</w:t>
      </w:r>
      <w:r>
        <w:rPr>
          <w:rFonts w:hint="eastAsia" w:ascii="仿宋_GB2312" w:hAnsi="宋体" w:cs="宋体"/>
          <w:bCs/>
          <w:color w:val="auto"/>
          <w:kern w:val="0"/>
          <w:szCs w:val="24"/>
          <w:highlight w:val="yellow"/>
        </w:rPr>
        <w:t>年费率÷365</w:t>
      </w:r>
    </w:p>
    <w:p w14:paraId="74C11C2C">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lang w:eastAsia="zh-CN"/>
        </w:rPr>
      </w:pPr>
      <w:r>
        <w:rPr>
          <w:rFonts w:hint="eastAsia" w:ascii="仿宋_GB2312" w:hAnsi="宋体" w:cs="宋体"/>
          <w:bCs/>
          <w:color w:val="auto"/>
          <w:kern w:val="0"/>
          <w:szCs w:val="24"/>
          <w:highlight w:val="yellow"/>
        </w:rPr>
        <w:t>H为每日应计提的产品</w:t>
      </w:r>
      <w:r>
        <w:rPr>
          <w:rFonts w:hint="eastAsia" w:ascii="仿宋_GB2312" w:hAnsi="宋体" w:cs="宋体"/>
          <w:bCs/>
          <w:color w:val="auto"/>
          <w:kern w:val="0"/>
          <w:szCs w:val="24"/>
          <w:highlight w:val="yellow"/>
          <w:lang w:eastAsia="zh-CN"/>
        </w:rPr>
        <w:t>固定管理费</w:t>
      </w:r>
    </w:p>
    <w:p w14:paraId="21CE252F">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lang w:eastAsia="zh-CN"/>
        </w:rPr>
      </w:pPr>
      <w:r>
        <w:rPr>
          <w:rFonts w:hint="eastAsia" w:ascii="仿宋_GB2312" w:hAnsi="宋体" w:cs="宋体"/>
          <w:bCs/>
          <w:color w:val="auto"/>
          <w:kern w:val="0"/>
          <w:szCs w:val="24"/>
          <w:highlight w:val="yellow"/>
        </w:rPr>
        <w:t>E为当日理财产品份额</w:t>
      </w:r>
      <w:r>
        <w:rPr>
          <w:rFonts w:hint="eastAsia" w:ascii="仿宋_GB2312" w:hAnsi="宋体" w:cs="宋体"/>
          <w:bCs/>
          <w:color w:val="auto"/>
          <w:kern w:val="0"/>
          <w:szCs w:val="24"/>
          <w:highlight w:val="yellow"/>
          <w:lang w:eastAsia="zh-CN"/>
        </w:rPr>
        <w:t>】</w:t>
      </w:r>
    </w:p>
    <w:p w14:paraId="267667F5">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lang w:eastAsia="zh-CN"/>
        </w:rPr>
        <w:t>固定管理费</w:t>
      </w:r>
      <w:r>
        <w:rPr>
          <w:rFonts w:hint="eastAsia" w:ascii="仿宋_GB2312" w:hAnsi="宋体" w:cs="宋体"/>
          <w:bCs/>
          <w:color w:val="auto"/>
          <w:kern w:val="0"/>
          <w:szCs w:val="24"/>
        </w:rPr>
        <w:t>依照上述约定，从理财财产中支付。费率具体数值以《产品说明书》“</w:t>
      </w:r>
      <w:r>
        <w:rPr>
          <w:rFonts w:hint="eastAsia" w:ascii="仿宋_GB2312" w:hAnsi="宋体" w:cs="宋体"/>
          <w:bCs/>
          <w:color w:val="auto"/>
          <w:kern w:val="0"/>
          <w:szCs w:val="24"/>
          <w:lang w:eastAsia="zh-CN"/>
        </w:rPr>
        <w:t>第一节 理财产品说明书关键要素</w:t>
      </w:r>
      <w:r>
        <w:rPr>
          <w:rFonts w:hint="eastAsia" w:ascii="仿宋_GB2312" w:hAnsi="宋体" w:cs="宋体"/>
          <w:bCs/>
          <w:color w:val="auto"/>
          <w:kern w:val="0"/>
          <w:szCs w:val="24"/>
        </w:rPr>
        <w:t>”为准。</w:t>
      </w:r>
    </w:p>
    <w:p w14:paraId="1988F17A">
      <w:pPr>
        <w:pStyle w:val="13"/>
        <w:widowControl/>
        <w:numPr>
          <w:ilvl w:val="255"/>
          <w:numId w:val="0"/>
        </w:numPr>
        <w:snapToGrid w:val="0"/>
        <w:spacing w:line="360" w:lineRule="auto"/>
        <w:ind w:firstLine="420" w:firstLineChars="200"/>
        <w:rPr>
          <w:rFonts w:hint="eastAsia" w:eastAsia="仿宋_GB2312"/>
          <w:color w:val="auto"/>
          <w:lang w:eastAsia="zh-CN"/>
        </w:rPr>
      </w:pPr>
      <w:r>
        <w:rPr>
          <w:rFonts w:hint="eastAsia" w:ascii="仿宋_GB2312" w:hAnsi="宋体" w:cs="宋体"/>
          <w:bCs/>
          <w:color w:val="auto"/>
          <w:kern w:val="0"/>
          <w:szCs w:val="24"/>
        </w:rPr>
        <w:t>（4）</w:t>
      </w:r>
      <w:r>
        <w:rPr>
          <w:rFonts w:hint="eastAsia" w:ascii="仿宋_GB2312" w:hAnsi="宋体" w:cs="宋体"/>
          <w:bCs/>
          <w:color w:val="auto"/>
          <w:kern w:val="0"/>
          <w:szCs w:val="24"/>
          <w:lang w:eastAsia="zh-CN"/>
        </w:rPr>
        <w:t>浮动管理费</w:t>
      </w:r>
    </w:p>
    <w:p w14:paraId="0FE74E9D">
      <w:pPr>
        <w:pStyle w:val="13"/>
        <w:widowControl/>
        <w:snapToGrid w:val="0"/>
        <w:spacing w:line="360" w:lineRule="auto"/>
        <w:ind w:left="420" w:firstLine="0" w:firstLineChars="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【☑本产品</w:t>
      </w:r>
      <w:r>
        <w:rPr>
          <w:rFonts w:ascii="仿宋_GB2312" w:hAnsi="宋体" w:cs="宋体"/>
          <w:bCs/>
          <w:color w:val="auto"/>
          <w:kern w:val="0"/>
          <w:szCs w:val="24"/>
          <w:highlight w:val="yellow"/>
        </w:rPr>
        <w:t>无</w:t>
      </w:r>
      <w:r>
        <w:rPr>
          <w:rFonts w:hint="eastAsia" w:ascii="仿宋_GB2312" w:hAnsi="宋体" w:cs="宋体"/>
          <w:bCs/>
          <w:color w:val="auto"/>
          <w:kern w:val="0"/>
          <w:szCs w:val="24"/>
          <w:highlight w:val="yellow"/>
          <w:lang w:eastAsia="zh-CN"/>
        </w:rPr>
        <w:t>浮动管理费</w:t>
      </w:r>
      <w:r>
        <w:rPr>
          <w:rFonts w:ascii="仿宋_GB2312" w:hAnsi="宋体" w:cs="宋体"/>
          <w:bCs/>
          <w:color w:val="auto"/>
          <w:kern w:val="0"/>
          <w:szCs w:val="24"/>
          <w:highlight w:val="yellow"/>
        </w:rPr>
        <w:t>。</w:t>
      </w:r>
      <w:r>
        <w:rPr>
          <w:rFonts w:hint="eastAsia" w:ascii="仿宋_GB2312" w:hAnsi="宋体" w:cs="宋体"/>
          <w:bCs/>
          <w:color w:val="auto"/>
          <w:kern w:val="0"/>
          <w:szCs w:val="24"/>
          <w:highlight w:val="yellow"/>
        </w:rPr>
        <w:t>】</w:t>
      </w:r>
    </w:p>
    <w:p w14:paraId="7786EA0F">
      <w:pPr>
        <w:widowControl/>
        <w:tabs>
          <w:tab w:val="left" w:pos="709"/>
        </w:tabs>
        <w:snapToGrid w:val="0"/>
        <w:spacing w:line="360" w:lineRule="auto"/>
        <w:ind w:firstLine="420" w:firstLineChars="200"/>
        <w:rPr>
          <w:color w:val="auto"/>
          <w:highlight w:val="yellow"/>
        </w:rPr>
      </w:pPr>
      <w:r>
        <w:rPr>
          <w:rFonts w:hint="eastAsia" w:ascii="仿宋_GB2312" w:hAnsi="宋体" w:cs="宋体"/>
          <w:bCs/>
          <w:color w:val="auto"/>
          <w:kern w:val="0"/>
          <w:szCs w:val="24"/>
          <w:highlight w:val="yellow"/>
        </w:rPr>
        <w:t>【□理财产品管理人收取理财产品</w:t>
      </w:r>
      <w:r>
        <w:rPr>
          <w:rFonts w:hint="eastAsia" w:ascii="仿宋_GB2312" w:hAnsi="宋体" w:cs="宋体"/>
          <w:bCs/>
          <w:color w:val="auto"/>
          <w:kern w:val="0"/>
          <w:szCs w:val="24"/>
          <w:highlight w:val="yellow"/>
          <w:lang w:eastAsia="zh-CN"/>
        </w:rPr>
        <w:t>浮动管理费</w:t>
      </w:r>
      <w:r>
        <w:rPr>
          <w:rFonts w:hint="eastAsia" w:ascii="仿宋_GB2312" w:hAnsi="宋体" w:cs="宋体"/>
          <w:bCs/>
          <w:color w:val="auto"/>
          <w:kern w:val="0"/>
          <w:szCs w:val="24"/>
          <w:highlight w:val="yellow"/>
        </w:rPr>
        <w:t>。</w:t>
      </w:r>
      <w:r>
        <w:rPr>
          <w:rFonts w:hint="eastAsia" w:ascii="仿宋_GB2312" w:hAnsi="宋体" w:cs="宋体"/>
          <w:bCs/>
          <w:color w:val="auto"/>
          <w:kern w:val="0"/>
          <w:szCs w:val="24"/>
          <w:highlight w:val="yellow"/>
          <w:lang w:eastAsia="zh-CN"/>
        </w:rPr>
        <w:t>浮动管理费</w:t>
      </w:r>
      <w:r>
        <w:rPr>
          <w:rFonts w:hint="eastAsia" w:ascii="仿宋_GB2312" w:hAnsi="宋体" w:cs="宋体"/>
          <w:bCs/>
          <w:color w:val="auto"/>
          <w:kern w:val="0"/>
          <w:szCs w:val="24"/>
          <w:highlight w:val="yellow"/>
        </w:rPr>
        <w:t>每日计提，在产品到期日收取（如有）。在理财产品到期日时</w:t>
      </w:r>
      <w:r>
        <w:rPr>
          <w:rFonts w:hint="eastAsia"/>
          <w:color w:val="auto"/>
          <w:highlight w:val="yellow"/>
        </w:rPr>
        <w:t>，若理财资产扣除销售服务费、</w:t>
      </w:r>
      <w:r>
        <w:rPr>
          <w:rFonts w:hint="eastAsia"/>
          <w:color w:val="auto"/>
          <w:highlight w:val="yellow"/>
          <w:lang w:eastAsia="zh-CN"/>
        </w:rPr>
        <w:t>托管费</w:t>
      </w:r>
      <w:r>
        <w:rPr>
          <w:rFonts w:hint="eastAsia"/>
          <w:color w:val="auto"/>
          <w:highlight w:val="yellow"/>
        </w:rPr>
        <w:t>和</w:t>
      </w:r>
      <w:r>
        <w:rPr>
          <w:rFonts w:hint="eastAsia"/>
          <w:color w:val="auto"/>
          <w:highlight w:val="yellow"/>
          <w:lang w:eastAsia="zh-CN"/>
        </w:rPr>
        <w:t>固定管理费</w:t>
      </w:r>
      <w:r>
        <w:rPr>
          <w:rFonts w:hint="eastAsia"/>
          <w:color w:val="auto"/>
          <w:highlight w:val="yellow"/>
        </w:rPr>
        <w:t>等相关费用和税收后，产品年化收益率超过</w:t>
      </w:r>
      <w:r>
        <w:rPr>
          <w:rFonts w:hint="eastAsia"/>
          <w:color w:val="auto"/>
          <w:highlight w:val="yellow"/>
          <w:lang w:eastAsia="zh-CN"/>
        </w:rPr>
        <w:t>浮动管理费</w:t>
      </w:r>
      <w:r>
        <w:rPr>
          <w:rFonts w:hint="eastAsia"/>
          <w:color w:val="auto"/>
          <w:highlight w:val="yellow"/>
        </w:rPr>
        <w:t>计提基准，则产品管理人收取超出部分的一定比例作为</w:t>
      </w:r>
      <w:r>
        <w:rPr>
          <w:rFonts w:hint="eastAsia"/>
          <w:color w:val="auto"/>
          <w:highlight w:val="yellow"/>
          <w:lang w:eastAsia="zh-CN"/>
        </w:rPr>
        <w:t>浮动管理费</w:t>
      </w:r>
      <w:r>
        <w:rPr>
          <w:rFonts w:hint="eastAsia"/>
          <w:color w:val="auto"/>
          <w:highlight w:val="yellow"/>
        </w:rPr>
        <w:t>。</w:t>
      </w:r>
    </w:p>
    <w:p w14:paraId="12B38B67">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lang w:eastAsia="zh-CN"/>
        </w:rPr>
        <w:t>浮动管理费</w:t>
      </w:r>
      <w:r>
        <w:rPr>
          <w:rFonts w:hint="eastAsia" w:ascii="仿宋_GB2312" w:hAnsi="宋体" w:cs="宋体"/>
          <w:bCs/>
          <w:color w:val="auto"/>
          <w:kern w:val="0"/>
          <w:szCs w:val="24"/>
          <w:highlight w:val="yellow"/>
        </w:rPr>
        <w:t>计提基准的设置、</w:t>
      </w:r>
      <w:r>
        <w:rPr>
          <w:rFonts w:hint="eastAsia"/>
          <w:color w:val="auto"/>
          <w:highlight w:val="yellow"/>
          <w:lang w:eastAsia="zh-CN"/>
        </w:rPr>
        <w:t>浮动管理费</w:t>
      </w:r>
      <w:r>
        <w:rPr>
          <w:rFonts w:hint="eastAsia" w:ascii="仿宋_GB2312" w:hAnsi="宋体" w:cs="宋体"/>
          <w:bCs/>
          <w:color w:val="auto"/>
          <w:kern w:val="0"/>
          <w:szCs w:val="24"/>
          <w:highlight w:val="yellow"/>
        </w:rPr>
        <w:t>的具体比例数值以《产品说明书》“</w:t>
      </w:r>
      <w:r>
        <w:rPr>
          <w:rFonts w:hint="eastAsia" w:ascii="仿宋_GB2312" w:hAnsi="宋体" w:cs="宋体"/>
          <w:bCs/>
          <w:color w:val="auto"/>
          <w:kern w:val="0"/>
          <w:szCs w:val="24"/>
          <w:highlight w:val="yellow"/>
          <w:lang w:eastAsia="zh-CN"/>
        </w:rPr>
        <w:t>第一节 理财产品说明书关键要素</w:t>
      </w:r>
      <w:r>
        <w:rPr>
          <w:rFonts w:hint="eastAsia" w:ascii="仿宋_GB2312" w:hAnsi="宋体" w:cs="宋体"/>
          <w:bCs/>
          <w:color w:val="auto"/>
          <w:kern w:val="0"/>
          <w:szCs w:val="24"/>
          <w:highlight w:val="yellow"/>
        </w:rPr>
        <w:t>”为准。</w:t>
      </w:r>
    </w:p>
    <w:p w14:paraId="4FFF676F">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color w:val="auto"/>
          <w:highlight w:val="yellow"/>
          <w:lang w:eastAsia="zh-CN"/>
        </w:rPr>
        <w:t>浮动管理费</w:t>
      </w:r>
      <w:r>
        <w:rPr>
          <w:rFonts w:hint="eastAsia" w:ascii="仿宋_GB2312" w:hAnsi="宋体" w:cs="宋体"/>
          <w:bCs/>
          <w:color w:val="auto"/>
          <w:kern w:val="0"/>
          <w:szCs w:val="24"/>
          <w:highlight w:val="yellow"/>
        </w:rPr>
        <w:t xml:space="preserve">的计提/收取如下： </w:t>
      </w:r>
    </w:p>
    <w:p w14:paraId="02A34B1A">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产品年化收益率</w:t>
      </w:r>
      <w:r>
        <w:rPr>
          <w:rFonts w:ascii="仿宋_GB2312" w:hAnsi="宋体" w:cs="宋体"/>
          <w:bCs/>
          <w:color w:val="auto"/>
          <w:kern w:val="0"/>
          <w:szCs w:val="24"/>
          <w:highlight w:val="yellow"/>
        </w:rPr>
        <w:t>R</w:t>
      </w:r>
      <w:r>
        <w:rPr>
          <w:rFonts w:hint="eastAsia" w:ascii="仿宋_GB2312" w:hAnsi="宋体" w:cs="宋体"/>
          <w:bCs/>
          <w:color w:val="auto"/>
          <w:kern w:val="0"/>
          <w:szCs w:val="24"/>
          <w:highlight w:val="yellow"/>
        </w:rPr>
        <w:t>的计算公式，R=（</w:t>
      </w:r>
      <w:r>
        <w:rPr>
          <w:rFonts w:ascii="仿宋_GB2312" w:hAnsi="宋体" w:cs="宋体"/>
          <w:bCs/>
          <w:color w:val="auto"/>
          <w:kern w:val="0"/>
          <w:szCs w:val="24"/>
          <w:highlight w:val="yellow"/>
        </w:rPr>
        <w:t>V</w:t>
      </w:r>
      <w:r>
        <w:rPr>
          <w:rFonts w:hint="eastAsia" w:ascii="仿宋_GB2312" w:hAnsi="宋体" w:cs="宋体"/>
          <w:bCs/>
          <w:color w:val="auto"/>
          <w:kern w:val="0"/>
          <w:sz w:val="13"/>
          <w:szCs w:val="24"/>
          <w:highlight w:val="yellow"/>
        </w:rPr>
        <w:t>计提/到期日产品份额累计净值</w:t>
      </w:r>
      <w:r>
        <w:rPr>
          <w:rFonts w:hint="eastAsia" w:ascii="仿宋_GB2312" w:hAnsi="宋体" w:cs="宋体"/>
          <w:bCs/>
          <w:color w:val="auto"/>
          <w:kern w:val="0"/>
          <w:szCs w:val="24"/>
          <w:highlight w:val="yellow"/>
        </w:rPr>
        <w:t>-V</w:t>
      </w:r>
      <w:r>
        <w:rPr>
          <w:rFonts w:hint="eastAsia" w:ascii="仿宋_GB2312" w:hAnsi="宋体" w:cs="宋体"/>
          <w:bCs/>
          <w:color w:val="auto"/>
          <w:kern w:val="0"/>
          <w:sz w:val="13"/>
          <w:szCs w:val="24"/>
          <w:highlight w:val="yellow"/>
        </w:rPr>
        <w:t>期初份额净值</w:t>
      </w:r>
      <w:r>
        <w:rPr>
          <w:rFonts w:hint="eastAsia" w:ascii="仿宋_GB2312" w:hAnsi="宋体" w:cs="宋体"/>
          <w:bCs/>
          <w:color w:val="auto"/>
          <w:kern w:val="0"/>
          <w:szCs w:val="24"/>
          <w:highlight w:val="yellow"/>
        </w:rPr>
        <w:t>）/V</w:t>
      </w:r>
      <w:r>
        <w:rPr>
          <w:rFonts w:hint="eastAsia" w:ascii="仿宋_GB2312" w:hAnsi="宋体" w:cs="宋体"/>
          <w:bCs/>
          <w:color w:val="auto"/>
          <w:kern w:val="0"/>
          <w:sz w:val="13"/>
          <w:szCs w:val="24"/>
          <w:highlight w:val="yellow"/>
        </w:rPr>
        <w:t>期初份额净值</w:t>
      </w:r>
      <w:r>
        <w:rPr>
          <w:rFonts w:hint="eastAsia" w:ascii="仿宋_GB2312" w:hAnsi="宋体" w:cs="宋体"/>
          <w:bCs/>
          <w:color w:val="auto"/>
          <w:kern w:val="0"/>
          <w:szCs w:val="24"/>
          <w:highlight w:val="yellow"/>
        </w:rPr>
        <w:t>/（</w:t>
      </w:r>
      <w:r>
        <w:rPr>
          <w:rFonts w:ascii="仿宋_GB2312" w:hAnsi="宋体" w:cs="宋体"/>
          <w:bCs/>
          <w:color w:val="auto"/>
          <w:kern w:val="0"/>
          <w:szCs w:val="24"/>
          <w:highlight w:val="yellow"/>
        </w:rPr>
        <w:t>D+1</w:t>
      </w:r>
      <w:r>
        <w:rPr>
          <w:rFonts w:hint="eastAsia" w:ascii="仿宋_GB2312" w:hAnsi="宋体" w:cs="宋体"/>
          <w:bCs/>
          <w:color w:val="auto"/>
          <w:kern w:val="0"/>
          <w:szCs w:val="24"/>
          <w:highlight w:val="yellow"/>
        </w:rPr>
        <w:t>）</w:t>
      </w:r>
      <w:r>
        <w:rPr>
          <w:rFonts w:ascii="仿宋_GB2312" w:hAnsi="宋体" w:cs="宋体"/>
          <w:bCs/>
          <w:color w:val="auto"/>
          <w:kern w:val="0"/>
          <w:szCs w:val="24"/>
          <w:highlight w:val="yellow"/>
        </w:rPr>
        <w:t>*365*100</w:t>
      </w:r>
      <w:r>
        <w:rPr>
          <w:rFonts w:hint="eastAsia" w:ascii="仿宋_GB2312" w:hAnsi="宋体" w:cs="宋体"/>
          <w:bCs/>
          <w:color w:val="auto"/>
          <w:kern w:val="0"/>
          <w:szCs w:val="24"/>
          <w:highlight w:val="yellow"/>
        </w:rPr>
        <w:t>%</w:t>
      </w:r>
    </w:p>
    <w:p w14:paraId="316F1CB0">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产品管理人对产品年化收益率</w:t>
      </w:r>
      <w:r>
        <w:rPr>
          <w:rFonts w:ascii="仿宋_GB2312" w:hAnsi="宋体" w:cs="宋体"/>
          <w:bCs/>
          <w:color w:val="auto"/>
          <w:kern w:val="0"/>
          <w:szCs w:val="24"/>
          <w:highlight w:val="yellow"/>
        </w:rPr>
        <w:t>超过</w:t>
      </w:r>
      <w:r>
        <w:rPr>
          <w:rFonts w:hint="eastAsia" w:ascii="仿宋_GB2312" w:hAnsi="宋体" w:cs="宋体"/>
          <w:bCs/>
          <w:color w:val="auto"/>
          <w:kern w:val="0"/>
          <w:szCs w:val="24"/>
          <w:highlight w:val="yellow"/>
          <w:lang w:eastAsia="zh-CN"/>
        </w:rPr>
        <w:t>浮动管理费</w:t>
      </w:r>
      <w:r>
        <w:rPr>
          <w:rFonts w:hint="eastAsia" w:ascii="仿宋_GB2312" w:hAnsi="宋体" w:cs="宋体"/>
          <w:bCs/>
          <w:color w:val="auto"/>
          <w:kern w:val="0"/>
          <w:szCs w:val="24"/>
          <w:highlight w:val="yellow"/>
        </w:rPr>
        <w:t>计提基准的部分，按</w:t>
      </w:r>
      <w:r>
        <w:rPr>
          <w:rFonts w:hint="eastAsia" w:ascii="仿宋_GB2312" w:hAnsi="宋体" w:cs="宋体"/>
          <w:bCs/>
          <w:color w:val="auto"/>
          <w:kern w:val="0"/>
          <w:szCs w:val="24"/>
          <w:highlight w:val="yellow"/>
          <w:lang w:eastAsia="zh-CN"/>
        </w:rPr>
        <w:t>浮动管理费</w:t>
      </w:r>
      <w:r>
        <w:rPr>
          <w:rFonts w:hint="eastAsia" w:ascii="仿宋_GB2312" w:hAnsi="宋体" w:cs="宋体"/>
          <w:bCs/>
          <w:color w:val="auto"/>
          <w:kern w:val="0"/>
          <w:szCs w:val="24"/>
          <w:highlight w:val="yellow"/>
        </w:rPr>
        <w:t>分成比例</w:t>
      </w:r>
      <w:r>
        <w:rPr>
          <w:rFonts w:ascii="仿宋_GB2312" w:hAnsi="宋体" w:cs="宋体"/>
          <w:bCs/>
          <w:color w:val="auto"/>
          <w:kern w:val="0"/>
          <w:szCs w:val="24"/>
          <w:highlight w:val="yellow"/>
        </w:rPr>
        <w:t>以及产品份额持有天数</w:t>
      </w:r>
      <w:r>
        <w:rPr>
          <w:rFonts w:hint="eastAsia" w:ascii="仿宋_GB2312" w:hAnsi="宋体" w:cs="宋体"/>
          <w:bCs/>
          <w:color w:val="auto"/>
          <w:kern w:val="0"/>
          <w:szCs w:val="24"/>
          <w:highlight w:val="yellow"/>
        </w:rPr>
        <w:t>计提/收取</w:t>
      </w:r>
      <w:r>
        <w:rPr>
          <w:rFonts w:hint="eastAsia"/>
          <w:color w:val="auto"/>
          <w:highlight w:val="yellow"/>
          <w:lang w:eastAsia="zh-CN"/>
        </w:rPr>
        <w:t>浮动管理费</w:t>
      </w:r>
      <w:r>
        <w:rPr>
          <w:rFonts w:hint="eastAsia" w:ascii="仿宋_GB2312" w:hAnsi="宋体" w:cs="宋体"/>
          <w:bCs/>
          <w:color w:val="auto"/>
          <w:kern w:val="0"/>
          <w:szCs w:val="24"/>
          <w:highlight w:val="yellow"/>
        </w:rPr>
        <w:t>，计算方法如下：</w:t>
      </w:r>
    </w:p>
    <w:p w14:paraId="6D6822BC">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当</w:t>
      </w:r>
      <w:r>
        <w:rPr>
          <w:rFonts w:ascii="仿宋_GB2312" w:hAnsi="宋体" w:cs="宋体"/>
          <w:bCs/>
          <w:color w:val="auto"/>
          <w:kern w:val="0"/>
          <w:szCs w:val="24"/>
          <w:highlight w:val="yellow"/>
        </w:rPr>
        <w:t>R≤</w:t>
      </w:r>
      <w:r>
        <w:rPr>
          <w:rFonts w:hint="eastAsia" w:ascii="仿宋_GB2312" w:hAnsi="宋体" w:cs="宋体"/>
          <w:bCs/>
          <w:color w:val="auto"/>
          <w:kern w:val="0"/>
          <w:szCs w:val="24"/>
          <w:highlight w:val="yellow"/>
          <w:lang w:eastAsia="zh-CN"/>
        </w:rPr>
        <w:t>浮动管理费</w:t>
      </w:r>
      <w:r>
        <w:rPr>
          <w:rFonts w:hint="eastAsia" w:ascii="仿宋_GB2312" w:hAnsi="宋体" w:cs="宋体"/>
          <w:bCs/>
          <w:color w:val="auto"/>
          <w:kern w:val="0"/>
          <w:szCs w:val="24"/>
          <w:highlight w:val="yellow"/>
        </w:rPr>
        <w:t>计提基准，可计提/收取</w:t>
      </w:r>
      <w:r>
        <w:rPr>
          <w:rFonts w:hint="eastAsia"/>
          <w:color w:val="auto"/>
          <w:highlight w:val="yellow"/>
          <w:lang w:eastAsia="zh-CN"/>
        </w:rPr>
        <w:t>浮动管理费</w:t>
      </w:r>
      <w:r>
        <w:rPr>
          <w:rFonts w:ascii="仿宋_GB2312" w:hAnsi="宋体" w:cs="宋体"/>
          <w:bCs/>
          <w:color w:val="auto"/>
          <w:kern w:val="0"/>
          <w:szCs w:val="24"/>
          <w:highlight w:val="yellow"/>
        </w:rPr>
        <w:t>=0；</w:t>
      </w:r>
    </w:p>
    <w:p w14:paraId="4E51570F">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当</w:t>
      </w:r>
      <w:r>
        <w:rPr>
          <w:rFonts w:ascii="仿宋_GB2312" w:hAnsi="宋体" w:cs="宋体"/>
          <w:bCs/>
          <w:color w:val="auto"/>
          <w:kern w:val="0"/>
          <w:szCs w:val="24"/>
          <w:highlight w:val="yellow"/>
        </w:rPr>
        <w:t>R＞</w:t>
      </w:r>
      <w:r>
        <w:rPr>
          <w:rFonts w:hint="eastAsia" w:ascii="仿宋_GB2312" w:hAnsi="宋体" w:cs="宋体"/>
          <w:bCs/>
          <w:color w:val="auto"/>
          <w:kern w:val="0"/>
          <w:szCs w:val="24"/>
          <w:highlight w:val="yellow"/>
          <w:lang w:eastAsia="zh-CN"/>
        </w:rPr>
        <w:t>浮动管理费</w:t>
      </w:r>
      <w:r>
        <w:rPr>
          <w:rFonts w:hint="eastAsia" w:ascii="仿宋_GB2312" w:hAnsi="宋体" w:cs="宋体"/>
          <w:bCs/>
          <w:color w:val="auto"/>
          <w:kern w:val="0"/>
          <w:szCs w:val="24"/>
          <w:highlight w:val="yellow"/>
        </w:rPr>
        <w:t>计提基准，可计提/收取</w:t>
      </w:r>
      <w:r>
        <w:rPr>
          <w:rFonts w:hint="eastAsia"/>
          <w:color w:val="auto"/>
          <w:highlight w:val="yellow"/>
          <w:lang w:eastAsia="zh-CN"/>
        </w:rPr>
        <w:t>浮动管理费</w:t>
      </w:r>
      <w:r>
        <w:rPr>
          <w:rFonts w:ascii="仿宋_GB2312" w:hAnsi="宋体" w:cs="宋体"/>
          <w:bCs/>
          <w:color w:val="auto"/>
          <w:kern w:val="0"/>
          <w:szCs w:val="24"/>
          <w:highlight w:val="yellow"/>
        </w:rPr>
        <w:t>=</w:t>
      </w:r>
      <w:r>
        <w:rPr>
          <w:rFonts w:hint="eastAsia" w:ascii="仿宋_GB2312" w:hAnsi="宋体" w:cs="宋体"/>
          <w:bCs/>
          <w:color w:val="auto"/>
          <w:kern w:val="0"/>
          <w:szCs w:val="24"/>
          <w:highlight w:val="yellow"/>
        </w:rPr>
        <w:t>产品计提/到期日投资者持有的产品份额×V</w:t>
      </w:r>
      <w:r>
        <w:rPr>
          <w:rFonts w:hint="eastAsia" w:ascii="仿宋_GB2312" w:hAnsi="宋体" w:cs="宋体"/>
          <w:bCs/>
          <w:color w:val="auto"/>
          <w:kern w:val="0"/>
          <w:sz w:val="13"/>
          <w:szCs w:val="24"/>
          <w:highlight w:val="yellow"/>
        </w:rPr>
        <w:t>期初份额净值</w:t>
      </w:r>
      <w:r>
        <w:rPr>
          <w:rFonts w:hint="eastAsia" w:ascii="仿宋_GB2312" w:hAnsi="宋体" w:cs="宋体"/>
          <w:bCs/>
          <w:color w:val="auto"/>
          <w:kern w:val="0"/>
          <w:szCs w:val="24"/>
          <w:highlight w:val="yellow"/>
        </w:rPr>
        <w:t>×（</w:t>
      </w:r>
      <w:r>
        <w:rPr>
          <w:rFonts w:ascii="仿宋_GB2312" w:hAnsi="宋体" w:cs="宋体"/>
          <w:bCs/>
          <w:color w:val="auto"/>
          <w:kern w:val="0"/>
          <w:szCs w:val="24"/>
          <w:highlight w:val="yellow"/>
        </w:rPr>
        <w:t>R-</w:t>
      </w:r>
      <w:r>
        <w:rPr>
          <w:rFonts w:hint="eastAsia" w:ascii="仿宋_GB2312" w:hAnsi="宋体" w:cs="宋体"/>
          <w:bCs/>
          <w:color w:val="auto"/>
          <w:kern w:val="0"/>
          <w:szCs w:val="24"/>
          <w:highlight w:val="yellow"/>
          <w:lang w:eastAsia="zh-CN"/>
        </w:rPr>
        <w:t>浮动管理费</w:t>
      </w:r>
      <w:r>
        <w:rPr>
          <w:rFonts w:hint="eastAsia" w:ascii="仿宋_GB2312" w:hAnsi="宋体" w:cs="宋体"/>
          <w:bCs/>
          <w:color w:val="auto"/>
          <w:kern w:val="0"/>
          <w:szCs w:val="24"/>
          <w:highlight w:val="yellow"/>
        </w:rPr>
        <w:t>计提基准）×</w:t>
      </w:r>
      <w:r>
        <w:rPr>
          <w:rFonts w:ascii="仿宋_GB2312" w:hAnsi="宋体" w:cs="宋体"/>
          <w:bCs/>
          <w:color w:val="auto"/>
          <w:kern w:val="0"/>
          <w:szCs w:val="24"/>
          <w:highlight w:val="yellow"/>
        </w:rPr>
        <w:t>N×</w:t>
      </w:r>
      <w:r>
        <w:rPr>
          <w:rFonts w:hint="eastAsia" w:ascii="仿宋_GB2312" w:hAnsi="宋体" w:cs="宋体"/>
          <w:bCs/>
          <w:color w:val="auto"/>
          <w:kern w:val="0"/>
          <w:szCs w:val="24"/>
          <w:highlight w:val="yellow"/>
        </w:rPr>
        <w:t>（D</w:t>
      </w:r>
      <w:r>
        <w:rPr>
          <w:rFonts w:ascii="仿宋_GB2312" w:hAnsi="宋体" w:cs="宋体"/>
          <w:bCs/>
          <w:color w:val="auto"/>
          <w:kern w:val="0"/>
          <w:szCs w:val="24"/>
          <w:highlight w:val="yellow"/>
        </w:rPr>
        <w:t>+1</w:t>
      </w:r>
      <w:r>
        <w:rPr>
          <w:rFonts w:hint="eastAsia" w:ascii="仿宋_GB2312" w:hAnsi="宋体" w:cs="宋体"/>
          <w:bCs/>
          <w:color w:val="auto"/>
          <w:kern w:val="0"/>
          <w:szCs w:val="24"/>
          <w:highlight w:val="yellow"/>
        </w:rPr>
        <w:t>）</w:t>
      </w:r>
      <w:r>
        <w:rPr>
          <w:rFonts w:ascii="仿宋_GB2312" w:hAnsi="宋体" w:cs="宋体"/>
          <w:bCs/>
          <w:color w:val="auto"/>
          <w:kern w:val="0"/>
          <w:szCs w:val="24"/>
          <w:highlight w:val="yellow"/>
        </w:rPr>
        <w:t>/365。</w:t>
      </w:r>
    </w:p>
    <w:p w14:paraId="66B3A575">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其中，</w:t>
      </w:r>
      <w:r>
        <w:rPr>
          <w:rFonts w:ascii="仿宋_GB2312" w:hAnsi="宋体" w:cs="宋体"/>
          <w:bCs/>
          <w:color w:val="auto"/>
          <w:kern w:val="0"/>
          <w:szCs w:val="24"/>
          <w:highlight w:val="yellow"/>
        </w:rPr>
        <w:t>V</w:t>
      </w:r>
      <w:r>
        <w:rPr>
          <w:rFonts w:hint="eastAsia" w:ascii="仿宋_GB2312" w:hAnsi="宋体" w:cs="宋体"/>
          <w:bCs/>
          <w:color w:val="auto"/>
          <w:kern w:val="0"/>
          <w:sz w:val="13"/>
          <w:szCs w:val="24"/>
          <w:highlight w:val="yellow"/>
        </w:rPr>
        <w:t>计提/到期日产品份额累计净值</w:t>
      </w:r>
      <w:r>
        <w:rPr>
          <w:rFonts w:hint="eastAsia" w:ascii="仿宋_GB2312" w:hAnsi="宋体" w:cs="宋体"/>
          <w:bCs/>
          <w:color w:val="auto"/>
          <w:kern w:val="0"/>
          <w:szCs w:val="24"/>
          <w:highlight w:val="yellow"/>
        </w:rPr>
        <w:t>表示产品计提/到期日的产品份额累计净值（未扣除</w:t>
      </w:r>
      <w:r>
        <w:rPr>
          <w:rFonts w:hint="eastAsia" w:ascii="仿宋_GB2312" w:hAnsi="宋体" w:cs="宋体"/>
          <w:bCs/>
          <w:color w:val="auto"/>
          <w:kern w:val="0"/>
          <w:szCs w:val="24"/>
          <w:highlight w:val="yellow"/>
          <w:lang w:eastAsia="zh-CN"/>
        </w:rPr>
        <w:t>浮动管理费</w:t>
      </w:r>
      <w:r>
        <w:rPr>
          <w:rFonts w:hint="eastAsia" w:ascii="仿宋_GB2312" w:hAnsi="宋体" w:cs="宋体"/>
          <w:bCs/>
          <w:color w:val="auto"/>
          <w:kern w:val="0"/>
          <w:szCs w:val="24"/>
          <w:highlight w:val="yellow"/>
        </w:rPr>
        <w:t>），V</w:t>
      </w:r>
      <w:r>
        <w:rPr>
          <w:rFonts w:hint="eastAsia" w:ascii="仿宋_GB2312" w:hAnsi="宋体" w:cs="宋体"/>
          <w:bCs/>
          <w:color w:val="auto"/>
          <w:kern w:val="0"/>
          <w:sz w:val="13"/>
          <w:szCs w:val="24"/>
          <w:highlight w:val="yellow"/>
        </w:rPr>
        <w:t>期初份额净值</w:t>
      </w:r>
      <w:r>
        <w:rPr>
          <w:rFonts w:hint="eastAsia" w:ascii="仿宋_GB2312" w:hAnsi="宋体" w:cs="宋体"/>
          <w:bCs/>
          <w:color w:val="auto"/>
          <w:kern w:val="0"/>
          <w:szCs w:val="24"/>
          <w:highlight w:val="yellow"/>
        </w:rPr>
        <w:t>表示产品成立日的产品份额净值，D表示产品到期日-产品成立日，N表示</w:t>
      </w:r>
      <w:r>
        <w:rPr>
          <w:rFonts w:hint="eastAsia" w:ascii="仿宋_GB2312" w:hAnsi="宋体" w:cs="宋体"/>
          <w:bCs/>
          <w:color w:val="auto"/>
          <w:kern w:val="0"/>
          <w:szCs w:val="24"/>
          <w:highlight w:val="yellow"/>
          <w:lang w:eastAsia="zh-CN"/>
        </w:rPr>
        <w:t>浮动管理费</w:t>
      </w:r>
      <w:r>
        <w:rPr>
          <w:rFonts w:hint="eastAsia" w:ascii="仿宋_GB2312" w:hAnsi="宋体" w:cs="宋体"/>
          <w:bCs/>
          <w:color w:val="auto"/>
          <w:kern w:val="0"/>
          <w:szCs w:val="24"/>
          <w:highlight w:val="yellow"/>
        </w:rPr>
        <w:t>分成比例。】</w:t>
      </w:r>
    </w:p>
    <w:p w14:paraId="65978164">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lang w:eastAsia="zh-CN"/>
        </w:rPr>
      </w:pPr>
      <w:r>
        <w:rPr>
          <w:rFonts w:hint="eastAsia" w:ascii="仿宋_GB2312" w:hAnsi="宋体" w:cs="宋体"/>
          <w:bCs/>
          <w:color w:val="auto"/>
          <w:kern w:val="0"/>
          <w:szCs w:val="24"/>
        </w:rPr>
        <w:t>（5）理财产品的</w:t>
      </w:r>
      <w:r>
        <w:rPr>
          <w:rFonts w:hint="eastAsia" w:ascii="仿宋_GB2312" w:hAnsi="宋体" w:cs="宋体"/>
          <w:bCs/>
          <w:color w:val="auto"/>
          <w:kern w:val="0"/>
          <w:szCs w:val="24"/>
          <w:lang w:eastAsia="zh-CN"/>
        </w:rPr>
        <w:t>托管费</w:t>
      </w:r>
    </w:p>
    <w:p w14:paraId="72447042">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lang w:eastAsia="zh-CN"/>
        </w:rPr>
        <w:t>【</w:t>
      </w:r>
      <w:r>
        <w:rPr>
          <w:rFonts w:hint="eastAsia" w:ascii="仿宋_GB2312" w:hAnsi="宋体" w:cs="宋体"/>
          <w:bCs/>
          <w:color w:val="auto"/>
          <w:kern w:val="0"/>
          <w:szCs w:val="24"/>
          <w:highlight w:val="yellow"/>
        </w:rPr>
        <w:t>本产品的</w:t>
      </w:r>
      <w:r>
        <w:rPr>
          <w:rFonts w:hint="eastAsia" w:ascii="仿宋_GB2312" w:hAnsi="宋体" w:cs="宋体"/>
          <w:bCs/>
          <w:color w:val="auto"/>
          <w:kern w:val="0"/>
          <w:szCs w:val="24"/>
          <w:highlight w:val="yellow"/>
          <w:lang w:eastAsia="zh-CN"/>
        </w:rPr>
        <w:t>托管费</w:t>
      </w:r>
      <w:r>
        <w:rPr>
          <w:rFonts w:hint="eastAsia" w:ascii="仿宋_GB2312" w:hAnsi="宋体" w:cs="宋体"/>
          <w:bCs/>
          <w:color w:val="auto"/>
          <w:kern w:val="0"/>
          <w:szCs w:val="24"/>
          <w:highlight w:val="yellow"/>
        </w:rPr>
        <w:t>按当日理财产品份额与</w:t>
      </w:r>
      <w:r>
        <w:rPr>
          <w:rFonts w:hint="eastAsia" w:ascii="仿宋_GB2312" w:hAnsi="宋体" w:cs="宋体"/>
          <w:bCs/>
          <w:color w:val="auto"/>
          <w:kern w:val="0"/>
          <w:szCs w:val="24"/>
          <w:highlight w:val="yellow"/>
          <w:lang w:eastAsia="zh-CN"/>
        </w:rPr>
        <w:t>托管费</w:t>
      </w:r>
      <w:r>
        <w:rPr>
          <w:rFonts w:hint="eastAsia" w:ascii="仿宋_GB2312" w:hAnsi="宋体" w:cs="宋体"/>
          <w:bCs/>
          <w:color w:val="auto"/>
          <w:kern w:val="0"/>
          <w:szCs w:val="24"/>
          <w:highlight w:val="yellow"/>
        </w:rPr>
        <w:t>费率每日计提，</w:t>
      </w:r>
      <w:r>
        <w:rPr>
          <w:rFonts w:hint="eastAsia" w:ascii="仿宋_GB2312" w:hAnsi="宋体" w:cs="宋体"/>
          <w:bCs/>
          <w:color w:val="auto"/>
          <w:spacing w:val="-4"/>
          <w:kern w:val="0"/>
          <w:szCs w:val="24"/>
          <w:highlight w:val="yellow"/>
        </w:rPr>
        <w:t>管理人可按季或产品开放周期（如有）收取，或与后续季度、开放周期（如有）合并收取。</w:t>
      </w:r>
      <w:r>
        <w:rPr>
          <w:rFonts w:hint="eastAsia" w:ascii="仿宋_GB2312" w:hAnsi="宋体" w:cs="宋体"/>
          <w:bCs/>
          <w:color w:val="auto"/>
          <w:kern w:val="0"/>
          <w:szCs w:val="24"/>
          <w:highlight w:val="yellow"/>
          <w:lang w:eastAsia="zh-CN"/>
        </w:rPr>
        <w:t>托管费</w:t>
      </w:r>
      <w:r>
        <w:rPr>
          <w:rFonts w:hint="eastAsia" w:ascii="仿宋_GB2312" w:hAnsi="宋体" w:cs="宋体"/>
          <w:bCs/>
          <w:color w:val="auto"/>
          <w:spacing w:val="-4"/>
          <w:kern w:val="0"/>
          <w:szCs w:val="24"/>
          <w:highlight w:val="yellow"/>
        </w:rPr>
        <w:t>精确到小数点后2位，小数点2位以后四舍五入</w:t>
      </w:r>
      <w:r>
        <w:rPr>
          <w:rFonts w:hint="eastAsia" w:ascii="仿宋_GB2312" w:hAnsi="宋体" w:cs="宋体"/>
          <w:bCs/>
          <w:color w:val="auto"/>
          <w:kern w:val="0"/>
          <w:szCs w:val="24"/>
          <w:highlight w:val="yellow"/>
        </w:rPr>
        <w:t>。</w:t>
      </w:r>
    </w:p>
    <w:p w14:paraId="45118010">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lang w:eastAsia="zh-CN"/>
        </w:rPr>
        <w:t>托管费</w:t>
      </w:r>
      <w:r>
        <w:rPr>
          <w:rFonts w:hint="eastAsia" w:ascii="仿宋_GB2312" w:hAnsi="宋体" w:cs="宋体"/>
          <w:bCs/>
          <w:color w:val="auto"/>
          <w:kern w:val="0"/>
          <w:szCs w:val="24"/>
          <w:highlight w:val="yellow"/>
        </w:rPr>
        <w:t>的计算方法如下：</w:t>
      </w:r>
    </w:p>
    <w:p w14:paraId="59ABEF2C">
      <w:pPr>
        <w:widowControl/>
        <w:tabs>
          <w:tab w:val="left" w:pos="709"/>
        </w:tabs>
        <w:snapToGrid w:val="0"/>
        <w:spacing w:line="360" w:lineRule="auto"/>
        <w:ind w:firstLine="420" w:firstLineChars="200"/>
        <w:rPr>
          <w:rFonts w:ascii="仿宋_GB2312" w:hAnsi="宋体" w:cs="宋体"/>
          <w:bCs/>
          <w:color w:val="auto"/>
          <w:kern w:val="0"/>
          <w:szCs w:val="24"/>
          <w:highlight w:val="yellow"/>
        </w:rPr>
      </w:pPr>
      <w:r>
        <w:rPr>
          <w:rFonts w:hint="eastAsia" w:ascii="仿宋_GB2312" w:hAnsi="宋体" w:cs="宋体"/>
          <w:bCs/>
          <w:color w:val="auto"/>
          <w:kern w:val="0"/>
          <w:szCs w:val="24"/>
          <w:highlight w:val="yellow"/>
        </w:rPr>
        <w:t>H＝E×</w:t>
      </w:r>
      <w:r>
        <w:rPr>
          <w:rFonts w:hint="eastAsia" w:ascii="仿宋_GB2312" w:hAnsi="宋体" w:cs="宋体"/>
          <w:bCs/>
          <w:color w:val="auto"/>
          <w:kern w:val="0"/>
          <w:szCs w:val="24"/>
          <w:highlight w:val="yellow"/>
          <w:lang w:eastAsia="zh-CN"/>
        </w:rPr>
        <w:t>托管费</w:t>
      </w:r>
      <w:r>
        <w:rPr>
          <w:rFonts w:hint="eastAsia" w:ascii="仿宋_GB2312" w:hAnsi="宋体" w:cs="宋体"/>
          <w:bCs/>
          <w:color w:val="auto"/>
          <w:kern w:val="0"/>
          <w:szCs w:val="24"/>
          <w:highlight w:val="yellow"/>
        </w:rPr>
        <w:t>年费率÷365</w:t>
      </w:r>
    </w:p>
    <w:p w14:paraId="235F9E50">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lang w:eastAsia="zh-CN"/>
        </w:rPr>
      </w:pPr>
      <w:r>
        <w:rPr>
          <w:rFonts w:hint="eastAsia" w:ascii="仿宋_GB2312" w:hAnsi="宋体" w:cs="宋体"/>
          <w:bCs/>
          <w:color w:val="auto"/>
          <w:kern w:val="0"/>
          <w:szCs w:val="24"/>
          <w:highlight w:val="yellow"/>
        </w:rPr>
        <w:t>H为每日应计提的</w:t>
      </w:r>
      <w:r>
        <w:rPr>
          <w:rFonts w:hint="eastAsia" w:ascii="仿宋_GB2312" w:hAnsi="宋体" w:cs="宋体"/>
          <w:bCs/>
          <w:color w:val="auto"/>
          <w:kern w:val="0"/>
          <w:szCs w:val="24"/>
          <w:highlight w:val="yellow"/>
          <w:lang w:eastAsia="zh-CN"/>
        </w:rPr>
        <w:t>托管费</w:t>
      </w:r>
    </w:p>
    <w:p w14:paraId="5B52B708">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lang w:eastAsia="zh-CN"/>
        </w:rPr>
      </w:pPr>
      <w:r>
        <w:rPr>
          <w:rFonts w:hint="eastAsia" w:ascii="仿宋_GB2312" w:hAnsi="宋体" w:cs="宋体"/>
          <w:bCs/>
          <w:color w:val="auto"/>
          <w:kern w:val="0"/>
          <w:szCs w:val="24"/>
          <w:highlight w:val="yellow"/>
        </w:rPr>
        <w:t>E为当日理财产品份额</w:t>
      </w:r>
      <w:r>
        <w:rPr>
          <w:rFonts w:hint="eastAsia" w:ascii="仿宋_GB2312" w:hAnsi="宋体" w:cs="宋体"/>
          <w:bCs/>
          <w:color w:val="auto"/>
          <w:kern w:val="0"/>
          <w:szCs w:val="24"/>
          <w:highlight w:val="yellow"/>
          <w:lang w:eastAsia="zh-CN"/>
        </w:rPr>
        <w:t>】</w:t>
      </w:r>
    </w:p>
    <w:p w14:paraId="6CD6C216">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lang w:eastAsia="zh-CN"/>
        </w:rPr>
        <w:t>托管费</w:t>
      </w:r>
      <w:r>
        <w:rPr>
          <w:rFonts w:hint="eastAsia" w:ascii="仿宋_GB2312" w:hAnsi="宋体" w:cs="宋体"/>
          <w:bCs/>
          <w:color w:val="auto"/>
          <w:kern w:val="0"/>
          <w:szCs w:val="24"/>
        </w:rPr>
        <w:t>依照上述约定，从理财财产中支付。费率具体数值以《产品说明书》“</w:t>
      </w:r>
      <w:r>
        <w:rPr>
          <w:rFonts w:hint="eastAsia" w:ascii="仿宋_GB2312" w:hAnsi="宋体" w:cs="宋体"/>
          <w:bCs/>
          <w:color w:val="auto"/>
          <w:kern w:val="0"/>
          <w:szCs w:val="24"/>
          <w:lang w:eastAsia="zh-CN"/>
        </w:rPr>
        <w:t>第一节 理财产品说明书关键要素</w:t>
      </w:r>
      <w:r>
        <w:rPr>
          <w:rFonts w:hint="eastAsia" w:ascii="仿宋_GB2312" w:hAnsi="宋体" w:cs="宋体"/>
          <w:bCs/>
          <w:color w:val="auto"/>
          <w:kern w:val="0"/>
          <w:szCs w:val="24"/>
        </w:rPr>
        <w:t>”为准。</w:t>
      </w:r>
    </w:p>
    <w:p w14:paraId="426E66BF">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（6）其他费用</w:t>
      </w:r>
    </w:p>
    <w:p w14:paraId="62EB9732">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与理财产品相关的其他费用，按照实际发生金额从产品资产中列支。若产品管理人先行垫付其他费用的，管理人有权从理财产品资产中优先受偿。</w:t>
      </w:r>
    </w:p>
    <w:p w14:paraId="031770C3">
      <w:pPr>
        <w:widowControl/>
        <w:tabs>
          <w:tab w:val="left" w:pos="709"/>
        </w:tabs>
        <w:snapToGrid w:val="0"/>
        <w:spacing w:line="360" w:lineRule="auto"/>
        <w:ind w:firstLine="422" w:firstLineChars="200"/>
        <w:rPr>
          <w:rFonts w:ascii="仿宋_GB2312" w:hAnsi="宋体" w:cs="宋体"/>
          <w:b/>
          <w:bCs/>
          <w:color w:val="auto"/>
          <w:kern w:val="0"/>
          <w:szCs w:val="24"/>
        </w:rPr>
      </w:pPr>
      <w:r>
        <w:rPr>
          <w:rFonts w:ascii="仿宋_GB2312" w:hAnsi="宋体" w:cs="宋体"/>
          <w:b/>
          <w:bCs/>
          <w:color w:val="auto"/>
          <w:kern w:val="0"/>
          <w:szCs w:val="24"/>
        </w:rPr>
        <w:t>3</w:t>
      </w:r>
      <w:r>
        <w:rPr>
          <w:rFonts w:hint="eastAsia" w:ascii="仿宋_GB2312" w:hAnsi="宋体" w:cs="宋体"/>
          <w:b/>
          <w:bCs/>
          <w:color w:val="auto"/>
          <w:kern w:val="0"/>
          <w:szCs w:val="24"/>
        </w:rPr>
        <w:t>.费用调整</w:t>
      </w:r>
    </w:p>
    <w:p w14:paraId="4BAB03C7">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产品管理人有权根据相关法律和国家政策规定，对理财产品费用的收费项目、收费条件、收费标准和收费方式等进行调整。产品管理人对费用的调整按本说明书约定的方式进行信息披露。投资者有权不接受调整，并按照信息披露内容中约定的方式提前赎回理财产品。</w:t>
      </w:r>
    </w:p>
    <w:p w14:paraId="355F329B">
      <w:pPr>
        <w:pStyle w:val="3"/>
        <w:numPr>
          <w:ilvl w:val="1"/>
          <w:numId w:val="14"/>
        </w:numPr>
        <w:ind w:firstLine="482"/>
        <w:rPr>
          <w:color w:val="auto"/>
        </w:rPr>
      </w:pPr>
      <w:r>
        <w:rPr>
          <w:rFonts w:hint="eastAsia"/>
          <w:color w:val="auto"/>
        </w:rPr>
        <w:t>税收说明</w:t>
      </w:r>
    </w:p>
    <w:p w14:paraId="2F96B88A">
      <w:pPr>
        <w:tabs>
          <w:tab w:val="left" w:pos="709"/>
        </w:tabs>
        <w:snapToGrid w:val="0"/>
        <w:spacing w:line="360" w:lineRule="auto"/>
        <w:ind w:firstLine="420" w:firstLineChars="200"/>
        <w:rPr>
          <w:color w:val="auto"/>
        </w:rPr>
      </w:pPr>
      <w:r>
        <w:rPr>
          <w:rFonts w:hint="eastAsia" w:ascii="仿宋_GB2312" w:hAnsi="宋体" w:cs="宋体"/>
          <w:bCs/>
          <w:color w:val="auto"/>
          <w:kern w:val="0"/>
          <w:szCs w:val="24"/>
        </w:rPr>
        <w:t>本理财产品运作过程中涉及的各纳税主体的纳税义务按国家税收法律、法规执行。除法律法规特别要求外，理财产品运营过程中发生的增值税应税行为，由理财产品承担增值税及附加税费，并由理财产品管理人进行计算、申报和缴纳，该等税费将直接从理财产品财产中支付。后续国家法律法规如对相关税收政策进行调整，管理人有权根据税收政策相应调整理财产品运营过程中发生的税费的承担方式。理财收益的应纳税款以及其他的投资者应纳税款由投资者自行申报及缴纳，管理人不承担代扣代缴或纳税的义务。</w:t>
      </w:r>
    </w:p>
    <w:p w14:paraId="58A22EB8">
      <w:pPr>
        <w:jc w:val="left"/>
        <w:rPr>
          <w:rFonts w:ascii="仿宋_GB2312" w:hAnsi="宋体" w:cs="宋体"/>
          <w:bCs/>
          <w:color w:val="auto"/>
          <w:kern w:val="0"/>
          <w:szCs w:val="24"/>
        </w:rPr>
      </w:pPr>
      <w:r>
        <w:rPr>
          <w:rFonts w:hint="eastAsia" w:ascii="仿宋_GB2312" w:hAnsi="宋体" w:cs="宋体"/>
          <w:bCs/>
          <w:color w:val="auto"/>
          <w:kern w:val="0"/>
          <w:szCs w:val="24"/>
        </w:rPr>
        <w:br w:type="page"/>
      </w:r>
    </w:p>
    <w:p w14:paraId="2DFFDA6D">
      <w:pPr>
        <w:pStyle w:val="2"/>
        <w:numPr>
          <w:ilvl w:val="0"/>
          <w:numId w:val="14"/>
        </w:numPr>
        <w:rPr>
          <w:color w:val="auto"/>
        </w:rPr>
      </w:pPr>
      <w:r>
        <w:rPr>
          <w:rFonts w:hint="eastAsia"/>
          <w:color w:val="auto"/>
        </w:rPr>
        <w:t>理财产品的终止与清算</w:t>
      </w:r>
    </w:p>
    <w:p w14:paraId="029BCC2F">
      <w:pPr>
        <w:pStyle w:val="3"/>
        <w:numPr>
          <w:ilvl w:val="1"/>
          <w:numId w:val="14"/>
        </w:numPr>
        <w:ind w:firstLine="482"/>
        <w:rPr>
          <w:color w:val="auto"/>
        </w:rPr>
      </w:pPr>
      <w:r>
        <w:rPr>
          <w:rFonts w:hint="eastAsia"/>
          <w:color w:val="auto"/>
        </w:rPr>
        <w:t>理财产品到期</w:t>
      </w:r>
    </w:p>
    <w:p w14:paraId="59C40610">
      <w:pPr>
        <w:widowControl/>
        <w:tabs>
          <w:tab w:val="left" w:pos="709"/>
        </w:tabs>
        <w:adjustRightInd w:val="0"/>
        <w:snapToGrid w:val="0"/>
        <w:spacing w:line="360" w:lineRule="auto"/>
        <w:ind w:firstLine="422" w:firstLineChars="200"/>
        <w:rPr>
          <w:rFonts w:ascii="仿宋_GB2312" w:hAnsi="宋体" w:cs="宋体"/>
          <w:bCs/>
          <w:color w:val="auto"/>
          <w:kern w:val="0"/>
          <w:szCs w:val="24"/>
        </w:rPr>
      </w:pPr>
      <w:r>
        <w:rPr>
          <w:rFonts w:hint="eastAsia" w:ascii="仿宋_GB2312" w:hAnsi="宋体" w:cs="宋体"/>
          <w:b/>
          <w:bCs/>
          <w:color w:val="auto"/>
          <w:kern w:val="0"/>
          <w:szCs w:val="24"/>
          <w:highlight w:val="yellow"/>
        </w:rPr>
        <w:t>【本理财产品无固定到期日】</w:t>
      </w:r>
      <w:r>
        <w:rPr>
          <w:rFonts w:hint="eastAsia" w:ascii="仿宋_GB2312" w:hAnsi="宋体" w:cs="宋体"/>
          <w:bCs/>
          <w:color w:val="auto"/>
          <w:kern w:val="0"/>
          <w:szCs w:val="24"/>
        </w:rPr>
        <w:t>，</w:t>
      </w:r>
      <w:r>
        <w:rPr>
          <w:rFonts w:hint="eastAsia" w:ascii="宋体" w:hAnsi="宋体"/>
          <w:color w:val="auto"/>
          <w:szCs w:val="24"/>
        </w:rPr>
        <w:t>如产品提前终止</w:t>
      </w:r>
      <w:r>
        <w:rPr>
          <w:rFonts w:hint="eastAsia" w:ascii="宋体" w:hAnsi="宋体"/>
          <w:color w:val="auto"/>
          <w:szCs w:val="24"/>
          <w:lang w:eastAsia="zh-CN"/>
        </w:rPr>
        <w:t>或延期终止</w:t>
      </w:r>
      <w:r>
        <w:rPr>
          <w:rFonts w:hint="eastAsia" w:ascii="宋体" w:hAnsi="宋体"/>
          <w:color w:val="auto"/>
          <w:szCs w:val="24"/>
        </w:rPr>
        <w:t>，除有特别约定外，实际终止日为到期日。</w:t>
      </w:r>
    </w:p>
    <w:p w14:paraId="0CAB455E">
      <w:pPr>
        <w:widowControl/>
        <w:tabs>
          <w:tab w:val="left" w:pos="709"/>
        </w:tabs>
        <w:adjustRightInd w:val="0"/>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理财产品不因投资者死亡、丧失民事行为能力、破产而终止；投资者的法定继承人、承继人或指定受益人以及继任管理人承担本理财产品销售文件项下的相应权利和义务，产品管理人以及代销机构有权要求投资者的继承人或者指定受益人等相关主体配合办理相关变更手续。</w:t>
      </w:r>
    </w:p>
    <w:p w14:paraId="6A2F90F9">
      <w:pPr>
        <w:pStyle w:val="3"/>
        <w:numPr>
          <w:ilvl w:val="1"/>
          <w:numId w:val="14"/>
        </w:numPr>
        <w:ind w:firstLine="482"/>
        <w:rPr>
          <w:color w:val="auto"/>
        </w:rPr>
      </w:pPr>
      <w:r>
        <w:rPr>
          <w:rFonts w:hint="eastAsia"/>
          <w:color w:val="auto"/>
        </w:rPr>
        <w:t>理财产品提前终止</w:t>
      </w:r>
    </w:p>
    <w:p w14:paraId="491F2024">
      <w:pPr>
        <w:widowControl/>
        <w:tabs>
          <w:tab w:val="left" w:pos="709"/>
        </w:tabs>
        <w:snapToGrid w:val="0"/>
        <w:spacing w:line="360" w:lineRule="auto"/>
        <w:ind w:firstLine="422" w:firstLineChars="200"/>
        <w:rPr>
          <w:rFonts w:ascii="仿宋_GB2312" w:hAnsi="宋体" w:cs="宋体"/>
          <w:b/>
          <w:bCs/>
          <w:color w:val="auto"/>
          <w:kern w:val="0"/>
          <w:szCs w:val="24"/>
        </w:rPr>
      </w:pPr>
      <w:r>
        <w:rPr>
          <w:rFonts w:hint="eastAsia" w:ascii="仿宋_GB2312" w:hAnsi="宋体" w:cs="宋体"/>
          <w:b/>
          <w:bCs/>
          <w:color w:val="auto"/>
          <w:kern w:val="0"/>
          <w:szCs w:val="24"/>
        </w:rPr>
        <w:t>本理财产品存续期间，投资者无提前终止权。如出现以下情形，管理人有权但无义务提前终止本产品：</w:t>
      </w:r>
    </w:p>
    <w:p w14:paraId="541FBE05">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1.自然灾害、疫情、金融市场危机、战争等不可抗力因素及/或意外事件导致理财产品无法继续运作。</w:t>
      </w:r>
    </w:p>
    <w:p w14:paraId="7FC42AE9">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2.遇有市场出现剧烈波动、异常风险事件等情形导致理财产品收益出现大幅波动或严重影响理财产品的资产安全。</w:t>
      </w:r>
    </w:p>
    <w:p w14:paraId="6DA07B05">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3.因投资者理财资金被有权机关扣划等原因导致理财产品剩余资产无法满足相关法律法规规定、所投资市场要求或协议等相关法律文件约定，或者继续存续无法实现投资目标。</w:t>
      </w:r>
    </w:p>
    <w:p w14:paraId="24DE222E">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4.因相关投资管理机构解散、破产、撤销、被取消业务资格等原因无法继续履行相应职责导致产品无法继续运作。</w:t>
      </w:r>
    </w:p>
    <w:p w14:paraId="53E3AB8A">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5.相关投资管理机构或运用理财资金的第三方主体实施符合法律法规规定或协议等相关文件约定的行为导致理财产品被动提前终止。</w:t>
      </w:r>
    </w:p>
    <w:p w14:paraId="2F7D5F7C">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6.因法律法规变化或国家金融政策调整、紧急措施出台影响产品继续正常运作。</w:t>
      </w:r>
    </w:p>
    <w:p w14:paraId="29DEDF03">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7.提前终止产品比维持产品运作更有利于保护产品持有人的权益。</w:t>
      </w:r>
    </w:p>
    <w:p w14:paraId="450F02A4">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8.遇国家政策出现重大调整并影响到本产品的正常运行。</w:t>
      </w:r>
    </w:p>
    <w:p w14:paraId="123CFC26">
      <w:pPr>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9.因本产品投资的资产部分或全部提前终止或发生其他影响本产品正常投资运作的重大事件。</w:t>
      </w:r>
    </w:p>
    <w:p w14:paraId="569F94C6">
      <w:pPr>
        <w:widowControl/>
        <w:tabs>
          <w:tab w:val="left" w:pos="709"/>
        </w:tabs>
        <w:snapToGrid w:val="0"/>
        <w:spacing w:line="360" w:lineRule="auto"/>
        <w:ind w:firstLine="420" w:firstLineChars="200"/>
        <w:rPr>
          <w:rFonts w:ascii="仿宋_GB2312" w:hAnsi="宋体" w:cs="宋体"/>
          <w:bCs/>
          <w:color w:val="auto"/>
          <w:kern w:val="0"/>
          <w:szCs w:val="24"/>
        </w:rPr>
      </w:pPr>
      <w:r>
        <w:rPr>
          <w:rFonts w:ascii="仿宋_GB2312" w:hAnsi="宋体" w:cs="宋体"/>
          <w:bCs/>
          <w:color w:val="auto"/>
          <w:kern w:val="0"/>
          <w:szCs w:val="24"/>
        </w:rPr>
        <w:t>10</w:t>
      </w:r>
      <w:r>
        <w:rPr>
          <w:rFonts w:hint="eastAsia" w:ascii="仿宋_GB2312" w:hAnsi="宋体" w:cs="宋体"/>
          <w:bCs/>
          <w:color w:val="auto"/>
          <w:kern w:val="0"/>
          <w:szCs w:val="24"/>
        </w:rPr>
        <w:t>.本产品存续期内，所投资资产种类已全部调整为现金资产且无其他投资安排。</w:t>
      </w:r>
    </w:p>
    <w:p w14:paraId="5BFA4A39">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1</w:t>
      </w:r>
      <w:r>
        <w:rPr>
          <w:rFonts w:ascii="仿宋_GB2312" w:hAnsi="宋体" w:cs="宋体"/>
          <w:bCs/>
          <w:color w:val="auto"/>
          <w:kern w:val="0"/>
          <w:szCs w:val="24"/>
        </w:rPr>
        <w:t>1</w:t>
      </w:r>
      <w:r>
        <w:rPr>
          <w:rFonts w:hint="eastAsia" w:ascii="仿宋_GB2312" w:hAnsi="宋体" w:cs="宋体"/>
          <w:bCs/>
          <w:color w:val="auto"/>
          <w:kern w:val="0"/>
          <w:szCs w:val="24"/>
        </w:rPr>
        <w:t>.管理人认为有必要提前终止本产品的其他情形。</w:t>
      </w:r>
    </w:p>
    <w:p w14:paraId="446E9C53">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管理人将至少于提前终止日前</w:t>
      </w:r>
      <w:r>
        <w:rPr>
          <w:rFonts w:hint="eastAsia" w:ascii="仿宋_GB2312" w:hAnsi="宋体" w:cs="宋体"/>
          <w:bCs/>
          <w:color w:val="auto"/>
          <w:kern w:val="0"/>
          <w:szCs w:val="24"/>
          <w:lang w:val="en-US" w:eastAsia="zh-CN"/>
        </w:rPr>
        <w:t>1</w:t>
      </w:r>
      <w:r>
        <w:rPr>
          <w:rFonts w:hint="eastAsia" w:ascii="仿宋_GB2312" w:hAnsi="宋体" w:cs="宋体"/>
          <w:bCs/>
          <w:color w:val="auto"/>
          <w:kern w:val="0"/>
          <w:szCs w:val="24"/>
        </w:rPr>
        <w:t>个工作日通过本产品说明书约定</w:t>
      </w:r>
      <w:r>
        <w:rPr>
          <w:rFonts w:ascii="仿宋_GB2312" w:hAnsi="宋体" w:cs="宋体"/>
          <w:bCs/>
          <w:color w:val="auto"/>
          <w:kern w:val="0"/>
          <w:szCs w:val="24"/>
        </w:rPr>
        <w:t>方式</w:t>
      </w:r>
      <w:r>
        <w:rPr>
          <w:rFonts w:hint="eastAsia" w:ascii="仿宋_GB2312" w:hAnsi="宋体" w:cs="宋体"/>
          <w:bCs/>
          <w:color w:val="auto"/>
          <w:kern w:val="0"/>
          <w:szCs w:val="24"/>
        </w:rPr>
        <w:t>发布本产品提前终止公告，并于提前终止日后5个工作日内通过销售机构将兑付理财资金划至投资者指定账户。</w:t>
      </w:r>
    </w:p>
    <w:p w14:paraId="7861B6AC">
      <w:pPr>
        <w:pStyle w:val="3"/>
        <w:numPr>
          <w:ilvl w:val="1"/>
          <w:numId w:val="14"/>
        </w:numPr>
        <w:ind w:firstLine="482"/>
        <w:rPr>
          <w:color w:val="auto"/>
        </w:rPr>
      </w:pPr>
      <w:r>
        <w:rPr>
          <w:rFonts w:hint="eastAsia" w:ascii="楷体_GB2312" w:hAnsi="宋体" w:eastAsia="楷体_GB2312" w:cs="宋体"/>
          <w:bCs/>
          <w:color w:val="auto"/>
          <w:kern w:val="0"/>
          <w:szCs w:val="24"/>
        </w:rPr>
        <w:t>理财产品到期清算</w:t>
      </w:r>
    </w:p>
    <w:p w14:paraId="4FA40399">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1.清算程序</w:t>
      </w:r>
    </w:p>
    <w:p w14:paraId="582049F2">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产品到期（含提前终止）后，理财产品终止运作，本理财产品</w:t>
      </w:r>
      <w:r>
        <w:rPr>
          <w:color w:val="auto"/>
        </w:rPr>
        <w:t>管</w:t>
      </w:r>
      <w:r>
        <w:rPr>
          <w:rFonts w:hint="eastAsia" w:ascii="仿宋_GB2312" w:hAnsi="宋体" w:cs="宋体"/>
          <w:bCs/>
          <w:color w:val="auto"/>
          <w:kern w:val="0"/>
          <w:szCs w:val="24"/>
        </w:rPr>
        <w:t>理人启动产品清算，理财资产清</w:t>
      </w:r>
      <w:r>
        <w:rPr>
          <w:rFonts w:ascii="仿宋_GB2312" w:hAnsi="宋体" w:cs="宋体"/>
          <w:bCs/>
          <w:color w:val="auto"/>
          <w:kern w:val="0"/>
          <w:szCs w:val="24"/>
        </w:rPr>
        <w:t>算后扣除理财相关费用、缴纳所欠税款并清偿理财产品负债后，</w:t>
      </w:r>
      <w:r>
        <w:rPr>
          <w:color w:val="auto"/>
        </w:rPr>
        <w:t>管</w:t>
      </w:r>
      <w:r>
        <w:rPr>
          <w:rFonts w:hint="eastAsia" w:ascii="仿宋_GB2312" w:hAnsi="宋体" w:cs="宋体"/>
          <w:bCs/>
          <w:color w:val="auto"/>
          <w:kern w:val="0"/>
          <w:szCs w:val="24"/>
        </w:rPr>
        <w:t>理人通过销售机构将投资者应得资金（如有，下同）划至投资者指定账户。本产品到期（含提前终止）时，如本产品项下财产全部变现，管理人将在产品到期后5个工作日内向投资者完成</w:t>
      </w:r>
      <w:r>
        <w:rPr>
          <w:rFonts w:ascii="仿宋_GB2312" w:hAnsi="宋体" w:cs="宋体"/>
          <w:bCs/>
          <w:color w:val="auto"/>
          <w:kern w:val="0"/>
          <w:szCs w:val="24"/>
        </w:rPr>
        <w:t>分配</w:t>
      </w:r>
      <w:r>
        <w:rPr>
          <w:rFonts w:hint="eastAsia" w:ascii="仿宋_GB2312" w:hAnsi="宋体" w:cs="宋体"/>
          <w:bCs/>
          <w:color w:val="auto"/>
          <w:kern w:val="0"/>
          <w:szCs w:val="24"/>
        </w:rPr>
        <w:t>。产品到期日/终止日至资金到账日期间，投资者理财资金如因清算安排实际产生利息的，相关利息归投资者所有。</w:t>
      </w:r>
    </w:p>
    <w:p w14:paraId="11CEBE1B">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如因清算需要，本产品无法在到期后5个工作日内向投资者完成</w:t>
      </w:r>
      <w:r>
        <w:rPr>
          <w:rFonts w:ascii="仿宋_GB2312" w:hAnsi="宋体" w:cs="宋体"/>
          <w:bCs/>
          <w:color w:val="auto"/>
          <w:kern w:val="0"/>
          <w:szCs w:val="24"/>
        </w:rPr>
        <w:t>分配</w:t>
      </w:r>
      <w:r>
        <w:rPr>
          <w:rFonts w:hint="eastAsia" w:ascii="仿宋_GB2312" w:hAnsi="宋体" w:cs="宋体"/>
          <w:bCs/>
          <w:color w:val="auto"/>
          <w:kern w:val="0"/>
          <w:szCs w:val="24"/>
        </w:rPr>
        <w:t>的，管理人有权延后产品可得资金分配并于产品到期日前公告。</w:t>
      </w:r>
    </w:p>
    <w:p w14:paraId="479AD257">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2.清算费用分别按照实际发生费用从产品资产中列支。</w:t>
      </w:r>
    </w:p>
    <w:p w14:paraId="0E748441">
      <w:pPr>
        <w:widowControl/>
        <w:tabs>
          <w:tab w:val="left" w:pos="709"/>
        </w:tabs>
        <w:snapToGrid w:val="0"/>
        <w:spacing w:line="360" w:lineRule="auto"/>
        <w:ind w:firstLine="420" w:firstLineChars="200"/>
        <w:rPr>
          <w:rFonts w:ascii="仿宋_GB2312" w:hAnsi="宋体" w:cs="宋体"/>
          <w:bCs/>
          <w:color w:val="auto"/>
          <w:kern w:val="0"/>
          <w:szCs w:val="24"/>
        </w:rPr>
      </w:pPr>
      <w:r>
        <w:rPr>
          <w:rFonts w:ascii="仿宋_GB2312" w:hAnsi="宋体" w:cs="宋体"/>
          <w:bCs/>
          <w:color w:val="auto"/>
          <w:kern w:val="0"/>
          <w:szCs w:val="24"/>
        </w:rPr>
        <w:t>3.产品资产清算剩余资产的分配</w:t>
      </w:r>
    </w:p>
    <w:p w14:paraId="73C090DB">
      <w:pPr>
        <w:widowControl/>
        <w:tabs>
          <w:tab w:val="left" w:pos="709"/>
        </w:tabs>
        <w:snapToGrid w:val="0"/>
        <w:spacing w:line="360" w:lineRule="auto"/>
        <w:ind w:firstLine="420" w:firstLineChars="200"/>
        <w:rPr>
          <w:rFonts w:ascii="仿宋_GB2312" w:hAnsi="宋体" w:cs="宋体"/>
          <w:bCs/>
          <w:color w:val="auto"/>
          <w:kern w:val="0"/>
          <w:szCs w:val="24"/>
        </w:rPr>
      </w:pPr>
      <w:r>
        <w:rPr>
          <w:rFonts w:ascii="仿宋_GB2312" w:hAnsi="宋体" w:cs="宋体"/>
          <w:bCs/>
          <w:color w:val="auto"/>
          <w:kern w:val="0"/>
          <w:szCs w:val="24"/>
        </w:rPr>
        <w:t>产品资产按下列顺序清偿：</w:t>
      </w:r>
    </w:p>
    <w:p w14:paraId="7B70C0C7">
      <w:pPr>
        <w:widowControl/>
        <w:tabs>
          <w:tab w:val="left" w:pos="709"/>
        </w:tabs>
        <w:snapToGrid w:val="0"/>
        <w:spacing w:line="360" w:lineRule="auto"/>
        <w:ind w:firstLine="420" w:firstLineChars="200"/>
        <w:rPr>
          <w:rFonts w:ascii="仿宋_GB2312" w:hAnsi="宋体" w:cs="宋体"/>
          <w:bCs/>
          <w:color w:val="auto"/>
          <w:kern w:val="0"/>
          <w:szCs w:val="24"/>
        </w:rPr>
      </w:pPr>
      <w:r>
        <w:rPr>
          <w:rFonts w:ascii="仿宋_GB2312" w:hAnsi="宋体" w:cs="宋体"/>
          <w:bCs/>
          <w:color w:val="auto"/>
          <w:kern w:val="0"/>
          <w:szCs w:val="24"/>
        </w:rPr>
        <w:t>（1）支付清算费用和交纳所欠税款；</w:t>
      </w:r>
    </w:p>
    <w:p w14:paraId="6AE0CD51">
      <w:pPr>
        <w:widowControl/>
        <w:tabs>
          <w:tab w:val="left" w:pos="709"/>
        </w:tabs>
        <w:snapToGrid w:val="0"/>
        <w:spacing w:line="360" w:lineRule="auto"/>
        <w:ind w:firstLine="420" w:firstLineChars="200"/>
        <w:rPr>
          <w:rFonts w:ascii="仿宋_GB2312" w:hAnsi="宋体" w:cs="宋体"/>
          <w:bCs/>
          <w:color w:val="auto"/>
          <w:kern w:val="0"/>
          <w:szCs w:val="24"/>
        </w:rPr>
      </w:pPr>
      <w:r>
        <w:rPr>
          <w:rFonts w:ascii="仿宋_GB2312" w:hAnsi="宋体" w:cs="宋体"/>
          <w:bCs/>
          <w:color w:val="auto"/>
          <w:kern w:val="0"/>
          <w:szCs w:val="24"/>
        </w:rPr>
        <w:t>（2）清偿产品债务；</w:t>
      </w:r>
    </w:p>
    <w:p w14:paraId="5BE1B783">
      <w:pPr>
        <w:widowControl/>
        <w:tabs>
          <w:tab w:val="left" w:pos="709"/>
        </w:tabs>
        <w:snapToGrid w:val="0"/>
        <w:spacing w:line="360" w:lineRule="auto"/>
        <w:ind w:firstLine="420" w:firstLineChars="200"/>
        <w:rPr>
          <w:rFonts w:ascii="仿宋_GB2312" w:hAnsi="宋体" w:cs="宋体"/>
          <w:bCs/>
          <w:color w:val="auto"/>
          <w:kern w:val="0"/>
          <w:szCs w:val="24"/>
        </w:rPr>
      </w:pPr>
      <w:r>
        <w:rPr>
          <w:rFonts w:ascii="仿宋_GB2312" w:hAnsi="宋体" w:cs="宋体"/>
          <w:bCs/>
          <w:color w:val="auto"/>
          <w:kern w:val="0"/>
          <w:szCs w:val="24"/>
        </w:rPr>
        <w:t>（3）按产品份额持有人持有的产品份额比例进行分配。</w:t>
      </w:r>
    </w:p>
    <w:p w14:paraId="60934854">
      <w:pPr>
        <w:widowControl/>
        <w:tabs>
          <w:tab w:val="left" w:pos="709"/>
        </w:tabs>
        <w:snapToGrid w:val="0"/>
        <w:spacing w:line="360" w:lineRule="auto"/>
        <w:ind w:firstLine="420" w:firstLineChars="200"/>
        <w:rPr>
          <w:rFonts w:ascii="仿宋_GB2312" w:hAnsi="宋体" w:cs="宋体"/>
          <w:bCs/>
          <w:color w:val="auto"/>
          <w:kern w:val="0"/>
          <w:szCs w:val="24"/>
        </w:rPr>
      </w:pPr>
      <w:r>
        <w:rPr>
          <w:rFonts w:ascii="仿宋_GB2312" w:hAnsi="宋体" w:cs="宋体"/>
          <w:bCs/>
          <w:color w:val="auto"/>
          <w:kern w:val="0"/>
          <w:szCs w:val="24"/>
        </w:rPr>
        <w:t>4.产品终止投资者到账资金计算</w:t>
      </w:r>
    </w:p>
    <w:p w14:paraId="3F47F876">
      <w:pPr>
        <w:widowControl/>
        <w:tabs>
          <w:tab w:val="left" w:pos="709"/>
        </w:tabs>
        <w:snapToGrid w:val="0"/>
        <w:spacing w:line="360" w:lineRule="auto"/>
        <w:ind w:firstLine="420" w:firstLineChars="200"/>
        <w:rPr>
          <w:rFonts w:ascii="仿宋_GB2312" w:hAnsi="宋体" w:cs="宋体"/>
          <w:bCs/>
          <w:color w:val="auto"/>
          <w:kern w:val="0"/>
          <w:szCs w:val="24"/>
        </w:rPr>
      </w:pPr>
      <w:r>
        <w:rPr>
          <w:rFonts w:ascii="仿宋_GB2312" w:hAnsi="宋体" w:cs="宋体"/>
          <w:bCs/>
          <w:color w:val="auto"/>
          <w:kern w:val="0"/>
          <w:szCs w:val="24"/>
        </w:rPr>
        <w:t>若产品终止或提前终止时本理财产品项下资产全部变现，产品管理人将</w:t>
      </w:r>
      <w:r>
        <w:rPr>
          <w:rFonts w:hint="eastAsia" w:ascii="仿宋_GB2312" w:hAnsi="宋体" w:cs="宋体"/>
          <w:bCs/>
          <w:color w:val="auto"/>
          <w:kern w:val="0"/>
          <w:szCs w:val="24"/>
        </w:rPr>
        <w:t>扣除理财产品财产清算费用、缴纳所欠税款并清偿理财产品债务后，按照各投资者持有理财产品份额占理财产品总份额的比例于</w:t>
      </w:r>
      <w:r>
        <w:rPr>
          <w:rFonts w:ascii="仿宋_GB2312" w:hAnsi="宋体" w:cs="宋体"/>
          <w:bCs/>
          <w:color w:val="auto"/>
          <w:kern w:val="0"/>
          <w:szCs w:val="24"/>
        </w:rPr>
        <w:t>产品到期日后</w:t>
      </w:r>
      <w:r>
        <w:rPr>
          <w:rFonts w:hint="eastAsia" w:ascii="仿宋_GB2312" w:hAnsi="宋体" w:cs="宋体"/>
          <w:bCs/>
          <w:color w:val="auto"/>
          <w:kern w:val="0"/>
          <w:szCs w:val="24"/>
        </w:rPr>
        <w:t>5</w:t>
      </w:r>
      <w:r>
        <w:rPr>
          <w:rFonts w:ascii="仿宋_GB2312" w:hAnsi="宋体" w:cs="宋体"/>
          <w:bCs/>
          <w:color w:val="auto"/>
          <w:kern w:val="0"/>
          <w:szCs w:val="24"/>
        </w:rPr>
        <w:t>个工作日内或提前终止日后</w:t>
      </w:r>
      <w:r>
        <w:rPr>
          <w:rFonts w:hint="eastAsia" w:ascii="仿宋_GB2312" w:hAnsi="宋体" w:cs="宋体"/>
          <w:bCs/>
          <w:color w:val="auto"/>
          <w:kern w:val="0"/>
          <w:szCs w:val="24"/>
        </w:rPr>
        <w:t>5</w:t>
      </w:r>
      <w:r>
        <w:rPr>
          <w:rFonts w:ascii="仿宋_GB2312" w:hAnsi="宋体" w:cs="宋体"/>
          <w:bCs/>
          <w:color w:val="auto"/>
          <w:kern w:val="0"/>
          <w:szCs w:val="24"/>
        </w:rPr>
        <w:t>个工作日</w:t>
      </w:r>
      <w:r>
        <w:rPr>
          <w:rFonts w:hint="eastAsia" w:ascii="仿宋_GB2312" w:hAnsi="宋体" w:cs="宋体"/>
          <w:bCs/>
          <w:color w:val="auto"/>
          <w:kern w:val="0"/>
          <w:szCs w:val="24"/>
        </w:rPr>
        <w:t>通过销售机构</w:t>
      </w:r>
      <w:r>
        <w:rPr>
          <w:rFonts w:ascii="仿宋_GB2312" w:hAnsi="宋体" w:cs="宋体"/>
          <w:bCs/>
          <w:color w:val="auto"/>
          <w:kern w:val="0"/>
          <w:szCs w:val="24"/>
        </w:rPr>
        <w:t>内将投资者应得资金划转投资者指定账户。计算公式如下：</w:t>
      </w:r>
    </w:p>
    <w:p w14:paraId="0539BA69">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本产品兑付金额(理财产品总资产净值)=理财产品资产总值-理财产品负债总值</w:t>
      </w:r>
    </w:p>
    <w:p w14:paraId="70C1ABD2">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其中，投资者到账金额计算公式如下：</w:t>
      </w:r>
    </w:p>
    <w:p w14:paraId="38B74CC5">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本产品投资者到账金额=投资者在到期日持有理财产品份额/理财产品总份额*理财产品总资产净值，</w:t>
      </w:r>
      <w:r>
        <w:rPr>
          <w:rFonts w:ascii="仿宋_GB2312" w:hAnsi="宋体" w:cs="宋体"/>
          <w:bCs/>
          <w:color w:val="auto"/>
          <w:kern w:val="0"/>
          <w:szCs w:val="24"/>
        </w:rPr>
        <w:t>最终资金以实际到账为准。</w:t>
      </w:r>
    </w:p>
    <w:p w14:paraId="32FAEF79">
      <w:pPr>
        <w:widowControl/>
        <w:tabs>
          <w:tab w:val="left" w:pos="709"/>
        </w:tabs>
        <w:snapToGrid w:val="0"/>
        <w:spacing w:line="360" w:lineRule="auto"/>
        <w:ind w:firstLine="420" w:firstLineChars="200"/>
        <w:rPr>
          <w:rFonts w:ascii="仿宋_GB2312" w:hAnsi="宋体" w:cs="宋体"/>
          <w:bCs/>
          <w:color w:val="auto"/>
          <w:kern w:val="0"/>
          <w:szCs w:val="24"/>
        </w:rPr>
      </w:pPr>
      <w:r>
        <w:rPr>
          <w:rFonts w:ascii="仿宋_GB2312" w:hAnsi="宋体" w:cs="宋体"/>
          <w:bCs/>
          <w:color w:val="auto"/>
          <w:kern w:val="0"/>
          <w:szCs w:val="24"/>
        </w:rPr>
        <w:t>产品终止日，如产品投资资产因市场风险、信用风险以及监管风险等原因不能全部变现且产品管理人未对本产品进行延期则本产品进入延期清算程序。产品延期清算时，产品管理人将提前发布相关公告。产品管理人将产品持有的现金类资产在扣除支付清算费用和交纳所欠税款、清偿产品债务后，如仍有剩余资金可</w:t>
      </w:r>
      <w:r>
        <w:rPr>
          <w:rFonts w:hint="eastAsia" w:ascii="仿宋_GB2312" w:hAnsi="宋体" w:cs="宋体"/>
          <w:bCs/>
          <w:color w:val="auto"/>
          <w:kern w:val="0"/>
          <w:szCs w:val="24"/>
        </w:rPr>
        <w:t>按照各投资者持有理财产品份额占理财产品总份额的比例</w:t>
      </w:r>
      <w:r>
        <w:rPr>
          <w:rFonts w:ascii="仿宋_GB2312" w:hAnsi="宋体" w:cs="宋体"/>
          <w:bCs/>
          <w:color w:val="auto"/>
          <w:kern w:val="0"/>
          <w:szCs w:val="24"/>
        </w:rPr>
        <w:t>分配给</w:t>
      </w:r>
      <w:r>
        <w:rPr>
          <w:rFonts w:hint="eastAsia" w:ascii="仿宋_GB2312" w:hAnsi="宋体" w:cs="宋体"/>
          <w:bCs/>
          <w:color w:val="auto"/>
          <w:kern w:val="0"/>
          <w:szCs w:val="24"/>
        </w:rPr>
        <w:t>投资者</w:t>
      </w:r>
      <w:r>
        <w:rPr>
          <w:rFonts w:ascii="仿宋_GB2312" w:hAnsi="宋体" w:cs="宋体"/>
          <w:bCs/>
          <w:color w:val="auto"/>
          <w:kern w:val="0"/>
          <w:szCs w:val="24"/>
        </w:rPr>
        <w:t>。对于未变现资产部分，产品管理人以投资者利益最大化的原则，寻求未变现资产变现方式，在资产变现后，产品持有的现金类资产在扣除剩余未支付的清算费用和交纳所欠税款、清偿产品债务后，</w:t>
      </w:r>
      <w:r>
        <w:rPr>
          <w:rFonts w:hint="eastAsia" w:ascii="仿宋_GB2312" w:hAnsi="宋体" w:cs="宋体"/>
          <w:bCs/>
          <w:color w:val="auto"/>
          <w:kern w:val="0"/>
          <w:szCs w:val="24"/>
        </w:rPr>
        <w:t>按照各投资者持有理财产品份额占理财产品总份额的比例</w:t>
      </w:r>
      <w:r>
        <w:rPr>
          <w:rFonts w:ascii="仿宋_GB2312" w:hAnsi="宋体" w:cs="宋体"/>
          <w:bCs/>
          <w:color w:val="auto"/>
          <w:kern w:val="0"/>
          <w:szCs w:val="24"/>
        </w:rPr>
        <w:t>于产品清算完毕后的</w:t>
      </w:r>
      <w:r>
        <w:rPr>
          <w:rFonts w:hint="eastAsia" w:ascii="仿宋_GB2312" w:hAnsi="宋体" w:cs="宋体"/>
          <w:bCs/>
          <w:color w:val="auto"/>
          <w:kern w:val="0"/>
          <w:szCs w:val="24"/>
        </w:rPr>
        <w:t>5</w:t>
      </w:r>
      <w:r>
        <w:rPr>
          <w:rFonts w:ascii="仿宋_GB2312" w:hAnsi="宋体" w:cs="宋体"/>
          <w:bCs/>
          <w:color w:val="auto"/>
          <w:kern w:val="0"/>
          <w:szCs w:val="24"/>
        </w:rPr>
        <w:t>个工作日内分配给</w:t>
      </w:r>
      <w:r>
        <w:rPr>
          <w:rFonts w:hint="eastAsia" w:ascii="仿宋_GB2312" w:hAnsi="宋体" w:cs="宋体"/>
          <w:bCs/>
          <w:color w:val="auto"/>
          <w:kern w:val="0"/>
          <w:szCs w:val="24"/>
        </w:rPr>
        <w:t>投资者</w:t>
      </w:r>
      <w:r>
        <w:rPr>
          <w:rFonts w:ascii="仿宋_GB2312" w:hAnsi="宋体" w:cs="宋体"/>
          <w:bCs/>
          <w:color w:val="auto"/>
          <w:kern w:val="0"/>
          <w:szCs w:val="24"/>
        </w:rPr>
        <w:t>。</w:t>
      </w:r>
    </w:p>
    <w:p w14:paraId="20F212CD">
      <w:pPr>
        <w:widowControl/>
        <w:tabs>
          <w:tab w:val="left" w:pos="709"/>
        </w:tabs>
        <w:snapToGrid w:val="0"/>
        <w:spacing w:line="360" w:lineRule="auto"/>
        <w:ind w:firstLine="420" w:firstLineChars="200"/>
        <w:rPr>
          <w:rFonts w:ascii="仿宋_GB2312" w:hAnsi="宋体" w:cs="宋体"/>
          <w:bCs/>
          <w:color w:val="auto"/>
          <w:kern w:val="0"/>
          <w:szCs w:val="24"/>
        </w:rPr>
      </w:pPr>
      <w:r>
        <w:rPr>
          <w:rFonts w:hint="eastAsia" w:ascii="仿宋_GB2312" w:hAnsi="宋体" w:cs="宋体"/>
          <w:bCs/>
          <w:color w:val="auto"/>
          <w:kern w:val="0"/>
          <w:szCs w:val="24"/>
        </w:rPr>
        <w:t>产品管理人拟进行二次或多次清算的，管理人应向投资者及时披露。</w:t>
      </w:r>
    </w:p>
    <w:p w14:paraId="6F25F555">
      <w:pPr>
        <w:jc w:val="left"/>
        <w:rPr>
          <w:rFonts w:ascii="仿宋_GB2312" w:hAnsi="宋体" w:cs="宋体"/>
          <w:bCs/>
          <w:color w:val="auto"/>
          <w:kern w:val="0"/>
          <w:szCs w:val="24"/>
        </w:rPr>
      </w:pPr>
      <w:r>
        <w:rPr>
          <w:rFonts w:ascii="仿宋_GB2312" w:hAnsi="宋体" w:cs="宋体"/>
          <w:bCs/>
          <w:color w:val="auto"/>
          <w:kern w:val="0"/>
          <w:szCs w:val="24"/>
        </w:rPr>
        <w:br w:type="page"/>
      </w:r>
    </w:p>
    <w:p w14:paraId="67CE0C62">
      <w:pPr>
        <w:pStyle w:val="2"/>
        <w:numPr>
          <w:ilvl w:val="0"/>
          <w:numId w:val="14"/>
        </w:numPr>
        <w:rPr>
          <w:color w:val="auto"/>
        </w:rPr>
      </w:pPr>
      <w:r>
        <w:rPr>
          <w:rFonts w:hint="eastAsia"/>
          <w:color w:val="auto"/>
        </w:rPr>
        <w:t>理财产品的信息披露</w:t>
      </w:r>
    </w:p>
    <w:p w14:paraId="0FFCDB65">
      <w:pPr>
        <w:pStyle w:val="3"/>
        <w:numPr>
          <w:ilvl w:val="1"/>
          <w:numId w:val="14"/>
        </w:numPr>
        <w:ind w:firstLine="482"/>
        <w:rPr>
          <w:color w:val="auto"/>
        </w:rPr>
      </w:pPr>
      <w:r>
        <w:rPr>
          <w:rFonts w:hint="eastAsia"/>
          <w:color w:val="auto"/>
        </w:rPr>
        <w:t>信息披露方式</w:t>
      </w:r>
    </w:p>
    <w:p w14:paraId="0222C02F">
      <w:pPr>
        <w:widowControl/>
        <w:tabs>
          <w:tab w:val="left" w:pos="709"/>
        </w:tabs>
        <w:adjustRightInd w:val="0"/>
        <w:snapToGrid w:val="0"/>
        <w:spacing w:line="360" w:lineRule="auto"/>
        <w:ind w:firstLine="422" w:firstLineChars="200"/>
        <w:rPr>
          <w:rFonts w:ascii="仿宋_GB2312" w:hAnsi="宋体" w:cs="宋体"/>
          <w:b/>
          <w:color w:val="auto"/>
          <w:kern w:val="0"/>
          <w:szCs w:val="24"/>
        </w:rPr>
      </w:pPr>
      <w:r>
        <w:rPr>
          <w:rFonts w:hint="eastAsia" w:ascii="仿宋_GB2312" w:hAnsi="宋体" w:cs="宋体"/>
          <w:b/>
          <w:color w:val="auto"/>
          <w:kern w:val="0"/>
          <w:szCs w:val="24"/>
        </w:rPr>
        <w:t>本理财产品将通过</w:t>
      </w:r>
      <w:r>
        <w:rPr>
          <w:rFonts w:hint="eastAsia" w:ascii="仿宋_GB2312" w:hAnsi="宋体" w:cs="宋体"/>
          <w:b/>
          <w:color w:val="auto"/>
          <w:kern w:val="0"/>
          <w:szCs w:val="24"/>
          <w:highlight w:val="yellow"/>
          <w:lang w:eastAsia="zh-CN"/>
        </w:rPr>
        <w:t>【中国理财网】</w:t>
      </w:r>
      <w:r>
        <w:rPr>
          <w:rFonts w:hint="eastAsia" w:ascii="仿宋_GB2312" w:hAnsi="宋体" w:cs="宋体"/>
          <w:b/>
          <w:color w:val="auto"/>
          <w:kern w:val="0"/>
          <w:szCs w:val="24"/>
          <w:lang w:eastAsia="zh-CN"/>
        </w:rPr>
        <w:t>、</w:t>
      </w:r>
      <w:r>
        <w:rPr>
          <w:rFonts w:hint="eastAsia" w:ascii="仿宋_GB2312" w:hAnsi="宋体" w:cs="宋体"/>
          <w:b/>
          <w:color w:val="auto"/>
          <w:kern w:val="0"/>
          <w:szCs w:val="24"/>
        </w:rPr>
        <w:t>产品管理人官方网站【</w:t>
      </w:r>
      <w:r>
        <w:rPr>
          <w:rFonts w:ascii="仿宋_GB2312" w:hAnsi="宋体" w:cs="宋体"/>
          <w:b/>
          <w:color w:val="auto"/>
          <w:kern w:val="0"/>
          <w:szCs w:val="24"/>
        </w:rPr>
        <w:t>www.czbank-wm.com</w:t>
      </w:r>
      <w:r>
        <w:rPr>
          <w:rFonts w:hint="eastAsia" w:ascii="仿宋_GB2312" w:hAnsi="宋体" w:cs="宋体"/>
          <w:b/>
          <w:color w:val="auto"/>
          <w:kern w:val="0"/>
          <w:szCs w:val="24"/>
        </w:rPr>
        <w:t>】</w:t>
      </w:r>
      <w:r>
        <w:rPr>
          <w:rFonts w:hint="eastAsia"/>
          <w:color w:val="auto"/>
        </w:rPr>
        <w:t>、</w:t>
      </w:r>
      <w:r>
        <w:rPr>
          <w:rFonts w:hint="eastAsia" w:ascii="仿宋_GB2312" w:hAnsi="宋体" w:cs="宋体"/>
          <w:b/>
          <w:color w:val="auto"/>
          <w:kern w:val="0"/>
          <w:szCs w:val="24"/>
        </w:rPr>
        <w:t>销售机构官方网站、个人手机银行或其他约定的方式等</w:t>
      </w:r>
      <w:r>
        <w:rPr>
          <w:rFonts w:hint="eastAsia" w:cs="宋体" w:asciiTheme="minorEastAsia" w:hAnsiTheme="minorEastAsia"/>
          <w:b/>
          <w:color w:val="auto"/>
          <w:kern w:val="0"/>
          <w:szCs w:val="24"/>
        </w:rPr>
        <w:t>一种或多种渠道</w:t>
      </w:r>
      <w:r>
        <w:rPr>
          <w:rFonts w:hint="eastAsia" w:ascii="仿宋_GB2312" w:hAnsi="宋体" w:cs="宋体"/>
          <w:b/>
          <w:color w:val="auto"/>
          <w:kern w:val="0"/>
          <w:szCs w:val="24"/>
        </w:rPr>
        <w:t>进行信息披露。相关信息自披露之日即视为已送达投资者，也视为产品管理人已适当披露理财产品相关信息。投资者应及时查看，以免因未及时获知信息而错过资金使用和再投资的机会。若由于投资者原因未能及时登陆产品管理人官方网站、销售机构信息披露渠道获取披露信息，所造成的后果将由投资者自行承担，产品管理人不承担相应责任。</w:t>
      </w:r>
    </w:p>
    <w:p w14:paraId="7F8E3328">
      <w:pPr>
        <w:pStyle w:val="3"/>
        <w:numPr>
          <w:ilvl w:val="1"/>
          <w:numId w:val="14"/>
        </w:numPr>
        <w:ind w:firstLine="482"/>
        <w:rPr>
          <w:color w:val="auto"/>
        </w:rPr>
      </w:pPr>
      <w:r>
        <w:rPr>
          <w:rFonts w:hint="eastAsia"/>
          <w:color w:val="auto"/>
        </w:rPr>
        <w:t>信息披露内容</w:t>
      </w:r>
    </w:p>
    <w:p w14:paraId="6D597CD9">
      <w:pPr>
        <w:widowControl/>
        <w:tabs>
          <w:tab w:val="left" w:pos="709"/>
        </w:tabs>
        <w:adjustRightInd w:val="0"/>
        <w:snapToGrid w:val="0"/>
        <w:spacing w:line="360" w:lineRule="auto"/>
        <w:ind w:firstLine="422" w:firstLineChars="200"/>
        <w:rPr>
          <w:rFonts w:ascii="仿宋_GB2312" w:hAnsi="宋体" w:cs="宋体"/>
          <w:b/>
          <w:color w:val="auto"/>
          <w:kern w:val="0"/>
          <w:szCs w:val="24"/>
        </w:rPr>
      </w:pPr>
      <w:r>
        <w:rPr>
          <w:rFonts w:hint="eastAsia" w:ascii="仿宋_GB2312" w:hAnsi="宋体" w:cs="宋体"/>
          <w:b/>
          <w:color w:val="auto"/>
          <w:kern w:val="0"/>
          <w:szCs w:val="24"/>
        </w:rPr>
        <w:t>1.产品类型、募集信息、产品净值、产品规模、收益情况；</w:t>
      </w:r>
    </w:p>
    <w:p w14:paraId="3CF2DE5E">
      <w:pPr>
        <w:widowControl/>
        <w:tabs>
          <w:tab w:val="left" w:pos="709"/>
        </w:tabs>
        <w:adjustRightInd w:val="0"/>
        <w:snapToGrid w:val="0"/>
        <w:spacing w:line="360" w:lineRule="auto"/>
        <w:ind w:firstLine="422" w:firstLineChars="200"/>
        <w:rPr>
          <w:rFonts w:ascii="仿宋_GB2312" w:hAnsi="宋体" w:cs="宋体"/>
          <w:b/>
          <w:color w:val="auto"/>
          <w:kern w:val="0"/>
          <w:szCs w:val="24"/>
        </w:rPr>
      </w:pPr>
      <w:r>
        <w:rPr>
          <w:rFonts w:hint="eastAsia" w:ascii="仿宋_GB2312" w:hAnsi="宋体" w:cs="宋体"/>
          <w:b/>
          <w:color w:val="auto"/>
          <w:kern w:val="0"/>
          <w:szCs w:val="24"/>
        </w:rPr>
        <w:t>2.产品直接和间接投资的资产种类、投资比例、</w:t>
      </w:r>
      <w:r>
        <w:rPr>
          <w:rFonts w:hint="eastAsia" w:ascii="仿宋_GB2312" w:hAnsi="宋体" w:cs="宋体"/>
          <w:b/>
          <w:color w:val="auto"/>
          <w:kern w:val="0"/>
          <w:szCs w:val="24"/>
          <w:lang w:val="zh-CN"/>
        </w:rPr>
        <w:t>前十项资产具体名称、规模和比例等信息、</w:t>
      </w:r>
      <w:r>
        <w:rPr>
          <w:rFonts w:hint="eastAsia" w:ascii="仿宋_GB2312" w:hAnsi="宋体" w:cs="宋体"/>
          <w:b/>
          <w:color w:val="auto"/>
          <w:kern w:val="0"/>
          <w:szCs w:val="24"/>
        </w:rPr>
        <w:t>杠杆水平以及流动性风险分析；</w:t>
      </w:r>
    </w:p>
    <w:p w14:paraId="3AF21514">
      <w:pPr>
        <w:widowControl/>
        <w:tabs>
          <w:tab w:val="left" w:pos="709"/>
        </w:tabs>
        <w:adjustRightInd w:val="0"/>
        <w:snapToGrid w:val="0"/>
        <w:spacing w:line="360" w:lineRule="auto"/>
        <w:ind w:firstLine="422" w:firstLineChars="200"/>
        <w:rPr>
          <w:rFonts w:ascii="仿宋_GB2312" w:hAnsi="宋体" w:cs="宋体"/>
          <w:b/>
          <w:color w:val="auto"/>
          <w:kern w:val="0"/>
          <w:szCs w:val="24"/>
        </w:rPr>
      </w:pPr>
      <w:r>
        <w:rPr>
          <w:rFonts w:hint="eastAsia" w:ascii="仿宋_GB2312" w:hAnsi="宋体" w:cs="宋体"/>
          <w:b/>
          <w:color w:val="auto"/>
          <w:kern w:val="0"/>
          <w:szCs w:val="24"/>
        </w:rPr>
        <w:t>3.产品估值方法、托管安排；</w:t>
      </w:r>
    </w:p>
    <w:p w14:paraId="1FEE1B96">
      <w:pPr>
        <w:widowControl/>
        <w:tabs>
          <w:tab w:val="left" w:pos="709"/>
        </w:tabs>
        <w:adjustRightInd w:val="0"/>
        <w:snapToGrid w:val="0"/>
        <w:spacing w:line="360" w:lineRule="auto"/>
        <w:ind w:firstLine="422" w:firstLineChars="200"/>
        <w:rPr>
          <w:rFonts w:ascii="仿宋_GB2312" w:hAnsi="宋体" w:cs="宋体"/>
          <w:b/>
          <w:color w:val="auto"/>
          <w:kern w:val="0"/>
          <w:szCs w:val="24"/>
        </w:rPr>
      </w:pPr>
      <w:r>
        <w:rPr>
          <w:rFonts w:hint="eastAsia" w:ascii="仿宋_GB2312" w:hAnsi="宋体" w:cs="宋体"/>
          <w:b/>
          <w:color w:val="auto"/>
          <w:kern w:val="0"/>
          <w:szCs w:val="24"/>
        </w:rPr>
        <w:t>4.产品收益分配、各项费用情况及主要投资风险；</w:t>
      </w:r>
    </w:p>
    <w:p w14:paraId="49360EAA">
      <w:pPr>
        <w:widowControl/>
        <w:tabs>
          <w:tab w:val="left" w:pos="709"/>
        </w:tabs>
        <w:adjustRightInd w:val="0"/>
        <w:snapToGrid w:val="0"/>
        <w:spacing w:line="360" w:lineRule="auto"/>
        <w:ind w:firstLine="422" w:firstLineChars="200"/>
        <w:rPr>
          <w:rFonts w:ascii="仿宋_GB2312" w:hAnsi="宋体" w:cs="宋体"/>
          <w:b/>
          <w:color w:val="auto"/>
          <w:kern w:val="0"/>
          <w:szCs w:val="24"/>
        </w:rPr>
      </w:pPr>
      <w:r>
        <w:rPr>
          <w:rFonts w:hint="eastAsia" w:ascii="仿宋_GB2312" w:hAnsi="宋体" w:cs="宋体"/>
          <w:b/>
          <w:color w:val="auto"/>
          <w:kern w:val="0"/>
          <w:szCs w:val="24"/>
        </w:rPr>
        <w:t>5.如本理财产品投资于理财产品管理人或托管机构的主要股东、实际控制人、一致行动人、最终受益人，托管机构，同一股东或托管机构控股的机构，或者与理财产品管理人或托管机构有重大利害关系的机构，以及国家金融监督管理机构关于关联交易管理相关规定中涉及的其他关联方发行或承销的证券、发行的资产管理产品，或者从事其他关联交易的，应当在理财产品管理人官方网站或者行业统一渠道披露关联交易信息，在理财产品管理人年报中披露当年关联交易总体情况，并应向投资者充分披露。</w:t>
      </w:r>
    </w:p>
    <w:p w14:paraId="40B7F814">
      <w:pPr>
        <w:widowControl/>
        <w:tabs>
          <w:tab w:val="left" w:pos="709"/>
        </w:tabs>
        <w:adjustRightInd w:val="0"/>
        <w:snapToGrid w:val="0"/>
        <w:spacing w:line="360" w:lineRule="auto"/>
        <w:ind w:firstLine="422" w:firstLineChars="200"/>
        <w:rPr>
          <w:rFonts w:ascii="仿宋_GB2312" w:hAnsi="宋体" w:cs="宋体"/>
          <w:b/>
          <w:color w:val="auto"/>
          <w:kern w:val="0"/>
          <w:szCs w:val="24"/>
        </w:rPr>
      </w:pPr>
      <w:r>
        <w:rPr>
          <w:rFonts w:hint="eastAsia" w:ascii="仿宋_GB2312" w:hAnsi="宋体" w:cs="宋体"/>
          <w:b/>
          <w:color w:val="auto"/>
          <w:kern w:val="0"/>
          <w:szCs w:val="24"/>
        </w:rPr>
        <w:t>6.其他影响本产品投资运作的重大事项、突发事件、临时性信息披露等。</w:t>
      </w:r>
    </w:p>
    <w:p w14:paraId="0F76D7B1">
      <w:pPr>
        <w:pStyle w:val="3"/>
        <w:numPr>
          <w:ilvl w:val="1"/>
          <w:numId w:val="14"/>
        </w:numPr>
        <w:tabs>
          <w:tab w:val="left" w:pos="0"/>
          <w:tab w:val="left" w:pos="709"/>
        </w:tabs>
        <w:ind w:firstLine="480" w:firstLineChars="0"/>
        <w:rPr>
          <w:color w:val="auto"/>
          <w:highlight w:val="none"/>
          <w:u w:val="none"/>
        </w:rPr>
      </w:pPr>
      <w:r>
        <w:rPr>
          <w:rFonts w:hint="eastAsia"/>
          <w:color w:val="auto"/>
          <w:highlight w:val="none"/>
          <w:u w:val="none"/>
        </w:rPr>
        <w:t>信息披露频率</w:t>
      </w:r>
    </w:p>
    <w:p w14:paraId="567EBDAE">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rPr>
      </w:pPr>
      <w:r>
        <w:rPr>
          <w:rFonts w:ascii="仿宋_GB2312" w:hAnsi="宋体" w:cs="宋体"/>
          <w:color w:val="auto"/>
          <w:kern w:val="0"/>
          <w:szCs w:val="24"/>
          <w:highlight w:val="none"/>
        </w:rPr>
        <w:t>1.发行公告：本产品成立后5个工作日（含）内，将发布本理财产品成立公告；如</w:t>
      </w:r>
      <w:r>
        <w:rPr>
          <w:rFonts w:hint="eastAsia" w:ascii="仿宋_GB2312" w:hAnsi="宋体" w:cs="宋体"/>
          <w:color w:val="auto"/>
          <w:kern w:val="0"/>
          <w:szCs w:val="24"/>
          <w:highlight w:val="none"/>
        </w:rPr>
        <w:t>产品</w:t>
      </w:r>
      <w:r>
        <w:rPr>
          <w:rFonts w:ascii="仿宋_GB2312" w:hAnsi="宋体" w:cs="宋体"/>
          <w:color w:val="auto"/>
          <w:kern w:val="0"/>
          <w:szCs w:val="24"/>
          <w:highlight w:val="none"/>
        </w:rPr>
        <w:t>管理人决定本理财产品募集期延长，将于原定成立日前发布理财产品募集期延长公告；</w:t>
      </w:r>
      <w:r>
        <w:rPr>
          <w:rFonts w:hint="eastAsia" w:ascii="仿宋_GB2312" w:hAnsi="宋体" w:cs="宋体"/>
          <w:color w:val="auto"/>
          <w:kern w:val="0"/>
          <w:szCs w:val="24"/>
          <w:highlight w:val="none"/>
        </w:rPr>
        <w:t>产品</w:t>
      </w:r>
      <w:r>
        <w:rPr>
          <w:rFonts w:ascii="仿宋_GB2312" w:hAnsi="宋体" w:cs="宋体"/>
          <w:color w:val="auto"/>
          <w:kern w:val="0"/>
          <w:szCs w:val="24"/>
          <w:highlight w:val="none"/>
        </w:rPr>
        <w:t>管理人决定本理财产品不成立，将在理财产品原定成立日后的2个工作日（含）内发布理财产品不成立公告。</w:t>
      </w:r>
    </w:p>
    <w:p w14:paraId="763798F8">
      <w:pPr>
        <w:widowControl/>
        <w:numPr>
          <w:ilvl w:val="0"/>
          <w:numId w:val="0"/>
        </w:numPr>
        <w:tabs>
          <w:tab w:val="left" w:pos="1261"/>
        </w:tabs>
        <w:adjustRightInd w:val="0"/>
        <w:snapToGrid w:val="0"/>
        <w:spacing w:line="360" w:lineRule="auto"/>
        <w:ind w:firstLine="420" w:firstLineChars="200"/>
        <w:rPr>
          <w:rFonts w:hint="eastAsia" w:ascii="仿宋_GB2312" w:hAnsi="宋体" w:eastAsia="仿宋_GB2312" w:cs="宋体"/>
          <w:color w:val="auto"/>
          <w:kern w:val="0"/>
          <w:szCs w:val="24"/>
          <w:highlight w:val="yellow"/>
          <w:u w:val="none"/>
          <w:lang w:eastAsia="zh-CN"/>
        </w:rPr>
      </w:pPr>
      <w:r>
        <w:rPr>
          <w:rFonts w:ascii="仿宋_GB2312" w:hAnsi="宋体" w:cs="宋体"/>
          <w:color w:val="auto"/>
          <w:kern w:val="0"/>
          <w:szCs w:val="24"/>
          <w:highlight w:val="none"/>
          <w:u w:val="none"/>
        </w:rPr>
        <w:t>2.定期公告：本产品在</w:t>
      </w:r>
      <w:r>
        <w:rPr>
          <w:rFonts w:hint="eastAsia" w:ascii="仿宋_GB2312" w:hAnsi="宋体" w:cs="宋体"/>
          <w:color w:val="auto"/>
          <w:kern w:val="0"/>
          <w:szCs w:val="24"/>
          <w:highlight w:val="none"/>
          <w:u w:val="none"/>
        </w:rPr>
        <w:t>每个季度结束之日起十五个工作日内披露产品的季度报告，每年8月31日前披露产品的半年度报告，每年4月30日前披露产品上一年度的年度报告。产品成立不足</w:t>
      </w:r>
      <w:r>
        <w:rPr>
          <w:rFonts w:ascii="仿宋_GB2312" w:hAnsi="宋体" w:cs="宋体"/>
          <w:color w:val="auto"/>
          <w:kern w:val="0"/>
          <w:szCs w:val="24"/>
          <w:highlight w:val="none"/>
          <w:u w:val="none"/>
        </w:rPr>
        <w:t>90</w:t>
      </w:r>
      <w:r>
        <w:rPr>
          <w:rFonts w:hint="eastAsia" w:ascii="仿宋_GB2312" w:hAnsi="宋体" w:cs="宋体"/>
          <w:color w:val="auto"/>
          <w:kern w:val="0"/>
          <w:szCs w:val="24"/>
          <w:highlight w:val="none"/>
          <w:u w:val="none"/>
        </w:rPr>
        <w:t>个</w:t>
      </w:r>
      <w:r>
        <w:rPr>
          <w:rFonts w:hint="eastAsia" w:ascii="仿宋_GB2312" w:hAnsi="宋体" w:cs="宋体"/>
          <w:color w:val="auto"/>
          <w:kern w:val="0"/>
          <w:szCs w:val="24"/>
          <w:highlight w:val="none"/>
          <w:u w:val="none"/>
          <w:lang w:eastAsia="zh-CN"/>
        </w:rPr>
        <w:t>自然日</w:t>
      </w:r>
      <w:r>
        <w:rPr>
          <w:rFonts w:hint="eastAsia" w:ascii="仿宋_GB2312" w:hAnsi="宋体" w:cs="宋体"/>
          <w:color w:val="auto"/>
          <w:kern w:val="0"/>
          <w:szCs w:val="24"/>
          <w:highlight w:val="none"/>
          <w:u w:val="none"/>
        </w:rPr>
        <w:t>或者</w:t>
      </w:r>
      <w:r>
        <w:rPr>
          <w:rFonts w:hint="eastAsia" w:ascii="仿宋_GB2312"/>
          <w:color w:val="auto"/>
          <w:szCs w:val="32"/>
          <w:highlight w:val="none"/>
        </w:rPr>
        <w:t>理财产品剩余存续期不足完整报告期，且到期公告或清算报告包括对应定期报告内容的</w:t>
      </w:r>
      <w:r>
        <w:rPr>
          <w:rFonts w:hint="eastAsia" w:ascii="仿宋_GB2312" w:hAnsi="宋体" w:cs="宋体"/>
          <w:color w:val="auto"/>
          <w:kern w:val="0"/>
          <w:szCs w:val="24"/>
          <w:highlight w:val="none"/>
          <w:u w:val="none"/>
        </w:rPr>
        <w:t>，将不编制本产品当期的季度、半年和年度报告。</w:t>
      </w:r>
      <w:r>
        <w:rPr>
          <w:rFonts w:hint="eastAsia" w:ascii="仿宋_GB2312" w:hAnsi="宋体" w:cs="宋体"/>
          <w:color w:val="auto"/>
          <w:kern w:val="0"/>
          <w:szCs w:val="24"/>
          <w:highlight w:val="none"/>
          <w:u w:val="none"/>
          <w:lang w:eastAsia="zh-CN"/>
        </w:rPr>
        <w:t>本</w:t>
      </w:r>
      <w:r>
        <w:rPr>
          <w:rFonts w:hint="eastAsia" w:ascii="仿宋_GB2312"/>
          <w:color w:val="auto"/>
          <w:szCs w:val="32"/>
          <w:highlight w:val="none"/>
        </w:rPr>
        <w:t>理财产品剩余存续期不足完整报告期，且到期公告或清算报告包括对应定期报告内容的，</w:t>
      </w:r>
      <w:r>
        <w:rPr>
          <w:rFonts w:hint="eastAsia" w:ascii="仿宋_GB2312"/>
          <w:color w:val="auto"/>
          <w:szCs w:val="32"/>
          <w:highlight w:val="none"/>
          <w:lang w:eastAsia="zh-CN"/>
        </w:rPr>
        <w:t>可</w:t>
      </w:r>
      <w:r>
        <w:rPr>
          <w:rFonts w:hint="eastAsia" w:ascii="仿宋_GB2312"/>
          <w:color w:val="auto"/>
          <w:szCs w:val="32"/>
          <w:highlight w:val="none"/>
        </w:rPr>
        <w:t>不编制</w:t>
      </w:r>
      <w:r>
        <w:rPr>
          <w:rFonts w:hint="eastAsia" w:ascii="仿宋_GB2312"/>
          <w:color w:val="auto"/>
          <w:szCs w:val="32"/>
          <w:highlight w:val="none"/>
          <w:lang w:eastAsia="zh-CN"/>
        </w:rPr>
        <w:t>本产品当期的</w:t>
      </w:r>
      <w:r>
        <w:rPr>
          <w:rFonts w:hint="eastAsia" w:ascii="仿宋_GB2312"/>
          <w:color w:val="auto"/>
          <w:szCs w:val="32"/>
          <w:highlight w:val="none"/>
        </w:rPr>
        <w:t>季度、半年和年度报告。</w:t>
      </w:r>
    </w:p>
    <w:p w14:paraId="572193CD">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rPr>
      </w:pPr>
      <w:r>
        <w:rPr>
          <w:rFonts w:ascii="仿宋_GB2312" w:hAnsi="宋体" w:cs="宋体"/>
          <w:color w:val="auto"/>
          <w:kern w:val="0"/>
          <w:szCs w:val="24"/>
          <w:highlight w:val="none"/>
        </w:rPr>
        <w:t>3.到期公告：本产品在终止后5</w:t>
      </w:r>
      <w:r>
        <w:rPr>
          <w:rFonts w:hint="eastAsia" w:ascii="仿宋_GB2312" w:hAnsi="宋体" w:cs="宋体"/>
          <w:color w:val="auto"/>
          <w:kern w:val="0"/>
          <w:szCs w:val="24"/>
          <w:highlight w:val="none"/>
        </w:rPr>
        <w:t>个工作日内，披露本产品到期公告，包括理财产品的存续期限、终止日期、收费情况和收益分配情况等信息。本产品终止后5个工作日内，产品管理人发布产品到期公告。</w:t>
      </w:r>
    </w:p>
    <w:p w14:paraId="0066E5D6">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如果产品管理人提前或</w:t>
      </w:r>
      <w:r>
        <w:rPr>
          <w:rFonts w:ascii="仿宋_GB2312" w:hAnsi="宋体" w:cs="宋体"/>
          <w:color w:val="auto"/>
          <w:kern w:val="0"/>
          <w:szCs w:val="24"/>
          <w:highlight w:val="none"/>
          <w:u w:val="none"/>
        </w:rPr>
        <w:t>延后</w:t>
      </w:r>
      <w:r>
        <w:rPr>
          <w:rFonts w:hint="eastAsia" w:ascii="仿宋_GB2312" w:hAnsi="宋体" w:cs="宋体"/>
          <w:color w:val="auto"/>
          <w:kern w:val="0"/>
          <w:szCs w:val="24"/>
          <w:highlight w:val="none"/>
          <w:u w:val="none"/>
        </w:rPr>
        <w:t>终止本产品，产品管理人将提前</w:t>
      </w: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个工作日进行公告。</w:t>
      </w:r>
    </w:p>
    <w:p w14:paraId="537522A5">
      <w:pPr>
        <w:widowControl/>
        <w:tabs>
          <w:tab w:val="left" w:pos="709"/>
        </w:tabs>
        <w:adjustRightInd w:val="0"/>
        <w:snapToGrid w:val="0"/>
        <w:spacing w:line="360" w:lineRule="auto"/>
        <w:ind w:firstLine="420" w:firstLineChars="200"/>
        <w:rPr>
          <w:rFonts w:hint="eastAsia" w:ascii="仿宋_GB2312" w:hAnsi="宋体" w:eastAsia="仿宋_GB2312" w:cs="宋体"/>
          <w:color w:val="auto"/>
          <w:kern w:val="0"/>
          <w:szCs w:val="24"/>
          <w:highlight w:val="yellow"/>
          <w:lang w:eastAsia="zh-CN"/>
        </w:rPr>
      </w:pPr>
      <w:r>
        <w:rPr>
          <w:rFonts w:hint="eastAsia" w:ascii="仿宋_GB2312" w:hAnsi="宋体" w:cs="宋体"/>
          <w:color w:val="auto"/>
          <w:kern w:val="0"/>
          <w:szCs w:val="24"/>
          <w:highlight w:val="yellow"/>
          <w:lang w:eastAsia="zh-CN"/>
        </w:rPr>
        <w:t>【</w:t>
      </w:r>
      <w:r>
        <w:rPr>
          <w:rFonts w:ascii="仿宋_GB2312" w:hAnsi="宋体" w:cs="宋体"/>
          <w:color w:val="auto"/>
          <w:kern w:val="0"/>
          <w:szCs w:val="24"/>
          <w:highlight w:val="yellow"/>
        </w:rPr>
        <w:t>4</w:t>
      </w:r>
      <w:r>
        <w:rPr>
          <w:rFonts w:hint="eastAsia" w:ascii="仿宋_GB2312" w:hAnsi="宋体" w:cs="宋体"/>
          <w:color w:val="auto"/>
          <w:kern w:val="0"/>
          <w:szCs w:val="24"/>
          <w:highlight w:val="yellow"/>
          <w:lang w:val="en-US" w:eastAsia="zh-CN"/>
        </w:rPr>
        <w:t>.</w:t>
      </w:r>
      <w:r>
        <w:rPr>
          <w:rFonts w:hint="eastAsia" w:ascii="仿宋_GB2312" w:hAnsi="宋体" w:cs="宋体"/>
          <w:color w:val="auto"/>
          <w:kern w:val="0"/>
          <w:szCs w:val="24"/>
          <w:highlight w:val="yellow"/>
        </w:rPr>
        <w:t>开放日（估值日）公告：本产品存续期内，管理人将于每个估值日计算每万份理财产品份额已实现收益和七日年化收益率，并不晚于每个估值日后1个工作日内在信息披露渠道发布日每万份产品已实现收益和七日年化收益率。成立未满七个自然日的产品及份额、将不展示该产品及份额的七日年化收益率。如遇法定节假日顺延。如遇产品到期日、季度末、半年度末、年度末等时间节点，产品管理人将增加估值日。此外，如遇其他特殊情况，以产品管理人信息披露为准。</w:t>
      </w:r>
      <w:r>
        <w:rPr>
          <w:rFonts w:hint="eastAsia" w:ascii="仿宋_GB2312" w:hAnsi="宋体" w:cs="宋体"/>
          <w:color w:val="auto"/>
          <w:kern w:val="0"/>
          <w:szCs w:val="24"/>
          <w:highlight w:val="yellow"/>
          <w:lang w:eastAsia="zh-CN"/>
        </w:rPr>
        <w:t>】</w:t>
      </w:r>
    </w:p>
    <w:p w14:paraId="5BB9E0F4">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5</w:t>
      </w:r>
      <w:r>
        <w:rPr>
          <w:rFonts w:ascii="仿宋_GB2312" w:hAnsi="宋体" w:cs="宋体"/>
          <w:color w:val="auto"/>
          <w:kern w:val="0"/>
          <w:szCs w:val="24"/>
          <w:highlight w:val="none"/>
          <w:u w:val="none"/>
        </w:rPr>
        <w:t>.</w:t>
      </w:r>
      <w:r>
        <w:rPr>
          <w:rFonts w:hint="eastAsia" w:ascii="仿宋_GB2312" w:hAnsi="宋体" w:cs="宋体"/>
          <w:color w:val="auto"/>
          <w:kern w:val="0"/>
          <w:szCs w:val="24"/>
          <w:highlight w:val="none"/>
          <w:u w:val="none"/>
        </w:rPr>
        <w:t>产品临时公告</w:t>
      </w:r>
    </w:p>
    <w:p w14:paraId="3238C05B">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1</w:t>
      </w:r>
      <w:r>
        <w:rPr>
          <w:rFonts w:hint="eastAsia" w:ascii="仿宋_GB2312" w:hAnsi="宋体" w:cs="宋体"/>
          <w:color w:val="auto"/>
          <w:kern w:val="0"/>
          <w:szCs w:val="24"/>
          <w:highlight w:val="none"/>
          <w:u w:val="none"/>
        </w:rPr>
        <w:t>）产品管理人对产品类型、投资范围、资产种类、投资比例、风险等级、产品期限、运作方式、认（申）购和赎回安排（包含认购或申购赎回时间、金额上下限等）、估值方法、收益分配安排</w:t>
      </w:r>
      <w:r>
        <w:rPr>
          <w:rFonts w:hint="eastAsia" w:ascii="仿宋_GB2312" w:hAnsi="宋体" w:cs="宋体"/>
          <w:color w:val="auto"/>
          <w:kern w:val="0"/>
          <w:szCs w:val="24"/>
          <w:highlight w:val="none"/>
          <w:u w:val="none"/>
          <w:lang w:eastAsia="zh-CN"/>
        </w:rPr>
        <w:t>、</w:t>
      </w:r>
      <w:r>
        <w:rPr>
          <w:rFonts w:hint="eastAsia" w:ascii="仿宋_GB2312"/>
          <w:color w:val="auto"/>
          <w:szCs w:val="32"/>
          <w:highlight w:val="none"/>
        </w:rPr>
        <w:t>份额类别</w:t>
      </w:r>
      <w:r>
        <w:rPr>
          <w:rFonts w:hint="eastAsia" w:ascii="仿宋_GB2312"/>
          <w:color w:val="auto"/>
          <w:szCs w:val="32"/>
          <w:highlight w:val="none"/>
          <w:lang w:eastAsia="zh-CN"/>
        </w:rPr>
        <w:t>、</w:t>
      </w:r>
      <w:r>
        <w:rPr>
          <w:rFonts w:hint="eastAsia" w:ascii="仿宋_GB2312" w:hAnsi="宋体" w:cs="宋体"/>
          <w:color w:val="auto"/>
          <w:kern w:val="0"/>
          <w:szCs w:val="24"/>
          <w:highlight w:val="none"/>
          <w:u w:val="none"/>
        </w:rPr>
        <w:t>收费项目、收费条件、收费标准、收费方式</w:t>
      </w:r>
      <w:r>
        <w:rPr>
          <w:rFonts w:hint="eastAsia" w:ascii="仿宋_GB2312" w:hAnsi="宋体" w:cs="宋体"/>
          <w:color w:val="auto"/>
          <w:kern w:val="0"/>
          <w:szCs w:val="24"/>
          <w:highlight w:val="none"/>
          <w:u w:val="none"/>
          <w:lang w:eastAsia="zh-CN"/>
        </w:rPr>
        <w:t>、费用优惠措施</w:t>
      </w:r>
      <w:r>
        <w:rPr>
          <w:rFonts w:hint="eastAsia" w:ascii="仿宋_GB2312" w:hAnsi="宋体" w:cs="宋体"/>
          <w:color w:val="auto"/>
          <w:kern w:val="0"/>
          <w:szCs w:val="24"/>
          <w:highlight w:val="none"/>
          <w:u w:val="none"/>
        </w:rPr>
        <w:t>等保留调整的权利，如发生调整，调整后的要素以产品管理人发布的公告中所载明的内容为准。产品管理人将提前</w:t>
      </w: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个工作日发布公告。</w:t>
      </w:r>
    </w:p>
    <w:p w14:paraId="118AB2C4">
      <w:pPr>
        <w:widowControl/>
        <w:tabs>
          <w:tab w:val="left" w:pos="709"/>
        </w:tabs>
        <w:adjustRightInd w:val="0"/>
        <w:snapToGrid w:val="0"/>
        <w:spacing w:line="360" w:lineRule="auto"/>
        <w:ind w:firstLine="422" w:firstLineChars="20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w:t>
      </w:r>
      <w:r>
        <w:rPr>
          <w:rFonts w:ascii="仿宋_GB2312" w:hAnsi="宋体" w:cs="宋体"/>
          <w:b/>
          <w:bCs/>
          <w:color w:val="auto"/>
          <w:kern w:val="0"/>
          <w:szCs w:val="24"/>
          <w:highlight w:val="none"/>
          <w:u w:val="none"/>
        </w:rPr>
        <w:t>2）在发生产品管理人拒绝或暂停接受投资者认购/申购申请、</w:t>
      </w:r>
      <w:r>
        <w:rPr>
          <w:rFonts w:hint="eastAsia" w:ascii="仿宋_GB2312" w:hAnsi="宋体" w:cs="宋体"/>
          <w:b/>
          <w:bCs/>
          <w:color w:val="auto"/>
          <w:kern w:val="0"/>
          <w:szCs w:val="24"/>
          <w:highlight w:val="none"/>
          <w:u w:val="none"/>
        </w:rPr>
        <w:t>延期办理巨额赎回申请、</w:t>
      </w:r>
      <w:r>
        <w:rPr>
          <w:rFonts w:ascii="仿宋_GB2312" w:hAnsi="宋体" w:cs="宋体"/>
          <w:b/>
          <w:bCs/>
          <w:color w:val="auto"/>
          <w:kern w:val="0"/>
          <w:szCs w:val="24"/>
          <w:highlight w:val="none"/>
          <w:u w:val="none"/>
        </w:rPr>
        <w:t>暂停接受投资者赎回申请、延缓支付赎回款项、暂停理财产品估值、</w:t>
      </w:r>
      <w:r>
        <w:rPr>
          <w:rFonts w:hint="eastAsia" w:ascii="仿宋_GB2312" w:hAnsi="宋体" w:cs="宋体"/>
          <w:b/>
          <w:bCs/>
          <w:color w:val="auto"/>
          <w:kern w:val="0"/>
          <w:szCs w:val="24"/>
          <w:highlight w:val="none"/>
          <w:u w:val="none"/>
          <w:lang w:eastAsia="zh-CN"/>
        </w:rPr>
        <w:t>收取短期赎回费、</w:t>
      </w:r>
      <w:r>
        <w:rPr>
          <w:rFonts w:ascii="仿宋_GB2312" w:hAnsi="宋体" w:cs="宋体"/>
          <w:b/>
          <w:bCs/>
          <w:color w:val="auto"/>
          <w:kern w:val="0"/>
          <w:szCs w:val="24"/>
          <w:highlight w:val="none"/>
          <w:u w:val="none"/>
        </w:rPr>
        <w:t>采用摆动定价等情形时，产品管理人将于</w:t>
      </w:r>
      <w:r>
        <w:rPr>
          <w:rFonts w:hint="eastAsia" w:ascii="仿宋_GB2312" w:hAnsi="宋体" w:cs="宋体"/>
          <w:b/>
          <w:bCs/>
          <w:color w:val="auto"/>
          <w:kern w:val="0"/>
          <w:szCs w:val="24"/>
          <w:highlight w:val="none"/>
          <w:u w:val="none"/>
        </w:rPr>
        <w:t>情形发生</w:t>
      </w:r>
      <w:r>
        <w:rPr>
          <w:rFonts w:hint="eastAsia" w:ascii="仿宋_GB2312" w:hAnsi="宋体" w:cs="宋体"/>
          <w:b/>
          <w:bCs/>
          <w:color w:val="auto"/>
          <w:kern w:val="0"/>
          <w:szCs w:val="24"/>
          <w:highlight w:val="none"/>
          <w:u w:val="none"/>
          <w:lang w:val="en-US" w:eastAsia="zh-CN"/>
        </w:rPr>
        <w:t>后</w:t>
      </w:r>
      <w:r>
        <w:rPr>
          <w:rFonts w:ascii="仿宋_GB2312" w:hAnsi="宋体" w:cs="宋体"/>
          <w:b/>
          <w:bCs/>
          <w:color w:val="auto"/>
          <w:kern w:val="0"/>
          <w:szCs w:val="24"/>
          <w:highlight w:val="none"/>
          <w:u w:val="none"/>
        </w:rPr>
        <w:t>3</w:t>
      </w:r>
      <w:r>
        <w:rPr>
          <w:rFonts w:hint="eastAsia" w:ascii="仿宋_GB2312" w:hAnsi="宋体" w:cs="宋体"/>
          <w:b/>
          <w:bCs/>
          <w:color w:val="auto"/>
          <w:kern w:val="0"/>
          <w:szCs w:val="24"/>
          <w:highlight w:val="none"/>
          <w:u w:val="none"/>
        </w:rPr>
        <w:t>个</w:t>
      </w:r>
      <w:r>
        <w:rPr>
          <w:rFonts w:hint="eastAsia" w:ascii="仿宋_GB2312" w:hAnsi="宋体" w:cs="宋体"/>
          <w:b/>
          <w:bCs/>
          <w:color w:val="auto"/>
          <w:kern w:val="0"/>
          <w:szCs w:val="24"/>
          <w:highlight w:val="none"/>
          <w:u w:val="none"/>
          <w:lang w:eastAsia="zh-CN"/>
        </w:rPr>
        <w:t>交易日</w:t>
      </w:r>
      <w:r>
        <w:rPr>
          <w:rFonts w:hint="eastAsia" w:ascii="仿宋_GB2312" w:hAnsi="宋体" w:cs="宋体"/>
          <w:b/>
          <w:bCs/>
          <w:color w:val="auto"/>
          <w:kern w:val="0"/>
          <w:szCs w:val="24"/>
          <w:highlight w:val="none"/>
          <w:u w:val="none"/>
        </w:rPr>
        <w:t>内告知投资者，并说明运用相关措施的原因和拟采取的应对安排等。在发生涉及产品认购、申购或赎回事项调整或潜在影响投资者赎回等事项时，管理人将发布临时公告。</w:t>
      </w:r>
    </w:p>
    <w:p w14:paraId="236D42C2">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3）理财产品清算期超过5</w:t>
      </w:r>
      <w:r>
        <w:rPr>
          <w:rFonts w:hint="eastAsia" w:ascii="仿宋_GB2312" w:hAnsi="宋体" w:cs="宋体"/>
          <w:color w:val="auto"/>
          <w:kern w:val="0"/>
          <w:szCs w:val="24"/>
          <w:highlight w:val="none"/>
          <w:u w:val="none"/>
        </w:rPr>
        <w:t>个工作日的，产品管理人应当在理财产品终止前</w:t>
      </w: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个</w:t>
      </w:r>
      <w:r>
        <w:rPr>
          <w:rFonts w:ascii="仿宋_GB2312" w:hAnsi="宋体" w:cs="宋体"/>
          <w:color w:val="auto"/>
          <w:kern w:val="0"/>
          <w:szCs w:val="24"/>
          <w:highlight w:val="none"/>
          <w:u w:val="none"/>
        </w:rPr>
        <w:t>工作日</w:t>
      </w:r>
      <w:r>
        <w:rPr>
          <w:rFonts w:hint="eastAsia" w:ascii="仿宋_GB2312" w:hAnsi="宋体" w:cs="宋体"/>
          <w:color w:val="auto"/>
          <w:kern w:val="0"/>
          <w:szCs w:val="24"/>
          <w:highlight w:val="none"/>
          <w:u w:val="none"/>
        </w:rPr>
        <w:t>，根据与投资者约定的渠道向投资者进行信息披露。</w:t>
      </w:r>
    </w:p>
    <w:p w14:paraId="3A4F3C0D">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（4）在本产品存续期内，如因国家法律法规、监管规定发生变化，或是出于维护本产品正常运营的需要，在不损害投资者权益的前提下，产品管理人有权对理财产品销售文件进行修订，并提前</w:t>
      </w:r>
      <w:r>
        <w:rPr>
          <w:rFonts w:hint="eastAsia" w:ascii="仿宋_GB2312" w:hAnsi="宋体" w:cs="宋体"/>
          <w:b/>
          <w:color w:val="auto"/>
          <w:kern w:val="0"/>
          <w:szCs w:val="24"/>
          <w:highlight w:val="none"/>
          <w:u w:val="none"/>
          <w:lang w:val="en-US" w:eastAsia="zh-CN"/>
        </w:rPr>
        <w:t>1</w:t>
      </w:r>
      <w:r>
        <w:rPr>
          <w:rFonts w:hint="eastAsia" w:ascii="仿宋_GB2312" w:hAnsi="宋体" w:cs="宋体"/>
          <w:b/>
          <w:color w:val="auto"/>
          <w:kern w:val="0"/>
          <w:szCs w:val="24"/>
          <w:highlight w:val="none"/>
          <w:u w:val="none"/>
        </w:rPr>
        <w:t>个工作日进行公告。</w:t>
      </w:r>
    </w:p>
    <w:p w14:paraId="3EF35328">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5）其他临时性公告</w:t>
      </w:r>
    </w:p>
    <w:p w14:paraId="324371BA">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除前述事项外，如出现产品</w:t>
      </w:r>
      <w:r>
        <w:rPr>
          <w:rFonts w:ascii="仿宋_GB2312" w:hAnsi="宋体" w:cs="宋体"/>
          <w:color w:val="auto"/>
          <w:kern w:val="0"/>
          <w:szCs w:val="24"/>
          <w:highlight w:val="none"/>
          <w:u w:val="none"/>
        </w:rPr>
        <w:t>二次清算</w:t>
      </w:r>
      <w:r>
        <w:rPr>
          <w:rFonts w:hint="eastAsia" w:ascii="仿宋_GB2312" w:hAnsi="宋体" w:cs="宋体"/>
          <w:color w:val="auto"/>
          <w:kern w:val="0"/>
          <w:szCs w:val="24"/>
          <w:highlight w:val="none"/>
          <w:u w:val="none"/>
        </w:rPr>
        <w:t>等其他突发事件，应在完成再次清算之日起两个工作日内，向投资者披露清算资金分配情况等信息。</w:t>
      </w:r>
    </w:p>
    <w:p w14:paraId="2C2C4374">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在本产品存续期内，当产品管理人对理财产品进行相应调整（包括调整投资范围、投资资产种类、投资比例或收费项目、收费条件、收费标准、收费方式等）时，若构成对投资者利益产生实质性不利影响或涉及当事人权利义务的重大变更的，投资者有权不接受调整，在符合法律法规及监管政策的前提下，可由产品管理人决定投资者提前赎回的方式，并通过公告进行披露。若投资者未选择赎回本产品的，则视为已理解并接受产品管理人的相应调整。</w:t>
      </w:r>
    </w:p>
    <w:p w14:paraId="50D736E7">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lang w:eastAsia="zh-CN"/>
        </w:rPr>
      </w:pP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对于理财产品存续期间发生的以下事项，应于知晓或应当知晓相关事项后五个工作日内向投资者披露</w:t>
      </w:r>
      <w:r>
        <w:rPr>
          <w:rFonts w:hint="eastAsia" w:ascii="仿宋_GB2312" w:hAnsi="宋体" w:cs="宋体"/>
          <w:color w:val="auto"/>
          <w:kern w:val="0"/>
          <w:szCs w:val="24"/>
          <w:highlight w:val="none"/>
          <w:u w:val="none"/>
          <w:lang w:eastAsia="zh-CN"/>
        </w:rPr>
        <w:t>：</w:t>
      </w:r>
    </w:p>
    <w:p w14:paraId="656808E7">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更换理财产品管理人或</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变更实际控制人，更换托管机构，</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或托管</w:t>
      </w:r>
      <w:r>
        <w:rPr>
          <w:rFonts w:hint="eastAsia" w:ascii="仿宋_GB2312" w:hAnsi="宋体" w:cs="宋体"/>
          <w:color w:val="auto"/>
          <w:kern w:val="0"/>
          <w:szCs w:val="24"/>
          <w:highlight w:val="none"/>
          <w:u w:val="none"/>
          <w:lang w:eastAsia="zh-CN"/>
        </w:rPr>
        <w:t>人</w:t>
      </w:r>
      <w:r>
        <w:rPr>
          <w:rFonts w:hint="eastAsia" w:ascii="仿宋_GB2312" w:hAnsi="宋体" w:cs="宋体"/>
          <w:color w:val="auto"/>
          <w:kern w:val="0"/>
          <w:szCs w:val="24"/>
          <w:highlight w:val="none"/>
          <w:u w:val="none"/>
        </w:rPr>
        <w:t>的法定名称、住所发生变更。</w:t>
      </w:r>
    </w:p>
    <w:p w14:paraId="7F3CB8F7">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2）</w:t>
      </w:r>
      <w:r>
        <w:rPr>
          <w:rFonts w:hint="eastAsia" w:ascii="仿宋_GB2312" w:hAnsi="宋体" w:cs="宋体"/>
          <w:color w:val="auto"/>
          <w:kern w:val="0"/>
          <w:szCs w:val="24"/>
          <w:highlight w:val="none"/>
          <w:u w:val="none"/>
        </w:rPr>
        <w:t>涉及产品穿透后持仓百分之十及以上的单笔资产的诉讼或仲裁，并可能对产品或其投资者权益有重大影响的。</w:t>
      </w:r>
    </w:p>
    <w:p w14:paraId="657EAC86">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3</w:t>
      </w:r>
      <w:r>
        <w:rPr>
          <w:rFonts w:hint="eastAsia" w:ascii="仿宋_GB2312" w:hAnsi="宋体" w:cs="宋体"/>
          <w:color w:val="auto"/>
          <w:kern w:val="0"/>
          <w:szCs w:val="24"/>
          <w:highlight w:val="none"/>
          <w:u w:val="none"/>
        </w:rPr>
        <w:t>）产品穿透后持仓百分之十及以上的非标准化债权类资产的融资主体、担保主体发生重大行政处罚、重大诉讼或仲裁，或破产、兼并、重组等重大事项，并对其还款能力或担保能力造成重大不利影响；或上述融资主体对其公开市场债务出现不能按时足额还本付息情况的。</w:t>
      </w:r>
    </w:p>
    <w:p w14:paraId="4952ED0F">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理财产品投资的非标准化资产本身为不良资产及其收益权的，可以不进行临时披露，但应当在季度、半年度、年度报告中披露相关情况。</w:t>
      </w:r>
    </w:p>
    <w:p w14:paraId="4F553B3F">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4）</w:t>
      </w:r>
      <w:r>
        <w:rPr>
          <w:rFonts w:hint="eastAsia" w:ascii="仿宋_GB2312" w:hAnsi="宋体" w:cs="宋体"/>
          <w:color w:val="auto"/>
          <w:kern w:val="0"/>
          <w:szCs w:val="24"/>
          <w:highlight w:val="none"/>
          <w:u w:val="none"/>
        </w:rPr>
        <w:t>涉及产品穿透后持仓百分之十及以上的单笔资产的债券违约、股票停牌或退市的。</w:t>
      </w:r>
    </w:p>
    <w:p w14:paraId="00DEAC09">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5）</w:t>
      </w:r>
      <w:r>
        <w:rPr>
          <w:rFonts w:hint="eastAsia" w:ascii="仿宋_GB2312" w:hAnsi="宋体" w:cs="宋体"/>
          <w:color w:val="auto"/>
          <w:kern w:val="0"/>
          <w:szCs w:val="24"/>
          <w:highlight w:val="none"/>
          <w:u w:val="none"/>
        </w:rPr>
        <w:t>理财产品份额净值计价错误达份额净值百分之零点五。</w:t>
      </w:r>
    </w:p>
    <w:p w14:paraId="650F62D5">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6）</w:t>
      </w:r>
      <w:r>
        <w:rPr>
          <w:rFonts w:hint="eastAsia" w:ascii="仿宋_GB2312" w:hAnsi="宋体" w:cs="宋体"/>
          <w:color w:val="auto"/>
          <w:kern w:val="0"/>
          <w:szCs w:val="24"/>
          <w:highlight w:val="none"/>
          <w:u w:val="none"/>
        </w:rPr>
        <w:t>金融市场发生重大变化导致理财产品投资比例暂时超出浮动区间且可能对理财产品收益产生重大影响的。</w:t>
      </w:r>
    </w:p>
    <w:p w14:paraId="5EDBA1AC">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7）</w:t>
      </w:r>
      <w:r>
        <w:rPr>
          <w:rFonts w:hint="eastAsia" w:ascii="仿宋_GB2312" w:hAnsi="宋体" w:cs="宋体"/>
          <w:color w:val="auto"/>
          <w:kern w:val="0"/>
          <w:szCs w:val="24"/>
          <w:highlight w:val="none"/>
          <w:u w:val="none"/>
        </w:rPr>
        <w:t>法律法规以及监管规定的其他内容，或者</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认为可能对投资者权益产生重大不利影响的其他事项。</w:t>
      </w:r>
    </w:p>
    <w:p w14:paraId="159C21C9">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p>
    <w:p w14:paraId="7BC7049E">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p>
    <w:p w14:paraId="143667A7">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p>
    <w:p w14:paraId="7A420253">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p>
    <w:p w14:paraId="79EC7D9C">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p>
    <w:p w14:paraId="036C7907">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p>
    <w:p w14:paraId="2992A1A9">
      <w:pPr>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rPr>
        <w:br w:type="page"/>
      </w:r>
    </w:p>
    <w:p w14:paraId="06A788D2">
      <w:pPr>
        <w:pStyle w:val="2"/>
        <w:numPr>
          <w:ilvl w:val="0"/>
          <w:numId w:val="14"/>
        </w:numPr>
        <w:rPr>
          <w:color w:val="auto"/>
          <w:highlight w:val="none"/>
          <w:u w:val="none"/>
        </w:rPr>
      </w:pPr>
      <w:r>
        <w:rPr>
          <w:rFonts w:hint="eastAsia"/>
          <w:color w:val="auto"/>
          <w:highlight w:val="none"/>
          <w:u w:val="none"/>
          <w:lang w:eastAsia="zh-CN"/>
        </w:rPr>
        <w:t>风险揭示</w:t>
      </w:r>
    </w:p>
    <w:p w14:paraId="34DB7662">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lang w:eastAsia="zh-CN"/>
        </w:rPr>
        <w:t>【</w:t>
      </w:r>
      <w:r>
        <w:rPr>
          <w:rFonts w:hint="default" w:ascii="仿宋_GB2312" w:hAnsi="宋体" w:cs="宋体"/>
          <w:b w:val="0"/>
          <w:color w:val="auto"/>
          <w:kern w:val="0"/>
          <w:szCs w:val="24"/>
          <w:highlight w:val="yellow"/>
          <w:u w:val="none"/>
        </w:rPr>
        <w:t>本产品不保证本金和收益，投资者的本金有可能蒙受损失，极端情况下，可能全部或部分受损。投资者应充分认识投资风险，谨慎投资。</w:t>
      </w:r>
      <w:r>
        <w:rPr>
          <w:rFonts w:hint="eastAsia" w:ascii="仿宋_GB2312" w:hAnsi="宋体" w:cs="宋体"/>
          <w:b w:val="0"/>
          <w:color w:val="auto"/>
          <w:kern w:val="0"/>
          <w:szCs w:val="24"/>
          <w:highlight w:val="yellow"/>
          <w:u w:val="none"/>
          <w:lang w:eastAsia="zh-CN"/>
        </w:rPr>
        <w:t>风险列示</w:t>
      </w:r>
      <w:r>
        <w:rPr>
          <w:rFonts w:hint="default" w:ascii="仿宋_GB2312" w:hAnsi="宋体" w:cs="宋体"/>
          <w:b w:val="0"/>
          <w:color w:val="auto"/>
          <w:kern w:val="0"/>
          <w:szCs w:val="24"/>
          <w:highlight w:val="yellow"/>
          <w:u w:val="none"/>
        </w:rPr>
        <w:t>如下：</w:t>
      </w:r>
    </w:p>
    <w:p w14:paraId="3D75D915">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（一）政策风险</w:t>
      </w:r>
    </w:p>
    <w:p w14:paraId="78410FAD">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rPr>
        <w:t>本理财产品是根据当前相关法律法规、监管规定和国家政策设计的。如国家宏观政策以及市场相关法律法规、监管规定发生变化，可能影响本理财产品的发行、交易、投资、兑付等工作流程的正常进行，从而影响本理财产品的投资运作，则投资者可能面临本金和收益遭受部分甚至全部损失的风险。</w:t>
      </w:r>
    </w:p>
    <w:p w14:paraId="473C7C5E">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（二）信用风险</w:t>
      </w:r>
    </w:p>
    <w:p w14:paraId="0577A2E8">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rPr>
        <w:t>本理财产品所投资的资产或资产组合项下义务人可能出现信用违约情形，无法如期偿付融资本金与利息，则投资者可能面临本金和收益遭受部分甚至全部损失的风险。</w:t>
      </w:r>
    </w:p>
    <w:p w14:paraId="397242FA">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（三）市场风险</w:t>
      </w:r>
    </w:p>
    <w:p w14:paraId="1A7412DC">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rPr>
        <w:t>本理财产品存续期内，由于市场利率、汇率变化，债券、股票等投资品市场价格波动，以及市场已出现或未来可能出现的其他重要因素影响，将导致本理财产品所投资的资产或资产组合出现估值波动，从而影响本理财产品的净值，投资者可能面临投资本金和收益遭受部分甚至全部损失的风险。</w:t>
      </w:r>
    </w:p>
    <w:p w14:paraId="0FBAE014">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（四）流动性风险</w:t>
      </w:r>
    </w:p>
    <w:p w14:paraId="0B2161DF">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rPr>
        <w:t>当市场出现极端情况或开放式</w:t>
      </w:r>
      <w:r>
        <w:rPr>
          <w:rFonts w:hint="default" w:ascii="仿宋_GB2312" w:hAnsi="宋体" w:cs="宋体"/>
          <w:b w:val="0"/>
          <w:color w:val="auto"/>
          <w:kern w:val="0"/>
          <w:szCs w:val="24"/>
          <w:highlight w:val="yellow"/>
          <w:u w:val="none"/>
        </w:rPr>
        <w:t>产品</w:t>
      </w:r>
      <w:r>
        <w:rPr>
          <w:rFonts w:hint="eastAsia" w:ascii="仿宋_GB2312" w:hAnsi="宋体" w:cs="宋体"/>
          <w:b w:val="0"/>
          <w:color w:val="auto"/>
          <w:kern w:val="0"/>
          <w:szCs w:val="24"/>
          <w:highlight w:val="yellow"/>
          <w:u w:val="none"/>
        </w:rPr>
        <w:t>投资者集中、大额赎回等情形下，理财产品可能因持有现金头寸不足或所投资的资产无法及时变现，导致无法按约定向投资者及时兑付理财资金，投资者可能面临理财资金无法及时到账及/或持有的本理财产品整体损益出现不利情形的风险。</w:t>
      </w:r>
    </w:p>
    <w:p w14:paraId="1310E37C">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rPr>
        <w:t>投资者在本理财产品说明书约定的封闭期、最短持有期及</w:t>
      </w:r>
      <w:r>
        <w:rPr>
          <w:rFonts w:hint="default" w:ascii="仿宋_GB2312" w:hAnsi="宋体" w:cs="宋体"/>
          <w:b w:val="0"/>
          <w:color w:val="auto"/>
          <w:kern w:val="0"/>
          <w:szCs w:val="24"/>
          <w:highlight w:val="yellow"/>
          <w:u w:val="none"/>
        </w:rPr>
        <w:t>/或其他不可赎回时段内不享有提前赎回权。</w:t>
      </w:r>
      <w:r>
        <w:rPr>
          <w:rFonts w:hint="eastAsia" w:ascii="仿宋_GB2312" w:hAnsi="宋体" w:cs="宋体"/>
          <w:b w:val="0"/>
          <w:color w:val="auto"/>
          <w:kern w:val="0"/>
          <w:szCs w:val="24"/>
          <w:highlight w:val="yellow"/>
          <w:u w:val="none"/>
        </w:rPr>
        <w:t>如果投资者面临用款需求与其他投资机会，可能因所持有的理财产品不能随时赎回或变现，存在用款需求无法满足或错过其他投资机会的风险。</w:t>
      </w:r>
    </w:p>
    <w:p w14:paraId="5177CFE3">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rPr>
        <w:t>拟投资市场、资产的流动性风险评估：</w:t>
      </w:r>
    </w:p>
    <w:p w14:paraId="7684B165">
      <w:pPr>
        <w:widowControl/>
        <w:tabs>
          <w:tab w:val="left" w:pos="709"/>
        </w:tabs>
        <w:adjustRightInd w:val="0"/>
        <w:snapToGrid w:val="0"/>
        <w:spacing w:line="360" w:lineRule="auto"/>
        <w:ind w:firstLine="420" w:firstLineChars="200"/>
        <w:rPr>
          <w:rFonts w:hint="eastAsia"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rPr>
        <w:t>本理财产品投资范围包括现金；期限在1年以内（含1年）的银行存款、债券回购、中央银行票据、同业存单、大额存单等；剩余期限在397天以内（含397天）的债券、在银行间债券市场和证券交易所发行的资产支持证券；以上述资产为投资标的公募证券投资基金及其他资产管理产品；国家法律法规、监管规定认可的其他具有良好流动性的货币市场工具。本理财产品可直接或通过依法设立的资产管理产品（包括信托公司、证券公司、证券公司子公司、基金管理公司、基金管理子公司、期货公司、期货公司子公司、保险资产管理机构、金融资产投资公司发行的资产管理产品等）以及其他符合国家相关政策、法律法规的投资渠道和方式投资于上述资产。上述资产均存在规范的交易场所，运作时间长，市场透明度较高，运作方式规范，历史流动性状况良好，同时，本理财产品严格控制开放期内投资于流动性受限资产的投资品种比例。本理财产品管理人会进行标的的分散化投资并结合对各类标的资产的预期流动性状况进行合理配置，以防范流动性风险。</w:t>
      </w:r>
    </w:p>
    <w:p w14:paraId="5C5D81F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流动性应对措施及对投资者的潜在影响：</w:t>
      </w:r>
    </w:p>
    <w:p w14:paraId="7276DDD4">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本理财产品管理人将合理安排组合流动性，统筹考虑产品期限、各类标的资产的预期流动性，</w:t>
      </w:r>
      <w:r>
        <w:rPr>
          <w:rFonts w:hint="default" w:ascii="仿宋_GB2312" w:hAnsi="宋体" w:cs="宋体"/>
          <w:b/>
          <w:bCs/>
          <w:color w:val="auto"/>
          <w:kern w:val="0"/>
          <w:szCs w:val="24"/>
          <w:highlight w:val="yellow"/>
          <w:u w:val="none"/>
        </w:rPr>
        <w:t>合理进行资产配置</w:t>
      </w:r>
      <w:r>
        <w:rPr>
          <w:rFonts w:hint="eastAsia" w:ascii="仿宋_GB2312" w:hAnsi="宋体" w:cs="宋体"/>
          <w:b/>
          <w:bCs/>
          <w:color w:val="auto"/>
          <w:kern w:val="0"/>
          <w:szCs w:val="24"/>
          <w:highlight w:val="yellow"/>
          <w:u w:val="none"/>
        </w:rPr>
        <w:t>，</w:t>
      </w:r>
      <w:r>
        <w:rPr>
          <w:rFonts w:hint="default" w:ascii="仿宋_GB2312" w:hAnsi="宋体" w:cs="宋体"/>
          <w:b/>
          <w:bCs/>
          <w:color w:val="auto"/>
          <w:kern w:val="0"/>
          <w:szCs w:val="24"/>
          <w:highlight w:val="yellow"/>
          <w:u w:val="none"/>
        </w:rPr>
        <w:t>防范流动性风险。</w:t>
      </w:r>
    </w:p>
    <w:p w14:paraId="08C928AC">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产品管理人可依照法律法规及理财产品销售文件的约定，综合运用各类流动性应对措施，作为特定情形下流动性风险管理的辅助手段，包括但不限于：</w:t>
      </w:r>
    </w:p>
    <w:p w14:paraId="4488DFFA">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（1）认购/申购风险应对措施，包括:设定单一投资者认购/申购金额上限、设定本理财产品单日净认购/申购比例上限、拒绝大额认购/申购、暂停认购/申购，以及国家金融监督管理总局规定的其他措施。</w:t>
      </w:r>
    </w:p>
    <w:p w14:paraId="06FFF406">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（2）赎回风险应对措施，包括：设置赎回上限、延期办理巨额赎回申请、暂停接受赎回申请、延缓支付赎回款项、收取短期赎回费、暂停理财产品估值，以及国家金融监督管理总局规定的其他措施。</w:t>
      </w:r>
    </w:p>
    <w:p w14:paraId="2AF4CD1C">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1)延期办理巨额赎回申请</w:t>
      </w:r>
    </w:p>
    <w:p w14:paraId="0FDA606E">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若理财产品管理人采用延期办理巨额赎回申请的流动性风险应对措施，投资者的赎回申请将无法按时全额获得确认，投资者自身的流动性可能受到影响，并将额外承担市场波动对本理财产品净值的影响。</w:t>
      </w:r>
    </w:p>
    <w:p w14:paraId="5F11F22B">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2）暂停接受赎回申请或延缓支付赎回款项</w:t>
      </w:r>
    </w:p>
    <w:p w14:paraId="4AFC2FB0">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若理财产品管理人采用暂停接受赎回申请或延缓支付赎回款项的流动性风险应对措施，投资者面临在暂停赎回期间将无法赎回其持有的产品份额的风险，接收赎回款项的时间将可能比一般正常情形下有所延迟。</w:t>
      </w:r>
    </w:p>
    <w:p w14:paraId="600996C5">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3)暂停理财产品估值</w:t>
      </w:r>
    </w:p>
    <w:p w14:paraId="36D4C46E">
      <w:pPr>
        <w:widowControl/>
        <w:tabs>
          <w:tab w:val="left" w:pos="709"/>
        </w:tabs>
        <w:adjustRightInd w:val="0"/>
        <w:snapToGrid w:val="0"/>
        <w:spacing w:line="360" w:lineRule="auto"/>
        <w:ind w:firstLine="422" w:firstLineChars="200"/>
        <w:rPr>
          <w:rFonts w:hint="eastAsia"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若理财产品管理人采用暂停理财产品估值的流动性风险应对措施，投资人没有可供参考的产品份额净值，同时赎回申请可能被暂停接受，或被延缓支付赎回款项。</w:t>
      </w:r>
    </w:p>
    <w:p w14:paraId="3C166A9F">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具体应对措施使用情形及程序详见</w:t>
      </w:r>
      <w:r>
        <w:rPr>
          <w:rFonts w:hint="eastAsia" w:ascii="仿宋_GB2312" w:hAnsi="宋体" w:cs="宋体"/>
          <w:b/>
          <w:bCs/>
          <w:color w:val="auto"/>
          <w:kern w:val="0"/>
          <w:szCs w:val="24"/>
          <w:highlight w:val="yellow"/>
          <w:u w:val="none"/>
          <w:lang w:eastAsia="zh-CN"/>
        </w:rPr>
        <w:t>“</w:t>
      </w:r>
      <w:r>
        <w:rPr>
          <w:rFonts w:hint="default" w:ascii="仿宋_GB2312" w:hAnsi="宋体" w:cs="宋体"/>
          <w:b/>
          <w:bCs/>
          <w:color w:val="auto"/>
          <w:kern w:val="0"/>
          <w:szCs w:val="24"/>
          <w:highlight w:val="yellow"/>
          <w:u w:val="none"/>
        </w:rPr>
        <w:t>第一节 理财产品说明书关键要素</w:t>
      </w:r>
      <w:r>
        <w:rPr>
          <w:rFonts w:hint="eastAsia" w:ascii="仿宋_GB2312" w:hAnsi="宋体" w:cs="宋体"/>
          <w:b/>
          <w:bCs/>
          <w:color w:val="auto"/>
          <w:kern w:val="0"/>
          <w:szCs w:val="24"/>
          <w:highlight w:val="yellow"/>
          <w:u w:val="none"/>
          <w:lang w:eastAsia="zh-CN"/>
        </w:rPr>
        <w:t>”“第四节 理财产品的认购与成立”“第五节 理财产品的申购与赎回”</w:t>
      </w:r>
      <w:r>
        <w:rPr>
          <w:rFonts w:hint="default" w:ascii="仿宋_GB2312" w:hAnsi="宋体" w:cs="宋体"/>
          <w:b/>
          <w:bCs/>
          <w:color w:val="auto"/>
          <w:kern w:val="0"/>
          <w:szCs w:val="24"/>
          <w:highlight w:val="yellow"/>
          <w:u w:val="none"/>
        </w:rPr>
        <w:t>。敬请投资者留意管理人运用上述流动性风险应对措施的相关风险。</w:t>
      </w:r>
    </w:p>
    <w:p w14:paraId="46218174">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（五）经营管理风险</w:t>
      </w:r>
    </w:p>
    <w:p w14:paraId="56AD731F">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rPr>
        <w:t>在本理财产品运作过程中，投资管理各方受经验、技能、判断力</w:t>
      </w:r>
      <w:r>
        <w:rPr>
          <w:rFonts w:hint="default" w:ascii="仿宋_GB2312" w:hAnsi="宋体" w:cs="宋体"/>
          <w:b w:val="0"/>
          <w:color w:val="auto"/>
          <w:kern w:val="0"/>
          <w:szCs w:val="24"/>
          <w:highlight w:val="yellow"/>
          <w:u w:val="none"/>
        </w:rPr>
        <w:t>、</w:t>
      </w:r>
      <w:r>
        <w:rPr>
          <w:rFonts w:hint="eastAsia" w:ascii="仿宋_GB2312" w:hAnsi="宋体" w:cs="宋体"/>
          <w:b w:val="0"/>
          <w:color w:val="auto"/>
          <w:kern w:val="0"/>
          <w:szCs w:val="24"/>
          <w:highlight w:val="yellow"/>
          <w:u w:val="none"/>
        </w:rPr>
        <w:t>执行力等综合因素的限制，可能对本理财产品的运作与管理形成一定影响，投资者可能面临本金和收益遭受部分甚至全部损失的风险。</w:t>
      </w:r>
    </w:p>
    <w:p w14:paraId="4EE8AC1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（六）交易对手风险</w:t>
      </w:r>
    </w:p>
    <w:p w14:paraId="2B89AEF4">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rPr>
        <w:t>由于交易对手受偿付能力、流动性管理能力以及及时履约意愿等因素影响，导致交易对手不履约，可能影响本理财产品的投资管理，则投资者可能面临本金和收益遭受部分甚至全部损失的风险。</w:t>
      </w:r>
    </w:p>
    <w:p w14:paraId="13F93FD6">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（七）操作风险</w:t>
      </w:r>
    </w:p>
    <w:p w14:paraId="09E8EF21">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rPr>
        <w:t>产品运作过程中，由于理财产品管理人及理财合作机构因技术系统故障、内部控制存在缺陷或人为因素，导致</w:t>
      </w:r>
      <w:r>
        <w:rPr>
          <w:rFonts w:hint="default" w:ascii="仿宋_GB2312" w:hAnsi="宋体" w:cs="宋体"/>
          <w:b w:val="0"/>
          <w:color w:val="auto"/>
          <w:kern w:val="0"/>
          <w:szCs w:val="24"/>
          <w:highlight w:val="yellow"/>
          <w:u w:val="none"/>
        </w:rPr>
        <w:t>操作失误</w:t>
      </w:r>
      <w:r>
        <w:rPr>
          <w:rFonts w:hint="eastAsia" w:ascii="仿宋_GB2312" w:hAnsi="宋体" w:cs="宋体"/>
          <w:b w:val="0"/>
          <w:color w:val="auto"/>
          <w:kern w:val="0"/>
          <w:szCs w:val="24"/>
          <w:highlight w:val="yellow"/>
          <w:u w:val="none"/>
        </w:rPr>
        <w:t>或</w:t>
      </w:r>
      <w:r>
        <w:rPr>
          <w:rFonts w:hint="default" w:ascii="仿宋_GB2312" w:hAnsi="宋体" w:cs="宋体"/>
          <w:b w:val="0"/>
          <w:color w:val="auto"/>
          <w:kern w:val="0"/>
          <w:szCs w:val="24"/>
          <w:highlight w:val="yellow"/>
          <w:u w:val="none"/>
        </w:rPr>
        <w:t>违反操作规程等引起的风险，</w:t>
      </w:r>
      <w:r>
        <w:rPr>
          <w:rFonts w:hint="eastAsia" w:ascii="仿宋_GB2312" w:hAnsi="宋体" w:cs="宋体"/>
          <w:b w:val="0"/>
          <w:color w:val="auto"/>
          <w:kern w:val="0"/>
          <w:szCs w:val="24"/>
          <w:highlight w:val="yellow"/>
          <w:u w:val="none"/>
        </w:rPr>
        <w:t>如内部作业、人员管理、系统操作及事务处理不当或失误等，则投资者可能面临本金和收益遭受部分甚至全部损失的风险。</w:t>
      </w:r>
    </w:p>
    <w:p w14:paraId="7B18966B">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（八）代销风险（如有）</w:t>
      </w:r>
    </w:p>
    <w:p w14:paraId="0A49E164">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rPr>
        <w:t>如本理财产品通过代理销售渠道销售，投资者购买理财产品的资金将由销售机构从投资者清算账户扣收并划付产品管理人，产品到期</w:t>
      </w:r>
      <w:r>
        <w:rPr>
          <w:rFonts w:hint="default" w:ascii="仿宋_GB2312" w:hAnsi="宋体" w:cs="宋体"/>
          <w:b w:val="0"/>
          <w:color w:val="auto"/>
          <w:kern w:val="0"/>
          <w:szCs w:val="24"/>
          <w:highlight w:val="yellow"/>
          <w:u w:val="none"/>
        </w:rPr>
        <w:t>/终止</w:t>
      </w:r>
      <w:r>
        <w:rPr>
          <w:rFonts w:hint="eastAsia" w:ascii="仿宋_GB2312" w:hAnsi="宋体" w:cs="宋体"/>
          <w:b w:val="0"/>
          <w:color w:val="auto"/>
          <w:kern w:val="0"/>
          <w:szCs w:val="24"/>
          <w:highlight w:val="yellow"/>
          <w:u w:val="none"/>
        </w:rPr>
        <w:t>/赎回</w:t>
      </w:r>
      <w:r>
        <w:rPr>
          <w:rFonts w:hint="default" w:ascii="仿宋_GB2312" w:hAnsi="宋体" w:cs="宋体"/>
          <w:b w:val="0"/>
          <w:color w:val="auto"/>
          <w:kern w:val="0"/>
          <w:szCs w:val="24"/>
          <w:highlight w:val="yellow"/>
          <w:u w:val="none"/>
        </w:rPr>
        <w:t>时理财本金及收益相应款项由产品管理人按理财产品销售文件约定划付至</w:t>
      </w:r>
      <w:r>
        <w:rPr>
          <w:rFonts w:hint="eastAsia" w:ascii="仿宋_GB2312" w:hAnsi="宋体" w:cs="宋体"/>
          <w:b w:val="0"/>
          <w:color w:val="auto"/>
          <w:kern w:val="0"/>
          <w:szCs w:val="24"/>
          <w:highlight w:val="yellow"/>
          <w:u w:val="none"/>
        </w:rPr>
        <w:t>销售机构清算账户，并由销售机构向投资者支付投资者应得理财本金及收益。如因销售机构清算账户余额不足，或销售机构未及时足额划付资金，或销售机构清算账户内资金被依法冻结或扣划、账户处于被挂失、冻结、注销或其他非正常状态等原因而导致交易失败，由销售机构与投资者依法协商解决，产品管理人对此不承担责任，但前述约定不免除因产品管理人过错依法应由产品管理人承担的责任。</w:t>
      </w:r>
    </w:p>
    <w:p w14:paraId="24101796">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（九）募集期延长</w:t>
      </w:r>
      <w:r>
        <w:rPr>
          <w:rFonts w:hint="default" w:ascii="仿宋_GB2312" w:hAnsi="宋体" w:cs="宋体"/>
          <w:b/>
          <w:bCs/>
          <w:color w:val="auto"/>
          <w:kern w:val="0"/>
          <w:szCs w:val="24"/>
          <w:highlight w:val="yellow"/>
          <w:u w:val="none"/>
        </w:rPr>
        <w:t>/缩短</w:t>
      </w:r>
      <w:r>
        <w:rPr>
          <w:rFonts w:hint="eastAsia" w:ascii="仿宋_GB2312" w:hAnsi="宋体" w:cs="宋体"/>
          <w:b/>
          <w:bCs/>
          <w:color w:val="auto"/>
          <w:kern w:val="0"/>
          <w:szCs w:val="24"/>
          <w:highlight w:val="yellow"/>
          <w:u w:val="none"/>
        </w:rPr>
        <w:t>风险</w:t>
      </w:r>
    </w:p>
    <w:p w14:paraId="38591E54">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rPr>
        <w:t>在本理财产品募集期内，国家宏观政策以及市场相关法律法规政策发生变化、产品募集状况未达到/已达到产品说明书约定的成立条件，或其他经理财产品管理人合理判断需延长</w:t>
      </w:r>
      <w:r>
        <w:rPr>
          <w:rFonts w:hint="default" w:ascii="仿宋_GB2312" w:hAnsi="宋体" w:cs="宋体"/>
          <w:b w:val="0"/>
          <w:color w:val="auto"/>
          <w:kern w:val="0"/>
          <w:szCs w:val="24"/>
          <w:highlight w:val="yellow"/>
          <w:u w:val="none"/>
        </w:rPr>
        <w:t>/缩短</w:t>
      </w:r>
      <w:r>
        <w:rPr>
          <w:rFonts w:hint="eastAsia" w:ascii="仿宋_GB2312" w:hAnsi="宋体" w:cs="宋体"/>
          <w:b w:val="0"/>
          <w:color w:val="auto"/>
          <w:kern w:val="0"/>
          <w:szCs w:val="24"/>
          <w:highlight w:val="yellow"/>
          <w:u w:val="none"/>
        </w:rPr>
        <w:t>募集期的情形，产品管理人有权宣布本理财产品募集期延长</w:t>
      </w:r>
      <w:r>
        <w:rPr>
          <w:rFonts w:hint="default" w:ascii="仿宋_GB2312" w:hAnsi="宋体" w:cs="宋体"/>
          <w:b w:val="0"/>
          <w:color w:val="auto"/>
          <w:kern w:val="0"/>
          <w:szCs w:val="24"/>
          <w:highlight w:val="yellow"/>
          <w:u w:val="none"/>
        </w:rPr>
        <w:t>/缩短</w:t>
      </w:r>
      <w:r>
        <w:rPr>
          <w:rFonts w:hint="eastAsia" w:ascii="仿宋_GB2312" w:hAnsi="宋体" w:cs="宋体"/>
          <w:b w:val="0"/>
          <w:color w:val="auto"/>
          <w:kern w:val="0"/>
          <w:szCs w:val="24"/>
          <w:highlight w:val="yellow"/>
          <w:u w:val="none"/>
        </w:rPr>
        <w:t>，本理财产品可能延后/提前成立。</w:t>
      </w:r>
    </w:p>
    <w:p w14:paraId="2EEB9CA6">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（十）产品不成立风险</w:t>
      </w:r>
    </w:p>
    <w:p w14:paraId="2031B358">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rPr>
        <w:t>如果本理财产品因募集规模低于《产品说明书》约定的本理财产品最低成立规模，或出现政策、法规、市场或其他因素导致本理财产品不能成立的情形，理财产品管理人有权宣布本理财产品不成立，投资者将面临再投资的风险。</w:t>
      </w:r>
    </w:p>
    <w:p w14:paraId="6CA2373E">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（十一）提前终止风险</w:t>
      </w:r>
    </w:p>
    <w:p w14:paraId="5CA09BBA">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rPr>
        <w:t>本理财产品存续期间，由于国家宏观政策变化、市场相关法律法规及政策变化、本理财产品所投资资产提前结清、意外事件、不可抗力（包括但不限于政府行为、自然灾害、疫情等）以及其他可能导致理财产品管理人无法继续履行本理财产品投资管理义务或经理财产品管理人合理评估且审慎判断不适宜本理财产品继续存续运作的情形，为保护投资者权益，理财产品管理人有权按照理财产品销售文件的约定部分/全部提前终止本理财产品，投资者可能面临本理财产品部分/全部提前终止后再投资的风险。</w:t>
      </w:r>
    </w:p>
    <w:p w14:paraId="298851A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（十二）延期分配风险</w:t>
      </w:r>
    </w:p>
    <w:p w14:paraId="5EB040CD">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rPr>
        <w:t>因缺乏交易对手、市场成交量不足、资产限制赎回、暂停交易、所投资产发生风险或不能及时变现、发生不可抗力（包括但不限于政府行为、自然灾害、疫情等）及其他理财产品管理人认为需要延期分配的情形，可能导致理财产品管理人无法在理财产品销售文件约定的清算期内完成理财资金的清算与分配，投资者可能面临理财产品资金延期分配、分配方案调整等风险，投资者由此可能面临投资本金和收益遭受部分甚至全部损失的风险。</w:t>
      </w:r>
    </w:p>
    <w:p w14:paraId="7ADD7646">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（十三）信息传递风险</w:t>
      </w:r>
    </w:p>
    <w:p w14:paraId="372A57FA">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rPr>
        <w:t>理财产品管理人将按照理财产品销售文件中约定的信息披露方式、披露途径向投资者披露涉及本理财产品的各类信息和重大事件，投资者应及时查询了解。如投资者未及时查询相关信息或由于不可抗力（包括但不限于政府行为、自然灾害、疫情等）或意外事件的影响使得投资者无法及时了解本理财产品信息，进而影响投资者的投资决策行为，因此而产生的责任和风险由投资者承担。如投资者未及时告知理财产品管理人联系方式变更或理财产品管理人在其认为需要时无法及时联系到投资者，使得投资者无法及时获知本理财产品信息，进而影响投资者的投资决策行为，因此而产生的责任和风险由投资者承担。</w:t>
      </w:r>
    </w:p>
    <w:p w14:paraId="1C81C597">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（十四）关联关系及关联交易风险</w:t>
      </w:r>
    </w:p>
    <w:p w14:paraId="052D084D">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rPr>
        <w:t>浙银理财作为本理财产品的发行人、管理人，独立履行产品管理职责；浙银理财委托托管机构托管理财产品或委托销售机构销售理财产品的，可能涉及委托浙商银行股份有限公司（以下简称“浙商银行”）担任理财产品的托管机构或销售机构，负责理财产品的托管或代理销售工作。浙银理财是浙商银行控股的子公司，双方存在关联关系。</w:t>
      </w:r>
    </w:p>
    <w:p w14:paraId="328F2DCB">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rPr>
        <w:t>本理财产品可能投资于管理人、个别销售机构或托管</w:t>
      </w:r>
      <w:r>
        <w:rPr>
          <w:rFonts w:hint="default" w:ascii="仿宋_GB2312" w:hAnsi="宋体" w:cs="宋体"/>
          <w:b w:val="0"/>
          <w:color w:val="auto"/>
          <w:kern w:val="0"/>
          <w:szCs w:val="24"/>
          <w:highlight w:val="yellow"/>
          <w:u w:val="none"/>
        </w:rPr>
        <w:t>人</w:t>
      </w:r>
      <w:r>
        <w:rPr>
          <w:rFonts w:hint="eastAsia" w:ascii="仿宋_GB2312" w:hAnsi="宋体" w:cs="宋体"/>
          <w:b w:val="0"/>
          <w:color w:val="auto"/>
          <w:kern w:val="0"/>
          <w:szCs w:val="24"/>
          <w:highlight w:val="yellow"/>
          <w:u w:val="none"/>
        </w:rPr>
        <w:t>的主要股东、实际控制人、一致行动人、最终受益人，托管</w:t>
      </w:r>
      <w:r>
        <w:rPr>
          <w:rFonts w:hint="default" w:ascii="仿宋_GB2312" w:hAnsi="宋体" w:cs="宋体"/>
          <w:b w:val="0"/>
          <w:color w:val="auto"/>
          <w:kern w:val="0"/>
          <w:szCs w:val="24"/>
          <w:highlight w:val="yellow"/>
          <w:u w:val="none"/>
        </w:rPr>
        <w:t>人</w:t>
      </w:r>
      <w:r>
        <w:rPr>
          <w:rFonts w:hint="eastAsia" w:ascii="仿宋_GB2312" w:hAnsi="宋体" w:cs="宋体"/>
          <w:b w:val="0"/>
          <w:color w:val="auto"/>
          <w:kern w:val="0"/>
          <w:szCs w:val="24"/>
          <w:highlight w:val="yellow"/>
          <w:u w:val="none"/>
        </w:rPr>
        <w:t>，同一股东或托管人控股的机构，或者与管理人或托管</w:t>
      </w:r>
      <w:r>
        <w:rPr>
          <w:rFonts w:hint="default" w:ascii="仿宋_GB2312" w:hAnsi="宋体" w:cs="宋体"/>
          <w:b w:val="0"/>
          <w:color w:val="auto"/>
          <w:kern w:val="0"/>
          <w:szCs w:val="24"/>
          <w:highlight w:val="yellow"/>
          <w:u w:val="none"/>
        </w:rPr>
        <w:t>人</w:t>
      </w:r>
      <w:r>
        <w:rPr>
          <w:rFonts w:hint="eastAsia" w:ascii="仿宋_GB2312" w:hAnsi="宋体" w:cs="宋体"/>
          <w:b w:val="0"/>
          <w:color w:val="auto"/>
          <w:kern w:val="0"/>
          <w:szCs w:val="24"/>
          <w:highlight w:val="yellow"/>
          <w:u w:val="none"/>
        </w:rPr>
        <w:t>有重大利害关系的机构发行或承销的证券，或者从事其他关联交易，本理财产品也可能由管理人的关联方进行托管或代理销售。上述各方在业务执行及实施上具有隔离机制，并符合相关法律法规要求，且上述各方将依照恪尽职守、诚实信用、谨慎勤勉的原则按照市场公允定价进行公平交易，但仍可能存在利益冲突。提请投资者充分知悉、关注本理财产品关联关系和关联交易风险，投资者签署本理财产品销售文件即代表投资者认可且同意上述可能发生的关联交易并自愿承担相关风险。</w:t>
      </w:r>
    </w:p>
    <w:p w14:paraId="24EFB9FA">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（十五）再投资风险</w:t>
      </w:r>
    </w:p>
    <w:p w14:paraId="53538EC1">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rPr>
        <w:t>由于浙银理财有权根据市场状况和产品余额情况提前终止本理财产品，因市场利率下滑，投资者可能面临本金和收益再投资收益率降低的风险。</w:t>
      </w:r>
    </w:p>
    <w:p w14:paraId="2261663B">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（十六）估值风险</w:t>
      </w:r>
    </w:p>
    <w:p w14:paraId="46EF0318">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rPr>
        <w:t>本理财产品按《产品说明书》的估值方法进行估值，理财产品估值与实际变现价值可能发生偏离，投资者应知晓该风险。本理财产品管理人估值仅作为参考，本理财产品管理人不承担第三方再次使用该估值引发的其他风险。本理财产品所投资的资产管理产品以其估值日截止时点能够取得的最新份额净值进行估值。因此，在前述情况下可能会出现本理财产品净值不能完全反映所投资资产管理计划或基金等资产管理产品估值日当日净值的情形。</w:t>
      </w:r>
    </w:p>
    <w:p w14:paraId="14EDE263">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rPr>
        <w:t>本理财产品可能投资符合监管要求的资产管理产品（包括但不限于信托计划、公募基金、基金公司或子公司资产管理计划、证券公司资产管理计划、期货资产管理计划、保险资产管理计划等，具体以《产品说明书》或理财产品定期报告披露为准），前述资产管理产品的管理人可能收取</w:t>
      </w:r>
      <w:r>
        <w:rPr>
          <w:rFonts w:hint="eastAsia" w:ascii="仿宋_GB2312" w:hAnsi="宋体" w:cs="宋体"/>
          <w:b w:val="0"/>
          <w:color w:val="auto"/>
          <w:kern w:val="0"/>
          <w:szCs w:val="24"/>
          <w:highlight w:val="yellow"/>
          <w:u w:val="none"/>
          <w:lang w:eastAsia="zh-CN"/>
        </w:rPr>
        <w:t>浮动管理费</w:t>
      </w:r>
      <w:r>
        <w:rPr>
          <w:rFonts w:hint="eastAsia" w:ascii="仿宋_GB2312" w:hAnsi="宋体" w:cs="宋体"/>
          <w:b w:val="0"/>
          <w:color w:val="auto"/>
          <w:kern w:val="0"/>
          <w:szCs w:val="24"/>
          <w:highlight w:val="yellow"/>
          <w:u w:val="none"/>
        </w:rPr>
        <w:t>，当前述资产管理产品计提</w:t>
      </w:r>
      <w:r>
        <w:rPr>
          <w:rFonts w:hint="eastAsia" w:ascii="仿宋_GB2312" w:hAnsi="宋体" w:cs="宋体"/>
          <w:b w:val="0"/>
          <w:color w:val="auto"/>
          <w:kern w:val="0"/>
          <w:szCs w:val="24"/>
          <w:highlight w:val="yellow"/>
          <w:u w:val="none"/>
          <w:lang w:eastAsia="zh-CN"/>
        </w:rPr>
        <w:t>浮动管理费</w:t>
      </w:r>
      <w:r>
        <w:rPr>
          <w:rFonts w:hint="eastAsia" w:ascii="仿宋_GB2312" w:hAnsi="宋体" w:cs="宋体"/>
          <w:b w:val="0"/>
          <w:color w:val="auto"/>
          <w:kern w:val="0"/>
          <w:szCs w:val="24"/>
          <w:highlight w:val="yellow"/>
          <w:u w:val="none"/>
        </w:rPr>
        <w:t>时，本理财产品的产品份额净值存在下跌风险。</w:t>
      </w:r>
    </w:p>
    <w:p w14:paraId="4878000A">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（十七）托管及清算风险</w:t>
      </w:r>
    </w:p>
    <w:p w14:paraId="10785B0E">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rPr>
        <w:t>本理财产品存在托管人，若因托管人操作失误或因任何原因未能按约履行托管人职责，或丧失进行托管的能力或法定资格，均可能给本理财产品带来风险。</w:t>
      </w:r>
    </w:p>
    <w:p w14:paraId="2D7B42B4">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（十八）税务风险</w:t>
      </w:r>
    </w:p>
    <w:p w14:paraId="63F10E1C">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rPr>
        <w:t>根据国家相关法律法规，理财产品运营过程中发生的应由理财产品承担的增值税应税行为，由产品管理人申报和缴纳增值税及附加税费。该等税款将直接从理财产品中扣付缴纳，本理财产品将因为前述增值税等税负承担导致税费支出增加、理财产品净值或实际收益降低，从而降低投资者的收益水平。</w:t>
      </w:r>
    </w:p>
    <w:p w14:paraId="1EB4EAB8">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eastAsia" w:ascii="仿宋_GB2312" w:hAnsi="宋体" w:cs="宋体"/>
          <w:b/>
          <w:bCs/>
          <w:color w:val="auto"/>
          <w:kern w:val="0"/>
          <w:szCs w:val="24"/>
          <w:highlight w:val="yellow"/>
          <w:u w:val="none"/>
        </w:rPr>
        <w:t>（十九）不同理财产品份额类别存在差异的风险</w:t>
      </w:r>
    </w:p>
    <w:p w14:paraId="768BF1D9">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rPr>
        <w:t>管理人有权根据投资者购买理财产品的金额、销售渠道、客户类型等因素，对投资者所持有的理财产品份额设置不同的理财产品份额类别。不同类别的理财产品份额可能在产品销售名称、产品销售代码、销售渠道、销售客群、销售服务费率、托管费率、收费方式、业绩比较基准、认购/申购起点金额及递增金额、认/申购上限金额、认/申购和赎回数量限制、持有金额上/下限、单一投资者持有份额</w:t>
      </w:r>
      <w:r>
        <w:rPr>
          <w:rFonts w:hint="default" w:ascii="仿宋_GB2312" w:hAnsi="宋体" w:cs="宋体"/>
          <w:b w:val="0"/>
          <w:color w:val="auto"/>
          <w:kern w:val="0"/>
          <w:szCs w:val="24"/>
          <w:highlight w:val="yellow"/>
          <w:u w:val="none"/>
        </w:rPr>
        <w:t>占比</w:t>
      </w:r>
      <w:r>
        <w:rPr>
          <w:rFonts w:hint="eastAsia" w:ascii="仿宋_GB2312" w:hAnsi="宋体" w:cs="宋体"/>
          <w:b w:val="0"/>
          <w:color w:val="auto"/>
          <w:kern w:val="0"/>
          <w:szCs w:val="24"/>
          <w:highlight w:val="yellow"/>
          <w:u w:val="none"/>
        </w:rPr>
        <w:t>上限、产品规模上限、产品份额净值的计算结果及信息披露等方面存在差异。</w:t>
      </w:r>
    </w:p>
    <w:p w14:paraId="27DA4100">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（二十）投资特定风险</w:t>
      </w:r>
    </w:p>
    <w:p w14:paraId="47AB2ED3">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本理财产品因拟投资市场和资产类别可能面临的特定风险如下：</w:t>
      </w:r>
    </w:p>
    <w:p w14:paraId="38AD2E27">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1.投资于固定收益类资产</w:t>
      </w:r>
      <w:r>
        <w:rPr>
          <w:rFonts w:hint="eastAsia" w:ascii="仿宋_GB2312" w:hAnsi="宋体" w:cs="宋体"/>
          <w:b w:val="0"/>
          <w:color w:val="auto"/>
          <w:kern w:val="0"/>
          <w:szCs w:val="24"/>
          <w:highlight w:val="yellow"/>
          <w:u w:val="none"/>
          <w:lang w:eastAsia="zh-CN"/>
        </w:rPr>
        <w:t>（如有）</w:t>
      </w:r>
      <w:r>
        <w:rPr>
          <w:rFonts w:hint="default" w:ascii="仿宋_GB2312" w:hAnsi="宋体" w:cs="宋体"/>
          <w:b w:val="0"/>
          <w:color w:val="auto"/>
          <w:kern w:val="0"/>
          <w:szCs w:val="24"/>
          <w:highlight w:val="yellow"/>
          <w:u w:val="none"/>
        </w:rPr>
        <w:t>的可能风险：</w:t>
      </w:r>
    </w:p>
    <w:p w14:paraId="36B6CCEF">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1）国家政策、经济周期、利率、汇率等因素可能发生的变化导致的市场风险。（2）债券发行人、担保人的经营状况、信用质量降低等可能发生的变化导致的信用风险。（3）债券发行人、担保人信用等级降低导致债券价格下降，可能影响投资者收益，甚至使产品本金遭受损失。（4）非公开定向债务融资工具的流通和转让限制导致的流动性风险。（5）债券市场出现整体下跌，导致债券市场的系统性风险等。（6）可转/交换债券投资风险（如有）：可转/交换债券收益与对应标的股票股价直接挂钩，债券价格可能受之影响；转股期内，对应标的股票价格可能低于转股价格，若选择转股，产品将承受标的股票价格低于转股价格之间的价差；转股价格向下修正条款触发时，存在发行方不同意修正转股价格的风险；赎回条款可能导致债券提前兑付或转股期缩短而影响投资收益的风险；存在因政策限制导致无法转股的风险，可转/交换债券投资受到包括但不限于上述因素影响时，可能影响投资者收益，甚至使产品本金遭受损失。（7）永续债投资风险（如有）：永续债发行人可能延期支付利息，且永续债无到期日，可能因流动性差无法变现、无法收回本金，使产品出现流动性风险；永续债附加的回售或赎回权，可能会导致管理人以不利价格出售永续债，从而影响投资者收益。</w:t>
      </w:r>
    </w:p>
    <w:p w14:paraId="1673220F">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2.投资于股票等权益类资产（如有）的可能风险：</w:t>
      </w:r>
    </w:p>
    <w:p w14:paraId="67E295BB">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国家货币、财政、产业等政策变化对证券市场产生一定的影响，导致市场价格水平波动的风险；宏观经济运行周期性波动，对股票市场的收益水平产生影响的风险；上市公司的经营状况受多种因素影响，如市场、技术、竞争、管理、财务等都可能导致公司盈利发生变化，从而导致股票价格下跌，影响投资者收益，甚至使产品本金遭受损失；股票遭流通和转让限制导致的流动性风险；投资于不同板块、不同市场股票，如投资科创板、创业板、港股通股票等，可能面临因投资标的、市场制度、交易规则、监管法规等差异造成的风险等。</w:t>
      </w:r>
    </w:p>
    <w:p w14:paraId="2E893C2F">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优先股具有固定收益证券的特征，但优先股发行方无到期归还本金的义务，可能发生发行人经营状况恶化、无法足额支付股息的风险，从而影响产品和投资者收益；优先股属于权益类资产，价格受国家各类政策、宏观经济、行业发展等多种因素影响，可能发生波动从而影响产品收益，甚至使产品本金遭受损失。</w:t>
      </w:r>
    </w:p>
    <w:p w14:paraId="45522046">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3.投资于商品及金融衍生品类资产（如有）的可能风险：</w:t>
      </w:r>
    </w:p>
    <w:p w14:paraId="47DE8D96">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基础产品价格波动造成衍生品价格波动，高杠杆和跨期交易可能加剧衍生品价格波动的市场风险；衍生品发行方或交易对手方违约或不履行合约的导致的信用风险；缺乏交易对手导致无法平仓/变现、流动资金不足或无法追加保证金导致被迫平仓造成亏损的风险；因内部程序、人员、系统操作不当或因外部事件导致损失的操作风险；部分衍生品操作相关法律法规的滞后，交易合约在法律范围内无效而无法履约或交易合约订立不当产生的法律风险。由于期货与现货间的价差的波动，影响套期保值或套利效果，使之发生意外损益的基差风险。</w:t>
      </w:r>
    </w:p>
    <w:p w14:paraId="414BF3BC">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（二十一）其他风险</w:t>
      </w:r>
    </w:p>
    <w:p w14:paraId="75A9E70E">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自然灾害、疫情、战争、金融危机等不能预见、不能避免、不能克服的不可抗力因素的出现，或系统故障、通讯故障、投资市场停止交易等意外事件的发生，可能对本理财产品的受理、成立、投资运作、资金返还、信息披露等造成影响，甚至可能导致本理财产品本金和收益的降低或损失，以及本金和收益延迟支付。对于由不可抗力及意外事件风险导致的任何损失和延迟支付，须投资者承担。</w:t>
      </w:r>
    </w:p>
    <w:p w14:paraId="1FB138F5">
      <w:pPr>
        <w:widowControl/>
        <w:tabs>
          <w:tab w:val="left" w:pos="709"/>
        </w:tabs>
        <w:adjustRightInd w:val="0"/>
        <w:snapToGrid w:val="0"/>
        <w:spacing w:line="360" w:lineRule="auto"/>
        <w:ind w:firstLine="420" w:firstLineChars="200"/>
        <w:rPr>
          <w:rFonts w:hint="eastAsia" w:ascii="仿宋_GB2312" w:hAnsi="宋体" w:cs="宋体"/>
          <w:b w:val="0"/>
          <w:bCs w:val="0"/>
          <w:color w:val="auto"/>
          <w:kern w:val="0"/>
          <w:sz w:val="24"/>
          <w:szCs w:val="24"/>
          <w:highlight w:val="yellow"/>
          <w:u w:val="none"/>
          <w:lang w:eastAsia="zh-CN"/>
        </w:rPr>
      </w:pPr>
      <w:r>
        <w:rPr>
          <w:rFonts w:hint="default" w:ascii="仿宋_GB2312" w:hAnsi="宋体" w:cs="宋体"/>
          <w:b w:val="0"/>
          <w:color w:val="auto"/>
          <w:kern w:val="0"/>
          <w:szCs w:val="24"/>
          <w:highlight w:val="yellow"/>
          <w:u w:val="none"/>
        </w:rPr>
        <w:t>以上所揭示事项仅为列举性质，未能尽述列明投资者投资本理财产品所面临的全部风险和可能导致投资者资产损失的所有因素。投资者应充分认识投资风险，谨慎投资</w:t>
      </w:r>
      <w:r>
        <w:rPr>
          <w:rFonts w:hint="default" w:ascii="仿宋_GB2312" w:hAnsi="宋体" w:eastAsia="仿宋_GB2312" w:cs="宋体"/>
          <w:b w:val="0"/>
          <w:bCs w:val="0"/>
          <w:color w:val="auto"/>
          <w:kern w:val="0"/>
          <w:sz w:val="24"/>
          <w:szCs w:val="24"/>
          <w:highlight w:val="yellow"/>
          <w:u w:val="none"/>
        </w:rPr>
        <w:t>。</w:t>
      </w:r>
      <w:r>
        <w:rPr>
          <w:rFonts w:hint="eastAsia" w:ascii="仿宋_GB2312" w:hAnsi="宋体" w:cs="宋体"/>
          <w:b w:val="0"/>
          <w:bCs w:val="0"/>
          <w:color w:val="auto"/>
          <w:kern w:val="0"/>
          <w:sz w:val="24"/>
          <w:szCs w:val="24"/>
          <w:highlight w:val="yellow"/>
          <w:u w:val="none"/>
          <w:lang w:eastAsia="zh-CN"/>
        </w:rPr>
        <w:t>】</w:t>
      </w:r>
    </w:p>
    <w:p w14:paraId="08103D7D">
      <w:pPr>
        <w:widowControl/>
        <w:tabs>
          <w:tab w:val="left" w:pos="709"/>
        </w:tabs>
        <w:adjustRightInd w:val="0"/>
        <w:snapToGrid w:val="0"/>
        <w:spacing w:line="360" w:lineRule="auto"/>
        <w:ind w:firstLine="480" w:firstLineChars="200"/>
        <w:rPr>
          <w:rFonts w:hint="eastAsia" w:ascii="仿宋_GB2312" w:hAnsi="宋体" w:cs="宋体"/>
          <w:b w:val="0"/>
          <w:bCs w:val="0"/>
          <w:color w:val="auto"/>
          <w:kern w:val="0"/>
          <w:sz w:val="24"/>
          <w:szCs w:val="24"/>
          <w:highlight w:val="yellow"/>
          <w:u w:val="none"/>
          <w:lang w:eastAsia="zh-CN"/>
        </w:rPr>
      </w:pPr>
    </w:p>
    <w:p w14:paraId="3FFB5FBA">
      <w:pPr>
        <w:pStyle w:val="2"/>
        <w:numPr>
          <w:ilvl w:val="0"/>
          <w:numId w:val="14"/>
        </w:numPr>
        <w:rPr>
          <w:color w:val="auto"/>
        </w:rPr>
      </w:pPr>
      <w:r>
        <w:rPr>
          <w:rFonts w:hint="eastAsia"/>
          <w:color w:val="auto"/>
        </w:rPr>
        <w:t>特别提示</w:t>
      </w:r>
    </w:p>
    <w:p w14:paraId="1D27C600">
      <w:pPr>
        <w:widowControl/>
        <w:tabs>
          <w:tab w:val="left" w:pos="709"/>
        </w:tabs>
        <w:snapToGrid w:val="0"/>
        <w:spacing w:line="360" w:lineRule="auto"/>
        <w:ind w:firstLine="422" w:firstLineChars="200"/>
        <w:rPr>
          <w:rFonts w:ascii="仿宋_GB2312" w:hAnsi="宋体" w:cs="宋体"/>
          <w:b/>
          <w:bCs/>
          <w:color w:val="auto"/>
          <w:kern w:val="0"/>
          <w:szCs w:val="24"/>
        </w:rPr>
      </w:pPr>
      <w:r>
        <w:rPr>
          <w:rFonts w:hint="eastAsia" w:ascii="仿宋_GB2312" w:hAnsi="宋体" w:cs="宋体"/>
          <w:b/>
          <w:bCs/>
          <w:color w:val="auto"/>
          <w:kern w:val="0"/>
          <w:szCs w:val="24"/>
        </w:rPr>
        <w:t>若本理财产品所投资资产到期不能全部偿付导致资产减值甚至本金大幅损失，则浙银理财将以产品管理人名义，代表投资者利益行使诉讼权利或者实施其他法律行为。</w:t>
      </w:r>
    </w:p>
    <w:p w14:paraId="5E0E7AF9">
      <w:pPr>
        <w:widowControl/>
        <w:tabs>
          <w:tab w:val="left" w:pos="709"/>
        </w:tabs>
        <w:snapToGrid w:val="0"/>
        <w:spacing w:line="360" w:lineRule="auto"/>
        <w:ind w:firstLine="422" w:firstLineChars="200"/>
        <w:rPr>
          <w:rFonts w:ascii="仿宋_GB2312" w:hAnsi="宋体" w:cs="宋体"/>
          <w:b/>
          <w:bCs/>
          <w:color w:val="auto"/>
          <w:kern w:val="0"/>
          <w:szCs w:val="24"/>
        </w:rPr>
      </w:pPr>
      <w:r>
        <w:rPr>
          <w:rFonts w:hint="eastAsia" w:ascii="仿宋_GB2312" w:hAnsi="宋体" w:cs="宋体"/>
          <w:b/>
          <w:bCs/>
          <w:color w:val="auto"/>
          <w:kern w:val="0"/>
          <w:szCs w:val="24"/>
        </w:rPr>
        <w:t>产品管理人对投资者信息负有保密义务，不得无故向任何组织、个人提供或泄露与投资者有关的业务资料及信息。产品管理人向确有知悉必要的雇员提供投资者信息，或按照有关法律、法规、监管要求向司法机关、行政机关等有关政府部门、投资合作机构及第三方专业机构提供的，不视为对保密义务的违反。</w:t>
      </w:r>
    </w:p>
    <w:p w14:paraId="16F7799B">
      <w:pPr>
        <w:widowControl/>
        <w:tabs>
          <w:tab w:val="left" w:pos="709"/>
        </w:tabs>
        <w:snapToGrid w:val="0"/>
        <w:spacing w:line="360" w:lineRule="auto"/>
        <w:ind w:firstLine="422" w:firstLineChars="200"/>
        <w:rPr>
          <w:rFonts w:ascii="仿宋_GB2312" w:hAnsi="宋体" w:cs="宋体"/>
          <w:b/>
          <w:bCs/>
          <w:color w:val="auto"/>
          <w:kern w:val="0"/>
          <w:szCs w:val="24"/>
        </w:rPr>
      </w:pPr>
      <w:r>
        <w:rPr>
          <w:rFonts w:hint="eastAsia" w:ascii="仿宋_GB2312" w:hAnsi="宋体" w:cs="宋体"/>
          <w:b/>
          <w:bCs/>
          <w:color w:val="auto"/>
          <w:kern w:val="0"/>
          <w:szCs w:val="24"/>
        </w:rPr>
        <w:t>产品管理人根据适用的法律法规和监管机构要求，向监管机构和/或其他有权机关（包括但不限于理财登记中心数据交换平台）报送投资者身份信息及投资者持有本产品份额及其变动情况等相关信息。产品管理人对向监管机构和/或监管机构指定机构报送的相关信息负有保密义务,并在报送信息过程中,采取有效措施确保信息安全与保密。</w:t>
      </w:r>
    </w:p>
    <w:p w14:paraId="522AA07A">
      <w:pPr>
        <w:widowControl/>
        <w:tabs>
          <w:tab w:val="left" w:pos="709"/>
        </w:tabs>
        <w:snapToGrid w:val="0"/>
        <w:spacing w:line="360" w:lineRule="auto"/>
        <w:ind w:firstLine="420" w:firstLineChars="200"/>
        <w:rPr>
          <w:rFonts w:ascii="仿宋_GB2312" w:hAnsi="宋体" w:cs="宋体"/>
          <w:b/>
          <w:bCs/>
          <w:color w:val="auto"/>
          <w:kern w:val="0"/>
          <w:szCs w:val="24"/>
        </w:rPr>
      </w:pPr>
      <w:r>
        <w:rPr>
          <w:rFonts w:hint="eastAsia"/>
          <w:color w:val="auto"/>
        </w:rPr>
        <w:t>本产品的转让将依照理财产品销售文件及销售机构的业务政策执行。</w:t>
      </w:r>
    </w:p>
    <w:p w14:paraId="4819AB76">
      <w:pPr>
        <w:tabs>
          <w:tab w:val="left" w:pos="709"/>
        </w:tabs>
        <w:snapToGrid w:val="0"/>
        <w:spacing w:line="360" w:lineRule="auto"/>
        <w:ind w:firstLine="420" w:firstLineChars="200"/>
        <w:rPr>
          <w:color w:val="auto"/>
          <w:highlight w:val="none"/>
          <w:u w:val="none"/>
        </w:rPr>
      </w:pPr>
      <w:r>
        <w:rPr>
          <w:rFonts w:hint="eastAsia" w:ascii="仿宋_GB2312" w:hAnsi="宋体" w:cs="宋体"/>
          <w:bCs/>
          <w:color w:val="auto"/>
          <w:kern w:val="0"/>
          <w:szCs w:val="24"/>
          <w:highlight w:val="none"/>
          <w:u w:val="none"/>
        </w:rPr>
        <w:t>投资者对本理财产品有任何意见或异议，</w:t>
      </w:r>
      <w:r>
        <w:rPr>
          <w:rFonts w:hint="eastAsia" w:ascii="仿宋_GB2312" w:cs="宋体" w:hAnsiTheme="minorEastAsia"/>
          <w:bCs/>
          <w:color w:val="auto"/>
          <w:kern w:val="0"/>
          <w:szCs w:val="32"/>
          <w:highlight w:val="none"/>
          <w:u w:val="none"/>
        </w:rPr>
        <w:t>敬请联系您的销售服务机构，具体联系方式以《产品说明书》等销售文件的披露为准;或反馈至浙银理财，浙银理财服务电话：0571-57192881。</w:t>
      </w:r>
    </w:p>
    <w:p w14:paraId="612DA24F">
      <w:pPr>
        <w:tabs>
          <w:tab w:val="left" w:pos="709"/>
        </w:tabs>
        <w:snapToGrid w:val="0"/>
        <w:spacing w:line="360" w:lineRule="auto"/>
        <w:ind w:firstLine="420" w:firstLineChars="200"/>
        <w:rPr>
          <w:rFonts w:hint="eastAsia" w:ascii="仿宋_GB2312" w:cs="宋体" w:hAnsiTheme="minorEastAsia"/>
          <w:bCs/>
          <w:color w:val="auto"/>
          <w:kern w:val="0"/>
          <w:szCs w:val="32"/>
        </w:rPr>
      </w:pPr>
    </w:p>
    <w:p w14:paraId="2EF2C82D">
      <w:pPr>
        <w:tabs>
          <w:tab w:val="left" w:pos="709"/>
        </w:tabs>
        <w:snapToGrid w:val="0"/>
        <w:spacing w:line="360" w:lineRule="auto"/>
        <w:ind w:firstLine="420" w:firstLineChars="200"/>
        <w:rPr>
          <w:rFonts w:hint="eastAsia" w:ascii="仿宋_GB2312" w:cs="宋体" w:hAnsiTheme="minorEastAsia"/>
          <w:bCs/>
          <w:color w:val="auto"/>
          <w:kern w:val="0"/>
          <w:szCs w:val="32"/>
        </w:rPr>
      </w:pPr>
    </w:p>
    <w:p w14:paraId="3D1E5B1B">
      <w:pPr>
        <w:tabs>
          <w:tab w:val="left" w:pos="709"/>
        </w:tabs>
        <w:snapToGrid w:val="0"/>
        <w:spacing w:line="360" w:lineRule="auto"/>
        <w:ind w:firstLine="420" w:firstLineChars="200"/>
        <w:rPr>
          <w:rFonts w:hint="eastAsia" w:ascii="仿宋_GB2312" w:cs="宋体" w:hAnsiTheme="minorEastAsia"/>
          <w:bCs/>
          <w:color w:val="auto"/>
          <w:kern w:val="0"/>
          <w:szCs w:val="32"/>
        </w:rPr>
      </w:pPr>
    </w:p>
    <w:p w14:paraId="15EAC3D5">
      <w:pPr>
        <w:tabs>
          <w:tab w:val="left" w:pos="709"/>
        </w:tabs>
        <w:snapToGrid w:val="0"/>
        <w:spacing w:line="360" w:lineRule="auto"/>
        <w:ind w:firstLine="420" w:firstLineChars="200"/>
        <w:rPr>
          <w:rFonts w:hint="eastAsia" w:ascii="仿宋_GB2312" w:cs="宋体" w:hAnsiTheme="minorEastAsia"/>
          <w:bCs/>
          <w:color w:val="auto"/>
          <w:kern w:val="0"/>
          <w:szCs w:val="32"/>
        </w:rPr>
      </w:pPr>
    </w:p>
    <w:p w14:paraId="63C2A30F">
      <w:pPr>
        <w:tabs>
          <w:tab w:val="left" w:pos="709"/>
        </w:tabs>
        <w:snapToGrid w:val="0"/>
        <w:spacing w:line="360" w:lineRule="auto"/>
        <w:ind w:firstLine="420" w:firstLineChars="200"/>
        <w:rPr>
          <w:rFonts w:hint="eastAsia" w:ascii="仿宋_GB2312" w:cs="宋体" w:hAnsiTheme="minorEastAsia"/>
          <w:bCs/>
          <w:color w:val="auto"/>
          <w:kern w:val="0"/>
          <w:szCs w:val="32"/>
        </w:rPr>
      </w:pPr>
    </w:p>
    <w:p w14:paraId="3473E6B8">
      <w:pPr>
        <w:tabs>
          <w:tab w:val="left" w:pos="709"/>
        </w:tabs>
        <w:snapToGrid w:val="0"/>
        <w:spacing w:line="360" w:lineRule="auto"/>
        <w:ind w:firstLine="420" w:firstLineChars="200"/>
        <w:rPr>
          <w:rFonts w:hint="eastAsia" w:ascii="仿宋_GB2312" w:cs="宋体" w:hAnsiTheme="minorEastAsia"/>
          <w:bCs/>
          <w:color w:val="auto"/>
          <w:kern w:val="0"/>
          <w:szCs w:val="32"/>
        </w:rPr>
      </w:pPr>
    </w:p>
    <w:p w14:paraId="53C465D9">
      <w:pPr>
        <w:tabs>
          <w:tab w:val="left" w:pos="709"/>
        </w:tabs>
        <w:snapToGrid w:val="0"/>
        <w:spacing w:line="360" w:lineRule="auto"/>
        <w:ind w:firstLine="420" w:firstLineChars="200"/>
        <w:rPr>
          <w:rFonts w:hint="eastAsia" w:ascii="仿宋_GB2312" w:cs="宋体" w:hAnsiTheme="minorEastAsia"/>
          <w:bCs/>
          <w:color w:val="auto"/>
          <w:kern w:val="0"/>
          <w:szCs w:val="32"/>
        </w:rPr>
      </w:pPr>
    </w:p>
    <w:p w14:paraId="2362E54C">
      <w:pPr>
        <w:tabs>
          <w:tab w:val="left" w:pos="709"/>
        </w:tabs>
        <w:snapToGrid w:val="0"/>
        <w:spacing w:line="360" w:lineRule="auto"/>
        <w:ind w:firstLine="420" w:firstLineChars="200"/>
        <w:rPr>
          <w:rFonts w:hint="eastAsia" w:ascii="仿宋_GB2312" w:cs="宋体" w:hAnsiTheme="minorEastAsia"/>
          <w:bCs/>
          <w:color w:val="auto"/>
          <w:kern w:val="0"/>
          <w:szCs w:val="32"/>
        </w:rPr>
      </w:pPr>
    </w:p>
    <w:p w14:paraId="53149F8C">
      <w:pPr>
        <w:tabs>
          <w:tab w:val="left" w:pos="709"/>
        </w:tabs>
        <w:snapToGrid w:val="0"/>
        <w:spacing w:line="360" w:lineRule="auto"/>
        <w:ind w:firstLine="420" w:firstLineChars="200"/>
        <w:rPr>
          <w:rFonts w:hint="eastAsia" w:ascii="仿宋_GB2312" w:cs="宋体" w:hAnsiTheme="minorEastAsia"/>
          <w:bCs/>
          <w:color w:val="auto"/>
          <w:kern w:val="0"/>
          <w:szCs w:val="32"/>
        </w:rPr>
      </w:pPr>
    </w:p>
    <w:p w14:paraId="2B208B81">
      <w:pPr>
        <w:tabs>
          <w:tab w:val="left" w:pos="709"/>
        </w:tabs>
        <w:snapToGrid w:val="0"/>
        <w:spacing w:line="360" w:lineRule="auto"/>
        <w:ind w:firstLine="420" w:firstLineChars="200"/>
        <w:rPr>
          <w:rFonts w:hint="eastAsia" w:ascii="仿宋_GB2312" w:cs="宋体" w:hAnsiTheme="minorEastAsia"/>
          <w:bCs/>
          <w:color w:val="auto"/>
          <w:kern w:val="0"/>
          <w:szCs w:val="32"/>
        </w:rPr>
      </w:pPr>
    </w:p>
    <w:p w14:paraId="18B4AA99">
      <w:pPr>
        <w:tabs>
          <w:tab w:val="left" w:pos="709"/>
        </w:tabs>
        <w:snapToGrid w:val="0"/>
        <w:spacing w:line="360" w:lineRule="auto"/>
        <w:ind w:firstLine="420" w:firstLineChars="200"/>
        <w:rPr>
          <w:rFonts w:hint="eastAsia" w:ascii="仿宋_GB2312" w:cs="宋体" w:hAnsiTheme="minorEastAsia"/>
          <w:bCs/>
          <w:color w:val="auto"/>
          <w:kern w:val="0"/>
          <w:szCs w:val="32"/>
        </w:rPr>
      </w:pPr>
    </w:p>
    <w:p w14:paraId="6DA723CC">
      <w:pPr>
        <w:rPr>
          <w:rFonts w:hint="eastAsia" w:ascii="仿宋_GB2312" w:cs="宋体" w:hAnsiTheme="minorEastAsia"/>
          <w:bCs/>
          <w:color w:val="auto"/>
          <w:kern w:val="0"/>
          <w:szCs w:val="32"/>
        </w:rPr>
      </w:pPr>
      <w:r>
        <w:rPr>
          <w:rFonts w:hint="eastAsia" w:ascii="仿宋_GB2312" w:cs="宋体" w:hAnsiTheme="minorEastAsia"/>
          <w:bCs/>
          <w:color w:val="auto"/>
          <w:kern w:val="0"/>
          <w:szCs w:val="32"/>
        </w:rPr>
        <w:br w:type="page"/>
      </w:r>
    </w:p>
    <w:p w14:paraId="646C17EE">
      <w:pPr>
        <w:widowControl/>
        <w:tabs>
          <w:tab w:val="left" w:pos="709"/>
        </w:tabs>
        <w:snapToGrid w:val="0"/>
        <w:spacing w:line="360" w:lineRule="auto"/>
        <w:ind w:firstLine="420" w:firstLineChars="200"/>
        <w:rPr>
          <w:rFonts w:hint="eastAsia"/>
          <w:color w:val="auto"/>
          <w:highlight w:val="none"/>
          <w:u w:val="none"/>
          <w:lang w:val="en-US" w:eastAsia="zh-CN"/>
        </w:rPr>
      </w:pPr>
      <w:r>
        <w:rPr>
          <w:rFonts w:hint="eastAsia"/>
          <w:color w:val="auto"/>
          <w:highlight w:val="none"/>
          <w:u w:val="none"/>
          <w:lang w:val="en-US" w:eastAsia="zh-CN"/>
        </w:rPr>
        <w:t xml:space="preserve">（本页为签署页，无正文） </w:t>
      </w:r>
    </w:p>
    <w:p w14:paraId="208988B3">
      <w:pPr>
        <w:widowControl/>
        <w:tabs>
          <w:tab w:val="left" w:pos="709"/>
        </w:tabs>
        <w:snapToGrid w:val="0"/>
        <w:spacing w:line="360" w:lineRule="auto"/>
        <w:ind w:firstLine="420" w:firstLineChars="200"/>
        <w:rPr>
          <w:rFonts w:hint="eastAsia"/>
          <w:color w:val="auto"/>
          <w:highlight w:val="none"/>
          <w:u w:val="none"/>
          <w:lang w:val="en-US" w:eastAsia="zh-CN"/>
        </w:rPr>
      </w:pPr>
      <w:r>
        <w:rPr>
          <w:rFonts w:hint="eastAsia"/>
          <w:color w:val="auto"/>
          <w:highlight w:val="none"/>
          <w:u w:val="none"/>
          <w:lang w:val="en-US" w:eastAsia="zh-CN"/>
        </w:rPr>
        <w:t>投资者（个人客户签名） ：</w:t>
      </w:r>
    </w:p>
    <w:p w14:paraId="50CB173F">
      <w:pPr>
        <w:widowControl/>
        <w:tabs>
          <w:tab w:val="left" w:pos="709"/>
        </w:tabs>
        <w:snapToGrid w:val="0"/>
        <w:spacing w:line="360" w:lineRule="auto"/>
        <w:ind w:firstLine="420" w:firstLineChars="200"/>
        <w:rPr>
          <w:rFonts w:hint="eastAsia"/>
          <w:color w:val="auto"/>
          <w:highlight w:val="none"/>
          <w:u w:val="none"/>
          <w:lang w:val="en-US" w:eastAsia="zh-CN"/>
        </w:rPr>
      </w:pPr>
    </w:p>
    <w:p w14:paraId="12170B88">
      <w:pPr>
        <w:widowControl/>
        <w:tabs>
          <w:tab w:val="left" w:pos="709"/>
        </w:tabs>
        <w:snapToGrid w:val="0"/>
        <w:spacing w:line="360" w:lineRule="auto"/>
        <w:ind w:firstLine="420" w:firstLineChars="200"/>
        <w:rPr>
          <w:rFonts w:hint="eastAsia"/>
          <w:color w:val="auto"/>
          <w:highlight w:val="none"/>
          <w:u w:val="none"/>
        </w:rPr>
      </w:pPr>
      <w:r>
        <w:rPr>
          <w:rFonts w:hint="eastAsia"/>
          <w:color w:val="auto"/>
          <w:highlight w:val="none"/>
          <w:u w:val="none"/>
          <w:lang w:val="en-US" w:eastAsia="zh-CN"/>
        </w:rPr>
        <w:t>投资者（机构客户盖公章） ：</w:t>
      </w:r>
    </w:p>
    <w:p w14:paraId="4EFE91D5">
      <w:pPr>
        <w:widowControl/>
        <w:tabs>
          <w:tab w:val="left" w:pos="709"/>
        </w:tabs>
        <w:snapToGrid w:val="0"/>
        <w:spacing w:line="360" w:lineRule="auto"/>
        <w:ind w:firstLine="420" w:firstLineChars="200"/>
        <w:rPr>
          <w:rFonts w:hint="eastAsia"/>
          <w:color w:val="auto"/>
          <w:highlight w:val="none"/>
          <w:u w:val="none"/>
        </w:rPr>
      </w:pPr>
      <w:r>
        <w:rPr>
          <w:rFonts w:hint="eastAsia"/>
          <w:color w:val="auto"/>
          <w:highlight w:val="none"/>
          <w:u w:val="none"/>
          <w:lang w:val="en-US" w:eastAsia="zh-CN"/>
        </w:rPr>
        <w:t xml:space="preserve">法定代表人或授权代理人（签名或盖个人名章）： </w:t>
      </w:r>
    </w:p>
    <w:p w14:paraId="798045D1">
      <w:pPr>
        <w:widowControl/>
        <w:tabs>
          <w:tab w:val="left" w:pos="709"/>
        </w:tabs>
        <w:snapToGrid w:val="0"/>
        <w:spacing w:line="360" w:lineRule="auto"/>
        <w:ind w:firstLine="420" w:firstLineChars="200"/>
        <w:rPr>
          <w:rFonts w:hint="eastAsia"/>
          <w:color w:val="auto"/>
          <w:highlight w:val="none"/>
          <w:u w:val="none"/>
          <w:lang w:val="en-US" w:eastAsia="zh-CN"/>
        </w:rPr>
      </w:pPr>
    </w:p>
    <w:p w14:paraId="06FC96AF">
      <w:pPr>
        <w:widowControl/>
        <w:tabs>
          <w:tab w:val="left" w:pos="709"/>
        </w:tabs>
        <w:snapToGrid w:val="0"/>
        <w:spacing w:line="360" w:lineRule="auto"/>
        <w:ind w:firstLine="420" w:firstLineChars="200"/>
        <w:rPr>
          <w:rFonts w:hint="eastAsia"/>
          <w:color w:val="auto"/>
          <w:highlight w:val="none"/>
          <w:u w:val="none"/>
        </w:rPr>
      </w:pPr>
      <w:r>
        <w:rPr>
          <w:rFonts w:hint="eastAsia"/>
          <w:color w:val="auto"/>
          <w:highlight w:val="none"/>
          <w:u w:val="none"/>
          <w:lang w:val="en-US" w:eastAsia="zh-CN"/>
        </w:rPr>
        <w:t>签约日期:_______年______月______日</w:t>
      </w:r>
    </w:p>
    <w:p w14:paraId="15FECFD4">
      <w:pPr>
        <w:tabs>
          <w:tab w:val="left" w:pos="709"/>
        </w:tabs>
        <w:snapToGrid w:val="0"/>
        <w:spacing w:line="360" w:lineRule="auto"/>
        <w:ind w:firstLine="420" w:firstLineChars="200"/>
        <w:rPr>
          <w:rFonts w:hint="eastAsia" w:ascii="仿宋_GB2312" w:cs="宋体" w:hAnsiTheme="minorEastAsia"/>
          <w:bCs/>
          <w:color w:val="auto"/>
          <w:kern w:val="0"/>
          <w:szCs w:val="32"/>
        </w:rPr>
      </w:pPr>
    </w:p>
    <w:p w14:paraId="5DA1EC2E">
      <w:pPr>
        <w:tabs>
          <w:tab w:val="left" w:pos="709"/>
        </w:tabs>
        <w:snapToGrid w:val="0"/>
        <w:spacing w:line="360" w:lineRule="auto"/>
        <w:ind w:firstLine="420" w:firstLineChars="200"/>
        <w:rPr>
          <w:rFonts w:hint="eastAsia" w:ascii="仿宋_GB2312" w:cs="宋体" w:hAnsiTheme="minorEastAsia"/>
          <w:bCs/>
          <w:color w:val="auto"/>
          <w:kern w:val="0"/>
          <w:szCs w:val="32"/>
        </w:rPr>
      </w:pPr>
    </w:p>
    <w:p w14:paraId="42B6D1AB">
      <w:pPr>
        <w:widowControl/>
        <w:tabs>
          <w:tab w:val="left" w:pos="709"/>
        </w:tabs>
        <w:snapToGrid w:val="0"/>
        <w:spacing w:line="360" w:lineRule="auto"/>
        <w:ind w:firstLine="420" w:firstLineChars="200"/>
        <w:rPr>
          <w:rFonts w:ascii="仿宋_GB2312" w:hAnsi="宋体" w:cs="宋体"/>
          <w:bCs/>
          <w:color w:val="auto"/>
          <w:kern w:val="0"/>
          <w:szCs w:val="24"/>
        </w:rPr>
      </w:pPr>
    </w:p>
    <w:p w14:paraId="02772669">
      <w:pPr>
        <w:widowControl/>
        <w:jc w:val="left"/>
        <w:rPr>
          <w:color w:val="auto"/>
          <w:szCs w:val="24"/>
        </w:rPr>
      </w:pPr>
    </w:p>
    <w:p w14:paraId="534876EF">
      <w:pPr>
        <w:rPr>
          <w:rFonts w:hint="eastAsia"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br w:type="page"/>
      </w:r>
    </w:p>
    <w:p w14:paraId="3B22E02C">
      <w:pPr>
        <w:jc w:val="left"/>
        <w:rPr>
          <w:rFonts w:hint="eastAsia" w:ascii="黑体" w:hAnsi="黑体" w:eastAsia="黑体" w:cs="黑体"/>
          <w:i w:val="0"/>
          <w:iCs w:val="0"/>
          <w:caps w:val="0"/>
          <w:color w:val="auto"/>
          <w:spacing w:val="0"/>
          <w:sz w:val="32"/>
          <w:szCs w:val="32"/>
          <w:shd w:val="clear" w:fill="FFFFFF"/>
          <w:lang w:val="en-US" w:eastAsia="zh-CN"/>
        </w:rPr>
      </w:pPr>
      <w:r>
        <w:rPr>
          <w:rFonts w:hint="eastAsia" w:ascii="黑体" w:hAnsi="黑体" w:eastAsia="黑体" w:cs="黑体"/>
          <w:i w:val="0"/>
          <w:iCs w:val="0"/>
          <w:caps w:val="0"/>
          <w:color w:val="auto"/>
          <w:spacing w:val="0"/>
          <w:sz w:val="32"/>
          <w:szCs w:val="32"/>
          <w:shd w:val="clear" w:fill="FFFFFF"/>
          <w:lang w:val="en-US" w:eastAsia="zh-CN"/>
        </w:rPr>
        <w:t>附件11：</w:t>
      </w:r>
    </w:p>
    <w:p w14:paraId="2C7E4B60">
      <w:pPr>
        <w:widowControl/>
        <w:snapToGrid w:val="0"/>
        <w:jc w:val="center"/>
        <w:rPr>
          <w:rFonts w:hint="eastAsia" w:ascii="方正小标宋简体" w:hAnsi="宋体" w:eastAsia="方正小标宋简体" w:cs="宋体"/>
          <w:bCs/>
          <w:color w:val="auto"/>
          <w:kern w:val="0"/>
          <w:sz w:val="36"/>
          <w:szCs w:val="36"/>
          <w:highlight w:val="none"/>
          <w:u w:val="none"/>
        </w:rPr>
      </w:pPr>
      <w:r>
        <w:rPr>
          <w:rFonts w:hint="eastAsia" w:ascii="方正小标宋简体" w:hAnsi="宋体" w:eastAsia="方正小标宋简体" w:cs="宋体"/>
          <w:bCs/>
          <w:color w:val="auto"/>
          <w:kern w:val="0"/>
          <w:sz w:val="36"/>
          <w:szCs w:val="36"/>
          <w:highlight w:val="none"/>
          <w:u w:val="none"/>
        </w:rPr>
        <w:t>浙银理财</w:t>
      </w:r>
      <w:r>
        <w:rPr>
          <w:rFonts w:hint="eastAsia" w:ascii="宋体" w:hAnsi="宋体" w:eastAsia="宋体" w:cs="宋体"/>
          <w:b/>
          <w:bCs/>
          <w:color w:val="auto"/>
          <w:kern w:val="0"/>
          <w:sz w:val="28"/>
          <w:szCs w:val="28"/>
          <w:highlight w:val="yellow"/>
          <w:u w:val="none"/>
          <w:lang w:val="en-US" w:eastAsia="zh-CN" w:bidi="ar"/>
        </w:rPr>
        <w:t>【】</w:t>
      </w:r>
      <w:r>
        <w:rPr>
          <w:rFonts w:hint="eastAsia" w:ascii="方正小标宋简体" w:hAnsi="宋体" w:eastAsia="方正小标宋简体" w:cs="宋体"/>
          <w:bCs/>
          <w:color w:val="auto"/>
          <w:kern w:val="0"/>
          <w:sz w:val="36"/>
          <w:szCs w:val="36"/>
          <w:highlight w:val="none"/>
          <w:u w:val="none"/>
        </w:rPr>
        <w:t>理财产品说明书</w:t>
      </w:r>
    </w:p>
    <w:p w14:paraId="25A7A327">
      <w:pPr>
        <w:keepNext w:val="0"/>
        <w:keepLines w:val="0"/>
        <w:widowControl/>
        <w:suppressLineNumbers w:val="0"/>
        <w:jc w:val="center"/>
        <w:rPr>
          <w:color w:val="auto"/>
          <w:highlight w:val="none"/>
          <w:u w:val="none"/>
        </w:rPr>
      </w:pPr>
      <w:r>
        <w:rPr>
          <w:rFonts w:hint="eastAsia" w:ascii="宋体" w:hAnsi="宋体" w:eastAsia="宋体" w:cs="宋体"/>
          <w:b/>
          <w:bCs/>
          <w:color w:val="auto"/>
          <w:kern w:val="0"/>
          <w:sz w:val="28"/>
          <w:szCs w:val="28"/>
          <w:highlight w:val="none"/>
          <w:u w:val="none"/>
          <w:lang w:val="en-US" w:eastAsia="zh-CN" w:bidi="ar"/>
        </w:rPr>
        <w:t>（</w:t>
      </w:r>
      <w:r>
        <w:rPr>
          <w:rFonts w:ascii="宋体" w:hAnsi="宋体" w:eastAsia="宋体" w:cs="宋体"/>
          <w:b/>
          <w:bCs/>
          <w:color w:val="auto"/>
          <w:kern w:val="0"/>
          <w:sz w:val="28"/>
          <w:szCs w:val="28"/>
          <w:highlight w:val="none"/>
          <w:u w:val="none"/>
          <w:lang w:val="en-US" w:eastAsia="zh-CN" w:bidi="ar"/>
        </w:rPr>
        <w:t>全国银行业理财信息登记系统产品登记编码：</w:t>
      </w:r>
      <w:r>
        <w:rPr>
          <w:rFonts w:hint="eastAsia" w:ascii="宋体" w:hAnsi="宋体" w:eastAsia="宋体" w:cs="宋体"/>
          <w:b/>
          <w:bCs/>
          <w:color w:val="auto"/>
          <w:kern w:val="0"/>
          <w:sz w:val="28"/>
          <w:szCs w:val="28"/>
          <w:highlight w:val="yellow"/>
          <w:u w:val="none"/>
          <w:lang w:val="en-US" w:eastAsia="zh-CN" w:bidi="ar"/>
        </w:rPr>
        <w:t>【】</w:t>
      </w:r>
      <w:r>
        <w:rPr>
          <w:rFonts w:hint="eastAsia" w:ascii="宋体" w:hAnsi="宋体" w:eastAsia="宋体" w:cs="宋体"/>
          <w:b/>
          <w:bCs/>
          <w:color w:val="auto"/>
          <w:kern w:val="0"/>
          <w:sz w:val="28"/>
          <w:szCs w:val="28"/>
          <w:highlight w:val="none"/>
          <w:u w:val="none"/>
          <w:lang w:val="en-US" w:eastAsia="zh-CN" w:bidi="ar"/>
        </w:rPr>
        <w:t>）</w:t>
      </w:r>
    </w:p>
    <w:p w14:paraId="76E13FB9">
      <w:pPr>
        <w:keepNext w:val="0"/>
        <w:keepLines w:val="0"/>
        <w:widowControl/>
        <w:suppressLineNumbers w:val="0"/>
        <w:jc w:val="center"/>
        <w:rPr>
          <w:color w:val="auto"/>
          <w:highlight w:val="none"/>
          <w:u w:val="none"/>
        </w:rPr>
      </w:pPr>
      <w:r>
        <w:rPr>
          <w:rFonts w:ascii="宋体" w:hAnsi="宋体" w:eastAsia="宋体" w:cs="宋体"/>
          <w:b/>
          <w:bCs/>
          <w:color w:val="auto"/>
          <w:kern w:val="0"/>
          <w:sz w:val="20"/>
          <w:szCs w:val="20"/>
          <w:highlight w:val="none"/>
          <w:u w:val="none"/>
          <w:lang w:val="en-US" w:eastAsia="zh-CN" w:bidi="ar"/>
        </w:rPr>
        <w:t xml:space="preserve">（投资者可依据该编码在中国理财网 </w:t>
      </w:r>
      <w:r>
        <w:rPr>
          <w:rFonts w:hint="default" w:ascii="Times New Roman" w:hAnsi="Times New Roman" w:eastAsia="宋体" w:cs="Times New Roman"/>
          <w:b/>
          <w:bCs/>
          <w:color w:val="auto"/>
          <w:kern w:val="0"/>
          <w:sz w:val="20"/>
          <w:szCs w:val="20"/>
          <w:highlight w:val="none"/>
          <w:u w:val="none"/>
          <w:lang w:val="en-US" w:eastAsia="zh-CN" w:bidi="ar"/>
        </w:rPr>
        <w:t xml:space="preserve">www.chinawealth.com.cn </w:t>
      </w:r>
      <w:r>
        <w:rPr>
          <w:rFonts w:ascii="宋体" w:hAnsi="宋体" w:eastAsia="宋体" w:cs="宋体"/>
          <w:b/>
          <w:bCs/>
          <w:color w:val="auto"/>
          <w:kern w:val="0"/>
          <w:sz w:val="20"/>
          <w:szCs w:val="20"/>
          <w:highlight w:val="none"/>
          <w:u w:val="none"/>
          <w:lang w:val="en-US" w:eastAsia="zh-CN" w:bidi="ar"/>
        </w:rPr>
        <w:t>查询产品信息）</w:t>
      </w:r>
    </w:p>
    <w:p w14:paraId="1DE681F9">
      <w:pPr>
        <w:widowControl/>
        <w:snapToGrid w:val="0"/>
        <w:ind w:firstLine="420" w:firstLineChars="200"/>
        <w:rPr>
          <w:rFonts w:ascii="黑体" w:hAnsi="宋体" w:eastAsia="黑体" w:cs="宋体"/>
          <w:bCs/>
          <w:color w:val="auto"/>
          <w:kern w:val="0"/>
          <w:szCs w:val="32"/>
          <w:highlight w:val="none"/>
          <w:u w:val="none"/>
        </w:rPr>
      </w:pPr>
    </w:p>
    <w:p w14:paraId="1939CD4E">
      <w:pPr>
        <w:pStyle w:val="2"/>
        <w:numPr>
          <w:ilvl w:val="0"/>
          <w:numId w:val="15"/>
        </w:numPr>
        <w:rPr>
          <w:rFonts w:hint="eastAsia"/>
          <w:color w:val="auto"/>
          <w:highlight w:val="none"/>
          <w:u w:val="none"/>
        </w:rPr>
      </w:pPr>
      <w:r>
        <w:rPr>
          <w:rFonts w:hint="eastAsia"/>
          <w:color w:val="auto"/>
          <w:highlight w:val="none"/>
          <w:u w:val="none"/>
        </w:rPr>
        <w:t>理财产品</w:t>
      </w:r>
      <w:r>
        <w:rPr>
          <w:rFonts w:hint="eastAsia"/>
          <w:color w:val="auto"/>
          <w:highlight w:val="none"/>
          <w:u w:val="none"/>
          <w:lang w:eastAsia="zh-CN"/>
        </w:rPr>
        <w:t>说明书关键要素</w:t>
      </w:r>
    </w:p>
    <w:tbl>
      <w:tblPr>
        <w:tblStyle w:val="7"/>
        <w:tblW w:w="9425" w:type="dxa"/>
        <w:tblInd w:w="-341" w:type="dxa"/>
        <w:tblLayout w:type="fixed"/>
        <w:tblCellMar>
          <w:top w:w="0" w:type="dxa"/>
          <w:left w:w="108" w:type="dxa"/>
          <w:bottom w:w="0" w:type="dxa"/>
          <w:right w:w="108" w:type="dxa"/>
        </w:tblCellMar>
      </w:tblPr>
      <w:tblGrid>
        <w:gridCol w:w="2453"/>
        <w:gridCol w:w="6972"/>
      </w:tblGrid>
      <w:tr w14:paraId="63DEF989">
        <w:tblPrEx>
          <w:tblCellMar>
            <w:top w:w="0" w:type="dxa"/>
            <w:left w:w="108" w:type="dxa"/>
            <w:bottom w:w="0" w:type="dxa"/>
            <w:right w:w="108" w:type="dxa"/>
          </w:tblCellMar>
        </w:tblPrEx>
        <w:trPr>
          <w:trHeight w:val="1394" w:hRule="atLeast"/>
        </w:trPr>
        <w:tc>
          <w:tcPr>
            <w:tcW w:w="9425" w:type="dxa"/>
            <w:gridSpan w:val="2"/>
            <w:tcBorders>
              <w:top w:val="single" w:color="000000" w:sz="8" w:space="0"/>
              <w:left w:val="single" w:color="000000" w:sz="8" w:space="0"/>
              <w:bottom w:val="single" w:color="000000" w:sz="4" w:space="0"/>
              <w:right w:val="single" w:color="000000" w:sz="8" w:space="0"/>
            </w:tcBorders>
            <w:vAlign w:val="center"/>
          </w:tcPr>
          <w:p w14:paraId="64F3CB5E">
            <w:pPr>
              <w:widowControl/>
              <w:spacing w:line="600" w:lineRule="exact"/>
              <w:jc w:val="center"/>
              <w:textAlignment w:val="center"/>
              <w:rPr>
                <w:rFonts w:hint="eastAsia" w:ascii="方正小标宋简体" w:hAnsi="方正小标宋简体" w:eastAsia="方正小标宋简体" w:cs="方正小标宋简体"/>
                <w:color w:val="000000"/>
                <w:sz w:val="40"/>
                <w:szCs w:val="40"/>
              </w:rPr>
            </w:pPr>
            <w:r>
              <w:rPr>
                <w:rFonts w:hint="eastAsia" w:ascii="方正小标宋简体" w:hAnsi="方正小标宋简体" w:eastAsia="方正小标宋简体" w:cs="方正小标宋简体"/>
                <w:color w:val="000000"/>
                <w:kern w:val="0"/>
                <w:sz w:val="40"/>
                <w:szCs w:val="40"/>
                <w:lang w:bidi="ar"/>
              </w:rPr>
              <w:t>理财产品说明书关键要素</w:t>
            </w:r>
          </w:p>
        </w:tc>
      </w:tr>
      <w:tr w14:paraId="11A7DF0A">
        <w:tblPrEx>
          <w:tblCellMar>
            <w:top w:w="0" w:type="dxa"/>
            <w:left w:w="108" w:type="dxa"/>
            <w:bottom w:w="0" w:type="dxa"/>
            <w:right w:w="108" w:type="dxa"/>
          </w:tblCellMar>
        </w:tblPrEx>
        <w:trPr>
          <w:trHeight w:val="980" w:hRule="atLeast"/>
        </w:trPr>
        <w:tc>
          <w:tcPr>
            <w:tcW w:w="9425" w:type="dxa"/>
            <w:gridSpan w:val="2"/>
            <w:tcBorders>
              <w:top w:val="single" w:color="000000" w:sz="4" w:space="0"/>
              <w:left w:val="single" w:color="000000" w:sz="8" w:space="0"/>
              <w:bottom w:val="nil"/>
              <w:right w:val="single" w:color="000000" w:sz="8" w:space="0"/>
            </w:tcBorders>
            <w:vAlign w:val="center"/>
          </w:tcPr>
          <w:p w14:paraId="162E0F74">
            <w:pPr>
              <w:widowControl/>
              <w:spacing w:line="400" w:lineRule="exact"/>
              <w:jc w:val="center"/>
              <w:textAlignment w:val="center"/>
              <w:rPr>
                <w:rFonts w:hint="eastAsia" w:ascii="仿宋_GB2312" w:hAnsi="等线" w:eastAsia="仿宋_GB2312" w:cs="仿宋_GB2312"/>
                <w:color w:val="000000"/>
                <w:sz w:val="24"/>
              </w:rPr>
            </w:pPr>
            <w:r>
              <w:rPr>
                <w:rFonts w:hint="eastAsia" w:cs="仿宋_GB2312"/>
                <w:sz w:val="22"/>
                <w:szCs w:val="22"/>
                <w:lang w:bidi="ar"/>
              </w:rPr>
              <w:t>本表格提供本理财产品的重要信息，是理财产品说明书的一部分。</w:t>
            </w:r>
            <w:r>
              <w:rPr>
                <w:rFonts w:hint="eastAsia" w:cs="仿宋_GB2312"/>
                <w:sz w:val="22"/>
                <w:szCs w:val="22"/>
                <w:lang w:bidi="ar"/>
              </w:rPr>
              <w:br w:type="textWrapping"/>
            </w:r>
            <w:r>
              <w:rPr>
                <w:rFonts w:hint="eastAsia" w:cs="仿宋_GB2312"/>
                <w:sz w:val="22"/>
                <w:szCs w:val="22"/>
                <w:lang w:bidi="ar"/>
              </w:rPr>
              <w:t>作出投资决定前，请阅读完整的理财产品说明书等销售文件。</w:t>
            </w:r>
          </w:p>
        </w:tc>
      </w:tr>
      <w:tr w14:paraId="77E6DCD2">
        <w:tblPrEx>
          <w:tblCellMar>
            <w:top w:w="0" w:type="dxa"/>
            <w:left w:w="108" w:type="dxa"/>
            <w:bottom w:w="0" w:type="dxa"/>
            <w:right w:w="108" w:type="dxa"/>
          </w:tblCellMar>
        </w:tblPrEx>
        <w:trPr>
          <w:trHeight w:val="270" w:hRule="atLeast"/>
        </w:trPr>
        <w:tc>
          <w:tcPr>
            <w:tcW w:w="9425" w:type="dxa"/>
            <w:gridSpan w:val="2"/>
            <w:tcBorders>
              <w:top w:val="single" w:color="000000" w:sz="4" w:space="0"/>
              <w:left w:val="single" w:color="000000" w:sz="8" w:space="0"/>
              <w:bottom w:val="single" w:color="auto" w:sz="4" w:space="0"/>
              <w:right w:val="single" w:color="000000" w:sz="8" w:space="0"/>
            </w:tcBorders>
            <w:vAlign w:val="center"/>
          </w:tcPr>
          <w:p w14:paraId="218809BC">
            <w:pPr>
              <w:widowControl/>
              <w:spacing w:line="400" w:lineRule="exact"/>
              <w:jc w:val="center"/>
              <w:textAlignment w:val="center"/>
              <w:rPr>
                <w:rFonts w:hint="eastAsia" w:ascii="楷体_GB2312" w:hAnsi="等线" w:eastAsia="楷体_GB2312" w:cs="楷体_GB2312"/>
                <w:b/>
                <w:bCs/>
                <w:color w:val="000000"/>
                <w:sz w:val="24"/>
              </w:rPr>
            </w:pPr>
            <w:r>
              <w:rPr>
                <w:rFonts w:hint="eastAsia" w:ascii="楷体_GB2312" w:hAnsi="等线" w:eastAsia="楷体_GB2312" w:cs="楷体_GB2312"/>
                <w:b/>
                <w:bCs/>
                <w:color w:val="000000"/>
                <w:kern w:val="0"/>
                <w:sz w:val="24"/>
                <w:lang w:bidi="ar"/>
              </w:rPr>
              <w:t>（一）理财产品基本信息</w:t>
            </w:r>
          </w:p>
        </w:tc>
      </w:tr>
      <w:tr w14:paraId="4E09548F">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20C02742">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产品登记编码</w:t>
            </w:r>
          </w:p>
        </w:tc>
        <w:tc>
          <w:tcPr>
            <w:tcW w:w="6972" w:type="dxa"/>
            <w:tcBorders>
              <w:top w:val="single" w:color="auto" w:sz="4" w:space="0"/>
              <w:left w:val="single" w:color="auto" w:sz="4" w:space="0"/>
              <w:bottom w:val="single" w:color="auto" w:sz="4" w:space="0"/>
              <w:right w:val="single" w:color="auto" w:sz="4" w:space="0"/>
            </w:tcBorders>
            <w:vAlign w:val="center"/>
          </w:tcPr>
          <w:p w14:paraId="6DC67C90">
            <w:pPr>
              <w:widowControl/>
              <w:spacing w:line="400" w:lineRule="exact"/>
              <w:jc w:val="left"/>
              <w:textAlignment w:val="center"/>
              <w:rPr>
                <w:rFonts w:hint="eastAsia" w:ascii="宋体" w:hAnsi="宋体"/>
                <w:color w:val="auto"/>
                <w:szCs w:val="24"/>
                <w:highlight w:val="yellow"/>
                <w:u w:val="none"/>
              </w:rPr>
            </w:pPr>
            <w:r>
              <w:rPr>
                <w:rFonts w:hint="eastAsia" w:ascii="宋体" w:hAnsi="宋体"/>
                <w:color w:val="auto"/>
                <w:szCs w:val="24"/>
                <w:highlight w:val="yellow"/>
                <w:u w:val="none"/>
              </w:rPr>
              <w:t>【】</w:t>
            </w:r>
          </w:p>
          <w:p w14:paraId="7B34E0C2">
            <w:pPr>
              <w:widowControl/>
              <w:spacing w:line="400" w:lineRule="exact"/>
              <w:jc w:val="left"/>
              <w:textAlignment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仿宋_GB2312" w:hAnsi="仿宋_GB2312" w:cs="仿宋_GB2312"/>
                <w:sz w:val="22"/>
                <w:szCs w:val="22"/>
                <w:lang w:bidi="ar"/>
              </w:rPr>
              <w:t>（重要提示：可依据该登记编码在中国理财网www.chinawealth.com.cn查询产品信息）</w:t>
            </w:r>
          </w:p>
        </w:tc>
      </w:tr>
      <w:tr w14:paraId="314F583D">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8329AD8">
            <w:pPr>
              <w:widowControl/>
              <w:spacing w:line="400" w:lineRule="exact"/>
              <w:jc w:val="center"/>
              <w:textAlignment w:val="center"/>
              <w:rPr>
                <w:rFonts w:hint="eastAsia" w:ascii="仿宋_GB2312" w:hAnsi="等线" w:cs="仿宋_GB2312"/>
                <w:color w:val="000000" w:themeColor="text1"/>
                <w:kern w:val="0"/>
                <w:sz w:val="24"/>
                <w:lang w:eastAsia="zh-CN" w:bidi="ar"/>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产品代码</w:t>
            </w:r>
          </w:p>
        </w:tc>
        <w:tc>
          <w:tcPr>
            <w:tcW w:w="6972" w:type="dxa"/>
            <w:tcBorders>
              <w:top w:val="single" w:color="auto" w:sz="4" w:space="0"/>
              <w:left w:val="single" w:color="auto" w:sz="4" w:space="0"/>
              <w:bottom w:val="single" w:color="auto" w:sz="4" w:space="0"/>
              <w:right w:val="single" w:color="auto" w:sz="4" w:space="0"/>
            </w:tcBorders>
            <w:vAlign w:val="center"/>
          </w:tcPr>
          <w:p w14:paraId="1603173F">
            <w:pPr>
              <w:widowControl/>
              <w:spacing w:line="400" w:lineRule="exact"/>
              <w:jc w:val="left"/>
              <w:textAlignment w:val="center"/>
              <w:rPr>
                <w:rFonts w:hint="eastAsia" w:ascii="宋体" w:hAnsi="宋体"/>
                <w:color w:val="auto"/>
                <w:szCs w:val="24"/>
                <w:highlight w:val="yellow"/>
                <w:u w:val="none"/>
              </w:rPr>
            </w:pPr>
            <w:r>
              <w:rPr>
                <w:rFonts w:hint="eastAsia" w:ascii="宋体" w:hAnsi="宋体"/>
                <w:color w:val="auto"/>
                <w:szCs w:val="24"/>
                <w:highlight w:val="yellow"/>
                <w:u w:val="none"/>
              </w:rPr>
              <w:t>【】</w:t>
            </w:r>
          </w:p>
        </w:tc>
      </w:tr>
      <w:tr w14:paraId="22792B90">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9A4924C">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理财</w:t>
            </w:r>
            <w:r>
              <w:rPr>
                <w:rFonts w:hint="eastAsia" w:ascii="仿宋_GB2312" w:hAnsi="等线" w:eastAsia="仿宋_GB2312" w:cs="仿宋_GB2312"/>
                <w:color w:val="000000" w:themeColor="text1"/>
                <w:kern w:val="0"/>
                <w:sz w:val="24"/>
                <w:lang w:bidi="ar"/>
                <w14:textFill>
                  <w14:solidFill>
                    <w14:schemeClr w14:val="tx1"/>
                  </w14:solidFill>
                </w14:textFill>
              </w:rPr>
              <w:t>产品名称</w:t>
            </w:r>
          </w:p>
        </w:tc>
        <w:tc>
          <w:tcPr>
            <w:tcW w:w="6972" w:type="dxa"/>
            <w:tcBorders>
              <w:top w:val="single" w:color="auto" w:sz="4" w:space="0"/>
              <w:left w:val="single" w:color="auto" w:sz="4" w:space="0"/>
              <w:bottom w:val="single" w:color="auto" w:sz="4" w:space="0"/>
              <w:right w:val="single" w:color="auto" w:sz="4" w:space="0"/>
            </w:tcBorders>
            <w:vAlign w:val="center"/>
          </w:tcPr>
          <w:p w14:paraId="123997B5">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olor w:val="auto"/>
                <w:szCs w:val="24"/>
                <w:highlight w:val="yellow"/>
                <w:u w:val="none"/>
              </w:rPr>
              <w:t>【】</w:t>
            </w:r>
          </w:p>
        </w:tc>
      </w:tr>
      <w:tr w14:paraId="2EC1B557">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BE29015">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份额代码</w:t>
            </w:r>
          </w:p>
        </w:tc>
        <w:tc>
          <w:tcPr>
            <w:tcW w:w="6972" w:type="dxa"/>
            <w:tcBorders>
              <w:top w:val="single" w:color="auto" w:sz="4" w:space="0"/>
              <w:left w:val="single" w:color="auto" w:sz="4" w:space="0"/>
              <w:bottom w:val="single" w:color="auto" w:sz="4" w:space="0"/>
              <w:right w:val="single" w:color="auto" w:sz="4" w:space="0"/>
            </w:tcBorders>
            <w:vAlign w:val="center"/>
          </w:tcPr>
          <w:p w14:paraId="6759EBEF">
            <w:pPr>
              <w:snapToGrid w:val="0"/>
              <w:jc w:val="left"/>
              <w:rPr>
                <w:rFonts w:hint="eastAsia" w:ascii="宋体" w:hAnsi="宋体" w:cs="宋体"/>
                <w:color w:val="auto"/>
                <w:kern w:val="0"/>
                <w:szCs w:val="24"/>
                <w:highlight w:val="none"/>
              </w:rPr>
            </w:pPr>
            <w:r>
              <w:rPr>
                <w:rFonts w:hint="eastAsia" w:ascii="宋体" w:hAnsi="宋体" w:cs="宋体"/>
                <w:color w:val="auto"/>
                <w:kern w:val="0"/>
                <w:szCs w:val="24"/>
                <w:highlight w:val="none"/>
              </w:rPr>
              <w:t>本产品根据投资者购买理财产品的金额、销售渠道、客户类型等因素设置不同的产品份额类别，各类产品份额可能分别设置不同的销售名称、</w:t>
            </w:r>
            <w:r>
              <w:rPr>
                <w:rFonts w:hint="eastAsia" w:ascii="宋体" w:hAnsi="宋体" w:cs="宋体"/>
                <w:color w:val="auto"/>
                <w:kern w:val="0"/>
                <w:szCs w:val="24"/>
                <w:highlight w:val="none"/>
                <w:lang w:eastAsia="zh-CN"/>
              </w:rPr>
              <w:t>份额</w:t>
            </w:r>
            <w:r>
              <w:rPr>
                <w:rFonts w:hint="eastAsia" w:ascii="宋体" w:hAnsi="宋体" w:cs="宋体"/>
                <w:color w:val="auto"/>
                <w:kern w:val="0"/>
                <w:szCs w:val="24"/>
                <w:highlight w:val="none"/>
              </w:rPr>
              <w:t>代码、销售渠道、销售</w:t>
            </w:r>
            <w:r>
              <w:rPr>
                <w:rFonts w:hint="eastAsia" w:ascii="宋体" w:hAnsi="宋体" w:cs="宋体"/>
                <w:color w:val="auto"/>
                <w:kern w:val="0"/>
                <w:szCs w:val="24"/>
                <w:highlight w:val="none"/>
                <w:lang w:eastAsia="zh-CN"/>
              </w:rPr>
              <w:t>对象</w:t>
            </w:r>
            <w:r>
              <w:rPr>
                <w:rFonts w:hint="eastAsia" w:ascii="宋体" w:hAnsi="宋体" w:cs="宋体"/>
                <w:color w:val="auto"/>
                <w:kern w:val="0"/>
                <w:szCs w:val="24"/>
                <w:highlight w:val="none"/>
              </w:rPr>
              <w:t>、销售服务费率、收费方式、业绩比较基准、</w:t>
            </w:r>
            <w:r>
              <w:rPr>
                <w:rFonts w:hint="eastAsia" w:ascii="宋体" w:hAnsi="宋体" w:cs="宋体"/>
                <w:color w:val="auto"/>
                <w:kern w:val="0"/>
                <w:szCs w:val="24"/>
                <w:highlight w:val="none"/>
                <w:lang w:eastAsia="zh-CN"/>
              </w:rPr>
              <w:t>起点销售</w:t>
            </w:r>
            <w:r>
              <w:rPr>
                <w:rFonts w:hint="eastAsia" w:ascii="宋体" w:hAnsi="宋体" w:cs="宋体"/>
                <w:color w:val="auto"/>
                <w:kern w:val="0"/>
                <w:szCs w:val="24"/>
                <w:highlight w:val="none"/>
              </w:rPr>
              <w:t>金额</w:t>
            </w:r>
            <w:r>
              <w:rPr>
                <w:rFonts w:hint="eastAsia" w:ascii="仿宋_GB2312" w:hAnsi="宋体" w:cs="宋体"/>
                <w:color w:val="auto"/>
                <w:kern w:val="0"/>
                <w:szCs w:val="24"/>
                <w:highlight w:val="none"/>
              </w:rPr>
              <w:t>及</w:t>
            </w:r>
            <w:r>
              <w:rPr>
                <w:rFonts w:hint="eastAsia" w:ascii="仿宋_GB2312" w:hAnsi="宋体" w:cs="宋体"/>
                <w:color w:val="auto"/>
                <w:kern w:val="0"/>
                <w:szCs w:val="24"/>
                <w:highlight w:val="none"/>
                <w:lang w:eastAsia="zh-CN"/>
              </w:rPr>
              <w:t>追加</w:t>
            </w:r>
            <w:r>
              <w:rPr>
                <w:rFonts w:hint="eastAsia" w:ascii="仿宋_GB2312" w:hAnsi="宋体" w:cs="宋体"/>
                <w:color w:val="auto"/>
                <w:kern w:val="0"/>
                <w:szCs w:val="24"/>
                <w:highlight w:val="none"/>
              </w:rPr>
              <w:t>递增金额</w:t>
            </w:r>
            <w:r>
              <w:rPr>
                <w:rFonts w:hint="eastAsia" w:ascii="宋体" w:hAnsi="宋体" w:cs="宋体"/>
                <w:color w:val="auto"/>
                <w:kern w:val="0"/>
                <w:szCs w:val="24"/>
                <w:highlight w:val="none"/>
              </w:rPr>
              <w:t>、认</w:t>
            </w:r>
            <w:r>
              <w:rPr>
                <w:rFonts w:ascii="宋体" w:hAnsi="宋体" w:cs="宋体"/>
                <w:color w:val="auto"/>
                <w:kern w:val="0"/>
                <w:szCs w:val="24"/>
                <w:highlight w:val="none"/>
              </w:rPr>
              <w:t>/</w:t>
            </w:r>
            <w:r>
              <w:rPr>
                <w:rFonts w:hint="eastAsia" w:ascii="宋体" w:hAnsi="宋体" w:cs="宋体"/>
                <w:color w:val="auto"/>
                <w:kern w:val="0"/>
                <w:szCs w:val="24"/>
                <w:highlight w:val="none"/>
              </w:rPr>
              <w:t>申购上限</w:t>
            </w:r>
            <w:r>
              <w:rPr>
                <w:rFonts w:ascii="宋体" w:hAnsi="宋体" w:cs="宋体"/>
                <w:color w:val="auto"/>
                <w:kern w:val="0"/>
                <w:szCs w:val="24"/>
                <w:highlight w:val="none"/>
              </w:rPr>
              <w:t>金额、</w:t>
            </w:r>
            <w:r>
              <w:rPr>
                <w:rFonts w:hint="eastAsia" w:ascii="宋体" w:hAnsi="宋体" w:cs="宋体"/>
                <w:color w:val="auto"/>
                <w:kern w:val="0"/>
                <w:szCs w:val="24"/>
                <w:highlight w:val="none"/>
              </w:rPr>
              <w:t>认</w:t>
            </w:r>
            <w:r>
              <w:rPr>
                <w:rFonts w:ascii="宋体" w:hAnsi="宋体" w:cs="宋体"/>
                <w:color w:val="auto"/>
                <w:kern w:val="0"/>
                <w:szCs w:val="24"/>
                <w:highlight w:val="none"/>
              </w:rPr>
              <w:t>/</w:t>
            </w:r>
            <w:r>
              <w:rPr>
                <w:rFonts w:hint="eastAsia" w:ascii="宋体" w:hAnsi="宋体" w:cs="宋体"/>
                <w:color w:val="auto"/>
                <w:kern w:val="0"/>
                <w:szCs w:val="24"/>
                <w:highlight w:val="none"/>
              </w:rPr>
              <w:t>申购和赎回数量限制、持有金额上/下限</w:t>
            </w:r>
            <w:r>
              <w:rPr>
                <w:rFonts w:hint="eastAsia"/>
                <w:color w:val="auto"/>
                <w:highlight w:val="none"/>
              </w:rPr>
              <w:t>、单一投资者持有份额占比上限、产品规模上限</w:t>
            </w:r>
            <w:r>
              <w:rPr>
                <w:rFonts w:hint="eastAsia" w:ascii="宋体" w:hAnsi="宋体" w:cs="宋体"/>
                <w:color w:val="auto"/>
                <w:kern w:val="0"/>
                <w:szCs w:val="24"/>
                <w:highlight w:val="none"/>
              </w:rPr>
              <w:t>等要素，并分别计算和公告各类产品份额单位净值，具体以对应的理财产品销售文件约定为准。</w:t>
            </w:r>
          </w:p>
          <w:p w14:paraId="2E948F9F">
            <w:pPr>
              <w:snapToGrid w:val="0"/>
              <w:jc w:val="left"/>
              <w:rPr>
                <w:rFonts w:hint="eastAsia" w:ascii="宋体" w:hAnsi="宋体" w:cs="宋体"/>
                <w:color w:val="auto"/>
                <w:kern w:val="0"/>
                <w:szCs w:val="24"/>
                <w:highlight w:val="none"/>
              </w:rPr>
            </w:pPr>
            <w:r>
              <w:rPr>
                <w:rFonts w:hint="eastAsia" w:ascii="宋体" w:hAnsi="宋体" w:cs="宋体"/>
                <w:color w:val="auto"/>
                <w:kern w:val="0"/>
                <w:szCs w:val="24"/>
                <w:highlight w:val="none"/>
              </w:rPr>
              <w:t>投资者可根据实际情况自行选择认/申购的产品份额类别。</w:t>
            </w:r>
          </w:p>
          <w:p w14:paraId="2B638258">
            <w:pPr>
              <w:snapToGrid w:val="0"/>
              <w:jc w:val="left"/>
              <w:rPr>
                <w:rFonts w:hint="eastAsia" w:ascii="宋体" w:hAnsi="宋体" w:eastAsia="仿宋_GB2312" w:cs="宋体"/>
                <w:kern w:val="0"/>
                <w:szCs w:val="24"/>
                <w:highlight w:val="none"/>
                <w:lang w:eastAsia="zh-CN"/>
              </w:rPr>
            </w:pPr>
            <w:r>
              <w:rPr>
                <w:rFonts w:hint="eastAsia" w:ascii="宋体" w:hAnsi="宋体" w:cs="宋体"/>
                <w:kern w:val="0"/>
                <w:szCs w:val="24"/>
                <w:highlight w:val="none"/>
              </w:rPr>
              <w:t>注：</w:t>
            </w:r>
            <w:r>
              <w:rPr>
                <w:rFonts w:hint="eastAsia" w:ascii="宋体" w:hAnsi="宋体" w:cs="宋体"/>
                <w:kern w:val="0"/>
                <w:szCs w:val="24"/>
                <w:highlight w:val="yellow"/>
                <w:lang w:eastAsia="zh-CN"/>
              </w:rPr>
              <w:t>【</w:t>
            </w:r>
            <w:r>
              <w:rPr>
                <w:rFonts w:hint="eastAsia" w:ascii="宋体" w:hAnsi="宋体" w:cs="宋体"/>
                <w:kern w:val="0"/>
                <w:szCs w:val="24"/>
                <w:highlight w:val="none"/>
              </w:rPr>
              <w:t>本理财产品合作所列示产品份额类别仅为本产品项下某一类产品份额类别，其他类别的产品份额相关约定以对应的理财产品销售文件及产品管理人的信息披露为准。</w:t>
            </w:r>
            <w:r>
              <w:rPr>
                <w:rFonts w:hint="eastAsia" w:ascii="宋体" w:hAnsi="宋体" w:cs="宋体"/>
                <w:kern w:val="0"/>
                <w:szCs w:val="24"/>
                <w:highlight w:val="yellow"/>
                <w:lang w:eastAsia="zh-CN"/>
              </w:rPr>
              <w:t>】</w:t>
            </w:r>
          </w:p>
          <w:p w14:paraId="6760ABEC">
            <w:pPr>
              <w:widowControl/>
              <w:spacing w:line="400" w:lineRule="exact"/>
              <w:jc w:val="left"/>
              <w:textAlignment w:val="center"/>
              <w:rPr>
                <w:rFonts w:hint="eastAsia" w:ascii="宋体" w:hAnsi="宋体" w:eastAsia="仿宋_GB2312" w:cstheme="minorBidi"/>
                <w:bCs w:val="0"/>
                <w:color w:val="auto"/>
                <w:kern w:val="2"/>
                <w:sz w:val="24"/>
                <w:szCs w:val="24"/>
                <w:highlight w:val="none"/>
                <w:u w:val="none"/>
                <w:lang w:bidi="ar"/>
              </w:rPr>
            </w:pPr>
            <w:r>
              <w:rPr>
                <w:rFonts w:hint="eastAsia" w:ascii="宋体" w:hAnsi="宋体" w:cs="宋体"/>
                <w:b/>
                <w:bCs/>
                <w:color w:val="auto"/>
                <w:kern w:val="0"/>
                <w:szCs w:val="24"/>
                <w:highlight w:val="none"/>
              </w:rPr>
              <w:t>产品管理人有权在本理财产品项下增设</w:t>
            </w:r>
            <w:r>
              <w:rPr>
                <w:rFonts w:hint="eastAsia" w:ascii="宋体" w:hAnsi="宋体" w:cs="宋体"/>
                <w:b/>
                <w:bCs/>
                <w:color w:val="auto"/>
                <w:kern w:val="0"/>
                <w:szCs w:val="24"/>
                <w:highlight w:val="none"/>
                <w:lang w:val="en-US" w:eastAsia="zh-CN"/>
              </w:rPr>
              <w:t>/终止</w:t>
            </w:r>
            <w:r>
              <w:rPr>
                <w:rFonts w:hint="eastAsia" w:ascii="宋体" w:hAnsi="宋体" w:cs="宋体"/>
                <w:b/>
                <w:bCs/>
                <w:color w:val="auto"/>
                <w:kern w:val="0"/>
                <w:szCs w:val="24"/>
                <w:highlight w:val="none"/>
              </w:rPr>
              <w:t>产品份额类别，届时，产品管理人将依据本理财产品销售文件的约定进行信息披露。</w:t>
            </w:r>
          </w:p>
          <w:p w14:paraId="65E4811B">
            <w:pPr>
              <w:widowControl/>
              <w:spacing w:line="400" w:lineRule="exact"/>
              <w:jc w:val="both"/>
              <w:textAlignment w:val="center"/>
              <w:rPr>
                <w:rFonts w:hint="eastAsia" w:ascii="宋体" w:hAnsi="宋体" w:eastAsia="仿宋_GB2312" w:cstheme="minorBidi"/>
                <w:bCs w:val="0"/>
                <w:color w:val="auto"/>
                <w:kern w:val="2"/>
                <w:sz w:val="24"/>
                <w:szCs w:val="24"/>
                <w:highlight w:val="none"/>
                <w:u w:val="none"/>
                <w:lang w:eastAsia="zh-CN" w:bidi="ar"/>
              </w:rPr>
            </w:pPr>
            <w:r>
              <w:rPr>
                <w:rFonts w:hint="eastAsia" w:ascii="宋体" w:hAnsi="宋体"/>
                <w:color w:val="auto"/>
                <w:szCs w:val="24"/>
                <w:highlight w:val="yellow"/>
                <w:u w:val="none"/>
              </w:rPr>
              <w:t>【</w:t>
            </w:r>
            <w:r>
              <w:rPr>
                <w:rFonts w:hint="eastAsia" w:ascii="宋体" w:hAnsi="宋体"/>
                <w:color w:val="auto"/>
                <w:szCs w:val="24"/>
                <w:highlight w:val="yellow"/>
                <w:u w:val="none"/>
                <w:lang w:val="en-US" w:eastAsia="zh-CN"/>
              </w:rPr>
              <w:t>A类</w:t>
            </w:r>
            <w:r>
              <w:rPr>
                <w:rFonts w:hint="eastAsia" w:ascii="宋体" w:hAnsi="宋体"/>
                <w:color w:val="auto"/>
                <w:szCs w:val="24"/>
                <w:highlight w:val="yellow"/>
                <w:u w:val="none"/>
              </w:rPr>
              <w:t>】</w:t>
            </w:r>
            <w:r>
              <w:rPr>
                <w:rFonts w:hint="eastAsia" w:ascii="宋体" w:hAnsi="宋体" w:eastAsia="仿宋_GB2312" w:cstheme="minorBidi"/>
                <w:bCs w:val="0"/>
                <w:color w:val="auto"/>
                <w:kern w:val="2"/>
                <w:sz w:val="24"/>
                <w:szCs w:val="24"/>
                <w:highlight w:val="none"/>
                <w:u w:val="none"/>
                <w:lang w:bidi="ar"/>
              </w:rPr>
              <w:t>份额：份额代码</w:t>
            </w:r>
            <w:r>
              <w:rPr>
                <w:rFonts w:hint="eastAsia" w:ascii="宋体" w:hAnsi="宋体"/>
                <w:color w:val="auto"/>
                <w:szCs w:val="24"/>
                <w:highlight w:val="yellow"/>
                <w:u w:val="none"/>
              </w:rPr>
              <w:t>【】</w:t>
            </w:r>
            <w:r>
              <w:rPr>
                <w:rFonts w:hint="eastAsia" w:ascii="宋体" w:hAnsi="宋体" w:cstheme="minorBidi"/>
                <w:bCs w:val="0"/>
                <w:color w:val="auto"/>
                <w:kern w:val="2"/>
                <w:sz w:val="24"/>
                <w:szCs w:val="24"/>
                <w:highlight w:val="none"/>
                <w:u w:val="none"/>
                <w:lang w:eastAsia="zh-CN" w:bidi="ar"/>
              </w:rPr>
              <w:t>；</w:t>
            </w:r>
          </w:p>
          <w:p w14:paraId="1D63F864">
            <w:pPr>
              <w:widowControl/>
              <w:spacing w:line="400" w:lineRule="exact"/>
              <w:jc w:val="both"/>
              <w:textAlignment w:val="center"/>
              <w:rPr>
                <w:rFonts w:hint="eastAsia" w:ascii="宋体" w:hAnsi="宋体" w:eastAsia="仿宋_GB2312" w:cstheme="minorBidi"/>
                <w:bCs w:val="0"/>
                <w:color w:val="auto"/>
                <w:kern w:val="2"/>
                <w:sz w:val="24"/>
                <w:szCs w:val="24"/>
                <w:highlight w:val="none"/>
                <w:u w:val="none"/>
                <w:lang w:bidi="ar"/>
              </w:rPr>
            </w:pPr>
            <w:r>
              <w:rPr>
                <w:rFonts w:hint="eastAsia" w:ascii="宋体" w:hAnsi="宋体"/>
                <w:color w:val="auto"/>
                <w:szCs w:val="24"/>
                <w:highlight w:val="yellow"/>
                <w:u w:val="none"/>
              </w:rPr>
              <w:t>【】</w:t>
            </w:r>
            <w:r>
              <w:rPr>
                <w:rFonts w:hint="eastAsia" w:ascii="宋体" w:hAnsi="宋体" w:eastAsia="仿宋_GB2312" w:cstheme="minorBidi"/>
                <w:bCs w:val="0"/>
                <w:color w:val="auto"/>
                <w:kern w:val="2"/>
                <w:sz w:val="24"/>
                <w:szCs w:val="24"/>
                <w:highlight w:val="none"/>
                <w:u w:val="none"/>
                <w:lang w:bidi="ar"/>
              </w:rPr>
              <w:t>份额：份额代码</w:t>
            </w:r>
            <w:r>
              <w:rPr>
                <w:rFonts w:hint="eastAsia" w:ascii="宋体" w:hAnsi="宋体"/>
                <w:color w:val="auto"/>
                <w:szCs w:val="24"/>
                <w:highlight w:val="yellow"/>
                <w:u w:val="none"/>
              </w:rPr>
              <w:t>【】</w:t>
            </w:r>
          </w:p>
        </w:tc>
      </w:tr>
      <w:tr w14:paraId="3D1A62C1">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88F9CB9">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发行机构名称</w:t>
            </w:r>
          </w:p>
        </w:tc>
        <w:tc>
          <w:tcPr>
            <w:tcW w:w="6972" w:type="dxa"/>
            <w:tcBorders>
              <w:top w:val="single" w:color="auto" w:sz="4" w:space="0"/>
              <w:left w:val="single" w:color="auto" w:sz="4" w:space="0"/>
              <w:bottom w:val="single" w:color="auto" w:sz="4" w:space="0"/>
              <w:right w:val="single" w:color="auto" w:sz="4" w:space="0"/>
            </w:tcBorders>
            <w:vAlign w:val="center"/>
          </w:tcPr>
          <w:p w14:paraId="287AA1E5">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olor w:val="auto"/>
                <w:szCs w:val="24"/>
                <w:highlight w:val="yellow"/>
                <w:u w:val="none"/>
              </w:rPr>
              <w:t>【】</w:t>
            </w:r>
          </w:p>
        </w:tc>
      </w:tr>
      <w:tr w14:paraId="71A7974F">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A63C28D">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销售机构名称</w:t>
            </w:r>
          </w:p>
        </w:tc>
        <w:tc>
          <w:tcPr>
            <w:tcW w:w="6972" w:type="dxa"/>
            <w:tcBorders>
              <w:top w:val="single" w:color="auto" w:sz="4" w:space="0"/>
              <w:left w:val="single" w:color="auto" w:sz="4" w:space="0"/>
              <w:bottom w:val="single" w:color="auto" w:sz="4" w:space="0"/>
              <w:right w:val="single" w:color="auto" w:sz="4" w:space="0"/>
            </w:tcBorders>
            <w:vAlign w:val="center"/>
          </w:tcPr>
          <w:p w14:paraId="35A236C3">
            <w:pPr>
              <w:widowControl/>
              <w:spacing w:line="400" w:lineRule="exact"/>
              <w:jc w:val="left"/>
              <w:textAlignment w:val="center"/>
              <w:rPr>
                <w:rFonts w:hint="eastAsia" w:ascii="宋体" w:hAnsi="宋体" w:cs="宋体"/>
                <w:color w:val="auto"/>
                <w:kern w:val="0"/>
                <w:szCs w:val="24"/>
                <w:highlight w:val="none"/>
                <w:lang w:val="en-US" w:eastAsia="zh-CN"/>
              </w:rPr>
            </w:pPr>
            <w:r>
              <w:rPr>
                <w:rFonts w:hint="eastAsia" w:ascii="宋体" w:hAnsi="宋体"/>
                <w:color w:val="auto"/>
                <w:szCs w:val="24"/>
                <w:highlight w:val="yellow"/>
                <w:u w:val="none"/>
              </w:rPr>
              <w:t>【</w:t>
            </w:r>
            <w:r>
              <w:rPr>
                <w:rFonts w:hint="eastAsia" w:ascii="宋体" w:hAnsi="宋体"/>
                <w:color w:val="auto"/>
                <w:szCs w:val="24"/>
                <w:highlight w:val="yellow"/>
                <w:u w:val="none"/>
                <w:lang w:eastAsia="zh-CN"/>
              </w:rPr>
              <w:t>销售机构全称</w:t>
            </w:r>
            <w:r>
              <w:rPr>
                <w:rFonts w:hint="eastAsia" w:ascii="宋体" w:hAnsi="宋体"/>
                <w:color w:val="auto"/>
                <w:szCs w:val="24"/>
                <w:highlight w:val="yellow"/>
                <w:u w:val="none"/>
              </w:rPr>
              <w:t>】</w:t>
            </w:r>
            <w:r>
              <w:rPr>
                <w:rFonts w:hint="eastAsia" w:ascii="宋体" w:hAnsi="宋体" w:cs="宋体"/>
                <w:color w:val="auto"/>
                <w:kern w:val="0"/>
                <w:szCs w:val="24"/>
                <w:highlight w:val="none"/>
                <w:lang w:val="en-US" w:eastAsia="zh-CN"/>
              </w:rPr>
              <w:t>：</w:t>
            </w:r>
            <w:r>
              <w:rPr>
                <w:rFonts w:hint="eastAsia" w:ascii="宋体" w:hAnsi="宋体"/>
                <w:color w:val="auto"/>
                <w:szCs w:val="24"/>
                <w:highlight w:val="yellow"/>
                <w:u w:val="none"/>
              </w:rPr>
              <w:t>【</w:t>
            </w:r>
            <w:r>
              <w:rPr>
                <w:rFonts w:hint="eastAsia" w:ascii="宋体" w:hAnsi="宋体" w:cs="宋体"/>
                <w:color w:val="auto"/>
                <w:kern w:val="0"/>
                <w:szCs w:val="24"/>
                <w:highlight w:val="none"/>
                <w:lang w:val="en-US" w:eastAsia="zh-CN"/>
              </w:rPr>
              <w:t>份额代码</w:t>
            </w:r>
            <w:r>
              <w:rPr>
                <w:rFonts w:hint="eastAsia" w:ascii="宋体" w:hAnsi="宋体"/>
                <w:color w:val="auto"/>
                <w:szCs w:val="24"/>
                <w:highlight w:val="yellow"/>
                <w:u w:val="none"/>
              </w:rPr>
              <w:t>】</w:t>
            </w:r>
          </w:p>
          <w:p w14:paraId="61BA73AF">
            <w:pPr>
              <w:widowControl/>
              <w:spacing w:line="400" w:lineRule="exact"/>
              <w:jc w:val="left"/>
              <w:textAlignment w:val="center"/>
              <w:rPr>
                <w:rFonts w:hint="eastAsia" w:ascii="宋体" w:hAnsi="宋体"/>
                <w:color w:val="auto"/>
                <w:szCs w:val="24"/>
                <w:highlight w:val="none"/>
                <w:u w:val="none"/>
                <w:lang w:val="en-US" w:eastAsia="zh-CN"/>
              </w:rPr>
            </w:pPr>
            <w:r>
              <w:rPr>
                <w:rFonts w:hint="eastAsia" w:ascii="宋体" w:hAnsi="宋体" w:eastAsia="仿宋_GB2312" w:cs="宋体"/>
                <w:color w:val="auto"/>
                <w:kern w:val="0"/>
                <w:sz w:val="24"/>
                <w:szCs w:val="24"/>
                <w:highlight w:val="none"/>
                <w:lang w:val="en-US" w:eastAsia="zh-CN" w:bidi="ar"/>
              </w:rPr>
              <w:t>后续销售机构如有新增、减少和变更，以</w:t>
            </w:r>
            <w:r>
              <w:rPr>
                <w:rFonts w:hint="eastAsia" w:ascii="宋体" w:hAnsi="宋体" w:cs="宋体"/>
                <w:color w:val="auto"/>
                <w:kern w:val="0"/>
                <w:sz w:val="24"/>
                <w:szCs w:val="24"/>
                <w:highlight w:val="none"/>
                <w:lang w:val="en-US" w:eastAsia="zh-CN" w:bidi="ar"/>
              </w:rPr>
              <w:t>产品</w:t>
            </w:r>
            <w:r>
              <w:rPr>
                <w:rFonts w:hint="eastAsia" w:ascii="宋体" w:hAnsi="宋体" w:eastAsia="仿宋_GB2312" w:cs="宋体"/>
                <w:color w:val="auto"/>
                <w:kern w:val="0"/>
                <w:sz w:val="24"/>
                <w:szCs w:val="24"/>
                <w:highlight w:val="none"/>
                <w:lang w:val="en-US" w:eastAsia="zh-CN" w:bidi="ar"/>
              </w:rPr>
              <w:t>管理人信息披露为准。</w:t>
            </w:r>
          </w:p>
        </w:tc>
      </w:tr>
      <w:tr w14:paraId="75330CAA">
        <w:tblPrEx>
          <w:tblCellMar>
            <w:top w:w="0" w:type="dxa"/>
            <w:left w:w="108" w:type="dxa"/>
            <w:bottom w:w="0" w:type="dxa"/>
            <w:right w:w="108" w:type="dxa"/>
          </w:tblCellMar>
        </w:tblPrEx>
        <w:trPr>
          <w:trHeight w:val="600" w:hRule="atLeast"/>
        </w:trPr>
        <w:tc>
          <w:tcPr>
            <w:tcW w:w="2453" w:type="dxa"/>
            <w:tcBorders>
              <w:top w:val="single" w:color="auto" w:sz="4" w:space="0"/>
              <w:left w:val="single" w:color="auto" w:sz="4" w:space="0"/>
              <w:bottom w:val="single" w:color="auto" w:sz="4" w:space="0"/>
              <w:right w:val="single" w:color="auto" w:sz="4" w:space="0"/>
            </w:tcBorders>
            <w:vAlign w:val="center"/>
          </w:tcPr>
          <w:p w14:paraId="5774619F">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境内托管机构名称</w:t>
            </w:r>
          </w:p>
        </w:tc>
        <w:tc>
          <w:tcPr>
            <w:tcW w:w="6972" w:type="dxa"/>
            <w:tcBorders>
              <w:top w:val="single" w:color="auto" w:sz="4" w:space="0"/>
              <w:left w:val="single" w:color="auto" w:sz="4" w:space="0"/>
              <w:bottom w:val="single" w:color="auto" w:sz="4" w:space="0"/>
              <w:right w:val="single" w:color="auto" w:sz="4" w:space="0"/>
            </w:tcBorders>
            <w:vAlign w:val="center"/>
          </w:tcPr>
          <w:p w14:paraId="1A78C3C0">
            <w:pPr>
              <w:widowControl/>
              <w:spacing w:line="400" w:lineRule="exact"/>
              <w:jc w:val="left"/>
              <w:textAlignment w:val="center"/>
              <w:rPr>
                <w:rFonts w:hint="eastAsia" w:ascii="仿宋_GB2312" w:hAnsi="等线" w:eastAsia="仿宋_GB2312" w:cs="仿宋_GB2312"/>
                <w:bCs/>
                <w:color w:val="000000" w:themeColor="text1"/>
                <w:sz w:val="24"/>
                <w:lang w:eastAsia="zh-CN"/>
                <w14:textFill>
                  <w14:solidFill>
                    <w14:schemeClr w14:val="tx1"/>
                  </w14:solidFill>
                </w14:textFill>
              </w:rPr>
            </w:pPr>
            <w:r>
              <w:rPr>
                <w:rFonts w:hint="eastAsia" w:ascii="宋体" w:hAnsi="宋体"/>
                <w:color w:val="auto"/>
                <w:szCs w:val="24"/>
                <w:highlight w:val="yellow"/>
                <w:u w:val="none"/>
              </w:rPr>
              <w:t>【】</w:t>
            </w:r>
          </w:p>
        </w:tc>
      </w:tr>
      <w:tr w14:paraId="670A9553">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694E3E3B">
            <w:pPr>
              <w:widowControl/>
              <w:spacing w:line="400" w:lineRule="exact"/>
              <w:jc w:val="center"/>
              <w:textAlignment w:val="center"/>
              <w:rPr>
                <w:rFonts w:hint="eastAsia" w:ascii="仿宋_GB2312" w:hAnsi="等线" w:eastAsia="仿宋_GB2312" w:cs="仿宋_GB2312"/>
                <w:color w:val="000000" w:themeColor="text1"/>
                <w:kern w:val="0"/>
                <w:sz w:val="24"/>
                <w:lang w:eastAsia="zh-CN" w:bidi="ar"/>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w:t>
            </w:r>
            <w:r>
              <w:rPr>
                <w:rFonts w:hint="eastAsia" w:ascii="仿宋_GB2312" w:hAnsi="等线" w:eastAsia="仿宋_GB2312" w:cs="仿宋_GB2312"/>
                <w:color w:val="000000" w:themeColor="text1"/>
                <w:kern w:val="0"/>
                <w:sz w:val="24"/>
                <w:lang w:bidi="ar"/>
                <w14:textFill>
                  <w14:solidFill>
                    <w14:schemeClr w14:val="tx1"/>
                  </w14:solidFill>
                </w14:textFill>
              </w:rPr>
              <w:t>境外托管机构名称</w:t>
            </w:r>
            <w:r>
              <w:rPr>
                <w:rFonts w:hint="eastAsia" w:ascii="仿宋_GB2312" w:hAnsi="等线" w:cs="仿宋_GB2312"/>
                <w:color w:val="000000" w:themeColor="text1"/>
                <w:kern w:val="0"/>
                <w:sz w:val="24"/>
                <w:lang w:eastAsia="zh-CN" w:bidi="ar"/>
                <w14:textFill>
                  <w14:solidFill>
                    <w14:schemeClr w14:val="tx1"/>
                  </w14:solidFill>
                </w14:textFill>
              </w:rPr>
              <w:t>】</w:t>
            </w:r>
          </w:p>
        </w:tc>
        <w:tc>
          <w:tcPr>
            <w:tcW w:w="6972" w:type="dxa"/>
            <w:tcBorders>
              <w:top w:val="single" w:color="auto" w:sz="4" w:space="0"/>
              <w:left w:val="single" w:color="auto" w:sz="4" w:space="0"/>
              <w:bottom w:val="single" w:color="auto" w:sz="4" w:space="0"/>
              <w:right w:val="single" w:color="auto" w:sz="4" w:space="0"/>
            </w:tcBorders>
            <w:vAlign w:val="center"/>
          </w:tcPr>
          <w:p w14:paraId="3BFF8DDF">
            <w:pPr>
              <w:widowControl/>
              <w:jc w:val="left"/>
              <w:rPr>
                <w:rFonts w:hint="eastAsia" w:ascii="仿宋" w:hAnsi="仿宋" w:eastAsia="仿宋" w:cs="宋体"/>
                <w:bCs/>
                <w:color w:val="000000" w:themeColor="text1"/>
                <w:kern w:val="0"/>
                <w:sz w:val="24"/>
                <w:lang w:eastAsia="zh-CN" w:bidi="ar"/>
                <w14:textFill>
                  <w14:solidFill>
                    <w14:schemeClr w14:val="tx1"/>
                  </w14:solidFill>
                </w14:textFill>
              </w:rPr>
            </w:pPr>
            <w:r>
              <w:rPr>
                <w:rFonts w:hint="eastAsia" w:ascii="仿宋" w:hAnsi="仿宋" w:eastAsia="仿宋" w:cs="宋体"/>
                <w:bCs/>
                <w:color w:val="000000" w:themeColor="text1"/>
                <w:kern w:val="0"/>
                <w:sz w:val="24"/>
                <w:highlight w:val="yellow"/>
                <w:lang w:eastAsia="zh-CN" w:bidi="ar"/>
                <w14:textFill>
                  <w14:solidFill>
                    <w14:schemeClr w14:val="tx1"/>
                  </w14:solidFill>
                </w14:textFill>
              </w:rPr>
              <w:t>【】</w:t>
            </w:r>
          </w:p>
        </w:tc>
      </w:tr>
      <w:tr w14:paraId="1DB4ACD3">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shd w:val="clear" w:color="auto" w:fill="auto"/>
            <w:vAlign w:val="center"/>
          </w:tcPr>
          <w:p w14:paraId="5696BCB1">
            <w:pPr>
              <w:widowControl/>
              <w:spacing w:line="400" w:lineRule="exact"/>
              <w:jc w:val="center"/>
              <w:textAlignment w:val="center"/>
              <w:rPr>
                <w:rFonts w:hint="eastAsia" w:ascii="仿宋_GB2312" w:hAnsi="等线" w:eastAsia="仿宋_GB2312" w:cs="仿宋_GB2312"/>
                <w:color w:val="000000" w:themeColor="text1"/>
                <w:kern w:val="2"/>
                <w:sz w:val="24"/>
                <w:szCs w:val="22"/>
                <w:lang w:val="en-US" w:eastAsia="zh-CN" w:bidi="ar-SA"/>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投资者范围</w:t>
            </w:r>
          </w:p>
        </w:tc>
        <w:tc>
          <w:tcPr>
            <w:tcW w:w="6972" w:type="dxa"/>
            <w:tcBorders>
              <w:top w:val="single" w:color="auto" w:sz="4" w:space="0"/>
              <w:left w:val="single" w:color="auto" w:sz="4" w:space="0"/>
              <w:bottom w:val="single" w:color="auto" w:sz="4" w:space="0"/>
              <w:right w:val="single" w:color="auto" w:sz="4" w:space="0"/>
            </w:tcBorders>
            <w:shd w:val="clear" w:color="auto" w:fill="auto"/>
            <w:vAlign w:val="center"/>
          </w:tcPr>
          <w:p w14:paraId="2EA2404A">
            <w:pPr>
              <w:widowControl/>
              <w:spacing w:line="400" w:lineRule="exact"/>
              <w:jc w:val="left"/>
              <w:textAlignment w:val="center"/>
              <w:rPr>
                <w:rFonts w:hint="eastAsia" w:ascii="宋体" w:hAnsi="宋体"/>
                <w:color w:val="auto"/>
                <w:sz w:val="24"/>
                <w:szCs w:val="24"/>
                <w:highlight w:val="none"/>
                <w:u w:val="none"/>
              </w:rPr>
            </w:pPr>
            <w:r>
              <w:rPr>
                <w:rFonts w:hint="eastAsia" w:ascii="宋体" w:hAnsi="宋体"/>
                <w:color w:val="auto"/>
                <w:sz w:val="24"/>
                <w:szCs w:val="24"/>
                <w:highlight w:val="none"/>
                <w:u w:val="none"/>
              </w:rPr>
              <w:t>不特定社会公众（个人、机构投资者）；其中，普通投资者应符合相关法律法规、监管规定，经销售机构评估评定投资者风险承受能力与本产品风险等级相适应。</w:t>
            </w:r>
          </w:p>
          <w:p w14:paraId="426515A4">
            <w:pPr>
              <w:widowControl/>
              <w:spacing w:line="400" w:lineRule="exact"/>
              <w:jc w:val="left"/>
              <w:textAlignment w:val="center"/>
              <w:rPr>
                <w:rFonts w:hint="eastAsia" w:ascii="仿宋_GB2312" w:hAnsi="等线" w:eastAsia="仿宋_GB2312" w:cs="仿宋_GB2312"/>
                <w:bCs/>
                <w:color w:val="000000" w:themeColor="text1"/>
                <w:kern w:val="2"/>
                <w:sz w:val="24"/>
                <w:szCs w:val="22"/>
                <w:lang w:val="en-US" w:eastAsia="zh-CN" w:bidi="ar-SA"/>
                <w14:textFill>
                  <w14:solidFill>
                    <w14:schemeClr w14:val="tx1"/>
                  </w14:solidFill>
                </w14:textFill>
              </w:rPr>
            </w:pPr>
            <w:r>
              <w:rPr>
                <w:rFonts w:hint="eastAsia" w:ascii="宋体" w:hAnsi="宋体"/>
                <w:color w:val="auto"/>
                <w:sz w:val="24"/>
                <w:szCs w:val="24"/>
                <w:highlight w:val="none"/>
                <w:u w:val="none"/>
              </w:rPr>
              <w:t>本产品通过销售机构销售的，产品风险等级应当以销售机构最终披露的评级结果为准。</w:t>
            </w:r>
          </w:p>
        </w:tc>
      </w:tr>
      <w:tr w14:paraId="162F02B6">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6B8465A">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销售对象</w:t>
            </w:r>
          </w:p>
        </w:tc>
        <w:tc>
          <w:tcPr>
            <w:tcW w:w="6972" w:type="dxa"/>
            <w:tcBorders>
              <w:top w:val="single" w:color="auto" w:sz="4" w:space="0"/>
              <w:left w:val="single" w:color="auto" w:sz="4" w:space="0"/>
              <w:bottom w:val="single" w:color="auto" w:sz="4" w:space="0"/>
              <w:right w:val="single" w:color="auto" w:sz="4" w:space="0"/>
            </w:tcBorders>
            <w:vAlign w:val="center"/>
          </w:tcPr>
          <w:p w14:paraId="0F56EC41">
            <w:pPr>
              <w:widowControl/>
              <w:spacing w:line="400" w:lineRule="exact"/>
              <w:jc w:val="left"/>
              <w:textAlignment w:val="center"/>
              <w:rPr>
                <w:rFonts w:hint="eastAsia" w:ascii="宋体" w:hAnsi="宋体"/>
                <w:color w:val="auto"/>
                <w:szCs w:val="24"/>
                <w:highlight w:val="yellow"/>
                <w:u w:val="none"/>
              </w:rPr>
            </w:pPr>
            <w:r>
              <w:rPr>
                <w:rFonts w:hint="eastAsia" w:ascii="宋体" w:hAnsi="宋体"/>
                <w:color w:val="auto"/>
                <w:szCs w:val="24"/>
                <w:highlight w:val="yellow"/>
                <w:u w:val="none"/>
              </w:rPr>
              <w:t>【</w:t>
            </w:r>
          </w:p>
          <w:tbl>
            <w:tblPr>
              <w:tblStyle w:val="8"/>
              <w:tblW w:w="6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9"/>
              <w:gridCol w:w="2386"/>
              <w:gridCol w:w="2721"/>
            </w:tblGrid>
            <w:tr w14:paraId="1C3A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9" w:type="dxa"/>
                </w:tcPr>
                <w:p w14:paraId="72944BA2">
                  <w:pPr>
                    <w:widowControl/>
                    <w:spacing w:line="400" w:lineRule="exact"/>
                    <w:jc w:val="center"/>
                    <w:textAlignment w:val="center"/>
                    <w:rPr>
                      <w:rFonts w:hint="eastAsia" w:eastAsia="仿宋_GB2312"/>
                      <w:vertAlign w:val="baseline"/>
                      <w:lang w:eastAsia="zh-CN"/>
                    </w:rPr>
                  </w:pPr>
                  <w:r>
                    <w:rPr>
                      <w:rFonts w:hint="eastAsia"/>
                      <w:vertAlign w:val="baseline"/>
                      <w:lang w:eastAsia="zh-CN"/>
                    </w:rPr>
                    <w:t>份额代码</w:t>
                  </w:r>
                </w:p>
              </w:tc>
              <w:tc>
                <w:tcPr>
                  <w:tcW w:w="2386" w:type="dxa"/>
                </w:tcPr>
                <w:p w14:paraId="664986A6">
                  <w:pPr>
                    <w:widowControl/>
                    <w:spacing w:line="400" w:lineRule="exact"/>
                    <w:jc w:val="center"/>
                    <w:textAlignment w:val="center"/>
                    <w:rPr>
                      <w:rFonts w:hint="eastAsia" w:eastAsia="仿宋_GB2312"/>
                      <w:vertAlign w:val="baseline"/>
                      <w:lang w:eastAsia="zh-CN"/>
                    </w:rPr>
                  </w:pPr>
                  <w:r>
                    <w:rPr>
                      <w:rFonts w:hint="eastAsia"/>
                      <w:vertAlign w:val="baseline"/>
                      <w:lang w:eastAsia="zh-CN"/>
                    </w:rPr>
                    <w:t>销售对象</w:t>
                  </w:r>
                </w:p>
              </w:tc>
              <w:tc>
                <w:tcPr>
                  <w:tcW w:w="2721" w:type="dxa"/>
                </w:tcPr>
                <w:p w14:paraId="6601AF10">
                  <w:pPr>
                    <w:widowControl/>
                    <w:spacing w:line="400" w:lineRule="exact"/>
                    <w:jc w:val="center"/>
                    <w:textAlignment w:val="center"/>
                    <w:rPr>
                      <w:rFonts w:hint="eastAsia" w:eastAsia="仿宋_GB2312"/>
                      <w:vertAlign w:val="baseline"/>
                      <w:lang w:eastAsia="zh-CN"/>
                    </w:rPr>
                  </w:pPr>
                  <w:r>
                    <w:rPr>
                      <w:rFonts w:hint="eastAsia"/>
                      <w:vertAlign w:val="baseline"/>
                      <w:lang w:eastAsia="zh-CN"/>
                    </w:rPr>
                    <w:t>销售机构</w:t>
                  </w:r>
                </w:p>
              </w:tc>
            </w:tr>
            <w:tr w14:paraId="0515F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9" w:type="dxa"/>
                </w:tcPr>
                <w:p w14:paraId="6716DD2E">
                  <w:pPr>
                    <w:widowControl/>
                    <w:spacing w:line="400" w:lineRule="exact"/>
                    <w:jc w:val="center"/>
                    <w:textAlignment w:val="center"/>
                    <w:rPr>
                      <w:vertAlign w:val="baseline"/>
                    </w:rPr>
                  </w:pPr>
                </w:p>
              </w:tc>
              <w:tc>
                <w:tcPr>
                  <w:tcW w:w="2386" w:type="dxa"/>
                </w:tcPr>
                <w:p w14:paraId="214CB56E">
                  <w:pPr>
                    <w:widowControl/>
                    <w:spacing w:line="400" w:lineRule="exact"/>
                    <w:jc w:val="center"/>
                    <w:textAlignment w:val="center"/>
                    <w:rPr>
                      <w:rFonts w:hint="eastAsia" w:eastAsia="仿宋_GB2312"/>
                      <w:vertAlign w:val="baseline"/>
                      <w:lang w:eastAsia="zh-CN"/>
                    </w:rPr>
                  </w:pPr>
                </w:p>
              </w:tc>
              <w:tc>
                <w:tcPr>
                  <w:tcW w:w="2721" w:type="dxa"/>
                </w:tcPr>
                <w:p w14:paraId="53911B11">
                  <w:pPr>
                    <w:widowControl/>
                    <w:spacing w:line="400" w:lineRule="exact"/>
                    <w:jc w:val="center"/>
                    <w:textAlignment w:val="center"/>
                    <w:rPr>
                      <w:vertAlign w:val="baseline"/>
                    </w:rPr>
                  </w:pPr>
                </w:p>
              </w:tc>
            </w:tr>
          </w:tbl>
          <w:p w14:paraId="4340B480">
            <w:pPr>
              <w:widowControl/>
              <w:spacing w:line="400" w:lineRule="exact"/>
              <w:jc w:val="left"/>
              <w:textAlignment w:val="center"/>
              <w:rPr>
                <w:rFonts w:hint="eastAsia" w:ascii="仿宋_GB2312" w:hAnsi="等线" w:cs="仿宋_GB2312"/>
                <w:bCs/>
                <w:color w:val="000000" w:themeColor="text1"/>
                <w:sz w:val="24"/>
                <w:lang w:eastAsia="zh-CN"/>
                <w14:textFill>
                  <w14:solidFill>
                    <w14:schemeClr w14:val="tx1"/>
                  </w14:solidFill>
                </w14:textFill>
              </w:rPr>
            </w:pPr>
            <w:r>
              <w:rPr>
                <w:rFonts w:hint="eastAsia" w:ascii="宋体" w:hAnsi="宋体"/>
                <w:color w:val="auto"/>
                <w:szCs w:val="24"/>
                <w:highlight w:val="yellow"/>
                <w:u w:val="none"/>
              </w:rPr>
              <w:t>】</w:t>
            </w:r>
          </w:p>
        </w:tc>
      </w:tr>
      <w:tr w14:paraId="1477A895">
        <w:tblPrEx>
          <w:tblCellMar>
            <w:top w:w="0" w:type="dxa"/>
            <w:left w:w="108" w:type="dxa"/>
            <w:bottom w:w="0" w:type="dxa"/>
            <w:right w:w="108" w:type="dxa"/>
          </w:tblCellMar>
        </w:tblPrEx>
        <w:trPr>
          <w:trHeight w:val="38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525A1582">
            <w:pPr>
              <w:widowControl/>
              <w:spacing w:line="400" w:lineRule="exact"/>
              <w:jc w:val="center"/>
              <w:textAlignment w:val="center"/>
              <w:rPr>
                <w:rFonts w:hint="eastAsia" w:ascii="楷体_GB2312" w:hAnsi="等线" w:eastAsia="楷体_GB2312" w:cs="楷体_GB2312"/>
                <w:b/>
                <w:bCs/>
                <w:color w:val="000000" w:themeColor="text1"/>
                <w:sz w:val="24"/>
                <w14:textFill>
                  <w14:solidFill>
                    <w14:schemeClr w14:val="tx1"/>
                  </w14:solidFill>
                </w14:textFill>
              </w:rPr>
            </w:pPr>
            <w:r>
              <w:rPr>
                <w:rFonts w:hint="eastAsia" w:ascii="楷体_GB2312" w:hAnsi="等线" w:eastAsia="楷体_GB2312" w:cs="楷体_GB2312"/>
                <w:b/>
                <w:bCs/>
                <w:color w:val="000000" w:themeColor="text1"/>
                <w:kern w:val="0"/>
                <w:sz w:val="24"/>
                <w:lang w:bidi="ar"/>
                <w14:textFill>
                  <w14:solidFill>
                    <w14:schemeClr w14:val="tx1"/>
                  </w14:solidFill>
                </w14:textFill>
              </w:rPr>
              <w:t>（二）交易规则</w:t>
            </w:r>
          </w:p>
        </w:tc>
      </w:tr>
      <w:tr w14:paraId="4B2159AC">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E691443">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募集币种</w:t>
            </w:r>
          </w:p>
        </w:tc>
        <w:tc>
          <w:tcPr>
            <w:tcW w:w="6972" w:type="dxa"/>
            <w:tcBorders>
              <w:top w:val="single" w:color="auto" w:sz="4" w:space="0"/>
              <w:left w:val="single" w:color="auto" w:sz="4" w:space="0"/>
              <w:bottom w:val="single" w:color="auto" w:sz="4" w:space="0"/>
              <w:right w:val="single" w:color="auto" w:sz="4" w:space="0"/>
            </w:tcBorders>
            <w:vAlign w:val="center"/>
          </w:tcPr>
          <w:p w14:paraId="2CE8860C">
            <w:pPr>
              <w:widowControl/>
              <w:spacing w:line="400" w:lineRule="exact"/>
              <w:jc w:val="left"/>
              <w:textAlignment w:val="center"/>
              <w:rPr>
                <w:rFonts w:hint="eastAsia" w:ascii="仿宋_GB2312" w:hAnsi="等线" w:eastAsia="仿宋_GB2312" w:cs="仿宋_GB2312"/>
                <w:bCs/>
                <w:color w:val="000000" w:themeColor="text1"/>
                <w:sz w:val="24"/>
                <w:lang w:eastAsia="zh-CN"/>
                <w14:textFill>
                  <w14:solidFill>
                    <w14:schemeClr w14:val="tx1"/>
                  </w14:solidFill>
                </w14:textFill>
              </w:rPr>
            </w:pPr>
            <w:r>
              <w:rPr>
                <w:rFonts w:hint="eastAsia" w:ascii="宋体" w:hAnsi="宋体"/>
                <w:color w:val="auto"/>
                <w:szCs w:val="24"/>
                <w:highlight w:val="yellow"/>
                <w:u w:val="none"/>
              </w:rPr>
              <w:t>【</w:t>
            </w:r>
            <w:r>
              <w:rPr>
                <w:rFonts w:hint="eastAsia" w:ascii="宋体" w:hAnsi="宋体" w:eastAsia="仿宋_GB2312" w:cstheme="minorBidi"/>
                <w:bCs w:val="0"/>
                <w:color w:val="auto"/>
                <w:kern w:val="2"/>
                <w:sz w:val="24"/>
                <w:szCs w:val="24"/>
                <w:highlight w:val="none"/>
                <w:u w:val="none"/>
                <w:lang w:eastAsia="zh-CN" w:bidi="ar"/>
              </w:rPr>
              <w:t>人民币</w:t>
            </w:r>
            <w:r>
              <w:rPr>
                <w:rFonts w:hint="eastAsia" w:ascii="宋体" w:hAnsi="宋体"/>
                <w:color w:val="auto"/>
                <w:szCs w:val="24"/>
                <w:highlight w:val="yellow"/>
                <w:u w:val="none"/>
              </w:rPr>
              <w:t>】</w:t>
            </w:r>
          </w:p>
        </w:tc>
      </w:tr>
      <w:tr w14:paraId="05ECF64C">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71E4D30">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起点销售金额</w:t>
            </w:r>
          </w:p>
        </w:tc>
        <w:tc>
          <w:tcPr>
            <w:tcW w:w="6972" w:type="dxa"/>
            <w:tcBorders>
              <w:top w:val="single" w:color="auto" w:sz="4" w:space="0"/>
              <w:left w:val="single" w:color="auto" w:sz="4" w:space="0"/>
              <w:bottom w:val="single" w:color="auto" w:sz="4" w:space="0"/>
              <w:right w:val="single" w:color="auto" w:sz="4" w:space="0"/>
            </w:tcBorders>
            <w:vAlign w:val="center"/>
          </w:tcPr>
          <w:p w14:paraId="0B7ED290">
            <w:pPr>
              <w:widowControl/>
              <w:spacing w:line="400" w:lineRule="exact"/>
              <w:jc w:val="left"/>
              <w:textAlignment w:val="center"/>
              <w:rPr>
                <w:rFonts w:hint="default" w:ascii="宋体" w:hAnsi="宋体"/>
                <w:color w:val="auto"/>
                <w:szCs w:val="24"/>
                <w:highlight w:val="none"/>
                <w:u w:val="none"/>
                <w:lang w:val="en-US" w:eastAsia="zh-CN"/>
              </w:rPr>
            </w:pPr>
            <w:r>
              <w:rPr>
                <w:rFonts w:hint="eastAsia" w:ascii="宋体" w:hAnsi="宋体"/>
                <w:color w:val="auto"/>
                <w:szCs w:val="24"/>
                <w:highlight w:val="yellow"/>
                <w:u w:val="none"/>
              </w:rPr>
              <w:t>【</w:t>
            </w:r>
            <w:r>
              <w:rPr>
                <w:rFonts w:hint="eastAsia" w:ascii="宋体" w:hAnsi="宋体"/>
                <w:color w:val="auto"/>
                <w:szCs w:val="24"/>
                <w:highlight w:val="yellow"/>
                <w:u w:val="none"/>
                <w:lang w:eastAsia="zh-CN"/>
              </w:rPr>
              <w:t>份额代码</w:t>
            </w:r>
            <w:r>
              <w:rPr>
                <w:rFonts w:hint="eastAsia" w:ascii="宋体" w:hAnsi="宋体"/>
                <w:color w:val="auto"/>
                <w:szCs w:val="24"/>
                <w:highlight w:val="yellow"/>
                <w:u w:val="none"/>
              </w:rPr>
              <w:t>】</w:t>
            </w:r>
            <w:r>
              <w:rPr>
                <w:rFonts w:hint="eastAsia" w:ascii="宋体" w:hAnsi="宋体"/>
                <w:color w:val="auto"/>
                <w:szCs w:val="24"/>
                <w:highlight w:val="none"/>
                <w:u w:val="none"/>
                <w:lang w:val="en-US" w:eastAsia="zh-CN"/>
              </w:rPr>
              <w:t>：</w:t>
            </w:r>
            <w:r>
              <w:rPr>
                <w:rFonts w:hint="eastAsia" w:ascii="宋体" w:hAnsi="宋体"/>
                <w:color w:val="auto"/>
                <w:szCs w:val="24"/>
                <w:highlight w:val="yellow"/>
                <w:u w:val="none"/>
              </w:rPr>
              <w:t>【】</w:t>
            </w:r>
            <w:r>
              <w:rPr>
                <w:rFonts w:hint="eastAsia" w:ascii="宋体" w:hAnsi="宋体"/>
                <w:color w:val="auto"/>
                <w:szCs w:val="24"/>
                <w:highlight w:val="none"/>
                <w:u w:val="none"/>
                <w:lang w:val="en-US" w:eastAsia="zh-CN"/>
              </w:rPr>
              <w:t>元</w:t>
            </w:r>
          </w:p>
          <w:p w14:paraId="39CC3ADE">
            <w:pPr>
              <w:widowControl/>
              <w:spacing w:line="400" w:lineRule="exact"/>
              <w:jc w:val="left"/>
              <w:textAlignment w:val="center"/>
              <w:rPr>
                <w:rFonts w:hint="default" w:ascii="宋体" w:hAnsi="宋体"/>
                <w:color w:val="auto"/>
                <w:szCs w:val="24"/>
                <w:highlight w:val="none"/>
                <w:u w:val="none"/>
                <w:lang w:val="en-US" w:eastAsia="zh-CN"/>
              </w:rPr>
            </w:pPr>
            <w:r>
              <w:rPr>
                <w:rFonts w:hint="eastAsia" w:ascii="宋体" w:hAnsi="宋体"/>
                <w:b/>
                <w:color w:val="auto"/>
                <w:szCs w:val="24"/>
                <w:highlight w:val="none"/>
                <w:u w:val="none"/>
              </w:rPr>
              <w:t>管理人有权以公告形式调整投资者起点</w:t>
            </w:r>
            <w:r>
              <w:rPr>
                <w:rFonts w:hint="eastAsia" w:ascii="宋体" w:hAnsi="宋体"/>
                <w:b/>
                <w:color w:val="auto"/>
                <w:szCs w:val="24"/>
                <w:highlight w:val="none"/>
                <w:u w:val="none"/>
                <w:lang w:eastAsia="zh-CN"/>
              </w:rPr>
              <w:t>销售</w:t>
            </w:r>
            <w:r>
              <w:rPr>
                <w:rFonts w:hint="eastAsia" w:ascii="宋体" w:hAnsi="宋体"/>
                <w:b/>
                <w:color w:val="auto"/>
                <w:szCs w:val="24"/>
                <w:highlight w:val="none"/>
                <w:u w:val="none"/>
              </w:rPr>
              <w:t>金额。销售机构的认购、申购起点</w:t>
            </w:r>
            <w:r>
              <w:rPr>
                <w:rFonts w:hint="eastAsia" w:ascii="宋体" w:hAnsi="宋体"/>
                <w:b/>
                <w:color w:val="auto"/>
                <w:szCs w:val="24"/>
                <w:highlight w:val="none"/>
                <w:u w:val="none"/>
                <w:lang w:eastAsia="zh-CN"/>
              </w:rPr>
              <w:t>销售</w:t>
            </w:r>
            <w:r>
              <w:rPr>
                <w:rFonts w:hint="eastAsia" w:ascii="宋体" w:hAnsi="宋体"/>
                <w:b/>
                <w:color w:val="auto"/>
                <w:szCs w:val="24"/>
                <w:highlight w:val="none"/>
                <w:u w:val="none"/>
              </w:rPr>
              <w:t>金额可能</w:t>
            </w:r>
            <w:r>
              <w:rPr>
                <w:rFonts w:ascii="宋体" w:hAnsi="宋体"/>
                <w:b/>
                <w:color w:val="auto"/>
                <w:szCs w:val="24"/>
                <w:highlight w:val="none"/>
                <w:u w:val="none"/>
              </w:rPr>
              <w:t>与本</w:t>
            </w:r>
            <w:r>
              <w:rPr>
                <w:rFonts w:hint="eastAsia" w:ascii="宋体" w:hAnsi="宋体"/>
                <w:b/>
                <w:color w:val="auto"/>
                <w:szCs w:val="24"/>
                <w:highlight w:val="none"/>
                <w:u w:val="none"/>
              </w:rPr>
              <w:t>产品</w:t>
            </w:r>
            <w:r>
              <w:rPr>
                <w:rFonts w:ascii="宋体" w:hAnsi="宋体"/>
                <w:b/>
                <w:color w:val="auto"/>
                <w:szCs w:val="24"/>
                <w:highlight w:val="none"/>
                <w:u w:val="none"/>
              </w:rPr>
              <w:t>说明书</w:t>
            </w:r>
            <w:r>
              <w:rPr>
                <w:rFonts w:hint="eastAsia" w:ascii="宋体" w:hAnsi="宋体"/>
                <w:b/>
                <w:color w:val="auto"/>
                <w:szCs w:val="24"/>
                <w:highlight w:val="none"/>
                <w:u w:val="none"/>
              </w:rPr>
              <w:t>不一致</w:t>
            </w:r>
            <w:r>
              <w:rPr>
                <w:rFonts w:ascii="宋体" w:hAnsi="宋体"/>
                <w:b/>
                <w:color w:val="auto"/>
                <w:szCs w:val="24"/>
                <w:highlight w:val="none"/>
                <w:u w:val="none"/>
              </w:rPr>
              <w:t>，</w:t>
            </w:r>
            <w:r>
              <w:rPr>
                <w:rFonts w:hint="eastAsia" w:ascii="宋体" w:hAnsi="宋体"/>
                <w:b/>
                <w:color w:val="auto"/>
                <w:szCs w:val="24"/>
                <w:highlight w:val="none"/>
                <w:u w:val="none"/>
              </w:rPr>
              <w:t>通过销售机构认购、申购</w:t>
            </w:r>
            <w:r>
              <w:rPr>
                <w:rFonts w:ascii="宋体" w:hAnsi="宋体"/>
                <w:b/>
                <w:color w:val="auto"/>
                <w:szCs w:val="24"/>
                <w:highlight w:val="none"/>
                <w:u w:val="none"/>
              </w:rPr>
              <w:t>的</w:t>
            </w:r>
            <w:r>
              <w:rPr>
                <w:rFonts w:hint="eastAsia" w:ascii="宋体" w:hAnsi="宋体"/>
                <w:b/>
                <w:color w:val="auto"/>
                <w:szCs w:val="24"/>
                <w:highlight w:val="none"/>
                <w:u w:val="none"/>
              </w:rPr>
              <w:t>具体以销售机构展示为准。销售机构的实际起点销售金额，不得低于本产品说明书约定的起点销售金额。</w:t>
            </w:r>
          </w:p>
        </w:tc>
      </w:tr>
      <w:tr w14:paraId="4C1F249A">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7A64EF7">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追加递增金额</w:t>
            </w:r>
          </w:p>
        </w:tc>
        <w:tc>
          <w:tcPr>
            <w:tcW w:w="6972" w:type="dxa"/>
            <w:tcBorders>
              <w:top w:val="single" w:color="auto" w:sz="4" w:space="0"/>
              <w:left w:val="single" w:color="auto" w:sz="4" w:space="0"/>
              <w:bottom w:val="single" w:color="auto" w:sz="4" w:space="0"/>
              <w:right w:val="single" w:color="auto" w:sz="4" w:space="0"/>
            </w:tcBorders>
            <w:vAlign w:val="center"/>
          </w:tcPr>
          <w:p w14:paraId="3D82D1B2">
            <w:pPr>
              <w:widowControl/>
              <w:spacing w:line="400" w:lineRule="exact"/>
              <w:jc w:val="left"/>
              <w:textAlignment w:val="center"/>
              <w:rPr>
                <w:rFonts w:hint="eastAsia" w:ascii="仿宋_GB2312" w:hAnsi="等线" w:eastAsia="仿宋_GB2312" w:cs="仿宋_GB2312"/>
                <w:bCs/>
                <w:color w:val="000000" w:themeColor="text1"/>
                <w:sz w:val="24"/>
                <w:lang w:eastAsia="zh-CN"/>
                <w14:textFill>
                  <w14:solidFill>
                    <w14:schemeClr w14:val="tx1"/>
                  </w14:solidFill>
                </w14:textFill>
              </w:rPr>
            </w:pPr>
            <w:r>
              <w:rPr>
                <w:rFonts w:hint="eastAsia" w:ascii="宋体" w:hAnsi="宋体"/>
                <w:color w:val="auto"/>
                <w:szCs w:val="24"/>
                <w:highlight w:val="yellow"/>
                <w:u w:val="none"/>
              </w:rPr>
              <w:t>【</w:t>
            </w:r>
            <w:r>
              <w:rPr>
                <w:rFonts w:hint="eastAsia" w:ascii="宋体" w:hAnsi="宋体"/>
                <w:color w:val="auto"/>
                <w:szCs w:val="24"/>
                <w:highlight w:val="yellow"/>
                <w:u w:val="none"/>
                <w:lang w:eastAsia="zh-CN"/>
              </w:rPr>
              <w:t>份额代码</w:t>
            </w:r>
            <w:r>
              <w:rPr>
                <w:rFonts w:hint="eastAsia" w:ascii="宋体" w:hAnsi="宋体"/>
                <w:color w:val="auto"/>
                <w:szCs w:val="24"/>
                <w:highlight w:val="yellow"/>
                <w:u w:val="none"/>
              </w:rPr>
              <w:t>】</w:t>
            </w:r>
            <w:r>
              <w:rPr>
                <w:rFonts w:hint="eastAsia" w:ascii="宋体" w:hAnsi="宋体"/>
                <w:color w:val="auto"/>
                <w:szCs w:val="24"/>
                <w:highlight w:val="none"/>
                <w:u w:val="none"/>
                <w:lang w:val="en-US" w:eastAsia="zh-CN"/>
              </w:rPr>
              <w:t>：</w:t>
            </w:r>
            <w:r>
              <w:rPr>
                <w:rFonts w:hint="eastAsia" w:ascii="宋体" w:hAnsi="宋体"/>
                <w:color w:val="auto"/>
                <w:szCs w:val="24"/>
                <w:highlight w:val="yellow"/>
                <w:u w:val="none"/>
              </w:rPr>
              <w:t>【】</w:t>
            </w:r>
            <w:r>
              <w:rPr>
                <w:rFonts w:hint="eastAsia" w:ascii="宋体" w:hAnsi="宋体"/>
                <w:color w:val="auto"/>
                <w:szCs w:val="24"/>
                <w:highlight w:val="none"/>
                <w:u w:val="none"/>
                <w:lang w:val="en-US" w:eastAsia="zh-CN"/>
              </w:rPr>
              <w:t>元</w:t>
            </w:r>
          </w:p>
        </w:tc>
      </w:tr>
      <w:tr w14:paraId="2A2828F6">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467ACEB">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计划募集金额</w:t>
            </w:r>
          </w:p>
        </w:tc>
        <w:tc>
          <w:tcPr>
            <w:tcW w:w="6972" w:type="dxa"/>
            <w:tcBorders>
              <w:top w:val="single" w:color="auto" w:sz="4" w:space="0"/>
              <w:left w:val="single" w:color="auto" w:sz="4" w:space="0"/>
              <w:bottom w:val="single" w:color="auto" w:sz="4" w:space="0"/>
              <w:right w:val="single" w:color="auto" w:sz="4" w:space="0"/>
            </w:tcBorders>
            <w:vAlign w:val="center"/>
          </w:tcPr>
          <w:p w14:paraId="4F7F83C7">
            <w:pPr>
              <w:widowControl/>
              <w:spacing w:line="400" w:lineRule="exact"/>
              <w:jc w:val="left"/>
              <w:textAlignment w:val="center"/>
              <w:rPr>
                <w:rFonts w:hint="eastAsia" w:ascii="宋体" w:hAnsi="宋体"/>
                <w:color w:val="auto"/>
                <w:szCs w:val="24"/>
                <w:highlight w:val="none"/>
                <w:u w:val="none"/>
                <w:lang w:val="en-US" w:eastAsia="zh-CN"/>
              </w:rPr>
            </w:pPr>
            <w:r>
              <w:rPr>
                <w:rFonts w:hint="eastAsia" w:ascii="宋体" w:hAnsi="宋体"/>
                <w:color w:val="auto"/>
                <w:szCs w:val="24"/>
                <w:highlight w:val="yellow"/>
                <w:u w:val="none"/>
              </w:rPr>
              <w:t>【</w:t>
            </w:r>
            <w:r>
              <w:rPr>
                <w:rFonts w:hint="eastAsia" w:ascii="宋体" w:hAnsi="宋体"/>
                <w:color w:val="auto"/>
                <w:szCs w:val="24"/>
                <w:highlight w:val="yellow"/>
                <w:u w:val="none"/>
                <w:lang w:val="en-US" w:eastAsia="zh-CN"/>
              </w:rPr>
              <w:t>200亿</w:t>
            </w:r>
            <w:r>
              <w:rPr>
                <w:rFonts w:hint="eastAsia" w:ascii="宋体" w:hAnsi="宋体"/>
                <w:color w:val="auto"/>
                <w:szCs w:val="24"/>
                <w:highlight w:val="yellow"/>
                <w:u w:val="none"/>
              </w:rPr>
              <w:t>】</w:t>
            </w:r>
            <w:r>
              <w:rPr>
                <w:rFonts w:hint="eastAsia" w:ascii="宋体" w:hAnsi="宋体"/>
                <w:color w:val="auto"/>
                <w:szCs w:val="24"/>
                <w:highlight w:val="none"/>
                <w:u w:val="none"/>
                <w:lang w:val="en-US" w:eastAsia="zh-CN"/>
              </w:rPr>
              <w:t>元。</w:t>
            </w:r>
          </w:p>
          <w:p w14:paraId="07B6F306">
            <w:pPr>
              <w:widowControl/>
              <w:spacing w:line="400" w:lineRule="exact"/>
              <w:jc w:val="left"/>
              <w:textAlignment w:val="center"/>
              <w:rPr>
                <w:rFonts w:hint="eastAsia" w:ascii="宋体" w:hAnsi="宋体"/>
                <w:color w:val="auto"/>
                <w:szCs w:val="24"/>
                <w:highlight w:val="none"/>
                <w:u w:val="none"/>
                <w:lang w:val="en-US" w:eastAsia="zh-CN"/>
              </w:rPr>
            </w:pPr>
            <w:r>
              <w:rPr>
                <w:rFonts w:hint="eastAsia"/>
                <w:b/>
                <w:bCs/>
                <w:color w:val="auto"/>
                <w:szCs w:val="24"/>
                <w:highlight w:val="none"/>
                <w:u w:val="none"/>
              </w:rPr>
              <w:t>管理人有权根据实际需要调整</w:t>
            </w:r>
            <w:r>
              <w:rPr>
                <w:rFonts w:hint="eastAsia"/>
                <w:b/>
                <w:bCs/>
                <w:color w:val="auto"/>
                <w:szCs w:val="24"/>
                <w:highlight w:val="none"/>
                <w:u w:val="none"/>
                <w:lang w:eastAsia="zh-CN"/>
              </w:rPr>
              <w:t>计划募集金额</w:t>
            </w:r>
            <w:r>
              <w:rPr>
                <w:rFonts w:hint="eastAsia"/>
                <w:b/>
                <w:bCs/>
                <w:color w:val="auto"/>
                <w:szCs w:val="24"/>
                <w:highlight w:val="none"/>
                <w:u w:val="none"/>
              </w:rPr>
              <w:t>上限。</w:t>
            </w:r>
          </w:p>
        </w:tc>
      </w:tr>
      <w:tr w14:paraId="02DD0352">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E983932">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color w:val="auto"/>
                <w:szCs w:val="24"/>
                <w:highlight w:val="none"/>
                <w:u w:val="none"/>
              </w:rPr>
              <w:t>产品最低成立规模</w:t>
            </w:r>
          </w:p>
        </w:tc>
        <w:tc>
          <w:tcPr>
            <w:tcW w:w="6972" w:type="dxa"/>
            <w:tcBorders>
              <w:top w:val="single" w:color="auto" w:sz="4" w:space="0"/>
              <w:left w:val="single" w:color="auto" w:sz="4" w:space="0"/>
              <w:bottom w:val="single" w:color="auto" w:sz="4" w:space="0"/>
              <w:right w:val="single" w:color="auto" w:sz="4" w:space="0"/>
            </w:tcBorders>
            <w:vAlign w:val="center"/>
          </w:tcPr>
          <w:p w14:paraId="5CB8FEB8">
            <w:pPr>
              <w:widowControl/>
              <w:jc w:val="left"/>
              <w:rPr>
                <w:rFonts w:ascii="宋体" w:hAnsi="宋体"/>
                <w:bCs/>
                <w:color w:val="auto"/>
                <w:szCs w:val="24"/>
                <w:highlight w:val="none"/>
                <w:u w:val="none"/>
              </w:rPr>
            </w:pPr>
            <w:r>
              <w:rPr>
                <w:rFonts w:hint="eastAsia" w:ascii="宋体" w:hAnsi="宋体"/>
                <w:color w:val="auto"/>
                <w:szCs w:val="24"/>
                <w:highlight w:val="yellow"/>
                <w:u w:val="none"/>
              </w:rPr>
              <w:t>【】</w:t>
            </w:r>
            <w:r>
              <w:rPr>
                <w:rFonts w:hint="eastAsia" w:ascii="宋体" w:hAnsi="宋体"/>
                <w:bCs/>
                <w:color w:val="auto"/>
                <w:szCs w:val="24"/>
                <w:highlight w:val="none"/>
                <w:u w:val="none"/>
              </w:rPr>
              <w:t>亿元。</w:t>
            </w:r>
          </w:p>
          <w:p w14:paraId="1BF23570">
            <w:pPr>
              <w:widowControl/>
              <w:jc w:val="left"/>
              <w:rPr>
                <w:rFonts w:hint="eastAsia"/>
                <w:b/>
                <w:bCs/>
                <w:color w:val="auto"/>
                <w:szCs w:val="24"/>
                <w:highlight w:val="none"/>
                <w:u w:val="none"/>
              </w:rPr>
            </w:pPr>
            <w:r>
              <w:rPr>
                <w:rFonts w:hint="eastAsia"/>
                <w:color w:val="auto"/>
                <w:szCs w:val="24"/>
                <w:highlight w:val="none"/>
                <w:u w:val="none"/>
              </w:rPr>
              <w:t>若认购金额不足</w:t>
            </w:r>
            <w:r>
              <w:rPr>
                <w:rFonts w:hint="eastAsia" w:ascii="宋体" w:hAnsi="宋体"/>
                <w:color w:val="auto"/>
                <w:szCs w:val="24"/>
                <w:highlight w:val="yellow"/>
                <w:u w:val="none"/>
              </w:rPr>
              <w:t>【】</w:t>
            </w:r>
            <w:r>
              <w:rPr>
                <w:rFonts w:hint="eastAsia" w:ascii="宋体" w:hAnsi="宋体"/>
                <w:bCs/>
                <w:color w:val="auto"/>
                <w:szCs w:val="24"/>
                <w:highlight w:val="none"/>
                <w:u w:val="none"/>
              </w:rPr>
              <w:t>亿元</w:t>
            </w:r>
            <w:r>
              <w:rPr>
                <w:rFonts w:hint="eastAsia"/>
                <w:color w:val="auto"/>
                <w:szCs w:val="24"/>
                <w:highlight w:val="none"/>
                <w:u w:val="none"/>
              </w:rPr>
              <w:t>，</w:t>
            </w:r>
            <w:r>
              <w:rPr>
                <w:rFonts w:hint="eastAsia"/>
                <w:b/>
                <w:bCs/>
                <w:color w:val="auto"/>
                <w:szCs w:val="24"/>
                <w:highlight w:val="none"/>
                <w:u w:val="none"/>
              </w:rPr>
              <w:t>管理人有权宣布理财产品不成立，亦有权调整</w:t>
            </w:r>
            <w:r>
              <w:rPr>
                <w:rFonts w:hint="eastAsia" w:ascii="宋体" w:hAnsi="宋体"/>
                <w:b/>
                <w:bCs/>
                <w:color w:val="auto"/>
                <w:szCs w:val="24"/>
                <w:highlight w:val="none"/>
                <w:u w:val="none"/>
              </w:rPr>
              <w:t>产品最低成立规模，具体以管理人公告为准</w:t>
            </w:r>
            <w:r>
              <w:rPr>
                <w:rFonts w:hint="eastAsia"/>
                <w:color w:val="auto"/>
                <w:szCs w:val="24"/>
                <w:highlight w:val="none"/>
                <w:u w:val="none"/>
              </w:rPr>
              <w:t>。</w:t>
            </w:r>
          </w:p>
        </w:tc>
      </w:tr>
      <w:tr w14:paraId="652064ED">
        <w:tblPrEx>
          <w:tblCellMar>
            <w:top w:w="0" w:type="dxa"/>
            <w:left w:w="108" w:type="dxa"/>
            <w:bottom w:w="0" w:type="dxa"/>
            <w:right w:w="108" w:type="dxa"/>
          </w:tblCellMar>
        </w:tblPrEx>
        <w:trPr>
          <w:trHeight w:val="1280" w:hRule="atLeast"/>
        </w:trPr>
        <w:tc>
          <w:tcPr>
            <w:tcW w:w="2453" w:type="dxa"/>
            <w:tcBorders>
              <w:top w:val="single" w:color="auto" w:sz="4" w:space="0"/>
              <w:left w:val="single" w:color="auto" w:sz="4" w:space="0"/>
              <w:bottom w:val="single" w:color="auto" w:sz="4" w:space="0"/>
              <w:right w:val="single" w:color="auto" w:sz="4" w:space="0"/>
            </w:tcBorders>
            <w:vAlign w:val="center"/>
          </w:tcPr>
          <w:p w14:paraId="200151BF">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认购、申购、赎回安排</w:t>
            </w:r>
          </w:p>
        </w:tc>
        <w:tc>
          <w:tcPr>
            <w:tcW w:w="6972" w:type="dxa"/>
            <w:tcBorders>
              <w:top w:val="single" w:color="auto" w:sz="4" w:space="0"/>
              <w:left w:val="single" w:color="auto" w:sz="4" w:space="0"/>
              <w:bottom w:val="single" w:color="auto" w:sz="4" w:space="0"/>
              <w:right w:val="single" w:color="auto" w:sz="4" w:space="0"/>
            </w:tcBorders>
            <w:vAlign w:val="center"/>
          </w:tcPr>
          <w:p w14:paraId="2061797F">
            <w:pPr>
              <w:snapToGrid w:val="0"/>
              <w:rPr>
                <w:rFonts w:hint="eastAsia" w:ascii="宋体" w:hAnsi="宋体" w:eastAsia="仿宋_GB2312"/>
                <w:szCs w:val="24"/>
                <w:lang w:eastAsia="zh-CN"/>
              </w:rPr>
            </w:pPr>
            <w:r>
              <w:rPr>
                <w:rFonts w:hint="eastAsia" w:ascii="仿宋_GB2312" w:hAnsi="宋体" w:cs="宋体"/>
                <w:bCs/>
                <w:color w:val="auto"/>
                <w:kern w:val="0"/>
                <w:szCs w:val="24"/>
                <w:highlight w:val="yellow"/>
                <w:lang w:val="en-US" w:eastAsia="zh-CN"/>
              </w:rPr>
              <w:t>【</w:t>
            </w:r>
            <w:r>
              <w:rPr>
                <w:rFonts w:hint="eastAsia" w:ascii="仿宋_GB2312" w:hAnsi="宋体" w:cs="宋体"/>
                <w:bCs/>
                <w:color w:val="auto"/>
                <w:kern w:val="0"/>
                <w:szCs w:val="24"/>
                <w:highlight w:val="none"/>
                <w:lang w:val="en-US" w:eastAsia="zh-CN"/>
              </w:rPr>
              <w:t>1.产品募集期为募集起始日期至募集结束日期，</w:t>
            </w:r>
            <w:r>
              <w:rPr>
                <w:rFonts w:hint="eastAsia" w:ascii="仿宋_GB2312" w:hAnsi="宋体" w:cs="宋体"/>
                <w:bCs/>
                <w:color w:val="auto"/>
                <w:kern w:val="0"/>
                <w:szCs w:val="24"/>
                <w:highlight w:val="none"/>
              </w:rPr>
              <w:t>产品募集期内，投资者可多次对本产品认购、追加、</w:t>
            </w:r>
            <w:r>
              <w:rPr>
                <w:rFonts w:hint="eastAsia"/>
                <w:color w:val="auto"/>
                <w:highlight w:val="none"/>
              </w:rPr>
              <w:t>撤单</w:t>
            </w:r>
            <w:r>
              <w:rPr>
                <w:rFonts w:hint="eastAsia" w:ascii="仿宋_GB2312" w:hAnsi="宋体" w:cs="宋体"/>
                <w:bCs/>
                <w:color w:val="auto"/>
                <w:kern w:val="0"/>
                <w:szCs w:val="24"/>
                <w:highlight w:val="none"/>
              </w:rPr>
              <w:t>。</w:t>
            </w:r>
          </w:p>
          <w:p w14:paraId="01C87F34">
            <w:pPr>
              <w:snapToGrid w:val="0"/>
              <w:rPr>
                <w:rFonts w:ascii="宋体" w:hAnsi="宋体"/>
                <w:color w:val="auto"/>
                <w:szCs w:val="24"/>
                <w:highlight w:val="none"/>
                <w:u w:val="none"/>
              </w:rPr>
            </w:pPr>
            <w:r>
              <w:rPr>
                <w:rFonts w:hint="eastAsia" w:ascii="宋体" w:hAnsi="宋体"/>
                <w:color w:val="auto"/>
                <w:szCs w:val="24"/>
                <w:highlight w:val="none"/>
                <w:u w:val="none"/>
                <w:lang w:val="en-US" w:eastAsia="zh-CN"/>
              </w:rPr>
              <w:t>2</w:t>
            </w:r>
            <w:r>
              <w:rPr>
                <w:rFonts w:ascii="宋体" w:hAnsi="宋体"/>
                <w:color w:val="auto"/>
                <w:szCs w:val="24"/>
                <w:highlight w:val="none"/>
                <w:u w:val="none"/>
              </w:rPr>
              <w:t>.</w:t>
            </w:r>
            <w:r>
              <w:rPr>
                <w:rFonts w:hint="eastAsia" w:ascii="宋体" w:hAnsi="宋体"/>
                <w:color w:val="auto"/>
                <w:szCs w:val="24"/>
                <w:highlight w:val="none"/>
                <w:u w:val="none"/>
              </w:rPr>
              <w:t>本产品的封闭期</w:t>
            </w:r>
          </w:p>
          <w:p w14:paraId="0E122FDD">
            <w:pPr>
              <w:snapToGrid w:val="0"/>
              <w:rPr>
                <w:rFonts w:ascii="宋体" w:hAnsi="宋体"/>
                <w:color w:val="auto"/>
                <w:szCs w:val="24"/>
                <w:highlight w:val="none"/>
                <w:u w:val="none"/>
              </w:rPr>
            </w:pPr>
            <w:r>
              <w:rPr>
                <w:rFonts w:hint="eastAsia" w:ascii="宋体" w:hAnsi="宋体"/>
                <w:color w:val="auto"/>
                <w:szCs w:val="24"/>
                <w:highlight w:val="none"/>
                <w:u w:val="none"/>
              </w:rPr>
              <w:t>本产品成立后，产品封闭期为</w:t>
            </w:r>
            <w:r>
              <w:rPr>
                <w:rFonts w:hint="eastAsia" w:ascii="宋体" w:hAnsi="宋体"/>
                <w:color w:val="auto"/>
                <w:szCs w:val="24"/>
                <w:highlight w:val="yellow"/>
                <w:u w:val="none"/>
              </w:rPr>
              <w:t>【】</w:t>
            </w:r>
            <w:r>
              <w:rPr>
                <w:rFonts w:hint="eastAsia" w:ascii="宋体" w:hAnsi="宋体"/>
                <w:color w:val="auto"/>
                <w:szCs w:val="24"/>
                <w:highlight w:val="none"/>
                <w:u w:val="none"/>
              </w:rPr>
              <w:t>年</w:t>
            </w:r>
            <w:r>
              <w:rPr>
                <w:rFonts w:hint="eastAsia" w:ascii="宋体" w:hAnsi="宋体"/>
                <w:color w:val="auto"/>
                <w:szCs w:val="24"/>
                <w:highlight w:val="yellow"/>
                <w:u w:val="none"/>
              </w:rPr>
              <w:t>【】</w:t>
            </w:r>
            <w:r>
              <w:rPr>
                <w:rFonts w:hint="eastAsia" w:ascii="宋体" w:hAnsi="宋体"/>
                <w:color w:val="auto"/>
                <w:szCs w:val="24"/>
                <w:highlight w:val="none"/>
                <w:u w:val="none"/>
              </w:rPr>
              <w:t>月</w:t>
            </w:r>
            <w:r>
              <w:rPr>
                <w:rFonts w:hint="eastAsia" w:ascii="宋体" w:hAnsi="宋体"/>
                <w:color w:val="auto"/>
                <w:szCs w:val="24"/>
                <w:highlight w:val="yellow"/>
                <w:u w:val="none"/>
              </w:rPr>
              <w:t>【】</w:t>
            </w:r>
            <w:r>
              <w:rPr>
                <w:rFonts w:hint="eastAsia" w:ascii="宋体" w:hAnsi="宋体"/>
                <w:color w:val="auto"/>
                <w:szCs w:val="24"/>
                <w:highlight w:val="none"/>
                <w:u w:val="none"/>
              </w:rPr>
              <w:t>日至</w:t>
            </w:r>
            <w:r>
              <w:rPr>
                <w:rFonts w:hint="eastAsia" w:ascii="宋体" w:hAnsi="宋体"/>
                <w:color w:val="auto"/>
                <w:szCs w:val="24"/>
                <w:highlight w:val="yellow"/>
                <w:u w:val="none"/>
              </w:rPr>
              <w:t>【】</w:t>
            </w:r>
            <w:r>
              <w:rPr>
                <w:rFonts w:hint="eastAsia" w:ascii="宋体" w:hAnsi="宋体"/>
                <w:color w:val="auto"/>
                <w:szCs w:val="24"/>
                <w:highlight w:val="none"/>
                <w:u w:val="none"/>
              </w:rPr>
              <w:t>年</w:t>
            </w:r>
            <w:r>
              <w:rPr>
                <w:rFonts w:hint="eastAsia" w:ascii="宋体" w:hAnsi="宋体"/>
                <w:color w:val="auto"/>
                <w:szCs w:val="24"/>
                <w:highlight w:val="yellow"/>
                <w:u w:val="none"/>
              </w:rPr>
              <w:t>【】</w:t>
            </w:r>
            <w:r>
              <w:rPr>
                <w:rFonts w:hint="eastAsia" w:ascii="宋体" w:hAnsi="宋体"/>
                <w:color w:val="auto"/>
                <w:szCs w:val="24"/>
                <w:highlight w:val="none"/>
                <w:u w:val="none"/>
              </w:rPr>
              <w:t>月</w:t>
            </w:r>
            <w:r>
              <w:rPr>
                <w:rFonts w:hint="eastAsia" w:ascii="宋体" w:hAnsi="宋体"/>
                <w:color w:val="auto"/>
                <w:szCs w:val="24"/>
                <w:highlight w:val="yellow"/>
                <w:u w:val="none"/>
              </w:rPr>
              <w:t>【】</w:t>
            </w:r>
            <w:r>
              <w:rPr>
                <w:rFonts w:hint="eastAsia" w:ascii="宋体" w:hAnsi="宋体"/>
                <w:color w:val="auto"/>
                <w:szCs w:val="24"/>
                <w:highlight w:val="none"/>
                <w:u w:val="none"/>
              </w:rPr>
              <w:t>日，封闭期内不接受申购或赎回申请。</w:t>
            </w:r>
          </w:p>
          <w:p w14:paraId="12320C0B">
            <w:pPr>
              <w:snapToGrid w:val="0"/>
              <w:rPr>
                <w:rFonts w:ascii="宋体" w:hAnsi="宋体"/>
                <w:color w:val="auto"/>
                <w:szCs w:val="24"/>
                <w:highlight w:val="none"/>
                <w:u w:val="none"/>
              </w:rPr>
            </w:pPr>
            <w:r>
              <w:rPr>
                <w:rFonts w:hint="eastAsia" w:ascii="宋体" w:hAnsi="宋体"/>
                <w:color w:val="auto"/>
                <w:szCs w:val="24"/>
                <w:highlight w:val="none"/>
                <w:u w:val="none"/>
                <w:lang w:val="en-US" w:eastAsia="zh-CN"/>
              </w:rPr>
              <w:t>3</w:t>
            </w:r>
            <w:r>
              <w:rPr>
                <w:rFonts w:ascii="宋体" w:hAnsi="宋体"/>
                <w:color w:val="auto"/>
                <w:szCs w:val="24"/>
                <w:highlight w:val="none"/>
                <w:u w:val="none"/>
              </w:rPr>
              <w:t>.</w:t>
            </w:r>
            <w:r>
              <w:rPr>
                <w:rFonts w:hint="eastAsia" w:ascii="宋体" w:hAnsi="宋体"/>
                <w:color w:val="auto"/>
                <w:szCs w:val="24"/>
                <w:highlight w:val="none"/>
                <w:u w:val="none"/>
              </w:rPr>
              <w:t>本产品的开放期</w:t>
            </w:r>
          </w:p>
          <w:p w14:paraId="1A6C85FA">
            <w:pPr>
              <w:snapToGrid w:val="0"/>
              <w:rPr>
                <w:rFonts w:ascii="宋体" w:hAnsi="宋体"/>
                <w:color w:val="auto"/>
                <w:szCs w:val="24"/>
                <w:highlight w:val="none"/>
                <w:u w:val="none"/>
              </w:rPr>
            </w:pPr>
            <w:r>
              <w:rPr>
                <w:rFonts w:hint="eastAsia" w:ascii="宋体" w:hAnsi="宋体"/>
                <w:color w:val="auto"/>
                <w:szCs w:val="24"/>
                <w:highlight w:val="none"/>
                <w:u w:val="none"/>
              </w:rPr>
              <w:t>本理财产品最短持有期为</w:t>
            </w:r>
            <w:r>
              <w:rPr>
                <w:rFonts w:hint="eastAsia" w:ascii="宋体" w:hAnsi="宋体"/>
                <w:color w:val="auto"/>
                <w:szCs w:val="24"/>
                <w:highlight w:val="yellow"/>
                <w:u w:val="none"/>
              </w:rPr>
              <w:t>【】</w:t>
            </w:r>
            <w:r>
              <w:rPr>
                <w:rFonts w:hint="eastAsia" w:ascii="宋体" w:hAnsi="宋体"/>
                <w:color w:val="auto"/>
                <w:szCs w:val="24"/>
                <w:highlight w:val="none"/>
                <w:u w:val="none"/>
              </w:rPr>
              <w:t>个自然日。本产品封闭期结束后的第一个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hint="eastAsia" w:ascii="宋体" w:hAnsi="宋体"/>
                <w:color w:val="auto"/>
                <w:szCs w:val="24"/>
                <w:highlight w:val="none"/>
                <w:u w:val="none"/>
              </w:rPr>
              <w:t>起每个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hint="eastAsia" w:ascii="宋体" w:hAnsi="宋体"/>
                <w:color w:val="auto"/>
                <w:szCs w:val="24"/>
                <w:highlight w:val="none"/>
                <w:u w:val="none"/>
              </w:rPr>
              <w:t>开放（产品管理人公告暂停开放的日期除外），投资者可于开放期内提交申购申请。自产品成立日</w:t>
            </w:r>
            <w:r>
              <w:rPr>
                <w:rFonts w:ascii="宋体" w:hAnsi="宋体"/>
                <w:color w:val="auto"/>
                <w:szCs w:val="24"/>
                <w:highlight w:val="none"/>
                <w:u w:val="none"/>
              </w:rPr>
              <w:t>/</w:t>
            </w:r>
            <w:r>
              <w:rPr>
                <w:rFonts w:hint="eastAsia" w:ascii="宋体" w:hAnsi="宋体"/>
                <w:color w:val="auto"/>
                <w:szCs w:val="24"/>
                <w:highlight w:val="none"/>
                <w:u w:val="none"/>
              </w:rPr>
              <w:t>申购确认日起至第</w:t>
            </w:r>
            <w:r>
              <w:rPr>
                <w:rFonts w:hint="eastAsia" w:ascii="宋体" w:hAnsi="宋体"/>
                <w:color w:val="auto"/>
                <w:szCs w:val="24"/>
                <w:highlight w:val="yellow"/>
                <w:u w:val="none"/>
              </w:rPr>
              <w:t>【】</w:t>
            </w:r>
            <w:r>
              <w:rPr>
                <w:rFonts w:hint="eastAsia" w:ascii="宋体" w:hAnsi="宋体"/>
                <w:color w:val="auto"/>
                <w:szCs w:val="24"/>
                <w:highlight w:val="none"/>
                <w:u w:val="none"/>
              </w:rPr>
              <w:t>个自然日（含当日）投资者不能赎回该产品份额，自产品成立日</w:t>
            </w:r>
            <w:r>
              <w:rPr>
                <w:rFonts w:ascii="宋体" w:hAnsi="宋体"/>
                <w:color w:val="auto"/>
                <w:szCs w:val="24"/>
                <w:highlight w:val="none"/>
                <w:u w:val="none"/>
              </w:rPr>
              <w:t>/</w:t>
            </w:r>
            <w:r>
              <w:rPr>
                <w:rFonts w:hint="eastAsia" w:ascii="宋体" w:hAnsi="宋体"/>
                <w:color w:val="auto"/>
                <w:szCs w:val="24"/>
                <w:highlight w:val="none"/>
                <w:u w:val="none"/>
              </w:rPr>
              <w:t>申购确认日起第</w:t>
            </w:r>
            <w:r>
              <w:rPr>
                <w:rFonts w:hint="eastAsia" w:ascii="宋体" w:hAnsi="宋体"/>
                <w:color w:val="auto"/>
                <w:szCs w:val="24"/>
                <w:highlight w:val="yellow"/>
                <w:u w:val="none"/>
              </w:rPr>
              <w:t>【】</w:t>
            </w:r>
            <w:r>
              <w:rPr>
                <w:rFonts w:hint="eastAsia" w:ascii="宋体" w:hAnsi="宋体"/>
                <w:color w:val="auto"/>
                <w:szCs w:val="24"/>
                <w:highlight w:val="none"/>
                <w:u w:val="none"/>
              </w:rPr>
              <w:t>个自然日起（含当日），投资者可于任一开放日赎回该产品份额。</w:t>
            </w:r>
          </w:p>
          <w:p w14:paraId="6C334A31">
            <w:pPr>
              <w:snapToGrid w:val="0"/>
              <w:rPr>
                <w:rFonts w:ascii="宋体" w:hAnsi="宋体"/>
                <w:color w:val="auto"/>
                <w:szCs w:val="24"/>
                <w:highlight w:val="none"/>
                <w:u w:val="none"/>
              </w:rPr>
            </w:pPr>
            <w:r>
              <w:rPr>
                <w:rFonts w:hint="eastAsia" w:ascii="宋体" w:hAnsi="宋体"/>
                <w:color w:val="auto"/>
                <w:szCs w:val="24"/>
                <w:highlight w:val="none"/>
                <w:u w:val="none"/>
                <w:lang w:val="en-US" w:eastAsia="zh-CN"/>
              </w:rPr>
              <w:t>4</w:t>
            </w:r>
            <w:r>
              <w:rPr>
                <w:rFonts w:ascii="宋体" w:hAnsi="宋体"/>
                <w:color w:val="auto"/>
                <w:szCs w:val="24"/>
                <w:highlight w:val="none"/>
                <w:u w:val="none"/>
              </w:rPr>
              <w:t>.</w:t>
            </w:r>
            <w:r>
              <w:rPr>
                <w:rFonts w:hint="eastAsia" w:ascii="宋体" w:hAnsi="宋体"/>
                <w:color w:val="auto"/>
                <w:szCs w:val="24"/>
                <w:highlight w:val="none"/>
                <w:u w:val="none"/>
              </w:rPr>
              <w:t>申购安排：</w:t>
            </w:r>
          </w:p>
          <w:p w14:paraId="05F17D6C">
            <w:pPr>
              <w:snapToGrid w:val="0"/>
              <w:rPr>
                <w:rFonts w:ascii="宋体" w:hAnsi="宋体"/>
                <w:color w:val="auto"/>
                <w:szCs w:val="24"/>
                <w:highlight w:val="none"/>
                <w:u w:val="none"/>
              </w:rPr>
            </w:pPr>
            <w:r>
              <w:rPr>
                <w:rFonts w:hint="eastAsia" w:ascii="宋体" w:hAnsi="宋体"/>
                <w:color w:val="auto"/>
                <w:szCs w:val="24"/>
                <w:highlight w:val="none"/>
                <w:u w:val="none"/>
              </w:rPr>
              <w:t>（</w:t>
            </w:r>
            <w:r>
              <w:rPr>
                <w:rFonts w:ascii="宋体" w:hAnsi="宋体"/>
                <w:color w:val="auto"/>
                <w:szCs w:val="24"/>
                <w:highlight w:val="none"/>
                <w:u w:val="none"/>
              </w:rPr>
              <w:t>1</w:t>
            </w:r>
            <w:r>
              <w:rPr>
                <w:rFonts w:hint="eastAsia" w:ascii="宋体" w:hAnsi="宋体"/>
                <w:color w:val="auto"/>
                <w:szCs w:val="24"/>
                <w:highlight w:val="none"/>
                <w:u w:val="none"/>
              </w:rPr>
              <w:t>）申购的时间</w:t>
            </w:r>
          </w:p>
          <w:p w14:paraId="49A72E33">
            <w:pPr>
              <w:snapToGrid w:val="0"/>
              <w:rPr>
                <w:rFonts w:ascii="宋体" w:hAnsi="宋体"/>
                <w:color w:val="auto"/>
                <w:szCs w:val="24"/>
                <w:highlight w:val="none"/>
                <w:u w:val="none"/>
              </w:rPr>
            </w:pPr>
            <w:r>
              <w:rPr>
                <w:rFonts w:hint="eastAsia" w:ascii="宋体" w:hAnsi="宋体"/>
                <w:color w:val="auto"/>
                <w:szCs w:val="24"/>
                <w:highlight w:val="none"/>
                <w:u w:val="none"/>
              </w:rPr>
              <w:t>投资者在</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hint="eastAsia" w:ascii="宋体" w:hAnsi="宋体"/>
                <w:color w:val="auto"/>
                <w:szCs w:val="24"/>
                <w:highlight w:val="yellow"/>
                <w:u w:val="none"/>
              </w:rPr>
              <w:t>【</w:t>
            </w:r>
            <w:r>
              <w:rPr>
                <w:rFonts w:hint="eastAsia" w:ascii="宋体" w:hAnsi="宋体"/>
                <w:color w:val="auto"/>
                <w:szCs w:val="24"/>
                <w:highlight w:val="yellow"/>
                <w:u w:val="none"/>
                <w:lang w:val="en-US" w:eastAsia="zh-CN"/>
              </w:rPr>
              <w:t>xx:xx</w:t>
            </w:r>
            <w:r>
              <w:rPr>
                <w:rFonts w:hint="eastAsia" w:ascii="宋体" w:hAnsi="宋体"/>
                <w:color w:val="auto"/>
                <w:szCs w:val="24"/>
                <w:highlight w:val="yellow"/>
                <w:u w:val="none"/>
              </w:rPr>
              <w:t>】</w:t>
            </w:r>
            <w:r>
              <w:rPr>
                <w:rFonts w:hint="eastAsia" w:ascii="宋体" w:hAnsi="宋体"/>
                <w:color w:val="auto"/>
                <w:szCs w:val="24"/>
                <w:highlight w:val="none"/>
                <w:u w:val="none"/>
              </w:rPr>
              <w:t>前提交申购申请的，提交当日为申购日。</w:t>
            </w:r>
          </w:p>
          <w:p w14:paraId="67C264D8">
            <w:pPr>
              <w:snapToGrid w:val="0"/>
              <w:rPr>
                <w:rFonts w:ascii="宋体" w:hAnsi="宋体"/>
                <w:color w:val="auto"/>
                <w:szCs w:val="24"/>
                <w:highlight w:val="none"/>
                <w:u w:val="none"/>
              </w:rPr>
            </w:pPr>
            <w:r>
              <w:rPr>
                <w:rFonts w:hint="eastAsia" w:ascii="宋体" w:hAnsi="宋体"/>
                <w:color w:val="auto"/>
                <w:szCs w:val="24"/>
                <w:highlight w:val="none"/>
                <w:u w:val="none"/>
              </w:rPr>
              <w:t>投资者在</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hint="eastAsia" w:ascii="宋体" w:hAnsi="宋体"/>
                <w:color w:val="auto"/>
                <w:szCs w:val="24"/>
                <w:highlight w:val="yellow"/>
                <w:u w:val="none"/>
              </w:rPr>
              <w:t>【</w:t>
            </w:r>
            <w:r>
              <w:rPr>
                <w:rFonts w:hint="eastAsia" w:ascii="宋体" w:hAnsi="宋体"/>
                <w:color w:val="auto"/>
                <w:szCs w:val="24"/>
                <w:highlight w:val="yellow"/>
                <w:u w:val="none"/>
                <w:lang w:val="en-US" w:eastAsia="zh-CN"/>
              </w:rPr>
              <w:t>xx:xx</w:t>
            </w:r>
            <w:r>
              <w:rPr>
                <w:rFonts w:hint="eastAsia" w:ascii="宋体" w:hAnsi="宋体"/>
                <w:color w:val="auto"/>
                <w:szCs w:val="24"/>
                <w:highlight w:val="yellow"/>
                <w:u w:val="none"/>
              </w:rPr>
              <w:t>】</w:t>
            </w:r>
            <w:r>
              <w:rPr>
                <w:rFonts w:hint="eastAsia" w:ascii="宋体" w:hAnsi="宋体"/>
                <w:color w:val="auto"/>
                <w:szCs w:val="24"/>
                <w:highlight w:val="none"/>
                <w:u w:val="none"/>
              </w:rPr>
              <w:t>后提交申购申请的，下一个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hint="eastAsia" w:ascii="宋体" w:hAnsi="宋体"/>
                <w:color w:val="auto"/>
                <w:szCs w:val="24"/>
                <w:highlight w:val="none"/>
                <w:u w:val="none"/>
              </w:rPr>
              <w:t>为申购日。</w:t>
            </w:r>
          </w:p>
          <w:p w14:paraId="5C9EEFA2">
            <w:pPr>
              <w:snapToGrid w:val="0"/>
              <w:rPr>
                <w:rFonts w:ascii="宋体" w:hAnsi="宋体"/>
                <w:color w:val="auto"/>
                <w:szCs w:val="24"/>
                <w:highlight w:val="none"/>
                <w:u w:val="none"/>
              </w:rPr>
            </w:pPr>
            <w:r>
              <w:rPr>
                <w:rFonts w:hint="eastAsia" w:ascii="宋体" w:hAnsi="宋体"/>
                <w:color w:val="auto"/>
                <w:szCs w:val="24"/>
                <w:highlight w:val="none"/>
                <w:u w:val="none"/>
              </w:rPr>
              <w:t>投资者在非</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hint="eastAsia" w:ascii="宋体" w:hAnsi="宋体"/>
                <w:color w:val="auto"/>
                <w:szCs w:val="24"/>
                <w:highlight w:val="none"/>
                <w:u w:val="none"/>
              </w:rPr>
              <w:t>提交申购申请的，下一个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hint="eastAsia" w:ascii="宋体" w:hAnsi="宋体"/>
                <w:color w:val="auto"/>
                <w:szCs w:val="24"/>
                <w:highlight w:val="none"/>
                <w:u w:val="none"/>
              </w:rPr>
              <w:t>为申购日。</w:t>
            </w:r>
          </w:p>
          <w:p w14:paraId="14485617">
            <w:pPr>
              <w:snapToGrid w:val="0"/>
              <w:rPr>
                <w:rFonts w:ascii="宋体" w:hAnsi="宋体"/>
                <w:color w:val="auto"/>
                <w:szCs w:val="24"/>
                <w:highlight w:val="none"/>
                <w:u w:val="none"/>
              </w:rPr>
            </w:pPr>
            <w:r>
              <w:rPr>
                <w:rFonts w:hint="eastAsia" w:ascii="宋体" w:hAnsi="宋体"/>
                <w:color w:val="auto"/>
                <w:szCs w:val="24"/>
                <w:highlight w:val="none"/>
                <w:u w:val="none"/>
              </w:rPr>
              <w:t>（</w:t>
            </w:r>
            <w:r>
              <w:rPr>
                <w:rFonts w:ascii="宋体" w:hAnsi="宋体"/>
                <w:color w:val="auto"/>
                <w:szCs w:val="24"/>
                <w:highlight w:val="none"/>
                <w:u w:val="none"/>
              </w:rPr>
              <w:t>2</w:t>
            </w:r>
            <w:r>
              <w:rPr>
                <w:rFonts w:hint="eastAsia" w:ascii="宋体" w:hAnsi="宋体"/>
                <w:color w:val="auto"/>
                <w:szCs w:val="24"/>
                <w:highlight w:val="none"/>
                <w:u w:val="none"/>
              </w:rPr>
              <w:t>）申购的确认</w:t>
            </w:r>
          </w:p>
          <w:p w14:paraId="2616BC9C">
            <w:pPr>
              <w:snapToGrid w:val="0"/>
              <w:rPr>
                <w:rFonts w:ascii="宋体" w:hAnsi="宋体"/>
                <w:color w:val="auto"/>
                <w:szCs w:val="24"/>
                <w:highlight w:val="none"/>
                <w:u w:val="none"/>
              </w:rPr>
            </w:pPr>
            <w:r>
              <w:rPr>
                <w:rFonts w:hint="eastAsia" w:ascii="宋体" w:hAnsi="宋体"/>
                <w:color w:val="auto"/>
                <w:szCs w:val="24"/>
                <w:highlight w:val="none"/>
                <w:u w:val="none"/>
              </w:rPr>
              <w:t>申购日后的</w:t>
            </w:r>
            <w:r>
              <w:rPr>
                <w:rFonts w:hint="eastAsia" w:ascii="仿宋_GB2312" w:hAnsi="宋体" w:cs="宋体"/>
                <w:bCs/>
                <w:kern w:val="0"/>
                <w:szCs w:val="24"/>
                <w:highlight w:val="yellow"/>
                <w:lang w:eastAsia="zh-CN"/>
              </w:rPr>
              <w:t>【】</w:t>
            </w:r>
            <w:r>
              <w:rPr>
                <w:rFonts w:hint="eastAsia" w:ascii="宋体" w:hAnsi="宋体"/>
                <w:color w:val="auto"/>
                <w:szCs w:val="24"/>
                <w:highlight w:val="none"/>
                <w:u w:val="none"/>
              </w:rPr>
              <w:t>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hint="eastAsia" w:ascii="宋体" w:hAnsi="宋体"/>
                <w:color w:val="auto"/>
                <w:szCs w:val="24"/>
                <w:highlight w:val="none"/>
                <w:u w:val="none"/>
              </w:rPr>
              <w:t>内为申购确认日。</w:t>
            </w:r>
          </w:p>
          <w:p w14:paraId="4FCB02C6">
            <w:pPr>
              <w:snapToGrid w:val="0"/>
              <w:rPr>
                <w:rFonts w:ascii="宋体" w:hAnsi="宋体"/>
                <w:color w:val="auto"/>
                <w:szCs w:val="24"/>
                <w:highlight w:val="none"/>
                <w:u w:val="none"/>
              </w:rPr>
            </w:pPr>
            <w:r>
              <w:rPr>
                <w:rFonts w:hint="eastAsia" w:ascii="宋体" w:hAnsi="宋体"/>
                <w:color w:val="auto"/>
                <w:szCs w:val="24"/>
                <w:highlight w:val="none"/>
                <w:u w:val="none"/>
                <w:lang w:val="en-US" w:eastAsia="zh-CN"/>
              </w:rPr>
              <w:t>5</w:t>
            </w:r>
            <w:r>
              <w:rPr>
                <w:rFonts w:ascii="宋体" w:hAnsi="宋体"/>
                <w:color w:val="auto"/>
                <w:szCs w:val="24"/>
                <w:highlight w:val="none"/>
                <w:u w:val="none"/>
              </w:rPr>
              <w:t>.</w:t>
            </w:r>
            <w:r>
              <w:rPr>
                <w:rFonts w:hint="eastAsia" w:ascii="宋体" w:hAnsi="宋体"/>
                <w:color w:val="auto"/>
                <w:szCs w:val="24"/>
                <w:highlight w:val="none"/>
                <w:u w:val="none"/>
              </w:rPr>
              <w:t>赎回安排</w:t>
            </w:r>
          </w:p>
          <w:p w14:paraId="7DE5F4B3">
            <w:pPr>
              <w:snapToGrid w:val="0"/>
              <w:rPr>
                <w:rFonts w:ascii="宋体" w:hAnsi="宋体"/>
                <w:color w:val="auto"/>
                <w:szCs w:val="24"/>
                <w:highlight w:val="none"/>
                <w:u w:val="none"/>
              </w:rPr>
            </w:pPr>
            <w:r>
              <w:rPr>
                <w:rFonts w:hint="eastAsia" w:ascii="宋体" w:hAnsi="宋体"/>
                <w:color w:val="auto"/>
                <w:szCs w:val="24"/>
                <w:highlight w:val="none"/>
                <w:u w:val="none"/>
              </w:rPr>
              <w:t>（</w:t>
            </w:r>
            <w:r>
              <w:rPr>
                <w:rFonts w:ascii="宋体" w:hAnsi="宋体"/>
                <w:color w:val="auto"/>
                <w:szCs w:val="24"/>
                <w:highlight w:val="none"/>
                <w:u w:val="none"/>
              </w:rPr>
              <w:t>1</w:t>
            </w:r>
            <w:r>
              <w:rPr>
                <w:rFonts w:hint="eastAsia" w:ascii="宋体" w:hAnsi="宋体"/>
                <w:color w:val="auto"/>
                <w:szCs w:val="24"/>
                <w:highlight w:val="none"/>
                <w:u w:val="none"/>
              </w:rPr>
              <w:t>）赎回的时间</w:t>
            </w:r>
          </w:p>
          <w:p w14:paraId="7855B5FA">
            <w:pPr>
              <w:snapToGrid w:val="0"/>
              <w:rPr>
                <w:rFonts w:ascii="宋体" w:hAnsi="宋体"/>
                <w:color w:val="auto"/>
                <w:szCs w:val="24"/>
                <w:highlight w:val="none"/>
                <w:u w:val="none"/>
              </w:rPr>
            </w:pPr>
            <w:r>
              <w:rPr>
                <w:rFonts w:hint="eastAsia" w:ascii="宋体" w:hAnsi="宋体"/>
                <w:color w:val="auto"/>
                <w:szCs w:val="24"/>
                <w:highlight w:val="none"/>
                <w:u w:val="none"/>
              </w:rPr>
              <w:t>投资者在</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lang w:val="en-US" w:eastAsia="zh-CN"/>
              </w:rPr>
              <w:t>xx：xx</w:t>
            </w:r>
            <w:r>
              <w:rPr>
                <w:rFonts w:hint="eastAsia" w:ascii="仿宋_GB2312" w:hAnsi="宋体" w:cs="宋体"/>
                <w:bCs/>
                <w:kern w:val="0"/>
                <w:szCs w:val="24"/>
                <w:highlight w:val="yellow"/>
                <w:lang w:eastAsia="zh-CN"/>
              </w:rPr>
              <w:t>】</w:t>
            </w:r>
            <w:r>
              <w:rPr>
                <w:rFonts w:hint="eastAsia" w:ascii="宋体" w:hAnsi="宋体"/>
                <w:color w:val="auto"/>
                <w:szCs w:val="24"/>
                <w:highlight w:val="none"/>
                <w:u w:val="none"/>
              </w:rPr>
              <w:t>前提交赎回申请的，提交当日为赎回日。</w:t>
            </w:r>
          </w:p>
          <w:p w14:paraId="1112E26A">
            <w:pPr>
              <w:snapToGrid w:val="0"/>
              <w:rPr>
                <w:rFonts w:ascii="宋体" w:hAnsi="宋体"/>
                <w:color w:val="auto"/>
                <w:szCs w:val="24"/>
                <w:highlight w:val="none"/>
                <w:u w:val="none"/>
              </w:rPr>
            </w:pPr>
            <w:r>
              <w:rPr>
                <w:rFonts w:hint="eastAsia" w:ascii="宋体" w:hAnsi="宋体"/>
                <w:color w:val="auto"/>
                <w:szCs w:val="24"/>
                <w:highlight w:val="none"/>
                <w:u w:val="none"/>
              </w:rPr>
              <w:t>投资者在</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lang w:val="en-US" w:eastAsia="zh-CN"/>
              </w:rPr>
              <w:t>xx：xx</w:t>
            </w:r>
            <w:r>
              <w:rPr>
                <w:rFonts w:hint="eastAsia" w:ascii="仿宋_GB2312" w:hAnsi="宋体" w:cs="宋体"/>
                <w:bCs/>
                <w:kern w:val="0"/>
                <w:szCs w:val="24"/>
                <w:highlight w:val="yellow"/>
                <w:lang w:eastAsia="zh-CN"/>
              </w:rPr>
              <w:t>】</w:t>
            </w:r>
            <w:r>
              <w:rPr>
                <w:rFonts w:hint="eastAsia" w:ascii="宋体" w:hAnsi="宋体"/>
                <w:color w:val="auto"/>
                <w:szCs w:val="24"/>
                <w:highlight w:val="none"/>
                <w:u w:val="none"/>
              </w:rPr>
              <w:t>后提交赎回申请的，下一个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hint="eastAsia" w:ascii="宋体" w:hAnsi="宋体"/>
                <w:color w:val="auto"/>
                <w:szCs w:val="24"/>
                <w:highlight w:val="none"/>
                <w:u w:val="none"/>
              </w:rPr>
              <w:t>为赎回日。</w:t>
            </w:r>
          </w:p>
          <w:p w14:paraId="0469BCE9">
            <w:pPr>
              <w:snapToGrid w:val="0"/>
              <w:rPr>
                <w:rFonts w:ascii="宋体" w:hAnsi="宋体"/>
                <w:color w:val="auto"/>
                <w:szCs w:val="24"/>
                <w:highlight w:val="none"/>
                <w:u w:val="none"/>
              </w:rPr>
            </w:pPr>
            <w:r>
              <w:rPr>
                <w:rFonts w:hint="eastAsia" w:ascii="宋体" w:hAnsi="宋体"/>
                <w:color w:val="auto"/>
                <w:szCs w:val="24"/>
                <w:highlight w:val="none"/>
                <w:u w:val="none"/>
              </w:rPr>
              <w:t>投资者在非</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hint="eastAsia" w:ascii="宋体" w:hAnsi="宋体"/>
                <w:color w:val="auto"/>
                <w:szCs w:val="24"/>
                <w:highlight w:val="none"/>
                <w:u w:val="none"/>
              </w:rPr>
              <w:t>提交赎回申请的，下一个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hint="eastAsia" w:ascii="宋体" w:hAnsi="宋体"/>
                <w:color w:val="auto"/>
                <w:szCs w:val="24"/>
                <w:highlight w:val="none"/>
                <w:u w:val="none"/>
              </w:rPr>
              <w:t>为赎回日。</w:t>
            </w:r>
          </w:p>
          <w:p w14:paraId="0F55C996">
            <w:pPr>
              <w:snapToGrid w:val="0"/>
              <w:rPr>
                <w:rFonts w:ascii="宋体" w:hAnsi="宋体"/>
                <w:color w:val="auto"/>
                <w:szCs w:val="24"/>
                <w:highlight w:val="none"/>
                <w:u w:val="none"/>
              </w:rPr>
            </w:pPr>
            <w:r>
              <w:rPr>
                <w:rFonts w:hint="eastAsia" w:ascii="宋体" w:hAnsi="宋体"/>
                <w:color w:val="auto"/>
                <w:szCs w:val="24"/>
                <w:highlight w:val="none"/>
                <w:u w:val="none"/>
              </w:rPr>
              <w:t>（</w:t>
            </w:r>
            <w:r>
              <w:rPr>
                <w:rFonts w:ascii="宋体" w:hAnsi="宋体"/>
                <w:color w:val="auto"/>
                <w:szCs w:val="24"/>
                <w:highlight w:val="none"/>
                <w:u w:val="none"/>
              </w:rPr>
              <w:t>2</w:t>
            </w:r>
            <w:r>
              <w:rPr>
                <w:rFonts w:hint="eastAsia" w:ascii="宋体" w:hAnsi="宋体"/>
                <w:color w:val="auto"/>
                <w:szCs w:val="24"/>
                <w:highlight w:val="none"/>
                <w:u w:val="none"/>
              </w:rPr>
              <w:t>）赎回的确认</w:t>
            </w:r>
          </w:p>
          <w:p w14:paraId="2E182AFD">
            <w:pPr>
              <w:snapToGrid w:val="0"/>
              <w:rPr>
                <w:rFonts w:ascii="宋体" w:hAnsi="宋体"/>
                <w:color w:val="auto"/>
                <w:szCs w:val="24"/>
                <w:highlight w:val="none"/>
                <w:u w:val="none"/>
              </w:rPr>
            </w:pPr>
            <w:r>
              <w:rPr>
                <w:rFonts w:hint="eastAsia" w:ascii="宋体" w:hAnsi="宋体"/>
                <w:color w:val="auto"/>
                <w:szCs w:val="24"/>
                <w:highlight w:val="none"/>
                <w:u w:val="none"/>
              </w:rPr>
              <w:t>赎回日后的</w:t>
            </w:r>
            <w:r>
              <w:rPr>
                <w:rFonts w:hint="eastAsia" w:ascii="仿宋_GB2312" w:hAnsi="宋体" w:cs="宋体"/>
                <w:bCs/>
                <w:kern w:val="0"/>
                <w:szCs w:val="24"/>
                <w:highlight w:val="yellow"/>
                <w:lang w:eastAsia="zh-CN"/>
              </w:rPr>
              <w:t>【】</w:t>
            </w:r>
            <w:r>
              <w:rPr>
                <w:rFonts w:hint="eastAsia" w:ascii="宋体" w:hAnsi="宋体"/>
                <w:color w:val="auto"/>
                <w:szCs w:val="24"/>
                <w:highlight w:val="none"/>
                <w:u w:val="none"/>
              </w:rPr>
              <w:t>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hint="eastAsia" w:ascii="宋体" w:hAnsi="宋体"/>
                <w:color w:val="auto"/>
                <w:szCs w:val="24"/>
                <w:highlight w:val="none"/>
                <w:u w:val="none"/>
              </w:rPr>
              <w:t>内为赎回确认日。</w:t>
            </w:r>
          </w:p>
          <w:p w14:paraId="1D8EA7E3">
            <w:pPr>
              <w:snapToGrid w:val="0"/>
              <w:rPr>
                <w:rFonts w:hint="eastAsia" w:ascii="宋体" w:hAnsi="宋体" w:eastAsia="仿宋_GB2312"/>
                <w:color w:val="auto"/>
                <w:szCs w:val="24"/>
                <w:highlight w:val="none"/>
                <w:u w:val="none"/>
                <w:lang w:eastAsia="zh-CN"/>
              </w:rPr>
            </w:pPr>
            <w:r>
              <w:rPr>
                <w:rFonts w:hint="eastAsia" w:ascii="宋体" w:hAnsi="宋体"/>
                <w:color w:val="auto"/>
                <w:szCs w:val="24"/>
                <w:highlight w:val="none"/>
                <w:u w:val="none"/>
                <w:lang w:val="en-US" w:eastAsia="zh-CN"/>
              </w:rPr>
              <w:t>6</w:t>
            </w:r>
            <w:r>
              <w:rPr>
                <w:rFonts w:ascii="宋体" w:hAnsi="宋体"/>
                <w:color w:val="auto"/>
                <w:szCs w:val="24"/>
                <w:highlight w:val="none"/>
                <w:u w:val="none"/>
              </w:rPr>
              <w:t>.</w:t>
            </w:r>
            <w:r>
              <w:rPr>
                <w:rFonts w:hint="eastAsia" w:ascii="宋体" w:hAnsi="宋体"/>
                <w:color w:val="auto"/>
                <w:szCs w:val="24"/>
                <w:highlight w:val="none"/>
                <w:u w:val="none"/>
              </w:rPr>
              <w:t>赎回款项于赎回</w:t>
            </w:r>
            <w:r>
              <w:rPr>
                <w:rFonts w:hint="eastAsia" w:ascii="宋体" w:hAnsi="宋体"/>
                <w:color w:val="auto"/>
                <w:szCs w:val="24"/>
                <w:highlight w:val="none"/>
                <w:u w:val="none"/>
                <w:lang w:eastAsia="zh-CN"/>
              </w:rPr>
              <w:t>确认</w:t>
            </w:r>
            <w:r>
              <w:rPr>
                <w:rFonts w:hint="eastAsia" w:ascii="宋体" w:hAnsi="宋体"/>
                <w:color w:val="auto"/>
                <w:szCs w:val="24"/>
                <w:highlight w:val="none"/>
                <w:u w:val="none"/>
              </w:rPr>
              <w:t>日后</w:t>
            </w:r>
            <w:r>
              <w:rPr>
                <w:rFonts w:hint="eastAsia" w:ascii="仿宋_GB2312" w:hAnsi="宋体" w:cs="宋体"/>
                <w:bCs/>
                <w:kern w:val="0"/>
                <w:szCs w:val="24"/>
                <w:highlight w:val="yellow"/>
                <w:lang w:eastAsia="zh-CN"/>
              </w:rPr>
              <w:t>【】</w:t>
            </w:r>
            <w:r>
              <w:rPr>
                <w:rFonts w:hint="eastAsia" w:ascii="宋体" w:hAnsi="宋体"/>
                <w:color w:val="auto"/>
                <w:szCs w:val="24"/>
                <w:highlight w:val="none"/>
                <w:u w:val="none"/>
              </w:rPr>
              <w:t>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hint="eastAsia" w:ascii="宋体" w:hAnsi="宋体"/>
                <w:color w:val="auto"/>
                <w:szCs w:val="24"/>
                <w:highlight w:val="none"/>
                <w:u w:val="none"/>
              </w:rPr>
              <w:t>内支付给投资者。</w:t>
            </w:r>
            <w:r>
              <w:rPr>
                <w:rFonts w:hint="eastAsia" w:ascii="宋体" w:hAnsi="宋体"/>
                <w:color w:val="auto"/>
                <w:szCs w:val="24"/>
                <w:highlight w:val="yellow"/>
                <w:u w:val="none"/>
                <w:lang w:eastAsia="zh-CN"/>
              </w:rPr>
              <w:t>】</w:t>
            </w:r>
          </w:p>
          <w:p w14:paraId="7273C597">
            <w:pPr>
              <w:snapToGrid w:val="0"/>
              <w:rPr>
                <w:rFonts w:ascii="宋体" w:hAnsi="宋体"/>
                <w:color w:val="auto"/>
                <w:szCs w:val="24"/>
                <w:highlight w:val="none"/>
                <w:u w:val="none"/>
              </w:rPr>
            </w:pPr>
            <w:r>
              <w:rPr>
                <w:rFonts w:hint="eastAsia" w:ascii="宋体" w:hAnsi="宋体"/>
                <w:color w:val="auto"/>
                <w:szCs w:val="24"/>
                <w:highlight w:val="none"/>
                <w:u w:val="none"/>
              </w:rPr>
              <w:t>★注：关于销售机构的实际工作服务时段的提示</w:t>
            </w:r>
          </w:p>
          <w:p w14:paraId="7861B89A">
            <w:pPr>
              <w:snapToGrid w:val="0"/>
              <w:rPr>
                <w:rFonts w:ascii="宋体" w:hAnsi="宋体"/>
                <w:color w:val="auto"/>
                <w:szCs w:val="24"/>
                <w:highlight w:val="none"/>
                <w:u w:val="none"/>
              </w:rPr>
            </w:pPr>
            <w:r>
              <w:rPr>
                <w:rFonts w:hint="eastAsia" w:ascii="宋体" w:hAnsi="宋体"/>
                <w:color w:val="auto"/>
                <w:szCs w:val="24"/>
                <w:highlight w:val="none"/>
                <w:u w:val="none"/>
              </w:rPr>
              <w:t>①为本产品办理相关交易的实际工作服务时段，因销售机构的不同可能存在差异（可能晚于销售文件约定的起始时点开始或早于销售文件约定的终止时点结束），投资者应当以销售机</w:t>
            </w:r>
          </w:p>
          <w:p w14:paraId="5B142583">
            <w:pPr>
              <w:snapToGrid w:val="0"/>
              <w:rPr>
                <w:rFonts w:ascii="宋体" w:hAnsi="宋体"/>
                <w:color w:val="auto"/>
                <w:szCs w:val="24"/>
                <w:highlight w:val="none"/>
                <w:u w:val="none"/>
              </w:rPr>
            </w:pPr>
            <w:r>
              <w:rPr>
                <w:rFonts w:hint="eastAsia" w:ascii="宋体" w:hAnsi="宋体"/>
                <w:color w:val="auto"/>
                <w:szCs w:val="24"/>
                <w:highlight w:val="none"/>
                <w:u w:val="none"/>
              </w:rPr>
              <w:t>构的展示为准。</w:t>
            </w:r>
          </w:p>
          <w:p w14:paraId="64A4B98B">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olor w:val="auto"/>
                <w:szCs w:val="24"/>
                <w:highlight w:val="none"/>
                <w:u w:val="none"/>
              </w:rPr>
              <w:t>②销售机构的实际工作服务时段，最早不得早于销售文件约定的起始时点、最晚不得晚于销售文件约定的终止时点。</w:t>
            </w:r>
          </w:p>
        </w:tc>
      </w:tr>
      <w:tr w14:paraId="36BD9E75">
        <w:tblPrEx>
          <w:tblCellMar>
            <w:top w:w="0" w:type="dxa"/>
            <w:left w:w="108" w:type="dxa"/>
            <w:bottom w:w="0" w:type="dxa"/>
            <w:right w:w="108" w:type="dxa"/>
          </w:tblCellMar>
        </w:tblPrEx>
        <w:trPr>
          <w:trHeight w:val="1180" w:hRule="atLeast"/>
        </w:trPr>
        <w:tc>
          <w:tcPr>
            <w:tcW w:w="2453" w:type="dxa"/>
            <w:tcBorders>
              <w:top w:val="single" w:color="auto" w:sz="4" w:space="0"/>
              <w:left w:val="single" w:color="auto" w:sz="4" w:space="0"/>
              <w:bottom w:val="single" w:color="auto" w:sz="4" w:space="0"/>
              <w:right w:val="single" w:color="auto" w:sz="4" w:space="0"/>
            </w:tcBorders>
            <w:vAlign w:val="center"/>
          </w:tcPr>
          <w:p w14:paraId="7C3E12B2">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巨额赎回</w:t>
            </w:r>
          </w:p>
        </w:tc>
        <w:tc>
          <w:tcPr>
            <w:tcW w:w="6972" w:type="dxa"/>
            <w:tcBorders>
              <w:top w:val="single" w:color="auto" w:sz="4" w:space="0"/>
              <w:left w:val="single" w:color="auto" w:sz="4" w:space="0"/>
              <w:bottom w:val="single" w:color="auto" w:sz="4" w:space="0"/>
              <w:right w:val="single" w:color="auto" w:sz="4" w:space="0"/>
            </w:tcBorders>
            <w:vAlign w:val="center"/>
          </w:tcPr>
          <w:p w14:paraId="0C3D3461">
            <w:pPr>
              <w:widowControl/>
              <w:snapToGrid/>
              <w:spacing w:line="400" w:lineRule="exact"/>
              <w:jc w:val="left"/>
              <w:textAlignment w:val="center"/>
              <w:rPr>
                <w:rFonts w:asciiTheme="minorEastAsia" w:hAnsiTheme="minorEastAsia"/>
                <w:b/>
                <w:color w:val="auto"/>
                <w:szCs w:val="24"/>
                <w:highlight w:val="none"/>
                <w:u w:val="none"/>
              </w:rPr>
            </w:pPr>
            <w:r>
              <w:rPr>
                <w:rFonts w:hint="eastAsia" w:ascii="仿宋_GB2312" w:hAnsi="宋体" w:cs="宋体"/>
                <w:b/>
                <w:bCs/>
                <w:color w:val="auto"/>
                <w:kern w:val="0"/>
                <w:szCs w:val="24"/>
                <w:highlight w:val="none"/>
                <w:u w:val="none"/>
              </w:rPr>
              <w:t>单个开放日内</w:t>
            </w:r>
            <w:r>
              <w:rPr>
                <w:rFonts w:ascii="仿宋_GB2312" w:hAnsi="宋体" w:cs="宋体"/>
                <w:b/>
                <w:bCs/>
                <w:color w:val="auto"/>
                <w:kern w:val="0"/>
                <w:szCs w:val="24"/>
                <w:highlight w:val="none"/>
                <w:u w:val="none"/>
              </w:rPr>
              <w:t>，</w:t>
            </w:r>
            <w:r>
              <w:rPr>
                <w:rFonts w:hint="eastAsia" w:ascii="仿宋_GB2312" w:hAnsi="宋体" w:cs="宋体"/>
                <w:b/>
                <w:bCs/>
                <w:color w:val="auto"/>
                <w:kern w:val="0"/>
                <w:szCs w:val="24"/>
                <w:highlight w:val="none"/>
                <w:u w:val="none"/>
              </w:rPr>
              <w:t>产品净赎回申请（</w:t>
            </w:r>
            <w:r>
              <w:rPr>
                <w:rFonts w:ascii="仿宋_GB2312" w:hAnsi="宋体" w:cs="宋体"/>
                <w:b/>
                <w:bCs/>
                <w:color w:val="auto"/>
                <w:kern w:val="0"/>
                <w:szCs w:val="24"/>
                <w:highlight w:val="none"/>
                <w:u w:val="none"/>
              </w:rPr>
              <w:t>赎回</w:t>
            </w:r>
            <w:r>
              <w:rPr>
                <w:rFonts w:hint="eastAsia" w:ascii="仿宋_GB2312" w:hAnsi="宋体" w:cs="宋体"/>
                <w:b/>
                <w:bCs/>
                <w:color w:val="auto"/>
                <w:kern w:val="0"/>
                <w:szCs w:val="24"/>
                <w:highlight w:val="none"/>
                <w:u w:val="none"/>
              </w:rPr>
              <w:t>申请总份额扣除申购总份额后的余额</w:t>
            </w:r>
            <w:r>
              <w:rPr>
                <w:rFonts w:ascii="仿宋_GB2312" w:hAnsi="宋体" w:cs="宋体"/>
                <w:b/>
                <w:bCs/>
                <w:color w:val="auto"/>
                <w:kern w:val="0"/>
                <w:szCs w:val="24"/>
                <w:highlight w:val="none"/>
                <w:u w:val="none"/>
              </w:rPr>
              <w:t>,下同）</w:t>
            </w:r>
            <w:r>
              <w:rPr>
                <w:rFonts w:hint="eastAsia" w:ascii="仿宋_GB2312" w:hAnsi="宋体" w:cs="宋体"/>
                <w:b/>
                <w:bCs/>
                <w:color w:val="auto"/>
                <w:kern w:val="0"/>
                <w:szCs w:val="24"/>
                <w:highlight w:val="none"/>
                <w:u w:val="none"/>
              </w:rPr>
              <w:t>超过前一日终理财产品总份额的</w:t>
            </w:r>
            <w:r>
              <w:rPr>
                <w:rFonts w:hint="eastAsia" w:ascii="仿宋_GB2312" w:hAnsi="宋体" w:cs="宋体"/>
                <w:b/>
                <w:bCs/>
                <w:color w:val="auto"/>
                <w:kern w:val="0"/>
                <w:szCs w:val="24"/>
                <w:highlight w:val="yellow"/>
                <w:u w:val="none"/>
              </w:rPr>
              <w:t>【</w:t>
            </w:r>
            <w:r>
              <w:rPr>
                <w:rFonts w:ascii="仿宋_GB2312" w:hAnsi="宋体" w:cs="宋体"/>
                <w:b/>
                <w:bCs/>
                <w:color w:val="auto"/>
                <w:kern w:val="0"/>
                <w:szCs w:val="24"/>
                <w:highlight w:val="yellow"/>
                <w:u w:val="none"/>
              </w:rPr>
              <w:t>10</w:t>
            </w:r>
            <w:r>
              <w:rPr>
                <w:rFonts w:hint="eastAsia" w:ascii="仿宋_GB2312" w:hAnsi="宋体" w:cs="宋体"/>
                <w:b/>
                <w:bCs/>
                <w:color w:val="auto"/>
                <w:kern w:val="0"/>
                <w:szCs w:val="24"/>
                <w:highlight w:val="yellow"/>
                <w:u w:val="none"/>
              </w:rPr>
              <w:t>％】</w:t>
            </w:r>
            <w:r>
              <w:rPr>
                <w:rFonts w:hint="eastAsia" w:asciiTheme="minorEastAsia" w:hAnsiTheme="minorEastAsia"/>
                <w:b/>
                <w:color w:val="auto"/>
                <w:szCs w:val="24"/>
                <w:highlight w:val="none"/>
                <w:u w:val="none"/>
              </w:rPr>
              <w:t>，即为发生巨额赎回。</w:t>
            </w:r>
          </w:p>
          <w:p w14:paraId="0DD735F8">
            <w:pPr>
              <w:widowControl/>
              <w:snapToGrid/>
              <w:spacing w:line="400" w:lineRule="exact"/>
              <w:jc w:val="left"/>
              <w:textAlignment w:val="center"/>
              <w:rPr>
                <w:rFonts w:asciiTheme="minorEastAsia" w:hAnsiTheme="minorEastAsia"/>
                <w:b/>
                <w:color w:val="auto"/>
                <w:szCs w:val="24"/>
                <w:highlight w:val="none"/>
                <w:u w:val="none"/>
              </w:rPr>
            </w:pPr>
            <w:r>
              <w:rPr>
                <w:rFonts w:hint="eastAsia" w:asciiTheme="minorEastAsia" w:hAnsiTheme="minorEastAsia"/>
                <w:b/>
                <w:color w:val="auto"/>
                <w:szCs w:val="24"/>
                <w:highlight w:val="none"/>
                <w:u w:val="none"/>
              </w:rPr>
              <w:t>本理财产品在开放日发生巨额赎回时，管理人有权根据产品的实际运作情况采取如下措施中的一种：</w:t>
            </w:r>
          </w:p>
          <w:p w14:paraId="56647D7D">
            <w:pPr>
              <w:widowControl/>
              <w:snapToGrid/>
              <w:spacing w:line="400" w:lineRule="exact"/>
              <w:jc w:val="left"/>
              <w:textAlignment w:val="center"/>
              <w:rPr>
                <w:rFonts w:asciiTheme="minorEastAsia" w:hAnsiTheme="minorEastAsia"/>
                <w:b/>
                <w:color w:val="auto"/>
                <w:szCs w:val="24"/>
                <w:highlight w:val="none"/>
                <w:u w:val="none"/>
              </w:rPr>
            </w:pPr>
            <w:r>
              <w:rPr>
                <w:rFonts w:asciiTheme="minorEastAsia" w:hAnsiTheme="minorEastAsia"/>
                <w:b/>
                <w:color w:val="auto"/>
                <w:szCs w:val="24"/>
                <w:highlight w:val="none"/>
                <w:u w:val="none"/>
              </w:rPr>
              <w:t>1.</w:t>
            </w:r>
            <w:r>
              <w:rPr>
                <w:rFonts w:hint="eastAsia" w:asciiTheme="minorEastAsia" w:hAnsiTheme="minorEastAsia"/>
                <w:b/>
                <w:color w:val="auto"/>
                <w:szCs w:val="24"/>
                <w:highlight w:val="none"/>
                <w:u w:val="none"/>
              </w:rPr>
              <w:t>接受全额赎回：当管理人认为有能力兑付投资者的全部赎回申请时，将在赎回确认日按正常赎回程序执行；</w:t>
            </w:r>
          </w:p>
          <w:p w14:paraId="216D22EC">
            <w:pPr>
              <w:widowControl/>
              <w:snapToGrid/>
              <w:spacing w:line="400" w:lineRule="exact"/>
              <w:jc w:val="left"/>
              <w:textAlignment w:val="center"/>
              <w:rPr>
                <w:rFonts w:asciiTheme="minorEastAsia" w:hAnsiTheme="minorEastAsia"/>
                <w:b/>
                <w:color w:val="auto"/>
                <w:szCs w:val="24"/>
                <w:highlight w:val="none"/>
                <w:u w:val="none"/>
              </w:rPr>
            </w:pPr>
            <w:r>
              <w:rPr>
                <w:rFonts w:asciiTheme="minorEastAsia" w:hAnsiTheme="minorEastAsia"/>
                <w:b/>
                <w:color w:val="auto"/>
                <w:szCs w:val="24"/>
                <w:highlight w:val="none"/>
                <w:u w:val="none"/>
              </w:rPr>
              <w:t>2.</w:t>
            </w:r>
            <w:r>
              <w:rPr>
                <w:rFonts w:hint="eastAsia" w:asciiTheme="minorEastAsia" w:hAnsiTheme="minorEastAsia"/>
                <w:b/>
                <w:color w:val="auto"/>
                <w:szCs w:val="24"/>
                <w:highlight w:val="none"/>
                <w:u w:val="none"/>
              </w:rPr>
              <w:t>接受部分赎回：当管理人认为兑付投资者的赎回申请有困难，或认为兑付投资者的赎回申请可能会对本理财产品的资产净值造成较大波动时，在赎回确认日管理人办理的赎回份额将不低于前一日终理财产品总份额的</w:t>
            </w:r>
            <w:r>
              <w:rPr>
                <w:rFonts w:hint="eastAsia" w:ascii="仿宋_GB2312" w:hAnsi="宋体" w:cs="宋体"/>
                <w:b/>
                <w:bCs/>
                <w:color w:val="auto"/>
                <w:kern w:val="0"/>
                <w:szCs w:val="24"/>
                <w:highlight w:val="yellow"/>
                <w:u w:val="none"/>
              </w:rPr>
              <w:t>【</w:t>
            </w:r>
            <w:r>
              <w:rPr>
                <w:rFonts w:asciiTheme="minorEastAsia" w:hAnsiTheme="minorEastAsia"/>
                <w:b/>
                <w:color w:val="auto"/>
                <w:szCs w:val="24"/>
                <w:highlight w:val="yellow"/>
                <w:u w:val="none"/>
              </w:rPr>
              <w:t>10%</w:t>
            </w:r>
            <w:r>
              <w:rPr>
                <w:rFonts w:hint="eastAsia" w:ascii="仿宋_GB2312" w:hAnsi="宋体" w:cs="宋体"/>
                <w:b/>
                <w:bCs/>
                <w:color w:val="auto"/>
                <w:kern w:val="0"/>
                <w:szCs w:val="24"/>
                <w:highlight w:val="yellow"/>
                <w:u w:val="none"/>
              </w:rPr>
              <w:t>】</w:t>
            </w:r>
            <w:r>
              <w:rPr>
                <w:rFonts w:hint="eastAsia" w:asciiTheme="minorEastAsia" w:hAnsiTheme="minorEastAsia"/>
                <w:b/>
                <w:color w:val="auto"/>
                <w:szCs w:val="24"/>
                <w:highlight w:val="none"/>
                <w:u w:val="none"/>
              </w:rPr>
              <w:t>，对于其余赎回申请管理人可暂停接受或延期办理。</w:t>
            </w:r>
          </w:p>
          <w:p w14:paraId="2C4A440F">
            <w:pPr>
              <w:widowControl/>
              <w:snapToGrid/>
              <w:spacing w:line="400" w:lineRule="exact"/>
              <w:jc w:val="left"/>
              <w:textAlignment w:val="center"/>
              <w:rPr>
                <w:rFonts w:asciiTheme="minorEastAsia" w:hAnsiTheme="minorEastAsia"/>
                <w:b/>
                <w:color w:val="auto"/>
                <w:szCs w:val="24"/>
                <w:highlight w:val="none"/>
                <w:u w:val="none"/>
              </w:rPr>
            </w:pPr>
            <w:r>
              <w:rPr>
                <w:rFonts w:hint="eastAsia" w:asciiTheme="minorEastAsia" w:hAnsiTheme="minorEastAsia"/>
                <w:b/>
                <w:color w:val="auto"/>
                <w:szCs w:val="24"/>
                <w:highlight w:val="none"/>
                <w:u w:val="none"/>
              </w:rPr>
              <w:t>（</w:t>
            </w:r>
            <w:r>
              <w:rPr>
                <w:rFonts w:asciiTheme="minorEastAsia" w:hAnsiTheme="minorEastAsia"/>
                <w:b/>
                <w:color w:val="auto"/>
                <w:szCs w:val="24"/>
                <w:highlight w:val="none"/>
                <w:u w:val="none"/>
              </w:rPr>
              <w:t>1</w:t>
            </w:r>
            <w:r>
              <w:rPr>
                <w:rFonts w:hint="eastAsia" w:asciiTheme="minorEastAsia" w:hAnsiTheme="minorEastAsia"/>
                <w:b/>
                <w:color w:val="auto"/>
                <w:szCs w:val="24"/>
                <w:highlight w:val="none"/>
                <w:u w:val="none"/>
              </w:rPr>
              <w:t>）对于接受赎回申请的部分，管理人将按单个投资者的赎回申请份额占当日所有投资者的净赎回申请总份额的比例，确认该投资者当日办理的赎回申请份额。</w:t>
            </w:r>
          </w:p>
          <w:p w14:paraId="59791DC0">
            <w:pPr>
              <w:widowControl/>
              <w:snapToGrid/>
              <w:spacing w:line="400" w:lineRule="exact"/>
              <w:jc w:val="left"/>
              <w:textAlignment w:val="center"/>
              <w:rPr>
                <w:rFonts w:asciiTheme="minorEastAsia" w:hAnsiTheme="minorEastAsia"/>
                <w:b/>
                <w:color w:val="auto"/>
                <w:szCs w:val="24"/>
                <w:highlight w:val="none"/>
                <w:u w:val="none"/>
              </w:rPr>
            </w:pPr>
            <w:r>
              <w:rPr>
                <w:rFonts w:hint="eastAsia" w:asciiTheme="minorEastAsia" w:hAnsiTheme="minorEastAsia"/>
                <w:b/>
                <w:color w:val="auto"/>
                <w:szCs w:val="24"/>
                <w:highlight w:val="none"/>
                <w:u w:val="none"/>
              </w:rPr>
              <w:t>（</w:t>
            </w:r>
            <w:r>
              <w:rPr>
                <w:rFonts w:asciiTheme="minorEastAsia" w:hAnsiTheme="minorEastAsia"/>
                <w:b/>
                <w:color w:val="auto"/>
                <w:szCs w:val="24"/>
                <w:highlight w:val="none"/>
                <w:u w:val="none"/>
              </w:rPr>
              <w:t>2</w:t>
            </w:r>
            <w:r>
              <w:rPr>
                <w:rFonts w:hint="eastAsia" w:asciiTheme="minorEastAsia" w:hAnsiTheme="minorEastAsia"/>
                <w:b/>
                <w:color w:val="auto"/>
                <w:szCs w:val="24"/>
                <w:highlight w:val="none"/>
                <w:u w:val="none"/>
              </w:rPr>
              <w:t>）对于暂停接受的部分，管理人将拒绝该部分赎回申请，投资者可在下一个产品开放日再次发起赎回申请。</w:t>
            </w:r>
          </w:p>
          <w:p w14:paraId="779AF222">
            <w:pPr>
              <w:widowControl/>
              <w:spacing w:line="400" w:lineRule="exact"/>
              <w:jc w:val="left"/>
              <w:textAlignment w:val="center"/>
              <w:rPr>
                <w:rFonts w:hint="eastAsia" w:asciiTheme="minorEastAsia" w:hAnsiTheme="minorEastAsia"/>
                <w:b/>
                <w:color w:val="auto"/>
                <w:szCs w:val="24"/>
                <w:highlight w:val="none"/>
                <w:u w:val="none"/>
              </w:rPr>
            </w:pPr>
            <w:r>
              <w:rPr>
                <w:rFonts w:hint="eastAsia" w:asciiTheme="minorEastAsia" w:hAnsiTheme="minorEastAsia"/>
                <w:b/>
                <w:color w:val="auto"/>
                <w:szCs w:val="24"/>
                <w:highlight w:val="none"/>
                <w:u w:val="none"/>
              </w:rPr>
              <w:t>（</w:t>
            </w:r>
            <w:r>
              <w:rPr>
                <w:rFonts w:asciiTheme="minorEastAsia" w:hAnsiTheme="minorEastAsia"/>
                <w:b/>
                <w:color w:val="auto"/>
                <w:szCs w:val="24"/>
                <w:highlight w:val="none"/>
                <w:u w:val="none"/>
              </w:rPr>
              <w:t>3</w:t>
            </w:r>
            <w:r>
              <w:rPr>
                <w:rFonts w:hint="eastAsia" w:asciiTheme="minorEastAsia" w:hAnsiTheme="minorEastAsia"/>
                <w:b/>
                <w:color w:val="auto"/>
                <w:szCs w:val="24"/>
                <w:highlight w:val="none"/>
                <w:u w:val="none"/>
              </w:rPr>
              <w:t>）对于延期办理的部分，管理人将在下一个产品开放日自动为投资者发起该部分的赎回，延期赎回的申请与下一个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hint="eastAsia" w:asciiTheme="minorEastAsia" w:hAnsiTheme="minorEastAsia"/>
                <w:b/>
                <w:color w:val="auto"/>
                <w:szCs w:val="24"/>
                <w:highlight w:val="none"/>
                <w:u w:val="none"/>
              </w:rPr>
              <w:t>赎回申请一并处理，不享有优先确认权，且赎回净值为下一个产品开放日的净值，直至该部分全部被确认。在延期办理的部分全部被确认前，投资者不可撤销该部分的赎回申请。本理财产品发生巨额赎回、管理人接受部分赎回时，对于暂停接受和延期办理的部分，管理人可能需在下一个申购或赎回开放日才可确认，可能影响投资者的资金安排。根据不同销售机构提供的服务，投资者可以在申请赎回时选择在触发巨额赎回情形下将当日未获办理部分取消或者顺延。投资者选择取消的，未获办理部分管理人将参考“</w:t>
            </w:r>
            <w:r>
              <w:rPr>
                <w:rFonts w:asciiTheme="minorEastAsia" w:hAnsiTheme="minorEastAsia"/>
                <w:b/>
                <w:color w:val="auto"/>
                <w:szCs w:val="24"/>
                <w:highlight w:val="none"/>
                <w:u w:val="none"/>
              </w:rPr>
              <w:t>2.</w:t>
            </w:r>
            <w:r>
              <w:rPr>
                <w:rFonts w:hint="eastAsia" w:asciiTheme="minorEastAsia" w:hAnsiTheme="minorEastAsia"/>
                <w:b/>
                <w:color w:val="auto"/>
                <w:szCs w:val="24"/>
                <w:highlight w:val="none"/>
                <w:u w:val="none"/>
              </w:rPr>
              <w:t>接受部分赎回（</w:t>
            </w:r>
            <w:r>
              <w:rPr>
                <w:rFonts w:asciiTheme="minorEastAsia" w:hAnsiTheme="minorEastAsia"/>
                <w:b/>
                <w:color w:val="auto"/>
                <w:szCs w:val="24"/>
                <w:highlight w:val="none"/>
                <w:u w:val="none"/>
              </w:rPr>
              <w:t>2</w:t>
            </w:r>
            <w:r>
              <w:rPr>
                <w:rFonts w:hint="eastAsia" w:asciiTheme="minorEastAsia" w:hAnsiTheme="minorEastAsia"/>
                <w:b/>
                <w:color w:val="auto"/>
                <w:szCs w:val="24"/>
                <w:highlight w:val="none"/>
                <w:u w:val="none"/>
              </w:rPr>
              <w:t>）对于暂停接受的部分”采取措施；投资者选择顺延的，顺延部分管理人将参考“</w:t>
            </w:r>
            <w:r>
              <w:rPr>
                <w:rFonts w:asciiTheme="minorEastAsia" w:hAnsiTheme="minorEastAsia"/>
                <w:b/>
                <w:color w:val="auto"/>
                <w:szCs w:val="24"/>
                <w:highlight w:val="none"/>
                <w:u w:val="none"/>
              </w:rPr>
              <w:t>2.</w:t>
            </w:r>
            <w:r>
              <w:rPr>
                <w:rFonts w:hint="eastAsia" w:asciiTheme="minorEastAsia" w:hAnsiTheme="minorEastAsia"/>
                <w:b/>
                <w:color w:val="auto"/>
                <w:szCs w:val="24"/>
                <w:highlight w:val="none"/>
                <w:u w:val="none"/>
              </w:rPr>
              <w:t>接受部分赎回（</w:t>
            </w:r>
            <w:r>
              <w:rPr>
                <w:rFonts w:asciiTheme="minorEastAsia" w:hAnsiTheme="minorEastAsia"/>
                <w:b/>
                <w:color w:val="auto"/>
                <w:szCs w:val="24"/>
                <w:highlight w:val="none"/>
                <w:u w:val="none"/>
              </w:rPr>
              <w:t>3</w:t>
            </w:r>
            <w:r>
              <w:rPr>
                <w:rFonts w:hint="eastAsia" w:asciiTheme="minorEastAsia" w:hAnsiTheme="minorEastAsia"/>
                <w:b/>
                <w:color w:val="auto"/>
                <w:szCs w:val="24"/>
                <w:highlight w:val="none"/>
                <w:u w:val="none"/>
              </w:rPr>
              <w:t>）对于延期办理的部分”采取措施。具体服务投资者可详询销售机构，最终以销售机构提供的服务为准。</w:t>
            </w:r>
          </w:p>
          <w:p w14:paraId="18D8D677">
            <w:pPr>
              <w:keepNext w:val="0"/>
              <w:keepLines w:val="0"/>
              <w:widowControl/>
              <w:numPr>
                <w:ilvl w:val="-1"/>
                <w:numId w:val="0"/>
              </w:numPr>
              <w:suppressLineNumbers w:val="0"/>
              <w:spacing w:line="400" w:lineRule="exact"/>
              <w:jc w:val="left"/>
              <w:textAlignment w:val="center"/>
              <w:rPr>
                <w:rFonts w:hint="eastAsia" w:ascii="宋体" w:hAnsi="宋体"/>
                <w:b/>
                <w:bCs w:val="0"/>
                <w:color w:val="auto"/>
                <w:szCs w:val="24"/>
                <w:highlight w:val="none"/>
                <w:u w:val="none"/>
              </w:rPr>
            </w:pPr>
            <w:r>
              <w:rPr>
                <w:rFonts w:hint="eastAsia" w:ascii="宋体" w:hAnsi="宋体" w:cstheme="minorBidi"/>
                <w:b/>
                <w:bCs w:val="0"/>
                <w:color w:val="auto"/>
                <w:kern w:val="2"/>
                <w:sz w:val="24"/>
                <w:szCs w:val="24"/>
                <w:highlight w:val="none"/>
                <w:u w:val="none"/>
                <w:lang w:val="en-US" w:eastAsia="zh-CN" w:bidi="ar"/>
              </w:rPr>
              <w:t>3.</w:t>
            </w:r>
            <w:r>
              <w:rPr>
                <w:rFonts w:hint="eastAsia" w:ascii="宋体" w:hAnsi="宋体" w:eastAsia="仿宋_GB2312" w:cstheme="minorBidi"/>
                <w:b/>
                <w:bCs w:val="0"/>
                <w:color w:val="auto"/>
                <w:kern w:val="2"/>
                <w:sz w:val="24"/>
                <w:szCs w:val="24"/>
                <w:highlight w:val="none"/>
                <w:u w:val="none"/>
                <w:lang w:val="en-US" w:eastAsia="zh-CN" w:bidi="ar"/>
              </w:rPr>
              <w:t>收取短期赎回费：产品发生巨额赎回或产品管理人认为可能会导致产品流动性风险的其他情形下，产品管理人可向连续持有少于</w:t>
            </w:r>
            <w:r>
              <w:rPr>
                <w:rFonts w:hint="eastAsia" w:ascii="宋体" w:hAnsi="宋体" w:cstheme="minorBidi"/>
                <w:b/>
                <w:bCs w:val="0"/>
                <w:color w:val="auto"/>
                <w:kern w:val="2"/>
                <w:sz w:val="24"/>
                <w:szCs w:val="24"/>
                <w:highlight w:val="yellow"/>
                <w:u w:val="none"/>
                <w:lang w:val="en-US" w:eastAsia="zh-CN" w:bidi="ar"/>
              </w:rPr>
              <w:t>【7】</w:t>
            </w:r>
            <w:r>
              <w:rPr>
                <w:rFonts w:hint="eastAsia" w:ascii="宋体" w:hAnsi="宋体" w:eastAsia="仿宋_GB2312" w:cstheme="minorBidi"/>
                <w:b/>
                <w:bCs w:val="0"/>
                <w:color w:val="auto"/>
                <w:kern w:val="2"/>
                <w:sz w:val="24"/>
                <w:szCs w:val="24"/>
                <w:highlight w:val="yellow"/>
                <w:u w:val="none"/>
                <w:lang w:val="en-US" w:eastAsia="zh-CN" w:bidi="ar"/>
              </w:rPr>
              <w:t>日</w:t>
            </w:r>
            <w:r>
              <w:rPr>
                <w:rFonts w:hint="eastAsia" w:ascii="宋体" w:hAnsi="宋体" w:eastAsia="仿宋_GB2312" w:cstheme="minorBidi"/>
                <w:b/>
                <w:bCs w:val="0"/>
                <w:color w:val="auto"/>
                <w:kern w:val="2"/>
                <w:sz w:val="24"/>
                <w:szCs w:val="24"/>
                <w:highlight w:val="none"/>
                <w:u w:val="none"/>
                <w:lang w:val="en-US" w:eastAsia="zh-CN" w:bidi="ar"/>
              </w:rPr>
              <w:t>的开放式理财产品投资者收取短期赎回费，并将上述短期赎回费全额计入理财产品财产。产品管理人将在收取短期赎回费后3个</w:t>
            </w:r>
            <w:r>
              <w:rPr>
                <w:rFonts w:hint="eastAsia" w:ascii="宋体" w:hAnsi="宋体" w:cstheme="minorBidi"/>
                <w:b/>
                <w:bCs w:val="0"/>
                <w:color w:val="auto"/>
                <w:kern w:val="2"/>
                <w:sz w:val="24"/>
                <w:szCs w:val="24"/>
                <w:highlight w:val="none"/>
                <w:u w:val="none"/>
                <w:lang w:val="en-US" w:eastAsia="zh-CN" w:bidi="ar"/>
              </w:rPr>
              <w:t>交易日</w:t>
            </w:r>
            <w:r>
              <w:rPr>
                <w:rFonts w:hint="eastAsia" w:ascii="宋体" w:hAnsi="宋体" w:eastAsia="仿宋_GB2312" w:cstheme="minorBidi"/>
                <w:b/>
                <w:bCs w:val="0"/>
                <w:color w:val="auto"/>
                <w:kern w:val="2"/>
                <w:sz w:val="24"/>
                <w:szCs w:val="24"/>
                <w:highlight w:val="none"/>
                <w:u w:val="none"/>
                <w:lang w:val="en-US" w:eastAsia="zh-CN" w:bidi="ar"/>
              </w:rPr>
              <w:t>内通过公告的形式向相关投资者披露短期赎回费率、费用计算方式、收费方式等信息。</w:t>
            </w:r>
          </w:p>
          <w:p w14:paraId="20C3C424">
            <w:pPr>
              <w:widowControl/>
              <w:spacing w:line="400" w:lineRule="exact"/>
              <w:jc w:val="left"/>
              <w:textAlignment w:val="center"/>
              <w:rPr>
                <w:rFonts w:hint="eastAsia" w:asciiTheme="minorEastAsia" w:hAnsiTheme="minorEastAsia"/>
                <w:b/>
                <w:color w:val="auto"/>
                <w:szCs w:val="24"/>
                <w:highlight w:val="none"/>
                <w:u w:val="none"/>
              </w:rPr>
            </w:pPr>
          </w:p>
          <w:p w14:paraId="1A5CCA11">
            <w:pPr>
              <w:widowControl/>
              <w:spacing w:line="400" w:lineRule="exact"/>
              <w:jc w:val="left"/>
              <w:textAlignment w:val="center"/>
              <w:rPr>
                <w:rFonts w:hint="eastAsia"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当本理财产品连续</w:t>
            </w:r>
            <w:r>
              <w:rPr>
                <w:rFonts w:ascii="仿宋_GB2312" w:hAnsi="宋体" w:cs="宋体"/>
                <w:b/>
                <w:bCs/>
                <w:color w:val="auto"/>
                <w:kern w:val="0"/>
                <w:szCs w:val="24"/>
                <w:highlight w:val="none"/>
                <w:u w:val="none"/>
              </w:rPr>
              <w:t>2</w:t>
            </w:r>
            <w:r>
              <w:rPr>
                <w:rFonts w:hint="eastAsia" w:ascii="仿宋_GB2312" w:hAnsi="宋体" w:cs="宋体"/>
                <w:b/>
                <w:bCs/>
                <w:color w:val="auto"/>
                <w:kern w:val="0"/>
                <w:szCs w:val="24"/>
                <w:highlight w:val="none"/>
                <w:u w:val="none"/>
              </w:rPr>
              <w:t>个以上开放日发生巨额赎回时，除采取上述措施外，对于已经接受的赎回申请，管理人有权延缓支付赎回款项，但延缓期限不得超过</w:t>
            </w:r>
            <w:r>
              <w:rPr>
                <w:rFonts w:ascii="仿宋_GB2312" w:hAnsi="宋体" w:cs="宋体"/>
                <w:b/>
                <w:bCs/>
                <w:color w:val="auto"/>
                <w:kern w:val="0"/>
                <w:szCs w:val="24"/>
                <w:highlight w:val="none"/>
                <w:u w:val="none"/>
              </w:rPr>
              <w:t>20</w:t>
            </w:r>
            <w:r>
              <w:rPr>
                <w:rFonts w:hint="eastAsia" w:ascii="仿宋_GB2312" w:hAnsi="宋体" w:cs="宋体"/>
                <w:b/>
                <w:bCs/>
                <w:color w:val="auto"/>
                <w:kern w:val="0"/>
                <w:szCs w:val="24"/>
                <w:highlight w:val="none"/>
                <w:u w:val="none"/>
              </w:rPr>
              <w:t>个工作日。</w:t>
            </w:r>
          </w:p>
        </w:tc>
      </w:tr>
      <w:tr w14:paraId="6C2CB2C0">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574E302">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Theme="minorEastAsia" w:hAnsiTheme="minorEastAsia"/>
                <w:color w:val="auto"/>
                <w:kern w:val="0"/>
                <w:szCs w:val="24"/>
                <w:highlight w:val="none"/>
                <w:u w:val="none"/>
              </w:rPr>
              <w:t>撤销规则</w:t>
            </w:r>
          </w:p>
        </w:tc>
        <w:tc>
          <w:tcPr>
            <w:tcW w:w="6972" w:type="dxa"/>
            <w:tcBorders>
              <w:top w:val="single" w:color="auto" w:sz="4" w:space="0"/>
              <w:left w:val="single" w:color="auto" w:sz="4" w:space="0"/>
              <w:bottom w:val="single" w:color="auto" w:sz="4" w:space="0"/>
              <w:right w:val="single" w:color="auto" w:sz="4" w:space="0"/>
            </w:tcBorders>
            <w:vAlign w:val="center"/>
          </w:tcPr>
          <w:p w14:paraId="4E52A7D9">
            <w:pPr>
              <w:snapToGrid w:val="0"/>
              <w:jc w:val="left"/>
              <w:rPr>
                <w:rFonts w:asciiTheme="minorEastAsia" w:hAnsiTheme="minorEastAsia"/>
                <w:color w:val="auto"/>
                <w:szCs w:val="24"/>
                <w:highlight w:val="none"/>
                <w:u w:val="none"/>
              </w:rPr>
            </w:pPr>
            <w:r>
              <w:rPr>
                <w:rFonts w:hint="eastAsia" w:asciiTheme="minorEastAsia" w:hAnsiTheme="minorEastAsia"/>
                <w:color w:val="auto"/>
                <w:szCs w:val="24"/>
                <w:highlight w:val="none"/>
                <w:u w:val="none"/>
              </w:rPr>
              <w:t>1.投资者可在本理财产品募集期结束前撤销已成功提交的产品认购申请；</w:t>
            </w:r>
          </w:p>
          <w:p w14:paraId="3C8D1EB3">
            <w:pPr>
              <w:snapToGrid w:val="0"/>
              <w:jc w:val="left"/>
              <w:rPr>
                <w:rFonts w:asciiTheme="minorEastAsia" w:hAnsiTheme="minorEastAsia"/>
                <w:color w:val="auto"/>
                <w:szCs w:val="24"/>
                <w:highlight w:val="none"/>
                <w:u w:val="none"/>
              </w:rPr>
            </w:pPr>
            <w:r>
              <w:rPr>
                <w:rFonts w:hint="eastAsia" w:asciiTheme="minorEastAsia" w:hAnsiTheme="minorEastAsia"/>
                <w:color w:val="auto"/>
                <w:szCs w:val="24"/>
                <w:highlight w:val="none"/>
                <w:u w:val="none"/>
              </w:rPr>
              <w:t>2.投资者可</w:t>
            </w:r>
            <w:r>
              <w:rPr>
                <w:rFonts w:hint="eastAsia" w:asciiTheme="minorEastAsia" w:hAnsiTheme="minorEastAsia"/>
                <w:b/>
                <w:color w:val="auto"/>
                <w:szCs w:val="24"/>
                <w:highlight w:val="none"/>
                <w:u w:val="none"/>
              </w:rPr>
              <w:t>在任一开放日</w:t>
            </w:r>
            <w:r>
              <w:rPr>
                <w:rFonts w:hint="eastAsia" w:asciiTheme="minorEastAsia" w:hAnsiTheme="minorEastAsia"/>
                <w:b/>
                <w:color w:val="auto"/>
                <w:szCs w:val="24"/>
                <w:highlight w:val="yellow"/>
                <w:u w:val="none"/>
              </w:rPr>
              <w:t>【</w:t>
            </w:r>
            <w:r>
              <w:rPr>
                <w:rFonts w:hint="eastAsia" w:asciiTheme="minorEastAsia" w:hAnsiTheme="minorEastAsia"/>
                <w:b/>
                <w:color w:val="auto"/>
                <w:szCs w:val="24"/>
                <w:highlight w:val="yellow"/>
                <w:u w:val="none"/>
                <w:lang w:val="en-US" w:eastAsia="zh-CN"/>
              </w:rPr>
              <w:t>xx</w:t>
            </w:r>
            <w:r>
              <w:rPr>
                <w:rFonts w:hint="eastAsia" w:asciiTheme="minorEastAsia" w:hAnsiTheme="minorEastAsia"/>
                <w:b/>
                <w:color w:val="auto"/>
                <w:szCs w:val="24"/>
                <w:highlight w:val="yellow"/>
                <w:u w:val="none"/>
              </w:rPr>
              <w:t>:</w:t>
            </w:r>
            <w:r>
              <w:rPr>
                <w:rFonts w:hint="eastAsia" w:asciiTheme="minorEastAsia" w:hAnsiTheme="minorEastAsia"/>
                <w:b/>
                <w:color w:val="auto"/>
                <w:szCs w:val="24"/>
                <w:highlight w:val="yellow"/>
                <w:u w:val="none"/>
                <w:lang w:val="en-US" w:eastAsia="zh-CN"/>
              </w:rPr>
              <w:t>xx</w:t>
            </w:r>
            <w:r>
              <w:rPr>
                <w:rFonts w:hint="eastAsia" w:asciiTheme="minorEastAsia" w:hAnsiTheme="minorEastAsia"/>
                <w:b/>
                <w:color w:val="auto"/>
                <w:szCs w:val="24"/>
                <w:highlight w:val="yellow"/>
                <w:u w:val="none"/>
              </w:rPr>
              <w:t>】</w:t>
            </w:r>
            <w:r>
              <w:rPr>
                <w:rFonts w:hint="eastAsia" w:asciiTheme="minorEastAsia" w:hAnsiTheme="minorEastAsia"/>
                <w:b/>
                <w:color w:val="auto"/>
                <w:szCs w:val="24"/>
                <w:highlight w:val="none"/>
                <w:u w:val="none"/>
              </w:rPr>
              <w:t>前（含）撤销已成功提交的理财产品申购、赎回申请，</w:t>
            </w:r>
            <w:r>
              <w:rPr>
                <w:rFonts w:hint="eastAsia" w:asciiTheme="minorEastAsia" w:hAnsiTheme="minorEastAsia"/>
                <w:b/>
                <w:color w:val="auto"/>
                <w:szCs w:val="24"/>
                <w:highlight w:val="yellow"/>
                <w:u w:val="none"/>
              </w:rPr>
              <w:t>【</w:t>
            </w:r>
            <w:r>
              <w:rPr>
                <w:rFonts w:hint="eastAsia" w:asciiTheme="minorEastAsia" w:hAnsiTheme="minorEastAsia"/>
                <w:b/>
                <w:color w:val="auto"/>
                <w:szCs w:val="24"/>
                <w:highlight w:val="yellow"/>
                <w:u w:val="none"/>
                <w:lang w:val="en-US" w:eastAsia="zh-CN"/>
              </w:rPr>
              <w:t>xx</w:t>
            </w:r>
            <w:r>
              <w:rPr>
                <w:rFonts w:hint="eastAsia" w:asciiTheme="minorEastAsia" w:hAnsiTheme="minorEastAsia"/>
                <w:b/>
                <w:color w:val="auto"/>
                <w:szCs w:val="24"/>
                <w:highlight w:val="yellow"/>
                <w:u w:val="none"/>
              </w:rPr>
              <w:t>:</w:t>
            </w:r>
            <w:r>
              <w:rPr>
                <w:rFonts w:hint="eastAsia" w:asciiTheme="minorEastAsia" w:hAnsiTheme="minorEastAsia"/>
                <w:b/>
                <w:color w:val="auto"/>
                <w:szCs w:val="24"/>
                <w:highlight w:val="yellow"/>
                <w:u w:val="none"/>
                <w:lang w:val="en-US" w:eastAsia="zh-CN"/>
              </w:rPr>
              <w:t>xx</w:t>
            </w:r>
            <w:r>
              <w:rPr>
                <w:rFonts w:hint="eastAsia" w:asciiTheme="minorEastAsia" w:hAnsiTheme="minorEastAsia"/>
                <w:b/>
                <w:color w:val="auto"/>
                <w:szCs w:val="24"/>
                <w:highlight w:val="yellow"/>
                <w:u w:val="none"/>
              </w:rPr>
              <w:t>】</w:t>
            </w:r>
            <w:r>
              <w:rPr>
                <w:rFonts w:hint="eastAsia" w:asciiTheme="minorEastAsia" w:hAnsiTheme="minorEastAsia"/>
                <w:b/>
                <w:color w:val="auto"/>
                <w:szCs w:val="24"/>
                <w:highlight w:val="none"/>
                <w:u w:val="none"/>
              </w:rPr>
              <w:t>后不可撤销</w:t>
            </w:r>
            <w:r>
              <w:rPr>
                <w:rFonts w:hint="eastAsia" w:asciiTheme="minorEastAsia" w:hAnsiTheme="minorEastAsia"/>
                <w:color w:val="auto"/>
                <w:szCs w:val="24"/>
                <w:highlight w:val="none"/>
                <w:u w:val="none"/>
              </w:rPr>
              <w:t>；</w:t>
            </w:r>
          </w:p>
          <w:p w14:paraId="0F701C83">
            <w:pPr>
              <w:snapToGrid w:val="0"/>
              <w:jc w:val="left"/>
              <w:rPr>
                <w:rFonts w:hint="eastAsia" w:ascii="仿宋" w:hAnsi="仿宋" w:eastAsia="仿宋" w:cs="宋体"/>
                <w:bCs/>
                <w:color w:val="000000" w:themeColor="text1"/>
                <w:kern w:val="0"/>
                <w:sz w:val="24"/>
                <w:lang w:bidi="ar"/>
                <w14:textFill>
                  <w14:solidFill>
                    <w14:schemeClr w14:val="tx1"/>
                  </w14:solidFill>
                </w14:textFill>
              </w:rPr>
            </w:pPr>
            <w:r>
              <w:rPr>
                <w:rFonts w:hint="eastAsia" w:asciiTheme="minorEastAsia" w:hAnsiTheme="minorEastAsia"/>
                <w:color w:val="auto"/>
                <w:szCs w:val="24"/>
                <w:highlight w:val="none"/>
                <w:u w:val="none"/>
              </w:rPr>
              <w:t>3.</w:t>
            </w:r>
            <w:r>
              <w:rPr>
                <w:rFonts w:hint="eastAsia"/>
                <w:b/>
                <w:color w:val="auto"/>
                <w:szCs w:val="24"/>
                <w:highlight w:val="none"/>
                <w:u w:val="none"/>
              </w:rPr>
              <w:t>销售机构实际受理撤销申请时间可能与说明书不一致，具体以销售机构展示为准。</w:t>
            </w:r>
          </w:p>
        </w:tc>
      </w:tr>
      <w:tr w14:paraId="7CDA9314">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4A435C8">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bCs/>
                <w:color w:val="auto"/>
                <w:szCs w:val="24"/>
                <w:highlight w:val="none"/>
                <w:u w:val="none"/>
              </w:rPr>
              <w:t>认/申购数量</w:t>
            </w:r>
            <w:r>
              <w:rPr>
                <w:rFonts w:ascii="宋体" w:hAnsi="宋体"/>
                <w:bCs/>
                <w:color w:val="auto"/>
                <w:szCs w:val="24"/>
                <w:highlight w:val="none"/>
                <w:u w:val="none"/>
              </w:rPr>
              <w:t>限制</w:t>
            </w:r>
          </w:p>
        </w:tc>
        <w:tc>
          <w:tcPr>
            <w:tcW w:w="6972" w:type="dxa"/>
            <w:tcBorders>
              <w:top w:val="single" w:color="auto" w:sz="4" w:space="0"/>
              <w:left w:val="single" w:color="auto" w:sz="4" w:space="0"/>
              <w:bottom w:val="single" w:color="auto" w:sz="4" w:space="0"/>
              <w:right w:val="single" w:color="auto" w:sz="4" w:space="0"/>
            </w:tcBorders>
            <w:vAlign w:val="center"/>
          </w:tcPr>
          <w:p w14:paraId="42DE0AEF">
            <w:pPr>
              <w:widowControl/>
              <w:numPr>
                <w:ilvl w:val="0"/>
                <w:numId w:val="6"/>
              </w:numPr>
              <w:jc w:val="left"/>
              <w:rPr>
                <w:rFonts w:asciiTheme="minorEastAsia" w:hAnsiTheme="minorEastAsia"/>
                <w:color w:val="auto"/>
                <w:szCs w:val="24"/>
                <w:highlight w:val="none"/>
                <w:u w:val="none"/>
              </w:rPr>
            </w:pPr>
            <w:r>
              <w:rPr>
                <w:rFonts w:hint="eastAsia" w:ascii="宋体" w:hAnsi="宋体"/>
                <w:bCs/>
                <w:color w:val="auto"/>
                <w:szCs w:val="24"/>
                <w:highlight w:val="yellow"/>
                <w:u w:val="none"/>
                <w:lang w:val="en-US" w:eastAsia="zh-CN"/>
              </w:rPr>
              <w:t>【A类份额】</w:t>
            </w:r>
            <w:r>
              <w:rPr>
                <w:rFonts w:hint="eastAsia" w:ascii="宋体" w:hAnsi="宋体"/>
                <w:bCs/>
                <w:color w:val="auto"/>
                <w:szCs w:val="24"/>
                <w:highlight w:val="none"/>
                <w:u w:val="none"/>
                <w:lang w:val="en-US" w:eastAsia="zh-CN"/>
              </w:rPr>
              <w:t>：</w:t>
            </w:r>
            <w:r>
              <w:rPr>
                <w:rFonts w:hint="eastAsia" w:ascii="宋体" w:hAnsi="宋体"/>
                <w:bCs/>
                <w:color w:val="auto"/>
                <w:szCs w:val="24"/>
                <w:highlight w:val="yellow"/>
                <w:u w:val="none"/>
                <w:lang w:val="en-US" w:eastAsia="zh-CN"/>
              </w:rPr>
              <w:t>【</w:t>
            </w:r>
            <w:r>
              <w:rPr>
                <w:rFonts w:hint="eastAsia" w:ascii="宋体" w:hAnsi="宋体"/>
                <w:bCs/>
                <w:color w:val="auto"/>
                <w:szCs w:val="24"/>
                <w:highlight w:val="yellow"/>
                <w:u w:val="none"/>
                <w:lang w:eastAsia="zh-CN"/>
              </w:rPr>
              <w:t>单一</w:t>
            </w:r>
            <w:r>
              <w:rPr>
                <w:rFonts w:hint="eastAsia" w:ascii="宋体" w:hAnsi="宋体"/>
                <w:bCs/>
                <w:color w:val="auto"/>
                <w:szCs w:val="24"/>
                <w:highlight w:val="yellow"/>
                <w:u w:val="none"/>
                <w:lang w:val="en-US" w:eastAsia="zh-CN"/>
              </w:rPr>
              <w:t>/个人/机构</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投资者认购上限为</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万元。</w:t>
            </w:r>
            <w:r>
              <w:rPr>
                <w:rFonts w:hint="eastAsia" w:ascii="宋体" w:hAnsi="宋体"/>
                <w:bCs/>
                <w:color w:val="auto"/>
                <w:szCs w:val="24"/>
                <w:highlight w:val="none"/>
                <w:u w:val="none"/>
                <w:lang w:val="en-US" w:eastAsia="zh-CN"/>
              </w:rPr>
              <w:t>【</w:t>
            </w:r>
            <w:r>
              <w:rPr>
                <w:rFonts w:hint="eastAsia" w:ascii="宋体" w:hAnsi="宋体"/>
                <w:bCs/>
                <w:color w:val="auto"/>
                <w:szCs w:val="24"/>
                <w:highlight w:val="none"/>
                <w:u w:val="none"/>
                <w:lang w:eastAsia="zh-CN"/>
              </w:rPr>
              <w:t>单一】</w:t>
            </w:r>
            <w:r>
              <w:rPr>
                <w:rFonts w:hint="eastAsia" w:ascii="宋体" w:hAnsi="宋体"/>
                <w:bCs/>
                <w:color w:val="auto"/>
                <w:szCs w:val="24"/>
                <w:highlight w:val="none"/>
                <w:u w:val="none"/>
              </w:rPr>
              <w:t>投资者申购上限为</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万元，在产品运作过程中因收益分配、净值波动等被动超上限的情形除外。</w:t>
            </w:r>
          </w:p>
          <w:p w14:paraId="6DF88B33">
            <w:pPr>
              <w:widowControl/>
              <w:numPr>
                <w:ilvl w:val="0"/>
                <w:numId w:val="6"/>
              </w:numPr>
              <w:jc w:val="left"/>
              <w:rPr>
                <w:rFonts w:asciiTheme="minorEastAsia" w:hAnsiTheme="minorEastAsia"/>
                <w:color w:val="auto"/>
                <w:szCs w:val="24"/>
                <w:highlight w:val="none"/>
                <w:u w:val="none"/>
              </w:rPr>
            </w:pPr>
            <w:r>
              <w:rPr>
                <w:rFonts w:hint="eastAsia" w:ascii="宋体" w:hAnsi="宋体"/>
                <w:bCs/>
                <w:color w:val="auto"/>
                <w:szCs w:val="24"/>
                <w:highlight w:val="yellow"/>
                <w:u w:val="none"/>
                <w:lang w:val="en-US" w:eastAsia="zh-CN"/>
              </w:rPr>
              <w:t>【B类份额】</w:t>
            </w:r>
            <w:r>
              <w:rPr>
                <w:rFonts w:hint="eastAsia" w:asciiTheme="minorEastAsia" w:hAnsiTheme="minorEastAsia"/>
                <w:color w:val="auto"/>
                <w:szCs w:val="24"/>
                <w:highlight w:val="none"/>
                <w:u w:val="none"/>
                <w:lang w:val="en-US" w:eastAsia="zh-CN"/>
              </w:rPr>
              <w:t>：</w:t>
            </w:r>
            <w:r>
              <w:rPr>
                <w:rFonts w:hint="eastAsia" w:ascii="宋体" w:hAnsi="宋体"/>
                <w:bCs/>
                <w:color w:val="auto"/>
                <w:szCs w:val="24"/>
                <w:highlight w:val="yellow"/>
                <w:u w:val="none"/>
                <w:lang w:val="en-US" w:eastAsia="zh-CN"/>
              </w:rPr>
              <w:t>【</w:t>
            </w:r>
            <w:r>
              <w:rPr>
                <w:rFonts w:hint="eastAsia" w:ascii="宋体" w:hAnsi="宋体"/>
                <w:bCs/>
                <w:color w:val="auto"/>
                <w:szCs w:val="24"/>
                <w:highlight w:val="yellow"/>
                <w:u w:val="none"/>
                <w:lang w:eastAsia="zh-CN"/>
              </w:rPr>
              <w:t>单一</w:t>
            </w:r>
            <w:r>
              <w:rPr>
                <w:rFonts w:hint="eastAsia" w:ascii="宋体" w:hAnsi="宋体"/>
                <w:bCs/>
                <w:color w:val="auto"/>
                <w:szCs w:val="24"/>
                <w:highlight w:val="yellow"/>
                <w:u w:val="none"/>
                <w:lang w:val="en-US" w:eastAsia="zh-CN"/>
              </w:rPr>
              <w:t>/个人/机构</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投投资者认购上限为</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万元。</w:t>
            </w:r>
            <w:r>
              <w:rPr>
                <w:rFonts w:hint="eastAsia" w:ascii="宋体" w:hAnsi="宋体"/>
                <w:bCs/>
                <w:color w:val="auto"/>
                <w:szCs w:val="24"/>
                <w:highlight w:val="yellow"/>
                <w:u w:val="none"/>
                <w:lang w:val="en-US" w:eastAsia="zh-CN"/>
              </w:rPr>
              <w:t>【</w:t>
            </w:r>
            <w:r>
              <w:rPr>
                <w:rFonts w:hint="eastAsia" w:ascii="宋体" w:hAnsi="宋体"/>
                <w:bCs/>
                <w:color w:val="auto"/>
                <w:szCs w:val="24"/>
                <w:highlight w:val="yellow"/>
                <w:u w:val="none"/>
                <w:lang w:eastAsia="zh-CN"/>
              </w:rPr>
              <w:t>单一</w:t>
            </w:r>
            <w:r>
              <w:rPr>
                <w:rFonts w:hint="eastAsia" w:ascii="宋体" w:hAnsi="宋体"/>
                <w:bCs/>
                <w:color w:val="auto"/>
                <w:szCs w:val="24"/>
                <w:highlight w:val="yellow"/>
                <w:u w:val="none"/>
                <w:lang w:val="en-US" w:eastAsia="zh-CN"/>
              </w:rPr>
              <w:t>/个人/机构</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投资者申购上限为</w:t>
            </w:r>
            <w:r>
              <w:rPr>
                <w:rFonts w:hint="eastAsia" w:ascii="宋体" w:hAnsi="宋体"/>
                <w:bCs/>
                <w:color w:val="auto"/>
                <w:szCs w:val="24"/>
                <w:highlight w:val="yellow"/>
                <w:u w:val="none"/>
                <w:lang w:eastAsia="zh-CN"/>
              </w:rPr>
              <w:t>【】</w:t>
            </w:r>
            <w:r>
              <w:rPr>
                <w:rFonts w:hint="eastAsia" w:ascii="宋体" w:hAnsi="宋体"/>
                <w:bCs/>
                <w:color w:val="auto"/>
                <w:szCs w:val="24"/>
                <w:highlight w:val="none"/>
                <w:u w:val="none"/>
              </w:rPr>
              <w:t>万元，在产品运作过程中因收益分配、净值波动等被动超上限的情形除外。</w:t>
            </w:r>
          </w:p>
          <w:p w14:paraId="53876304">
            <w:pPr>
              <w:widowControl/>
              <w:numPr>
                <w:ilvl w:val="0"/>
                <w:numId w:val="6"/>
              </w:numPr>
              <w:jc w:val="left"/>
              <w:rPr>
                <w:rFonts w:asciiTheme="minorEastAsia" w:hAnsiTheme="minorEastAsia"/>
                <w:color w:val="auto"/>
                <w:szCs w:val="24"/>
                <w:highlight w:val="none"/>
                <w:u w:val="none"/>
              </w:rPr>
            </w:pPr>
            <w:r>
              <w:rPr>
                <w:rFonts w:hint="eastAsia" w:ascii="宋体" w:hAnsi="宋体"/>
                <w:bCs/>
                <w:color w:val="auto"/>
                <w:szCs w:val="24"/>
                <w:highlight w:val="none"/>
                <w:u w:val="none"/>
              </w:rPr>
              <w:t>如果</w:t>
            </w:r>
            <w:r>
              <w:rPr>
                <w:rFonts w:ascii="宋体" w:hAnsi="宋体"/>
                <w:bCs/>
                <w:color w:val="auto"/>
                <w:szCs w:val="24"/>
                <w:highlight w:val="none"/>
                <w:u w:val="none"/>
              </w:rPr>
              <w:t>单一投资者</w:t>
            </w:r>
            <w:r>
              <w:rPr>
                <w:rFonts w:hint="eastAsia" w:ascii="宋体" w:hAnsi="宋体"/>
                <w:bCs/>
                <w:color w:val="auto"/>
                <w:szCs w:val="24"/>
                <w:highlight w:val="none"/>
                <w:u w:val="none"/>
              </w:rPr>
              <w:t>认购或申购申请确认后将导致其持有份额超过产品总份额</w:t>
            </w:r>
            <w:r>
              <w:rPr>
                <w:rFonts w:ascii="宋体" w:hAnsi="宋体"/>
                <w:bCs/>
                <w:color w:val="auto"/>
                <w:szCs w:val="24"/>
                <w:highlight w:val="none"/>
                <w:u w:val="none"/>
              </w:rPr>
              <w:t>50%</w:t>
            </w:r>
            <w:r>
              <w:rPr>
                <w:rFonts w:hint="eastAsia" w:ascii="宋体" w:hAnsi="宋体"/>
                <w:bCs/>
                <w:color w:val="auto"/>
                <w:szCs w:val="24"/>
                <w:highlight w:val="none"/>
                <w:u w:val="none"/>
              </w:rPr>
              <w:t>的</w:t>
            </w:r>
            <w:r>
              <w:rPr>
                <w:rFonts w:ascii="宋体" w:hAnsi="宋体"/>
                <w:bCs/>
                <w:color w:val="auto"/>
                <w:szCs w:val="24"/>
                <w:highlight w:val="none"/>
                <w:u w:val="none"/>
              </w:rPr>
              <w:t>，管理人有权拒绝或暂停</w:t>
            </w:r>
            <w:r>
              <w:rPr>
                <w:rFonts w:hint="eastAsia" w:ascii="宋体" w:hAnsi="宋体"/>
                <w:bCs/>
                <w:color w:val="auto"/>
                <w:szCs w:val="24"/>
                <w:highlight w:val="none"/>
                <w:u w:val="none"/>
              </w:rPr>
              <w:t>接受超出部分的</w:t>
            </w:r>
            <w:r>
              <w:rPr>
                <w:rFonts w:ascii="宋体" w:hAnsi="宋体"/>
                <w:bCs/>
                <w:color w:val="auto"/>
                <w:szCs w:val="24"/>
                <w:highlight w:val="none"/>
                <w:u w:val="none"/>
              </w:rPr>
              <w:t>认购、申购</w:t>
            </w:r>
            <w:r>
              <w:rPr>
                <w:rFonts w:hint="eastAsia" w:ascii="宋体" w:hAnsi="宋体"/>
                <w:bCs/>
                <w:color w:val="auto"/>
                <w:szCs w:val="24"/>
                <w:highlight w:val="none"/>
                <w:u w:val="none"/>
              </w:rPr>
              <w:t>申请</w:t>
            </w:r>
            <w:r>
              <w:rPr>
                <w:rFonts w:ascii="宋体" w:hAnsi="宋体"/>
                <w:bCs/>
                <w:color w:val="auto"/>
                <w:szCs w:val="24"/>
                <w:highlight w:val="none"/>
                <w:u w:val="none"/>
              </w:rPr>
              <w:t>。非因管理人主观因素导致突破该比例限制的，在单一投资者持有比例降至50%以下之前，管理人不再接受该投资者对本产品的认购</w:t>
            </w:r>
            <w:r>
              <w:rPr>
                <w:rFonts w:hint="eastAsia" w:ascii="宋体" w:hAnsi="宋体"/>
                <w:bCs/>
                <w:color w:val="auto"/>
                <w:szCs w:val="24"/>
                <w:highlight w:val="none"/>
                <w:u w:val="none"/>
              </w:rPr>
              <w:t>、申购申请。投资者持有份额的计算以管理人登记为准。</w:t>
            </w:r>
          </w:p>
          <w:p w14:paraId="631CC33E">
            <w:pPr>
              <w:widowControl/>
              <w:numPr>
                <w:ilvl w:val="-1"/>
                <w:numId w:val="0"/>
              </w:numPr>
              <w:jc w:val="left"/>
              <w:rPr>
                <w:rFonts w:hint="eastAsia" w:ascii="仿宋" w:hAnsi="仿宋" w:eastAsia="仿宋" w:cs="宋体"/>
                <w:bCs/>
                <w:color w:val="000000" w:themeColor="text1"/>
                <w:kern w:val="0"/>
                <w:sz w:val="24"/>
                <w:lang w:bidi="ar"/>
                <w14:textFill>
                  <w14:solidFill>
                    <w14:schemeClr w14:val="tx1"/>
                  </w14:solidFill>
                </w14:textFill>
              </w:rPr>
            </w:pPr>
            <w:r>
              <w:rPr>
                <w:rFonts w:hint="eastAsia" w:ascii="宋体" w:hAnsi="宋体"/>
                <w:bCs/>
                <w:color w:val="auto"/>
                <w:szCs w:val="24"/>
                <w:highlight w:val="none"/>
                <w:u w:val="none"/>
                <w:lang w:val="en-US" w:eastAsia="zh-CN"/>
              </w:rPr>
              <w:t>4.</w:t>
            </w:r>
            <w:r>
              <w:rPr>
                <w:rFonts w:hint="eastAsia" w:ascii="宋体" w:hAnsi="宋体"/>
                <w:bCs/>
                <w:color w:val="auto"/>
                <w:szCs w:val="24"/>
                <w:highlight w:val="none"/>
                <w:u w:val="none"/>
              </w:rPr>
              <w:t>如投资者认/申购超过上述限额，管理人有权根据实际情况接受、拒绝或确认失败。</w:t>
            </w:r>
            <w:r>
              <w:rPr>
                <w:rFonts w:hint="eastAsia" w:ascii="宋体" w:hAnsi="宋体"/>
                <w:b/>
                <w:bCs w:val="0"/>
                <w:color w:val="auto"/>
                <w:szCs w:val="24"/>
                <w:highlight w:val="none"/>
                <w:u w:val="none"/>
              </w:rPr>
              <w:t>管理人有权以公告形式调整投资者累计认/申购上限。</w:t>
            </w:r>
          </w:p>
        </w:tc>
      </w:tr>
      <w:tr w14:paraId="059A5046">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D1762E9">
            <w:pPr>
              <w:snapToGrid w:val="0"/>
              <w:ind w:left="-140" w:leftChars="-74" w:hanging="15" w:firstLineChars="0"/>
              <w:jc w:val="center"/>
              <w:rPr>
                <w:rFonts w:hint="eastAsia" w:ascii="宋体" w:hAnsi="宋体"/>
                <w:bCs/>
                <w:color w:val="auto"/>
                <w:szCs w:val="24"/>
                <w:highlight w:val="none"/>
                <w:u w:val="none"/>
              </w:rPr>
            </w:pPr>
            <w:r>
              <w:rPr>
                <w:rFonts w:hint="eastAsia" w:ascii="宋体" w:hAnsi="宋体"/>
                <w:bCs/>
                <w:color w:val="auto"/>
                <w:szCs w:val="24"/>
                <w:highlight w:val="none"/>
                <w:u w:val="none"/>
              </w:rPr>
              <w:t>最高持有限额</w:t>
            </w:r>
          </w:p>
        </w:tc>
        <w:tc>
          <w:tcPr>
            <w:tcW w:w="6972" w:type="dxa"/>
            <w:tcBorders>
              <w:top w:val="single" w:color="auto" w:sz="4" w:space="0"/>
              <w:left w:val="single" w:color="auto" w:sz="4" w:space="0"/>
              <w:bottom w:val="single" w:color="auto" w:sz="4" w:space="0"/>
              <w:right w:val="single" w:color="auto" w:sz="4" w:space="0"/>
            </w:tcBorders>
            <w:vAlign w:val="center"/>
          </w:tcPr>
          <w:p w14:paraId="77E3AC6D">
            <w:pPr>
              <w:keepNext w:val="0"/>
              <w:keepLines w:val="0"/>
              <w:widowControl/>
              <w:numPr>
                <w:ilvl w:val="0"/>
                <w:numId w:val="0"/>
              </w:numPr>
              <w:suppressLineNumbers w:val="0"/>
              <w:jc w:val="left"/>
              <w:rPr>
                <w:rFonts w:hint="eastAsia" w:ascii="宋体" w:hAnsi="宋体"/>
                <w:b/>
                <w:color w:val="auto"/>
                <w:szCs w:val="24"/>
                <w:highlight w:val="none"/>
                <w:u w:val="none"/>
              </w:rPr>
            </w:pPr>
            <w:r>
              <w:rPr>
                <w:rFonts w:hint="eastAsia" w:ascii="宋体" w:hAnsi="宋体" w:eastAsia="仿宋_GB2312" w:cstheme="minorBidi"/>
                <w:b/>
                <w:bCs w:val="0"/>
                <w:color w:val="auto"/>
                <w:kern w:val="2"/>
                <w:sz w:val="24"/>
                <w:szCs w:val="24"/>
                <w:highlight w:val="none"/>
                <w:u w:val="none"/>
                <w:lang w:val="en-US" w:eastAsia="zh-CN" w:bidi="ar"/>
              </w:rPr>
              <w:t>单一投资者持有份额</w:t>
            </w:r>
            <w:r>
              <w:rPr>
                <w:rFonts w:hint="eastAsia" w:ascii="宋体" w:hAnsi="宋体" w:cstheme="minorBidi"/>
                <w:b/>
                <w:bCs w:val="0"/>
                <w:color w:val="auto"/>
                <w:kern w:val="2"/>
                <w:sz w:val="24"/>
                <w:szCs w:val="24"/>
                <w:highlight w:val="yellow"/>
                <w:u w:val="none"/>
                <w:lang w:val="en-US" w:eastAsia="zh-CN" w:bidi="ar"/>
              </w:rPr>
              <w:t>【不得/可以】</w:t>
            </w:r>
            <w:r>
              <w:rPr>
                <w:rFonts w:hint="eastAsia" w:ascii="宋体" w:hAnsi="宋体" w:eastAsia="仿宋_GB2312" w:cstheme="minorBidi"/>
                <w:b/>
                <w:bCs w:val="0"/>
                <w:color w:val="auto"/>
                <w:kern w:val="2"/>
                <w:sz w:val="24"/>
                <w:szCs w:val="24"/>
                <w:highlight w:val="none"/>
                <w:u w:val="none"/>
                <w:lang w:val="en-US" w:eastAsia="zh-CN" w:bidi="ar"/>
              </w:rPr>
              <w:t>超过本理财产品总份额的 50%。</w:t>
            </w:r>
          </w:p>
          <w:p w14:paraId="163EB909">
            <w:pPr>
              <w:widowControl/>
              <w:numPr>
                <w:ilvl w:val="-1"/>
                <w:numId w:val="0"/>
              </w:numPr>
              <w:jc w:val="left"/>
              <w:rPr>
                <w:rFonts w:hint="eastAsia" w:ascii="宋体" w:hAnsi="宋体"/>
                <w:b/>
                <w:bCs w:val="0"/>
                <w:color w:val="auto"/>
                <w:szCs w:val="24"/>
                <w:highlight w:val="none"/>
                <w:u w:val="none"/>
                <w:lang w:val="en-US" w:eastAsia="zh-CN"/>
              </w:rPr>
            </w:pPr>
            <w:r>
              <w:rPr>
                <w:rFonts w:hint="eastAsia" w:ascii="宋体" w:hAnsi="宋体"/>
                <w:b/>
                <w:bCs w:val="0"/>
                <w:color w:val="auto"/>
                <w:szCs w:val="24"/>
                <w:highlight w:val="none"/>
                <w:u w:val="none"/>
                <w:lang w:val="en-US" w:eastAsia="zh-CN"/>
              </w:rPr>
              <w:t>如销售机构规定与本规则不一致的，则以各销售机构规定为准，但不得高于最高持有限额。</w:t>
            </w:r>
          </w:p>
        </w:tc>
      </w:tr>
      <w:tr w14:paraId="489F00B3">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6F17D2AB">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bCs/>
                <w:color w:val="auto"/>
                <w:szCs w:val="24"/>
                <w:highlight w:val="none"/>
                <w:u w:val="none"/>
              </w:rPr>
              <w:t>赎回</w:t>
            </w:r>
            <w:r>
              <w:rPr>
                <w:rFonts w:ascii="宋体" w:hAnsi="宋体"/>
                <w:bCs/>
                <w:color w:val="auto"/>
                <w:szCs w:val="24"/>
                <w:highlight w:val="none"/>
                <w:u w:val="none"/>
              </w:rPr>
              <w:t>数量限制</w:t>
            </w:r>
          </w:p>
        </w:tc>
        <w:tc>
          <w:tcPr>
            <w:tcW w:w="6972" w:type="dxa"/>
            <w:tcBorders>
              <w:top w:val="single" w:color="auto" w:sz="4" w:space="0"/>
              <w:left w:val="single" w:color="auto" w:sz="4" w:space="0"/>
              <w:bottom w:val="single" w:color="auto" w:sz="4" w:space="0"/>
              <w:right w:val="single" w:color="auto" w:sz="4" w:space="0"/>
            </w:tcBorders>
            <w:vAlign w:val="center"/>
          </w:tcPr>
          <w:p w14:paraId="26B73CCE">
            <w:pPr>
              <w:widowControl/>
              <w:numPr>
                <w:ilvl w:val="0"/>
                <w:numId w:val="7"/>
              </w:numPr>
              <w:jc w:val="left"/>
              <w:rPr>
                <w:rFonts w:ascii="宋体" w:hAnsi="宋体"/>
                <w:bCs/>
                <w:color w:val="auto"/>
                <w:szCs w:val="24"/>
                <w:highlight w:val="none"/>
                <w:u w:val="none"/>
              </w:rPr>
            </w:pPr>
            <w:r>
              <w:rPr>
                <w:rFonts w:hint="eastAsia" w:ascii="宋体" w:hAnsi="宋体"/>
                <w:bCs/>
                <w:color w:val="auto"/>
                <w:szCs w:val="24"/>
                <w:highlight w:val="yellow"/>
                <w:u w:val="none"/>
                <w:lang w:val="en-US" w:eastAsia="zh-CN"/>
              </w:rPr>
              <w:t>【A类份额】</w:t>
            </w:r>
            <w:r>
              <w:rPr>
                <w:rFonts w:hint="eastAsia" w:ascii="宋体" w:hAnsi="宋体"/>
                <w:color w:val="auto"/>
                <w:szCs w:val="24"/>
                <w:highlight w:val="none"/>
                <w:u w:val="none"/>
                <w:lang w:val="en-US" w:eastAsia="zh-CN"/>
              </w:rPr>
              <w:t>：</w:t>
            </w:r>
            <w:r>
              <w:rPr>
                <w:rFonts w:hint="eastAsia" w:ascii="宋体" w:hAnsi="宋体"/>
                <w:color w:val="auto"/>
                <w:szCs w:val="24"/>
                <w:highlight w:val="none"/>
                <w:u w:val="none"/>
              </w:rPr>
              <w:t>单笔最小赎回份额</w:t>
            </w:r>
            <w:r>
              <w:rPr>
                <w:rFonts w:hint="eastAsia" w:ascii="宋体" w:hAnsi="宋体"/>
                <w:color w:val="auto"/>
                <w:szCs w:val="24"/>
                <w:highlight w:val="yellow"/>
                <w:u w:val="none"/>
                <w:lang w:eastAsia="zh-CN"/>
              </w:rPr>
              <w:t>【】</w:t>
            </w:r>
            <w:r>
              <w:rPr>
                <w:rFonts w:hint="eastAsia" w:ascii="宋体" w:hAnsi="宋体"/>
                <w:color w:val="auto"/>
                <w:szCs w:val="24"/>
                <w:highlight w:val="none"/>
                <w:u w:val="none"/>
                <w:lang w:eastAsia="zh-CN"/>
              </w:rPr>
              <w:t>份</w:t>
            </w:r>
            <w:r>
              <w:rPr>
                <w:rFonts w:hint="eastAsia" w:ascii="宋体" w:hAnsi="宋体"/>
                <w:bCs/>
                <w:color w:val="auto"/>
                <w:szCs w:val="24"/>
                <w:highlight w:val="none"/>
                <w:u w:val="none"/>
              </w:rPr>
              <w:t>。</w:t>
            </w:r>
          </w:p>
          <w:p w14:paraId="59FAD732">
            <w:pPr>
              <w:widowControl/>
              <w:numPr>
                <w:ilvl w:val="-1"/>
                <w:numId w:val="0"/>
              </w:numPr>
              <w:jc w:val="left"/>
              <w:rPr>
                <w:rFonts w:ascii="宋体" w:hAnsi="宋体"/>
                <w:bCs/>
                <w:color w:val="auto"/>
                <w:szCs w:val="24"/>
                <w:highlight w:val="none"/>
                <w:u w:val="none"/>
              </w:rPr>
            </w:pPr>
            <w:r>
              <w:rPr>
                <w:rFonts w:hint="eastAsia" w:ascii="宋体" w:hAnsi="宋体"/>
                <w:bCs/>
                <w:color w:val="auto"/>
                <w:szCs w:val="24"/>
                <w:highlight w:val="yellow"/>
                <w:u w:val="none"/>
                <w:lang w:val="en-US" w:eastAsia="zh-CN"/>
              </w:rPr>
              <w:t>【B类份额】</w:t>
            </w:r>
            <w:r>
              <w:rPr>
                <w:rFonts w:hint="eastAsia" w:ascii="宋体" w:hAnsi="宋体"/>
                <w:color w:val="auto"/>
                <w:szCs w:val="24"/>
                <w:highlight w:val="none"/>
                <w:u w:val="none"/>
                <w:lang w:val="en-US" w:eastAsia="zh-CN"/>
              </w:rPr>
              <w:t>：</w:t>
            </w:r>
            <w:r>
              <w:rPr>
                <w:rFonts w:hint="eastAsia" w:ascii="宋体" w:hAnsi="宋体"/>
                <w:color w:val="auto"/>
                <w:szCs w:val="24"/>
                <w:highlight w:val="none"/>
                <w:u w:val="none"/>
              </w:rPr>
              <w:t>单笔最小赎回份额</w:t>
            </w:r>
            <w:r>
              <w:rPr>
                <w:rFonts w:hint="eastAsia" w:ascii="宋体" w:hAnsi="宋体"/>
                <w:color w:val="auto"/>
                <w:szCs w:val="24"/>
                <w:highlight w:val="yellow"/>
                <w:u w:val="none"/>
                <w:lang w:eastAsia="zh-CN"/>
              </w:rPr>
              <w:t>【】</w:t>
            </w:r>
            <w:r>
              <w:rPr>
                <w:rFonts w:hint="eastAsia" w:ascii="宋体" w:hAnsi="宋体"/>
                <w:color w:val="auto"/>
                <w:szCs w:val="24"/>
                <w:highlight w:val="none"/>
                <w:u w:val="none"/>
                <w:lang w:eastAsia="zh-CN"/>
              </w:rPr>
              <w:t>份</w:t>
            </w:r>
            <w:r>
              <w:rPr>
                <w:rFonts w:hint="eastAsia" w:ascii="宋体" w:hAnsi="宋体"/>
                <w:bCs/>
                <w:color w:val="auto"/>
                <w:szCs w:val="24"/>
                <w:highlight w:val="none"/>
                <w:u w:val="none"/>
              </w:rPr>
              <w:t>。</w:t>
            </w:r>
            <w:r>
              <w:rPr>
                <w:rFonts w:ascii="宋体" w:hAnsi="宋体"/>
                <w:bCs/>
                <w:color w:val="auto"/>
                <w:szCs w:val="24"/>
                <w:highlight w:val="none"/>
                <w:u w:val="none"/>
              </w:rPr>
              <w:t xml:space="preserve"> </w:t>
            </w:r>
          </w:p>
          <w:p w14:paraId="049B92CE">
            <w:pPr>
              <w:widowControl/>
              <w:numPr>
                <w:ilvl w:val="0"/>
                <w:numId w:val="7"/>
              </w:numPr>
              <w:jc w:val="left"/>
              <w:rPr>
                <w:rFonts w:ascii="宋体" w:hAnsi="宋体"/>
                <w:bCs/>
                <w:color w:val="auto"/>
                <w:szCs w:val="24"/>
                <w:highlight w:val="none"/>
                <w:u w:val="none"/>
              </w:rPr>
            </w:pPr>
            <w:r>
              <w:rPr>
                <w:rFonts w:hint="eastAsia" w:ascii="宋体" w:hAnsi="宋体"/>
                <w:bCs/>
                <w:color w:val="auto"/>
                <w:szCs w:val="24"/>
                <w:highlight w:val="yellow"/>
                <w:u w:val="none"/>
                <w:lang w:val="en-US" w:eastAsia="zh-CN"/>
              </w:rPr>
              <w:t>【A类份额】</w:t>
            </w:r>
            <w:r>
              <w:rPr>
                <w:rFonts w:hint="eastAsia" w:ascii="宋体" w:hAnsi="宋体"/>
                <w:color w:val="auto"/>
                <w:szCs w:val="24"/>
                <w:highlight w:val="none"/>
                <w:u w:val="none"/>
                <w:lang w:val="en-US" w:eastAsia="zh-CN"/>
              </w:rPr>
              <w:t>：</w:t>
            </w:r>
            <w:r>
              <w:rPr>
                <w:rFonts w:hint="eastAsia" w:ascii="宋体" w:hAnsi="宋体"/>
                <w:color w:val="auto"/>
                <w:szCs w:val="24"/>
                <w:highlight w:val="none"/>
                <w:u w:val="none"/>
              </w:rPr>
              <w:t>单笔最</w:t>
            </w:r>
            <w:r>
              <w:rPr>
                <w:rFonts w:hint="eastAsia" w:ascii="宋体" w:hAnsi="宋体"/>
                <w:color w:val="auto"/>
                <w:szCs w:val="24"/>
                <w:highlight w:val="none"/>
                <w:u w:val="none"/>
                <w:lang w:eastAsia="zh-CN"/>
              </w:rPr>
              <w:t>大</w:t>
            </w:r>
            <w:r>
              <w:rPr>
                <w:rFonts w:hint="eastAsia" w:ascii="宋体" w:hAnsi="宋体"/>
                <w:color w:val="auto"/>
                <w:szCs w:val="24"/>
                <w:highlight w:val="none"/>
                <w:u w:val="none"/>
              </w:rPr>
              <w:t>赎回份额</w:t>
            </w:r>
            <w:r>
              <w:rPr>
                <w:rFonts w:hint="eastAsia" w:ascii="宋体" w:hAnsi="宋体"/>
                <w:color w:val="auto"/>
                <w:szCs w:val="24"/>
                <w:highlight w:val="yellow"/>
                <w:u w:val="none"/>
                <w:lang w:eastAsia="zh-CN"/>
              </w:rPr>
              <w:t>【】</w:t>
            </w:r>
            <w:r>
              <w:rPr>
                <w:rFonts w:hint="eastAsia" w:ascii="宋体" w:hAnsi="宋体"/>
                <w:color w:val="auto"/>
                <w:szCs w:val="24"/>
                <w:highlight w:val="none"/>
                <w:u w:val="none"/>
                <w:lang w:eastAsia="zh-CN"/>
              </w:rPr>
              <w:t>份</w:t>
            </w:r>
            <w:r>
              <w:rPr>
                <w:rFonts w:hint="eastAsia" w:ascii="宋体" w:hAnsi="宋体"/>
                <w:bCs/>
                <w:color w:val="auto"/>
                <w:szCs w:val="24"/>
                <w:highlight w:val="none"/>
                <w:u w:val="none"/>
              </w:rPr>
              <w:t>。</w:t>
            </w:r>
          </w:p>
          <w:p w14:paraId="2B5C7AAA">
            <w:pPr>
              <w:widowControl/>
              <w:numPr>
                <w:ilvl w:val="-1"/>
                <w:numId w:val="0"/>
              </w:numPr>
              <w:jc w:val="left"/>
              <w:rPr>
                <w:rFonts w:ascii="宋体" w:hAnsi="宋体"/>
                <w:bCs/>
                <w:color w:val="auto"/>
                <w:szCs w:val="24"/>
                <w:highlight w:val="none"/>
                <w:u w:val="none"/>
              </w:rPr>
            </w:pPr>
            <w:r>
              <w:rPr>
                <w:rFonts w:hint="eastAsia" w:ascii="宋体" w:hAnsi="宋体"/>
                <w:bCs/>
                <w:color w:val="auto"/>
                <w:szCs w:val="24"/>
                <w:highlight w:val="yellow"/>
                <w:u w:val="none"/>
                <w:lang w:val="en-US" w:eastAsia="zh-CN"/>
              </w:rPr>
              <w:t>【B类份额】</w:t>
            </w:r>
            <w:r>
              <w:rPr>
                <w:rFonts w:hint="eastAsia" w:ascii="宋体" w:hAnsi="宋体"/>
                <w:color w:val="auto"/>
                <w:szCs w:val="24"/>
                <w:highlight w:val="none"/>
                <w:u w:val="none"/>
                <w:lang w:val="en-US" w:eastAsia="zh-CN"/>
              </w:rPr>
              <w:t>：</w:t>
            </w:r>
            <w:r>
              <w:rPr>
                <w:rFonts w:hint="eastAsia" w:ascii="宋体" w:hAnsi="宋体"/>
                <w:color w:val="auto"/>
                <w:szCs w:val="24"/>
                <w:highlight w:val="none"/>
                <w:u w:val="none"/>
              </w:rPr>
              <w:t>单笔最</w:t>
            </w:r>
            <w:r>
              <w:rPr>
                <w:rFonts w:hint="eastAsia" w:ascii="宋体" w:hAnsi="宋体"/>
                <w:color w:val="auto"/>
                <w:szCs w:val="24"/>
                <w:highlight w:val="none"/>
                <w:u w:val="none"/>
                <w:lang w:eastAsia="zh-CN"/>
              </w:rPr>
              <w:t>大</w:t>
            </w:r>
            <w:r>
              <w:rPr>
                <w:rFonts w:hint="eastAsia" w:ascii="宋体" w:hAnsi="宋体"/>
                <w:color w:val="auto"/>
                <w:szCs w:val="24"/>
                <w:highlight w:val="none"/>
                <w:u w:val="none"/>
              </w:rPr>
              <w:t>赎回份额</w:t>
            </w:r>
            <w:r>
              <w:rPr>
                <w:rFonts w:hint="eastAsia" w:ascii="宋体" w:hAnsi="宋体"/>
                <w:color w:val="auto"/>
                <w:szCs w:val="24"/>
                <w:highlight w:val="yellow"/>
                <w:u w:val="none"/>
                <w:lang w:eastAsia="zh-CN"/>
              </w:rPr>
              <w:t>【】</w:t>
            </w:r>
            <w:r>
              <w:rPr>
                <w:rFonts w:hint="eastAsia" w:ascii="宋体" w:hAnsi="宋体"/>
                <w:color w:val="auto"/>
                <w:szCs w:val="24"/>
                <w:highlight w:val="none"/>
                <w:u w:val="none"/>
                <w:lang w:eastAsia="zh-CN"/>
              </w:rPr>
              <w:t>份</w:t>
            </w:r>
            <w:r>
              <w:rPr>
                <w:rFonts w:hint="eastAsia" w:ascii="宋体" w:hAnsi="宋体"/>
                <w:bCs/>
                <w:color w:val="auto"/>
                <w:szCs w:val="24"/>
                <w:highlight w:val="none"/>
                <w:u w:val="none"/>
              </w:rPr>
              <w:t>。</w:t>
            </w:r>
            <w:r>
              <w:rPr>
                <w:rFonts w:ascii="宋体" w:hAnsi="宋体"/>
                <w:bCs/>
                <w:color w:val="auto"/>
                <w:szCs w:val="24"/>
                <w:highlight w:val="none"/>
                <w:u w:val="none"/>
              </w:rPr>
              <w:t xml:space="preserve"> </w:t>
            </w:r>
          </w:p>
          <w:p w14:paraId="47D93678">
            <w:pPr>
              <w:widowControl/>
              <w:numPr>
                <w:ilvl w:val="0"/>
                <w:numId w:val="7"/>
              </w:numPr>
              <w:jc w:val="left"/>
              <w:rPr>
                <w:rFonts w:ascii="宋体" w:hAnsi="宋体"/>
                <w:bCs/>
                <w:color w:val="auto"/>
                <w:szCs w:val="24"/>
                <w:highlight w:val="none"/>
                <w:u w:val="none"/>
              </w:rPr>
            </w:pPr>
            <w:r>
              <w:rPr>
                <w:rFonts w:hint="eastAsia" w:ascii="宋体" w:hAnsi="宋体"/>
                <w:bCs/>
                <w:color w:val="auto"/>
                <w:szCs w:val="24"/>
                <w:highlight w:val="none"/>
                <w:u w:val="none"/>
              </w:rPr>
              <w:t>投资者可全部或部分赎回其理财份额，但是部分赎回后单一投资者持有产品份额不得低于</w:t>
            </w:r>
            <w:r>
              <w:rPr>
                <w:rFonts w:hint="eastAsia" w:ascii="宋体" w:hAnsi="宋体"/>
                <w:bCs/>
                <w:color w:val="auto"/>
                <w:szCs w:val="24"/>
                <w:highlight w:val="yellow"/>
                <w:u w:val="none"/>
              </w:rPr>
              <w:t>【/】</w:t>
            </w:r>
            <w:r>
              <w:rPr>
                <w:rFonts w:hint="eastAsia" w:ascii="宋体" w:hAnsi="宋体"/>
                <w:bCs/>
                <w:color w:val="auto"/>
                <w:szCs w:val="24"/>
                <w:highlight w:val="none"/>
                <w:u w:val="none"/>
              </w:rPr>
              <w:t>份。受理财</w:t>
            </w:r>
            <w:r>
              <w:rPr>
                <w:rFonts w:hint="eastAsia" w:ascii="宋体" w:hAnsi="宋体"/>
                <w:bCs/>
                <w:color w:val="auto"/>
                <w:szCs w:val="24"/>
                <w:highlight w:val="none"/>
                <w:u w:val="none"/>
                <w:lang w:eastAsia="zh-CN"/>
              </w:rPr>
              <w:t>收益</w:t>
            </w:r>
            <w:r>
              <w:rPr>
                <w:rFonts w:hint="eastAsia" w:ascii="宋体" w:hAnsi="宋体"/>
                <w:bCs/>
                <w:color w:val="auto"/>
                <w:szCs w:val="24"/>
                <w:highlight w:val="none"/>
                <w:u w:val="none"/>
              </w:rPr>
              <w:t>分配去尾规则的影响，投资者持有产品份额较低时可能无法取得利益。巨额赎回情景发生时，投资者的可赎回份额需要根据巨额赎回规则确定。</w:t>
            </w:r>
          </w:p>
          <w:p w14:paraId="4E5B2926">
            <w:pPr>
              <w:widowControl/>
              <w:numPr>
                <w:ilvl w:val="-1"/>
                <w:numId w:val="0"/>
              </w:numPr>
              <w:jc w:val="left"/>
              <w:rPr>
                <w:rFonts w:hint="eastAsia" w:ascii="仿宋" w:hAnsi="仿宋" w:eastAsia="仿宋" w:cs="宋体"/>
                <w:bCs/>
                <w:color w:val="000000" w:themeColor="text1"/>
                <w:kern w:val="0"/>
                <w:sz w:val="24"/>
                <w:lang w:bidi="ar"/>
                <w14:textFill>
                  <w14:solidFill>
                    <w14:schemeClr w14:val="tx1"/>
                  </w14:solidFill>
                </w14:textFill>
              </w:rPr>
            </w:pPr>
            <w:r>
              <w:rPr>
                <w:rFonts w:hint="eastAsia" w:ascii="宋体" w:hAnsi="宋体"/>
                <w:b/>
                <w:bCs w:val="0"/>
                <w:color w:val="auto"/>
                <w:szCs w:val="24"/>
                <w:highlight w:val="none"/>
                <w:u w:val="none"/>
                <w:lang w:val="en-US" w:eastAsia="zh-CN"/>
              </w:rPr>
              <w:t>4.管</w:t>
            </w:r>
            <w:r>
              <w:rPr>
                <w:rFonts w:hint="eastAsia" w:ascii="宋体" w:hAnsi="宋体"/>
                <w:b/>
                <w:bCs w:val="0"/>
                <w:color w:val="auto"/>
                <w:szCs w:val="24"/>
                <w:highlight w:val="none"/>
                <w:u w:val="none"/>
              </w:rPr>
              <w:t>理人有权以公告形式设置或调整赎回上限。</w:t>
            </w:r>
          </w:p>
        </w:tc>
      </w:tr>
      <w:tr w14:paraId="040B4D1B">
        <w:tblPrEx>
          <w:tblCellMar>
            <w:top w:w="0" w:type="dxa"/>
            <w:left w:w="108" w:type="dxa"/>
            <w:bottom w:w="0" w:type="dxa"/>
            <w:right w:w="108" w:type="dxa"/>
          </w:tblCellMar>
        </w:tblPrEx>
        <w:trPr>
          <w:trHeight w:val="1140" w:hRule="atLeast"/>
        </w:trPr>
        <w:tc>
          <w:tcPr>
            <w:tcW w:w="2453" w:type="dxa"/>
            <w:tcBorders>
              <w:top w:val="single" w:color="auto" w:sz="4" w:space="0"/>
              <w:left w:val="single" w:color="auto" w:sz="4" w:space="0"/>
              <w:bottom w:val="single" w:color="auto" w:sz="4" w:space="0"/>
              <w:right w:val="single" w:color="auto" w:sz="4" w:space="0"/>
            </w:tcBorders>
            <w:vAlign w:val="center"/>
          </w:tcPr>
          <w:p w14:paraId="0B596E3D">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color w:val="auto"/>
                <w:szCs w:val="24"/>
                <w:highlight w:val="none"/>
                <w:u w:val="none"/>
              </w:rPr>
              <w:t>产品份额净值</w:t>
            </w:r>
          </w:p>
        </w:tc>
        <w:tc>
          <w:tcPr>
            <w:tcW w:w="6972" w:type="dxa"/>
            <w:tcBorders>
              <w:top w:val="single" w:color="auto" w:sz="4" w:space="0"/>
              <w:left w:val="single" w:color="auto" w:sz="4" w:space="0"/>
              <w:bottom w:val="single" w:color="auto" w:sz="4" w:space="0"/>
              <w:right w:val="single" w:color="auto" w:sz="4" w:space="0"/>
            </w:tcBorders>
            <w:vAlign w:val="center"/>
          </w:tcPr>
          <w:p w14:paraId="58B22B90">
            <w:pPr>
              <w:snapToGrid w:val="0"/>
              <w:rPr>
                <w:rFonts w:ascii="宋体" w:hAnsi="宋体"/>
                <w:color w:val="auto"/>
                <w:szCs w:val="24"/>
                <w:highlight w:val="none"/>
                <w:u w:val="none"/>
              </w:rPr>
            </w:pPr>
            <w:r>
              <w:rPr>
                <w:rFonts w:hint="eastAsia" w:ascii="宋体" w:hAnsi="宋体"/>
                <w:color w:val="auto"/>
                <w:szCs w:val="24"/>
                <w:highlight w:val="none"/>
                <w:u w:val="none"/>
              </w:rPr>
              <w:t>理财产品份额净值是提取相关税费后单位理财产品份额的净值；份额净值随理财产品投资运行情况变化而变化。</w:t>
            </w:r>
          </w:p>
          <w:p w14:paraId="18F6A584">
            <w:pPr>
              <w:snapToGrid w:val="0"/>
              <w:rPr>
                <w:rFonts w:ascii="宋体" w:hAnsi="宋体"/>
                <w:color w:val="auto"/>
                <w:szCs w:val="24"/>
                <w:highlight w:val="none"/>
                <w:u w:val="none"/>
              </w:rPr>
            </w:pPr>
            <w:r>
              <w:rPr>
                <w:rFonts w:hint="eastAsia" w:ascii="宋体" w:hAnsi="宋体"/>
                <w:color w:val="auto"/>
                <w:szCs w:val="24"/>
                <w:highlight w:val="none"/>
                <w:u w:val="none"/>
              </w:rPr>
              <w:t>本产品募集期内，投资者按份额净值进行认购。</w:t>
            </w:r>
          </w:p>
          <w:p w14:paraId="28D9628F">
            <w:pPr>
              <w:snapToGrid w:val="0"/>
              <w:rPr>
                <w:rFonts w:hint="eastAsia" w:ascii="宋体" w:hAnsi="宋体" w:eastAsia="仿宋_GB2312"/>
                <w:b/>
                <w:bCs/>
                <w:color w:val="auto"/>
                <w:szCs w:val="24"/>
                <w:highlight w:val="none"/>
                <w:u w:val="none"/>
                <w:lang w:eastAsia="zh-CN"/>
              </w:rPr>
            </w:pPr>
            <w:r>
              <w:rPr>
                <w:rFonts w:hint="eastAsia" w:ascii="宋体" w:hAnsi="宋体"/>
                <w:b/>
                <w:bCs/>
                <w:color w:val="auto"/>
                <w:szCs w:val="24"/>
                <w:highlight w:val="none"/>
                <w:u w:val="none"/>
              </w:rPr>
              <w:t>本产品初始份额净值为</w:t>
            </w:r>
            <w:r>
              <w:rPr>
                <w:rFonts w:hint="eastAsia" w:ascii="宋体" w:hAnsi="宋体"/>
                <w:b/>
                <w:bCs/>
                <w:color w:val="auto"/>
                <w:szCs w:val="24"/>
                <w:highlight w:val="yellow"/>
                <w:u w:val="none"/>
                <w:lang w:eastAsia="zh-CN"/>
              </w:rPr>
              <w:t>【</w:t>
            </w:r>
            <w:r>
              <w:rPr>
                <w:rFonts w:hint="eastAsia" w:ascii="宋体" w:hAnsi="宋体"/>
                <w:b/>
                <w:bCs/>
                <w:color w:val="auto"/>
                <w:szCs w:val="24"/>
                <w:highlight w:val="yellow"/>
                <w:u w:val="none"/>
              </w:rPr>
              <w:t>1.0000</w:t>
            </w:r>
            <w:r>
              <w:rPr>
                <w:rFonts w:hint="eastAsia" w:ascii="宋体" w:hAnsi="宋体"/>
                <w:b/>
                <w:bCs/>
                <w:color w:val="auto"/>
                <w:szCs w:val="24"/>
                <w:highlight w:val="yellow"/>
                <w:u w:val="none"/>
                <w:lang w:val="en-US" w:eastAsia="zh-CN"/>
              </w:rPr>
              <w:t>00</w:t>
            </w:r>
            <w:r>
              <w:rPr>
                <w:rFonts w:hint="eastAsia" w:ascii="宋体" w:hAnsi="宋体"/>
                <w:b/>
                <w:bCs/>
                <w:color w:val="auto"/>
                <w:szCs w:val="24"/>
                <w:highlight w:val="yellow"/>
                <w:u w:val="none"/>
              </w:rPr>
              <w:t>元</w:t>
            </w:r>
            <w:r>
              <w:rPr>
                <w:rFonts w:hint="eastAsia" w:ascii="宋体" w:hAnsi="宋体"/>
                <w:b/>
                <w:bCs/>
                <w:color w:val="auto"/>
                <w:szCs w:val="24"/>
                <w:highlight w:val="yellow"/>
                <w:u w:val="none"/>
                <w:lang w:eastAsia="zh-CN"/>
              </w:rPr>
              <w:t>】</w:t>
            </w:r>
            <w:r>
              <w:rPr>
                <w:rFonts w:hint="eastAsia" w:ascii="宋体" w:hAnsi="宋体"/>
                <w:b/>
                <w:bCs/>
                <w:color w:val="auto"/>
                <w:szCs w:val="24"/>
                <w:highlight w:val="none"/>
                <w:u w:val="none"/>
              </w:rPr>
              <w:t>/份。</w:t>
            </w:r>
          </w:p>
        </w:tc>
      </w:tr>
      <w:tr w14:paraId="2A48DA37">
        <w:tblPrEx>
          <w:tblCellMar>
            <w:top w:w="0" w:type="dxa"/>
            <w:left w:w="108" w:type="dxa"/>
            <w:bottom w:w="0" w:type="dxa"/>
            <w:right w:w="108" w:type="dxa"/>
          </w:tblCellMar>
        </w:tblPrEx>
        <w:trPr>
          <w:trHeight w:val="643" w:hRule="atLeast"/>
        </w:trPr>
        <w:tc>
          <w:tcPr>
            <w:tcW w:w="2453" w:type="dxa"/>
            <w:tcBorders>
              <w:top w:val="single" w:color="auto" w:sz="4" w:space="0"/>
              <w:left w:val="single" w:color="auto" w:sz="4" w:space="0"/>
              <w:bottom w:val="single" w:color="auto" w:sz="4" w:space="0"/>
              <w:right w:val="single" w:color="auto" w:sz="4" w:space="0"/>
            </w:tcBorders>
            <w:vAlign w:val="center"/>
          </w:tcPr>
          <w:p w14:paraId="7DEE4884">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收益分配方式</w:t>
            </w:r>
          </w:p>
        </w:tc>
        <w:tc>
          <w:tcPr>
            <w:tcW w:w="6972" w:type="dxa"/>
            <w:tcBorders>
              <w:top w:val="single" w:color="auto" w:sz="4" w:space="0"/>
              <w:left w:val="single" w:color="auto" w:sz="4" w:space="0"/>
              <w:bottom w:val="single" w:color="auto" w:sz="4" w:space="0"/>
              <w:right w:val="single" w:color="auto" w:sz="4" w:space="0"/>
            </w:tcBorders>
            <w:vAlign w:val="center"/>
          </w:tcPr>
          <w:p w14:paraId="6A361152">
            <w:pPr>
              <w:widowControl/>
              <w:spacing w:line="400" w:lineRule="exact"/>
              <w:jc w:val="left"/>
              <w:textAlignment w:val="center"/>
              <w:rPr>
                <w:rFonts w:hint="eastAsia" w:ascii="仿宋_GB2312" w:hAnsi="等线" w:cs="仿宋_GB2312"/>
                <w:bCs/>
                <w:color w:val="000000" w:themeColor="text1"/>
                <w:sz w:val="24"/>
                <w:highlight w:val="yellow"/>
                <w:lang w:eastAsia="zh-CN"/>
                <w14:textFill>
                  <w14:solidFill>
                    <w14:schemeClr w14:val="tx1"/>
                  </w14:solidFill>
                </w14:textFill>
              </w:rPr>
            </w:pPr>
            <w:r>
              <w:rPr>
                <w:rFonts w:hint="eastAsia" w:ascii="仿宋_GB2312" w:hAnsi="等线" w:cs="仿宋_GB2312"/>
                <w:bCs/>
                <w:color w:val="000000" w:themeColor="text1"/>
                <w:sz w:val="24"/>
                <w:highlight w:val="yellow"/>
                <w:lang w:eastAsia="zh-CN"/>
                <w14:textFill>
                  <w14:solidFill>
                    <w14:schemeClr w14:val="tx1"/>
                  </w14:solidFill>
                </w14:textFill>
              </w:rPr>
              <w:t>【现金分配】</w:t>
            </w:r>
          </w:p>
          <w:p w14:paraId="04D45F9A">
            <w:pPr>
              <w:snapToGrid w:val="0"/>
              <w:rPr>
                <w:rFonts w:hint="eastAsia" w:ascii="宋体" w:hAnsi="宋体"/>
                <w:sz w:val="24"/>
                <w:szCs w:val="24"/>
                <w:highlight w:val="yellow"/>
              </w:rPr>
            </w:pPr>
            <w:r>
              <w:rPr>
                <w:rFonts w:hint="eastAsia" w:ascii="宋体" w:hAnsi="宋体"/>
                <w:sz w:val="24"/>
                <w:szCs w:val="24"/>
                <w:highlight w:val="yellow"/>
                <w:lang w:eastAsia="zh-CN"/>
              </w:rPr>
              <w:t>【</w:t>
            </w:r>
            <w:r>
              <w:rPr>
                <w:rFonts w:hint="eastAsia" w:ascii="宋体" w:hAnsi="宋体"/>
                <w:sz w:val="24"/>
                <w:szCs w:val="24"/>
                <w:highlight w:val="yellow"/>
              </w:rPr>
              <w:t>产品存续期内，管理人有权</w:t>
            </w:r>
            <w:r>
              <w:rPr>
                <w:rFonts w:hint="eastAsia" w:ascii="宋体" w:hAnsi="宋体"/>
                <w:sz w:val="24"/>
                <w:szCs w:val="24"/>
                <w:highlight w:val="yellow"/>
                <w:lang w:eastAsia="zh-CN"/>
              </w:rPr>
              <w:t>【</w:t>
            </w:r>
            <w:r>
              <w:rPr>
                <w:rFonts w:hint="eastAsia" w:ascii="宋体" w:hAnsi="宋体"/>
                <w:sz w:val="24"/>
                <w:szCs w:val="24"/>
                <w:highlight w:val="yellow"/>
              </w:rPr>
              <w:t>每半年</w:t>
            </w:r>
            <w:r>
              <w:rPr>
                <w:rFonts w:hint="eastAsia" w:ascii="宋体" w:hAnsi="宋体"/>
                <w:sz w:val="24"/>
                <w:szCs w:val="24"/>
                <w:highlight w:val="yellow"/>
                <w:lang w:eastAsia="zh-CN"/>
              </w:rPr>
              <w:t>】</w:t>
            </w:r>
            <w:r>
              <w:rPr>
                <w:rFonts w:hint="eastAsia" w:ascii="宋体" w:hAnsi="宋体"/>
                <w:sz w:val="24"/>
                <w:szCs w:val="24"/>
                <w:highlight w:val="yellow"/>
              </w:rPr>
              <w:t>根据投资运作情况对本理财产品进行</w:t>
            </w:r>
            <w:r>
              <w:rPr>
                <w:rFonts w:hint="eastAsia" w:ascii="宋体" w:hAnsi="宋体"/>
                <w:sz w:val="24"/>
                <w:szCs w:val="24"/>
                <w:highlight w:val="yellow"/>
                <w:lang w:eastAsia="zh-CN"/>
              </w:rPr>
              <w:t>收益分配</w:t>
            </w:r>
            <w:r>
              <w:rPr>
                <w:rFonts w:hint="eastAsia" w:ascii="宋体" w:hAnsi="宋体"/>
                <w:sz w:val="24"/>
                <w:szCs w:val="24"/>
                <w:highlight w:val="yellow"/>
              </w:rPr>
              <w:t>，分配方式为</w:t>
            </w:r>
            <w:r>
              <w:rPr>
                <w:rFonts w:hint="eastAsia" w:ascii="宋体" w:hAnsi="宋体"/>
                <w:sz w:val="24"/>
                <w:szCs w:val="24"/>
                <w:highlight w:val="yellow"/>
                <w:lang w:eastAsia="zh-CN"/>
              </w:rPr>
              <w:t>【</w:t>
            </w:r>
            <w:r>
              <w:rPr>
                <w:rFonts w:hint="eastAsia" w:ascii="宋体" w:hAnsi="宋体"/>
                <w:sz w:val="24"/>
                <w:szCs w:val="24"/>
                <w:highlight w:val="yellow"/>
              </w:rPr>
              <w:t>现金</w:t>
            </w:r>
            <w:r>
              <w:rPr>
                <w:rFonts w:hint="eastAsia" w:ascii="宋体" w:hAnsi="宋体"/>
                <w:sz w:val="24"/>
                <w:szCs w:val="24"/>
                <w:highlight w:val="yellow"/>
                <w:lang w:eastAsia="zh-CN"/>
              </w:rPr>
              <w:t>分配】</w:t>
            </w:r>
            <w:r>
              <w:rPr>
                <w:rFonts w:hint="eastAsia" w:ascii="宋体" w:hAnsi="宋体"/>
                <w:sz w:val="24"/>
                <w:szCs w:val="24"/>
                <w:highlight w:val="yellow"/>
              </w:rPr>
              <w:t>（</w:t>
            </w:r>
            <w:r>
              <w:rPr>
                <w:rFonts w:hint="eastAsia" w:ascii="宋体" w:hAnsi="宋体"/>
                <w:sz w:val="24"/>
                <w:szCs w:val="24"/>
                <w:highlight w:val="yellow"/>
                <w:lang w:eastAsia="zh-CN"/>
              </w:rPr>
              <w:t>分配</w:t>
            </w:r>
            <w:r>
              <w:rPr>
                <w:rFonts w:hint="eastAsia" w:ascii="宋体" w:hAnsi="宋体"/>
                <w:sz w:val="24"/>
                <w:szCs w:val="24"/>
                <w:highlight w:val="yellow"/>
              </w:rPr>
              <w:t>前提条件为</w:t>
            </w:r>
            <w:r>
              <w:rPr>
                <w:rFonts w:hint="eastAsia" w:ascii="宋体" w:hAnsi="宋体"/>
                <w:sz w:val="24"/>
                <w:szCs w:val="24"/>
                <w:highlight w:val="yellow"/>
                <w:lang w:eastAsia="zh-CN"/>
              </w:rPr>
              <w:t>【</w:t>
            </w:r>
            <w:r>
              <w:rPr>
                <w:rFonts w:hint="eastAsia" w:ascii="宋体" w:hAnsi="宋体"/>
                <w:sz w:val="24"/>
                <w:szCs w:val="24"/>
                <w:highlight w:val="yellow"/>
              </w:rPr>
              <w:t>本理财产品在对应收益分配基准日的份额净值大于1.000</w:t>
            </w:r>
            <w:r>
              <w:rPr>
                <w:rFonts w:hint="eastAsia" w:ascii="宋体" w:hAnsi="宋体"/>
                <w:sz w:val="24"/>
                <w:szCs w:val="24"/>
                <w:highlight w:val="yellow"/>
                <w:lang w:val="en-US" w:eastAsia="zh-CN"/>
              </w:rPr>
              <w:t>00</w:t>
            </w:r>
            <w:r>
              <w:rPr>
                <w:rFonts w:hint="eastAsia" w:ascii="宋体" w:hAnsi="宋体"/>
                <w:sz w:val="24"/>
                <w:szCs w:val="24"/>
                <w:highlight w:val="yellow"/>
              </w:rPr>
              <w:t>0元/份</w:t>
            </w:r>
            <w:r>
              <w:rPr>
                <w:rFonts w:hint="eastAsia" w:ascii="宋体" w:hAnsi="宋体"/>
                <w:sz w:val="24"/>
                <w:szCs w:val="24"/>
                <w:highlight w:val="yellow"/>
                <w:lang w:eastAsia="zh-CN"/>
              </w:rPr>
              <w:t>】</w:t>
            </w:r>
            <w:r>
              <w:rPr>
                <w:rFonts w:hint="eastAsia" w:ascii="宋体" w:hAnsi="宋体"/>
                <w:sz w:val="24"/>
                <w:szCs w:val="24"/>
                <w:highlight w:val="yellow"/>
              </w:rPr>
              <w:t>）。权益登记日为收益分配基准日后的第</w:t>
            </w:r>
            <w:r>
              <w:rPr>
                <w:rFonts w:hint="eastAsia" w:ascii="宋体" w:hAnsi="宋体"/>
                <w:sz w:val="24"/>
                <w:szCs w:val="24"/>
                <w:highlight w:val="yellow"/>
                <w:lang w:eastAsia="zh-CN"/>
              </w:rPr>
              <w:t>【</w:t>
            </w:r>
            <w:r>
              <w:rPr>
                <w:rFonts w:hint="eastAsia" w:ascii="宋体" w:hAnsi="宋体"/>
                <w:sz w:val="24"/>
                <w:szCs w:val="24"/>
                <w:highlight w:val="yellow"/>
              </w:rPr>
              <w:t>5</w:t>
            </w:r>
            <w:r>
              <w:rPr>
                <w:rFonts w:hint="eastAsia" w:ascii="宋体" w:hAnsi="宋体"/>
                <w:sz w:val="24"/>
                <w:szCs w:val="24"/>
                <w:highlight w:val="yellow"/>
                <w:lang w:eastAsia="zh-CN"/>
              </w:rPr>
              <w:t>】</w:t>
            </w:r>
            <w:r>
              <w:rPr>
                <w:rFonts w:hint="eastAsia" w:ascii="宋体" w:hAnsi="宋体"/>
                <w:sz w:val="24"/>
                <w:szCs w:val="24"/>
                <w:highlight w:val="yellow"/>
              </w:rPr>
              <w:t>个</w:t>
            </w:r>
            <w:r>
              <w:rPr>
                <w:rFonts w:hint="eastAsia" w:ascii="宋体" w:hAnsi="宋体"/>
                <w:sz w:val="24"/>
                <w:szCs w:val="24"/>
                <w:highlight w:val="yellow"/>
                <w:lang w:eastAsia="zh-CN"/>
              </w:rPr>
              <w:t>【交易</w:t>
            </w:r>
            <w:r>
              <w:rPr>
                <w:rFonts w:hint="eastAsia" w:ascii="宋体" w:hAnsi="宋体"/>
                <w:sz w:val="24"/>
                <w:szCs w:val="24"/>
                <w:highlight w:val="yellow"/>
              </w:rPr>
              <w:t>日</w:t>
            </w:r>
            <w:r>
              <w:rPr>
                <w:rFonts w:hint="eastAsia" w:ascii="宋体" w:hAnsi="宋体"/>
                <w:sz w:val="24"/>
                <w:szCs w:val="24"/>
                <w:highlight w:val="yellow"/>
                <w:lang w:eastAsia="zh-CN"/>
              </w:rPr>
              <w:t>】</w:t>
            </w:r>
            <w:r>
              <w:rPr>
                <w:rFonts w:hint="eastAsia" w:ascii="宋体" w:hAnsi="宋体"/>
                <w:sz w:val="24"/>
                <w:szCs w:val="24"/>
                <w:highlight w:val="yellow"/>
              </w:rPr>
              <w:t>。管理人将根据理财产品投资收益情况决定当次的分配比例和金额等</w:t>
            </w:r>
            <w:r>
              <w:rPr>
                <w:rFonts w:hint="eastAsia" w:ascii="宋体" w:hAnsi="宋体"/>
                <w:sz w:val="24"/>
                <w:szCs w:val="24"/>
                <w:highlight w:val="yellow"/>
                <w:lang w:eastAsia="zh-CN"/>
              </w:rPr>
              <w:t>分配</w:t>
            </w:r>
            <w:r>
              <w:rPr>
                <w:rFonts w:hint="eastAsia" w:ascii="宋体" w:hAnsi="宋体"/>
                <w:sz w:val="24"/>
                <w:szCs w:val="24"/>
                <w:highlight w:val="yellow"/>
              </w:rPr>
              <w:t>要素，并于权益登记日前</w:t>
            </w:r>
            <w:r>
              <w:rPr>
                <w:rFonts w:hint="eastAsia" w:ascii="宋体" w:hAnsi="宋体"/>
                <w:sz w:val="24"/>
                <w:szCs w:val="24"/>
                <w:highlight w:val="yellow"/>
                <w:lang w:val="en-US" w:eastAsia="zh-CN"/>
              </w:rPr>
              <w:t>1</w:t>
            </w:r>
            <w:r>
              <w:rPr>
                <w:rFonts w:hint="eastAsia" w:ascii="宋体" w:hAnsi="宋体"/>
                <w:sz w:val="24"/>
                <w:szCs w:val="24"/>
                <w:highlight w:val="yellow"/>
              </w:rPr>
              <w:t>个工作日通过本产品说明书约定的方式向投资者披露</w:t>
            </w:r>
            <w:r>
              <w:rPr>
                <w:rFonts w:hint="eastAsia" w:ascii="宋体" w:hAnsi="宋体"/>
                <w:sz w:val="24"/>
                <w:szCs w:val="24"/>
                <w:highlight w:val="yellow"/>
                <w:lang w:eastAsia="zh-CN"/>
              </w:rPr>
              <w:t>分配</w:t>
            </w:r>
            <w:r>
              <w:rPr>
                <w:rFonts w:hint="eastAsia" w:ascii="宋体" w:hAnsi="宋体"/>
                <w:sz w:val="24"/>
                <w:szCs w:val="24"/>
                <w:highlight w:val="yellow"/>
              </w:rPr>
              <w:t>方案。管理人在权益登记日后5个工作日内向投资者分配收益。</w:t>
            </w:r>
          </w:p>
          <w:p w14:paraId="74770BAF">
            <w:pPr>
              <w:snapToGrid w:val="0"/>
              <w:rPr>
                <w:rFonts w:hint="eastAsia" w:ascii="宋体" w:hAnsi="宋体" w:eastAsia="仿宋_GB2312"/>
                <w:sz w:val="24"/>
                <w:szCs w:val="24"/>
                <w:highlight w:val="yellow"/>
                <w:lang w:eastAsia="zh-CN"/>
              </w:rPr>
            </w:pPr>
            <w:r>
              <w:rPr>
                <w:rFonts w:hint="eastAsia" w:ascii="宋体" w:hAnsi="宋体"/>
                <w:sz w:val="24"/>
                <w:szCs w:val="24"/>
                <w:highlight w:val="yellow"/>
              </w:rPr>
              <w:t>理财产品存续期间，产品管理人有权视理财产品收益情况进行主动分配，相应分配基准日、分配方案由管理人及时披露。</w:t>
            </w:r>
            <w:r>
              <w:rPr>
                <w:rFonts w:hint="eastAsia"/>
                <w:highlight w:val="yellow"/>
                <w:lang w:eastAsia="zh-CN"/>
              </w:rPr>
              <w:t>】</w:t>
            </w:r>
          </w:p>
          <w:tbl>
            <w:tblPr>
              <w:tblStyle w:val="7"/>
              <w:tblW w:w="6751" w:type="dxa"/>
              <w:tblInd w:w="0" w:type="dxa"/>
              <w:tblLayout w:type="fixed"/>
              <w:tblCellMar>
                <w:top w:w="0" w:type="dxa"/>
                <w:left w:w="108" w:type="dxa"/>
                <w:bottom w:w="0" w:type="dxa"/>
                <w:right w:w="108" w:type="dxa"/>
              </w:tblCellMar>
            </w:tblPr>
            <w:tblGrid>
              <w:gridCol w:w="2290"/>
              <w:gridCol w:w="2238"/>
              <w:gridCol w:w="2223"/>
            </w:tblGrid>
            <w:tr w14:paraId="1AAFA090">
              <w:tblPrEx>
                <w:tblCellMar>
                  <w:top w:w="0" w:type="dxa"/>
                  <w:left w:w="108" w:type="dxa"/>
                  <w:bottom w:w="0" w:type="dxa"/>
                  <w:right w:w="108" w:type="dxa"/>
                </w:tblCellMar>
              </w:tblPrEx>
              <w:trPr>
                <w:trHeight w:val="285" w:hRule="atLeast"/>
              </w:trPr>
              <w:tc>
                <w:tcPr>
                  <w:tcW w:w="2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06D302">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收益分配基准日</w:t>
                  </w:r>
                </w:p>
              </w:tc>
              <w:tc>
                <w:tcPr>
                  <w:tcW w:w="2238" w:type="dxa"/>
                  <w:tcBorders>
                    <w:top w:val="single" w:color="auto" w:sz="4" w:space="0"/>
                    <w:left w:val="nil"/>
                    <w:bottom w:val="single" w:color="auto" w:sz="4" w:space="0"/>
                    <w:right w:val="single" w:color="auto" w:sz="4" w:space="0"/>
                  </w:tcBorders>
                  <w:shd w:val="clear" w:color="auto" w:fill="auto"/>
                  <w:noWrap/>
                  <w:vAlign w:val="center"/>
                </w:tcPr>
                <w:p w14:paraId="7E6AC1DF">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权益登记日</w:t>
                  </w:r>
                </w:p>
              </w:tc>
              <w:tc>
                <w:tcPr>
                  <w:tcW w:w="2223" w:type="dxa"/>
                  <w:tcBorders>
                    <w:top w:val="single" w:color="auto" w:sz="4" w:space="0"/>
                    <w:left w:val="nil"/>
                    <w:bottom w:val="single" w:color="auto" w:sz="4" w:space="0"/>
                    <w:right w:val="single" w:color="auto" w:sz="4" w:space="0"/>
                  </w:tcBorders>
                  <w:shd w:val="clear" w:color="auto" w:fill="auto"/>
                  <w:noWrap/>
                  <w:vAlign w:val="center"/>
                </w:tcPr>
                <w:p w14:paraId="7C0F38B9">
                  <w:pPr>
                    <w:widowControl/>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eastAsia="zh-CN"/>
                    </w:rPr>
                    <w:t>除权日</w:t>
                  </w:r>
                </w:p>
              </w:tc>
            </w:tr>
            <w:tr w14:paraId="02BC9F98">
              <w:tblPrEx>
                <w:tblCellMar>
                  <w:top w:w="0" w:type="dxa"/>
                  <w:left w:w="108" w:type="dxa"/>
                  <w:bottom w:w="0" w:type="dxa"/>
                  <w:right w:w="108" w:type="dxa"/>
                </w:tblCellMar>
              </w:tblPrEx>
              <w:trPr>
                <w:trHeight w:val="285" w:hRule="atLeast"/>
              </w:trPr>
              <w:tc>
                <w:tcPr>
                  <w:tcW w:w="2290" w:type="dxa"/>
                  <w:tcBorders>
                    <w:top w:val="nil"/>
                    <w:left w:val="single" w:color="auto" w:sz="4" w:space="0"/>
                    <w:bottom w:val="single" w:color="auto" w:sz="4" w:space="0"/>
                    <w:right w:val="single" w:color="auto" w:sz="4" w:space="0"/>
                  </w:tcBorders>
                  <w:shd w:val="clear" w:color="auto" w:fill="auto"/>
                  <w:noWrap/>
                  <w:vAlign w:val="center"/>
                </w:tcPr>
                <w:p w14:paraId="1B0F677A">
                  <w:pPr>
                    <w:widowControl/>
                    <w:jc w:val="center"/>
                    <w:rPr>
                      <w:rFonts w:ascii="宋体" w:hAnsi="宋体" w:eastAsia="宋体" w:cs="宋体"/>
                      <w:color w:val="000000"/>
                      <w:kern w:val="0"/>
                      <w:sz w:val="24"/>
                      <w:szCs w:val="24"/>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p>
              </w:tc>
              <w:tc>
                <w:tcPr>
                  <w:tcW w:w="2238" w:type="dxa"/>
                  <w:tcBorders>
                    <w:top w:val="nil"/>
                    <w:left w:val="nil"/>
                    <w:bottom w:val="single" w:color="auto" w:sz="4" w:space="0"/>
                    <w:right w:val="single" w:color="auto" w:sz="4" w:space="0"/>
                  </w:tcBorders>
                  <w:shd w:val="clear" w:color="auto" w:fill="auto"/>
                  <w:noWrap/>
                  <w:vAlign w:val="center"/>
                </w:tcPr>
                <w:p w14:paraId="78162E74">
                  <w:pPr>
                    <w:widowControl/>
                    <w:jc w:val="center"/>
                    <w:rPr>
                      <w:rFonts w:ascii="宋体" w:hAnsi="宋体" w:eastAsia="宋体" w:cs="宋体"/>
                      <w:color w:val="000000"/>
                      <w:kern w:val="0"/>
                      <w:sz w:val="24"/>
                      <w:szCs w:val="24"/>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p>
              </w:tc>
              <w:tc>
                <w:tcPr>
                  <w:tcW w:w="2223" w:type="dxa"/>
                  <w:tcBorders>
                    <w:top w:val="nil"/>
                    <w:left w:val="nil"/>
                    <w:bottom w:val="single" w:color="auto" w:sz="4" w:space="0"/>
                    <w:right w:val="single" w:color="auto" w:sz="4" w:space="0"/>
                  </w:tcBorders>
                  <w:shd w:val="clear" w:color="auto" w:fill="auto"/>
                  <w:noWrap/>
                  <w:vAlign w:val="center"/>
                </w:tcPr>
                <w:p w14:paraId="387BC9BA">
                  <w:pPr>
                    <w:widowControl/>
                    <w:jc w:val="center"/>
                    <w:rPr>
                      <w:rFonts w:ascii="宋体" w:hAnsi="宋体" w:eastAsia="宋体" w:cs="宋体"/>
                      <w:color w:val="000000"/>
                      <w:kern w:val="0"/>
                      <w:sz w:val="24"/>
                      <w:szCs w:val="24"/>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p>
              </w:tc>
            </w:tr>
          </w:tbl>
          <w:p w14:paraId="17C85076">
            <w:pPr>
              <w:widowControl/>
              <w:spacing w:line="400" w:lineRule="exact"/>
              <w:jc w:val="left"/>
              <w:textAlignment w:val="center"/>
              <w:rPr>
                <w:rFonts w:hint="eastAsia" w:ascii="仿宋_GB2312" w:hAnsi="等线" w:cs="仿宋_GB2312"/>
                <w:bCs/>
                <w:color w:val="000000" w:themeColor="text1"/>
                <w:sz w:val="24"/>
                <w:lang w:eastAsia="zh-CN"/>
                <w14:textFill>
                  <w14:solidFill>
                    <w14:schemeClr w14:val="tx1"/>
                  </w14:solidFill>
                </w14:textFill>
              </w:rPr>
            </w:pPr>
          </w:p>
        </w:tc>
      </w:tr>
      <w:tr w14:paraId="0CEBCE3E">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1D318356">
            <w:pPr>
              <w:widowControl/>
              <w:spacing w:line="400" w:lineRule="exact"/>
              <w:jc w:val="center"/>
              <w:textAlignment w:val="center"/>
              <w:rPr>
                <w:rFonts w:hint="eastAsia" w:ascii="楷体_GB2312" w:hAnsi="等线" w:eastAsia="楷体_GB2312" w:cs="楷体_GB2312"/>
                <w:b/>
                <w:bCs/>
                <w:color w:val="000000" w:themeColor="text1"/>
                <w:sz w:val="24"/>
                <w14:textFill>
                  <w14:solidFill>
                    <w14:schemeClr w14:val="tx1"/>
                  </w14:solidFill>
                </w14:textFill>
              </w:rPr>
            </w:pPr>
            <w:r>
              <w:rPr>
                <w:rFonts w:hint="eastAsia" w:ascii="楷体_GB2312" w:hAnsi="等线" w:eastAsia="楷体_GB2312" w:cs="楷体_GB2312"/>
                <w:b/>
                <w:bCs/>
                <w:color w:val="000000" w:themeColor="text1"/>
                <w:kern w:val="0"/>
                <w:sz w:val="24"/>
                <w:lang w:bidi="ar"/>
                <w14:textFill>
                  <w14:solidFill>
                    <w14:schemeClr w14:val="tx1"/>
                  </w14:solidFill>
                </w14:textFill>
              </w:rPr>
              <w:t>（三）产品性质与类型</w:t>
            </w:r>
          </w:p>
        </w:tc>
      </w:tr>
      <w:tr w14:paraId="548E3443">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8D75C5B">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募集方式</w:t>
            </w:r>
          </w:p>
        </w:tc>
        <w:tc>
          <w:tcPr>
            <w:tcW w:w="6972" w:type="dxa"/>
            <w:tcBorders>
              <w:top w:val="single" w:color="auto" w:sz="4" w:space="0"/>
              <w:left w:val="single" w:color="auto" w:sz="4" w:space="0"/>
              <w:bottom w:val="single" w:color="auto" w:sz="4" w:space="0"/>
              <w:right w:val="single" w:color="auto" w:sz="4" w:space="0"/>
            </w:tcBorders>
            <w:vAlign w:val="center"/>
          </w:tcPr>
          <w:p w14:paraId="41B9A93E">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eastAsia="zh-CN"/>
              </w:rPr>
            </w:pPr>
            <w:r>
              <w:rPr>
                <w:rFonts w:hint="eastAsia" w:ascii="宋体" w:hAnsi="宋体"/>
                <w:b/>
                <w:szCs w:val="24"/>
                <w:highlight w:val="yellow"/>
                <w:lang w:eastAsia="zh-CN"/>
              </w:rPr>
              <w:t>【公募</w:t>
            </w:r>
            <w:r>
              <w:rPr>
                <w:rFonts w:hint="eastAsia" w:ascii="宋体" w:hAnsi="宋体"/>
                <w:b/>
                <w:szCs w:val="24"/>
                <w:highlight w:val="yellow"/>
                <w:lang w:val="en-US" w:eastAsia="zh-CN"/>
              </w:rPr>
              <w:t>/私募</w:t>
            </w:r>
            <w:r>
              <w:rPr>
                <w:rFonts w:hint="eastAsia" w:ascii="宋体" w:hAnsi="宋体"/>
                <w:b/>
                <w:szCs w:val="24"/>
                <w:highlight w:val="yellow"/>
                <w:lang w:eastAsia="zh-CN"/>
              </w:rPr>
              <w:t>】</w:t>
            </w:r>
          </w:p>
        </w:tc>
      </w:tr>
      <w:tr w14:paraId="301C3AB3">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1B76B86C">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投资性质</w:t>
            </w:r>
          </w:p>
        </w:tc>
        <w:tc>
          <w:tcPr>
            <w:tcW w:w="6972" w:type="dxa"/>
            <w:tcBorders>
              <w:top w:val="single" w:color="auto" w:sz="4" w:space="0"/>
              <w:left w:val="single" w:color="auto" w:sz="4" w:space="0"/>
              <w:bottom w:val="single" w:color="auto" w:sz="4" w:space="0"/>
              <w:right w:val="single" w:color="auto" w:sz="4" w:space="0"/>
            </w:tcBorders>
            <w:vAlign w:val="center"/>
          </w:tcPr>
          <w:p w14:paraId="6AD1A32F">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bidi="ar"/>
              </w:rPr>
            </w:pPr>
            <w:r>
              <w:rPr>
                <w:rFonts w:hint="eastAsia" w:ascii="宋体" w:hAnsi="宋体"/>
                <w:b/>
                <w:szCs w:val="24"/>
                <w:highlight w:val="yellow"/>
                <w:lang w:eastAsia="zh-CN"/>
              </w:rPr>
              <w:t>【固定收益类、权益类、商品及金融衍生品类、混合类】</w:t>
            </w:r>
          </w:p>
        </w:tc>
      </w:tr>
      <w:tr w14:paraId="2F3FF03C">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986B298">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运作模式</w:t>
            </w:r>
          </w:p>
        </w:tc>
        <w:tc>
          <w:tcPr>
            <w:tcW w:w="6972" w:type="dxa"/>
            <w:tcBorders>
              <w:top w:val="single" w:color="auto" w:sz="4" w:space="0"/>
              <w:left w:val="single" w:color="auto" w:sz="4" w:space="0"/>
              <w:bottom w:val="single" w:color="auto" w:sz="4" w:space="0"/>
              <w:right w:val="single" w:color="auto" w:sz="4" w:space="0"/>
            </w:tcBorders>
            <w:vAlign w:val="center"/>
          </w:tcPr>
          <w:p w14:paraId="6B91C993">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bidi="ar"/>
              </w:rPr>
            </w:pPr>
            <w:r>
              <w:rPr>
                <w:rFonts w:hint="eastAsia" w:ascii="宋体" w:hAnsi="宋体"/>
                <w:b/>
                <w:szCs w:val="24"/>
                <w:highlight w:val="yellow"/>
                <w:lang w:eastAsia="zh-CN"/>
              </w:rPr>
              <w:t>【开放式</w:t>
            </w:r>
            <w:r>
              <w:rPr>
                <w:rFonts w:hint="eastAsia" w:ascii="宋体" w:hAnsi="宋体"/>
                <w:b/>
                <w:szCs w:val="24"/>
                <w:highlight w:val="yellow"/>
                <w:lang w:val="en-US" w:eastAsia="zh-CN"/>
              </w:rPr>
              <w:t>/封闭式</w:t>
            </w:r>
            <w:r>
              <w:rPr>
                <w:rFonts w:hint="eastAsia" w:ascii="宋体" w:hAnsi="宋体"/>
                <w:b/>
                <w:szCs w:val="24"/>
                <w:highlight w:val="yellow"/>
                <w:lang w:eastAsia="zh-CN"/>
              </w:rPr>
              <w:t>】</w:t>
            </w:r>
          </w:p>
        </w:tc>
      </w:tr>
      <w:tr w14:paraId="3161C402">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67E475F3">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运作模式（二级）</w:t>
            </w:r>
          </w:p>
        </w:tc>
        <w:tc>
          <w:tcPr>
            <w:tcW w:w="6972" w:type="dxa"/>
            <w:tcBorders>
              <w:top w:val="single" w:color="auto" w:sz="4" w:space="0"/>
              <w:left w:val="single" w:color="auto" w:sz="4" w:space="0"/>
              <w:bottom w:val="single" w:color="auto" w:sz="4" w:space="0"/>
              <w:right w:val="single" w:color="auto" w:sz="4" w:space="0"/>
            </w:tcBorders>
            <w:vAlign w:val="center"/>
          </w:tcPr>
          <w:p w14:paraId="761D6EC8">
            <w:pPr>
              <w:widowControl/>
              <w:spacing w:line="400" w:lineRule="exact"/>
              <w:jc w:val="left"/>
              <w:textAlignment w:val="center"/>
              <w:rPr>
                <w:rFonts w:hint="eastAsia" w:ascii="仿宋_GB2312" w:hAnsi="宋体" w:eastAsia="仿宋_GB2312" w:cs="宋体"/>
                <w:b/>
                <w:bCs/>
                <w:color w:val="auto"/>
                <w:kern w:val="0"/>
                <w:sz w:val="24"/>
                <w:szCs w:val="24"/>
                <w:highlight w:val="none"/>
                <w:u w:val="none"/>
                <w:lang w:bidi="ar"/>
              </w:rPr>
            </w:pPr>
            <w:r>
              <w:rPr>
                <w:rFonts w:hint="eastAsia" w:ascii="宋体" w:hAnsi="宋体"/>
                <w:b/>
                <w:szCs w:val="24"/>
                <w:highlight w:val="yellow"/>
                <w:lang w:eastAsia="zh-CN"/>
              </w:rPr>
              <w:t>【</w:t>
            </w:r>
            <w:r>
              <w:rPr>
                <w:rFonts w:hint="eastAsia" w:ascii="仿宋_GB2312" w:hAnsi="宋体" w:eastAsia="仿宋_GB2312" w:cs="宋体"/>
                <w:b/>
                <w:bCs/>
                <w:color w:val="auto"/>
                <w:kern w:val="0"/>
                <w:sz w:val="24"/>
                <w:szCs w:val="24"/>
                <w:highlight w:val="yellow"/>
                <w:u w:val="none"/>
                <w:lang w:bidi="ar"/>
              </w:rPr>
              <w:t>日开型产品、最短持有期型产品、客户周期型产品、定开型产品、申赎分离型产品和其他开放式产品</w:t>
            </w:r>
            <w:r>
              <w:rPr>
                <w:rFonts w:hint="eastAsia" w:ascii="宋体" w:hAnsi="宋体"/>
                <w:b/>
                <w:szCs w:val="24"/>
                <w:highlight w:val="yellow"/>
                <w:lang w:eastAsia="zh-CN"/>
              </w:rPr>
              <w:t>】</w:t>
            </w:r>
          </w:p>
        </w:tc>
      </w:tr>
      <w:tr w14:paraId="7829003E">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0B0F51C4">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风险等级</w:t>
            </w:r>
          </w:p>
        </w:tc>
        <w:tc>
          <w:tcPr>
            <w:tcW w:w="6972" w:type="dxa"/>
            <w:tcBorders>
              <w:top w:val="single" w:color="auto" w:sz="4" w:space="0"/>
              <w:left w:val="single" w:color="auto" w:sz="4" w:space="0"/>
              <w:bottom w:val="single" w:color="auto" w:sz="4" w:space="0"/>
              <w:right w:val="single" w:color="auto" w:sz="4" w:space="0"/>
            </w:tcBorders>
            <w:vAlign w:val="center"/>
          </w:tcPr>
          <w:p w14:paraId="1F320450">
            <w:pPr>
              <w:widowControl/>
              <w:tabs>
                <w:tab w:val="left" w:pos="709"/>
              </w:tabs>
              <w:snapToGrid w:val="0"/>
              <w:rPr>
                <w:rFonts w:ascii="宋体" w:hAnsi="宋体"/>
                <w:color w:val="auto"/>
                <w:szCs w:val="24"/>
                <w:highlight w:val="none"/>
                <w:u w:val="none"/>
              </w:rPr>
            </w:pPr>
            <w:r>
              <w:rPr>
                <w:rFonts w:hint="eastAsia" w:ascii="宋体" w:hAnsi="宋体"/>
                <w:b/>
                <w:bCs/>
                <w:color w:val="auto"/>
                <w:szCs w:val="24"/>
                <w:highlight w:val="yellow"/>
                <w:u w:val="none"/>
              </w:rPr>
              <w:t>【</w:t>
            </w:r>
            <w:r>
              <w:rPr>
                <w:rFonts w:hint="eastAsia" w:ascii="宋体" w:hAnsi="宋体"/>
                <w:b/>
                <w:bCs/>
                <w:color w:val="auto"/>
                <w:szCs w:val="24"/>
                <w:highlight w:val="yellow"/>
                <w:u w:val="none"/>
                <w:lang w:val="en-US" w:eastAsia="zh-CN"/>
              </w:rPr>
              <w:t>R1/2/3/4/5</w:t>
            </w:r>
            <w:r>
              <w:rPr>
                <w:rFonts w:hint="eastAsia" w:ascii="宋体" w:hAnsi="宋体"/>
                <w:b/>
                <w:bCs/>
                <w:color w:val="auto"/>
                <w:szCs w:val="24"/>
                <w:highlight w:val="yellow"/>
                <w:u w:val="none"/>
              </w:rPr>
              <w:t>】</w:t>
            </w:r>
            <w:r>
              <w:rPr>
                <w:rFonts w:hint="eastAsia" w:ascii="宋体" w:hAnsi="宋体"/>
                <w:b/>
                <w:bCs/>
                <w:color w:val="auto"/>
                <w:szCs w:val="24"/>
                <w:highlight w:val="none"/>
                <w:u w:val="none"/>
              </w:rPr>
              <w:t>对应风险等级为</w:t>
            </w:r>
            <w:r>
              <w:rPr>
                <w:rFonts w:hint="eastAsia" w:ascii="宋体" w:hAnsi="宋体"/>
                <w:b/>
                <w:bCs/>
                <w:color w:val="auto"/>
                <w:szCs w:val="24"/>
                <w:highlight w:val="yellow"/>
                <w:u w:val="none"/>
              </w:rPr>
              <w:t>【】</w:t>
            </w:r>
            <w:r>
              <w:rPr>
                <w:rFonts w:hint="eastAsia" w:ascii="仿宋_GB2312" w:hAnsi="等线" w:eastAsia="仿宋_GB2312" w:cs="仿宋_GB2312"/>
                <w:b/>
                <w:bCs w:val="0"/>
                <w:color w:val="000000" w:themeColor="text1"/>
                <w:kern w:val="0"/>
                <w:sz w:val="24"/>
                <w:lang w:bidi="ar"/>
                <w14:textFill>
                  <w14:solidFill>
                    <w14:schemeClr w14:val="tx1"/>
                  </w14:solidFill>
                </w14:textFill>
              </w:rPr>
              <w:br w:type="textWrapping"/>
            </w:r>
            <w:r>
              <w:rPr>
                <w:rFonts w:hint="eastAsia" w:ascii="宋体" w:hAnsi="宋体"/>
                <w:color w:val="auto"/>
                <w:szCs w:val="24"/>
                <w:highlight w:val="none"/>
                <w:u w:val="none"/>
              </w:rPr>
              <w:t>本评级为管理人内部测评结果，仅供投资者参考。</w:t>
            </w:r>
            <w:r>
              <w:rPr>
                <w:rFonts w:hint="eastAsia" w:ascii="宋体" w:hAnsi="宋体"/>
                <w:b/>
                <w:color w:val="auto"/>
                <w:szCs w:val="24"/>
                <w:highlight w:val="none"/>
                <w:u w:val="none"/>
              </w:rPr>
              <w:t>本产品通过代理销售机构渠道销售的，理财产品评级应当以代理销售机构最终披露的评级结果为准。</w:t>
            </w:r>
            <w:r>
              <w:rPr>
                <w:rFonts w:ascii="宋体" w:hAnsi="宋体"/>
                <w:color w:val="auto"/>
                <w:szCs w:val="24"/>
                <w:highlight w:val="none"/>
                <w:u w:val="none"/>
              </w:rPr>
              <w:t>(</w:t>
            </w:r>
            <w:r>
              <w:rPr>
                <w:rFonts w:hint="eastAsia" w:ascii="宋体" w:hAnsi="宋体"/>
                <w:color w:val="auto"/>
                <w:szCs w:val="24"/>
                <w:highlight w:val="none"/>
                <w:u w:val="none"/>
              </w:rPr>
              <w:t>管理</w:t>
            </w:r>
            <w:r>
              <w:rPr>
                <w:rFonts w:ascii="宋体" w:hAnsi="宋体"/>
                <w:color w:val="auto"/>
                <w:szCs w:val="24"/>
                <w:highlight w:val="none"/>
                <w:u w:val="none"/>
              </w:rPr>
              <w:t>人与</w:t>
            </w:r>
            <w:r>
              <w:rPr>
                <w:rFonts w:hint="eastAsia" w:ascii="宋体" w:hAnsi="宋体"/>
                <w:color w:val="auto"/>
                <w:szCs w:val="24"/>
                <w:highlight w:val="none"/>
                <w:u w:val="none"/>
              </w:rPr>
              <w:t>代理</w:t>
            </w:r>
            <w:r>
              <w:rPr>
                <w:rFonts w:ascii="宋体" w:hAnsi="宋体"/>
                <w:color w:val="auto"/>
                <w:szCs w:val="24"/>
                <w:highlight w:val="none"/>
                <w:u w:val="none"/>
              </w:rPr>
              <w:t>销售机构</w:t>
            </w:r>
            <w:r>
              <w:rPr>
                <w:rFonts w:hint="eastAsia" w:ascii="宋体" w:hAnsi="宋体"/>
                <w:color w:val="auto"/>
                <w:szCs w:val="24"/>
                <w:highlight w:val="none"/>
                <w:u w:val="none"/>
              </w:rPr>
              <w:t>的</w:t>
            </w:r>
            <w:r>
              <w:rPr>
                <w:rFonts w:ascii="宋体" w:hAnsi="宋体"/>
                <w:color w:val="auto"/>
                <w:szCs w:val="24"/>
                <w:highlight w:val="none"/>
                <w:u w:val="none"/>
              </w:rPr>
              <w:t>风险</w:t>
            </w:r>
            <w:r>
              <w:rPr>
                <w:rFonts w:hint="eastAsia" w:ascii="宋体" w:hAnsi="宋体"/>
                <w:color w:val="auto"/>
                <w:szCs w:val="24"/>
                <w:highlight w:val="none"/>
                <w:u w:val="none"/>
              </w:rPr>
              <w:t>等级评估结果</w:t>
            </w:r>
            <w:r>
              <w:rPr>
                <w:rFonts w:ascii="宋体" w:hAnsi="宋体"/>
                <w:color w:val="auto"/>
                <w:szCs w:val="24"/>
                <w:highlight w:val="none"/>
                <w:u w:val="none"/>
              </w:rPr>
              <w:t>不一致的应采用</w:t>
            </w:r>
            <w:r>
              <w:rPr>
                <w:rFonts w:hint="eastAsia" w:ascii="宋体" w:hAnsi="宋体"/>
                <w:color w:val="auto"/>
                <w:szCs w:val="24"/>
                <w:highlight w:val="none"/>
                <w:u w:val="none"/>
              </w:rPr>
              <w:t>对应</w:t>
            </w:r>
            <w:r>
              <w:rPr>
                <w:rFonts w:ascii="宋体" w:hAnsi="宋体"/>
                <w:color w:val="auto"/>
                <w:szCs w:val="24"/>
                <w:highlight w:val="none"/>
                <w:u w:val="none"/>
              </w:rPr>
              <w:t>较高风险</w:t>
            </w:r>
            <w:r>
              <w:rPr>
                <w:rFonts w:hint="eastAsia" w:ascii="宋体" w:hAnsi="宋体"/>
                <w:color w:val="auto"/>
                <w:szCs w:val="24"/>
                <w:highlight w:val="none"/>
                <w:u w:val="none"/>
              </w:rPr>
              <w:t>的</w:t>
            </w:r>
            <w:r>
              <w:rPr>
                <w:rFonts w:ascii="宋体" w:hAnsi="宋体"/>
                <w:color w:val="auto"/>
                <w:szCs w:val="24"/>
                <w:highlight w:val="none"/>
                <w:u w:val="none"/>
              </w:rPr>
              <w:t>评级</w:t>
            </w:r>
            <w:r>
              <w:rPr>
                <w:rFonts w:hint="eastAsia" w:ascii="宋体" w:hAnsi="宋体"/>
                <w:color w:val="auto"/>
                <w:szCs w:val="24"/>
                <w:highlight w:val="none"/>
                <w:u w:val="none"/>
              </w:rPr>
              <w:t>结果。</w:t>
            </w:r>
            <w:r>
              <w:rPr>
                <w:rFonts w:ascii="宋体" w:hAnsi="宋体"/>
                <w:color w:val="auto"/>
                <w:szCs w:val="24"/>
                <w:highlight w:val="none"/>
                <w:u w:val="none"/>
              </w:rPr>
              <w:t>)</w:t>
            </w:r>
          </w:p>
          <w:p w14:paraId="5499D744">
            <w:pPr>
              <w:widowControl/>
              <w:tabs>
                <w:tab w:val="left" w:pos="709"/>
              </w:tabs>
              <w:snapToGrid w:val="0"/>
              <w:spacing w:line="240" w:lineRule="auto"/>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b/>
                <w:bCs/>
                <w:color w:val="auto"/>
                <w:szCs w:val="24"/>
                <w:highlight w:val="none"/>
                <w:u w:val="none"/>
              </w:rPr>
              <w:t>产品管理人在符合监管政策的前提下可对产品风险评级进行动态管理，如产品风险等级发生调整，将提前通过本《产品说明书》“信息披露”约定的方式通知投资者。</w:t>
            </w:r>
          </w:p>
        </w:tc>
      </w:tr>
      <w:tr w14:paraId="2EEB330C">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33FB973D">
            <w:pPr>
              <w:widowControl/>
              <w:spacing w:line="400" w:lineRule="exact"/>
              <w:jc w:val="center"/>
              <w:textAlignment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是否为现金管理类产品</w:t>
            </w:r>
          </w:p>
        </w:tc>
        <w:tc>
          <w:tcPr>
            <w:tcW w:w="6972" w:type="dxa"/>
            <w:tcBorders>
              <w:top w:val="single" w:color="auto" w:sz="4" w:space="0"/>
              <w:left w:val="single" w:color="auto" w:sz="4" w:space="0"/>
              <w:bottom w:val="single" w:color="auto" w:sz="4" w:space="0"/>
              <w:right w:val="single" w:color="auto" w:sz="4" w:space="0"/>
            </w:tcBorders>
            <w:vAlign w:val="center"/>
          </w:tcPr>
          <w:p w14:paraId="4F5E4C97">
            <w:pPr>
              <w:widowControl/>
              <w:spacing w:line="400" w:lineRule="exact"/>
              <w:jc w:val="left"/>
              <w:textAlignment w:val="center"/>
              <w:rPr>
                <w:rFonts w:hint="eastAsia" w:ascii="仿宋_GB2312" w:hAnsi="等线" w:eastAsia="仿宋_GB2312" w:cs="仿宋_GB2312"/>
                <w:bCs/>
                <w:color w:val="000000" w:themeColor="text1"/>
                <w:kern w:val="0"/>
                <w:sz w:val="24"/>
                <w:lang w:eastAsia="zh-CN" w:bidi="ar"/>
                <w14:textFill>
                  <w14:solidFill>
                    <w14:schemeClr w14:val="tx1"/>
                  </w14:solidFill>
                </w14:textFill>
              </w:rPr>
            </w:pPr>
            <w:r>
              <w:rPr>
                <w:rFonts w:hint="eastAsia" w:ascii="宋体" w:hAnsi="宋体"/>
                <w:b/>
                <w:bCs/>
                <w:color w:val="auto"/>
                <w:szCs w:val="24"/>
                <w:highlight w:val="yellow"/>
                <w:u w:val="none"/>
              </w:rPr>
              <w:t>【</w:t>
            </w:r>
            <w:r>
              <w:rPr>
                <w:rFonts w:hint="eastAsia" w:ascii="宋体" w:hAnsi="宋体"/>
                <w:b/>
                <w:bCs/>
                <w:color w:val="auto"/>
                <w:szCs w:val="24"/>
                <w:highlight w:val="yellow"/>
                <w:u w:val="none"/>
                <w:lang w:eastAsia="zh-CN"/>
              </w:rPr>
              <w:t>是</w:t>
            </w:r>
            <w:r>
              <w:rPr>
                <w:rFonts w:hint="eastAsia" w:ascii="宋体" w:hAnsi="宋体"/>
                <w:b/>
                <w:bCs/>
                <w:color w:val="auto"/>
                <w:szCs w:val="24"/>
                <w:highlight w:val="yellow"/>
                <w:u w:val="none"/>
                <w:lang w:val="en-US" w:eastAsia="zh-CN"/>
              </w:rPr>
              <w:t>/否</w:t>
            </w:r>
            <w:r>
              <w:rPr>
                <w:rFonts w:hint="eastAsia" w:ascii="宋体" w:hAnsi="宋体"/>
                <w:b/>
                <w:bCs/>
                <w:color w:val="auto"/>
                <w:szCs w:val="24"/>
                <w:highlight w:val="yellow"/>
                <w:u w:val="none"/>
              </w:rPr>
              <w:t>】</w:t>
            </w:r>
          </w:p>
        </w:tc>
      </w:tr>
      <w:tr w14:paraId="3DB57EE3">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0CDE6D78">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color w:val="auto"/>
                <w:szCs w:val="24"/>
                <w:highlight w:val="none"/>
                <w:u w:val="none"/>
              </w:rPr>
              <w:t>本金及收益类型</w:t>
            </w:r>
          </w:p>
        </w:tc>
        <w:tc>
          <w:tcPr>
            <w:tcW w:w="6972" w:type="dxa"/>
            <w:tcBorders>
              <w:top w:val="single" w:color="auto" w:sz="4" w:space="0"/>
              <w:left w:val="single" w:color="auto" w:sz="4" w:space="0"/>
              <w:bottom w:val="single" w:color="auto" w:sz="4" w:space="0"/>
              <w:right w:val="single" w:color="auto" w:sz="4" w:space="0"/>
            </w:tcBorders>
            <w:vAlign w:val="center"/>
          </w:tcPr>
          <w:p w14:paraId="53B7C4E3">
            <w:pPr>
              <w:snapToGrid w:val="0"/>
              <w:rPr>
                <w:rFonts w:ascii="宋体" w:hAnsi="宋体"/>
                <w:color w:val="auto"/>
                <w:szCs w:val="24"/>
                <w:highlight w:val="none"/>
                <w:u w:val="none"/>
              </w:rPr>
            </w:pPr>
            <w:r>
              <w:rPr>
                <w:rFonts w:hint="eastAsia" w:ascii="宋体" w:hAnsi="宋体"/>
                <w:color w:val="auto"/>
                <w:szCs w:val="24"/>
                <w:highlight w:val="none"/>
                <w:u w:val="none"/>
              </w:rPr>
              <w:t>非保本浮动收益。本产品不保证理财本金且不保证收益。本产品的收益随投资收益浮动，投资者可能会因市场变动而蒙受损失。</w:t>
            </w:r>
          </w:p>
          <w:p w14:paraId="030BC46F">
            <w:pPr>
              <w:snapToGrid w:val="0"/>
              <w:rPr>
                <w:rFonts w:hint="eastAsia" w:ascii="仿宋_GB2312" w:hAnsi="等线" w:cs="仿宋_GB2312"/>
                <w:bCs/>
                <w:color w:val="000000" w:themeColor="text1"/>
                <w:kern w:val="0"/>
                <w:sz w:val="24"/>
                <w:lang w:eastAsia="zh-CN" w:bidi="ar"/>
                <w14:textFill>
                  <w14:solidFill>
                    <w14:schemeClr w14:val="tx1"/>
                  </w14:solidFill>
                </w14:textFill>
              </w:rPr>
            </w:pPr>
            <w:r>
              <w:rPr>
                <w:rFonts w:hint="eastAsia" w:ascii="宋体" w:hAnsi="宋体"/>
                <w:color w:val="auto"/>
                <w:szCs w:val="24"/>
                <w:highlight w:val="none"/>
                <w:u w:val="none"/>
              </w:rPr>
              <w:t>理财产品管理人对本产品的本金并不提供保证，也不承诺任何固定收益。</w:t>
            </w:r>
          </w:p>
        </w:tc>
      </w:tr>
      <w:tr w14:paraId="6A0ECD73">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7D507613">
            <w:pPr>
              <w:widowControl/>
              <w:spacing w:line="400" w:lineRule="exact"/>
              <w:jc w:val="center"/>
              <w:textAlignment w:val="center"/>
              <w:rPr>
                <w:rFonts w:hint="eastAsia" w:ascii="楷体_GB2312" w:hAnsi="等线" w:eastAsia="楷体_GB2312" w:cs="楷体_GB2312"/>
                <w:bCs/>
                <w:color w:val="000000" w:themeColor="text1"/>
                <w:sz w:val="24"/>
                <w14:textFill>
                  <w14:solidFill>
                    <w14:schemeClr w14:val="tx1"/>
                  </w14:solidFill>
                </w14:textFill>
              </w:rPr>
            </w:pPr>
            <w:r>
              <w:rPr>
                <w:rFonts w:hint="eastAsia" w:ascii="楷体_GB2312" w:hAnsi="等线" w:eastAsia="楷体_GB2312" w:cs="楷体_GB2312"/>
                <w:b/>
                <w:color w:val="000000" w:themeColor="text1"/>
                <w:kern w:val="0"/>
                <w:sz w:val="24"/>
                <w:lang w:bidi="ar"/>
                <w14:textFill>
                  <w14:solidFill>
                    <w14:schemeClr w14:val="tx1"/>
                  </w14:solidFill>
                </w14:textFill>
              </w:rPr>
              <w:t>（四）产品期限</w:t>
            </w:r>
          </w:p>
        </w:tc>
      </w:tr>
      <w:tr w14:paraId="5F367467">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B2BAA5A">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募集起始日期</w:t>
            </w:r>
          </w:p>
        </w:tc>
        <w:tc>
          <w:tcPr>
            <w:tcW w:w="6972" w:type="dxa"/>
            <w:tcBorders>
              <w:top w:val="single" w:color="auto" w:sz="4" w:space="0"/>
              <w:left w:val="single" w:color="auto" w:sz="4" w:space="0"/>
              <w:bottom w:val="single" w:color="auto" w:sz="4" w:space="0"/>
              <w:right w:val="single" w:color="auto" w:sz="4" w:space="0"/>
            </w:tcBorders>
            <w:vAlign w:val="center"/>
          </w:tcPr>
          <w:p w14:paraId="493A7C40">
            <w:pPr>
              <w:widowControl/>
              <w:autoSpaceDE w:val="0"/>
              <w:autoSpaceDN w:val="0"/>
              <w:adjustRightInd w:val="0"/>
              <w:snapToGrid w:val="0"/>
              <w:spacing w:line="240" w:lineRule="auto"/>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r>
              <w:rPr>
                <w:rFonts w:hint="eastAsia" w:ascii="宋体" w:hAnsi="宋体"/>
                <w:b/>
                <w:szCs w:val="24"/>
                <w:highlight w:val="yellow"/>
                <w:lang w:eastAsia="zh-CN"/>
              </w:rPr>
              <w:t>【</w:t>
            </w:r>
            <w:r>
              <w:rPr>
                <w:rFonts w:hint="eastAsia" w:ascii="宋体" w:hAnsi="宋体"/>
                <w:b/>
                <w:szCs w:val="24"/>
                <w:highlight w:val="none"/>
                <w:lang w:val="en-US" w:eastAsia="zh-CN"/>
              </w:rPr>
              <w:t>XX:XX</w:t>
            </w:r>
            <w:r>
              <w:rPr>
                <w:rFonts w:hint="eastAsia" w:ascii="宋体" w:hAnsi="宋体"/>
                <w:b/>
                <w:szCs w:val="24"/>
                <w:highlight w:val="yellow"/>
                <w:lang w:eastAsia="zh-CN"/>
              </w:rPr>
              <w:t>】</w:t>
            </w:r>
          </w:p>
        </w:tc>
      </w:tr>
      <w:tr w14:paraId="4E15262B">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82FF731">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募集结束日期</w:t>
            </w:r>
          </w:p>
        </w:tc>
        <w:tc>
          <w:tcPr>
            <w:tcW w:w="6972" w:type="dxa"/>
            <w:tcBorders>
              <w:top w:val="single" w:color="auto" w:sz="4" w:space="0"/>
              <w:left w:val="single" w:color="auto" w:sz="4" w:space="0"/>
              <w:bottom w:val="single" w:color="auto" w:sz="4" w:space="0"/>
              <w:right w:val="single" w:color="auto" w:sz="4" w:space="0"/>
            </w:tcBorders>
            <w:vAlign w:val="center"/>
          </w:tcPr>
          <w:p w14:paraId="3761C895">
            <w:pPr>
              <w:widowControl/>
              <w:autoSpaceDE w:val="0"/>
              <w:autoSpaceDN w:val="0"/>
              <w:adjustRightInd w:val="0"/>
              <w:snapToGrid w:val="0"/>
              <w:spacing w:line="240" w:lineRule="auto"/>
              <w:jc w:val="left"/>
              <w:textAlignment w:val="auto"/>
              <w:rPr>
                <w:rFonts w:hint="eastAsia" w:ascii="宋体" w:hAnsi="宋体"/>
                <w:b/>
                <w:szCs w:val="24"/>
                <w:highlight w:val="yellow"/>
                <w:lang w:eastAsia="zh-CN"/>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r>
              <w:rPr>
                <w:rFonts w:hint="eastAsia" w:ascii="宋体" w:hAnsi="宋体"/>
                <w:b/>
                <w:szCs w:val="24"/>
                <w:highlight w:val="yellow"/>
                <w:lang w:eastAsia="zh-CN"/>
              </w:rPr>
              <w:t>【</w:t>
            </w:r>
            <w:r>
              <w:rPr>
                <w:rFonts w:hint="eastAsia" w:ascii="宋体" w:hAnsi="宋体"/>
                <w:b/>
                <w:szCs w:val="24"/>
                <w:highlight w:val="none"/>
                <w:lang w:val="en-US" w:eastAsia="zh-CN"/>
              </w:rPr>
              <w:t>XX:XX</w:t>
            </w:r>
            <w:r>
              <w:rPr>
                <w:rFonts w:hint="eastAsia" w:ascii="宋体" w:hAnsi="宋体"/>
                <w:b/>
                <w:szCs w:val="24"/>
                <w:highlight w:val="yellow"/>
                <w:lang w:eastAsia="zh-CN"/>
              </w:rPr>
              <w:t>】</w:t>
            </w:r>
          </w:p>
          <w:p w14:paraId="6E6B22C8">
            <w:pPr>
              <w:widowControl/>
              <w:autoSpaceDE w:val="0"/>
              <w:autoSpaceDN w:val="0"/>
              <w:adjustRightInd w:val="0"/>
              <w:snapToGrid w:val="0"/>
              <w:spacing w:line="240" w:lineRule="auto"/>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color w:val="auto"/>
                <w:szCs w:val="24"/>
                <w:highlight w:val="none"/>
                <w:u w:val="none"/>
              </w:rPr>
              <w:t>销售机构实际受理时间可能与说明书不一致，具体以销售机构通知为准。</w:t>
            </w:r>
            <w:r>
              <w:rPr>
                <w:rFonts w:hint="eastAsia" w:ascii="宋体" w:hAnsi="宋体"/>
                <w:b/>
                <w:color w:val="auto"/>
                <w:szCs w:val="24"/>
                <w:highlight w:val="none"/>
                <w:u w:val="none"/>
              </w:rPr>
              <w:t>管理人有权提前结束募集并提前成立理财产品或延长募集期，具体以管理人或销售机构公告为准。</w:t>
            </w:r>
          </w:p>
        </w:tc>
      </w:tr>
      <w:tr w14:paraId="46A6AB67">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4B675F95">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产品成立日期</w:t>
            </w:r>
          </w:p>
        </w:tc>
        <w:tc>
          <w:tcPr>
            <w:tcW w:w="6972" w:type="dxa"/>
            <w:tcBorders>
              <w:top w:val="single" w:color="auto" w:sz="4" w:space="0"/>
              <w:left w:val="single" w:color="auto" w:sz="4" w:space="0"/>
              <w:bottom w:val="single" w:color="auto" w:sz="4" w:space="0"/>
              <w:right w:val="single" w:color="auto" w:sz="4" w:space="0"/>
            </w:tcBorders>
            <w:vAlign w:val="center"/>
          </w:tcPr>
          <w:p w14:paraId="1692EBBB">
            <w:pPr>
              <w:snapToGrid w:val="0"/>
              <w:rPr>
                <w:rFonts w:hint="eastAsia" w:ascii="宋体" w:hAnsi="宋体"/>
                <w:b/>
                <w:szCs w:val="24"/>
                <w:highlight w:val="yellow"/>
                <w:lang w:eastAsia="zh-CN"/>
              </w:rPr>
            </w:pPr>
            <w:r>
              <w:rPr>
                <w:rFonts w:hint="eastAsia" w:ascii="宋体" w:hAnsi="宋体"/>
                <w:szCs w:val="24"/>
                <w:highlight w:val="yellow"/>
                <w:lang w:eastAsia="zh-CN"/>
              </w:rPr>
              <w:t>【</w:t>
            </w:r>
            <w:r>
              <w:rPr>
                <w:rFonts w:hint="eastAsia" w:ascii="宋体" w:hAnsi="宋体"/>
                <w:b/>
                <w:szCs w:val="24"/>
                <w:highlight w:val="yellow"/>
                <w:lang w:eastAsia="zh-CN"/>
              </w:rPr>
              <w:t>】</w:t>
            </w:r>
            <w:r>
              <w:rPr>
                <w:rFonts w:hint="eastAsia" w:ascii="宋体" w:hAnsi="宋体"/>
                <w:b/>
                <w:szCs w:val="24"/>
                <w:highlight w:val="none"/>
              </w:rPr>
              <w:t>年</w:t>
            </w:r>
            <w:r>
              <w:rPr>
                <w:rFonts w:hint="eastAsia" w:ascii="宋体" w:hAnsi="宋体"/>
                <w:b/>
                <w:szCs w:val="24"/>
                <w:highlight w:val="yellow"/>
                <w:lang w:eastAsia="zh-CN"/>
              </w:rPr>
              <w:t>【】</w:t>
            </w:r>
            <w:r>
              <w:rPr>
                <w:rFonts w:hint="eastAsia" w:ascii="宋体" w:hAnsi="宋体"/>
                <w:b/>
                <w:szCs w:val="24"/>
                <w:highlight w:val="none"/>
              </w:rPr>
              <w:t>月</w:t>
            </w:r>
            <w:r>
              <w:rPr>
                <w:rFonts w:hint="eastAsia" w:ascii="宋体" w:hAnsi="宋体"/>
                <w:b/>
                <w:szCs w:val="24"/>
                <w:highlight w:val="yellow"/>
                <w:lang w:eastAsia="zh-CN"/>
              </w:rPr>
              <w:t>【】</w:t>
            </w:r>
            <w:r>
              <w:rPr>
                <w:rFonts w:hint="eastAsia" w:ascii="宋体" w:hAnsi="宋体"/>
                <w:b/>
                <w:szCs w:val="24"/>
                <w:highlight w:val="none"/>
              </w:rPr>
              <w:t>日</w:t>
            </w:r>
          </w:p>
          <w:p w14:paraId="23CBAE2C">
            <w:pPr>
              <w:snapToGrid w:val="0"/>
              <w:rPr>
                <w:rFonts w:ascii="宋体" w:hAnsi="宋体"/>
                <w:b/>
                <w:color w:val="auto"/>
                <w:szCs w:val="24"/>
                <w:highlight w:val="none"/>
                <w:u w:val="none"/>
              </w:rPr>
            </w:pPr>
            <w:r>
              <w:rPr>
                <w:rFonts w:hint="eastAsia" w:ascii="宋体" w:hAnsi="宋体"/>
                <w:b/>
                <w:color w:val="auto"/>
                <w:szCs w:val="24"/>
                <w:highlight w:val="none"/>
                <w:u w:val="none"/>
              </w:rPr>
              <w:t>如遇非</w:t>
            </w:r>
            <w:r>
              <w:rPr>
                <w:rFonts w:hint="eastAsia" w:ascii="宋体" w:hAnsi="宋体"/>
                <w:b/>
                <w:color w:val="auto"/>
                <w:szCs w:val="24"/>
                <w:highlight w:val="yellow"/>
                <w:u w:val="none"/>
                <w:lang w:eastAsia="zh-CN"/>
              </w:rPr>
              <w:t>【工作日</w:t>
            </w:r>
            <w:r>
              <w:rPr>
                <w:rFonts w:hint="eastAsia" w:ascii="宋体" w:hAnsi="宋体"/>
                <w:b/>
                <w:color w:val="auto"/>
                <w:szCs w:val="24"/>
                <w:highlight w:val="yellow"/>
                <w:u w:val="none"/>
                <w:lang w:val="en-US" w:eastAsia="zh-CN"/>
              </w:rPr>
              <w:t>/</w:t>
            </w:r>
            <w:r>
              <w:rPr>
                <w:rFonts w:hint="eastAsia" w:ascii="宋体" w:hAnsi="宋体"/>
                <w:b/>
                <w:color w:val="auto"/>
                <w:szCs w:val="24"/>
                <w:highlight w:val="yellow"/>
                <w:u w:val="none"/>
              </w:rPr>
              <w:t>交易日</w:t>
            </w:r>
            <w:r>
              <w:rPr>
                <w:rFonts w:hint="eastAsia" w:ascii="宋体" w:hAnsi="宋体"/>
                <w:b/>
                <w:color w:val="auto"/>
                <w:szCs w:val="24"/>
                <w:highlight w:val="yellow"/>
                <w:u w:val="none"/>
                <w:lang w:eastAsia="zh-CN"/>
              </w:rPr>
              <w:t>】</w:t>
            </w:r>
            <w:r>
              <w:rPr>
                <w:rFonts w:hint="eastAsia" w:ascii="宋体" w:hAnsi="宋体"/>
                <w:b/>
                <w:color w:val="auto"/>
                <w:szCs w:val="24"/>
                <w:highlight w:val="none"/>
                <w:u w:val="none"/>
              </w:rPr>
              <w:t>则顺延至下一</w:t>
            </w:r>
            <w:r>
              <w:rPr>
                <w:rFonts w:hint="eastAsia" w:ascii="宋体" w:hAnsi="宋体"/>
                <w:b/>
                <w:color w:val="auto"/>
                <w:szCs w:val="24"/>
                <w:highlight w:val="yellow"/>
                <w:u w:val="none"/>
                <w:lang w:eastAsia="zh-CN"/>
              </w:rPr>
              <w:t>【工作日</w:t>
            </w:r>
            <w:r>
              <w:rPr>
                <w:rFonts w:hint="eastAsia" w:ascii="宋体" w:hAnsi="宋体"/>
                <w:b/>
                <w:color w:val="auto"/>
                <w:szCs w:val="24"/>
                <w:highlight w:val="yellow"/>
                <w:u w:val="none"/>
                <w:lang w:val="en-US" w:eastAsia="zh-CN"/>
              </w:rPr>
              <w:t>/</w:t>
            </w:r>
            <w:r>
              <w:rPr>
                <w:rFonts w:hint="eastAsia" w:ascii="宋体" w:hAnsi="宋体"/>
                <w:b/>
                <w:color w:val="auto"/>
                <w:szCs w:val="24"/>
                <w:highlight w:val="yellow"/>
                <w:u w:val="none"/>
              </w:rPr>
              <w:t>交易日</w:t>
            </w:r>
            <w:r>
              <w:rPr>
                <w:rFonts w:hint="eastAsia" w:ascii="宋体" w:hAnsi="宋体"/>
                <w:b/>
                <w:color w:val="auto"/>
                <w:szCs w:val="24"/>
                <w:highlight w:val="yellow"/>
                <w:u w:val="none"/>
                <w:lang w:eastAsia="zh-CN"/>
              </w:rPr>
              <w:t>】</w:t>
            </w:r>
            <w:r>
              <w:rPr>
                <w:rFonts w:hint="eastAsia" w:ascii="宋体" w:hAnsi="宋体"/>
                <w:b/>
                <w:color w:val="auto"/>
                <w:szCs w:val="24"/>
                <w:highlight w:val="none"/>
                <w:u w:val="none"/>
              </w:rPr>
              <w:t>。</w:t>
            </w:r>
          </w:p>
          <w:p w14:paraId="69FA6850">
            <w:pPr>
              <w:widowControl/>
              <w:spacing w:line="400" w:lineRule="exact"/>
              <w:jc w:val="left"/>
              <w:textAlignment w:val="center"/>
              <w:rPr>
                <w:rFonts w:hint="eastAsia" w:ascii="宋体" w:hAnsi="宋体"/>
                <w:color w:val="auto"/>
                <w:szCs w:val="24"/>
                <w:highlight w:val="none"/>
                <w:u w:val="none"/>
              </w:rPr>
            </w:pPr>
            <w:r>
              <w:rPr>
                <w:rFonts w:hint="eastAsia" w:ascii="宋体" w:hAnsi="宋体"/>
                <w:b/>
                <w:color w:val="auto"/>
                <w:szCs w:val="24"/>
                <w:highlight w:val="none"/>
                <w:u w:val="none"/>
              </w:rPr>
              <w:t>如本理财产品募集期提前终止或延长，实际成立日以管理人或销售机构公告为准。</w:t>
            </w:r>
          </w:p>
        </w:tc>
      </w:tr>
      <w:tr w14:paraId="5DC2B716">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853050B">
            <w:pPr>
              <w:widowControl/>
              <w:spacing w:line="400" w:lineRule="exact"/>
              <w:jc w:val="center"/>
              <w:textAlignment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产品到期日期</w:t>
            </w:r>
          </w:p>
        </w:tc>
        <w:tc>
          <w:tcPr>
            <w:tcW w:w="6972" w:type="dxa"/>
            <w:tcBorders>
              <w:top w:val="single" w:color="auto" w:sz="4" w:space="0"/>
              <w:left w:val="single" w:color="auto" w:sz="4" w:space="0"/>
              <w:bottom w:val="single" w:color="auto" w:sz="4" w:space="0"/>
              <w:right w:val="single" w:color="auto" w:sz="4" w:space="0"/>
            </w:tcBorders>
            <w:vAlign w:val="center"/>
          </w:tcPr>
          <w:p w14:paraId="3ED5ED0A">
            <w:pPr>
              <w:widowControl/>
              <w:spacing w:line="400" w:lineRule="exact"/>
              <w:jc w:val="left"/>
              <w:textAlignment w:val="center"/>
              <w:rPr>
                <w:rFonts w:hint="eastAsia" w:ascii="仿宋_GB2312" w:hAnsi="等线" w:cs="仿宋_GB2312"/>
                <w:bCs/>
                <w:color w:val="000000" w:themeColor="text1"/>
                <w:sz w:val="24"/>
                <w:lang w:eastAsia="zh-CN"/>
                <w14:textFill>
                  <w14:solidFill>
                    <w14:schemeClr w14:val="tx1"/>
                  </w14:solidFill>
                </w14:textFill>
              </w:rPr>
            </w:pPr>
            <w:r>
              <w:rPr>
                <w:rFonts w:hint="eastAsia" w:ascii="宋体" w:hAnsi="宋体"/>
                <w:szCs w:val="24"/>
                <w:highlight w:val="yellow"/>
                <w:lang w:eastAsia="zh-CN"/>
              </w:rPr>
              <w:t>【无固定期限</w:t>
            </w:r>
            <w:r>
              <w:rPr>
                <w:rFonts w:hint="eastAsia" w:ascii="宋体" w:hAnsi="宋体"/>
                <w:szCs w:val="24"/>
                <w:highlight w:val="yellow"/>
                <w:lang w:val="en-US" w:eastAsia="zh-CN"/>
              </w:rPr>
              <w:t>/xxxx年xx月xx日</w:t>
            </w:r>
            <w:r>
              <w:rPr>
                <w:rFonts w:hint="eastAsia" w:ascii="宋体" w:hAnsi="宋体"/>
                <w:b/>
                <w:szCs w:val="24"/>
                <w:highlight w:val="yellow"/>
                <w:lang w:eastAsia="zh-CN"/>
              </w:rPr>
              <w:t>】</w:t>
            </w:r>
          </w:p>
          <w:p w14:paraId="1A051DD7">
            <w:pPr>
              <w:widowControl/>
              <w:spacing w:line="400" w:lineRule="exact"/>
              <w:jc w:val="left"/>
              <w:textAlignment w:val="center"/>
              <w:rPr>
                <w:rFonts w:hint="eastAsia" w:ascii="仿宋_GB2312" w:hAnsi="等线" w:cs="仿宋_GB2312"/>
                <w:bCs/>
                <w:color w:val="000000" w:themeColor="text1"/>
                <w:sz w:val="24"/>
                <w:lang w:eastAsia="zh-CN"/>
                <w14:textFill>
                  <w14:solidFill>
                    <w14:schemeClr w14:val="tx1"/>
                  </w14:solidFill>
                </w14:textFill>
              </w:rPr>
            </w:pPr>
            <w:r>
              <w:rPr>
                <w:rFonts w:hint="eastAsia" w:ascii="宋体" w:hAnsi="宋体"/>
                <w:color w:val="auto"/>
                <w:szCs w:val="24"/>
                <w:highlight w:val="none"/>
                <w:u w:val="none"/>
              </w:rPr>
              <w:t>产品管理人有权根据实际情况提前终止，并提前</w:t>
            </w:r>
            <w:r>
              <w:rPr>
                <w:rFonts w:hint="eastAsia" w:ascii="宋体" w:hAnsi="宋体"/>
                <w:b/>
                <w:szCs w:val="24"/>
                <w:highlight w:val="yellow"/>
                <w:lang w:eastAsia="zh-CN"/>
              </w:rPr>
              <w:t>【</w:t>
            </w:r>
            <w:r>
              <w:rPr>
                <w:rFonts w:hint="eastAsia" w:ascii="宋体" w:hAnsi="宋体"/>
                <w:b/>
                <w:szCs w:val="24"/>
                <w:highlight w:val="yellow"/>
                <w:lang w:val="en-US" w:eastAsia="zh-CN"/>
              </w:rPr>
              <w:t>1</w:t>
            </w:r>
            <w:r>
              <w:rPr>
                <w:rFonts w:hint="eastAsia" w:ascii="宋体" w:hAnsi="宋体"/>
                <w:b/>
                <w:szCs w:val="24"/>
                <w:highlight w:val="yellow"/>
                <w:lang w:eastAsia="zh-CN"/>
              </w:rPr>
              <w:t>】</w:t>
            </w:r>
            <w:r>
              <w:rPr>
                <w:rFonts w:hint="eastAsia" w:ascii="宋体" w:hAnsi="宋体"/>
                <w:color w:val="auto"/>
                <w:szCs w:val="24"/>
                <w:highlight w:val="none"/>
                <w:u w:val="none"/>
              </w:rPr>
              <w:t>个</w:t>
            </w:r>
            <w:r>
              <w:rPr>
                <w:rFonts w:ascii="宋体" w:hAnsi="宋体"/>
                <w:color w:val="auto"/>
                <w:szCs w:val="24"/>
                <w:highlight w:val="none"/>
                <w:u w:val="none"/>
              </w:rPr>
              <w:t>工作</w:t>
            </w:r>
            <w:r>
              <w:rPr>
                <w:rFonts w:hint="eastAsia" w:ascii="宋体" w:hAnsi="宋体"/>
                <w:color w:val="auto"/>
                <w:szCs w:val="24"/>
                <w:highlight w:val="none"/>
                <w:u w:val="none"/>
              </w:rPr>
              <w:t>日按照本《产品说明书》“信息披露”约定的方式通知投资者。</w:t>
            </w:r>
          </w:p>
        </w:tc>
      </w:tr>
      <w:tr w14:paraId="18BF0DC3">
        <w:tblPrEx>
          <w:tblCellMar>
            <w:top w:w="0" w:type="dxa"/>
            <w:left w:w="108" w:type="dxa"/>
            <w:bottom w:w="0" w:type="dxa"/>
            <w:right w:w="108" w:type="dxa"/>
          </w:tblCellMar>
        </w:tblPrEx>
        <w:trPr>
          <w:trHeight w:val="447" w:hRule="atLeast"/>
        </w:trPr>
        <w:tc>
          <w:tcPr>
            <w:tcW w:w="2453" w:type="dxa"/>
            <w:tcBorders>
              <w:top w:val="single" w:color="auto" w:sz="4" w:space="0"/>
              <w:left w:val="single" w:color="auto" w:sz="4" w:space="0"/>
              <w:bottom w:val="single" w:color="auto" w:sz="4" w:space="0"/>
              <w:right w:val="single" w:color="auto" w:sz="4" w:space="0"/>
            </w:tcBorders>
            <w:vAlign w:val="center"/>
          </w:tcPr>
          <w:p w14:paraId="0689AFD1">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资金到账日</w:t>
            </w:r>
          </w:p>
        </w:tc>
        <w:tc>
          <w:tcPr>
            <w:tcW w:w="6972" w:type="dxa"/>
            <w:tcBorders>
              <w:top w:val="single" w:color="auto" w:sz="4" w:space="0"/>
              <w:left w:val="single" w:color="auto" w:sz="4" w:space="0"/>
              <w:bottom w:val="single" w:color="auto" w:sz="4" w:space="0"/>
              <w:right w:val="single" w:color="auto" w:sz="4" w:space="0"/>
            </w:tcBorders>
            <w:vAlign w:val="center"/>
          </w:tcPr>
          <w:p w14:paraId="5D122ADD">
            <w:pPr>
              <w:widowControl/>
              <w:spacing w:line="400" w:lineRule="exact"/>
              <w:jc w:val="left"/>
              <w:textAlignment w:val="center"/>
              <w:rPr>
                <w:rFonts w:hint="eastAsia" w:ascii="宋体" w:hAnsi="宋体" w:eastAsia="仿宋_GB2312" w:cstheme="minorBidi"/>
                <w:bCs w:val="0"/>
                <w:color w:val="auto"/>
                <w:sz w:val="24"/>
                <w:szCs w:val="24"/>
                <w:highlight w:val="none"/>
                <w:u w:val="none"/>
              </w:rPr>
            </w:pPr>
            <w:r>
              <w:rPr>
                <w:rFonts w:hint="eastAsia" w:ascii="宋体" w:hAnsi="宋体"/>
                <w:b/>
                <w:szCs w:val="24"/>
                <w:highlight w:val="yellow"/>
                <w:lang w:eastAsia="zh-CN"/>
              </w:rPr>
              <w:t>【T+0、T+1、T+2、T+3、T+4、T+5及以上】</w:t>
            </w:r>
          </w:p>
        </w:tc>
      </w:tr>
      <w:tr w14:paraId="6C9B4746">
        <w:tblPrEx>
          <w:tblCellMar>
            <w:top w:w="0" w:type="dxa"/>
            <w:left w:w="108" w:type="dxa"/>
            <w:bottom w:w="0" w:type="dxa"/>
            <w:right w:w="108" w:type="dxa"/>
          </w:tblCellMar>
        </w:tblPrEx>
        <w:trPr>
          <w:trHeight w:val="410" w:hRule="atLeast"/>
        </w:trPr>
        <w:tc>
          <w:tcPr>
            <w:tcW w:w="2453" w:type="dxa"/>
            <w:tcBorders>
              <w:top w:val="single" w:color="auto" w:sz="4" w:space="0"/>
              <w:left w:val="single" w:color="auto" w:sz="4" w:space="0"/>
              <w:bottom w:val="single" w:color="auto" w:sz="4" w:space="0"/>
              <w:right w:val="single" w:color="auto" w:sz="4" w:space="0"/>
            </w:tcBorders>
            <w:vAlign w:val="center"/>
          </w:tcPr>
          <w:p w14:paraId="2D14D2FD">
            <w:pPr>
              <w:widowControl/>
              <w:spacing w:line="400" w:lineRule="exact"/>
              <w:jc w:val="center"/>
              <w:textAlignment w:val="center"/>
              <w:rPr>
                <w:rFonts w:hint="eastAsia" w:ascii="仿宋_GB2312" w:hAnsi="等线" w:eastAsia="仿宋_GB2312" w:cs="仿宋_GB2312"/>
                <w:color w:val="000000" w:themeColor="text1"/>
                <w:sz w:val="24"/>
                <w:lang w:eastAsia="zh-CN"/>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w:t>
            </w:r>
            <w:r>
              <w:rPr>
                <w:rFonts w:hint="eastAsia" w:ascii="仿宋_GB2312" w:hAnsi="等线" w:eastAsia="仿宋_GB2312" w:cs="仿宋_GB2312"/>
                <w:color w:val="000000" w:themeColor="text1"/>
                <w:kern w:val="0"/>
                <w:sz w:val="24"/>
                <w:lang w:bidi="ar"/>
                <w14:textFill>
                  <w14:solidFill>
                    <w14:schemeClr w14:val="tx1"/>
                  </w14:solidFill>
                </w14:textFill>
              </w:rPr>
              <w:t>最短持有期限</w:t>
            </w:r>
            <w:r>
              <w:rPr>
                <w:rFonts w:hint="eastAsia" w:ascii="仿宋_GB2312" w:hAnsi="等线" w:cs="仿宋_GB2312"/>
                <w:color w:val="000000" w:themeColor="text1"/>
                <w:kern w:val="0"/>
                <w:sz w:val="24"/>
                <w:lang w:eastAsia="zh-CN" w:bidi="ar"/>
                <w14:textFill>
                  <w14:solidFill>
                    <w14:schemeClr w14:val="tx1"/>
                  </w14:solidFill>
                </w14:textFill>
              </w:rPr>
              <w:t>】</w:t>
            </w:r>
          </w:p>
        </w:tc>
        <w:tc>
          <w:tcPr>
            <w:tcW w:w="6972" w:type="dxa"/>
            <w:tcBorders>
              <w:top w:val="single" w:color="auto" w:sz="4" w:space="0"/>
              <w:left w:val="single" w:color="auto" w:sz="4" w:space="0"/>
              <w:bottom w:val="single" w:color="auto" w:sz="4" w:space="0"/>
              <w:right w:val="single" w:color="auto" w:sz="4" w:space="0"/>
            </w:tcBorders>
            <w:vAlign w:val="center"/>
          </w:tcPr>
          <w:p w14:paraId="4E28E23B">
            <w:pPr>
              <w:widowControl/>
              <w:spacing w:line="400" w:lineRule="exact"/>
              <w:jc w:val="left"/>
              <w:textAlignment w:val="center"/>
              <w:rPr>
                <w:rFonts w:hint="eastAsia" w:ascii="宋体" w:hAnsi="宋体" w:eastAsia="仿宋_GB2312" w:cstheme="minorBidi"/>
                <w:bCs w:val="0"/>
                <w:color w:val="auto"/>
                <w:sz w:val="24"/>
                <w:szCs w:val="24"/>
                <w:highlight w:val="none"/>
                <w:u w:val="none"/>
                <w:lang w:eastAsia="zh-CN"/>
              </w:rPr>
            </w:pPr>
            <w:r>
              <w:rPr>
                <w:rFonts w:hint="eastAsia" w:ascii="宋体" w:hAnsi="宋体" w:cstheme="minorBidi"/>
                <w:bCs w:val="0"/>
                <w:color w:val="auto"/>
                <w:kern w:val="2"/>
                <w:sz w:val="24"/>
                <w:szCs w:val="24"/>
                <w:highlight w:val="yellow"/>
                <w:u w:val="none"/>
                <w:lang w:eastAsia="zh-CN" w:bidi="ar"/>
              </w:rPr>
              <w:t>【</w:t>
            </w:r>
            <w:r>
              <w:rPr>
                <w:rFonts w:hint="eastAsia" w:ascii="宋体" w:hAnsi="宋体" w:cstheme="minorBidi"/>
                <w:bCs w:val="0"/>
                <w:color w:val="auto"/>
                <w:kern w:val="2"/>
                <w:sz w:val="24"/>
                <w:szCs w:val="24"/>
                <w:highlight w:val="yellow"/>
                <w:u w:val="none"/>
                <w:lang w:val="en-US" w:eastAsia="zh-CN" w:bidi="ar"/>
              </w:rPr>
              <w:t>x天/周/月/年</w:t>
            </w:r>
            <w:r>
              <w:rPr>
                <w:rFonts w:hint="eastAsia" w:ascii="宋体" w:hAnsi="宋体" w:cstheme="minorBidi"/>
                <w:bCs w:val="0"/>
                <w:color w:val="auto"/>
                <w:kern w:val="2"/>
                <w:sz w:val="24"/>
                <w:szCs w:val="24"/>
                <w:highlight w:val="yellow"/>
                <w:u w:val="none"/>
                <w:lang w:eastAsia="zh-CN" w:bidi="ar"/>
              </w:rPr>
              <w:t>】</w:t>
            </w:r>
          </w:p>
        </w:tc>
      </w:tr>
      <w:tr w14:paraId="63135123">
        <w:tblPrEx>
          <w:tblCellMar>
            <w:top w:w="0" w:type="dxa"/>
            <w:left w:w="108" w:type="dxa"/>
            <w:bottom w:w="0" w:type="dxa"/>
            <w:right w:w="108" w:type="dxa"/>
          </w:tblCellMar>
        </w:tblPrEx>
        <w:trPr>
          <w:trHeight w:val="573" w:hRule="atLeast"/>
        </w:trPr>
        <w:tc>
          <w:tcPr>
            <w:tcW w:w="2453" w:type="dxa"/>
            <w:tcBorders>
              <w:top w:val="single" w:color="auto" w:sz="4" w:space="0"/>
              <w:left w:val="single" w:color="auto" w:sz="4" w:space="0"/>
              <w:bottom w:val="single" w:color="auto" w:sz="4" w:space="0"/>
              <w:right w:val="single" w:color="auto" w:sz="4" w:space="0"/>
            </w:tcBorders>
            <w:vAlign w:val="center"/>
          </w:tcPr>
          <w:p w14:paraId="50D46C81">
            <w:pPr>
              <w:widowControl/>
              <w:spacing w:line="400" w:lineRule="exact"/>
              <w:jc w:val="center"/>
              <w:textAlignment w:val="center"/>
              <w:rPr>
                <w:rFonts w:hint="eastAsia" w:ascii="仿宋_GB2312" w:hAnsi="等线" w:eastAsia="仿宋_GB2312" w:cs="仿宋_GB2312"/>
                <w:color w:val="000000" w:themeColor="text1"/>
                <w:kern w:val="0"/>
                <w:sz w:val="24"/>
                <w:lang w:eastAsia="zh-CN" w:bidi="ar"/>
                <w14:textFill>
                  <w14:solidFill>
                    <w14:schemeClr w14:val="tx1"/>
                  </w14:solidFill>
                </w14:textFill>
              </w:rPr>
            </w:pPr>
            <w:r>
              <w:rPr>
                <w:rFonts w:hint="eastAsia" w:ascii="仿宋_GB2312" w:hAnsi="等线" w:cs="仿宋_GB2312"/>
                <w:color w:val="000000" w:themeColor="text1"/>
                <w:kern w:val="0"/>
                <w:sz w:val="24"/>
                <w:highlight w:val="yellow"/>
                <w:lang w:eastAsia="zh-CN" w:bidi="ar"/>
                <w14:textFill>
                  <w14:solidFill>
                    <w14:schemeClr w14:val="tx1"/>
                  </w14:solidFill>
                </w14:textFill>
              </w:rPr>
              <w:t>【</w:t>
            </w:r>
            <w:r>
              <w:rPr>
                <w:rFonts w:hint="eastAsia" w:ascii="仿宋_GB2312" w:hAnsi="等线" w:eastAsia="仿宋_GB2312" w:cs="仿宋_GB2312"/>
                <w:color w:val="000000" w:themeColor="text1"/>
                <w:kern w:val="0"/>
                <w:sz w:val="24"/>
                <w:highlight w:val="yellow"/>
                <w:lang w:bidi="ar"/>
                <w14:textFill>
                  <w14:solidFill>
                    <w14:schemeClr w14:val="tx1"/>
                  </w14:solidFill>
                </w14:textFill>
              </w:rPr>
              <w:t>定期开放周期</w:t>
            </w:r>
            <w:r>
              <w:rPr>
                <w:rFonts w:hint="eastAsia" w:ascii="仿宋_GB2312" w:hAnsi="等线" w:cs="仿宋_GB2312"/>
                <w:color w:val="000000" w:themeColor="text1"/>
                <w:kern w:val="0"/>
                <w:sz w:val="24"/>
                <w:highlight w:val="yellow"/>
                <w:lang w:eastAsia="zh-CN" w:bidi="ar"/>
                <w14:textFill>
                  <w14:solidFill>
                    <w14:schemeClr w14:val="tx1"/>
                  </w14:solidFill>
                </w14:textFill>
              </w:rPr>
              <w:t>】</w:t>
            </w:r>
          </w:p>
        </w:tc>
        <w:tc>
          <w:tcPr>
            <w:tcW w:w="6972" w:type="dxa"/>
            <w:tcBorders>
              <w:top w:val="single" w:color="auto" w:sz="4" w:space="0"/>
              <w:left w:val="single" w:color="auto" w:sz="4" w:space="0"/>
              <w:bottom w:val="single" w:color="auto" w:sz="4" w:space="0"/>
              <w:right w:val="single" w:color="auto" w:sz="4" w:space="0"/>
            </w:tcBorders>
            <w:vAlign w:val="center"/>
          </w:tcPr>
          <w:p w14:paraId="71F43AC5">
            <w:pPr>
              <w:widowControl/>
              <w:spacing w:line="400" w:lineRule="exact"/>
              <w:jc w:val="left"/>
              <w:textAlignment w:val="center"/>
              <w:rPr>
                <w:rFonts w:hint="eastAsia" w:ascii="宋体" w:hAnsi="宋体" w:eastAsia="仿宋_GB2312" w:cstheme="minorBidi"/>
                <w:bCs w:val="0"/>
                <w:color w:val="auto"/>
                <w:kern w:val="2"/>
                <w:sz w:val="24"/>
                <w:szCs w:val="24"/>
                <w:highlight w:val="none"/>
                <w:u w:val="none"/>
                <w:lang w:eastAsia="zh-CN" w:bidi="ar"/>
              </w:rPr>
            </w:pPr>
            <w:r>
              <w:rPr>
                <w:rFonts w:hint="eastAsia" w:ascii="宋体" w:hAnsi="宋体" w:cstheme="minorBidi"/>
                <w:bCs w:val="0"/>
                <w:color w:val="auto"/>
                <w:kern w:val="2"/>
                <w:sz w:val="24"/>
                <w:szCs w:val="24"/>
                <w:highlight w:val="yellow"/>
                <w:u w:val="none"/>
                <w:lang w:eastAsia="zh-CN" w:bidi="ar"/>
              </w:rPr>
              <w:t>【】</w:t>
            </w:r>
          </w:p>
        </w:tc>
      </w:tr>
      <w:tr w14:paraId="6607EB97">
        <w:tblPrEx>
          <w:tblCellMar>
            <w:top w:w="0" w:type="dxa"/>
            <w:left w:w="108" w:type="dxa"/>
            <w:bottom w:w="0" w:type="dxa"/>
            <w:right w:w="108" w:type="dxa"/>
          </w:tblCellMar>
        </w:tblPrEx>
        <w:trPr>
          <w:trHeight w:val="328" w:hRule="atLeast"/>
        </w:trPr>
        <w:tc>
          <w:tcPr>
            <w:tcW w:w="2453" w:type="dxa"/>
            <w:tcBorders>
              <w:top w:val="single" w:color="auto" w:sz="4" w:space="0"/>
              <w:left w:val="single" w:color="auto" w:sz="4" w:space="0"/>
              <w:bottom w:val="single" w:color="auto" w:sz="4" w:space="0"/>
              <w:right w:val="single" w:color="auto" w:sz="4" w:space="0"/>
            </w:tcBorders>
            <w:vAlign w:val="center"/>
          </w:tcPr>
          <w:p w14:paraId="6D29D544">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投资周期</w:t>
            </w:r>
          </w:p>
        </w:tc>
        <w:tc>
          <w:tcPr>
            <w:tcW w:w="6972" w:type="dxa"/>
            <w:tcBorders>
              <w:top w:val="single" w:color="auto" w:sz="4" w:space="0"/>
              <w:left w:val="single" w:color="auto" w:sz="4" w:space="0"/>
              <w:bottom w:val="single" w:color="auto" w:sz="4" w:space="0"/>
              <w:right w:val="single" w:color="auto" w:sz="4" w:space="0"/>
            </w:tcBorders>
            <w:vAlign w:val="center"/>
          </w:tcPr>
          <w:p w14:paraId="11117634">
            <w:pPr>
              <w:widowControl/>
              <w:spacing w:line="400" w:lineRule="exact"/>
              <w:jc w:val="left"/>
              <w:textAlignment w:val="center"/>
              <w:rPr>
                <w:rFonts w:hint="eastAsia" w:ascii="宋体" w:hAnsi="宋体" w:eastAsia="仿宋_GB2312" w:cstheme="minorBidi"/>
                <w:bCs w:val="0"/>
                <w:color w:val="auto"/>
                <w:sz w:val="24"/>
                <w:szCs w:val="24"/>
                <w:highlight w:val="none"/>
                <w:u w:val="none"/>
              </w:rPr>
            </w:pPr>
            <w:r>
              <w:rPr>
                <w:rFonts w:hint="eastAsia" w:ascii="宋体" w:hAnsi="宋体" w:cstheme="minorBidi"/>
                <w:bCs w:val="0"/>
                <w:color w:val="auto"/>
                <w:kern w:val="2"/>
                <w:sz w:val="24"/>
                <w:szCs w:val="24"/>
                <w:highlight w:val="yellow"/>
                <w:u w:val="none"/>
                <w:lang w:eastAsia="zh-CN" w:bidi="ar"/>
              </w:rPr>
              <w:t>【每</w:t>
            </w:r>
            <w:r>
              <w:rPr>
                <w:rFonts w:hint="eastAsia" w:ascii="宋体" w:hAnsi="宋体" w:cstheme="minorBidi"/>
                <w:bCs w:val="0"/>
                <w:color w:val="auto"/>
                <w:kern w:val="2"/>
                <w:sz w:val="24"/>
                <w:szCs w:val="24"/>
                <w:highlight w:val="yellow"/>
                <w:u w:val="none"/>
                <w:lang w:val="en-US" w:eastAsia="zh-CN" w:bidi="ar"/>
              </w:rPr>
              <w:t>x天/周/月/年</w:t>
            </w:r>
            <w:r>
              <w:rPr>
                <w:rFonts w:hint="eastAsia" w:ascii="宋体" w:hAnsi="宋体" w:cstheme="minorBidi"/>
                <w:bCs w:val="0"/>
                <w:color w:val="auto"/>
                <w:kern w:val="2"/>
                <w:sz w:val="24"/>
                <w:szCs w:val="24"/>
                <w:highlight w:val="yellow"/>
                <w:u w:val="none"/>
                <w:lang w:eastAsia="zh-CN" w:bidi="ar"/>
              </w:rPr>
              <w:t>】</w:t>
            </w:r>
          </w:p>
        </w:tc>
      </w:tr>
      <w:tr w14:paraId="7569EBE6">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4CB3E250">
            <w:pPr>
              <w:widowControl/>
              <w:spacing w:line="400" w:lineRule="exact"/>
              <w:jc w:val="center"/>
              <w:textAlignment w:val="center"/>
              <w:rPr>
                <w:rFonts w:hint="eastAsia" w:ascii="楷体_GB2312" w:hAnsi="等线" w:eastAsia="楷体_GB2312" w:cs="楷体_GB2312"/>
                <w:b/>
                <w:bCs/>
                <w:color w:val="000000" w:themeColor="text1"/>
                <w:sz w:val="24"/>
                <w14:textFill>
                  <w14:solidFill>
                    <w14:schemeClr w14:val="tx1"/>
                  </w14:solidFill>
                </w14:textFill>
              </w:rPr>
            </w:pPr>
            <w:r>
              <w:rPr>
                <w:rFonts w:hint="eastAsia" w:ascii="楷体_GB2312" w:hAnsi="等线" w:eastAsia="楷体_GB2312" w:cs="楷体_GB2312"/>
                <w:b/>
                <w:bCs/>
                <w:color w:val="000000" w:themeColor="text1"/>
                <w:kern w:val="0"/>
                <w:sz w:val="24"/>
                <w:lang w:bidi="ar"/>
                <w14:textFill>
                  <w14:solidFill>
                    <w14:schemeClr w14:val="tx1"/>
                  </w14:solidFill>
                </w14:textFill>
              </w:rPr>
              <w:t>（五）产品费用</w:t>
            </w:r>
          </w:p>
        </w:tc>
      </w:tr>
      <w:tr w14:paraId="61AE4B7F">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6C27B374">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销售</w:t>
            </w:r>
            <w:r>
              <w:rPr>
                <w:rFonts w:hint="eastAsia" w:ascii="仿宋_GB2312" w:hAnsi="等线" w:cs="仿宋_GB2312"/>
                <w:color w:val="000000" w:themeColor="text1"/>
                <w:kern w:val="0"/>
                <w:sz w:val="24"/>
                <w:lang w:eastAsia="zh-CN" w:bidi="ar"/>
                <w14:textFill>
                  <w14:solidFill>
                    <w14:schemeClr w14:val="tx1"/>
                  </w14:solidFill>
                </w14:textFill>
              </w:rPr>
              <w:t>服务</w:t>
            </w:r>
            <w:r>
              <w:rPr>
                <w:rFonts w:hint="eastAsia" w:ascii="仿宋_GB2312" w:hAnsi="等线" w:eastAsia="仿宋_GB2312" w:cs="仿宋_GB2312"/>
                <w:color w:val="000000" w:themeColor="text1"/>
                <w:kern w:val="0"/>
                <w:sz w:val="24"/>
                <w:lang w:bidi="ar"/>
                <w14:textFill>
                  <w14:solidFill>
                    <w14:schemeClr w14:val="tx1"/>
                  </w14:solidFill>
                </w14:textFill>
              </w:rPr>
              <w:t>费率（年化）</w:t>
            </w:r>
          </w:p>
        </w:tc>
        <w:tc>
          <w:tcPr>
            <w:tcW w:w="6972" w:type="dxa"/>
            <w:tcBorders>
              <w:top w:val="single" w:color="auto" w:sz="4" w:space="0"/>
              <w:left w:val="single" w:color="auto" w:sz="4" w:space="0"/>
              <w:bottom w:val="single" w:color="auto" w:sz="4" w:space="0"/>
              <w:right w:val="single" w:color="auto" w:sz="4" w:space="0"/>
            </w:tcBorders>
            <w:vAlign w:val="center"/>
          </w:tcPr>
          <w:p w14:paraId="5618FE3F">
            <w:pPr>
              <w:widowControl/>
              <w:spacing w:line="400" w:lineRule="exact"/>
              <w:jc w:val="left"/>
              <w:textAlignment w:val="center"/>
              <w:rPr>
                <w:rFonts w:hint="default" w:ascii="宋体" w:hAnsi="宋体"/>
                <w:color w:val="auto"/>
                <w:szCs w:val="24"/>
                <w:highlight w:val="none"/>
                <w:u w:val="none"/>
                <w:lang w:val="en-US" w:eastAsia="zh-CN"/>
              </w:rPr>
            </w:pPr>
            <w:r>
              <w:rPr>
                <w:rFonts w:hint="eastAsia" w:ascii="宋体" w:hAnsi="宋体" w:cstheme="minorBidi"/>
                <w:bCs w:val="0"/>
                <w:color w:val="auto"/>
                <w:kern w:val="2"/>
                <w:sz w:val="24"/>
                <w:szCs w:val="24"/>
                <w:highlight w:val="yellow"/>
                <w:u w:val="none"/>
                <w:lang w:eastAsia="zh-CN" w:bidi="ar"/>
              </w:rPr>
              <w:t>【份额代码】</w:t>
            </w:r>
            <w:r>
              <w:rPr>
                <w:rFonts w:hint="eastAsia" w:ascii="宋体" w:hAnsi="宋体"/>
                <w:color w:val="auto"/>
                <w:szCs w:val="24"/>
                <w:highlight w:val="none"/>
                <w:u w:val="none"/>
                <w:lang w:val="en-US" w:eastAsia="zh-CN"/>
              </w:rPr>
              <w:t>：</w:t>
            </w:r>
            <w:r>
              <w:rPr>
                <w:rFonts w:hint="eastAsia" w:ascii="宋体" w:hAnsi="宋体" w:cstheme="minorBidi"/>
                <w:bCs w:val="0"/>
                <w:color w:val="auto"/>
                <w:kern w:val="2"/>
                <w:sz w:val="24"/>
                <w:szCs w:val="24"/>
                <w:highlight w:val="yellow"/>
                <w:u w:val="none"/>
                <w:lang w:eastAsia="zh-CN" w:bidi="ar"/>
              </w:rPr>
              <w:t>【费率】</w:t>
            </w:r>
          </w:p>
          <w:p w14:paraId="6B295636">
            <w:pPr>
              <w:widowControl/>
              <w:spacing w:line="400" w:lineRule="exact"/>
              <w:jc w:val="left"/>
              <w:textAlignment w:val="center"/>
              <w:rPr>
                <w:rFonts w:hint="default" w:ascii="仿宋_GB2312" w:hAnsi="等线" w:eastAsia="仿宋_GB2312" w:cs="仿宋_GB2312"/>
                <w:bCs/>
                <w:color w:val="000000" w:themeColor="text1"/>
                <w:sz w:val="24"/>
                <w:lang w:val="en-US"/>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r>
              <w:rPr>
                <w:rFonts w:hint="eastAsia" w:ascii="宋体" w:hAnsi="宋体"/>
                <w:color w:val="auto"/>
                <w:szCs w:val="24"/>
                <w:highlight w:val="none"/>
                <w:u w:val="none"/>
                <w:lang w:val="en-US" w:eastAsia="zh-CN"/>
              </w:rPr>
              <w:t>：</w:t>
            </w:r>
            <w:r>
              <w:rPr>
                <w:rFonts w:hint="eastAsia" w:ascii="宋体" w:hAnsi="宋体" w:cstheme="minorBidi"/>
                <w:bCs w:val="0"/>
                <w:color w:val="auto"/>
                <w:kern w:val="2"/>
                <w:sz w:val="24"/>
                <w:szCs w:val="24"/>
                <w:highlight w:val="yellow"/>
                <w:u w:val="none"/>
                <w:lang w:eastAsia="zh-CN" w:bidi="ar"/>
              </w:rPr>
              <w:t>【】</w:t>
            </w:r>
          </w:p>
        </w:tc>
      </w:tr>
      <w:tr w14:paraId="16F139FF">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2CF5F103">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托管费率（年化）</w:t>
            </w:r>
          </w:p>
        </w:tc>
        <w:tc>
          <w:tcPr>
            <w:tcW w:w="6972" w:type="dxa"/>
            <w:tcBorders>
              <w:top w:val="single" w:color="auto" w:sz="4" w:space="0"/>
              <w:left w:val="single" w:color="auto" w:sz="4" w:space="0"/>
              <w:bottom w:val="single" w:color="auto" w:sz="4" w:space="0"/>
              <w:right w:val="single" w:color="auto" w:sz="4" w:space="0"/>
            </w:tcBorders>
            <w:vAlign w:val="center"/>
          </w:tcPr>
          <w:p w14:paraId="3F2BA7AC">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【费率】</w:t>
            </w:r>
          </w:p>
        </w:tc>
      </w:tr>
      <w:tr w14:paraId="43651E6C">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33932CAC">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固定</w:t>
            </w:r>
            <w:r>
              <w:rPr>
                <w:rFonts w:hint="eastAsia" w:ascii="仿宋_GB2312" w:hAnsi="等线" w:eastAsia="仿宋_GB2312" w:cs="仿宋_GB2312"/>
                <w:color w:val="000000" w:themeColor="text1"/>
                <w:kern w:val="0"/>
                <w:sz w:val="24"/>
                <w:lang w:bidi="ar"/>
                <w14:textFill>
                  <w14:solidFill>
                    <w14:schemeClr w14:val="tx1"/>
                  </w14:solidFill>
                </w14:textFill>
              </w:rPr>
              <w:t>管理费率（年化）</w:t>
            </w:r>
          </w:p>
        </w:tc>
        <w:tc>
          <w:tcPr>
            <w:tcW w:w="6972" w:type="dxa"/>
            <w:tcBorders>
              <w:top w:val="single" w:color="auto" w:sz="4" w:space="0"/>
              <w:left w:val="single" w:color="auto" w:sz="4" w:space="0"/>
              <w:bottom w:val="single" w:color="auto" w:sz="4" w:space="0"/>
              <w:right w:val="single" w:color="auto" w:sz="4" w:space="0"/>
            </w:tcBorders>
            <w:vAlign w:val="center"/>
          </w:tcPr>
          <w:p w14:paraId="520AD0ED">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【费率】</w:t>
            </w:r>
          </w:p>
        </w:tc>
      </w:tr>
      <w:tr w14:paraId="07A67B76">
        <w:tblPrEx>
          <w:tblCellMar>
            <w:top w:w="0" w:type="dxa"/>
            <w:left w:w="108" w:type="dxa"/>
            <w:bottom w:w="0" w:type="dxa"/>
            <w:right w:w="108" w:type="dxa"/>
          </w:tblCellMar>
        </w:tblPrEx>
        <w:trPr>
          <w:trHeight w:val="810" w:hRule="atLeast"/>
        </w:trPr>
        <w:tc>
          <w:tcPr>
            <w:tcW w:w="2453" w:type="dxa"/>
            <w:tcBorders>
              <w:top w:val="single" w:color="auto" w:sz="4" w:space="0"/>
              <w:left w:val="single" w:color="auto" w:sz="4" w:space="0"/>
              <w:bottom w:val="single" w:color="auto" w:sz="4" w:space="0"/>
              <w:right w:val="single" w:color="auto" w:sz="4" w:space="0"/>
            </w:tcBorders>
            <w:vAlign w:val="center"/>
          </w:tcPr>
          <w:p w14:paraId="3002B833">
            <w:pPr>
              <w:widowControl/>
              <w:spacing w:line="400" w:lineRule="exact"/>
              <w:jc w:val="center"/>
              <w:textAlignment w:val="center"/>
              <w:rPr>
                <w:rFonts w:hint="eastAsia" w:ascii="仿宋_GB2312" w:hAnsi="等线" w:eastAsia="仿宋_GB2312" w:cs="仿宋_GB2312"/>
                <w:color w:val="000000" w:themeColor="text1"/>
                <w:sz w:val="24"/>
                <w:lang w:eastAsia="zh-CN"/>
                <w14:textFill>
                  <w14:solidFill>
                    <w14:schemeClr w14:val="tx1"/>
                  </w14:solidFill>
                </w14:textFill>
              </w:rPr>
            </w:pPr>
            <w:r>
              <w:rPr>
                <w:rFonts w:hint="eastAsia" w:ascii="仿宋_GB2312" w:hAnsi="等线" w:cs="仿宋_GB2312"/>
                <w:color w:val="auto"/>
                <w:kern w:val="0"/>
                <w:sz w:val="24"/>
                <w:highlight w:val="none"/>
                <w:lang w:eastAsia="zh-CN" w:bidi="ar"/>
              </w:rPr>
              <w:t>浮动管理费</w:t>
            </w:r>
          </w:p>
        </w:tc>
        <w:tc>
          <w:tcPr>
            <w:tcW w:w="6972" w:type="dxa"/>
            <w:tcBorders>
              <w:top w:val="single" w:color="auto" w:sz="4" w:space="0"/>
              <w:left w:val="single" w:color="auto" w:sz="4" w:space="0"/>
              <w:bottom w:val="single" w:color="auto" w:sz="4" w:space="0"/>
              <w:right w:val="single" w:color="auto" w:sz="4" w:space="0"/>
            </w:tcBorders>
            <w:vAlign w:val="center"/>
          </w:tcPr>
          <w:p w14:paraId="72E1CCDE">
            <w:pPr>
              <w:widowControl/>
              <w:tabs>
                <w:tab w:val="left" w:pos="312"/>
              </w:tabs>
              <w:jc w:val="left"/>
              <w:rPr>
                <w:rFonts w:hint="eastAsia" w:ascii="宋体" w:hAnsi="宋体"/>
                <w:b/>
                <w:color w:val="auto"/>
                <w:szCs w:val="24"/>
                <w:highlight w:val="yellow"/>
                <w:lang w:eastAsia="zh-CN"/>
              </w:rPr>
            </w:pPr>
            <w:r>
              <w:rPr>
                <w:rFonts w:hint="eastAsia" w:ascii="宋体" w:hAnsi="宋体"/>
                <w:b/>
                <w:color w:val="auto"/>
                <w:szCs w:val="24"/>
                <w:highlight w:val="yellow"/>
                <w:lang w:eastAsia="zh-CN"/>
              </w:rPr>
              <w:t>【□</w:t>
            </w:r>
            <w:r>
              <w:rPr>
                <w:rFonts w:hint="eastAsia" w:ascii="宋体" w:hAnsi="宋体"/>
                <w:b/>
                <w:color w:val="auto"/>
                <w:szCs w:val="24"/>
                <w:highlight w:val="yellow"/>
              </w:rPr>
              <w:t xml:space="preserve"> 产品管理人</w:t>
            </w:r>
            <w:r>
              <w:rPr>
                <w:rFonts w:hint="eastAsia" w:ascii="宋体" w:hAnsi="宋体"/>
                <w:b/>
                <w:color w:val="auto"/>
                <w:szCs w:val="24"/>
                <w:highlight w:val="yellow"/>
                <w:lang w:eastAsia="zh-CN"/>
              </w:rPr>
              <w:t>设置浮动管理费</w:t>
            </w:r>
          </w:p>
          <w:p w14:paraId="1D8D1B9F">
            <w:pPr>
              <w:widowControl/>
              <w:tabs>
                <w:tab w:val="left" w:pos="312"/>
              </w:tabs>
              <w:jc w:val="left"/>
              <w:rPr>
                <w:rFonts w:hint="eastAsia" w:ascii="宋体" w:hAnsi="宋体"/>
                <w:b/>
                <w:color w:val="auto"/>
                <w:szCs w:val="24"/>
                <w:highlight w:val="yellow"/>
                <w:lang w:eastAsia="zh-CN"/>
              </w:rPr>
            </w:pPr>
          </w:p>
          <w:p w14:paraId="02D1ABC7">
            <w:pPr>
              <w:widowControl/>
              <w:tabs>
                <w:tab w:val="left" w:pos="312"/>
              </w:tabs>
              <w:jc w:val="left"/>
              <w:rPr>
                <w:rFonts w:hint="eastAsia" w:ascii="宋体" w:hAnsi="宋体"/>
                <w:b/>
                <w:color w:val="auto"/>
                <w:szCs w:val="24"/>
                <w:highlight w:val="yellow"/>
                <w:lang w:eastAsia="zh-CN"/>
              </w:rPr>
            </w:pPr>
            <w:r>
              <w:rPr>
                <w:rFonts w:hint="eastAsia" w:ascii="宋体" w:hAnsi="宋体"/>
                <w:b/>
                <w:color w:val="auto"/>
                <w:szCs w:val="24"/>
                <w:highlight w:val="yellow"/>
                <w:lang w:eastAsia="zh-CN"/>
              </w:rPr>
              <w:t>□</w:t>
            </w:r>
            <w:r>
              <w:rPr>
                <w:rFonts w:hint="eastAsia" w:ascii="宋体" w:hAnsi="宋体"/>
                <w:b/>
                <w:color w:val="auto"/>
                <w:szCs w:val="24"/>
                <w:highlight w:val="yellow"/>
              </w:rPr>
              <w:t xml:space="preserve"> 产品管理人不设</w:t>
            </w:r>
            <w:r>
              <w:rPr>
                <w:rFonts w:hint="eastAsia" w:ascii="宋体" w:hAnsi="宋体"/>
                <w:b/>
                <w:color w:val="auto"/>
                <w:szCs w:val="24"/>
                <w:highlight w:val="yellow"/>
                <w:lang w:eastAsia="zh-CN"/>
              </w:rPr>
              <w:t>浮动管理费】</w:t>
            </w:r>
          </w:p>
          <w:p w14:paraId="41E567F8">
            <w:pPr>
              <w:widowControl/>
              <w:jc w:val="left"/>
              <w:rPr>
                <w:rFonts w:hint="eastAsia" w:ascii="宋体" w:hAnsi="宋体" w:eastAsia="仿宋_GB2312"/>
                <w:b/>
                <w:color w:val="auto"/>
                <w:szCs w:val="24"/>
                <w:highlight w:val="none"/>
                <w:lang w:eastAsia="zh-CN"/>
              </w:rPr>
            </w:pPr>
            <w:r>
              <w:rPr>
                <w:rFonts w:hint="eastAsia" w:ascii="宋体" w:hAnsi="宋体"/>
                <w:b/>
                <w:color w:val="auto"/>
                <w:szCs w:val="24"/>
                <w:highlight w:val="none"/>
                <w:lang w:eastAsia="zh-CN"/>
              </w:rPr>
              <w:t>浮动管理费计提基准：</w:t>
            </w:r>
            <w:r>
              <w:rPr>
                <w:rFonts w:hint="eastAsia" w:ascii="宋体" w:hAnsi="宋体"/>
                <w:b/>
                <w:color w:val="auto"/>
                <w:szCs w:val="24"/>
                <w:highlight w:val="yellow"/>
                <w:lang w:eastAsia="zh-CN"/>
              </w:rPr>
              <w:t>【】</w:t>
            </w:r>
          </w:p>
          <w:p w14:paraId="18072314">
            <w:pPr>
              <w:snapToGrid w:val="0"/>
              <w:jc w:val="left"/>
              <w:rPr>
                <w:rFonts w:ascii="宋体" w:hAnsi="宋体"/>
                <w:b/>
                <w:color w:val="auto"/>
                <w:szCs w:val="24"/>
                <w:highlight w:val="none"/>
              </w:rPr>
            </w:pP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计提基准的提示：</w:t>
            </w:r>
          </w:p>
          <w:p w14:paraId="5D81E116">
            <w:pPr>
              <w:snapToGrid w:val="0"/>
              <w:jc w:val="left"/>
              <w:rPr>
                <w:rFonts w:ascii="宋体" w:hAnsi="宋体"/>
                <w:b/>
                <w:color w:val="auto"/>
                <w:szCs w:val="24"/>
                <w:highlight w:val="none"/>
              </w:rPr>
            </w:pPr>
            <w:r>
              <w:rPr>
                <w:rFonts w:hint="eastAsia" w:ascii="宋体" w:hAnsi="宋体"/>
                <w:b/>
                <w:color w:val="auto"/>
                <w:szCs w:val="24"/>
                <w:highlight w:val="none"/>
              </w:rPr>
              <w:t>（1）</w:t>
            </w:r>
            <w:r>
              <w:rPr>
                <w:rFonts w:hint="eastAsia" w:ascii="宋体" w:hAnsi="宋体"/>
                <w:b/>
                <w:color w:val="auto"/>
                <w:szCs w:val="24"/>
                <w:highlight w:val="none"/>
                <w:lang w:eastAsia="zh-CN"/>
              </w:rPr>
              <w:t>浮动管理费计</w:t>
            </w:r>
            <w:r>
              <w:rPr>
                <w:rFonts w:hint="eastAsia" w:ascii="宋体" w:hAnsi="宋体"/>
                <w:b/>
                <w:color w:val="auto"/>
                <w:szCs w:val="24"/>
                <w:highlight w:val="none"/>
              </w:rPr>
              <w:t>提基准仅作为管理人计算</w:t>
            </w:r>
            <w:r>
              <w:rPr>
                <w:rFonts w:hint="eastAsia" w:ascii="宋体" w:hAnsi="宋体"/>
                <w:b/>
                <w:color w:val="auto"/>
                <w:szCs w:val="24"/>
                <w:highlight w:val="none"/>
                <w:lang w:eastAsia="zh-CN"/>
              </w:rPr>
              <w:t>浮动管理费</w:t>
            </w:r>
            <w:r>
              <w:rPr>
                <w:rFonts w:hint="eastAsia" w:ascii="宋体" w:hAnsi="宋体"/>
                <w:b/>
                <w:color w:val="auto"/>
                <w:szCs w:val="24"/>
                <w:highlight w:val="none"/>
              </w:rPr>
              <w:t>的参照标准。</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计提基准不是预期收益率，不代表产品的未来表现和实际收益，不构成对产品收益的承诺。</w:t>
            </w:r>
          </w:p>
          <w:p w14:paraId="424A2158">
            <w:pPr>
              <w:widowControl/>
              <w:spacing w:line="400" w:lineRule="exact"/>
              <w:jc w:val="left"/>
              <w:textAlignment w:val="center"/>
              <w:rPr>
                <w:rFonts w:hint="eastAsia" w:ascii="仿宋" w:hAnsi="仿宋" w:eastAsia="仿宋" w:cs="宋体"/>
                <w:bCs/>
                <w:color w:val="000000" w:themeColor="text1"/>
                <w:kern w:val="0"/>
                <w:sz w:val="24"/>
                <w:lang w:bidi="ar"/>
                <w14:textFill>
                  <w14:solidFill>
                    <w14:schemeClr w14:val="tx1"/>
                  </w14:solidFill>
                </w14:textFill>
              </w:rPr>
            </w:pPr>
            <w:r>
              <w:rPr>
                <w:rFonts w:hint="eastAsia" w:ascii="宋体" w:hAnsi="宋体"/>
                <w:b/>
                <w:color w:val="auto"/>
                <w:szCs w:val="24"/>
                <w:highlight w:val="none"/>
              </w:rPr>
              <w:t>（2）如果法律法规、</w:t>
            </w:r>
            <w:r>
              <w:rPr>
                <w:rFonts w:ascii="宋体" w:hAnsi="宋体"/>
                <w:b/>
                <w:color w:val="auto"/>
                <w:szCs w:val="24"/>
                <w:highlight w:val="none"/>
              </w:rPr>
              <w:t>国家政策</w:t>
            </w:r>
            <w:r>
              <w:rPr>
                <w:rFonts w:hint="eastAsia" w:ascii="宋体" w:hAnsi="宋体"/>
                <w:b/>
                <w:color w:val="auto"/>
                <w:szCs w:val="24"/>
                <w:highlight w:val="none"/>
              </w:rPr>
              <w:t>发生变化，或者有其他代表性更强、更科学客观的</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计提基准适用于本产品时，经产品管理人和产品托管人协商一致后，本产品可以调整</w:t>
            </w:r>
            <w:r>
              <w:rPr>
                <w:rFonts w:hint="eastAsia" w:ascii="宋体" w:hAnsi="宋体"/>
                <w:b/>
                <w:color w:val="auto"/>
                <w:szCs w:val="24"/>
                <w:highlight w:val="none"/>
                <w:lang w:eastAsia="zh-CN"/>
              </w:rPr>
              <w:t>浮动管理费</w:t>
            </w:r>
            <w:r>
              <w:rPr>
                <w:rFonts w:hint="eastAsia" w:ascii="宋体" w:hAnsi="宋体"/>
                <w:b/>
                <w:color w:val="auto"/>
                <w:szCs w:val="24"/>
                <w:highlight w:val="none"/>
              </w:rPr>
              <w:t>计提基准并及时公告。</w:t>
            </w:r>
          </w:p>
        </w:tc>
      </w:tr>
      <w:tr w14:paraId="2C3CAC0A">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5E04582B">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认购费率</w:t>
            </w:r>
          </w:p>
        </w:tc>
        <w:tc>
          <w:tcPr>
            <w:tcW w:w="6972" w:type="dxa"/>
            <w:tcBorders>
              <w:top w:val="single" w:color="auto" w:sz="4" w:space="0"/>
              <w:left w:val="single" w:color="auto" w:sz="4" w:space="0"/>
              <w:bottom w:val="single" w:color="auto" w:sz="4" w:space="0"/>
              <w:right w:val="single" w:color="auto" w:sz="4" w:space="0"/>
            </w:tcBorders>
            <w:vAlign w:val="center"/>
          </w:tcPr>
          <w:p w14:paraId="2ED2FDAE">
            <w:pPr>
              <w:widowControl/>
              <w:spacing w:line="400" w:lineRule="exact"/>
              <w:jc w:val="left"/>
              <w:textAlignment w:val="center"/>
              <w:rPr>
                <w:rFonts w:hint="eastAsia" w:ascii="仿宋_GB2312" w:hAnsi="等线" w:eastAsia="仿宋_GB2312" w:cs="仿宋_GB2312"/>
                <w:bCs/>
                <w:color w:val="000000" w:themeColor="text1"/>
                <w:sz w:val="24"/>
                <w:lang w:val="en-US" w:eastAsia="zh-CN"/>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5F4A60FA">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738961C3">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申购费率</w:t>
            </w:r>
          </w:p>
        </w:tc>
        <w:tc>
          <w:tcPr>
            <w:tcW w:w="6972" w:type="dxa"/>
            <w:tcBorders>
              <w:top w:val="single" w:color="auto" w:sz="4" w:space="0"/>
              <w:left w:val="single" w:color="auto" w:sz="4" w:space="0"/>
              <w:bottom w:val="single" w:color="auto" w:sz="4" w:space="0"/>
              <w:right w:val="single" w:color="auto" w:sz="4" w:space="0"/>
            </w:tcBorders>
            <w:vAlign w:val="center"/>
          </w:tcPr>
          <w:p w14:paraId="7CA0127A">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68B5B086">
        <w:tblPrEx>
          <w:tblCellMar>
            <w:top w:w="0" w:type="dxa"/>
            <w:left w:w="108" w:type="dxa"/>
            <w:bottom w:w="0" w:type="dxa"/>
            <w:right w:w="108" w:type="dxa"/>
          </w:tblCellMar>
        </w:tblPrEx>
        <w:trPr>
          <w:trHeight w:val="540" w:hRule="atLeast"/>
        </w:trPr>
        <w:tc>
          <w:tcPr>
            <w:tcW w:w="2453" w:type="dxa"/>
            <w:tcBorders>
              <w:top w:val="single" w:color="auto" w:sz="4" w:space="0"/>
              <w:left w:val="single" w:color="auto" w:sz="4" w:space="0"/>
              <w:bottom w:val="single" w:color="auto" w:sz="4" w:space="0"/>
              <w:right w:val="single" w:color="auto" w:sz="4" w:space="0"/>
            </w:tcBorders>
            <w:vAlign w:val="center"/>
          </w:tcPr>
          <w:p w14:paraId="68E52644">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赎回费率</w:t>
            </w:r>
          </w:p>
        </w:tc>
        <w:tc>
          <w:tcPr>
            <w:tcW w:w="6972" w:type="dxa"/>
            <w:tcBorders>
              <w:top w:val="single" w:color="auto" w:sz="4" w:space="0"/>
              <w:left w:val="single" w:color="auto" w:sz="4" w:space="0"/>
              <w:bottom w:val="single" w:color="auto" w:sz="4" w:space="0"/>
              <w:right w:val="single" w:color="auto" w:sz="4" w:space="0"/>
            </w:tcBorders>
            <w:vAlign w:val="center"/>
          </w:tcPr>
          <w:p w14:paraId="29EF43DA">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782D97EE">
        <w:tblPrEx>
          <w:tblCellMar>
            <w:top w:w="0" w:type="dxa"/>
            <w:left w:w="108" w:type="dxa"/>
            <w:bottom w:w="0" w:type="dxa"/>
            <w:right w:w="108" w:type="dxa"/>
          </w:tblCellMar>
        </w:tblPrEx>
        <w:trPr>
          <w:trHeight w:val="830" w:hRule="atLeast"/>
        </w:trPr>
        <w:tc>
          <w:tcPr>
            <w:tcW w:w="2453" w:type="dxa"/>
            <w:tcBorders>
              <w:top w:val="single" w:color="auto" w:sz="4" w:space="0"/>
              <w:left w:val="single" w:color="auto" w:sz="4" w:space="0"/>
              <w:bottom w:val="single" w:color="auto" w:sz="4" w:space="0"/>
              <w:right w:val="single" w:color="auto" w:sz="4" w:space="0"/>
            </w:tcBorders>
            <w:vAlign w:val="center"/>
          </w:tcPr>
          <w:p w14:paraId="7AD3CF8A">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其他费用说明</w:t>
            </w:r>
          </w:p>
        </w:tc>
        <w:tc>
          <w:tcPr>
            <w:tcW w:w="6972" w:type="dxa"/>
            <w:tcBorders>
              <w:top w:val="single" w:color="auto" w:sz="4" w:space="0"/>
              <w:left w:val="single" w:color="auto" w:sz="4" w:space="0"/>
              <w:bottom w:val="single" w:color="auto" w:sz="4" w:space="0"/>
              <w:right w:val="single" w:color="auto" w:sz="4" w:space="0"/>
            </w:tcBorders>
            <w:vAlign w:val="center"/>
          </w:tcPr>
          <w:p w14:paraId="10FEFB9A">
            <w:pPr>
              <w:widowControl/>
              <w:spacing w:line="400" w:lineRule="exact"/>
              <w:jc w:val="left"/>
              <w:textAlignment w:val="center"/>
              <w:rPr>
                <w:rFonts w:hint="eastAsia" w:ascii="宋体" w:hAnsi="宋体"/>
                <w:color w:val="auto"/>
                <w:szCs w:val="24"/>
                <w:highlight w:val="none"/>
                <w:u w:val="none"/>
              </w:rPr>
            </w:pPr>
            <w:r>
              <w:rPr>
                <w:rFonts w:hint="eastAsia" w:ascii="宋体" w:hAnsi="宋体"/>
                <w:color w:val="auto"/>
                <w:szCs w:val="24"/>
                <w:highlight w:val="none"/>
                <w:u w:val="none"/>
              </w:rPr>
              <w:t>产品管理人保留调整上述理财产品收取费率标准的权利。以上费用精确到小数点后2位，小数点2位以后四舍五入。</w:t>
            </w:r>
          </w:p>
          <w:p w14:paraId="1083F6D8">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b/>
                <w:bCs/>
                <w:color w:val="auto"/>
                <w:szCs w:val="24"/>
                <w:highlight w:val="none"/>
                <w:u w:val="none"/>
                <w:lang w:eastAsia="zh-CN"/>
              </w:rPr>
              <w:t>其他费用说明</w:t>
            </w:r>
            <w:r>
              <w:rPr>
                <w:rFonts w:hint="eastAsia" w:ascii="宋体" w:hAnsi="宋体"/>
                <w:b/>
                <w:bCs/>
                <w:color w:val="auto"/>
                <w:szCs w:val="24"/>
                <w:highlight w:val="none"/>
                <w:u w:val="none"/>
              </w:rPr>
              <w:t>详见</w:t>
            </w:r>
            <w:r>
              <w:rPr>
                <w:rFonts w:ascii="宋体" w:hAnsi="宋体"/>
                <w:b/>
                <w:bCs/>
                <w:color w:val="auto"/>
                <w:szCs w:val="24"/>
                <w:highlight w:val="none"/>
                <w:u w:val="none"/>
              </w:rPr>
              <w:t>第</w:t>
            </w:r>
            <w:r>
              <w:rPr>
                <w:rFonts w:hint="eastAsia" w:ascii="宋体" w:hAnsi="宋体"/>
                <w:b/>
                <w:bCs/>
                <w:color w:val="auto"/>
                <w:szCs w:val="24"/>
                <w:highlight w:val="none"/>
                <w:u w:val="none"/>
                <w:lang w:eastAsia="zh-CN"/>
              </w:rPr>
              <w:t>十</w:t>
            </w:r>
            <w:r>
              <w:rPr>
                <w:rFonts w:ascii="宋体" w:hAnsi="宋体"/>
                <w:b/>
                <w:bCs/>
                <w:color w:val="auto"/>
                <w:szCs w:val="24"/>
                <w:highlight w:val="none"/>
                <w:u w:val="none"/>
              </w:rPr>
              <w:t>节</w:t>
            </w:r>
            <w:r>
              <w:rPr>
                <w:rFonts w:hint="eastAsia" w:ascii="宋体" w:hAnsi="宋体"/>
                <w:b/>
                <w:bCs/>
                <w:color w:val="auto"/>
                <w:szCs w:val="24"/>
                <w:highlight w:val="none"/>
                <w:u w:val="none"/>
              </w:rPr>
              <w:t xml:space="preserve"> “理财</w:t>
            </w:r>
            <w:r>
              <w:rPr>
                <w:rFonts w:ascii="宋体" w:hAnsi="宋体"/>
                <w:b/>
                <w:bCs/>
                <w:color w:val="auto"/>
                <w:szCs w:val="24"/>
                <w:highlight w:val="none"/>
                <w:u w:val="none"/>
              </w:rPr>
              <w:t>产品</w:t>
            </w:r>
            <w:r>
              <w:rPr>
                <w:rFonts w:hint="eastAsia" w:ascii="宋体" w:hAnsi="宋体"/>
                <w:b/>
                <w:bCs/>
                <w:color w:val="auto"/>
                <w:szCs w:val="24"/>
                <w:highlight w:val="none"/>
                <w:u w:val="none"/>
                <w:lang w:eastAsia="zh-CN"/>
              </w:rPr>
              <w:t>的</w:t>
            </w:r>
            <w:r>
              <w:rPr>
                <w:rFonts w:ascii="宋体" w:hAnsi="宋体"/>
                <w:b/>
                <w:bCs/>
                <w:color w:val="auto"/>
                <w:szCs w:val="24"/>
                <w:highlight w:val="none"/>
                <w:u w:val="none"/>
              </w:rPr>
              <w:t>费用与税收”</w:t>
            </w:r>
            <w:r>
              <w:rPr>
                <w:rFonts w:hint="eastAsia" w:ascii="宋体" w:hAnsi="宋体"/>
                <w:b/>
                <w:bCs/>
                <w:color w:val="auto"/>
                <w:szCs w:val="24"/>
                <w:highlight w:val="none"/>
                <w:u w:val="none"/>
              </w:rPr>
              <w:t>。</w:t>
            </w:r>
          </w:p>
        </w:tc>
      </w:tr>
      <w:tr w14:paraId="392BE898">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003C706F">
            <w:pPr>
              <w:widowControl/>
              <w:spacing w:line="400" w:lineRule="exact"/>
              <w:jc w:val="center"/>
              <w:textAlignment w:val="center"/>
              <w:rPr>
                <w:rFonts w:hint="eastAsia" w:ascii="楷体_GB2312" w:hAnsi="等线" w:eastAsia="楷体_GB2312" w:cs="楷体_GB2312"/>
                <w:b/>
                <w:bCs/>
                <w:color w:val="000000" w:themeColor="text1"/>
                <w:sz w:val="24"/>
                <w14:textFill>
                  <w14:solidFill>
                    <w14:schemeClr w14:val="tx1"/>
                  </w14:solidFill>
                </w14:textFill>
              </w:rPr>
            </w:pPr>
            <w:r>
              <w:rPr>
                <w:rFonts w:hint="eastAsia" w:ascii="楷体_GB2312" w:hAnsi="等线" w:eastAsia="楷体_GB2312" w:cs="楷体_GB2312"/>
                <w:b/>
                <w:bCs/>
                <w:color w:val="000000" w:themeColor="text1"/>
                <w:kern w:val="0"/>
                <w:sz w:val="24"/>
                <w:lang w:bidi="ar"/>
                <w14:textFill>
                  <w14:solidFill>
                    <w14:schemeClr w14:val="tx1"/>
                  </w14:solidFill>
                </w14:textFill>
              </w:rPr>
              <w:t>（六）业绩比较基准</w:t>
            </w:r>
          </w:p>
        </w:tc>
      </w:tr>
      <w:tr w14:paraId="2300F5A4">
        <w:tblPrEx>
          <w:tblCellMar>
            <w:top w:w="0" w:type="dxa"/>
            <w:left w:w="108" w:type="dxa"/>
            <w:bottom w:w="0" w:type="dxa"/>
            <w:right w:w="108" w:type="dxa"/>
          </w:tblCellMar>
        </w:tblPrEx>
        <w:trPr>
          <w:trHeight w:val="470" w:hRule="atLeast"/>
        </w:trPr>
        <w:tc>
          <w:tcPr>
            <w:tcW w:w="2453" w:type="dxa"/>
            <w:tcBorders>
              <w:top w:val="single" w:color="auto" w:sz="4" w:space="0"/>
              <w:left w:val="single" w:color="auto" w:sz="4" w:space="0"/>
              <w:bottom w:val="single" w:color="auto" w:sz="4" w:space="0"/>
              <w:right w:val="single" w:color="auto" w:sz="4" w:space="0"/>
            </w:tcBorders>
            <w:vAlign w:val="center"/>
          </w:tcPr>
          <w:p w14:paraId="385BAD03">
            <w:pPr>
              <w:widowControl/>
              <w:spacing w:line="40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业绩比较基准</w:t>
            </w:r>
          </w:p>
        </w:tc>
        <w:tc>
          <w:tcPr>
            <w:tcW w:w="6972" w:type="dxa"/>
            <w:tcBorders>
              <w:top w:val="single" w:color="auto" w:sz="4" w:space="0"/>
              <w:left w:val="single" w:color="auto" w:sz="4" w:space="0"/>
              <w:bottom w:val="single" w:color="auto" w:sz="4" w:space="0"/>
              <w:right w:val="single" w:color="auto" w:sz="4" w:space="0"/>
            </w:tcBorders>
            <w:vAlign w:val="center"/>
          </w:tcPr>
          <w:p w14:paraId="0584B51A">
            <w:pPr>
              <w:widowControl/>
              <w:spacing w:line="400" w:lineRule="exact"/>
              <w:jc w:val="left"/>
              <w:textAlignment w:val="center"/>
              <w:rPr>
                <w:rFonts w:hint="eastAsia" w:ascii="宋体" w:hAnsi="宋体"/>
                <w:b/>
                <w:color w:val="auto"/>
                <w:szCs w:val="24"/>
                <w:highlight w:val="none"/>
                <w:u w:val="none"/>
              </w:rPr>
            </w:pPr>
            <w:r>
              <w:rPr>
                <w:rFonts w:hint="eastAsia" w:ascii="宋体" w:hAnsi="宋体"/>
                <w:b/>
                <w:color w:val="auto"/>
                <w:szCs w:val="24"/>
                <w:highlight w:val="none"/>
                <w:u w:val="none"/>
                <w:lang w:val="en-US" w:eastAsia="zh-CN"/>
              </w:rPr>
              <w:t>1.</w:t>
            </w:r>
            <w:r>
              <w:rPr>
                <w:rFonts w:hint="eastAsia" w:ascii="宋体" w:hAnsi="宋体"/>
                <w:b/>
                <w:color w:val="auto"/>
                <w:szCs w:val="24"/>
                <w:highlight w:val="none"/>
                <w:u w:val="none"/>
              </w:rPr>
              <w:t>业绩比较基准设置</w:t>
            </w:r>
          </w:p>
          <w:p w14:paraId="655006D9">
            <w:pPr>
              <w:widowControl/>
              <w:spacing w:line="400" w:lineRule="exact"/>
              <w:jc w:val="left"/>
              <w:textAlignment w:val="center"/>
              <w:rPr>
                <w:rFonts w:ascii="宋体" w:hAnsi="宋体"/>
                <w:b/>
                <w:color w:val="auto"/>
                <w:szCs w:val="24"/>
                <w:highlight w:val="none"/>
                <w:u w:val="none"/>
              </w:rPr>
            </w:pPr>
            <w:r>
              <w:rPr>
                <w:rFonts w:hint="eastAsia" w:ascii="宋体" w:hAnsi="宋体" w:cstheme="minorBidi"/>
                <w:bCs w:val="0"/>
                <w:color w:val="auto"/>
                <w:kern w:val="2"/>
                <w:sz w:val="24"/>
                <w:szCs w:val="24"/>
                <w:highlight w:val="yellow"/>
                <w:u w:val="none"/>
                <w:lang w:eastAsia="zh-CN" w:bidi="ar"/>
              </w:rPr>
              <w:t>【</w:t>
            </w:r>
            <w:r>
              <w:rPr>
                <w:rFonts w:hint="eastAsia" w:ascii="宋体" w:hAnsi="宋体"/>
                <w:b/>
                <w:color w:val="auto"/>
                <w:szCs w:val="24"/>
                <w:highlight w:val="yellow"/>
                <w:u w:val="none"/>
              </w:rPr>
              <w:t>■ 设置业绩比较基准。</w:t>
            </w:r>
          </w:p>
          <w:p w14:paraId="00815536">
            <w:pPr>
              <w:widowControl/>
              <w:spacing w:line="400" w:lineRule="exact"/>
              <w:jc w:val="left"/>
              <w:textAlignment w:val="center"/>
              <w:rPr>
                <w:rFonts w:hint="eastAsia" w:ascii="宋体" w:hAnsi="宋体"/>
                <w:b/>
                <w:color w:val="auto"/>
                <w:szCs w:val="24"/>
                <w:highlight w:val="none"/>
                <w:u w:val="none"/>
                <w:lang w:eastAsia="zh-CN"/>
              </w:rPr>
            </w:pPr>
          </w:p>
          <w:p w14:paraId="30E2B984">
            <w:pPr>
              <w:widowControl/>
              <w:spacing w:line="400" w:lineRule="exact"/>
              <w:jc w:val="left"/>
              <w:textAlignment w:val="center"/>
              <w:rPr>
                <w:rFonts w:hint="eastAsia" w:ascii="宋体" w:hAnsi="宋体"/>
                <w:b/>
                <w:color w:val="auto"/>
                <w:szCs w:val="24"/>
                <w:highlight w:val="none"/>
                <w:u w:val="none"/>
                <w:lang w:eastAsia="zh-CN"/>
              </w:rPr>
            </w:pPr>
            <w:r>
              <w:rPr>
                <w:rFonts w:hint="eastAsia" w:ascii="宋体" w:hAnsi="宋体"/>
                <w:b/>
                <w:color w:val="auto"/>
                <w:szCs w:val="24"/>
                <w:highlight w:val="none"/>
                <w:u w:val="none"/>
              </w:rPr>
              <w:t>□</w:t>
            </w:r>
            <w:r>
              <w:rPr>
                <w:rFonts w:hint="eastAsia" w:ascii="宋体" w:hAnsi="宋体"/>
                <w:b/>
                <w:color w:val="auto"/>
                <w:szCs w:val="24"/>
                <w:highlight w:val="yellow"/>
                <w:u w:val="none"/>
              </w:rPr>
              <w:t xml:space="preserve"> </w:t>
            </w:r>
            <w:r>
              <w:rPr>
                <w:rFonts w:hint="eastAsia" w:ascii="宋体" w:hAnsi="宋体"/>
                <w:b/>
                <w:color w:val="auto"/>
                <w:szCs w:val="24"/>
                <w:highlight w:val="yellow"/>
                <w:u w:val="none"/>
                <w:lang w:eastAsia="zh-CN"/>
              </w:rPr>
              <w:t>无</w:t>
            </w:r>
            <w:r>
              <w:rPr>
                <w:rFonts w:hint="eastAsia" w:ascii="宋体" w:hAnsi="宋体"/>
                <w:b/>
                <w:color w:val="auto"/>
                <w:szCs w:val="24"/>
                <w:highlight w:val="yellow"/>
                <w:u w:val="none"/>
              </w:rPr>
              <w:t>业绩比较基准。</w:t>
            </w:r>
            <w:r>
              <w:rPr>
                <w:rFonts w:hint="eastAsia" w:ascii="宋体" w:hAnsi="宋体" w:cstheme="minorBidi"/>
                <w:bCs w:val="0"/>
                <w:color w:val="auto"/>
                <w:kern w:val="2"/>
                <w:sz w:val="24"/>
                <w:szCs w:val="24"/>
                <w:highlight w:val="yellow"/>
                <w:u w:val="none"/>
                <w:lang w:eastAsia="zh-CN" w:bidi="ar"/>
              </w:rPr>
              <w:t>】</w:t>
            </w:r>
          </w:p>
          <w:p w14:paraId="79BDCB5A">
            <w:pPr>
              <w:widowControl/>
              <w:spacing w:line="400" w:lineRule="exact"/>
              <w:jc w:val="left"/>
              <w:textAlignment w:val="center"/>
              <w:rPr>
                <w:rFonts w:hint="eastAsia" w:ascii="宋体" w:hAnsi="宋体"/>
                <w:b/>
                <w:color w:val="auto"/>
                <w:szCs w:val="24"/>
                <w:highlight w:val="none"/>
                <w:u w:val="none"/>
                <w:lang w:eastAsia="zh-CN"/>
              </w:rPr>
            </w:pPr>
            <w:r>
              <w:rPr>
                <w:rFonts w:hint="eastAsia" w:ascii="宋体" w:hAnsi="宋体"/>
                <w:b/>
                <w:color w:val="auto"/>
                <w:szCs w:val="24"/>
                <w:highlight w:val="none"/>
                <w:u w:val="none"/>
              </w:rPr>
              <w:t>2</w:t>
            </w:r>
            <w:r>
              <w:rPr>
                <w:rFonts w:ascii="宋体" w:hAnsi="宋体"/>
                <w:b/>
                <w:color w:val="auto"/>
                <w:szCs w:val="24"/>
                <w:highlight w:val="none"/>
                <w:u w:val="none"/>
              </w:rPr>
              <w:t>.</w:t>
            </w:r>
            <w:r>
              <w:rPr>
                <w:rFonts w:hint="eastAsia" w:ascii="宋体" w:hAnsi="宋体"/>
                <w:b/>
                <w:color w:val="auto"/>
                <w:szCs w:val="24"/>
                <w:highlight w:val="none"/>
                <w:u w:val="none"/>
              </w:rPr>
              <w:t>业绩</w:t>
            </w:r>
            <w:r>
              <w:rPr>
                <w:rFonts w:ascii="宋体" w:hAnsi="宋体"/>
                <w:b/>
                <w:color w:val="auto"/>
                <w:szCs w:val="24"/>
                <w:highlight w:val="none"/>
                <w:u w:val="none"/>
              </w:rPr>
              <w:t>比较基准</w:t>
            </w:r>
            <w:r>
              <w:rPr>
                <w:rFonts w:hint="eastAsia" w:ascii="宋体" w:hAnsi="宋体"/>
                <w:b/>
                <w:color w:val="auto"/>
                <w:szCs w:val="24"/>
                <w:highlight w:val="none"/>
                <w:u w:val="none"/>
              </w:rPr>
              <w:t>提示</w:t>
            </w:r>
          </w:p>
          <w:p w14:paraId="284F7C67">
            <w:pPr>
              <w:widowControl/>
              <w:spacing w:line="400" w:lineRule="exact"/>
              <w:jc w:val="left"/>
              <w:textAlignment w:val="center"/>
              <w:rPr>
                <w:rFonts w:ascii="宋体" w:hAnsi="宋体"/>
                <w:b/>
                <w:color w:val="auto"/>
                <w:szCs w:val="24"/>
                <w:highlight w:val="none"/>
                <w:u w:val="none"/>
              </w:rPr>
            </w:pPr>
            <w:r>
              <w:rPr>
                <w:rFonts w:hint="eastAsia" w:ascii="宋体" w:hAnsi="宋体"/>
                <w:b/>
                <w:color w:val="auto"/>
                <w:szCs w:val="24"/>
                <w:highlight w:val="none"/>
                <w:u w:val="none"/>
              </w:rPr>
              <w:t>本理财产品为净值型产品，业绩表现将随市场波动，具有不确定性。业绩比较基准是管理人基于投资范围内各类资产的收益率水平、投资比例、市场情况等因素进行静态测算和情景分析所得出和设定的投资目标。</w:t>
            </w:r>
          </w:p>
          <w:p w14:paraId="044FFD46">
            <w:pPr>
              <w:widowControl/>
              <w:snapToGrid/>
              <w:spacing w:line="400" w:lineRule="exact"/>
              <w:jc w:val="left"/>
              <w:textAlignment w:val="center"/>
              <w:rPr>
                <w:rFonts w:ascii="宋体" w:hAnsi="宋体"/>
                <w:b/>
                <w:bCs/>
                <w:color w:val="auto"/>
                <w:szCs w:val="24"/>
                <w:highlight w:val="none"/>
                <w:u w:val="none"/>
              </w:rPr>
            </w:pPr>
            <w:r>
              <w:rPr>
                <w:rFonts w:hint="eastAsia" w:asciiTheme="minorEastAsia" w:hAnsiTheme="minorEastAsia"/>
                <w:color w:val="auto"/>
                <w:kern w:val="0"/>
                <w:szCs w:val="24"/>
                <w:highlight w:val="none"/>
                <w:u w:val="none"/>
              </w:rPr>
              <w:t>本理财产品</w:t>
            </w:r>
            <w:r>
              <w:rPr>
                <w:rFonts w:hint="eastAsia" w:ascii="宋体" w:hAnsi="宋体" w:cstheme="minorBidi"/>
                <w:bCs w:val="0"/>
                <w:color w:val="auto"/>
                <w:kern w:val="2"/>
                <w:sz w:val="24"/>
                <w:szCs w:val="24"/>
                <w:highlight w:val="yellow"/>
                <w:u w:val="none"/>
                <w:lang w:eastAsia="zh-CN" w:bidi="ar"/>
              </w:rPr>
              <w:t>【</w:t>
            </w:r>
            <w:r>
              <w:rPr>
                <w:rFonts w:hint="eastAsia" w:ascii="宋体" w:hAnsi="宋体"/>
                <w:b/>
                <w:color w:val="auto"/>
                <w:szCs w:val="24"/>
                <w:highlight w:val="none"/>
                <w:u w:val="none"/>
              </w:rPr>
              <w:t>投向债权类资产投资比例不低于80%，投向权益类资产、商品及金融衍生品类资产不高于20%</w:t>
            </w:r>
            <w:r>
              <w:rPr>
                <w:rFonts w:hint="eastAsia" w:ascii="宋体" w:hAnsi="宋体"/>
                <w:b/>
                <w:color w:val="auto"/>
                <w:szCs w:val="24"/>
                <w:highlight w:val="none"/>
                <w:u w:val="none"/>
                <w:lang w:eastAsia="zh-CN"/>
              </w:rPr>
              <w:t>。</w:t>
            </w:r>
            <w:r>
              <w:rPr>
                <w:rFonts w:hint="eastAsia" w:ascii="仿宋_GB2312" w:hAnsi="宋体" w:cs="宋体"/>
                <w:bCs/>
                <w:color w:val="auto"/>
                <w:kern w:val="0"/>
                <w:szCs w:val="24"/>
                <w:highlight w:val="none"/>
                <w:u w:val="none"/>
              </w:rPr>
              <w:t>本理财</w:t>
            </w:r>
            <w:r>
              <w:rPr>
                <w:rFonts w:ascii="仿宋_GB2312" w:hAnsi="宋体" w:cs="宋体"/>
                <w:bCs/>
                <w:color w:val="auto"/>
                <w:kern w:val="0"/>
                <w:szCs w:val="24"/>
                <w:highlight w:val="none"/>
                <w:u w:val="none"/>
              </w:rPr>
              <w:t>产品在投资</w:t>
            </w:r>
            <w:r>
              <w:rPr>
                <w:rFonts w:hint="eastAsia" w:ascii="仿宋_GB2312" w:hAnsi="宋体" w:cs="宋体"/>
                <w:bCs/>
                <w:color w:val="auto"/>
                <w:kern w:val="0"/>
                <w:szCs w:val="24"/>
                <w:highlight w:val="none"/>
                <w:u w:val="none"/>
              </w:rPr>
              <w:t>于</w:t>
            </w:r>
            <w:r>
              <w:rPr>
                <w:rFonts w:ascii="仿宋_GB2312" w:hAnsi="宋体" w:cs="宋体"/>
                <w:bCs/>
                <w:color w:val="auto"/>
                <w:kern w:val="0"/>
                <w:szCs w:val="24"/>
                <w:highlight w:val="none"/>
                <w:u w:val="none"/>
              </w:rPr>
              <w:t>商品及金融衍生品类资产之前，管理人应获得相应的业务经营范围或投资交易资格</w:t>
            </w:r>
            <w:r>
              <w:rPr>
                <w:rFonts w:hint="eastAsia" w:ascii="宋体" w:hAnsi="宋体"/>
                <w:b/>
                <w:bCs/>
                <w:color w:val="auto"/>
                <w:szCs w:val="24"/>
                <w:highlight w:val="none"/>
                <w:u w:val="none"/>
              </w:rPr>
              <w:t>，</w:t>
            </w:r>
            <w:r>
              <w:rPr>
                <w:rFonts w:hint="eastAsia" w:ascii="宋体" w:hAnsi="宋体" w:cstheme="minorBidi"/>
                <w:bCs w:val="0"/>
                <w:color w:val="auto"/>
                <w:kern w:val="2"/>
                <w:sz w:val="24"/>
                <w:szCs w:val="24"/>
                <w:highlight w:val="yellow"/>
                <w:u w:val="none"/>
                <w:lang w:eastAsia="zh-CN" w:bidi="ar"/>
              </w:rPr>
              <w:t>】</w:t>
            </w:r>
            <w:r>
              <w:rPr>
                <w:rFonts w:hint="eastAsia" w:ascii="宋体" w:hAnsi="宋体"/>
                <w:b/>
                <w:bCs/>
                <w:color w:val="auto"/>
                <w:szCs w:val="24"/>
                <w:highlight w:val="none"/>
                <w:u w:val="none"/>
              </w:rPr>
              <w:t>管理人根据拟投资资产种类、配置比例、运作策略等因素，结合宏观经济情况和市场趋势的预判分析，综合测算、确定本理财产品的业绩比较基准。</w:t>
            </w:r>
          </w:p>
          <w:p w14:paraId="42CA257E">
            <w:pPr>
              <w:widowControl/>
              <w:snapToGrid/>
              <w:spacing w:line="400" w:lineRule="exact"/>
              <w:jc w:val="left"/>
              <w:textAlignment w:val="center"/>
              <w:rPr>
                <w:rFonts w:asciiTheme="minorEastAsia" w:hAnsiTheme="minorEastAsia" w:cstheme="minorEastAsia"/>
                <w:b/>
                <w:color w:val="auto"/>
                <w:highlight w:val="none"/>
                <w:u w:val="none"/>
              </w:rPr>
            </w:pPr>
            <w:r>
              <w:rPr>
                <w:rFonts w:hint="eastAsia" w:asciiTheme="minorEastAsia" w:hAnsiTheme="minorEastAsia" w:cstheme="minorEastAsia"/>
                <w:b/>
                <w:color w:val="auto"/>
                <w:highlight w:val="none"/>
                <w:u w:val="none"/>
              </w:rPr>
              <w:t>业绩比较基准不是预期收益率，不代表产品的未来表现和实际收益，仅作为业绩参考和</w:t>
            </w:r>
            <w:r>
              <w:rPr>
                <w:rFonts w:asciiTheme="minorEastAsia" w:hAnsiTheme="minorEastAsia" w:cstheme="minorEastAsia"/>
                <w:b/>
                <w:color w:val="auto"/>
                <w:highlight w:val="none"/>
                <w:u w:val="none"/>
              </w:rPr>
              <w:t>计算</w:t>
            </w:r>
            <w:r>
              <w:rPr>
                <w:rFonts w:hint="eastAsia" w:asciiTheme="minorEastAsia" w:hAnsiTheme="minorEastAsia" w:cstheme="minorEastAsia"/>
                <w:b/>
                <w:color w:val="auto"/>
                <w:highlight w:val="none"/>
                <w:u w:val="none"/>
                <w:lang w:eastAsia="zh-CN"/>
              </w:rPr>
              <w:t>浮动管理费</w:t>
            </w:r>
            <w:r>
              <w:rPr>
                <w:rFonts w:hint="eastAsia" w:asciiTheme="minorEastAsia" w:hAnsiTheme="minorEastAsia" w:cstheme="minorEastAsia"/>
                <w:b/>
                <w:color w:val="auto"/>
                <w:highlight w:val="none"/>
                <w:u w:val="none"/>
              </w:rPr>
              <w:t>（如有）的依据，不构成对该理财产品的任何收益承诺，投资者能获得的最终收益以实际支付为准。</w:t>
            </w:r>
          </w:p>
          <w:p w14:paraId="15A174D0">
            <w:pPr>
              <w:widowControl/>
              <w:spacing w:line="40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Theme="minorEastAsia" w:hAnsiTheme="minorEastAsia" w:cstheme="minorEastAsia"/>
                <w:b/>
                <w:color w:val="auto"/>
                <w:highlight w:val="none"/>
                <w:u w:val="none"/>
              </w:rPr>
              <w:t>理财产品存续期内，管理人有权根据市场情况对业绩比较基准进行调整，该调整将通过本《产品说明书》之“信息披露”约定的方式进行信息披露，如未披露调整，以最新披露的业绩比较基准为准。</w:t>
            </w:r>
          </w:p>
        </w:tc>
      </w:tr>
      <w:tr w14:paraId="35C85A24">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66F1AF80">
            <w:pPr>
              <w:widowControl/>
              <w:spacing w:line="400" w:lineRule="exact"/>
              <w:jc w:val="center"/>
              <w:textAlignment w:val="center"/>
              <w:rPr>
                <w:rFonts w:hint="eastAsia" w:ascii="楷体_GB2312" w:hAnsi="等线" w:eastAsia="楷体_GB2312" w:cs="楷体_GB2312"/>
                <w:bCs/>
                <w:color w:val="000000" w:themeColor="text1"/>
                <w:sz w:val="24"/>
                <w14:textFill>
                  <w14:solidFill>
                    <w14:schemeClr w14:val="tx1"/>
                  </w14:solidFill>
                </w14:textFill>
              </w:rPr>
            </w:pPr>
            <w:r>
              <w:rPr>
                <w:rFonts w:hint="eastAsia" w:ascii="楷体_GB2312" w:hAnsi="等线" w:eastAsia="楷体_GB2312" w:cs="楷体_GB2312"/>
                <w:b/>
                <w:color w:val="000000" w:themeColor="text1"/>
                <w:kern w:val="0"/>
                <w:sz w:val="24"/>
                <w:lang w:bidi="ar"/>
                <w14:textFill>
                  <w14:solidFill>
                    <w14:schemeClr w14:val="tx1"/>
                  </w14:solidFill>
                </w14:textFill>
              </w:rPr>
              <w:t>（七）投资范围与策略</w:t>
            </w:r>
          </w:p>
        </w:tc>
      </w:tr>
      <w:tr w14:paraId="6FABBFAF">
        <w:tblPrEx>
          <w:tblCellMar>
            <w:top w:w="0" w:type="dxa"/>
            <w:left w:w="108" w:type="dxa"/>
            <w:bottom w:w="0" w:type="dxa"/>
            <w:right w:w="108" w:type="dxa"/>
          </w:tblCellMar>
        </w:tblPrEx>
        <w:trPr>
          <w:trHeight w:val="850" w:hRule="atLeast"/>
        </w:trPr>
        <w:tc>
          <w:tcPr>
            <w:tcW w:w="2453" w:type="dxa"/>
            <w:tcBorders>
              <w:top w:val="single" w:color="auto" w:sz="4" w:space="0"/>
              <w:left w:val="single" w:color="auto" w:sz="4" w:space="0"/>
              <w:bottom w:val="single" w:color="auto" w:sz="4" w:space="0"/>
              <w:right w:val="single" w:color="auto" w:sz="4" w:space="0"/>
            </w:tcBorders>
            <w:vAlign w:val="center"/>
          </w:tcPr>
          <w:p w14:paraId="007501F1">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投资范围</w:t>
            </w:r>
          </w:p>
        </w:tc>
        <w:tc>
          <w:tcPr>
            <w:tcW w:w="6972" w:type="dxa"/>
            <w:tcBorders>
              <w:top w:val="single" w:color="auto" w:sz="4" w:space="0"/>
              <w:left w:val="single" w:color="auto" w:sz="4" w:space="0"/>
              <w:bottom w:val="single" w:color="auto" w:sz="4" w:space="0"/>
              <w:right w:val="single" w:color="auto" w:sz="4" w:space="0"/>
            </w:tcBorders>
            <w:vAlign w:val="center"/>
          </w:tcPr>
          <w:p w14:paraId="4F4786F2">
            <w:pPr>
              <w:widowControl/>
              <w:tabs>
                <w:tab w:val="left" w:pos="3119"/>
              </w:tabs>
              <w:autoSpaceDE w:val="0"/>
              <w:autoSpaceDN w:val="0"/>
              <w:spacing w:line="360" w:lineRule="auto"/>
              <w:ind w:right="31" w:rightChars="15"/>
              <w:jc w:val="left"/>
              <w:textAlignment w:val="auto"/>
              <w:rPr>
                <w:rFonts w:hint="eastAsia" w:ascii="仿宋_GB2312" w:hAnsi="等线" w:eastAsia="仿宋_GB2312" w:cs="仿宋_GB2312"/>
                <w:bCs/>
                <w:color w:val="000000" w:themeColor="text1"/>
                <w:sz w:val="24"/>
                <w:lang w:eastAsia="zh-CN"/>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6D8E328F">
        <w:tblPrEx>
          <w:tblCellMar>
            <w:top w:w="0" w:type="dxa"/>
            <w:left w:w="108" w:type="dxa"/>
            <w:bottom w:w="0" w:type="dxa"/>
            <w:right w:w="108" w:type="dxa"/>
          </w:tblCellMar>
        </w:tblPrEx>
        <w:trPr>
          <w:trHeight w:val="608" w:hRule="atLeast"/>
        </w:trPr>
        <w:tc>
          <w:tcPr>
            <w:tcW w:w="2453" w:type="dxa"/>
            <w:tcBorders>
              <w:top w:val="single" w:color="auto" w:sz="4" w:space="0"/>
              <w:left w:val="single" w:color="auto" w:sz="4" w:space="0"/>
              <w:bottom w:val="single" w:color="auto" w:sz="4" w:space="0"/>
              <w:right w:val="single" w:color="auto" w:sz="4" w:space="0"/>
            </w:tcBorders>
            <w:vAlign w:val="center"/>
          </w:tcPr>
          <w:p w14:paraId="79FEE6B0">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投资策略</w:t>
            </w:r>
          </w:p>
        </w:tc>
        <w:tc>
          <w:tcPr>
            <w:tcW w:w="6972" w:type="dxa"/>
            <w:tcBorders>
              <w:top w:val="single" w:color="auto" w:sz="4" w:space="0"/>
              <w:left w:val="single" w:color="auto" w:sz="4" w:space="0"/>
              <w:bottom w:val="single" w:color="auto" w:sz="4" w:space="0"/>
              <w:right w:val="single" w:color="auto" w:sz="4" w:space="0"/>
            </w:tcBorders>
            <w:vAlign w:val="center"/>
          </w:tcPr>
          <w:p w14:paraId="6BB868C8">
            <w:pPr>
              <w:widowControl/>
              <w:tabs>
                <w:tab w:val="left" w:pos="3119"/>
              </w:tabs>
              <w:autoSpaceDE w:val="0"/>
              <w:autoSpaceDN w:val="0"/>
              <w:adjustRightInd w:val="0"/>
              <w:snapToGrid w:val="0"/>
              <w:spacing w:line="360" w:lineRule="auto"/>
              <w:ind w:firstLine="0" w:firstLineChars="0"/>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48330F7E">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5DFC3D26">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债权</w:t>
            </w:r>
            <w:r>
              <w:rPr>
                <w:rFonts w:hint="eastAsia" w:ascii="仿宋_GB2312" w:hAnsi="等线" w:eastAsia="仿宋_GB2312" w:cs="仿宋_GB2312"/>
                <w:color w:val="000000" w:themeColor="text1"/>
                <w:kern w:val="0"/>
                <w:sz w:val="24"/>
                <w:lang w:bidi="ar"/>
                <w14:textFill>
                  <w14:solidFill>
                    <w14:schemeClr w14:val="tx1"/>
                  </w14:solidFill>
                </w14:textFill>
              </w:rPr>
              <w:t>类资产投资上限</w:t>
            </w:r>
          </w:p>
        </w:tc>
        <w:tc>
          <w:tcPr>
            <w:tcW w:w="6972" w:type="dxa"/>
            <w:tcBorders>
              <w:top w:val="single" w:color="auto" w:sz="4" w:space="0"/>
              <w:left w:val="single" w:color="auto" w:sz="4" w:space="0"/>
              <w:bottom w:val="single" w:color="auto" w:sz="4" w:space="0"/>
              <w:right w:val="single" w:color="auto" w:sz="4" w:space="0"/>
            </w:tcBorders>
            <w:vAlign w:val="center"/>
          </w:tcPr>
          <w:p w14:paraId="180F42E9">
            <w:pPr>
              <w:widowControl/>
              <w:spacing w:line="56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0C7C5FD6">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074D2865">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cs="仿宋_GB2312"/>
                <w:color w:val="000000" w:themeColor="text1"/>
                <w:kern w:val="0"/>
                <w:sz w:val="24"/>
                <w:lang w:eastAsia="zh-CN" w:bidi="ar"/>
                <w14:textFill>
                  <w14:solidFill>
                    <w14:schemeClr w14:val="tx1"/>
                  </w14:solidFill>
                </w14:textFill>
              </w:rPr>
              <w:t>债权</w:t>
            </w:r>
            <w:r>
              <w:rPr>
                <w:rFonts w:hint="eastAsia" w:ascii="仿宋_GB2312" w:hAnsi="等线" w:eastAsia="仿宋_GB2312" w:cs="仿宋_GB2312"/>
                <w:color w:val="000000" w:themeColor="text1"/>
                <w:kern w:val="0"/>
                <w:sz w:val="24"/>
                <w:lang w:bidi="ar"/>
                <w14:textFill>
                  <w14:solidFill>
                    <w14:schemeClr w14:val="tx1"/>
                  </w14:solidFill>
                </w14:textFill>
              </w:rPr>
              <w:t>类资产投资下限</w:t>
            </w:r>
          </w:p>
        </w:tc>
        <w:tc>
          <w:tcPr>
            <w:tcW w:w="6972" w:type="dxa"/>
            <w:tcBorders>
              <w:top w:val="single" w:color="auto" w:sz="4" w:space="0"/>
              <w:left w:val="single" w:color="auto" w:sz="4" w:space="0"/>
              <w:bottom w:val="single" w:color="auto" w:sz="4" w:space="0"/>
              <w:right w:val="single" w:color="auto" w:sz="4" w:space="0"/>
            </w:tcBorders>
            <w:vAlign w:val="center"/>
          </w:tcPr>
          <w:p w14:paraId="07973E3B">
            <w:pPr>
              <w:widowControl/>
              <w:spacing w:line="56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05CBC533">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78645574">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权益类资产投资上限</w:t>
            </w:r>
          </w:p>
        </w:tc>
        <w:tc>
          <w:tcPr>
            <w:tcW w:w="6972" w:type="dxa"/>
            <w:tcBorders>
              <w:top w:val="single" w:color="auto" w:sz="4" w:space="0"/>
              <w:left w:val="single" w:color="auto" w:sz="4" w:space="0"/>
              <w:bottom w:val="single" w:color="auto" w:sz="4" w:space="0"/>
              <w:right w:val="single" w:color="auto" w:sz="4" w:space="0"/>
            </w:tcBorders>
            <w:vAlign w:val="center"/>
          </w:tcPr>
          <w:p w14:paraId="0527B9D8">
            <w:pPr>
              <w:widowControl/>
              <w:spacing w:line="56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3CCC3727">
        <w:tblPrEx>
          <w:tblCellMar>
            <w:top w:w="0" w:type="dxa"/>
            <w:left w:w="108" w:type="dxa"/>
            <w:bottom w:w="0" w:type="dxa"/>
            <w:right w:w="108" w:type="dxa"/>
          </w:tblCellMar>
        </w:tblPrEx>
        <w:trPr>
          <w:trHeight w:val="555" w:hRule="atLeast"/>
        </w:trPr>
        <w:tc>
          <w:tcPr>
            <w:tcW w:w="2453" w:type="dxa"/>
            <w:tcBorders>
              <w:top w:val="single" w:color="auto" w:sz="4" w:space="0"/>
              <w:left w:val="single" w:color="auto" w:sz="4" w:space="0"/>
              <w:bottom w:val="single" w:color="auto" w:sz="4" w:space="0"/>
              <w:right w:val="single" w:color="auto" w:sz="4" w:space="0"/>
            </w:tcBorders>
            <w:vAlign w:val="center"/>
          </w:tcPr>
          <w:p w14:paraId="2A08EC4E">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权益类资产投资下限</w:t>
            </w:r>
          </w:p>
        </w:tc>
        <w:tc>
          <w:tcPr>
            <w:tcW w:w="6972" w:type="dxa"/>
            <w:tcBorders>
              <w:top w:val="single" w:color="auto" w:sz="4" w:space="0"/>
              <w:left w:val="single" w:color="auto" w:sz="4" w:space="0"/>
              <w:bottom w:val="single" w:color="auto" w:sz="4" w:space="0"/>
              <w:right w:val="single" w:color="auto" w:sz="4" w:space="0"/>
            </w:tcBorders>
            <w:vAlign w:val="center"/>
          </w:tcPr>
          <w:p w14:paraId="445A9F89">
            <w:pPr>
              <w:widowControl/>
              <w:spacing w:line="56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313921F2">
        <w:tblPrEx>
          <w:tblCellMar>
            <w:top w:w="0" w:type="dxa"/>
            <w:left w:w="108" w:type="dxa"/>
            <w:bottom w:w="0" w:type="dxa"/>
            <w:right w:w="108" w:type="dxa"/>
          </w:tblCellMar>
        </w:tblPrEx>
        <w:trPr>
          <w:trHeight w:val="873" w:hRule="atLeast"/>
        </w:trPr>
        <w:tc>
          <w:tcPr>
            <w:tcW w:w="2453" w:type="dxa"/>
            <w:tcBorders>
              <w:top w:val="single" w:color="auto" w:sz="4" w:space="0"/>
              <w:left w:val="single" w:color="auto" w:sz="4" w:space="0"/>
              <w:bottom w:val="single" w:color="auto" w:sz="4" w:space="0"/>
              <w:right w:val="single" w:color="auto" w:sz="4" w:space="0"/>
            </w:tcBorders>
            <w:vAlign w:val="center"/>
          </w:tcPr>
          <w:p w14:paraId="389D6CC3">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商品及金融衍生品类资产投资上限</w:t>
            </w:r>
          </w:p>
        </w:tc>
        <w:tc>
          <w:tcPr>
            <w:tcW w:w="6972" w:type="dxa"/>
            <w:tcBorders>
              <w:top w:val="single" w:color="auto" w:sz="4" w:space="0"/>
              <w:left w:val="single" w:color="auto" w:sz="4" w:space="0"/>
              <w:bottom w:val="single" w:color="auto" w:sz="4" w:space="0"/>
              <w:right w:val="single" w:color="auto" w:sz="4" w:space="0"/>
            </w:tcBorders>
            <w:vAlign w:val="center"/>
          </w:tcPr>
          <w:p w14:paraId="10FABD73">
            <w:pPr>
              <w:widowControl/>
              <w:spacing w:line="560" w:lineRule="exact"/>
              <w:jc w:val="left"/>
              <w:textAlignment w:val="center"/>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596CEFC6">
        <w:tblPrEx>
          <w:tblCellMar>
            <w:top w:w="0" w:type="dxa"/>
            <w:left w:w="108" w:type="dxa"/>
            <w:bottom w:w="0" w:type="dxa"/>
            <w:right w:w="108" w:type="dxa"/>
          </w:tblCellMar>
        </w:tblPrEx>
        <w:trPr>
          <w:trHeight w:val="910" w:hRule="atLeast"/>
        </w:trPr>
        <w:tc>
          <w:tcPr>
            <w:tcW w:w="2453" w:type="dxa"/>
            <w:tcBorders>
              <w:top w:val="single" w:color="auto" w:sz="4" w:space="0"/>
              <w:left w:val="single" w:color="auto" w:sz="4" w:space="0"/>
              <w:bottom w:val="single" w:color="auto" w:sz="4" w:space="0"/>
              <w:right w:val="single" w:color="auto" w:sz="4" w:space="0"/>
            </w:tcBorders>
            <w:vAlign w:val="center"/>
          </w:tcPr>
          <w:p w14:paraId="79190863">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商品及金融衍生品类资产投资下限</w:t>
            </w:r>
          </w:p>
        </w:tc>
        <w:tc>
          <w:tcPr>
            <w:tcW w:w="6972" w:type="dxa"/>
            <w:tcBorders>
              <w:top w:val="single" w:color="auto" w:sz="4" w:space="0"/>
              <w:left w:val="single" w:color="auto" w:sz="4" w:space="0"/>
              <w:bottom w:val="single" w:color="auto" w:sz="4" w:space="0"/>
              <w:right w:val="single" w:color="auto" w:sz="4" w:space="0"/>
            </w:tcBorders>
            <w:vAlign w:val="center"/>
          </w:tcPr>
          <w:p w14:paraId="7CF66636">
            <w:pPr>
              <w:widowControl/>
              <w:spacing w:line="560" w:lineRule="exact"/>
              <w:jc w:val="left"/>
              <w:textAlignment w:val="center"/>
              <w:rPr>
                <w:rFonts w:hint="default" w:ascii="仿宋_GB2312" w:hAnsi="等线" w:eastAsia="仿宋_GB2312" w:cs="仿宋_GB2312"/>
                <w:bCs/>
                <w:color w:val="000000" w:themeColor="text1"/>
                <w:sz w:val="24"/>
                <w:lang w:val="en-US" w:eastAsia="zh-CN"/>
                <w14:textFill>
                  <w14:solidFill>
                    <w14:schemeClr w14:val="tx1"/>
                  </w14:solidFill>
                </w14:textFill>
              </w:rPr>
            </w:pPr>
            <w:r>
              <w:rPr>
                <w:rFonts w:hint="eastAsia" w:ascii="宋体" w:hAnsi="宋体" w:cstheme="minorBidi"/>
                <w:bCs w:val="0"/>
                <w:color w:val="auto"/>
                <w:kern w:val="2"/>
                <w:sz w:val="24"/>
                <w:szCs w:val="24"/>
                <w:highlight w:val="yellow"/>
                <w:u w:val="none"/>
                <w:lang w:eastAsia="zh-CN" w:bidi="ar"/>
              </w:rPr>
              <w:t>【】</w:t>
            </w:r>
          </w:p>
        </w:tc>
      </w:tr>
      <w:tr w14:paraId="02E08039">
        <w:tblPrEx>
          <w:tblCellMar>
            <w:top w:w="0" w:type="dxa"/>
            <w:left w:w="108" w:type="dxa"/>
            <w:bottom w:w="0" w:type="dxa"/>
            <w:right w:w="108" w:type="dxa"/>
          </w:tblCellMar>
        </w:tblPrEx>
        <w:trPr>
          <w:trHeight w:val="270" w:hRule="atLeast"/>
        </w:trPr>
        <w:tc>
          <w:tcPr>
            <w:tcW w:w="9425" w:type="dxa"/>
            <w:gridSpan w:val="2"/>
            <w:tcBorders>
              <w:top w:val="single" w:color="auto" w:sz="4" w:space="0"/>
              <w:left w:val="single" w:color="auto" w:sz="4" w:space="0"/>
              <w:bottom w:val="single" w:color="auto" w:sz="4" w:space="0"/>
              <w:right w:val="single" w:color="auto" w:sz="4" w:space="0"/>
            </w:tcBorders>
            <w:vAlign w:val="center"/>
          </w:tcPr>
          <w:p w14:paraId="40A69085">
            <w:pPr>
              <w:widowControl/>
              <w:spacing w:line="560" w:lineRule="exact"/>
              <w:jc w:val="center"/>
              <w:textAlignment w:val="center"/>
              <w:rPr>
                <w:rFonts w:hint="eastAsia" w:ascii="楷体_GB2312" w:hAnsi="等线" w:eastAsia="楷体_GB2312" w:cs="楷体_GB2312"/>
                <w:bCs/>
                <w:color w:val="000000" w:themeColor="text1"/>
                <w:sz w:val="24"/>
                <w14:textFill>
                  <w14:solidFill>
                    <w14:schemeClr w14:val="tx1"/>
                  </w14:solidFill>
                </w14:textFill>
              </w:rPr>
            </w:pPr>
            <w:r>
              <w:rPr>
                <w:rFonts w:hint="eastAsia" w:ascii="楷体_GB2312" w:hAnsi="等线" w:eastAsia="楷体_GB2312" w:cs="楷体_GB2312"/>
                <w:b/>
                <w:color w:val="000000" w:themeColor="text1"/>
                <w:kern w:val="0"/>
                <w:sz w:val="24"/>
                <w:lang w:bidi="ar"/>
                <w14:textFill>
                  <w14:solidFill>
                    <w14:schemeClr w14:val="tx1"/>
                  </w14:solidFill>
                </w14:textFill>
              </w:rPr>
              <w:t>（八）其他约定</w:t>
            </w:r>
          </w:p>
        </w:tc>
      </w:tr>
      <w:tr w14:paraId="7D5A940A">
        <w:tblPrEx>
          <w:tblCellMar>
            <w:top w:w="0" w:type="dxa"/>
            <w:left w:w="108" w:type="dxa"/>
            <w:bottom w:w="0" w:type="dxa"/>
            <w:right w:w="108" w:type="dxa"/>
          </w:tblCellMar>
        </w:tblPrEx>
        <w:trPr>
          <w:trHeight w:val="1010" w:hRule="atLeast"/>
        </w:trPr>
        <w:tc>
          <w:tcPr>
            <w:tcW w:w="2453" w:type="dxa"/>
            <w:tcBorders>
              <w:top w:val="single" w:color="auto" w:sz="4" w:space="0"/>
              <w:left w:val="single" w:color="auto" w:sz="4" w:space="0"/>
              <w:bottom w:val="single" w:color="auto" w:sz="4" w:space="0"/>
              <w:right w:val="single" w:color="auto" w:sz="4" w:space="0"/>
            </w:tcBorders>
            <w:vAlign w:val="center"/>
          </w:tcPr>
          <w:p w14:paraId="511025FF">
            <w:pPr>
              <w:snapToGrid w:val="0"/>
              <w:ind w:left="-140" w:leftChars="-74" w:hanging="15" w:firstLineChars="0"/>
              <w:jc w:val="center"/>
              <w:rPr>
                <w:rFonts w:hint="eastAsia" w:ascii="仿宋_GB2312" w:hAnsi="等线" w:eastAsia="仿宋_GB2312" w:cs="仿宋_GB2312"/>
                <w:color w:val="000000" w:themeColor="text1"/>
                <w:kern w:val="0"/>
                <w:sz w:val="24"/>
                <w:lang w:bidi="ar"/>
                <w14:textFill>
                  <w14:solidFill>
                    <w14:schemeClr w14:val="tx1"/>
                  </w14:solidFill>
                </w14:textFill>
              </w:rPr>
            </w:pPr>
            <w:r>
              <w:rPr>
                <w:rFonts w:hint="eastAsia" w:ascii="宋体" w:hAnsi="宋体"/>
                <w:color w:val="auto"/>
                <w:kern w:val="0"/>
                <w:szCs w:val="24"/>
                <w:highlight w:val="none"/>
                <w:u w:val="none"/>
              </w:rPr>
              <w:t>信息披露</w:t>
            </w:r>
          </w:p>
        </w:tc>
        <w:tc>
          <w:tcPr>
            <w:tcW w:w="6972" w:type="dxa"/>
            <w:tcBorders>
              <w:top w:val="single" w:color="auto" w:sz="4" w:space="0"/>
              <w:left w:val="single" w:color="auto" w:sz="4" w:space="0"/>
              <w:bottom w:val="single" w:color="auto" w:sz="4" w:space="0"/>
              <w:right w:val="single" w:color="auto" w:sz="4" w:space="0"/>
            </w:tcBorders>
            <w:vAlign w:val="center"/>
          </w:tcPr>
          <w:p w14:paraId="5C3F81CA">
            <w:pPr>
              <w:snapToGrid w:val="0"/>
              <w:rPr>
                <w:rFonts w:hint="eastAsia" w:ascii="宋体" w:hAnsi="宋体"/>
                <w:b/>
                <w:color w:val="auto"/>
                <w:szCs w:val="24"/>
                <w:highlight w:val="none"/>
                <w:u w:val="none"/>
                <w:lang w:eastAsia="zh-CN"/>
              </w:rPr>
            </w:pPr>
            <w:r>
              <w:rPr>
                <w:rFonts w:hint="eastAsia" w:ascii="宋体" w:hAnsi="宋体"/>
                <w:b/>
                <w:color w:val="auto"/>
                <w:szCs w:val="24"/>
                <w:highlight w:val="none"/>
                <w:u w:val="none"/>
                <w:lang w:eastAsia="zh-CN"/>
              </w:rPr>
              <w:t>本理财产品成立后，管理人将通过《产品说明书》之“信息披露”约定的方式进行信息披露。详细内容见《本产品说明书》之“信息披露”</w:t>
            </w:r>
          </w:p>
          <w:p w14:paraId="0741CC05">
            <w:pPr>
              <w:snapToGrid w:val="0"/>
              <w:rPr>
                <w:rFonts w:hint="eastAsia" w:ascii="宋体" w:hAnsi="宋体"/>
                <w:b/>
                <w:bCs/>
                <w:iCs/>
                <w:color w:val="auto"/>
                <w:szCs w:val="24"/>
                <w:highlight w:val="none"/>
                <w:u w:val="none"/>
              </w:rPr>
            </w:pPr>
            <w:r>
              <w:rPr>
                <w:rFonts w:hint="eastAsia" w:asciiTheme="minorEastAsia" w:hAnsiTheme="minorEastAsia"/>
                <w:color w:val="auto"/>
                <w:szCs w:val="24"/>
                <w:highlight w:val="none"/>
                <w:u w:val="none"/>
              </w:rPr>
              <w:t>本产品成立、运行、到期、净值等信息将通过</w:t>
            </w:r>
            <w:r>
              <w:rPr>
                <w:rFonts w:hint="eastAsia" w:asciiTheme="minorEastAsia" w:hAnsiTheme="minorEastAsia"/>
                <w:color w:val="auto"/>
                <w:szCs w:val="24"/>
                <w:highlight w:val="none"/>
                <w:u w:val="none"/>
                <w:lang w:eastAsia="zh-CN"/>
              </w:rPr>
              <w:t>产品</w:t>
            </w:r>
            <w:r>
              <w:rPr>
                <w:rFonts w:hint="eastAsia" w:asciiTheme="minorEastAsia" w:hAnsiTheme="minorEastAsia"/>
                <w:color w:val="auto"/>
                <w:szCs w:val="24"/>
                <w:highlight w:val="none"/>
                <w:u w:val="none"/>
              </w:rPr>
              <w:t>管理人</w:t>
            </w:r>
            <w:r>
              <w:rPr>
                <w:rFonts w:asciiTheme="minorEastAsia" w:hAnsiTheme="minorEastAsia"/>
                <w:color w:val="auto"/>
                <w:szCs w:val="24"/>
                <w:highlight w:val="none"/>
                <w:u w:val="none"/>
              </w:rPr>
              <w:t>官方网站</w:t>
            </w: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www.czbank-wm.com</w:t>
            </w:r>
            <w:r>
              <w:rPr>
                <w:rFonts w:hint="eastAsia" w:ascii="仿宋_GB2312" w:hAnsi="宋体" w:cs="宋体"/>
                <w:color w:val="auto"/>
                <w:kern w:val="0"/>
                <w:szCs w:val="24"/>
                <w:highlight w:val="none"/>
                <w:u w:val="none"/>
              </w:rPr>
              <w:t>】、销售机构官方网站、个人手机银行或其他约定的方式等</w:t>
            </w:r>
            <w:r>
              <w:rPr>
                <w:rFonts w:hint="eastAsia" w:cs="宋体" w:asciiTheme="minorEastAsia" w:hAnsiTheme="minorEastAsia"/>
                <w:color w:val="auto"/>
                <w:kern w:val="0"/>
                <w:szCs w:val="24"/>
                <w:highlight w:val="none"/>
                <w:u w:val="none"/>
              </w:rPr>
              <w:t>一种或多种渠道进行信息披露，</w:t>
            </w:r>
            <w:r>
              <w:rPr>
                <w:rFonts w:hint="eastAsia" w:asciiTheme="minorEastAsia" w:hAnsiTheme="minorEastAsia"/>
                <w:color w:val="auto"/>
                <w:szCs w:val="24"/>
                <w:highlight w:val="none"/>
                <w:u w:val="none"/>
              </w:rPr>
              <w:t>请投资者持续关注并及时查看。</w:t>
            </w:r>
          </w:p>
        </w:tc>
      </w:tr>
      <w:tr w14:paraId="31FD2975">
        <w:tblPrEx>
          <w:tblCellMar>
            <w:top w:w="0" w:type="dxa"/>
            <w:left w:w="108" w:type="dxa"/>
            <w:bottom w:w="0" w:type="dxa"/>
            <w:right w:w="108" w:type="dxa"/>
          </w:tblCellMar>
        </w:tblPrEx>
        <w:trPr>
          <w:trHeight w:val="1010" w:hRule="atLeast"/>
        </w:trPr>
        <w:tc>
          <w:tcPr>
            <w:tcW w:w="2453" w:type="dxa"/>
            <w:tcBorders>
              <w:top w:val="single" w:color="auto" w:sz="4" w:space="0"/>
              <w:left w:val="single" w:color="auto" w:sz="4" w:space="0"/>
              <w:bottom w:val="single" w:color="auto" w:sz="4" w:space="0"/>
              <w:right w:val="single" w:color="auto" w:sz="4" w:space="0"/>
            </w:tcBorders>
            <w:vAlign w:val="center"/>
          </w:tcPr>
          <w:p w14:paraId="0295293A">
            <w:pPr>
              <w:widowControl/>
              <w:spacing w:line="560" w:lineRule="exact"/>
              <w:jc w:val="center"/>
              <w:textAlignment w:val="center"/>
              <w:rPr>
                <w:rFonts w:hint="eastAsia" w:ascii="仿宋_GB2312" w:hAnsi="等线" w:eastAsia="仿宋_GB2312" w:cs="仿宋_GB2312"/>
                <w:color w:val="000000" w:themeColor="text1"/>
                <w:sz w:val="24"/>
                <w14:textFill>
                  <w14:solidFill>
                    <w14:schemeClr w14:val="tx1"/>
                  </w14:solidFill>
                </w14:textFill>
              </w:rPr>
            </w:pPr>
            <w:r>
              <w:rPr>
                <w:rFonts w:hint="eastAsia" w:ascii="仿宋_GB2312" w:hAnsi="等线" w:eastAsia="仿宋_GB2312" w:cs="仿宋_GB2312"/>
                <w:color w:val="000000" w:themeColor="text1"/>
                <w:kern w:val="0"/>
                <w:sz w:val="24"/>
                <w:lang w:bidi="ar"/>
                <w14:textFill>
                  <w14:solidFill>
                    <w14:schemeClr w14:val="tx1"/>
                  </w14:solidFill>
                </w14:textFill>
              </w:rPr>
              <w:t>其他约定</w:t>
            </w:r>
          </w:p>
        </w:tc>
        <w:tc>
          <w:tcPr>
            <w:tcW w:w="6972" w:type="dxa"/>
            <w:tcBorders>
              <w:top w:val="single" w:color="auto" w:sz="4" w:space="0"/>
              <w:left w:val="single" w:color="auto" w:sz="4" w:space="0"/>
              <w:bottom w:val="single" w:color="auto" w:sz="4" w:space="0"/>
              <w:right w:val="single" w:color="auto" w:sz="4" w:space="0"/>
            </w:tcBorders>
            <w:vAlign w:val="center"/>
          </w:tcPr>
          <w:p w14:paraId="2E0CC74B">
            <w:pPr>
              <w:snapToGrid w:val="0"/>
              <w:jc w:val="left"/>
              <w:rPr>
                <w:rFonts w:ascii="宋体" w:hAnsi="宋体"/>
                <w:b/>
                <w:bCs/>
                <w:iCs/>
                <w:color w:val="auto"/>
                <w:szCs w:val="24"/>
                <w:highlight w:val="none"/>
                <w:u w:val="none"/>
              </w:rPr>
            </w:pPr>
            <w:r>
              <w:rPr>
                <w:rFonts w:ascii="宋体" w:hAnsi="宋体"/>
                <w:b/>
                <w:bCs/>
                <w:iCs/>
                <w:color w:val="auto"/>
                <w:szCs w:val="24"/>
                <w:highlight w:val="none"/>
                <w:u w:val="none"/>
              </w:rPr>
              <w:t>1.</w:t>
            </w:r>
            <w:r>
              <w:rPr>
                <w:rFonts w:hint="eastAsia" w:ascii="宋体" w:hAnsi="宋体"/>
                <w:b/>
                <w:bCs/>
                <w:iCs/>
                <w:color w:val="auto"/>
                <w:szCs w:val="24"/>
                <w:highlight w:val="none"/>
                <w:u w:val="none"/>
              </w:rPr>
              <w:t>募集期内认购资金是否计息以销售机构为准，但利息不计入认购本金份额。</w:t>
            </w:r>
          </w:p>
          <w:p w14:paraId="44880031">
            <w:pPr>
              <w:widowControl/>
              <w:snapToGrid w:val="0"/>
              <w:spacing w:line="240" w:lineRule="auto"/>
              <w:jc w:val="left"/>
              <w:textAlignment w:val="auto"/>
              <w:rPr>
                <w:rFonts w:hint="eastAsia" w:ascii="宋体" w:hAnsi="宋体"/>
                <w:b/>
                <w:bCs/>
                <w:iCs/>
                <w:color w:val="auto"/>
                <w:szCs w:val="24"/>
                <w:highlight w:val="none"/>
                <w:u w:val="none"/>
              </w:rPr>
            </w:pPr>
            <w:r>
              <w:rPr>
                <w:rFonts w:hint="eastAsia" w:ascii="宋体" w:hAnsi="宋体"/>
                <w:b/>
                <w:bCs/>
                <w:iCs/>
                <w:color w:val="auto"/>
                <w:szCs w:val="24"/>
                <w:highlight w:val="none"/>
                <w:u w:val="none"/>
              </w:rPr>
              <w:t>2.本产品到期日（或提前/延期终止日）至资金到账日期间，投资者理财资金如因清算安排实际产生利息的，相关利息归投资者所有。</w:t>
            </w:r>
          </w:p>
          <w:p w14:paraId="13B206BA">
            <w:pPr>
              <w:widowControl/>
              <w:snapToGrid w:val="0"/>
              <w:spacing w:line="240" w:lineRule="auto"/>
              <w:jc w:val="left"/>
              <w:textAlignment w:val="auto"/>
              <w:rPr>
                <w:rFonts w:hint="eastAsia" w:ascii="仿宋_GB2312" w:hAnsi="等线" w:eastAsia="仿宋_GB2312" w:cs="仿宋_GB2312"/>
                <w:bCs/>
                <w:color w:val="000000" w:themeColor="text1"/>
                <w:sz w:val="24"/>
                <w14:textFill>
                  <w14:solidFill>
                    <w14:schemeClr w14:val="tx1"/>
                  </w14:solidFill>
                </w14:textFill>
              </w:rPr>
            </w:pPr>
            <w:r>
              <w:rPr>
                <w:rFonts w:hint="eastAsia" w:ascii="宋体" w:hAnsi="宋体"/>
                <w:b/>
                <w:bCs/>
                <w:iCs/>
                <w:color w:val="auto"/>
                <w:szCs w:val="24"/>
                <w:highlight w:val="none"/>
                <w:u w:val="none"/>
              </w:rPr>
              <w:t>3.理财产品份额转让</w:t>
            </w:r>
            <w:r>
              <w:rPr>
                <w:rFonts w:ascii="宋体" w:hAnsi="宋体"/>
                <w:b/>
                <w:bCs/>
                <w:iCs/>
                <w:color w:val="auto"/>
                <w:szCs w:val="24"/>
                <w:highlight w:val="none"/>
                <w:u w:val="none"/>
              </w:rPr>
              <w:t>、</w:t>
            </w:r>
            <w:r>
              <w:rPr>
                <w:rFonts w:hint="eastAsia" w:ascii="宋体" w:hAnsi="宋体"/>
                <w:b/>
                <w:bCs/>
                <w:iCs/>
                <w:color w:val="auto"/>
                <w:szCs w:val="24"/>
                <w:highlight w:val="none"/>
                <w:u w:val="none"/>
              </w:rPr>
              <w:t>质押将依照销售机构</w:t>
            </w:r>
            <w:r>
              <w:rPr>
                <w:rFonts w:hint="eastAsia" w:ascii="宋体" w:hAnsi="宋体"/>
                <w:b/>
                <w:bCs/>
                <w:iCs/>
                <w:color w:val="auto"/>
                <w:szCs w:val="24"/>
                <w:highlight w:val="none"/>
                <w:u w:val="none"/>
                <w:lang w:eastAsia="zh-CN"/>
              </w:rPr>
              <w:t>与管理人</w:t>
            </w:r>
            <w:r>
              <w:rPr>
                <w:rFonts w:hint="eastAsia" w:ascii="宋体" w:hAnsi="宋体"/>
                <w:b/>
                <w:bCs/>
                <w:iCs/>
                <w:color w:val="auto"/>
                <w:szCs w:val="24"/>
                <w:highlight w:val="none"/>
                <w:u w:val="none"/>
              </w:rPr>
              <w:t>的业务政策执行。</w:t>
            </w:r>
          </w:p>
        </w:tc>
      </w:tr>
    </w:tbl>
    <w:p w14:paraId="2693DC73">
      <w:pPr>
        <w:rPr>
          <w:rFonts w:hint="eastAsia"/>
          <w:color w:val="auto"/>
          <w:highlight w:val="none"/>
          <w:u w:val="none"/>
        </w:rPr>
      </w:pPr>
    </w:p>
    <w:p w14:paraId="05B87504">
      <w:pPr>
        <w:pStyle w:val="2"/>
        <w:numPr>
          <w:ilvl w:val="0"/>
          <w:numId w:val="15"/>
        </w:numPr>
        <w:autoSpaceDE w:val="0"/>
        <w:autoSpaceDN w:val="0"/>
        <w:snapToGrid w:val="0"/>
        <w:ind w:right="31" w:rightChars="15"/>
        <w:jc w:val="center"/>
        <w:rPr>
          <w:rFonts w:ascii="黑体" w:hAnsi="宋体" w:eastAsia="黑体" w:cs="宋体"/>
          <w:bCs/>
          <w:color w:val="auto"/>
          <w:kern w:val="0"/>
          <w:sz w:val="28"/>
          <w:szCs w:val="28"/>
          <w:highlight w:val="none"/>
          <w:u w:val="none"/>
        </w:rPr>
      </w:pPr>
      <w:r>
        <w:rPr>
          <w:rFonts w:hint="eastAsia" w:ascii="黑体" w:hAnsi="宋体" w:cs="宋体"/>
          <w:bCs/>
          <w:color w:val="auto"/>
          <w:kern w:val="0"/>
          <w:szCs w:val="24"/>
          <w:highlight w:val="none"/>
          <w:u w:val="none"/>
        </w:rPr>
        <w:br w:type="page"/>
      </w:r>
      <w:r>
        <w:rPr>
          <w:rFonts w:hint="eastAsia" w:eastAsia="黑体" w:asciiTheme="minorHAnsi" w:hAnsiTheme="minorHAnsi" w:cstheme="minorBidi"/>
          <w:bCs w:val="0"/>
          <w:color w:val="auto"/>
          <w:kern w:val="44"/>
          <w:sz w:val="28"/>
          <w:szCs w:val="22"/>
          <w:highlight w:val="none"/>
          <w:u w:val="none"/>
        </w:rPr>
        <w:t>重要提示</w:t>
      </w:r>
    </w:p>
    <w:p w14:paraId="2DA1CE6F">
      <w:pPr>
        <w:widowControl/>
        <w:tabs>
          <w:tab w:val="left" w:pos="709"/>
        </w:tabs>
        <w:snapToGrid w:val="0"/>
        <w:spacing w:line="360" w:lineRule="auto"/>
        <w:rPr>
          <w:rFonts w:ascii="仿宋_GB2312" w:hAnsi="宋体" w:cs="宋体"/>
          <w:b/>
          <w:bCs/>
          <w:color w:val="auto"/>
          <w:kern w:val="0"/>
          <w:szCs w:val="24"/>
          <w:highlight w:val="none"/>
          <w:u w:val="none"/>
        </w:rPr>
      </w:pPr>
      <w:r>
        <w:rPr>
          <w:rFonts w:hint="eastAsia" w:ascii="仿宋_GB2312" w:cs="宋体" w:hAnsiTheme="minorEastAsia"/>
          <w:b/>
          <w:bCs/>
          <w:color w:val="auto"/>
          <w:kern w:val="0"/>
          <w:szCs w:val="32"/>
          <w:highlight w:val="none"/>
          <w:u w:val="none"/>
        </w:rPr>
        <w:t>●</w:t>
      </w:r>
      <w:r>
        <w:rPr>
          <w:rFonts w:hint="eastAsia" w:ascii="仿宋_GB2312" w:hAnsi="宋体" w:cs="宋体"/>
          <w:b/>
          <w:bCs/>
          <w:color w:val="auto"/>
          <w:kern w:val="0"/>
          <w:szCs w:val="24"/>
          <w:highlight w:val="none"/>
          <w:u w:val="none"/>
        </w:rPr>
        <w:t>理财非存款、产品有风险、投资须谨慎。</w:t>
      </w:r>
    </w:p>
    <w:p w14:paraId="74FCD9D0">
      <w:pPr>
        <w:widowControl/>
        <w:tabs>
          <w:tab w:val="left" w:pos="709"/>
        </w:tabs>
        <w:snapToGrid w:val="0"/>
        <w:spacing w:line="360" w:lineRule="auto"/>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●浙银理财有限责任公司（以下称“浙银</w:t>
      </w:r>
      <w:r>
        <w:rPr>
          <w:rFonts w:ascii="仿宋_GB2312" w:hAnsi="宋体" w:cs="宋体"/>
          <w:b/>
          <w:bCs/>
          <w:color w:val="auto"/>
          <w:kern w:val="0"/>
          <w:szCs w:val="24"/>
          <w:highlight w:val="none"/>
          <w:u w:val="none"/>
        </w:rPr>
        <w:t>理财</w:t>
      </w:r>
      <w:r>
        <w:rPr>
          <w:rFonts w:hint="eastAsia" w:ascii="仿宋_GB2312" w:hAnsi="宋体" w:cs="宋体"/>
          <w:b/>
          <w:bCs/>
          <w:color w:val="auto"/>
          <w:kern w:val="0"/>
          <w:szCs w:val="24"/>
          <w:highlight w:val="none"/>
          <w:u w:val="none"/>
        </w:rPr>
        <w:t>”）郑重提示：在购买理财产品前，请投资者应确保自己完全明白该项投资的性质和所涉及的风险，详细了解和审慎评估该理财产品的资金投资方向及风险类型等基本情况，在慎重考虑后自行决定购买与自身风险承受能力和资产管理需求匹配的理财产品，并承受由此产生的收益与风险。如影响投资者风险承受能力的因素发生变化，请及时完成风险承受能力评估</w:t>
      </w:r>
      <w:r>
        <w:rPr>
          <w:rFonts w:hint="eastAsia"/>
          <w:b/>
          <w:color w:val="auto"/>
          <w:highlight w:val="none"/>
          <w:u w:val="none"/>
        </w:rPr>
        <w:t>。</w:t>
      </w:r>
    </w:p>
    <w:p w14:paraId="76958161">
      <w:pPr>
        <w:pStyle w:val="13"/>
        <w:spacing w:line="360" w:lineRule="auto"/>
        <w:ind w:firstLine="0" w:firstLineChars="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w:t>
      </w:r>
      <w:r>
        <w:rPr>
          <w:rFonts w:hint="eastAsia" w:ascii="仿宋_GB2312" w:hAnsi="宋体" w:cs="宋体"/>
          <w:bCs/>
          <w:color w:val="auto"/>
          <w:kern w:val="0"/>
          <w:szCs w:val="24"/>
          <w:highlight w:val="none"/>
          <w:u w:val="none"/>
        </w:rPr>
        <w:t>本理财产品说明书与《风险揭示书》《投资协议书》《投资者权益须知》《（代理）销售协议书》等共同构成本理财产品完整</w:t>
      </w:r>
      <w:r>
        <w:rPr>
          <w:rFonts w:ascii="仿宋_GB2312" w:hAnsi="宋体" w:cs="宋体"/>
          <w:bCs/>
          <w:color w:val="auto"/>
          <w:kern w:val="0"/>
          <w:szCs w:val="24"/>
          <w:highlight w:val="none"/>
          <w:u w:val="none"/>
        </w:rPr>
        <w:t>的</w:t>
      </w:r>
      <w:r>
        <w:rPr>
          <w:rFonts w:hint="eastAsia" w:ascii="仿宋_GB2312" w:hAnsi="宋体" w:cs="宋体"/>
          <w:bCs/>
          <w:color w:val="auto"/>
          <w:kern w:val="0"/>
          <w:szCs w:val="24"/>
          <w:highlight w:val="none"/>
          <w:u w:val="none"/>
        </w:rPr>
        <w:t>、</w:t>
      </w:r>
      <w:r>
        <w:rPr>
          <w:rFonts w:ascii="仿宋_GB2312" w:hAnsi="宋体" w:cs="宋体"/>
          <w:bCs/>
          <w:color w:val="auto"/>
          <w:kern w:val="0"/>
          <w:szCs w:val="24"/>
          <w:highlight w:val="none"/>
          <w:u w:val="none"/>
        </w:rPr>
        <w:t>不可</w:t>
      </w:r>
      <w:r>
        <w:rPr>
          <w:rFonts w:hint="eastAsia" w:ascii="仿宋_GB2312" w:hAnsi="宋体" w:cs="宋体"/>
          <w:bCs/>
          <w:color w:val="auto"/>
          <w:kern w:val="0"/>
          <w:szCs w:val="24"/>
          <w:highlight w:val="none"/>
          <w:u w:val="none"/>
        </w:rPr>
        <w:t>分割</w:t>
      </w:r>
      <w:r>
        <w:rPr>
          <w:rFonts w:ascii="仿宋_GB2312" w:hAnsi="宋体" w:cs="宋体"/>
          <w:bCs/>
          <w:color w:val="auto"/>
          <w:kern w:val="0"/>
          <w:szCs w:val="24"/>
          <w:highlight w:val="none"/>
          <w:u w:val="none"/>
        </w:rPr>
        <w:t>的</w:t>
      </w:r>
      <w:r>
        <w:rPr>
          <w:rFonts w:hint="eastAsia" w:ascii="仿宋_GB2312" w:hAnsi="宋体" w:cs="宋体"/>
          <w:bCs/>
          <w:color w:val="auto"/>
          <w:kern w:val="0"/>
          <w:szCs w:val="24"/>
          <w:highlight w:val="none"/>
          <w:u w:val="none"/>
        </w:rPr>
        <w:t>销售文件。</w:t>
      </w:r>
      <w:r>
        <w:rPr>
          <w:rFonts w:hint="eastAsia" w:ascii="仿宋_GB2312" w:hAnsi="宋体" w:cs="宋体"/>
          <w:b/>
          <w:bCs/>
          <w:color w:val="auto"/>
          <w:kern w:val="0"/>
          <w:szCs w:val="24"/>
          <w:highlight w:val="none"/>
          <w:u w:val="none"/>
        </w:rPr>
        <w:t>为了维护投资者的合法权益，请在投资前仔细阅读本说明书及其他销售文件，了解理财产品具体情况。</w:t>
      </w:r>
    </w:p>
    <w:p w14:paraId="7A6F1E5D">
      <w:pPr>
        <w:pStyle w:val="13"/>
        <w:spacing w:line="360" w:lineRule="auto"/>
        <w:ind w:firstLine="0" w:firstLineChars="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w:t>
      </w:r>
      <w:r>
        <w:rPr>
          <w:rFonts w:hint="eastAsia" w:ascii="仿宋_GB2312" w:hAnsi="宋体" w:cs="宋体"/>
          <w:bCs/>
          <w:color w:val="auto"/>
          <w:kern w:val="0"/>
          <w:szCs w:val="24"/>
          <w:highlight w:val="none"/>
          <w:u w:val="none"/>
        </w:rPr>
        <w:t>本理财产品为</w:t>
      </w:r>
      <w:r>
        <w:rPr>
          <w:rFonts w:hint="eastAsia" w:ascii="仿宋_GB2312" w:hAnsi="宋体" w:cs="宋体"/>
          <w:b/>
          <w:bCs/>
          <w:color w:val="auto"/>
          <w:kern w:val="0"/>
          <w:szCs w:val="24"/>
          <w:highlight w:val="none"/>
          <w:u w:val="none"/>
        </w:rPr>
        <w:t>非保本浮动收益型理财产品，与银行存款存在显著区别，不受</w:t>
      </w:r>
      <w:r>
        <w:rPr>
          <w:rFonts w:hint="eastAsia" w:ascii="仿宋_GB2312" w:cs="宋体" w:hAnsiTheme="minorEastAsia"/>
          <w:b/>
          <w:bCs/>
          <w:color w:val="auto"/>
          <w:kern w:val="0"/>
          <w:szCs w:val="32"/>
          <w:highlight w:val="none"/>
          <w:u w:val="none"/>
        </w:rPr>
        <w:t>存款保险及其他保障机制的保障。</w:t>
      </w:r>
      <w:r>
        <w:rPr>
          <w:rFonts w:hint="eastAsia" w:ascii="仿宋_GB2312" w:hAnsi="宋体" w:cs="宋体"/>
          <w:b/>
          <w:bCs/>
          <w:color w:val="auto"/>
          <w:kern w:val="0"/>
          <w:szCs w:val="24"/>
          <w:highlight w:val="none"/>
          <w:u w:val="none"/>
        </w:rPr>
        <w:t>本理财产品不保证投资者理财本金安全及最低收益，投资者投资/持有本理财产品可能因市场变化、突发事件等因素遭受收益乃至本金损失</w:t>
      </w:r>
      <w:r>
        <w:rPr>
          <w:rFonts w:hint="eastAsia" w:ascii="仿宋_GB2312" w:cs="宋体" w:hAnsiTheme="minorEastAsia"/>
          <w:b/>
          <w:bCs/>
          <w:color w:val="auto"/>
          <w:kern w:val="0"/>
          <w:szCs w:val="32"/>
          <w:highlight w:val="none"/>
          <w:u w:val="none"/>
        </w:rPr>
        <w:t>，</w:t>
      </w:r>
      <w:r>
        <w:rPr>
          <w:rFonts w:hint="eastAsia" w:cs="宋体" w:asciiTheme="minorEastAsia" w:hAnsiTheme="minorEastAsia"/>
          <w:b/>
          <w:bCs/>
          <w:color w:val="auto"/>
          <w:kern w:val="0"/>
          <w:szCs w:val="24"/>
          <w:highlight w:val="none"/>
          <w:u w:val="none"/>
        </w:rPr>
        <w:t>请</w:t>
      </w:r>
      <w:r>
        <w:rPr>
          <w:rFonts w:hint="eastAsia" w:ascii="仿宋_GB2312" w:hAnsi="宋体" w:cs="宋体"/>
          <w:b/>
          <w:bCs/>
          <w:color w:val="auto"/>
          <w:kern w:val="0"/>
          <w:szCs w:val="24"/>
          <w:highlight w:val="none"/>
          <w:u w:val="none"/>
        </w:rPr>
        <w:t>投资者充分知晓、理解投资风险，谨慎投资。</w:t>
      </w:r>
    </w:p>
    <w:p w14:paraId="2D60914E">
      <w:pPr>
        <w:pStyle w:val="13"/>
        <w:spacing w:line="360" w:lineRule="auto"/>
        <w:ind w:firstLine="0" w:firstLineChars="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w:t>
      </w:r>
      <w:r>
        <w:rPr>
          <w:rFonts w:hint="eastAsia" w:ascii="仿宋_GB2312" w:hAnsi="宋体" w:cs="宋体"/>
          <w:bCs/>
          <w:color w:val="auto"/>
          <w:kern w:val="0"/>
          <w:szCs w:val="24"/>
          <w:highlight w:val="none"/>
          <w:u w:val="none"/>
        </w:rPr>
        <w:t>本理财产品涉及的主要风险包括政策风险、信用风险、市场风险、流动性风险、经营管理风险、交易对手风险、操作风险、代销风险、募集期延长/缩短风险、产品不成立风险、提前终止风险、延期分配风险、信息传递风险、关联关系及关联交易风险、再投资风险、估值风险、托管及清算风险、税务风险、不同理财产品份额类别存在差异的风险、其他风险等，</w:t>
      </w:r>
      <w:r>
        <w:rPr>
          <w:rFonts w:hint="eastAsia" w:ascii="仿宋_GB2312" w:hAnsi="宋体" w:cs="宋体"/>
          <w:b/>
          <w:bCs/>
          <w:color w:val="auto"/>
          <w:kern w:val="0"/>
          <w:szCs w:val="24"/>
          <w:highlight w:val="none"/>
          <w:u w:val="none"/>
        </w:rPr>
        <w:t>请投资者仔细阅读《风险揭示书》。●本理财产品销售文件中的任何“业绩比较基准”“业绩比较基准区间”以及其他类似表述均不代表投资者可能获得的实际收益，亦不构成管理人对本理财产品的任何收益承诺，不具有法律效力。</w:t>
      </w:r>
    </w:p>
    <w:p w14:paraId="674921E6">
      <w:pPr>
        <w:pStyle w:val="13"/>
        <w:spacing w:line="360" w:lineRule="auto"/>
        <w:ind w:firstLine="0" w:firstLineChars="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●本理财</w:t>
      </w:r>
      <w:r>
        <w:rPr>
          <w:rFonts w:ascii="仿宋_GB2312" w:hAnsi="宋体" w:cs="宋体"/>
          <w:b/>
          <w:bCs/>
          <w:color w:val="auto"/>
          <w:kern w:val="0"/>
          <w:szCs w:val="24"/>
          <w:highlight w:val="none"/>
          <w:u w:val="none"/>
        </w:rPr>
        <w:t>产品的投资运作情况体现为产品净值变化，</w:t>
      </w:r>
      <w:r>
        <w:rPr>
          <w:rFonts w:hint="eastAsia" w:ascii="仿宋_GB2312" w:hAnsi="宋体" w:cs="宋体"/>
          <w:b/>
          <w:bCs/>
          <w:color w:val="auto"/>
          <w:kern w:val="0"/>
          <w:szCs w:val="24"/>
          <w:highlight w:val="none"/>
          <w:u w:val="none"/>
        </w:rPr>
        <w:t>投资者最终理财收益以实际到账为准。本理财产品过往业绩不代表其未来表现，不等于投资者未来可获得的实际收益。</w:t>
      </w:r>
    </w:p>
    <w:p w14:paraId="5DBE5CC3">
      <w:pPr>
        <w:tabs>
          <w:tab w:val="left" w:pos="709"/>
        </w:tabs>
        <w:snapToGrid w:val="0"/>
        <w:spacing w:line="360" w:lineRule="auto"/>
        <w:rPr>
          <w:rFonts w:ascii="仿宋_GB2312" w:hAnsi="宋体" w:cs="宋体"/>
          <w:bCs/>
          <w:color w:val="auto"/>
          <w:kern w:val="0"/>
          <w:szCs w:val="24"/>
          <w:highlight w:val="none"/>
          <w:u w:val="none"/>
        </w:rPr>
      </w:pPr>
      <w:r>
        <w:rPr>
          <w:rFonts w:hint="eastAsia" w:ascii="仿宋_GB2312" w:hAnsi="宋体" w:cs="宋体"/>
          <w:b/>
          <w:bCs/>
          <w:color w:val="auto"/>
          <w:kern w:val="0"/>
          <w:szCs w:val="24"/>
          <w:highlight w:val="none"/>
          <w:u w:val="none"/>
        </w:rPr>
        <w:t>●本理财产品仅向依据中华人民共和国法律法规及监管规定可以购买本类理财产品的投资者发售。</w:t>
      </w:r>
      <w:r>
        <w:rPr>
          <w:rFonts w:ascii="仿宋_GB2312" w:hAnsi="宋体" w:cs="宋体"/>
          <w:b/>
          <w:color w:val="auto"/>
          <w:kern w:val="0"/>
          <w:szCs w:val="24"/>
          <w:highlight w:val="none"/>
          <w:u w:val="none"/>
        </w:rPr>
        <w:t>投资者通过销售机构与浙银理财签订理财产品销售文件后，销售机构或浙银理财在划款时，不再通过任何方式与投资者进行最后确认，直接划款。</w:t>
      </w:r>
      <w:r>
        <w:rPr>
          <w:rFonts w:hint="eastAsia"/>
          <w:b/>
          <w:color w:val="auto"/>
          <w:highlight w:val="none"/>
          <w:u w:val="none"/>
        </w:rPr>
        <w:t>投</w:t>
      </w:r>
      <w:r>
        <w:rPr>
          <w:rFonts w:ascii="仿宋_GB2312" w:hAnsi="宋体" w:cs="宋体"/>
          <w:b/>
          <w:color w:val="auto"/>
          <w:kern w:val="0"/>
          <w:szCs w:val="24"/>
          <w:highlight w:val="none"/>
          <w:u w:val="none"/>
        </w:rPr>
        <w:t>资者通过销售机构电子渠道购买本理财产品，成功提交认购/申购申请后视同为投资者已完全知悉并接受本理财产品销售文件载明的风险揭示、重要提示以及其他约定，与浙银理财已完成理财产品销售</w:t>
      </w:r>
      <w:r>
        <w:rPr>
          <w:rFonts w:hint="eastAsia" w:ascii="仿宋_GB2312" w:hAnsi="宋体" w:cs="宋体"/>
          <w:b/>
          <w:color w:val="auto"/>
          <w:kern w:val="0"/>
          <w:szCs w:val="24"/>
          <w:highlight w:val="none"/>
          <w:u w:val="none"/>
        </w:rPr>
        <w:t>文件</w:t>
      </w:r>
      <w:r>
        <w:rPr>
          <w:rFonts w:ascii="仿宋_GB2312" w:hAnsi="宋体" w:cs="宋体"/>
          <w:b/>
          <w:color w:val="auto"/>
          <w:kern w:val="0"/>
          <w:szCs w:val="24"/>
          <w:highlight w:val="none"/>
          <w:u w:val="none"/>
        </w:rPr>
        <w:t>的签订。</w:t>
      </w:r>
    </w:p>
    <w:p w14:paraId="4342341A">
      <w:pPr>
        <w:tabs>
          <w:tab w:val="left" w:pos="709"/>
        </w:tabs>
        <w:snapToGrid w:val="0"/>
        <w:spacing w:line="360" w:lineRule="auto"/>
        <w:rPr>
          <w:rFonts w:ascii="仿宋_GB2312" w:hAnsi="宋体" w:cs="宋体"/>
          <w:bCs/>
          <w:color w:val="auto"/>
          <w:kern w:val="0"/>
          <w:szCs w:val="24"/>
          <w:highlight w:val="none"/>
          <w:u w:val="none"/>
        </w:rPr>
      </w:pPr>
      <w:r>
        <w:rPr>
          <w:rFonts w:hint="eastAsia" w:ascii="仿宋_GB2312" w:hAnsi="宋体" w:cs="宋体"/>
          <w:b/>
          <w:bCs/>
          <w:color w:val="auto"/>
          <w:kern w:val="0"/>
          <w:szCs w:val="24"/>
          <w:highlight w:val="none"/>
          <w:u w:val="none"/>
        </w:rPr>
        <w:t>●</w:t>
      </w:r>
      <w:r>
        <w:rPr>
          <w:rFonts w:hint="eastAsia" w:ascii="仿宋_GB2312" w:hAnsi="宋体" w:cs="宋体"/>
          <w:bCs/>
          <w:color w:val="auto"/>
          <w:kern w:val="0"/>
          <w:szCs w:val="24"/>
          <w:highlight w:val="none"/>
          <w:u w:val="none"/>
        </w:rPr>
        <w:t>投资本理财产品后，投资者应随时关注本理财产品的信息披露情况，及时获取相关信息</w:t>
      </w: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rPr>
        <w:t>相关信息以销售文件约定的信息披露方式进行披露。</w:t>
      </w:r>
    </w:p>
    <w:p w14:paraId="2E1B7A55">
      <w:pPr>
        <w:tabs>
          <w:tab w:val="left" w:pos="709"/>
        </w:tabs>
        <w:snapToGrid w:val="0"/>
        <w:spacing w:line="360" w:lineRule="auto"/>
        <w:rPr>
          <w:rFonts w:ascii="仿宋_GB2312" w:hAnsi="宋体" w:cs="宋体"/>
          <w:bCs/>
          <w:color w:val="auto"/>
          <w:kern w:val="0"/>
          <w:szCs w:val="24"/>
          <w:highlight w:val="none"/>
          <w:u w:val="none"/>
        </w:rPr>
      </w:pPr>
      <w:r>
        <w:rPr>
          <w:rFonts w:hint="eastAsia" w:ascii="仿宋_GB2312" w:hAnsi="宋体" w:cs="宋体"/>
          <w:b/>
          <w:bCs/>
          <w:color w:val="auto"/>
          <w:kern w:val="0"/>
          <w:szCs w:val="24"/>
          <w:highlight w:val="none"/>
          <w:u w:val="none"/>
        </w:rPr>
        <w:t>●</w:t>
      </w:r>
      <w:r>
        <w:rPr>
          <w:rFonts w:hint="eastAsia" w:ascii="仿宋_GB2312" w:hAnsi="宋体" w:cs="宋体"/>
          <w:bCs/>
          <w:color w:val="auto"/>
          <w:kern w:val="0"/>
          <w:szCs w:val="24"/>
          <w:highlight w:val="none"/>
          <w:u w:val="none"/>
        </w:rPr>
        <w:t>投资者承诺其用于购买本理财产品的资金来源合法合规，并且其系为合法之目的投资本理财产品，而非为洗钱等违法犯罪目的；投资者应确保用于投资本理财产品的资金不来源于贷款、发行债券等筹集的非自有资金。（受托管理的资产管理产品除外）</w:t>
      </w:r>
    </w:p>
    <w:p w14:paraId="0E294EAF">
      <w:pPr>
        <w:tabs>
          <w:tab w:val="left" w:pos="709"/>
        </w:tabs>
        <w:snapToGrid w:val="0"/>
        <w:spacing w:line="360" w:lineRule="auto"/>
        <w:rPr>
          <w:rFonts w:ascii="仿宋_GB2312" w:hAnsi="宋体" w:cs="宋体"/>
          <w:bCs/>
          <w:color w:val="auto"/>
          <w:kern w:val="0"/>
          <w:szCs w:val="24"/>
          <w:highlight w:val="none"/>
          <w:u w:val="none"/>
        </w:rPr>
      </w:pPr>
      <w:r>
        <w:rPr>
          <w:rFonts w:hint="eastAsia" w:ascii="仿宋_GB2312" w:hAnsi="宋体" w:cs="宋体"/>
          <w:b/>
          <w:bCs/>
          <w:color w:val="auto"/>
          <w:kern w:val="0"/>
          <w:szCs w:val="24"/>
          <w:highlight w:val="none"/>
          <w:u w:val="none"/>
        </w:rPr>
        <w:t>●</w:t>
      </w:r>
      <w:r>
        <w:rPr>
          <w:rFonts w:ascii="仿宋_GB2312" w:hAnsi="宋体" w:cs="宋体"/>
          <w:b/>
          <w:color w:val="auto"/>
          <w:kern w:val="0"/>
          <w:szCs w:val="24"/>
          <w:highlight w:val="none"/>
          <w:u w:val="none"/>
        </w:rPr>
        <w:t>在本理财产品存续期内，</w:t>
      </w:r>
      <w:r>
        <w:rPr>
          <w:rFonts w:ascii="仿宋_GB2312" w:cs="宋体" w:hAnsiTheme="minorEastAsia"/>
          <w:b/>
          <w:color w:val="auto"/>
          <w:kern w:val="0"/>
          <w:szCs w:val="32"/>
          <w:highlight w:val="none"/>
          <w:u w:val="none"/>
        </w:rPr>
        <w:t>如因维持本理财产品正常运营的需要且在不损害投资者利益的前提下，或因监管政策、法律法规发生变化</w:t>
      </w:r>
      <w:r>
        <w:rPr>
          <w:rFonts w:ascii="仿宋_GB2312" w:hAnsi="宋体" w:cs="宋体"/>
          <w:b/>
          <w:color w:val="auto"/>
          <w:kern w:val="0"/>
          <w:szCs w:val="24"/>
          <w:highlight w:val="none"/>
          <w:u w:val="none"/>
        </w:rPr>
        <w:t>，浙银理财有权单方对本理财产品销售文件条款进行修订，并按本理财产品说明书约定的披露方式向投资者进行信息披露。浙银理财按照前述规则发布该信息披露即视为该修订通知已送达投资者并对投资者具有法律约束力。</w:t>
      </w:r>
    </w:p>
    <w:p w14:paraId="364E68D3">
      <w:pPr>
        <w:tabs>
          <w:tab w:val="left" w:pos="709"/>
        </w:tabs>
        <w:snapToGrid w:val="0"/>
        <w:spacing w:line="360" w:lineRule="auto"/>
        <w:rPr>
          <w:color w:val="auto"/>
          <w:highlight w:val="none"/>
          <w:u w:val="none"/>
        </w:rPr>
      </w:pPr>
      <w:r>
        <w:rPr>
          <w:rFonts w:hint="eastAsia" w:ascii="仿宋_GB2312" w:cs="宋体" w:hAnsiTheme="minorEastAsia"/>
          <w:bCs/>
          <w:color w:val="auto"/>
          <w:kern w:val="0"/>
          <w:szCs w:val="32"/>
          <w:highlight w:val="none"/>
          <w:u w:val="none"/>
        </w:rPr>
        <w:t>●如对本理财产品、服务有任何疑问、意见或建议，敬请联系您的销售服务机构，具体联系方式以《产品说明书》等销售文件的披露为准；或反馈至浙银理财服务电话：0571-57192881。</w:t>
      </w:r>
    </w:p>
    <w:p w14:paraId="5DC887E7">
      <w:pPr>
        <w:rPr>
          <w:color w:val="auto"/>
          <w:highlight w:val="none"/>
          <w:u w:val="none"/>
        </w:rPr>
      </w:pPr>
      <w:r>
        <w:rPr>
          <w:color w:val="auto"/>
          <w:highlight w:val="none"/>
          <w:u w:val="none"/>
        </w:rPr>
        <w:br w:type="page"/>
      </w:r>
    </w:p>
    <w:p w14:paraId="6148B5DB">
      <w:pPr>
        <w:pStyle w:val="2"/>
        <w:numPr>
          <w:ilvl w:val="0"/>
          <w:numId w:val="15"/>
        </w:numPr>
        <w:rPr>
          <w:color w:val="auto"/>
          <w:highlight w:val="none"/>
          <w:u w:val="none"/>
        </w:rPr>
      </w:pPr>
      <w:r>
        <w:rPr>
          <w:rFonts w:hint="eastAsia"/>
          <w:color w:val="auto"/>
          <w:highlight w:val="none"/>
          <w:u w:val="none"/>
        </w:rPr>
        <w:t>释义</w:t>
      </w:r>
    </w:p>
    <w:p w14:paraId="1A286903">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本说明书中，除非另有明确说明，否则下列词语或简称具有如下含义：</w:t>
      </w:r>
    </w:p>
    <w:p w14:paraId="777CDBFB">
      <w:pPr>
        <w:pStyle w:val="3"/>
        <w:numPr>
          <w:ilvl w:val="1"/>
          <w:numId w:val="15"/>
        </w:numPr>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产品参与主体用语</w:t>
      </w:r>
    </w:p>
    <w:p w14:paraId="657D69A4">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ascii="仿宋_GB2312" w:hAnsi="宋体" w:cs="宋体"/>
          <w:bCs/>
          <w:color w:val="auto"/>
          <w:kern w:val="0"/>
          <w:szCs w:val="24"/>
          <w:highlight w:val="none"/>
          <w:u w:val="none"/>
        </w:rPr>
        <w:t>管理人/产品管理人/理财产品管理人</w:t>
      </w:r>
      <w:r>
        <w:rPr>
          <w:rFonts w:hint="eastAsia" w:ascii="仿宋_GB2312" w:hAnsi="宋体" w:cs="宋体"/>
          <w:bCs/>
          <w:color w:val="auto"/>
          <w:kern w:val="0"/>
          <w:szCs w:val="24"/>
          <w:highlight w:val="none"/>
          <w:u w:val="none"/>
          <w:lang w:val="en-US" w:eastAsia="zh-CN"/>
        </w:rPr>
        <w:t>/发行机构</w:t>
      </w:r>
      <w:r>
        <w:rPr>
          <w:rFonts w:ascii="仿宋_GB2312" w:hAnsi="宋体" w:cs="宋体"/>
          <w:bCs/>
          <w:color w:val="auto"/>
          <w:kern w:val="0"/>
          <w:szCs w:val="24"/>
          <w:highlight w:val="none"/>
          <w:u w:val="none"/>
        </w:rPr>
        <w:t>：指浙银理财有限责任公司（简称“浙银理财”）。</w:t>
      </w:r>
    </w:p>
    <w:p w14:paraId="2C867DEE">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w:t>
      </w:r>
      <w:r>
        <w:rPr>
          <w:rFonts w:hint="eastAsia" w:ascii="仿宋_GB2312" w:hAnsi="宋体" w:cs="宋体"/>
          <w:bCs/>
          <w:color w:val="auto"/>
          <w:kern w:val="0"/>
          <w:szCs w:val="24"/>
          <w:highlight w:val="none"/>
          <w:u w:val="none"/>
        </w:rPr>
        <w:t>销售机构/理财产品销售机构：指符合</w:t>
      </w:r>
      <w:r>
        <w:rPr>
          <w:rFonts w:ascii="仿宋_GB2312" w:hAnsi="宋体" w:cs="宋体"/>
          <w:bCs/>
          <w:color w:val="auto"/>
          <w:kern w:val="0"/>
          <w:szCs w:val="24"/>
          <w:highlight w:val="none"/>
          <w:u w:val="none"/>
        </w:rPr>
        <w:t>监管</w:t>
      </w:r>
      <w:r>
        <w:rPr>
          <w:rFonts w:hint="eastAsia" w:ascii="仿宋_GB2312" w:hAnsi="宋体" w:cs="宋体"/>
          <w:bCs/>
          <w:color w:val="auto"/>
          <w:kern w:val="0"/>
          <w:szCs w:val="24"/>
          <w:highlight w:val="none"/>
          <w:u w:val="none"/>
        </w:rPr>
        <w:t>规定</w:t>
      </w:r>
      <w:r>
        <w:rPr>
          <w:rFonts w:ascii="仿宋_GB2312" w:hAnsi="宋体" w:cs="宋体"/>
          <w:bCs/>
          <w:color w:val="auto"/>
          <w:kern w:val="0"/>
          <w:szCs w:val="24"/>
          <w:highlight w:val="none"/>
          <w:u w:val="none"/>
        </w:rPr>
        <w:t>具备理财产品销售资格</w:t>
      </w:r>
      <w:r>
        <w:rPr>
          <w:rFonts w:hint="eastAsia" w:ascii="仿宋_GB2312" w:hAnsi="宋体" w:cs="宋体"/>
          <w:bCs/>
          <w:color w:val="auto"/>
          <w:kern w:val="0"/>
          <w:szCs w:val="24"/>
          <w:highlight w:val="none"/>
          <w:u w:val="none"/>
        </w:rPr>
        <w:t>的</w:t>
      </w:r>
      <w:r>
        <w:rPr>
          <w:rFonts w:ascii="仿宋_GB2312" w:hAnsi="宋体" w:cs="宋体"/>
          <w:bCs/>
          <w:color w:val="auto"/>
          <w:kern w:val="0"/>
          <w:szCs w:val="24"/>
          <w:highlight w:val="none"/>
          <w:u w:val="none"/>
        </w:rPr>
        <w:t>机构</w:t>
      </w:r>
      <w:r>
        <w:rPr>
          <w:rFonts w:hint="eastAsia" w:ascii="仿宋_GB2312" w:hAnsi="宋体" w:cs="宋体"/>
          <w:bCs/>
          <w:color w:val="auto"/>
          <w:kern w:val="0"/>
          <w:szCs w:val="24"/>
          <w:highlight w:val="none"/>
          <w:u w:val="none"/>
        </w:rPr>
        <w:t>，</w:t>
      </w:r>
      <w:r>
        <w:rPr>
          <w:rFonts w:ascii="仿宋_GB2312" w:hAnsi="宋体" w:cs="宋体"/>
          <w:bCs/>
          <w:color w:val="auto"/>
          <w:kern w:val="0"/>
          <w:szCs w:val="24"/>
          <w:highlight w:val="none"/>
          <w:u w:val="none"/>
        </w:rPr>
        <w:t>销售机构在其渠道开展向投资者</w:t>
      </w:r>
      <w:r>
        <w:rPr>
          <w:rFonts w:hint="eastAsia" w:ascii="仿宋_GB2312" w:hAnsi="宋体" w:cs="宋体"/>
          <w:bCs/>
          <w:color w:val="auto"/>
          <w:kern w:val="0"/>
          <w:szCs w:val="24"/>
          <w:highlight w:val="none"/>
          <w:u w:val="none"/>
        </w:rPr>
        <w:t>进行</w:t>
      </w:r>
      <w:r>
        <w:rPr>
          <w:rFonts w:ascii="仿宋_GB2312" w:hAnsi="宋体" w:cs="宋体"/>
          <w:bCs/>
          <w:color w:val="auto"/>
          <w:kern w:val="0"/>
          <w:szCs w:val="24"/>
          <w:highlight w:val="none"/>
          <w:u w:val="none"/>
        </w:rPr>
        <w:t>宣传推介</w:t>
      </w:r>
      <w:r>
        <w:rPr>
          <w:rFonts w:hint="eastAsia" w:ascii="仿宋_GB2312" w:hAnsi="宋体" w:cs="宋体"/>
          <w:bCs/>
          <w:color w:val="auto"/>
          <w:kern w:val="0"/>
          <w:szCs w:val="24"/>
          <w:highlight w:val="none"/>
          <w:u w:val="none"/>
        </w:rPr>
        <w:t>，为</w:t>
      </w:r>
      <w:r>
        <w:rPr>
          <w:rFonts w:ascii="仿宋_GB2312" w:hAnsi="宋体" w:cs="宋体"/>
          <w:bCs/>
          <w:color w:val="auto"/>
          <w:kern w:val="0"/>
          <w:szCs w:val="24"/>
          <w:highlight w:val="none"/>
          <w:u w:val="none"/>
        </w:rPr>
        <w:t>投资者</w:t>
      </w:r>
      <w:r>
        <w:rPr>
          <w:rFonts w:hint="eastAsia" w:ascii="仿宋_GB2312" w:hAnsi="宋体" w:cs="宋体"/>
          <w:bCs/>
          <w:color w:val="auto"/>
          <w:kern w:val="0"/>
          <w:szCs w:val="24"/>
          <w:highlight w:val="none"/>
          <w:u w:val="none"/>
        </w:rPr>
        <w:t>办理理财产品认购、申购和赎回，以及监管许可的其他销售活动。理财</w:t>
      </w:r>
      <w:r>
        <w:rPr>
          <w:rFonts w:ascii="仿宋_GB2312" w:hAnsi="宋体" w:cs="宋体"/>
          <w:bCs/>
          <w:color w:val="auto"/>
          <w:kern w:val="0"/>
          <w:szCs w:val="24"/>
          <w:highlight w:val="none"/>
          <w:u w:val="none"/>
        </w:rPr>
        <w:t>产品</w:t>
      </w:r>
      <w:r>
        <w:rPr>
          <w:rFonts w:hint="eastAsia" w:ascii="仿宋_GB2312" w:hAnsi="宋体" w:cs="宋体"/>
          <w:bCs/>
          <w:color w:val="auto"/>
          <w:kern w:val="0"/>
          <w:szCs w:val="24"/>
          <w:highlight w:val="none"/>
          <w:u w:val="none"/>
        </w:rPr>
        <w:t>销售可分为直销和代理</w:t>
      </w:r>
      <w:r>
        <w:rPr>
          <w:rFonts w:ascii="仿宋_GB2312" w:hAnsi="宋体" w:cs="宋体"/>
          <w:bCs/>
          <w:color w:val="auto"/>
          <w:kern w:val="0"/>
          <w:szCs w:val="24"/>
          <w:highlight w:val="none"/>
          <w:u w:val="none"/>
        </w:rPr>
        <w:t>销售</w:t>
      </w:r>
      <w:r>
        <w:rPr>
          <w:rFonts w:hint="eastAsia" w:ascii="仿宋_GB2312" w:hAnsi="宋体" w:cs="宋体"/>
          <w:bCs/>
          <w:color w:val="auto"/>
          <w:kern w:val="0"/>
          <w:szCs w:val="24"/>
          <w:highlight w:val="none"/>
          <w:u w:val="none"/>
        </w:rPr>
        <w:t>，直销机构指销售本公司发行理财产品的理财公司，代销机构指接受理财公司委托销售发行理财产品的代理销售机构。销售机构在其渠道开展向投资者宣传推介、销售产品管理人依法发行的资产管理产品的活动。</w:t>
      </w:r>
    </w:p>
    <w:p w14:paraId="2CF6D156">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3.</w:t>
      </w:r>
      <w:r>
        <w:rPr>
          <w:rFonts w:hint="eastAsia" w:ascii="仿宋_GB2312" w:hAnsi="宋体" w:cs="宋体"/>
          <w:bCs/>
          <w:color w:val="auto"/>
          <w:kern w:val="0"/>
          <w:szCs w:val="24"/>
          <w:highlight w:val="none"/>
          <w:u w:val="none"/>
        </w:rPr>
        <w:t>托管人</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产品托管人</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理财产品托管人</w:t>
      </w:r>
      <w:r>
        <w:rPr>
          <w:rFonts w:hint="eastAsia" w:ascii="仿宋_GB2312" w:hAnsi="宋体" w:cs="宋体"/>
          <w:bCs/>
          <w:color w:val="auto"/>
          <w:kern w:val="0"/>
          <w:szCs w:val="24"/>
          <w:highlight w:val="none"/>
          <w:u w:val="none"/>
          <w:lang w:val="en-US" w:eastAsia="zh-CN"/>
        </w:rPr>
        <w:t>/托管机构</w:t>
      </w:r>
      <w:r>
        <w:rPr>
          <w:rFonts w:hint="eastAsia" w:ascii="仿宋_GB2312" w:hAnsi="宋体" w:cs="宋体"/>
          <w:bCs/>
          <w:color w:val="auto"/>
          <w:kern w:val="0"/>
          <w:szCs w:val="24"/>
          <w:highlight w:val="none"/>
          <w:u w:val="none"/>
        </w:rPr>
        <w:t>：</w:t>
      </w:r>
      <w:r>
        <w:rPr>
          <w:rFonts w:ascii="仿宋_GB2312" w:hAnsi="宋体" w:cs="宋体"/>
          <w:bCs/>
          <w:color w:val="auto"/>
          <w:kern w:val="0"/>
          <w:szCs w:val="24"/>
          <w:highlight w:val="none"/>
          <w:u w:val="none"/>
        </w:rPr>
        <w:t>指</w:t>
      </w:r>
      <w:r>
        <w:rPr>
          <w:rFonts w:hint="eastAsia" w:ascii="仿宋_GB2312" w:hAnsi="宋体" w:cs="宋体"/>
          <w:bCs/>
          <w:color w:val="auto"/>
          <w:kern w:val="0"/>
          <w:szCs w:val="24"/>
          <w:highlight w:val="none"/>
          <w:u w:val="none"/>
        </w:rPr>
        <w:t>根据管理人委托对理财产品财产进行托管的机构。本理财</w:t>
      </w:r>
      <w:r>
        <w:rPr>
          <w:rFonts w:ascii="仿宋_GB2312" w:hAnsi="宋体" w:cs="宋体"/>
          <w:bCs/>
          <w:color w:val="auto"/>
          <w:kern w:val="0"/>
          <w:szCs w:val="24"/>
          <w:highlight w:val="none"/>
          <w:u w:val="none"/>
        </w:rPr>
        <w:t>产品托管人</w:t>
      </w:r>
      <w:r>
        <w:rPr>
          <w:rFonts w:hint="eastAsia" w:ascii="仿宋_GB2312" w:hAnsi="宋体" w:cs="宋体"/>
          <w:bCs/>
          <w:color w:val="auto"/>
          <w:kern w:val="0"/>
          <w:szCs w:val="24"/>
          <w:highlight w:val="none"/>
          <w:u w:val="none"/>
        </w:rPr>
        <w:t>指</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rPr>
        <w:t>（简称</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rPr>
        <w:t>）。</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具备理财产品托管资格。</w:t>
      </w:r>
    </w:p>
    <w:p w14:paraId="2FC7E22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4.投资者：指符合相关法律法规、监管规定要求的，可以购买理财产品份额的自然人、法人及</w:t>
      </w:r>
      <w:r>
        <w:rPr>
          <w:rFonts w:ascii="仿宋_GB2312" w:hAnsi="宋体" w:cs="宋体"/>
          <w:bCs/>
          <w:color w:val="auto"/>
          <w:kern w:val="0"/>
          <w:szCs w:val="24"/>
          <w:highlight w:val="none"/>
          <w:u w:val="none"/>
        </w:rPr>
        <w:t>依法成立的</w:t>
      </w:r>
      <w:r>
        <w:rPr>
          <w:rFonts w:hint="eastAsia" w:ascii="仿宋_GB2312" w:hAnsi="宋体" w:cs="宋体"/>
          <w:bCs/>
          <w:color w:val="auto"/>
          <w:kern w:val="0"/>
          <w:szCs w:val="24"/>
          <w:highlight w:val="none"/>
          <w:u w:val="none"/>
        </w:rPr>
        <w:t>其他</w:t>
      </w:r>
      <w:r>
        <w:rPr>
          <w:rFonts w:ascii="仿宋_GB2312" w:hAnsi="宋体" w:cs="宋体"/>
          <w:bCs/>
          <w:color w:val="auto"/>
          <w:kern w:val="0"/>
          <w:szCs w:val="24"/>
          <w:highlight w:val="none"/>
          <w:u w:val="none"/>
        </w:rPr>
        <w:t>组织</w:t>
      </w:r>
      <w:r>
        <w:rPr>
          <w:rFonts w:hint="eastAsia" w:ascii="仿宋_GB2312" w:hAnsi="宋体" w:cs="宋体"/>
          <w:bCs/>
          <w:color w:val="auto"/>
          <w:kern w:val="0"/>
          <w:szCs w:val="24"/>
          <w:highlight w:val="none"/>
          <w:u w:val="none"/>
        </w:rPr>
        <w:t xml:space="preserve">。 </w:t>
      </w:r>
    </w:p>
    <w:p w14:paraId="0B8B1080">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5.合格投资者：合格投资者是指具备相应风险识别能力和风险承受能力，投资于单只理财产品不低于一定金额且符合下列条件的自然人、法人或者依法成立的其他组织：</w:t>
      </w:r>
    </w:p>
    <w:p w14:paraId="3D6A534F">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lang w:val="en-US" w:eastAsia="zh-CN"/>
        </w:rPr>
        <w:t>1</w:t>
      </w: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rPr>
        <w:t>具有2年以上投资经历，且满足家庭金融净资产不低于300万元人民币，或者家庭金融资产不低于500万元人民币，或者近3年本人年均收入不低于40万元人民币；</w:t>
      </w:r>
    </w:p>
    <w:p w14:paraId="7BE1A484">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lang w:val="en-US" w:eastAsia="zh-CN"/>
        </w:rPr>
        <w:t>2</w:t>
      </w: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rPr>
        <w:t>最近1年末净资产不低于1000万元人民币的法人或者依法成立的其他组织；</w:t>
      </w:r>
    </w:p>
    <w:p w14:paraId="5D56C275">
      <w:pPr>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lang w:val="en-US" w:eastAsia="zh-CN"/>
        </w:rPr>
        <w:t>3</w:t>
      </w: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rPr>
        <w:t>国务院银行业监督管理机构规定的其他情形。</w:t>
      </w:r>
    </w:p>
    <w:p w14:paraId="58C29B40">
      <w:pPr>
        <w:tabs>
          <w:tab w:val="left" w:pos="709"/>
        </w:tabs>
        <w:snapToGrid w:val="0"/>
        <w:spacing w:line="360" w:lineRule="auto"/>
        <w:ind w:firstLine="420" w:firstLineChars="200"/>
        <w:rPr>
          <w:rFonts w:hint="eastAsia" w:ascii="仿宋_GB2312" w:hAnsi="宋体" w:cs="宋体"/>
          <w:bCs/>
          <w:color w:val="auto"/>
          <w:kern w:val="0"/>
          <w:szCs w:val="24"/>
          <w:highlight w:val="none"/>
          <w:u w:val="none"/>
          <w:lang w:val="en-US" w:eastAsia="zh-CN"/>
        </w:rPr>
      </w:pPr>
      <w:r>
        <w:rPr>
          <w:rFonts w:hint="eastAsia" w:ascii="仿宋_GB2312" w:hAnsi="宋体" w:cs="宋体"/>
          <w:bCs/>
          <w:color w:val="auto"/>
          <w:kern w:val="0"/>
          <w:szCs w:val="24"/>
          <w:highlight w:val="none"/>
          <w:u w:val="none"/>
          <w:lang w:val="en-US" w:eastAsia="zh-CN"/>
        </w:rPr>
        <w:t>6.专业投资者：符合下列条件之一的是专业投资者：</w:t>
      </w:r>
    </w:p>
    <w:p w14:paraId="793CB8BB">
      <w:pPr>
        <w:tabs>
          <w:tab w:val="left" w:pos="709"/>
        </w:tabs>
        <w:snapToGrid w:val="0"/>
        <w:spacing w:line="360" w:lineRule="auto"/>
        <w:ind w:firstLine="420" w:firstLineChars="200"/>
        <w:rPr>
          <w:rFonts w:hint="eastAsia" w:ascii="仿宋_GB2312" w:hAnsi="宋体" w:cs="宋体"/>
          <w:bCs/>
          <w:color w:val="auto"/>
          <w:kern w:val="0"/>
          <w:szCs w:val="24"/>
          <w:highlight w:val="none"/>
          <w:u w:val="none"/>
          <w:lang w:val="en-US" w:eastAsia="zh-CN"/>
        </w:rPr>
      </w:pPr>
      <w:r>
        <w:rPr>
          <w:rFonts w:hint="eastAsia" w:ascii="仿宋_GB2312" w:hAnsi="宋体" w:cs="宋体"/>
          <w:bCs/>
          <w:color w:val="auto"/>
          <w:kern w:val="0"/>
          <w:szCs w:val="24"/>
          <w:highlight w:val="none"/>
          <w:u w:val="none"/>
          <w:lang w:val="en-US" w:eastAsia="zh-CN"/>
        </w:rPr>
        <w:t>（1）银行业金融机构、保险业金融机构、金融控股公司、证券基金期货经营机构、私募基金管理人；</w:t>
      </w:r>
    </w:p>
    <w:p w14:paraId="31976926">
      <w:pPr>
        <w:tabs>
          <w:tab w:val="left" w:pos="709"/>
        </w:tabs>
        <w:snapToGrid w:val="0"/>
        <w:spacing w:line="360" w:lineRule="auto"/>
        <w:ind w:firstLine="420" w:firstLineChars="200"/>
        <w:rPr>
          <w:rFonts w:hint="eastAsia" w:ascii="仿宋_GB2312" w:hAnsi="宋体" w:cs="宋体"/>
          <w:bCs/>
          <w:color w:val="auto"/>
          <w:kern w:val="0"/>
          <w:szCs w:val="24"/>
          <w:highlight w:val="none"/>
          <w:u w:val="none"/>
          <w:lang w:val="en-US" w:eastAsia="zh-CN"/>
        </w:rPr>
      </w:pPr>
      <w:r>
        <w:rPr>
          <w:rFonts w:hint="eastAsia" w:ascii="仿宋_GB2312" w:hAnsi="宋体" w:cs="宋体"/>
          <w:bCs/>
          <w:color w:val="auto"/>
          <w:kern w:val="0"/>
          <w:szCs w:val="24"/>
          <w:highlight w:val="none"/>
          <w:u w:val="none"/>
          <w:lang w:val="en-US" w:eastAsia="zh-CN"/>
        </w:rPr>
        <w:t>（2）上述机构面向投资者发行的金融产品，信托公司管理的资产服务信托、公益慈善信托；</w:t>
      </w:r>
    </w:p>
    <w:p w14:paraId="2CBA0F7B">
      <w:pPr>
        <w:tabs>
          <w:tab w:val="left" w:pos="709"/>
        </w:tabs>
        <w:snapToGrid w:val="0"/>
        <w:spacing w:line="360" w:lineRule="auto"/>
        <w:ind w:firstLine="420" w:firstLineChars="200"/>
        <w:rPr>
          <w:rFonts w:hint="eastAsia" w:ascii="仿宋_GB2312" w:hAnsi="宋体" w:cs="宋体"/>
          <w:bCs/>
          <w:color w:val="auto"/>
          <w:kern w:val="0"/>
          <w:szCs w:val="24"/>
          <w:highlight w:val="none"/>
          <w:u w:val="none"/>
          <w:lang w:val="en-US" w:eastAsia="zh-CN"/>
        </w:rPr>
      </w:pPr>
      <w:r>
        <w:rPr>
          <w:rFonts w:hint="eastAsia" w:ascii="仿宋_GB2312" w:hAnsi="宋体" w:cs="宋体"/>
          <w:bCs/>
          <w:color w:val="auto"/>
          <w:kern w:val="0"/>
          <w:szCs w:val="24"/>
          <w:highlight w:val="none"/>
          <w:u w:val="none"/>
          <w:lang w:val="en-US" w:eastAsia="zh-CN"/>
        </w:rPr>
        <w:t>（3）社会保障基金、企业年金、职业年金等养老基金，慈善基金等社会公益基金，合格境外机构投资者（QFII）、人民币合格境外机构投资者（RQFII）。</w:t>
      </w:r>
    </w:p>
    <w:p w14:paraId="1AA0DF3A">
      <w:pPr>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7.普通投资者：专业投资者之外的投资者为普通投资者。</w:t>
      </w:r>
    </w:p>
    <w:p w14:paraId="3A2C594D">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8</w:t>
      </w:r>
      <w:r>
        <w:rPr>
          <w:rFonts w:hint="eastAsia" w:ascii="仿宋_GB2312" w:hAnsi="宋体" w:cs="宋体"/>
          <w:bCs/>
          <w:color w:val="auto"/>
          <w:kern w:val="0"/>
          <w:szCs w:val="24"/>
          <w:highlight w:val="none"/>
          <w:u w:val="none"/>
        </w:rPr>
        <w:t>.全国银行业理财信息登记系统：指供商业银行及商业银行理财公司进行理财产品电子化报告和信息登记的电子信息系统。</w:t>
      </w:r>
    </w:p>
    <w:p w14:paraId="17672741">
      <w:pPr>
        <w:pStyle w:val="3"/>
        <w:numPr>
          <w:ilvl w:val="1"/>
          <w:numId w:val="15"/>
        </w:numPr>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法律文件用语 </w:t>
      </w:r>
    </w:p>
    <w:p w14:paraId="7DA601F8">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1.理财产品销售文件/销售文件：指产品管理人向投资者提供的，用于描述产品特征，约定权利义务的文件。具体指浙银理财</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理财产品全套销售文件，包括《投资协议书》、《产品说明书》、《（代理）销售协议书》、《风险揭示书》、《投资者权益须知》以及对该文件的有效修改或补充。上述文件共同构成一份完整且不可分割的理财产品销售文件。经产品管理人委托，代理销售机构可以编制《（代理）销售协议书》、《风险揭示书》、《投资者权益须知》。</w:t>
      </w:r>
    </w:p>
    <w:p w14:paraId="4C3F7DCD">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2.《投资协议书》：指管理人统一编制的《浙银理财理财产品投资协议书》，以及对该文件的有效修改或补充。</w:t>
      </w:r>
    </w:p>
    <w:p w14:paraId="74D765E1">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3.《产品说明书》：指管理人统一编制的《浙银理财</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理财产品说明书》，以及对该文件的有效修改或补充。</w:t>
      </w:r>
    </w:p>
    <w:p w14:paraId="6B1E8750">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代理）销售协议书》：指管理人统一编制的《浙银理财理财产品（代理）销售协议书》或代理销售机构接受产品管理人委托自行编制的《理财产品（代理）销售协议书》（文件名称以代理销售机构实际编制为准），以及对该文件的有效修改或补充。</w:t>
      </w:r>
    </w:p>
    <w:p w14:paraId="4C256ABE">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5.《风险揭示书》：指管理人统一编制的《浙银理财</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理财产品风险揭示书》或代理销售机构接受产品管理人委托自行编制的《浙银理财</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理财产品风险揭示书》（文件名称以代理销售机构实际编制为准），以及对该文件的有效修改或补充。</w:t>
      </w:r>
    </w:p>
    <w:p w14:paraId="4440C72E">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投资者权益须知》：指管理人统一编制的《理财产品投资者权益须知》或代理销售机构接受产品管理人委托自行编制的《理财产品投资者权益须知》（文件名称以代理销售机构实际编制为准），以及对该文件的有效修改或补充。</w:t>
      </w:r>
    </w:p>
    <w:p w14:paraId="7141BC80">
      <w:pPr>
        <w:pStyle w:val="3"/>
        <w:numPr>
          <w:ilvl w:val="1"/>
          <w:numId w:val="15"/>
        </w:numPr>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理财产品用语 </w:t>
      </w:r>
    </w:p>
    <w:p w14:paraId="0EB8AEEC">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1.理财产品登记编码</w:t>
      </w:r>
      <w:r>
        <w:rPr>
          <w:rFonts w:hint="eastAsia" w:ascii="仿宋_GB2312" w:hAnsi="宋体" w:cs="宋体"/>
          <w:bCs/>
          <w:color w:val="auto"/>
          <w:kern w:val="0"/>
          <w:szCs w:val="24"/>
          <w:highlight w:val="none"/>
          <w:u w:val="none"/>
          <w:lang w:val="en-US" w:eastAsia="zh-CN"/>
        </w:rPr>
        <w:t>/产品登记编码</w:t>
      </w:r>
      <w:r>
        <w:rPr>
          <w:rFonts w:hint="eastAsia" w:ascii="仿宋_GB2312" w:hAnsi="宋体" w:cs="宋体"/>
          <w:bCs/>
          <w:color w:val="auto"/>
          <w:kern w:val="0"/>
          <w:szCs w:val="24"/>
          <w:highlight w:val="none"/>
          <w:u w:val="none"/>
        </w:rPr>
        <w:t>：指本款理财产品在全国银行业理财信息登记系统对理财产品进行信息登记后，由全国银行业理财信息登记系统发放的唯一性的理财产品编码。投资者可依据登记编码在中国理财网（www.chinawealth.com.cn）查询产品信息。</w:t>
      </w:r>
    </w:p>
    <w:p w14:paraId="655EB7B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2.理财产品代码/产品代码：指产品管理人在全国银行业理财信息登记系统中为理财产品设置的内部识别码。</w:t>
      </w:r>
    </w:p>
    <w:p w14:paraId="792A49FB">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3.理财产品销售代码/销售代码</w:t>
      </w:r>
      <w:r>
        <w:rPr>
          <w:rFonts w:hint="eastAsia" w:ascii="仿宋_GB2312" w:hAnsi="宋体" w:cs="宋体"/>
          <w:bCs/>
          <w:color w:val="auto"/>
          <w:kern w:val="0"/>
          <w:szCs w:val="24"/>
          <w:highlight w:val="none"/>
          <w:u w:val="none"/>
          <w:lang w:val="en-US" w:eastAsia="zh-CN"/>
        </w:rPr>
        <w:t>/份额代码</w:t>
      </w:r>
      <w:r>
        <w:rPr>
          <w:rFonts w:hint="eastAsia" w:ascii="仿宋_GB2312" w:hAnsi="宋体" w:cs="宋体"/>
          <w:bCs/>
          <w:color w:val="auto"/>
          <w:kern w:val="0"/>
          <w:szCs w:val="24"/>
          <w:highlight w:val="none"/>
          <w:u w:val="none"/>
        </w:rPr>
        <w:t>：指本款理财产品若设置不同产品份额类别，为在理财产品销售管理过程中区分不同产品份额类别，管理人在同一理财产品代码项下，为每类份额类别设置的唯一性内部识别码。</w:t>
      </w:r>
    </w:p>
    <w:p w14:paraId="7C76CC28">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理财产品风险等级：理财产品风险等级为产品管理人和销售机构经过审慎评估后确定的产品风险等级。若本产品通过代理销售机构销售的，理财产品风险等级以代理销售机构最终披露的风险等级结果为准。产品管理人和代理销售机构对理财产品的风险等级评估结果不一致时，代理销售机构应采用对应较高风险的评级结果。</w:t>
      </w:r>
      <w:r>
        <w:rPr>
          <w:rFonts w:hint="eastAsia" w:ascii="宋体" w:hAnsi="宋体"/>
          <w:b/>
          <w:bCs/>
          <w:color w:val="auto"/>
          <w:szCs w:val="24"/>
          <w:highlight w:val="none"/>
          <w:u w:val="none"/>
        </w:rPr>
        <w:t>产品管理人在符合监管政策的前提下可对产品风险评级进行动态管理，如产品风险等级发生调整，将提前通过本《产品说明书》“信息披露”约定的方式通知投资者。</w:t>
      </w:r>
    </w:p>
    <w:p w14:paraId="0ADC1D72">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5.投资者风险承受能力评估：指销售机构对理财投资者的风险承受能力进行评价的过程。</w:t>
      </w:r>
    </w:p>
    <w:p w14:paraId="6EBA3AD4">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6.理财产品份额：指投资者持有本理财产品的单位数额。投资者基于其所持有的理财产品单位数额享有理财产品利益、承担理财产品风险。理财产品份额四舍五入保留2位小数。</w:t>
      </w:r>
    </w:p>
    <w:p w14:paraId="22C59EF6">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7.理财产品资产净值/理财资产净值/产品资产净值：理财产品资产净值=理财产品资产总值-理财产品负债总值。</w:t>
      </w:r>
    </w:p>
    <w:p w14:paraId="0B8B3D3C">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理财产品资产总值是指理财产品拥有的各类有价证券、银行存款、应收款项及其他资产的价值总和。</w:t>
      </w:r>
    </w:p>
    <w:p w14:paraId="6EE4BF9D">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理财产品负债总值是指理财产品运作及融资时形成的负债价值总和，包括融资资金本息、</w:t>
      </w:r>
      <w:r>
        <w:rPr>
          <w:rFonts w:hint="eastAsia" w:ascii="仿宋_GB2312" w:hAnsi="宋体" w:cs="宋体"/>
          <w:bCs/>
          <w:color w:val="auto"/>
          <w:kern w:val="0"/>
          <w:sz w:val="22"/>
          <w:highlight w:val="none"/>
          <w:u w:val="none"/>
        </w:rPr>
        <w:t>应付各项费用</w:t>
      </w:r>
      <w:r>
        <w:rPr>
          <w:rFonts w:hint="eastAsia" w:ascii="仿宋_GB2312" w:hAnsi="宋体" w:cs="宋体"/>
          <w:bCs/>
          <w:color w:val="auto"/>
          <w:kern w:val="0"/>
          <w:szCs w:val="24"/>
          <w:highlight w:val="none"/>
          <w:u w:val="none"/>
        </w:rPr>
        <w:t>（包括</w:t>
      </w:r>
      <w:r>
        <w:rPr>
          <w:rFonts w:hint="eastAsia" w:ascii="仿宋_GB2312" w:hAnsi="宋体" w:cs="宋体"/>
          <w:bCs/>
          <w:color w:val="auto"/>
          <w:kern w:val="0"/>
          <w:szCs w:val="24"/>
          <w:highlight w:val="none"/>
          <w:u w:val="none"/>
          <w:lang w:eastAsia="zh-CN"/>
        </w:rPr>
        <w:t>托管费</w:t>
      </w:r>
      <w:r>
        <w:rPr>
          <w:rFonts w:hint="eastAsia" w:ascii="仿宋_GB2312" w:hAnsi="宋体" w:cs="宋体"/>
          <w:bCs/>
          <w:color w:val="auto"/>
          <w:kern w:val="0"/>
          <w:szCs w:val="24"/>
          <w:highlight w:val="none"/>
          <w:u w:val="none"/>
        </w:rPr>
        <w:t>、认购费、</w:t>
      </w:r>
      <w:r>
        <w:rPr>
          <w:rFonts w:hint="eastAsia" w:ascii="仿宋_GB2312" w:hAnsi="宋体" w:cs="宋体"/>
          <w:bCs/>
          <w:color w:val="auto"/>
          <w:kern w:val="0"/>
          <w:szCs w:val="24"/>
          <w:highlight w:val="none"/>
          <w:u w:val="none"/>
          <w:lang w:eastAsia="zh-CN"/>
        </w:rPr>
        <w:t>固定管理费</w:t>
      </w:r>
      <w:r>
        <w:rPr>
          <w:rFonts w:hint="eastAsia"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lang w:eastAsia="zh-CN"/>
        </w:rPr>
        <w:t>浮动管理费</w:t>
      </w:r>
      <w:r>
        <w:rPr>
          <w:rFonts w:hint="eastAsia" w:ascii="仿宋_GB2312" w:hAnsi="宋体" w:cs="宋体"/>
          <w:bCs/>
          <w:color w:val="auto"/>
          <w:kern w:val="0"/>
          <w:szCs w:val="24"/>
          <w:highlight w:val="none"/>
          <w:u w:val="none"/>
        </w:rPr>
        <w:t>、其他费用等）、应付税金及其他应付款项等。</w:t>
      </w:r>
    </w:p>
    <w:p w14:paraId="465128DE">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8.理财产品份额净值/理财份额净值/产品份额净值：指理财产品份额的单位净值，即每1份理财产品份额以人民币计价的价格。理财产品份额净值=理财资产净值/产品总份额。投资者按该份额净值进行理财产品申购、赎回时分配。理财产品份额净值四舍五入保留</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小数。</w:t>
      </w:r>
    </w:p>
    <w:p w14:paraId="5289F59F">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理财产品份额净值可以展示为</w:t>
      </w:r>
      <w:r>
        <w:rPr>
          <w:rFonts w:ascii="仿宋_GB2312" w:hAnsi="宋体" w:cs="宋体"/>
          <w:b/>
          <w:color w:val="auto"/>
          <w:kern w:val="0"/>
          <w:szCs w:val="24"/>
          <w:highlight w:val="none"/>
          <w:u w:val="none"/>
        </w:rPr>
        <w:t>当前理财产品份额净值</w:t>
      </w:r>
      <w:r>
        <w:rPr>
          <w:rFonts w:hint="eastAsia" w:ascii="仿宋_GB2312" w:hAnsi="宋体" w:cs="宋体"/>
          <w:bCs/>
          <w:color w:val="auto"/>
          <w:kern w:val="0"/>
          <w:szCs w:val="24"/>
          <w:highlight w:val="none"/>
          <w:u w:val="none"/>
        </w:rPr>
        <w:t>和</w:t>
      </w:r>
      <w:r>
        <w:rPr>
          <w:rFonts w:ascii="仿宋_GB2312" w:hAnsi="宋体" w:cs="宋体"/>
          <w:b/>
          <w:color w:val="auto"/>
          <w:kern w:val="0"/>
          <w:szCs w:val="24"/>
          <w:highlight w:val="none"/>
          <w:u w:val="none"/>
        </w:rPr>
        <w:t>累计理财产品份额净值</w:t>
      </w:r>
      <w:r>
        <w:rPr>
          <w:rFonts w:hint="eastAsia" w:ascii="仿宋_GB2312" w:hAnsi="宋体" w:cs="宋体"/>
          <w:bCs/>
          <w:color w:val="auto"/>
          <w:kern w:val="0"/>
          <w:szCs w:val="24"/>
          <w:highlight w:val="none"/>
          <w:u w:val="none"/>
        </w:rPr>
        <w:t>。</w:t>
      </w:r>
    </w:p>
    <w:p w14:paraId="12381332">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当前理财产品份额净值，指产品当前的份额净值。</w:t>
      </w:r>
    </w:p>
    <w:p w14:paraId="16B6060C">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累计理财产品份额净值，指产品当前份额净值及产品成立到现在单位理财产品份额分红之和。</w:t>
      </w:r>
    </w:p>
    <w:p w14:paraId="1D4961E5">
      <w:pPr>
        <w:tabs>
          <w:tab w:val="left" w:pos="709"/>
        </w:tabs>
        <w:snapToGrid w:val="0"/>
        <w:spacing w:line="360" w:lineRule="auto"/>
        <w:ind w:firstLine="422" w:firstLineChars="200"/>
        <w:rPr>
          <w:rFonts w:ascii="仿宋_GB2312" w:hAnsi="宋体" w:cs="宋体"/>
          <w:b/>
          <w:color w:val="auto"/>
          <w:kern w:val="0"/>
          <w:szCs w:val="24"/>
          <w:highlight w:val="none"/>
          <w:u w:val="none"/>
        </w:rPr>
      </w:pPr>
      <w:r>
        <w:rPr>
          <w:rFonts w:ascii="仿宋_GB2312" w:hAnsi="宋体" w:cs="宋体"/>
          <w:b/>
          <w:color w:val="auto"/>
          <w:kern w:val="0"/>
          <w:szCs w:val="24"/>
          <w:highlight w:val="none"/>
          <w:u w:val="none"/>
        </w:rPr>
        <w:t>（注：若无特别说明，理财产品份额净值通常指当前理财产品份额净值）</w:t>
      </w:r>
    </w:p>
    <w:p w14:paraId="558B01FE">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9.理财产品估值：指计算评估理财产品资产和理财产品负债的价值，以确定理财产品份额净值的过程。</w:t>
      </w:r>
    </w:p>
    <w:p w14:paraId="6CFF6D40">
      <w:pPr>
        <w:tabs>
          <w:tab w:val="left" w:pos="709"/>
        </w:tabs>
        <w:snapToGrid w:val="0"/>
        <w:spacing w:line="360" w:lineRule="auto"/>
        <w:ind w:firstLine="420" w:firstLineChars="200"/>
        <w:rPr>
          <w:rFonts w:ascii="仿宋_GB2312" w:hAnsi="宋体" w:cs="宋体"/>
          <w:b/>
          <w:color w:val="auto"/>
          <w:kern w:val="0"/>
          <w:szCs w:val="24"/>
          <w:highlight w:val="none"/>
          <w:u w:val="none"/>
        </w:rPr>
      </w:pPr>
      <w:r>
        <w:rPr>
          <w:rFonts w:hint="eastAsia" w:ascii="仿宋_GB2312" w:hAnsi="宋体" w:cs="宋体"/>
          <w:bCs/>
          <w:color w:val="auto"/>
          <w:kern w:val="0"/>
          <w:szCs w:val="24"/>
          <w:highlight w:val="none"/>
          <w:u w:val="none"/>
        </w:rPr>
        <w:t>10.业绩比较基准：指管理人基于过往投资经验及对产品存续期投资市场波动的预判而对本产品所设定的投资目标。</w:t>
      </w:r>
      <w:r>
        <w:rPr>
          <w:rFonts w:ascii="仿宋_GB2312" w:hAnsi="宋体" w:cs="宋体"/>
          <w:b/>
          <w:color w:val="auto"/>
          <w:kern w:val="0"/>
          <w:szCs w:val="24"/>
          <w:highlight w:val="none"/>
          <w:u w:val="none"/>
        </w:rPr>
        <w:t>业绩比较基准不代表理财产品未来表现，不等于理财产品实际收益，不作为产品收益的业绩保证，投资须谨慎。</w:t>
      </w:r>
    </w:p>
    <w:p w14:paraId="7C93D062">
      <w:pPr>
        <w:tabs>
          <w:tab w:val="left" w:pos="709"/>
        </w:tabs>
        <w:snapToGrid w:val="0"/>
        <w:spacing w:line="360" w:lineRule="auto"/>
        <w:ind w:firstLine="420" w:firstLineChars="200"/>
        <w:rPr>
          <w:rFonts w:ascii="仿宋_GB2312" w:hAnsi="宋体" w:cs="宋体"/>
          <w:b/>
          <w:color w:val="auto"/>
          <w:kern w:val="0"/>
          <w:szCs w:val="24"/>
          <w:highlight w:val="none"/>
          <w:u w:val="none"/>
        </w:rPr>
      </w:pPr>
      <w:r>
        <w:rPr>
          <w:rFonts w:ascii="仿宋_GB2312" w:hAnsi="宋体" w:cs="宋体"/>
          <w:bCs/>
          <w:color w:val="auto"/>
          <w:kern w:val="0"/>
          <w:szCs w:val="24"/>
          <w:highlight w:val="none"/>
          <w:u w:val="none"/>
        </w:rPr>
        <w:t>11.</w:t>
      </w:r>
      <w:r>
        <w:rPr>
          <w:rFonts w:hint="eastAsia" w:ascii="仿宋_GB2312" w:hAnsi="宋体" w:cs="宋体"/>
          <w:bCs/>
          <w:color w:val="auto"/>
          <w:kern w:val="0"/>
          <w:szCs w:val="24"/>
          <w:highlight w:val="none"/>
          <w:u w:val="none"/>
          <w:lang w:eastAsia="zh-CN"/>
        </w:rPr>
        <w:t>浮动管理费</w:t>
      </w:r>
      <w:r>
        <w:rPr>
          <w:rFonts w:ascii="仿宋_GB2312" w:hAnsi="宋体" w:cs="宋体"/>
          <w:bCs/>
          <w:color w:val="auto"/>
          <w:kern w:val="0"/>
          <w:szCs w:val="24"/>
          <w:highlight w:val="none"/>
          <w:u w:val="none"/>
        </w:rPr>
        <w:t>计提基准：指管理人收取</w:t>
      </w:r>
      <w:r>
        <w:rPr>
          <w:rFonts w:hint="eastAsia" w:ascii="仿宋_GB2312" w:hAnsi="宋体" w:cs="宋体"/>
          <w:bCs/>
          <w:color w:val="auto"/>
          <w:kern w:val="0"/>
          <w:szCs w:val="24"/>
          <w:highlight w:val="none"/>
          <w:u w:val="none"/>
          <w:lang w:eastAsia="zh-CN"/>
        </w:rPr>
        <w:t>浮动管理费</w:t>
      </w:r>
      <w:r>
        <w:rPr>
          <w:rFonts w:ascii="仿宋_GB2312" w:hAnsi="宋体" w:cs="宋体"/>
          <w:bCs/>
          <w:color w:val="auto"/>
          <w:kern w:val="0"/>
          <w:szCs w:val="24"/>
          <w:highlight w:val="none"/>
          <w:u w:val="none"/>
        </w:rPr>
        <w:t>的参照相关数值标准。</w:t>
      </w:r>
      <w:r>
        <w:rPr>
          <w:rFonts w:hint="eastAsia" w:ascii="仿宋_GB2312" w:hAnsi="宋体" w:cs="宋体"/>
          <w:b/>
          <w:color w:val="auto"/>
          <w:kern w:val="0"/>
          <w:szCs w:val="24"/>
          <w:highlight w:val="none"/>
          <w:u w:val="none"/>
          <w:lang w:eastAsia="zh-CN"/>
        </w:rPr>
        <w:t>浮动管理费</w:t>
      </w:r>
      <w:r>
        <w:rPr>
          <w:rFonts w:ascii="仿宋_GB2312" w:hAnsi="宋体" w:cs="宋体"/>
          <w:b/>
          <w:color w:val="auto"/>
          <w:kern w:val="0"/>
          <w:szCs w:val="24"/>
          <w:highlight w:val="none"/>
          <w:u w:val="none"/>
        </w:rPr>
        <w:t>计提基准不代表理财产品未来表现，不等于理财产品实际收益，不作为产品收益的业绩保证，投资须谨慎。</w:t>
      </w:r>
    </w:p>
    <w:p w14:paraId="386EDBB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12.理财产品利益/理财利益</w:t>
      </w:r>
      <w:r>
        <w:rPr>
          <w:rFonts w:hint="eastAsia" w:ascii="仿宋_GB2312" w:hAnsi="宋体" w:cs="宋体"/>
          <w:bCs/>
          <w:color w:val="auto"/>
          <w:kern w:val="0"/>
          <w:szCs w:val="24"/>
          <w:highlight w:val="none"/>
          <w:u w:val="none"/>
          <w:lang w:val="en-US" w:eastAsia="zh-CN"/>
        </w:rPr>
        <w:t>/理财产品收益/理财收益</w:t>
      </w:r>
      <w:r>
        <w:rPr>
          <w:rFonts w:hint="eastAsia" w:ascii="仿宋_GB2312" w:hAnsi="宋体" w:cs="宋体"/>
          <w:bCs/>
          <w:color w:val="auto"/>
          <w:kern w:val="0"/>
          <w:szCs w:val="24"/>
          <w:highlight w:val="none"/>
          <w:u w:val="none"/>
        </w:rPr>
        <w:t>：指投资者因持有理财产品份额，按照销售文件约定取得或有权取得的理财产品管理人分配的理财产品资产。</w:t>
      </w:r>
    </w:p>
    <w:p w14:paraId="4226FA2F">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13.</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分配：指产品管理人向投资者进行理财产品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 xml:space="preserve">分配。 </w:t>
      </w:r>
    </w:p>
    <w:p w14:paraId="458707C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14.期间分配：指在理财产品终止日（不含当日）前的理财产品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 xml:space="preserve">分配。 </w:t>
      </w:r>
    </w:p>
    <w:p w14:paraId="1D01F122">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15.终止分配：指在理财产品终止日当日及之后的理财产品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w:t>
      </w:r>
    </w:p>
    <w:p w14:paraId="184A4B23">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16.认购：指投资者根据本协议约定在认购期/募集期内申请购买本产品理财产品份额的行为。 </w:t>
      </w:r>
    </w:p>
    <w:p w14:paraId="6E15100B">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17.申购：指理财产品成立后，在理财产品申购期内，投资者申请购买理财产品份额的行为。</w:t>
      </w:r>
    </w:p>
    <w:p w14:paraId="241D348E">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首次申购，指未进行认购的投资者，在理财产品成立后申请购买理财产品份额的行为。投资者全额赎回不再持有理财产品份额后再次申购的，视同首次申购处理。</w:t>
      </w:r>
    </w:p>
    <w:p w14:paraId="5ED8F5F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追加申购，指已经完成认购或首次申购的投资者，在理财产品成立后申请购买理财产品份额的行为。</w:t>
      </w:r>
    </w:p>
    <w:p w14:paraId="6525A8E3">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18.赎回：指理财产品成立后，在理财产品赎回期内，投资者申请赎回理财产品份额的行为，即投资者申请将理财产品份额兑换为现金。</w:t>
      </w:r>
    </w:p>
    <w:p w14:paraId="5A625E10">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19.巨额赎回：</w:t>
      </w:r>
      <w:r>
        <w:rPr>
          <w:rFonts w:hint="eastAsia" w:ascii="仿宋_GB2312" w:hAnsi="宋体" w:cs="宋体"/>
          <w:bCs/>
          <w:color w:val="auto"/>
          <w:kern w:val="0"/>
          <w:szCs w:val="24"/>
          <w:highlight w:val="none"/>
          <w:u w:val="none"/>
        </w:rPr>
        <w:t>指</w:t>
      </w:r>
      <w:r>
        <w:rPr>
          <w:rFonts w:ascii="仿宋_GB2312" w:hAnsi="宋体" w:cs="宋体"/>
          <w:bCs/>
          <w:color w:val="auto"/>
          <w:kern w:val="0"/>
          <w:szCs w:val="24"/>
          <w:highlight w:val="none"/>
          <w:u w:val="none"/>
        </w:rPr>
        <w:t>在理财产品存续期内，</w:t>
      </w:r>
      <w:r>
        <w:rPr>
          <w:rFonts w:hint="eastAsia" w:ascii="仿宋_GB2312" w:hAnsi="宋体" w:cs="宋体"/>
          <w:bCs/>
          <w:color w:val="auto"/>
          <w:kern w:val="0"/>
          <w:szCs w:val="24"/>
          <w:highlight w:val="none"/>
          <w:u w:val="none"/>
        </w:rPr>
        <w:t>单个开放日产品净赎回申请（</w:t>
      </w:r>
      <w:r>
        <w:rPr>
          <w:rFonts w:ascii="仿宋_GB2312" w:hAnsi="宋体" w:cs="宋体"/>
          <w:bCs/>
          <w:color w:val="auto"/>
          <w:kern w:val="0"/>
          <w:szCs w:val="24"/>
          <w:highlight w:val="none"/>
          <w:u w:val="none"/>
        </w:rPr>
        <w:t>赎回</w:t>
      </w:r>
      <w:r>
        <w:rPr>
          <w:rFonts w:hint="eastAsia" w:ascii="仿宋_GB2312" w:hAnsi="宋体" w:cs="宋体"/>
          <w:bCs/>
          <w:color w:val="auto"/>
          <w:kern w:val="0"/>
          <w:szCs w:val="24"/>
          <w:highlight w:val="none"/>
          <w:u w:val="none"/>
        </w:rPr>
        <w:t>申请总份额扣除申购总份额后的余额</w:t>
      </w:r>
      <w:r>
        <w:rPr>
          <w:rFonts w:ascii="仿宋_GB2312" w:hAnsi="宋体" w:cs="宋体"/>
          <w:bCs/>
          <w:color w:val="auto"/>
          <w:kern w:val="0"/>
          <w:szCs w:val="24"/>
          <w:highlight w:val="none"/>
          <w:u w:val="none"/>
        </w:rPr>
        <w:t>,下同）</w:t>
      </w:r>
      <w:r>
        <w:rPr>
          <w:rFonts w:hint="eastAsia" w:ascii="仿宋_GB2312" w:hAnsi="宋体" w:cs="宋体"/>
          <w:bCs/>
          <w:color w:val="auto"/>
          <w:kern w:val="0"/>
          <w:szCs w:val="24"/>
          <w:highlight w:val="none"/>
          <w:u w:val="none"/>
        </w:rPr>
        <w:t>超过前一日终理财产品总份额的</w:t>
      </w:r>
      <w:r>
        <w:rPr>
          <w:rFonts w:ascii="仿宋_GB2312" w:hAnsi="宋体" w:cs="宋体"/>
          <w:bCs/>
          <w:color w:val="auto"/>
          <w:kern w:val="0"/>
          <w:szCs w:val="24"/>
          <w:highlight w:val="none"/>
          <w:u w:val="none"/>
        </w:rPr>
        <w:t>10</w:t>
      </w:r>
      <w:r>
        <w:rPr>
          <w:rFonts w:hint="eastAsia" w:ascii="仿宋_GB2312" w:hAnsi="宋体" w:cs="宋体"/>
          <w:bCs/>
          <w:color w:val="auto"/>
          <w:kern w:val="0"/>
          <w:szCs w:val="24"/>
          <w:highlight w:val="none"/>
          <w:u w:val="none"/>
        </w:rPr>
        <w:t>％的赎回行为，国家金融监督管理总局另有规定的除外。</w:t>
      </w:r>
    </w:p>
    <w:p w14:paraId="74616BB8">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20.流动性受限资产：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14:paraId="11A2F3FF">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21.7个工作日可变现资产：包括可在交易所、银行间市场正常交易的股票、债券、非金融企业债务融资工具、期货及期权合约以及同业存单，7个工作日内到期或可支取的买入返售、银行存款，7个工作日内能够确认收到的各类应收款项等。</w:t>
      </w:r>
    </w:p>
    <w:p w14:paraId="495E67C9">
      <w:pPr>
        <w:numPr>
          <w:ilvl w:val="-1"/>
          <w:numId w:val="0"/>
        </w:numPr>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22.</w:t>
      </w:r>
      <w:r>
        <w:rPr>
          <w:rFonts w:hint="eastAsia" w:ascii="仿宋_GB2312" w:hAnsi="宋体" w:cs="宋体"/>
          <w:bCs/>
          <w:color w:val="auto"/>
          <w:kern w:val="0"/>
          <w:szCs w:val="24"/>
          <w:highlight w:val="none"/>
          <w:u w:val="none"/>
        </w:rPr>
        <w:t>摆动定价机制：指当开放式公募理财产品遭遇大额认/申购或赎回时，通过调整理财产品份额净值的方式，将理财产品调整投资组合的市场冲击成本分配给实际认/申购、赎回的投资者，从而减少对存量理财产品份额持有人利益的不利影响，确保投资者的合法权益不受损害并得到公平对待。</w:t>
      </w:r>
    </w:p>
    <w:p w14:paraId="391EAA80">
      <w:pPr>
        <w:keepNext w:val="0"/>
        <w:keepLines w:val="0"/>
        <w:widowControl/>
        <w:numPr>
          <w:ilvl w:val="0"/>
          <w:numId w:val="0"/>
        </w:numPr>
        <w:suppressLineNumbers w:val="0"/>
        <w:tabs>
          <w:tab w:val="left" w:pos="709"/>
        </w:tabs>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23.</w:t>
      </w:r>
      <w:r>
        <w:rPr>
          <w:rFonts w:hint="eastAsia" w:ascii="仿宋_GB2312" w:hAnsi="宋体" w:eastAsia="仿宋_GB2312" w:cs="宋体"/>
          <w:b w:val="0"/>
          <w:bCs/>
          <w:color w:val="auto"/>
          <w:kern w:val="0"/>
          <w:sz w:val="24"/>
          <w:szCs w:val="24"/>
          <w:highlight w:val="none"/>
          <w:u w:val="none"/>
          <w:lang w:val="en-US" w:eastAsia="zh-CN" w:bidi="ar"/>
        </w:rPr>
        <w:t>短期赎回费机制：</w:t>
      </w:r>
      <w:r>
        <w:rPr>
          <w:rFonts w:hint="eastAsia" w:ascii="仿宋_GB2312" w:hAnsi="宋体" w:eastAsia="仿宋_GB2312" w:cs="宋体"/>
          <w:bCs/>
          <w:color w:val="auto"/>
          <w:kern w:val="0"/>
          <w:sz w:val="24"/>
          <w:szCs w:val="24"/>
          <w:highlight w:val="none"/>
          <w:u w:val="none"/>
          <w:lang w:val="en-US" w:eastAsia="zh-CN" w:bidi="ar"/>
        </w:rPr>
        <w:t>指当理财计划发生巨额赎回或管理人认为可能导致理财计划流动性风险的其他情形下，理财计划管理人可临时性收取短期赎回费以应对流动性风险事件，并将上述产生费用全额计入理财计划</w:t>
      </w:r>
      <w:r>
        <w:rPr>
          <w:rFonts w:hint="eastAsia" w:ascii="仿宋_GB2312" w:hAnsi="宋体" w:cs="宋体"/>
          <w:bCs/>
          <w:color w:val="auto"/>
          <w:kern w:val="0"/>
          <w:sz w:val="24"/>
          <w:szCs w:val="24"/>
          <w:highlight w:val="none"/>
          <w:u w:val="none"/>
          <w:lang w:val="en-US" w:eastAsia="zh-CN" w:bidi="ar"/>
        </w:rPr>
        <w:t>财产。</w:t>
      </w:r>
      <w:r>
        <w:rPr>
          <w:rFonts w:hint="eastAsia" w:ascii="仿宋_GB2312" w:hAnsi="宋体" w:eastAsia="仿宋_GB2312" w:cs="宋体"/>
          <w:bCs/>
          <w:color w:val="auto"/>
          <w:kern w:val="0"/>
          <w:sz w:val="24"/>
          <w:szCs w:val="24"/>
          <w:highlight w:val="none"/>
          <w:u w:val="none"/>
          <w:lang w:val="en-US" w:eastAsia="zh-CN" w:bidi="ar"/>
        </w:rPr>
        <w:t>在此情形下，投资者在提交赎回申请时，实际赎回金额可能少于按照赎回申请当日理财产品份额净值计算出的赎回金额。</w:t>
      </w:r>
    </w:p>
    <w:p w14:paraId="0129D28F">
      <w:pPr>
        <w:pStyle w:val="3"/>
        <w:numPr>
          <w:ilvl w:val="1"/>
          <w:numId w:val="15"/>
        </w:numPr>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期间与日期 </w:t>
      </w:r>
    </w:p>
    <w:p w14:paraId="7E5716FB">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1.日：指自然日。</w:t>
      </w:r>
    </w:p>
    <w:p w14:paraId="6C661F71">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2.交易日：指证券交易所的正常开盘交易日。 </w:t>
      </w:r>
    </w:p>
    <w:p w14:paraId="4380A663">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3.工作日：指国家法定工作日。 </w:t>
      </w:r>
    </w:p>
    <w:p w14:paraId="27C78063">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4.成立日：指达到《产品说明书》约定的成立条件后本产品开始运作的日期。</w:t>
      </w:r>
    </w:p>
    <w:p w14:paraId="1FC090E3">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到期日/终止日：指本产品终止的日期，包括理财产品正常到期之日、提前终止之日及延期终止之日。根据《产品说明书》的约定，本产品无固定期限，但管理人有权在发生终止事件时终止该理财产品。如管理人终止理财产品，将通过约定方式向投资者进行信息披露。</w:t>
      </w:r>
    </w:p>
    <w:p w14:paraId="0189D9ED">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分配基准日</w:t>
      </w:r>
      <w:r>
        <w:rPr>
          <w:rFonts w:hint="eastAsia" w:ascii="仿宋_GB2312" w:hAnsi="宋体" w:cs="宋体"/>
          <w:bCs/>
          <w:color w:val="auto"/>
          <w:kern w:val="0"/>
          <w:szCs w:val="24"/>
          <w:highlight w:val="none"/>
          <w:u w:val="none"/>
          <w:lang w:val="en-US" w:eastAsia="zh-CN"/>
        </w:rPr>
        <w:t>/</w:t>
      </w:r>
      <w:r>
        <w:rPr>
          <w:rFonts w:hint="eastAsia" w:ascii="仿宋_GB2312" w:hAnsi="宋体" w:cs="宋体"/>
          <w:bCs/>
          <w:color w:val="auto"/>
          <w:kern w:val="0"/>
          <w:szCs w:val="24"/>
          <w:highlight w:val="none"/>
          <w:u w:val="none"/>
        </w:rPr>
        <w:t>分配基准日：指本产品管理人以该日日终产品份额净值计算并确定可供分配的投资期间理财</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的日期。</w:t>
      </w:r>
    </w:p>
    <w:p w14:paraId="37F4B4F5">
      <w:pPr>
        <w:tabs>
          <w:tab w:val="left" w:pos="709"/>
        </w:tabs>
        <w:snapToGrid w:val="0"/>
        <w:spacing w:line="360" w:lineRule="auto"/>
        <w:ind w:firstLine="420" w:firstLineChars="200"/>
        <w:rPr>
          <w:rFonts w:hint="eastAsia" w:ascii="仿宋_GB2312" w:hAnsi="宋体" w:eastAsia="仿宋_GB2312" w:cs="宋体"/>
          <w:bCs/>
          <w:color w:val="auto"/>
          <w:kern w:val="0"/>
          <w:szCs w:val="24"/>
          <w:highlight w:val="none"/>
          <w:u w:val="none"/>
          <w:lang w:eastAsia="zh-CN"/>
        </w:rPr>
      </w:pPr>
      <w:r>
        <w:rPr>
          <w:rFonts w:hint="eastAsia" w:ascii="仿宋_GB2312" w:hAnsi="宋体" w:cs="宋体"/>
          <w:bCs/>
          <w:color w:val="auto"/>
          <w:kern w:val="0"/>
          <w:szCs w:val="24"/>
          <w:highlight w:val="none"/>
          <w:u w:val="none"/>
          <w:lang w:val="en-US" w:eastAsia="zh-CN"/>
        </w:rPr>
        <w:t>7.</w:t>
      </w:r>
      <w:r>
        <w:rPr>
          <w:rFonts w:hint="eastAsia" w:ascii="仿宋_GB2312" w:hAnsi="宋体" w:cs="宋体"/>
          <w:bCs/>
          <w:color w:val="auto"/>
          <w:kern w:val="0"/>
          <w:szCs w:val="24"/>
          <w:highlight w:val="none"/>
          <w:u w:val="none"/>
        </w:rPr>
        <w:t>除权日</w:t>
      </w:r>
      <w:r>
        <w:rPr>
          <w:rFonts w:hint="eastAsia" w:ascii="仿宋_GB2312" w:hAnsi="宋体" w:cs="宋体"/>
          <w:bCs/>
          <w:color w:val="auto"/>
          <w:kern w:val="0"/>
          <w:szCs w:val="24"/>
          <w:highlight w:val="none"/>
          <w:u w:val="none"/>
          <w:lang w:eastAsia="zh-CN"/>
        </w:rPr>
        <w:t>：指本产品的份额净值扣除收益分配金额的日期。</w:t>
      </w:r>
    </w:p>
    <w:p w14:paraId="28A2F3AB">
      <w:pPr>
        <w:tabs>
          <w:tab w:val="left" w:pos="709"/>
        </w:tabs>
        <w:snapToGrid w:val="0"/>
        <w:spacing w:line="360" w:lineRule="auto"/>
        <w:ind w:firstLine="420" w:firstLineChars="200"/>
        <w:rPr>
          <w:rFonts w:hint="eastAsia" w:ascii="仿宋_GB2312" w:hAnsi="宋体" w:eastAsia="仿宋_GB2312" w:cs="宋体"/>
          <w:bCs/>
          <w:color w:val="auto"/>
          <w:kern w:val="0"/>
          <w:szCs w:val="24"/>
          <w:highlight w:val="none"/>
          <w:u w:val="none"/>
          <w:lang w:eastAsia="zh-CN"/>
        </w:rPr>
      </w:pPr>
      <w:r>
        <w:rPr>
          <w:rFonts w:hint="eastAsia" w:ascii="仿宋_GB2312" w:hAnsi="宋体" w:cs="宋体"/>
          <w:bCs/>
          <w:color w:val="auto"/>
          <w:kern w:val="0"/>
          <w:szCs w:val="24"/>
          <w:highlight w:val="none"/>
          <w:u w:val="none"/>
          <w:lang w:val="en-US" w:eastAsia="zh-CN"/>
        </w:rPr>
        <w:t>8.</w:t>
      </w:r>
      <w:r>
        <w:rPr>
          <w:rFonts w:hint="eastAsia" w:ascii="仿宋_GB2312" w:hAnsi="宋体" w:cs="宋体"/>
          <w:bCs/>
          <w:color w:val="auto"/>
          <w:kern w:val="0"/>
          <w:szCs w:val="24"/>
          <w:highlight w:val="none"/>
          <w:u w:val="none"/>
          <w:lang w:eastAsia="zh-CN"/>
        </w:rPr>
        <w:t>权益登记日：指本产品理财产品收益分配时，权益登记日登记在册的理财产品份额持有人为分配对象。</w:t>
      </w:r>
    </w:p>
    <w:p w14:paraId="22AB693B">
      <w:pPr>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9</w:t>
      </w:r>
      <w:r>
        <w:rPr>
          <w:rFonts w:hint="eastAsia" w:ascii="仿宋_GB2312" w:hAnsi="宋体" w:cs="宋体"/>
          <w:bCs/>
          <w:color w:val="auto"/>
          <w:kern w:val="0"/>
          <w:szCs w:val="24"/>
          <w:highlight w:val="none"/>
          <w:u w:val="none"/>
        </w:rPr>
        <w:t>.分配日：指产品管理人向投资者进行理财产品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分配的日期。</w:t>
      </w:r>
    </w:p>
    <w:p w14:paraId="36477774">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10</w:t>
      </w:r>
      <w:r>
        <w:rPr>
          <w:rFonts w:hint="eastAsia" w:ascii="仿宋_GB2312" w:hAnsi="宋体" w:cs="宋体"/>
          <w:bCs/>
          <w:color w:val="auto"/>
          <w:kern w:val="0"/>
          <w:szCs w:val="24"/>
          <w:highlight w:val="none"/>
          <w:u w:val="none"/>
        </w:rPr>
        <w:t>.募集期/认购期：指理财产品成立前，理财产品管理人接受理财产品认购的时间。但在该期间内如认购人提交认购申请的认购份额提前达到《产品说明书》所载的发行规模上限的，管理人有权选择认购期提前结束并停止接受认购申请。该情形下，产品成立日维持《产品说明书》的约定，保持不变。</w:t>
      </w:r>
    </w:p>
    <w:p w14:paraId="584B9CCC">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11</w:t>
      </w:r>
      <w:r>
        <w:rPr>
          <w:rFonts w:hint="eastAsia" w:ascii="仿宋_GB2312" w:hAnsi="宋体" w:cs="宋体"/>
          <w:bCs/>
          <w:color w:val="auto"/>
          <w:kern w:val="0"/>
          <w:szCs w:val="24"/>
          <w:highlight w:val="none"/>
          <w:u w:val="none"/>
        </w:rPr>
        <w:t>.持有期：指自产品成立日/申购确认日起，投资者持有该产品份额的期间。</w:t>
      </w:r>
    </w:p>
    <w:p w14:paraId="2C793054">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lang w:val="en-US" w:eastAsia="zh-CN"/>
        </w:rPr>
        <w:t>2</w:t>
      </w:r>
      <w:r>
        <w:rPr>
          <w:rFonts w:hint="eastAsia" w:ascii="仿宋_GB2312" w:hAnsi="宋体" w:cs="宋体"/>
          <w:bCs/>
          <w:color w:val="auto"/>
          <w:kern w:val="0"/>
          <w:szCs w:val="24"/>
          <w:highlight w:val="none"/>
          <w:u w:val="none"/>
        </w:rPr>
        <w:t>.最短</w:t>
      </w:r>
      <w:r>
        <w:rPr>
          <w:rFonts w:ascii="仿宋_GB2312" w:hAnsi="宋体" w:cs="宋体"/>
          <w:bCs/>
          <w:color w:val="auto"/>
          <w:kern w:val="0"/>
          <w:szCs w:val="24"/>
          <w:highlight w:val="none"/>
          <w:u w:val="none"/>
        </w:rPr>
        <w:t>持有期：</w:t>
      </w:r>
      <w:r>
        <w:rPr>
          <w:rFonts w:hint="eastAsia" w:ascii="仿宋_GB2312" w:hAnsi="宋体" w:cs="宋体"/>
          <w:bCs/>
          <w:color w:val="auto"/>
          <w:kern w:val="0"/>
          <w:szCs w:val="24"/>
          <w:highlight w:val="none"/>
          <w:u w:val="none"/>
        </w:rPr>
        <w:t>指自产品成立日/申购确认日起，投资者持有的产品份额被锁定持有的最短期间。在最短持有期内，投资者不能提出赎回申请，最短持有期届满后，投资者可赎回该等份额。</w:t>
      </w:r>
    </w:p>
    <w:p w14:paraId="0C37F3C4">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lang w:val="en-US" w:eastAsia="zh-CN"/>
        </w:rPr>
        <w:t>3</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投资周期：投资周期指投资者持有理财产品份额所对应的理财资金由产品管理人进行</w:t>
      </w:r>
      <w:r>
        <w:rPr>
          <w:rFonts w:hint="eastAsia" w:ascii="仿宋_GB2312" w:hAnsi="宋体" w:cs="宋体"/>
          <w:bCs/>
          <w:color w:val="auto"/>
          <w:kern w:val="0"/>
          <w:szCs w:val="24"/>
          <w:highlight w:val="none"/>
          <w:u w:val="none"/>
          <w:lang w:eastAsia="zh-CN"/>
        </w:rPr>
        <w:t>最短</w:t>
      </w:r>
      <w:r>
        <w:rPr>
          <w:rFonts w:hint="eastAsia" w:ascii="仿宋_GB2312" w:hAnsi="宋体" w:cs="宋体"/>
          <w:bCs/>
          <w:color w:val="auto"/>
          <w:kern w:val="0"/>
          <w:szCs w:val="24"/>
          <w:highlight w:val="none"/>
          <w:u w:val="none"/>
        </w:rPr>
        <w:t>投资运作的一段完整期间，每一个投资周期为该投资周期起始日至该投资周期终止日的理财期间。</w:t>
      </w:r>
    </w:p>
    <w:p w14:paraId="7364A812">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投资周期起始日：指每一个投资周期开始的日期。</w:t>
      </w:r>
    </w:p>
    <w:p w14:paraId="666EBC1A">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投资周期终止日：指每一个投资周期结束的日期。</w:t>
      </w:r>
    </w:p>
    <w:p w14:paraId="3E16A359">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lang w:val="en-US" w:eastAsia="zh-CN"/>
        </w:rPr>
        <w:t>4</w:t>
      </w:r>
      <w:r>
        <w:rPr>
          <w:rFonts w:hint="eastAsia" w:ascii="仿宋_GB2312" w:hAnsi="宋体" w:cs="宋体"/>
          <w:bCs/>
          <w:color w:val="auto"/>
          <w:kern w:val="0"/>
          <w:szCs w:val="24"/>
          <w:highlight w:val="none"/>
          <w:u w:val="none"/>
        </w:rPr>
        <w:t>.产品存续期：指自理财产品成立日起，至理财产品终止日的期间。</w:t>
      </w:r>
    </w:p>
    <w:p w14:paraId="10816CF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lang w:val="en-US" w:eastAsia="zh-CN"/>
        </w:rPr>
        <w:t>5</w:t>
      </w:r>
      <w:r>
        <w:rPr>
          <w:rFonts w:hint="eastAsia" w:ascii="仿宋_GB2312" w:hAnsi="宋体" w:cs="宋体"/>
          <w:bCs/>
          <w:color w:val="auto"/>
          <w:kern w:val="0"/>
          <w:szCs w:val="24"/>
          <w:highlight w:val="none"/>
          <w:u w:val="none"/>
        </w:rPr>
        <w:t>.清算期：指自本理财产品终止日至投资者理财</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到账日之间的期间。</w:t>
      </w:r>
    </w:p>
    <w:p w14:paraId="065B526A">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lang w:val="en-US" w:eastAsia="zh-CN"/>
        </w:rPr>
        <w:t>6</w:t>
      </w:r>
      <w:r>
        <w:rPr>
          <w:rFonts w:hint="eastAsia" w:ascii="仿宋_GB2312" w:hAnsi="宋体" w:cs="宋体"/>
          <w:bCs/>
          <w:color w:val="auto"/>
          <w:kern w:val="0"/>
          <w:szCs w:val="24"/>
          <w:highlight w:val="none"/>
          <w:u w:val="none"/>
        </w:rPr>
        <w:t>.开放日：指投资者可提交申购与赎回申请的日期。</w:t>
      </w:r>
    </w:p>
    <w:p w14:paraId="0438DE31">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lang w:val="en-US" w:eastAsia="zh-CN"/>
        </w:rPr>
        <w:t>7</w:t>
      </w:r>
      <w:r>
        <w:rPr>
          <w:rFonts w:hint="eastAsia" w:ascii="仿宋_GB2312" w:hAnsi="宋体" w:cs="宋体"/>
          <w:bCs/>
          <w:color w:val="auto"/>
          <w:kern w:val="0"/>
          <w:szCs w:val="24"/>
          <w:highlight w:val="none"/>
          <w:u w:val="none"/>
        </w:rPr>
        <w:t>.申购/赎回日：指投资者提交申购、赎回申请的日期。</w:t>
      </w:r>
    </w:p>
    <w:p w14:paraId="29F5B5B8">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lang w:val="en-US" w:eastAsia="zh-CN"/>
        </w:rPr>
        <w:t>7</w:t>
      </w:r>
      <w:r>
        <w:rPr>
          <w:rFonts w:hint="eastAsia" w:ascii="仿宋_GB2312" w:hAnsi="宋体" w:cs="宋体"/>
          <w:bCs/>
          <w:color w:val="auto"/>
          <w:kern w:val="0"/>
          <w:szCs w:val="24"/>
          <w:highlight w:val="none"/>
          <w:u w:val="none"/>
        </w:rPr>
        <w:t>.申购/赎回确认日：指投资者提交申购、赎回申请后，管理人对申购、赎回申请进行确认的日期。</w:t>
      </w:r>
    </w:p>
    <w:p w14:paraId="289527D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lang w:val="en-US" w:eastAsia="zh-CN"/>
        </w:rPr>
        <w:t>9</w:t>
      </w:r>
      <w:r>
        <w:rPr>
          <w:rFonts w:hint="eastAsia" w:ascii="仿宋_GB2312" w:hAnsi="宋体" w:cs="宋体"/>
          <w:bCs/>
          <w:color w:val="auto"/>
          <w:kern w:val="0"/>
          <w:szCs w:val="24"/>
          <w:highlight w:val="none"/>
          <w:u w:val="none"/>
        </w:rPr>
        <w:t>.T日：指某一事件或行为发生的当日。</w:t>
      </w:r>
    </w:p>
    <w:p w14:paraId="7B3DEE9A">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20</w:t>
      </w:r>
      <w:r>
        <w:rPr>
          <w:rFonts w:hint="eastAsia" w:ascii="仿宋_GB2312" w:hAnsi="宋体" w:cs="宋体"/>
          <w:bCs/>
          <w:color w:val="auto"/>
          <w:kern w:val="0"/>
          <w:szCs w:val="24"/>
          <w:highlight w:val="none"/>
          <w:u w:val="none"/>
        </w:rPr>
        <w:t>.T+n日：指T日后（不包括T日）的第n个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lang w:eastAsia="zh-CN"/>
        </w:rPr>
        <w:sym w:font="Wingdings 2" w:char="00A3"/>
      </w:r>
      <w:r>
        <w:rPr>
          <w:rFonts w:hint="eastAsia" w:ascii="仿宋_GB2312" w:hAnsi="宋体" w:cs="宋体"/>
          <w:bCs/>
          <w:kern w:val="0"/>
          <w:szCs w:val="24"/>
          <w:highlight w:val="yellow"/>
          <w:lang w:eastAsia="zh-CN"/>
        </w:rPr>
        <w:t>工作日</w:t>
      </w:r>
      <w:r>
        <w:rPr>
          <w:rFonts w:hint="eastAsia" w:ascii="仿宋_GB2312" w:hAnsi="宋体" w:cs="宋体"/>
          <w:bCs/>
          <w:kern w:val="0"/>
          <w:szCs w:val="24"/>
          <w:highlight w:val="yellow"/>
          <w:lang w:val="en-US" w:eastAsia="zh-CN"/>
        </w:rPr>
        <w:t>/</w:t>
      </w:r>
      <w:r>
        <w:rPr>
          <w:rFonts w:hint="eastAsia" w:ascii="仿宋_GB2312" w:hAnsi="宋体" w:cs="宋体"/>
          <w:bCs/>
          <w:kern w:val="0"/>
          <w:szCs w:val="24"/>
          <w:highlight w:val="yellow"/>
          <w:lang w:val="en-US" w:eastAsia="zh-CN"/>
        </w:rPr>
        <w:sym w:font="Wingdings 2" w:char="00A3"/>
      </w:r>
      <w:r>
        <w:rPr>
          <w:rFonts w:hint="eastAsia" w:ascii="仿宋_GB2312" w:hAnsi="宋体" w:cs="宋体"/>
          <w:bCs/>
          <w:kern w:val="0"/>
          <w:szCs w:val="24"/>
          <w:highlight w:val="yellow"/>
          <w:lang w:val="en-US" w:eastAsia="zh-CN"/>
        </w:rPr>
        <w:t>交易日</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w:t>
      </w:r>
    </w:p>
    <w:p w14:paraId="41EC766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val="en-US" w:eastAsia="zh-CN"/>
        </w:rPr>
        <w:t>21</w:t>
      </w:r>
      <w:r>
        <w:rPr>
          <w:rFonts w:hint="eastAsia" w:ascii="仿宋_GB2312" w:hAnsi="宋体" w:cs="宋体"/>
          <w:bCs/>
          <w:color w:val="auto"/>
          <w:kern w:val="0"/>
          <w:szCs w:val="24"/>
          <w:highlight w:val="none"/>
          <w:u w:val="none"/>
        </w:rPr>
        <w:t>.T-n日：指T前（不包括T日）的第n个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lang w:eastAsia="zh-CN"/>
        </w:rPr>
        <w:sym w:font="Wingdings 2" w:char="00A3"/>
      </w:r>
      <w:r>
        <w:rPr>
          <w:rFonts w:hint="eastAsia" w:ascii="仿宋_GB2312" w:hAnsi="宋体" w:cs="宋体"/>
          <w:bCs/>
          <w:kern w:val="0"/>
          <w:szCs w:val="24"/>
          <w:highlight w:val="yellow"/>
          <w:lang w:eastAsia="zh-CN"/>
        </w:rPr>
        <w:t>工作日</w:t>
      </w:r>
      <w:r>
        <w:rPr>
          <w:rFonts w:hint="eastAsia" w:ascii="仿宋_GB2312" w:hAnsi="宋体" w:cs="宋体"/>
          <w:bCs/>
          <w:kern w:val="0"/>
          <w:szCs w:val="24"/>
          <w:highlight w:val="yellow"/>
          <w:lang w:val="en-US" w:eastAsia="zh-CN"/>
        </w:rPr>
        <w:t>/</w:t>
      </w:r>
      <w:r>
        <w:rPr>
          <w:rFonts w:hint="eastAsia" w:ascii="仿宋_GB2312" w:hAnsi="宋体" w:cs="宋体"/>
          <w:bCs/>
          <w:kern w:val="0"/>
          <w:szCs w:val="24"/>
          <w:highlight w:val="yellow"/>
          <w:lang w:val="en-US" w:eastAsia="zh-CN"/>
        </w:rPr>
        <w:sym w:font="Wingdings 2" w:char="00A3"/>
      </w:r>
      <w:r>
        <w:rPr>
          <w:rFonts w:hint="eastAsia" w:ascii="仿宋_GB2312" w:hAnsi="宋体" w:cs="宋体"/>
          <w:bCs/>
          <w:kern w:val="0"/>
          <w:szCs w:val="24"/>
          <w:highlight w:val="yellow"/>
          <w:lang w:val="en-US" w:eastAsia="zh-CN"/>
        </w:rPr>
        <w:t>交易日</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w:t>
      </w:r>
    </w:p>
    <w:p w14:paraId="0C232317">
      <w:pPr>
        <w:pStyle w:val="3"/>
        <w:numPr>
          <w:ilvl w:val="1"/>
          <w:numId w:val="15"/>
        </w:numPr>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费用</w:t>
      </w:r>
    </w:p>
    <w:p w14:paraId="36F4C4FE">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1.认购费：指投资者认购产品时需缴纳的费用。</w:t>
      </w:r>
    </w:p>
    <w:p w14:paraId="05F9E176">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2.申购费：指投资者申购产品时需缴纳的费用。</w:t>
      </w:r>
    </w:p>
    <w:p w14:paraId="4CFFFD0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3.赎回费：指投资者赎回产品时需缴纳的费用。</w:t>
      </w:r>
    </w:p>
    <w:p w14:paraId="727210D5">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4.销售服务费：指因理财产品销售行为产生，销售机构所收取的费用。</w:t>
      </w:r>
    </w:p>
    <w:p w14:paraId="5D116D3B">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w:t>
      </w:r>
      <w:r>
        <w:rPr>
          <w:rFonts w:hint="eastAsia" w:ascii="仿宋_GB2312" w:hAnsi="宋体" w:cs="宋体"/>
          <w:bCs/>
          <w:color w:val="auto"/>
          <w:kern w:val="0"/>
          <w:szCs w:val="24"/>
          <w:highlight w:val="none"/>
          <w:u w:val="none"/>
          <w:lang w:eastAsia="zh-CN"/>
        </w:rPr>
        <w:t>固定</w:t>
      </w:r>
      <w:r>
        <w:rPr>
          <w:rFonts w:hint="eastAsia" w:ascii="仿宋_GB2312" w:hAnsi="宋体" w:cs="宋体"/>
          <w:bCs/>
          <w:color w:val="auto"/>
          <w:kern w:val="0"/>
          <w:szCs w:val="24"/>
          <w:highlight w:val="none"/>
          <w:u w:val="none"/>
        </w:rPr>
        <w:t>管理费：指因理财产品投资管理产生，管理人所收取的费用。</w:t>
      </w:r>
    </w:p>
    <w:p w14:paraId="310C01BF">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6.托管费：指因理财产品进行托管产生，托管人收取的费用。</w:t>
      </w:r>
    </w:p>
    <w:p w14:paraId="1E3A7FE4">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7.</w:t>
      </w:r>
      <w:r>
        <w:rPr>
          <w:rFonts w:hint="eastAsia" w:ascii="仿宋_GB2312" w:hAnsi="宋体" w:cs="宋体"/>
          <w:bCs/>
          <w:color w:val="auto"/>
          <w:kern w:val="0"/>
          <w:szCs w:val="24"/>
          <w:highlight w:val="none"/>
          <w:u w:val="none"/>
          <w:lang w:eastAsia="zh-CN"/>
        </w:rPr>
        <w:t>浮动管理费</w:t>
      </w:r>
      <w:r>
        <w:rPr>
          <w:rFonts w:hint="eastAsia" w:ascii="仿宋_GB2312" w:hAnsi="宋体" w:cs="宋体"/>
          <w:bCs/>
          <w:color w:val="auto"/>
          <w:kern w:val="0"/>
          <w:szCs w:val="24"/>
          <w:highlight w:val="none"/>
          <w:u w:val="none"/>
        </w:rPr>
        <w:t>：指产品管理人依照理财产品销售文件约定规则收取的浮动性质的管理费用。</w:t>
      </w:r>
    </w:p>
    <w:p w14:paraId="1A624A36">
      <w:pPr>
        <w:tabs>
          <w:tab w:val="left" w:pos="709"/>
        </w:tabs>
        <w:snapToGrid w:val="0"/>
        <w:spacing w:line="360" w:lineRule="auto"/>
        <w:ind w:firstLine="420" w:firstLineChars="200"/>
        <w:rPr>
          <w:color w:val="auto"/>
          <w:highlight w:val="none"/>
          <w:u w:val="none"/>
        </w:rPr>
      </w:pPr>
      <w:r>
        <w:rPr>
          <w:rFonts w:hint="eastAsia" w:ascii="仿宋_GB2312" w:hAnsi="宋体" w:cs="宋体"/>
          <w:bCs/>
          <w:color w:val="auto"/>
          <w:kern w:val="0"/>
          <w:szCs w:val="24"/>
          <w:highlight w:val="none"/>
          <w:u w:val="none"/>
        </w:rPr>
        <w:t>8.其他费用（如有）：</w:t>
      </w:r>
      <w:r>
        <w:rPr>
          <w:rFonts w:hint="eastAsia"/>
          <w:color w:val="auto"/>
          <w:highlight w:val="none"/>
          <w:u w:val="none"/>
        </w:rPr>
        <w:t>与理财</w:t>
      </w:r>
      <w:r>
        <w:rPr>
          <w:color w:val="auto"/>
          <w:highlight w:val="none"/>
          <w:u w:val="none"/>
        </w:rPr>
        <w:t>产品相关的</w:t>
      </w:r>
      <w:r>
        <w:rPr>
          <w:rFonts w:hint="eastAsia"/>
          <w:color w:val="auto"/>
          <w:highlight w:val="none"/>
          <w:u w:val="none"/>
        </w:rPr>
        <w:t>账户服务费用、资产服务费用、交易费用（包括但不限于交易佣金、撮合费用等）、注册登记费、验资费、审计费、信息披露费、</w:t>
      </w:r>
      <w:r>
        <w:rPr>
          <w:rFonts w:hint="eastAsia"/>
          <w:color w:val="auto"/>
          <w:highlight w:val="yellow"/>
          <w:u w:val="none"/>
          <w:lang w:eastAsia="zh-CN"/>
        </w:rPr>
        <w:t>信息服务费用、</w:t>
      </w:r>
      <w:r>
        <w:rPr>
          <w:rFonts w:hint="eastAsia"/>
          <w:color w:val="auto"/>
          <w:highlight w:val="none"/>
          <w:u w:val="none"/>
        </w:rPr>
        <w:t>清算费用、执行费用（包括但不限于律师费、诉讼费、仲裁费、公证费、保全费、执行费等）以及按照法律法规、监管规定和理财产品销售文件约定可以列入的其他费用，具体以实际发生为准。</w:t>
      </w:r>
    </w:p>
    <w:p w14:paraId="63E4AAE5">
      <w:pPr>
        <w:tabs>
          <w:tab w:val="left" w:pos="709"/>
        </w:tabs>
        <w:snapToGrid w:val="0"/>
        <w:spacing w:line="360" w:lineRule="auto"/>
        <w:ind w:firstLine="422" w:firstLineChars="200"/>
        <w:rPr>
          <w:rFonts w:ascii="仿宋_GB2312" w:hAnsi="宋体" w:cs="宋体"/>
          <w:bCs/>
          <w:color w:val="auto"/>
          <w:kern w:val="0"/>
          <w:szCs w:val="24"/>
          <w:highlight w:val="none"/>
          <w:u w:val="none"/>
        </w:rPr>
      </w:pPr>
      <w:r>
        <w:rPr>
          <w:rFonts w:hint="eastAsia" w:ascii="仿宋_GB2312" w:hAnsi="宋体" w:cs="宋体"/>
          <w:b/>
          <w:bCs/>
          <w:color w:val="auto"/>
          <w:kern w:val="0"/>
          <w:szCs w:val="24"/>
          <w:highlight w:val="none"/>
          <w:u w:val="none"/>
        </w:rPr>
        <w:t>（六）其他</w:t>
      </w:r>
      <w:r>
        <w:rPr>
          <w:rFonts w:hint="eastAsia" w:ascii="仿宋_GB2312" w:hAnsi="宋体" w:cs="宋体"/>
          <w:bCs/>
          <w:color w:val="auto"/>
          <w:kern w:val="0"/>
          <w:szCs w:val="24"/>
          <w:highlight w:val="none"/>
          <w:u w:val="none"/>
        </w:rPr>
        <w:t xml:space="preserve"> </w:t>
      </w:r>
    </w:p>
    <w:p w14:paraId="53B4AA9E">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1.不可抗力：指理财产品各方不能预见、不能避免且不能克服的客观情况，该事件妨碍、影响或延误任何一方依相关理财产品销售文件履行其全部或部分义务。该事件包括但不限于：</w:t>
      </w:r>
    </w:p>
    <w:p w14:paraId="5E0C8B59">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A、地震、台风、海啸、洪水、火灾、停电、瘟疫；</w:t>
      </w:r>
    </w:p>
    <w:p w14:paraId="2B378C97">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B、战争、政变、恐怖主义行动、骚乱、罢工；</w:t>
      </w:r>
    </w:p>
    <w:p w14:paraId="71B55528">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C、新的适用法律或国家政策的颁布或实施、对原适用法律或国家政策的修改；</w:t>
      </w:r>
    </w:p>
    <w:p w14:paraId="3FDE7219">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D、金融管理部门强制要求终止理财产品（该等强制要求不可归咎于任何一方）；</w:t>
      </w:r>
    </w:p>
    <w:p w14:paraId="2441B803">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E、因理财产品各方和/或其关联方运营网络系统遭受黑客攻击、电信部门技术调整或故障等原因而造成的理财产品各方和/或其关联方之服务、营业的中断或者延迟。</w:t>
      </w:r>
    </w:p>
    <w:p w14:paraId="0C68BC06">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2.元：指人民币元。 </w:t>
      </w:r>
    </w:p>
    <w:p w14:paraId="4792DE5C">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适用法律：指在理财产品销售文件签署日和履行过程中，适用中华人民共和国法律（为本协议之目的，在此不包括香港、澳门特别行政区和台湾地区的法律），包括中国任何立法机构、政府部门、银行业理财登记托管中心、银行间交易商协会、证券交易所、证券登记结算机构、相关行业协会依法颁布的，适用于本理财产品相关事宜的法律、行政法规、地方法规、部委规章、地方政府规章、规范性文件、规则、通知、须知、业务指南、指引或操作规程，及其有效的修改、更新或补充。</w:t>
      </w:r>
    </w:p>
    <w:p w14:paraId="5BCF6BBB">
      <w:pPr>
        <w:rPr>
          <w:color w:val="auto"/>
          <w:highlight w:val="none"/>
          <w:u w:val="none"/>
        </w:rPr>
      </w:pPr>
    </w:p>
    <w:p w14:paraId="0499AF90">
      <w:pPr>
        <w:rPr>
          <w:color w:val="auto"/>
          <w:highlight w:val="none"/>
          <w:u w:val="none"/>
        </w:rPr>
      </w:pPr>
    </w:p>
    <w:p w14:paraId="5B8B5831">
      <w:pPr>
        <w:rPr>
          <w:color w:val="auto"/>
          <w:highlight w:val="none"/>
          <w:u w:val="none"/>
        </w:rPr>
      </w:pPr>
    </w:p>
    <w:p w14:paraId="43C41696"/>
    <w:p w14:paraId="51DB1026">
      <w:pPr>
        <w:pStyle w:val="2"/>
        <w:numPr>
          <w:ilvl w:val="0"/>
          <w:numId w:val="15"/>
        </w:numPr>
        <w:rPr>
          <w:color w:val="auto"/>
          <w:highlight w:val="none"/>
          <w:u w:val="none"/>
        </w:rPr>
      </w:pPr>
      <w:r>
        <w:rPr>
          <w:rFonts w:hint="eastAsia"/>
          <w:color w:val="auto"/>
          <w:highlight w:val="none"/>
          <w:u w:val="none"/>
        </w:rPr>
        <w:t>理财产品的认购与成立</w:t>
      </w:r>
    </w:p>
    <w:p w14:paraId="01CEADD1">
      <w:pPr>
        <w:pStyle w:val="3"/>
        <w:widowControl/>
        <w:numPr>
          <w:ilvl w:val="1"/>
          <w:numId w:val="15"/>
        </w:numPr>
        <w:tabs>
          <w:tab w:val="left" w:pos="709"/>
        </w:tabs>
        <w:adjustRightInd w:val="0"/>
        <w:snapToGrid w:val="0"/>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参与主体及主要职责</w:t>
      </w:r>
    </w:p>
    <w:p w14:paraId="58478416">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rPr>
        <w:t>产品管理人</w:t>
      </w:r>
    </w:p>
    <w:p w14:paraId="0380A86C">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名称：浙银理财有限责任公司</w:t>
      </w:r>
    </w:p>
    <w:p w14:paraId="3AD98D33">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注册地：</w:t>
      </w: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none"/>
          <w:u w:val="none"/>
        </w:rPr>
        <w:t>浙江省杭州市萧山区宁围街道民和路939号浙江商会大厦2幢20-22楼</w:t>
      </w:r>
      <w:r>
        <w:rPr>
          <w:rFonts w:hint="eastAsia" w:ascii="仿宋_GB2312" w:hAnsi="宋体" w:cs="宋体"/>
          <w:bCs/>
          <w:color w:val="auto"/>
          <w:kern w:val="0"/>
          <w:szCs w:val="24"/>
          <w:highlight w:val="yellow"/>
          <w:u w:val="none"/>
          <w:lang w:eastAsia="zh-CN"/>
        </w:rPr>
        <w:t>】</w:t>
      </w:r>
    </w:p>
    <w:p w14:paraId="22BFB283">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浙银理财负责本产品的投资运作和产品管理，</w:t>
      </w:r>
      <w:r>
        <w:rPr>
          <w:rFonts w:hint="eastAsia" w:ascii="仿宋_GB2312" w:hAnsi="宋体" w:cs="宋体"/>
          <w:b/>
          <w:color w:val="auto"/>
          <w:kern w:val="0"/>
          <w:szCs w:val="24"/>
          <w:highlight w:val="none"/>
          <w:u w:val="none"/>
        </w:rPr>
        <w:t>投资者在此授权并同意浙银理财享有以下权利</w:t>
      </w:r>
      <w:r>
        <w:rPr>
          <w:rFonts w:hint="eastAsia" w:ascii="仿宋_GB2312" w:hAnsi="宋体" w:cs="宋体"/>
          <w:bCs/>
          <w:color w:val="auto"/>
          <w:kern w:val="0"/>
          <w:szCs w:val="24"/>
          <w:highlight w:val="none"/>
          <w:u w:val="none"/>
        </w:rPr>
        <w:t>：</w:t>
      </w:r>
    </w:p>
    <w:p w14:paraId="16B69725">
      <w:pPr>
        <w:widowControl/>
        <w:numPr>
          <w:ilvl w:val="0"/>
          <w:numId w:val="8"/>
        </w:numPr>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按照本产品销售文件的约定，管理、运用和处分理财产品资金；</w:t>
      </w:r>
    </w:p>
    <w:p w14:paraId="308FA78D">
      <w:pPr>
        <w:widowControl/>
        <w:numPr>
          <w:ilvl w:val="0"/>
          <w:numId w:val="8"/>
        </w:numPr>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按照本产品销售文件的约定，及时、足额获得管理费和本产品说明书约定的其他费用（如有）；</w:t>
      </w:r>
    </w:p>
    <w:p w14:paraId="1114A0E7">
      <w:pPr>
        <w:widowControl/>
        <w:numPr>
          <w:ilvl w:val="0"/>
          <w:numId w:val="8"/>
        </w:numPr>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管理人以其固有财产先行垫付因处理本产品相关事务所支出的理财产品费用及税费的，对理财产品资金享有优先受偿权；</w:t>
      </w:r>
    </w:p>
    <w:p w14:paraId="2E6E97F7">
      <w:pPr>
        <w:widowControl/>
        <w:numPr>
          <w:ilvl w:val="0"/>
          <w:numId w:val="8"/>
        </w:numPr>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管理人有权根据本产品销售文件的约定提前终止或延长本理财产品的期限；</w:t>
      </w:r>
    </w:p>
    <w:p w14:paraId="0FFFC1AB">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（5）管理人有权单方调整本产品的发行规模上限、认/申购起点金额、投资者累计认/申购上限、赎回上限等要素；</w:t>
      </w:r>
    </w:p>
    <w:p w14:paraId="5EB020CC">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（6）管理人有权按照法律法规和监管机构的要求将投资者的信息向有权部门或相关机构披露；</w:t>
      </w:r>
    </w:p>
    <w:p w14:paraId="07292934">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（7）以理财产品管理人的名义，依照法律法规相关规定以及为理财产品的利益，对被投资的各类资产行使出资人/投资者权利（包括但不限于表决投票的权利）；</w:t>
      </w:r>
    </w:p>
    <w:p w14:paraId="08BDB01E">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8）以理财产品管理人的名义，依照法律法规相关规定以及代表理财产品份额持有人的利益代为行使追索的权利（包括但不限于提起诉讼/仲裁、申请保全/执行的权利）或者实施其他风险处置、行使、放弃、变更相关权利义务的法律行为；</w:t>
      </w:r>
    </w:p>
    <w:p w14:paraId="30E3A27D">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（9）法律法规、监管政策及本产品销售文件约定的其他权利。</w:t>
      </w:r>
    </w:p>
    <w:p w14:paraId="1E908A97">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2.产品托管机构</w:t>
      </w:r>
    </w:p>
    <w:p w14:paraId="548DE5C1">
      <w:pPr>
        <w:widowControl/>
        <w:tabs>
          <w:tab w:val="left" w:pos="709"/>
        </w:tabs>
        <w:adjustRightInd w:val="0"/>
        <w:snapToGrid w:val="0"/>
        <w:spacing w:line="360" w:lineRule="auto"/>
        <w:ind w:firstLine="420" w:firstLineChars="200"/>
        <w:rPr>
          <w:rFonts w:hint="eastAsia" w:ascii="仿宋_GB2312" w:hAnsi="宋体" w:eastAsia="仿宋_GB2312" w:cs="宋体"/>
          <w:bCs/>
          <w:kern w:val="0"/>
          <w:szCs w:val="24"/>
          <w:highlight w:val="none"/>
          <w:lang w:eastAsia="zh-CN"/>
        </w:rPr>
      </w:pPr>
      <w:r>
        <w:rPr>
          <w:rFonts w:hint="eastAsia" w:ascii="仿宋_GB2312" w:hAnsi="宋体" w:cs="宋体"/>
          <w:bCs/>
          <w:kern w:val="0"/>
          <w:szCs w:val="24"/>
          <w:highlight w:val="none"/>
        </w:rPr>
        <w:t>名称：</w:t>
      </w:r>
      <w:r>
        <w:rPr>
          <w:rFonts w:hint="eastAsia"/>
          <w:szCs w:val="24"/>
          <w:highlight w:val="yellow"/>
          <w:lang w:eastAsia="zh-CN"/>
        </w:rPr>
        <w:t>【】</w:t>
      </w:r>
    </w:p>
    <w:p w14:paraId="0B120FC8">
      <w:pPr>
        <w:widowControl/>
        <w:tabs>
          <w:tab w:val="left" w:pos="709"/>
        </w:tabs>
        <w:adjustRightInd w:val="0"/>
        <w:snapToGrid w:val="0"/>
        <w:spacing w:line="360" w:lineRule="auto"/>
        <w:ind w:firstLine="420" w:firstLineChars="200"/>
        <w:rPr>
          <w:rFonts w:hint="eastAsia" w:ascii="仿宋_GB2312" w:hAnsi="宋体" w:eastAsia="仿宋_GB2312" w:cs="宋体"/>
          <w:bCs/>
          <w:kern w:val="0"/>
          <w:szCs w:val="24"/>
          <w:highlight w:val="none"/>
          <w:lang w:eastAsia="zh-CN"/>
        </w:rPr>
      </w:pPr>
      <w:r>
        <w:rPr>
          <w:rFonts w:hint="eastAsia" w:ascii="仿宋_GB2312" w:hAnsi="宋体" w:cs="宋体"/>
          <w:bCs/>
          <w:kern w:val="0"/>
          <w:szCs w:val="24"/>
          <w:highlight w:val="none"/>
        </w:rPr>
        <w:t>注册地：</w:t>
      </w:r>
      <w:r>
        <w:rPr>
          <w:rFonts w:hint="eastAsia" w:ascii="仿宋_GB2312" w:hAnsi="宋体" w:cs="宋体"/>
          <w:bCs/>
          <w:kern w:val="0"/>
          <w:szCs w:val="24"/>
          <w:highlight w:val="yellow"/>
          <w:lang w:eastAsia="zh-CN"/>
        </w:rPr>
        <w:t>【】</w:t>
      </w:r>
    </w:p>
    <w:p w14:paraId="027BE3C7">
      <w:pPr>
        <w:widowControl/>
        <w:tabs>
          <w:tab w:val="left" w:pos="709"/>
        </w:tabs>
        <w:adjustRightInd w:val="0"/>
        <w:snapToGrid w:val="0"/>
        <w:spacing w:line="360" w:lineRule="auto"/>
        <w:ind w:firstLine="420" w:firstLineChars="200"/>
        <w:rPr>
          <w:rFonts w:hint="default" w:ascii="仿宋_GB2312" w:hAnsi="宋体" w:eastAsia="仿宋_GB2312" w:cs="宋体"/>
          <w:bCs/>
          <w:kern w:val="0"/>
          <w:szCs w:val="24"/>
          <w:highlight w:val="none"/>
          <w:lang w:val="en-US" w:eastAsia="zh-CN"/>
        </w:rPr>
      </w:pPr>
      <w:r>
        <w:rPr>
          <w:rFonts w:hint="eastAsia" w:ascii="仿宋_GB2312" w:hAnsi="宋体" w:cs="宋体"/>
          <w:bCs/>
          <w:kern w:val="0"/>
          <w:szCs w:val="24"/>
          <w:highlight w:val="none"/>
        </w:rPr>
        <w:t>客户服务热线：</w:t>
      </w:r>
      <w:r>
        <w:rPr>
          <w:rFonts w:hint="eastAsia" w:ascii="仿宋_GB2312" w:hAnsi="宋体" w:cs="宋体"/>
          <w:bCs/>
          <w:kern w:val="0"/>
          <w:szCs w:val="24"/>
          <w:highlight w:val="yellow"/>
          <w:lang w:val="en-US" w:eastAsia="zh-CN"/>
        </w:rPr>
        <w:t>【】</w:t>
      </w:r>
    </w:p>
    <w:p w14:paraId="4FF0D715">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托管机构主要职责：提供包括账户开立、资金保管、资金清算、估值核算、投资监督等理财产品托管服务。</w:t>
      </w:r>
    </w:p>
    <w:p w14:paraId="408D58EA">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产品管理人为理财产品资金管理之目的，以本产品的名义在托管人处单独开立资金账户，理财产品资金的一切收支活动，包括但不限于划付对外投资资金、缴纳理财产品税费、接收理财产品回收资金、支付理财产品费用，均必须通过该账户进行。</w:t>
      </w:r>
    </w:p>
    <w:p w14:paraId="3941C722">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3.</w:t>
      </w:r>
      <w:r>
        <w:rPr>
          <w:rFonts w:hint="eastAsia" w:ascii="仿宋_GB2312" w:hAnsi="宋体" w:cs="宋体"/>
          <w:bCs/>
          <w:color w:val="auto"/>
          <w:kern w:val="0"/>
          <w:szCs w:val="24"/>
          <w:highlight w:val="none"/>
          <w:u w:val="none"/>
        </w:rPr>
        <w:t>产品销售机构</w:t>
      </w:r>
    </w:p>
    <w:p w14:paraId="445A05F7">
      <w:pPr>
        <w:widowControl/>
        <w:tabs>
          <w:tab w:val="left" w:pos="709"/>
        </w:tabs>
        <w:adjustRightInd w:val="0"/>
        <w:snapToGrid w:val="0"/>
        <w:spacing w:line="360" w:lineRule="auto"/>
        <w:ind w:firstLine="420" w:firstLineChars="200"/>
        <w:rPr>
          <w:rFonts w:hint="eastAsia" w:ascii="仿宋_GB2312" w:hAnsi="宋体" w:eastAsia="仿宋_GB2312" w:cs="宋体"/>
          <w:bCs/>
          <w:kern w:val="0"/>
          <w:szCs w:val="24"/>
          <w:highlight w:val="none"/>
          <w:lang w:eastAsia="zh-CN"/>
        </w:rPr>
      </w:pPr>
      <w:r>
        <w:rPr>
          <w:rFonts w:hint="eastAsia" w:ascii="仿宋_GB2312" w:hAnsi="宋体" w:cs="宋体"/>
          <w:bCs/>
          <w:kern w:val="0"/>
          <w:szCs w:val="24"/>
          <w:highlight w:val="none"/>
        </w:rPr>
        <w:t>名称：</w:t>
      </w:r>
      <w:r>
        <w:rPr>
          <w:rFonts w:hint="eastAsia"/>
          <w:szCs w:val="24"/>
          <w:highlight w:val="yellow"/>
          <w:lang w:eastAsia="zh-CN"/>
        </w:rPr>
        <w:t>【】</w:t>
      </w:r>
    </w:p>
    <w:p w14:paraId="08D6CF78">
      <w:pPr>
        <w:widowControl/>
        <w:tabs>
          <w:tab w:val="left" w:pos="709"/>
        </w:tabs>
        <w:adjustRightInd w:val="0"/>
        <w:snapToGrid w:val="0"/>
        <w:spacing w:line="360" w:lineRule="auto"/>
        <w:ind w:firstLine="420" w:firstLineChars="200"/>
        <w:rPr>
          <w:rFonts w:hint="eastAsia" w:ascii="仿宋_GB2312" w:hAnsi="宋体" w:eastAsia="仿宋_GB2312" w:cs="宋体"/>
          <w:bCs/>
          <w:kern w:val="0"/>
          <w:szCs w:val="24"/>
          <w:highlight w:val="none"/>
          <w:lang w:eastAsia="zh-CN"/>
        </w:rPr>
      </w:pPr>
      <w:r>
        <w:rPr>
          <w:rFonts w:hint="eastAsia" w:ascii="仿宋_GB2312" w:hAnsi="宋体" w:cs="宋体"/>
          <w:bCs/>
          <w:kern w:val="0"/>
          <w:szCs w:val="24"/>
          <w:highlight w:val="none"/>
        </w:rPr>
        <w:t>注册地：</w:t>
      </w:r>
      <w:r>
        <w:rPr>
          <w:rFonts w:hint="eastAsia" w:ascii="仿宋_GB2312" w:hAnsi="宋体" w:cs="宋体"/>
          <w:bCs/>
          <w:kern w:val="0"/>
          <w:szCs w:val="24"/>
          <w:highlight w:val="yellow"/>
          <w:lang w:eastAsia="zh-CN"/>
        </w:rPr>
        <w:t>【】</w:t>
      </w:r>
    </w:p>
    <w:p w14:paraId="73BD10CB">
      <w:pPr>
        <w:widowControl/>
        <w:tabs>
          <w:tab w:val="left" w:pos="709"/>
        </w:tabs>
        <w:adjustRightInd w:val="0"/>
        <w:snapToGrid w:val="0"/>
        <w:spacing w:line="360" w:lineRule="auto"/>
        <w:ind w:firstLine="420" w:firstLineChars="200"/>
        <w:rPr>
          <w:rFonts w:hint="default" w:ascii="仿宋_GB2312" w:hAnsi="宋体" w:eastAsia="仿宋_GB2312" w:cs="宋体"/>
          <w:bCs/>
          <w:kern w:val="0"/>
          <w:szCs w:val="24"/>
          <w:highlight w:val="none"/>
          <w:lang w:val="en-US" w:eastAsia="zh-CN"/>
        </w:rPr>
      </w:pPr>
      <w:r>
        <w:rPr>
          <w:rFonts w:hint="eastAsia" w:ascii="仿宋_GB2312" w:hAnsi="宋体" w:cs="宋体"/>
          <w:bCs/>
          <w:kern w:val="0"/>
          <w:szCs w:val="24"/>
          <w:highlight w:val="none"/>
        </w:rPr>
        <w:t>客户服务热线：</w:t>
      </w:r>
      <w:r>
        <w:rPr>
          <w:rFonts w:hint="eastAsia" w:ascii="仿宋_GB2312" w:hAnsi="宋体" w:cs="宋体"/>
          <w:bCs/>
          <w:kern w:val="0"/>
          <w:szCs w:val="24"/>
          <w:highlight w:val="yellow"/>
          <w:lang w:val="en-US" w:eastAsia="zh-CN"/>
        </w:rPr>
        <w:t>【】</w:t>
      </w:r>
    </w:p>
    <w:p w14:paraId="1FA4C46F">
      <w:pPr>
        <w:widowControl/>
        <w:tabs>
          <w:tab w:val="left" w:pos="709"/>
        </w:tabs>
        <w:adjustRightInd w:val="0"/>
        <w:snapToGrid w:val="0"/>
        <w:spacing w:line="360" w:lineRule="auto"/>
        <w:ind w:firstLine="420" w:firstLineChars="200"/>
        <w:rPr>
          <w:rFonts w:ascii="仿宋_GB2312" w:hAnsi="宋体" w:cs="宋体"/>
          <w:b/>
          <w:bCs/>
          <w:color w:val="auto"/>
          <w:kern w:val="0"/>
          <w:szCs w:val="24"/>
          <w:highlight w:val="none"/>
          <w:u w:val="none"/>
        </w:rPr>
      </w:pPr>
      <w:r>
        <w:rPr>
          <w:rFonts w:hint="eastAsia" w:ascii="仿宋_GB2312" w:hAnsi="宋体" w:cs="宋体"/>
          <w:bCs/>
          <w:color w:val="auto"/>
          <w:kern w:val="0"/>
          <w:szCs w:val="24"/>
          <w:highlight w:val="none"/>
          <w:u w:val="none"/>
        </w:rPr>
        <w:t>本产品的认购将通过销售机构的</w:t>
      </w:r>
      <w:r>
        <w:rPr>
          <w:rFonts w:ascii="仿宋_GB2312" w:hAnsi="宋体" w:cs="宋体"/>
          <w:bCs/>
          <w:color w:val="auto"/>
          <w:kern w:val="0"/>
          <w:szCs w:val="24"/>
          <w:highlight w:val="none"/>
          <w:u w:val="none"/>
        </w:rPr>
        <w:t>销售渠道</w:t>
      </w:r>
      <w:r>
        <w:rPr>
          <w:rFonts w:hint="eastAsia" w:ascii="仿宋_GB2312" w:hAnsi="宋体" w:cs="宋体"/>
          <w:bCs/>
          <w:color w:val="auto"/>
          <w:kern w:val="0"/>
          <w:szCs w:val="24"/>
          <w:highlight w:val="none"/>
          <w:u w:val="none"/>
        </w:rPr>
        <w:t>进行（</w:t>
      </w:r>
      <w:r>
        <w:rPr>
          <w:rFonts w:ascii="仿宋_GB2312" w:hAnsi="宋体" w:cs="宋体"/>
          <w:bCs/>
          <w:color w:val="auto"/>
          <w:kern w:val="0"/>
          <w:szCs w:val="24"/>
          <w:highlight w:val="none"/>
          <w:u w:val="none"/>
        </w:rPr>
        <w:t>具体以销售机构提供的方式为准)。本产品销售机构包括但不限于</w:t>
      </w:r>
      <w:r>
        <w:rPr>
          <w:rFonts w:hint="eastAsia" w:ascii="仿宋_GB2312" w:hAnsi="宋体" w:cs="宋体"/>
          <w:bCs/>
          <w:color w:val="000000" w:themeColor="text1"/>
          <w:kern w:val="0"/>
          <w:szCs w:val="24"/>
          <w:highlight w:val="yellow"/>
          <w:lang w:eastAsia="zh-CN"/>
          <w14:textFill>
            <w14:solidFill>
              <w14:schemeClr w14:val="tx1"/>
            </w14:solidFill>
          </w14:textFill>
        </w:rPr>
        <w:t>【】</w:t>
      </w:r>
      <w:r>
        <w:rPr>
          <w:rFonts w:hint="eastAsia" w:ascii="仿宋_GB2312" w:hAnsi="宋体" w:cs="宋体"/>
          <w:bCs/>
          <w:color w:val="auto"/>
          <w:kern w:val="0"/>
          <w:szCs w:val="24"/>
          <w:highlight w:val="none"/>
          <w:u w:val="none"/>
        </w:rPr>
        <w:t>等机构，如有</w:t>
      </w:r>
      <w:r>
        <w:rPr>
          <w:rFonts w:ascii="仿宋_GB2312" w:hAnsi="宋体" w:cs="宋体"/>
          <w:bCs/>
          <w:color w:val="auto"/>
          <w:kern w:val="0"/>
          <w:szCs w:val="24"/>
          <w:highlight w:val="none"/>
          <w:u w:val="none"/>
        </w:rPr>
        <w:t>变更以管理人</w:t>
      </w:r>
      <w:r>
        <w:rPr>
          <w:rFonts w:hint="eastAsia" w:ascii="仿宋_GB2312" w:hAnsi="宋体" w:cs="宋体"/>
          <w:bCs/>
          <w:color w:val="auto"/>
          <w:kern w:val="0"/>
          <w:szCs w:val="24"/>
          <w:highlight w:val="none"/>
          <w:u w:val="none"/>
        </w:rPr>
        <w:t>信息披露为准。</w:t>
      </w:r>
    </w:p>
    <w:p w14:paraId="2DB1C57C">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销售</w:t>
      </w:r>
      <w:r>
        <w:rPr>
          <w:rFonts w:ascii="仿宋_GB2312" w:hAnsi="宋体" w:cs="宋体"/>
          <w:bCs/>
          <w:color w:val="auto"/>
          <w:kern w:val="0"/>
          <w:szCs w:val="24"/>
          <w:highlight w:val="none"/>
          <w:u w:val="none"/>
        </w:rPr>
        <w:t>机构</w:t>
      </w:r>
      <w:r>
        <w:rPr>
          <w:rFonts w:hint="eastAsia" w:ascii="仿宋_GB2312" w:hAnsi="宋体" w:cs="宋体"/>
          <w:bCs/>
          <w:color w:val="auto"/>
          <w:kern w:val="0"/>
          <w:szCs w:val="24"/>
          <w:highlight w:val="none"/>
          <w:u w:val="none"/>
        </w:rPr>
        <w:t>主要职责：理财产品宣传推介；为</w:t>
      </w:r>
      <w:r>
        <w:rPr>
          <w:rFonts w:ascii="仿宋_GB2312" w:hAnsi="宋体" w:cs="宋体"/>
          <w:bCs/>
          <w:color w:val="auto"/>
          <w:kern w:val="0"/>
          <w:szCs w:val="24"/>
          <w:highlight w:val="none"/>
          <w:u w:val="none"/>
        </w:rPr>
        <w:t>投资者办理</w:t>
      </w:r>
      <w:r>
        <w:rPr>
          <w:rFonts w:hint="eastAsia" w:ascii="仿宋_GB2312" w:hAnsi="宋体" w:cs="宋体"/>
          <w:bCs/>
          <w:color w:val="auto"/>
          <w:kern w:val="0"/>
          <w:szCs w:val="24"/>
          <w:highlight w:val="none"/>
          <w:u w:val="none"/>
        </w:rPr>
        <w:t>理财产品份额认购</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申购</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赎回服务；投资者风险承受能力评估和投资者适当性管理；</w:t>
      </w:r>
      <w:r>
        <w:rPr>
          <w:rFonts w:hint="eastAsia" w:ascii="仿宋_GB2312"/>
          <w:color w:val="auto"/>
          <w:highlight w:val="none"/>
          <w:u w:val="none"/>
        </w:rPr>
        <w:t>反洗钱、反恐怖融资、反扩散融资及非居民金融账户涉税信息尽职调查等</w:t>
      </w:r>
      <w:r>
        <w:rPr>
          <w:rFonts w:ascii="仿宋_GB2312"/>
          <w:color w:val="auto"/>
          <w:highlight w:val="none"/>
          <w:u w:val="none"/>
        </w:rPr>
        <w:t>；</w:t>
      </w:r>
      <w:r>
        <w:rPr>
          <w:rFonts w:hint="eastAsia" w:ascii="仿宋_GB2312"/>
          <w:color w:val="auto"/>
          <w:highlight w:val="none"/>
          <w:u w:val="none"/>
        </w:rPr>
        <w:t>协助投资者与管理人沟通</w:t>
      </w:r>
      <w:r>
        <w:rPr>
          <w:rFonts w:hint="eastAsia" w:ascii="仿宋_GB2312" w:hAnsi="宋体" w:cs="宋体"/>
          <w:bCs/>
          <w:color w:val="auto"/>
          <w:kern w:val="0"/>
          <w:szCs w:val="24"/>
          <w:highlight w:val="none"/>
          <w:u w:val="none"/>
        </w:rPr>
        <w:t>和客户维护等销售服务；国务院银行业监督管理机构规定的其他职责。</w:t>
      </w:r>
    </w:p>
    <w:p w14:paraId="1F8786F7">
      <w:pPr>
        <w:widowControl/>
        <w:tabs>
          <w:tab w:val="left" w:pos="709"/>
        </w:tabs>
        <w:adjustRightInd w:val="0"/>
        <w:snapToGrid w:val="0"/>
        <w:spacing w:line="360" w:lineRule="auto"/>
        <w:ind w:firstLine="422" w:firstLineChars="20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★重要</w:t>
      </w:r>
      <w:r>
        <w:rPr>
          <w:rFonts w:ascii="仿宋_GB2312" w:hAnsi="宋体" w:cs="宋体"/>
          <w:b/>
          <w:bCs/>
          <w:color w:val="auto"/>
          <w:kern w:val="0"/>
          <w:szCs w:val="24"/>
          <w:highlight w:val="none"/>
          <w:u w:val="none"/>
        </w:rPr>
        <w:t>提示：</w:t>
      </w:r>
      <w:r>
        <w:rPr>
          <w:rFonts w:hint="eastAsia" w:ascii="仿宋_GB2312" w:hAnsi="宋体" w:cs="宋体"/>
          <w:b/>
          <w:bCs/>
          <w:color w:val="auto"/>
          <w:kern w:val="0"/>
          <w:szCs w:val="24"/>
          <w:highlight w:val="none"/>
          <w:u w:val="none"/>
        </w:rPr>
        <w:t>浙银理财委托托管机构托管理财产品或委托销售机构销售理财产品的，可能涉及委托浙商银行股份有限公司（以下简称“浙商银行”）担任理财产品的托管机构或销售机构。浙银理财是浙商银行控股的子公司，双方存在关联关系。如浙银理财委托浙商银行托管或销售本理财产品，将严格</w:t>
      </w:r>
      <w:r>
        <w:rPr>
          <w:rFonts w:ascii="仿宋_GB2312" w:hAnsi="宋体" w:cs="宋体"/>
          <w:b/>
          <w:bCs/>
          <w:color w:val="auto"/>
          <w:kern w:val="0"/>
          <w:szCs w:val="24"/>
          <w:highlight w:val="none"/>
          <w:u w:val="none"/>
        </w:rPr>
        <w:t>履行</w:t>
      </w:r>
      <w:r>
        <w:rPr>
          <w:rFonts w:hint="eastAsia" w:ascii="仿宋_GB2312" w:hAnsi="宋体" w:cs="宋体"/>
          <w:b/>
          <w:bCs/>
          <w:color w:val="auto"/>
          <w:kern w:val="0"/>
          <w:szCs w:val="24"/>
          <w:highlight w:val="none"/>
          <w:u w:val="none"/>
        </w:rPr>
        <w:t>现行法律</w:t>
      </w:r>
      <w:r>
        <w:rPr>
          <w:rFonts w:ascii="仿宋_GB2312" w:hAnsi="宋体" w:cs="宋体"/>
          <w:b/>
          <w:bCs/>
          <w:color w:val="auto"/>
          <w:kern w:val="0"/>
          <w:szCs w:val="24"/>
          <w:highlight w:val="none"/>
          <w:u w:val="none"/>
        </w:rPr>
        <w:t>法规和</w:t>
      </w:r>
      <w:r>
        <w:rPr>
          <w:rFonts w:hint="eastAsia" w:ascii="仿宋_GB2312" w:hAnsi="宋体" w:cs="宋体"/>
          <w:b/>
          <w:bCs/>
          <w:color w:val="auto"/>
          <w:kern w:val="0"/>
          <w:szCs w:val="24"/>
          <w:highlight w:val="none"/>
          <w:u w:val="none"/>
        </w:rPr>
        <w:t>监管</w:t>
      </w:r>
      <w:r>
        <w:rPr>
          <w:rFonts w:ascii="仿宋_GB2312" w:hAnsi="宋体" w:cs="宋体"/>
          <w:b/>
          <w:bCs/>
          <w:color w:val="auto"/>
          <w:kern w:val="0"/>
          <w:szCs w:val="24"/>
          <w:highlight w:val="none"/>
          <w:u w:val="none"/>
        </w:rPr>
        <w:t>规定</w:t>
      </w:r>
      <w:r>
        <w:rPr>
          <w:rFonts w:hint="eastAsia" w:ascii="仿宋_GB2312" w:hAnsi="宋体" w:cs="宋体"/>
          <w:b/>
          <w:bCs/>
          <w:color w:val="auto"/>
          <w:kern w:val="0"/>
          <w:szCs w:val="24"/>
          <w:highlight w:val="none"/>
          <w:u w:val="none"/>
        </w:rPr>
        <w:t>所</w:t>
      </w:r>
      <w:r>
        <w:rPr>
          <w:rFonts w:ascii="仿宋_GB2312" w:hAnsi="宋体" w:cs="宋体"/>
          <w:b/>
          <w:bCs/>
          <w:color w:val="auto"/>
          <w:kern w:val="0"/>
          <w:szCs w:val="24"/>
          <w:highlight w:val="none"/>
          <w:u w:val="none"/>
        </w:rPr>
        <w:t>规定</w:t>
      </w:r>
      <w:r>
        <w:rPr>
          <w:rFonts w:hint="eastAsia" w:ascii="仿宋_GB2312" w:hAnsi="宋体" w:cs="宋体"/>
          <w:b/>
          <w:bCs/>
          <w:color w:val="auto"/>
          <w:kern w:val="0"/>
          <w:szCs w:val="24"/>
          <w:highlight w:val="none"/>
          <w:u w:val="none"/>
        </w:rPr>
        <w:t>必须</w:t>
      </w:r>
      <w:r>
        <w:rPr>
          <w:rFonts w:ascii="仿宋_GB2312" w:hAnsi="宋体" w:cs="宋体"/>
          <w:b/>
          <w:bCs/>
          <w:color w:val="auto"/>
          <w:kern w:val="0"/>
          <w:szCs w:val="24"/>
          <w:highlight w:val="none"/>
          <w:u w:val="none"/>
        </w:rPr>
        <w:t>履行的</w:t>
      </w:r>
      <w:r>
        <w:rPr>
          <w:rFonts w:hint="eastAsia" w:ascii="仿宋_GB2312" w:hAnsi="宋体" w:cs="宋体"/>
          <w:b/>
          <w:bCs/>
          <w:color w:val="auto"/>
          <w:kern w:val="0"/>
          <w:szCs w:val="24"/>
          <w:highlight w:val="none"/>
          <w:u w:val="none"/>
        </w:rPr>
        <w:t>程序。前述关联</w:t>
      </w:r>
      <w:r>
        <w:rPr>
          <w:rFonts w:ascii="仿宋_GB2312" w:hAnsi="宋体" w:cs="宋体"/>
          <w:b/>
          <w:bCs/>
          <w:color w:val="auto"/>
          <w:kern w:val="0"/>
          <w:szCs w:val="24"/>
          <w:highlight w:val="none"/>
          <w:u w:val="none"/>
        </w:rPr>
        <w:t>关系</w:t>
      </w:r>
      <w:r>
        <w:rPr>
          <w:rFonts w:hint="eastAsia" w:ascii="仿宋_GB2312" w:hAnsi="宋体" w:cs="宋体"/>
          <w:b/>
          <w:bCs/>
          <w:color w:val="auto"/>
          <w:kern w:val="0"/>
          <w:szCs w:val="24"/>
          <w:highlight w:val="none"/>
          <w:u w:val="none"/>
        </w:rPr>
        <w:t>可能</w:t>
      </w:r>
      <w:r>
        <w:rPr>
          <w:rFonts w:ascii="仿宋_GB2312" w:hAnsi="宋体" w:cs="宋体"/>
          <w:b/>
          <w:bCs/>
          <w:color w:val="auto"/>
          <w:kern w:val="0"/>
          <w:szCs w:val="24"/>
          <w:highlight w:val="none"/>
          <w:u w:val="none"/>
        </w:rPr>
        <w:t>导致</w:t>
      </w:r>
      <w:r>
        <w:rPr>
          <w:rFonts w:hint="eastAsia" w:ascii="仿宋_GB2312" w:hAnsi="宋体" w:cs="宋体"/>
          <w:b/>
          <w:bCs/>
          <w:color w:val="auto"/>
          <w:kern w:val="0"/>
          <w:szCs w:val="24"/>
          <w:highlight w:val="none"/>
          <w:u w:val="none"/>
        </w:rPr>
        <w:t>影响</w:t>
      </w:r>
      <w:r>
        <w:rPr>
          <w:rFonts w:ascii="仿宋_GB2312" w:hAnsi="宋体" w:cs="宋体"/>
          <w:b/>
          <w:bCs/>
          <w:color w:val="auto"/>
          <w:kern w:val="0"/>
          <w:szCs w:val="24"/>
          <w:highlight w:val="none"/>
          <w:u w:val="none"/>
        </w:rPr>
        <w:t>管理人</w:t>
      </w:r>
      <w:r>
        <w:rPr>
          <w:rFonts w:hint="eastAsia" w:ascii="仿宋_GB2312" w:hAnsi="宋体" w:cs="宋体"/>
          <w:b/>
          <w:bCs/>
          <w:color w:val="auto"/>
          <w:kern w:val="0"/>
          <w:szCs w:val="24"/>
          <w:highlight w:val="none"/>
          <w:u w:val="none"/>
        </w:rPr>
        <w:t>独立</w:t>
      </w:r>
      <w:r>
        <w:rPr>
          <w:rFonts w:ascii="仿宋_GB2312" w:hAnsi="宋体" w:cs="宋体"/>
          <w:b/>
          <w:bCs/>
          <w:color w:val="auto"/>
          <w:kern w:val="0"/>
          <w:szCs w:val="24"/>
          <w:highlight w:val="none"/>
          <w:u w:val="none"/>
        </w:rPr>
        <w:t>决策的</w:t>
      </w:r>
      <w:r>
        <w:rPr>
          <w:rFonts w:hint="eastAsia" w:ascii="仿宋_GB2312" w:hAnsi="宋体" w:cs="宋体"/>
          <w:b/>
          <w:bCs/>
          <w:color w:val="auto"/>
          <w:kern w:val="0"/>
          <w:szCs w:val="24"/>
          <w:highlight w:val="none"/>
          <w:u w:val="none"/>
        </w:rPr>
        <w:t>潜在</w:t>
      </w:r>
      <w:r>
        <w:rPr>
          <w:rFonts w:ascii="仿宋_GB2312" w:hAnsi="宋体" w:cs="宋体"/>
          <w:b/>
          <w:bCs/>
          <w:color w:val="auto"/>
          <w:kern w:val="0"/>
          <w:szCs w:val="24"/>
          <w:highlight w:val="none"/>
          <w:u w:val="none"/>
        </w:rPr>
        <w:t>风险</w:t>
      </w:r>
      <w:r>
        <w:rPr>
          <w:rFonts w:hint="eastAsia" w:ascii="仿宋_GB2312" w:hAnsi="宋体" w:cs="宋体"/>
          <w:b/>
          <w:bCs/>
          <w:color w:val="auto"/>
          <w:kern w:val="0"/>
          <w:szCs w:val="24"/>
          <w:highlight w:val="none"/>
          <w:u w:val="none"/>
        </w:rPr>
        <w:t>。</w:t>
      </w:r>
      <w:r>
        <w:rPr>
          <w:rFonts w:ascii="仿宋_GB2312" w:hAnsi="宋体" w:cs="宋体"/>
          <w:b/>
          <w:bCs/>
          <w:color w:val="auto"/>
          <w:kern w:val="0"/>
          <w:szCs w:val="24"/>
          <w:highlight w:val="none"/>
          <w:u w:val="none"/>
        </w:rPr>
        <w:t>投资者</w:t>
      </w:r>
      <w:r>
        <w:rPr>
          <w:rFonts w:hint="eastAsia" w:ascii="仿宋_GB2312" w:hAnsi="宋体" w:cs="宋体"/>
          <w:b/>
          <w:bCs/>
          <w:color w:val="auto"/>
          <w:kern w:val="0"/>
          <w:szCs w:val="24"/>
          <w:highlight w:val="none"/>
          <w:u w:val="none"/>
        </w:rPr>
        <w:t>确认已充分</w:t>
      </w:r>
      <w:r>
        <w:rPr>
          <w:rFonts w:ascii="仿宋_GB2312" w:hAnsi="宋体" w:cs="宋体"/>
          <w:b/>
          <w:bCs/>
          <w:color w:val="auto"/>
          <w:kern w:val="0"/>
          <w:szCs w:val="24"/>
          <w:highlight w:val="none"/>
          <w:u w:val="none"/>
        </w:rPr>
        <w:t>知悉前述</w:t>
      </w:r>
      <w:r>
        <w:rPr>
          <w:rFonts w:hint="eastAsia" w:ascii="仿宋_GB2312" w:hAnsi="宋体" w:cs="宋体"/>
          <w:b/>
          <w:bCs/>
          <w:color w:val="auto"/>
          <w:kern w:val="0"/>
          <w:szCs w:val="24"/>
          <w:highlight w:val="none"/>
          <w:u w:val="none"/>
        </w:rPr>
        <w:t>关联关系</w:t>
      </w:r>
      <w:r>
        <w:rPr>
          <w:rFonts w:ascii="仿宋_GB2312" w:hAnsi="宋体" w:cs="宋体"/>
          <w:b/>
          <w:bCs/>
          <w:color w:val="auto"/>
          <w:kern w:val="0"/>
          <w:szCs w:val="24"/>
          <w:highlight w:val="none"/>
          <w:u w:val="none"/>
        </w:rPr>
        <w:t>，</w:t>
      </w:r>
      <w:r>
        <w:rPr>
          <w:rFonts w:hint="eastAsia" w:ascii="仿宋_GB2312" w:hAnsi="宋体" w:cs="宋体"/>
          <w:b/>
          <w:bCs/>
          <w:color w:val="auto"/>
          <w:kern w:val="0"/>
          <w:szCs w:val="24"/>
          <w:highlight w:val="none"/>
          <w:u w:val="none"/>
        </w:rPr>
        <w:t>并</w:t>
      </w:r>
      <w:r>
        <w:rPr>
          <w:rFonts w:ascii="仿宋_GB2312" w:hAnsi="宋体" w:cs="宋体"/>
          <w:b/>
          <w:bCs/>
          <w:color w:val="auto"/>
          <w:kern w:val="0"/>
          <w:szCs w:val="24"/>
          <w:highlight w:val="none"/>
          <w:u w:val="none"/>
        </w:rPr>
        <w:t>接受</w:t>
      </w:r>
      <w:r>
        <w:rPr>
          <w:rFonts w:hint="eastAsia" w:ascii="仿宋_GB2312" w:hAnsi="宋体" w:cs="宋体"/>
          <w:b/>
          <w:bCs/>
          <w:color w:val="auto"/>
          <w:kern w:val="0"/>
          <w:szCs w:val="24"/>
          <w:highlight w:val="none"/>
          <w:u w:val="none"/>
        </w:rPr>
        <w:t>理财</w:t>
      </w:r>
      <w:r>
        <w:rPr>
          <w:rFonts w:ascii="仿宋_GB2312" w:hAnsi="宋体" w:cs="宋体"/>
          <w:b/>
          <w:bCs/>
          <w:color w:val="auto"/>
          <w:kern w:val="0"/>
          <w:szCs w:val="24"/>
          <w:highlight w:val="none"/>
          <w:u w:val="none"/>
        </w:rPr>
        <w:t>产品由</w:t>
      </w:r>
      <w:r>
        <w:rPr>
          <w:rFonts w:hint="eastAsia" w:ascii="仿宋_GB2312" w:hAnsi="宋体" w:cs="宋体"/>
          <w:b/>
          <w:bCs/>
          <w:color w:val="auto"/>
          <w:kern w:val="0"/>
          <w:szCs w:val="24"/>
          <w:highlight w:val="none"/>
          <w:u w:val="none"/>
        </w:rPr>
        <w:t>销售</w:t>
      </w:r>
      <w:r>
        <w:rPr>
          <w:rFonts w:ascii="仿宋_GB2312" w:hAnsi="宋体" w:cs="宋体"/>
          <w:b/>
          <w:bCs/>
          <w:color w:val="auto"/>
          <w:kern w:val="0"/>
          <w:szCs w:val="24"/>
          <w:highlight w:val="none"/>
          <w:u w:val="none"/>
        </w:rPr>
        <w:t>机构</w:t>
      </w:r>
      <w:r>
        <w:rPr>
          <w:rFonts w:hint="eastAsia" w:ascii="仿宋_GB2312" w:hAnsi="宋体" w:cs="宋体"/>
          <w:b/>
          <w:bCs/>
          <w:color w:val="auto"/>
          <w:kern w:val="0"/>
          <w:szCs w:val="24"/>
          <w:highlight w:val="none"/>
          <w:u w:val="none"/>
        </w:rPr>
        <w:t>代理</w:t>
      </w:r>
      <w:r>
        <w:rPr>
          <w:rFonts w:ascii="仿宋_GB2312" w:hAnsi="宋体" w:cs="宋体"/>
          <w:b/>
          <w:bCs/>
          <w:color w:val="auto"/>
          <w:kern w:val="0"/>
          <w:szCs w:val="24"/>
          <w:highlight w:val="none"/>
          <w:u w:val="none"/>
        </w:rPr>
        <w:t>销售</w:t>
      </w:r>
      <w:r>
        <w:rPr>
          <w:rFonts w:hint="eastAsia" w:ascii="仿宋_GB2312" w:hAnsi="宋体" w:cs="宋体"/>
          <w:b/>
          <w:bCs/>
          <w:color w:val="auto"/>
          <w:kern w:val="0"/>
          <w:szCs w:val="24"/>
          <w:highlight w:val="none"/>
          <w:u w:val="none"/>
        </w:rPr>
        <w:t>、托管机构</w:t>
      </w:r>
      <w:r>
        <w:rPr>
          <w:rFonts w:ascii="仿宋_GB2312" w:hAnsi="宋体" w:cs="宋体"/>
          <w:b/>
          <w:bCs/>
          <w:color w:val="auto"/>
          <w:kern w:val="0"/>
          <w:szCs w:val="24"/>
          <w:highlight w:val="none"/>
          <w:u w:val="none"/>
        </w:rPr>
        <w:t>托管。</w:t>
      </w:r>
    </w:p>
    <w:p w14:paraId="3FDDB7C3">
      <w:pPr>
        <w:pStyle w:val="3"/>
        <w:widowControl/>
        <w:numPr>
          <w:ilvl w:val="1"/>
          <w:numId w:val="15"/>
        </w:numPr>
        <w:tabs>
          <w:tab w:val="left" w:pos="709"/>
        </w:tabs>
        <w:adjustRightInd w:val="0"/>
        <w:snapToGrid w:val="0"/>
        <w:ind w:firstLine="482"/>
        <w:rPr>
          <w:color w:val="auto"/>
          <w:highlight w:val="none"/>
          <w:u w:val="none"/>
        </w:rPr>
      </w:pPr>
      <w:r>
        <w:rPr>
          <w:color w:val="auto"/>
          <w:highlight w:val="none"/>
          <w:u w:val="none"/>
        </w:rPr>
        <w:t>募集期</w:t>
      </w:r>
    </w:p>
    <w:p w14:paraId="2E0C8277">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产品募集期内，投资者可多次对本产品认购、追加、</w:t>
      </w:r>
      <w:r>
        <w:rPr>
          <w:rFonts w:hint="eastAsia"/>
          <w:color w:val="auto"/>
          <w:highlight w:val="none"/>
          <w:u w:val="none"/>
        </w:rPr>
        <w:t>撤单</w:t>
      </w:r>
      <w:r>
        <w:rPr>
          <w:rFonts w:hint="eastAsia" w:ascii="仿宋_GB2312" w:hAnsi="宋体" w:cs="宋体"/>
          <w:bCs/>
          <w:color w:val="auto"/>
          <w:kern w:val="0"/>
          <w:szCs w:val="24"/>
          <w:highlight w:val="none"/>
          <w:u w:val="none"/>
        </w:rPr>
        <w:t>。如投资者认购成功，销售机构有权冻结投资者认购资金，</w:t>
      </w:r>
      <w:r>
        <w:rPr>
          <w:rFonts w:hint="eastAsia" w:ascii="仿宋_GB2312" w:hAnsi="宋体" w:cs="宋体"/>
          <w:b/>
          <w:color w:val="auto"/>
          <w:kern w:val="0"/>
          <w:szCs w:val="24"/>
          <w:highlight w:val="none"/>
          <w:u w:val="none"/>
        </w:rPr>
        <w:t>但募集期内认购资金是否计息以销售机构规则为准，利息不计入认购本金份额。</w:t>
      </w:r>
      <w:r>
        <w:rPr>
          <w:rFonts w:hint="eastAsia" w:ascii="仿宋_GB2312" w:hAnsi="宋体" w:cs="宋体"/>
          <w:bCs/>
          <w:color w:val="auto"/>
          <w:kern w:val="0"/>
          <w:szCs w:val="24"/>
          <w:highlight w:val="none"/>
          <w:u w:val="none"/>
        </w:rPr>
        <w:t>销售机构实际受理投资者成功提交的认购申请时间可能与说明书不一致，具体以销售机构信息为准。</w:t>
      </w:r>
    </w:p>
    <w:p w14:paraId="5F03D85A">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本理财产品累计认购份额达到发行规模上限时，销售机构有权停止接受认购申请。管理人有权根据募集情况提前终止或延长产品募集期，</w:t>
      </w:r>
      <w:r>
        <w:rPr>
          <w:rFonts w:ascii="仿宋_GB2312" w:hAnsi="宋体" w:cs="宋体"/>
          <w:bCs/>
          <w:color w:val="auto"/>
          <w:kern w:val="0"/>
          <w:szCs w:val="24"/>
          <w:highlight w:val="none"/>
          <w:u w:val="none"/>
        </w:rPr>
        <w:t>如有变动</w:t>
      </w:r>
      <w:r>
        <w:rPr>
          <w:rFonts w:hint="eastAsia" w:ascii="仿宋_GB2312" w:hAnsi="宋体" w:cs="宋体"/>
          <w:bCs/>
          <w:color w:val="auto"/>
          <w:kern w:val="0"/>
          <w:szCs w:val="24"/>
          <w:highlight w:val="none"/>
          <w:u w:val="none"/>
        </w:rPr>
        <w:t>以管理人或销售机构公告为准。</w:t>
      </w:r>
    </w:p>
    <w:p w14:paraId="47C30DDA">
      <w:pPr>
        <w:pStyle w:val="3"/>
        <w:widowControl/>
        <w:numPr>
          <w:ilvl w:val="1"/>
          <w:numId w:val="15"/>
        </w:numPr>
        <w:tabs>
          <w:tab w:val="left" w:pos="709"/>
        </w:tabs>
        <w:snapToGrid w:val="0"/>
        <w:ind w:firstLine="482"/>
        <w:rPr>
          <w:rStyle w:val="15"/>
          <w:rFonts w:ascii="仿宋_GB2312" w:hAnsi="宋体"/>
          <w:b w:val="0"/>
          <w:color w:val="auto"/>
          <w:highlight w:val="none"/>
          <w:u w:val="none"/>
        </w:rPr>
      </w:pPr>
      <w:r>
        <w:rPr>
          <w:rFonts w:hint="eastAsia" w:ascii="仿宋_GB2312" w:hAnsi="宋体" w:cs="宋体"/>
          <w:bCs/>
          <w:color w:val="auto"/>
          <w:kern w:val="0"/>
          <w:szCs w:val="24"/>
          <w:highlight w:val="none"/>
          <w:u w:val="none"/>
        </w:rPr>
        <w:t>投资者</w:t>
      </w:r>
      <w:r>
        <w:rPr>
          <w:rFonts w:ascii="仿宋_GB2312" w:hAnsi="宋体" w:cs="宋体"/>
          <w:bCs/>
          <w:color w:val="auto"/>
          <w:kern w:val="0"/>
          <w:szCs w:val="24"/>
          <w:highlight w:val="none"/>
          <w:u w:val="none"/>
        </w:rPr>
        <w:t>范围</w:t>
      </w:r>
    </w:p>
    <w:p w14:paraId="0A960633">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5E6E211B">
      <w:pPr>
        <w:pStyle w:val="3"/>
        <w:numPr>
          <w:ilvl w:val="1"/>
          <w:numId w:val="15"/>
        </w:numPr>
        <w:ind w:firstLine="482"/>
        <w:rPr>
          <w:color w:val="auto"/>
          <w:highlight w:val="none"/>
          <w:u w:val="none"/>
        </w:rPr>
      </w:pPr>
      <w:r>
        <w:rPr>
          <w:rFonts w:hint="eastAsia"/>
          <w:color w:val="auto"/>
          <w:highlight w:val="none"/>
          <w:u w:val="none"/>
        </w:rPr>
        <w:t>认购的</w:t>
      </w:r>
      <w:r>
        <w:rPr>
          <w:color w:val="auto"/>
          <w:highlight w:val="none"/>
          <w:u w:val="none"/>
        </w:rPr>
        <w:t>价格</w:t>
      </w:r>
    </w:p>
    <w:p w14:paraId="71D1A251">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本产品的认购价格为每份理财份额人民币1.00</w:t>
      </w:r>
      <w:r>
        <w:rPr>
          <w:rFonts w:ascii="仿宋_GB2312" w:hAnsi="宋体" w:cs="宋体"/>
          <w:bCs/>
          <w:color w:val="auto"/>
          <w:kern w:val="0"/>
          <w:szCs w:val="24"/>
          <w:highlight w:val="none"/>
          <w:u w:val="none"/>
        </w:rPr>
        <w:t>00</w:t>
      </w:r>
      <w:r>
        <w:rPr>
          <w:rFonts w:hint="eastAsia" w:ascii="仿宋_GB2312" w:hAnsi="宋体" w:cs="宋体"/>
          <w:bCs/>
          <w:color w:val="auto"/>
          <w:kern w:val="0"/>
          <w:szCs w:val="24"/>
          <w:highlight w:val="none"/>
          <w:u w:val="none"/>
          <w:lang w:val="en-US" w:eastAsia="zh-CN"/>
        </w:rPr>
        <w:t>00</w:t>
      </w:r>
      <w:r>
        <w:rPr>
          <w:rFonts w:hint="eastAsia" w:ascii="仿宋_GB2312" w:hAnsi="宋体" w:cs="宋体"/>
          <w:bCs/>
          <w:color w:val="auto"/>
          <w:kern w:val="0"/>
          <w:szCs w:val="24"/>
          <w:highlight w:val="none"/>
          <w:u w:val="none"/>
        </w:rPr>
        <w:t>元。</w:t>
      </w:r>
    </w:p>
    <w:p w14:paraId="295353FC">
      <w:pPr>
        <w:pStyle w:val="3"/>
        <w:widowControl/>
        <w:numPr>
          <w:ilvl w:val="1"/>
          <w:numId w:val="15"/>
        </w:numPr>
        <w:tabs>
          <w:tab w:val="left" w:pos="709"/>
        </w:tabs>
        <w:snapToGrid w:val="0"/>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认购</w:t>
      </w:r>
      <w:r>
        <w:rPr>
          <w:rFonts w:ascii="仿宋_GB2312" w:hAnsi="宋体" w:cs="宋体"/>
          <w:bCs/>
          <w:color w:val="auto"/>
          <w:kern w:val="0"/>
          <w:szCs w:val="24"/>
          <w:highlight w:val="none"/>
          <w:u w:val="none"/>
        </w:rPr>
        <w:t>份额</w:t>
      </w:r>
      <w:r>
        <w:rPr>
          <w:rFonts w:hint="eastAsia" w:ascii="仿宋_GB2312" w:hAnsi="宋体" w:cs="宋体"/>
          <w:bCs/>
          <w:color w:val="auto"/>
          <w:kern w:val="0"/>
          <w:szCs w:val="24"/>
          <w:highlight w:val="none"/>
          <w:u w:val="none"/>
        </w:rPr>
        <w:t>的</w:t>
      </w:r>
      <w:r>
        <w:rPr>
          <w:rFonts w:ascii="仿宋_GB2312" w:hAnsi="宋体" w:cs="宋体"/>
          <w:bCs/>
          <w:color w:val="auto"/>
          <w:kern w:val="0"/>
          <w:szCs w:val="24"/>
          <w:highlight w:val="none"/>
          <w:u w:val="none"/>
        </w:rPr>
        <w:t>计算</w:t>
      </w:r>
    </w:p>
    <w:p w14:paraId="54EED357">
      <w:pPr>
        <w:widowControl/>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本产品采用金额认购方法，认购金额包括认购费用和净认购金额，认购时计算方法如下： </w:t>
      </w:r>
    </w:p>
    <w:p w14:paraId="00278599">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净认购金额=认购金额/（1+认购费率）（认购费率详见产品说明书关于费用的说明）</w:t>
      </w:r>
    </w:p>
    <w:p w14:paraId="69D4E1AB">
      <w:pPr>
        <w:widowControl/>
        <w:tabs>
          <w:tab w:val="left" w:pos="709"/>
        </w:tabs>
        <w:snapToGrid w:val="0"/>
        <w:spacing w:line="360" w:lineRule="auto"/>
        <w:ind w:firstLine="420" w:firstLineChars="200"/>
        <w:rPr>
          <w:rFonts w:hint="eastAsia"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认购费用=认购金额-净认购金额</w:t>
      </w:r>
    </w:p>
    <w:p w14:paraId="60ACF623">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rPr>
        <w:t>认购份额=净认购金额/理财产品单位份额净值</w:t>
      </w:r>
      <w:r>
        <w:rPr>
          <w:rFonts w:hint="eastAsia" w:ascii="仿宋_GB2312" w:hAnsi="宋体" w:cs="宋体"/>
          <w:bCs/>
          <w:color w:val="auto"/>
          <w:kern w:val="0"/>
          <w:szCs w:val="24"/>
          <w:highlight w:val="yellow"/>
          <w:u w:val="none"/>
          <w:lang w:eastAsia="zh-CN"/>
        </w:rPr>
        <w:t>】</w:t>
      </w:r>
    </w:p>
    <w:p w14:paraId="307AC295">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认购份额以四舍五入的方法保留到小数点后两位。</w:t>
      </w:r>
    </w:p>
    <w:p w14:paraId="5B5BBA9B">
      <w:pPr>
        <w:pStyle w:val="3"/>
        <w:numPr>
          <w:ilvl w:val="1"/>
          <w:numId w:val="15"/>
        </w:numPr>
        <w:ind w:firstLine="482"/>
        <w:rPr>
          <w:color w:val="auto"/>
          <w:highlight w:val="none"/>
          <w:u w:val="none"/>
        </w:rPr>
      </w:pPr>
      <w:r>
        <w:rPr>
          <w:rFonts w:hint="eastAsia"/>
          <w:color w:val="auto"/>
          <w:highlight w:val="none"/>
          <w:u w:val="none"/>
        </w:rPr>
        <w:t>认购</w:t>
      </w:r>
      <w:r>
        <w:rPr>
          <w:rFonts w:hint="eastAsia"/>
          <w:color w:val="auto"/>
          <w:highlight w:val="none"/>
          <w:u w:val="none"/>
          <w:lang w:eastAsia="zh-CN"/>
        </w:rPr>
        <w:t>的</w:t>
      </w:r>
      <w:r>
        <w:rPr>
          <w:rFonts w:hint="eastAsia"/>
          <w:color w:val="auto"/>
          <w:highlight w:val="none"/>
          <w:u w:val="none"/>
        </w:rPr>
        <w:t>起点</w:t>
      </w:r>
      <w:r>
        <w:rPr>
          <w:rFonts w:hint="eastAsia"/>
          <w:color w:val="auto"/>
          <w:highlight w:val="none"/>
          <w:u w:val="none"/>
          <w:lang w:eastAsia="zh-CN"/>
        </w:rPr>
        <w:t>销售金额</w:t>
      </w:r>
      <w:r>
        <w:rPr>
          <w:rFonts w:hint="eastAsia"/>
          <w:color w:val="auto"/>
          <w:highlight w:val="none"/>
          <w:u w:val="none"/>
        </w:rPr>
        <w:t>和</w:t>
      </w:r>
      <w:r>
        <w:rPr>
          <w:rFonts w:hint="eastAsia"/>
          <w:color w:val="auto"/>
          <w:highlight w:val="none"/>
          <w:u w:val="none"/>
          <w:lang w:eastAsia="zh-CN"/>
        </w:rPr>
        <w:t>追加</w:t>
      </w:r>
      <w:r>
        <w:rPr>
          <w:rFonts w:hint="eastAsia"/>
          <w:color w:val="auto"/>
          <w:highlight w:val="none"/>
          <w:u w:val="none"/>
        </w:rPr>
        <w:t>递增</w:t>
      </w:r>
      <w:r>
        <w:rPr>
          <w:color w:val="auto"/>
          <w:highlight w:val="none"/>
          <w:u w:val="none"/>
        </w:rPr>
        <w:t>金额</w:t>
      </w:r>
    </w:p>
    <w:p w14:paraId="581CB308">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476B7F33">
      <w:pPr>
        <w:pStyle w:val="3"/>
        <w:widowControl/>
        <w:numPr>
          <w:ilvl w:val="1"/>
          <w:numId w:val="15"/>
        </w:numPr>
        <w:tabs>
          <w:tab w:val="left" w:pos="709"/>
        </w:tabs>
        <w:snapToGrid w:val="0"/>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认购确认</w:t>
      </w:r>
    </w:p>
    <w:p w14:paraId="6D0F04EB">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投资者提交认购申请后，如管理人在认购</w:t>
      </w:r>
      <w:r>
        <w:rPr>
          <w:rFonts w:ascii="仿宋_GB2312" w:hAnsi="宋体" w:cs="宋体"/>
          <w:bCs/>
          <w:color w:val="auto"/>
          <w:kern w:val="0"/>
          <w:szCs w:val="24"/>
          <w:highlight w:val="none"/>
          <w:u w:val="none"/>
        </w:rPr>
        <w:t>确认日</w:t>
      </w:r>
      <w:r>
        <w:rPr>
          <w:rFonts w:hint="eastAsia" w:ascii="仿宋_GB2312" w:hAnsi="宋体" w:cs="宋体"/>
          <w:bCs/>
          <w:color w:val="auto"/>
          <w:kern w:val="0"/>
          <w:szCs w:val="24"/>
          <w:highlight w:val="none"/>
          <w:u w:val="none"/>
        </w:rPr>
        <w:t>成功登记投资者认购份额，则视为投资者的认购申请生效。销售机构成功登记投资者认购份额、投资者认购申请生效并不代表销售机构对该认购申请结果的成功确认或承诺，而仅代表其收到认购申请，认购申请结果是否成功以管理人确认为准。本产品认购确认日为本产品成立日。</w:t>
      </w:r>
    </w:p>
    <w:p w14:paraId="127BD5FA">
      <w:pPr>
        <w:pStyle w:val="3"/>
        <w:widowControl/>
        <w:numPr>
          <w:ilvl w:val="1"/>
          <w:numId w:val="15"/>
        </w:numPr>
        <w:tabs>
          <w:tab w:val="left" w:pos="709"/>
        </w:tabs>
        <w:snapToGrid w:val="0"/>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认购撤销</w:t>
      </w:r>
    </w:p>
    <w:p w14:paraId="718CD2BD">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募集期内投资者可以撤销已提交的认购申请，具体请以销售机构规定为准。</w:t>
      </w:r>
    </w:p>
    <w:p w14:paraId="7AA51662">
      <w:pPr>
        <w:pStyle w:val="3"/>
        <w:widowControl/>
        <w:numPr>
          <w:ilvl w:val="1"/>
          <w:numId w:val="15"/>
        </w:numPr>
        <w:tabs>
          <w:tab w:val="left" w:pos="709"/>
        </w:tabs>
        <w:snapToGrid w:val="0"/>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认购数量</w:t>
      </w:r>
      <w:r>
        <w:rPr>
          <w:rFonts w:ascii="仿宋_GB2312" w:hAnsi="宋体" w:cs="宋体"/>
          <w:bCs/>
          <w:color w:val="auto"/>
          <w:kern w:val="0"/>
          <w:szCs w:val="24"/>
          <w:highlight w:val="none"/>
          <w:u w:val="none"/>
        </w:rPr>
        <w:t>限制</w:t>
      </w:r>
    </w:p>
    <w:p w14:paraId="7C4AEF23">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7067D74C">
      <w:pPr>
        <w:pStyle w:val="3"/>
        <w:numPr>
          <w:ilvl w:val="1"/>
          <w:numId w:val="15"/>
        </w:numPr>
        <w:ind w:firstLine="482"/>
        <w:rPr>
          <w:color w:val="auto"/>
          <w:highlight w:val="none"/>
          <w:u w:val="none"/>
        </w:rPr>
      </w:pPr>
      <w:r>
        <w:rPr>
          <w:rFonts w:hint="eastAsia"/>
          <w:color w:val="auto"/>
          <w:highlight w:val="none"/>
          <w:u w:val="none"/>
        </w:rPr>
        <w:t>产品成立</w:t>
      </w:r>
    </w:p>
    <w:p w14:paraId="638C0961">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1.募集期届满，募集总资金累计金额不低于产品最低成立规模时，产品成立。</w:t>
      </w:r>
    </w:p>
    <w:p w14:paraId="526A0EF8">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w:t>
      </w:r>
      <w:r>
        <w:rPr>
          <w:rFonts w:hint="eastAsia" w:ascii="仿宋_GB2312" w:hAnsi="宋体" w:cs="宋体"/>
          <w:b/>
          <w:bCs/>
          <w:color w:val="auto"/>
          <w:kern w:val="0"/>
          <w:szCs w:val="24"/>
          <w:highlight w:val="none"/>
          <w:u w:val="none"/>
        </w:rPr>
        <w:t>本产品募集期限内，如募集总金额未达到产品最低成立规模，或国家宏观政策以及市场相关法规政策发生变化，或市场发生剧烈波动，或发生其他经管理人合理判断难以履行本理财产品说明书约定或可能导致投资者权益受损的情形，管理人有权利但无义务宣布本理财产品不成立</w:t>
      </w:r>
      <w:r>
        <w:rPr>
          <w:rFonts w:hint="eastAsia" w:ascii="仿宋_GB2312" w:hAnsi="宋体"/>
          <w:b/>
          <w:color w:val="auto"/>
          <w:kern w:val="0"/>
          <w:szCs w:val="24"/>
          <w:highlight w:val="none"/>
          <w:u w:val="none"/>
        </w:rPr>
        <w:t>，亦有权延长募集期或调整募集规模</w:t>
      </w:r>
      <w:r>
        <w:rPr>
          <w:rFonts w:hint="eastAsia" w:ascii="仿宋_GB2312" w:hAnsi="宋体" w:cs="宋体"/>
          <w:b/>
          <w:bCs/>
          <w:color w:val="auto"/>
          <w:kern w:val="0"/>
          <w:szCs w:val="24"/>
          <w:highlight w:val="none"/>
          <w:u w:val="none"/>
        </w:rPr>
        <w:t>。</w:t>
      </w:r>
    </w:p>
    <w:p w14:paraId="15BEC857">
      <w:pPr>
        <w:widowControl/>
        <w:tabs>
          <w:tab w:val="left" w:pos="709"/>
        </w:tabs>
        <w:snapToGrid w:val="0"/>
        <w:spacing w:line="360" w:lineRule="auto"/>
        <w:ind w:firstLine="420" w:firstLineChars="200"/>
        <w:rPr>
          <w:rFonts w:ascii="仿宋_GB2312" w:hAnsi="宋体" w:cs="宋体"/>
          <w:b/>
          <w:bCs/>
          <w:color w:val="auto"/>
          <w:kern w:val="0"/>
          <w:szCs w:val="24"/>
          <w:highlight w:val="none"/>
          <w:u w:val="none"/>
        </w:rPr>
      </w:pPr>
      <w:r>
        <w:rPr>
          <w:rFonts w:hint="eastAsia" w:ascii="仿宋_GB2312" w:hAnsi="宋体" w:cs="宋体"/>
          <w:bCs/>
          <w:color w:val="auto"/>
          <w:kern w:val="0"/>
          <w:szCs w:val="24"/>
          <w:highlight w:val="none"/>
          <w:u w:val="none"/>
        </w:rPr>
        <w:t>（1）产品不成立：管理人决定理财产品不成立，将及时通过本产品说明书约定的</w:t>
      </w:r>
      <w:r>
        <w:rPr>
          <w:rFonts w:ascii="仿宋_GB2312" w:hAnsi="宋体" w:cs="宋体"/>
          <w:bCs/>
          <w:color w:val="auto"/>
          <w:kern w:val="0"/>
          <w:szCs w:val="24"/>
          <w:highlight w:val="none"/>
          <w:u w:val="none"/>
        </w:rPr>
        <w:t>方式</w:t>
      </w:r>
      <w:r>
        <w:rPr>
          <w:rFonts w:hint="eastAsia" w:ascii="仿宋_GB2312" w:hAnsi="宋体" w:cs="宋体"/>
          <w:bCs/>
          <w:color w:val="auto"/>
          <w:kern w:val="0"/>
          <w:szCs w:val="24"/>
          <w:highlight w:val="none"/>
          <w:u w:val="none"/>
        </w:rPr>
        <w:t>披露产品不成立相关信息，并在不晚于产品原计划成立日后的</w:t>
      </w:r>
      <w:r>
        <w:rPr>
          <w:rFonts w:hint="eastAsia" w:ascii="仿宋_GB2312" w:hAnsi="宋体" w:cs="宋体"/>
          <w:bCs/>
          <w:color w:val="auto"/>
          <w:kern w:val="0"/>
          <w:szCs w:val="24"/>
          <w:highlight w:val="yellow"/>
          <w:u w:val="none"/>
        </w:rPr>
        <w:t>3个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lang w:eastAsia="zh-CN"/>
        </w:rPr>
        <w:sym w:font="Wingdings 2" w:char="00A3"/>
      </w:r>
      <w:r>
        <w:rPr>
          <w:rFonts w:hint="eastAsia" w:ascii="仿宋_GB2312" w:hAnsi="宋体" w:cs="宋体"/>
          <w:bCs/>
          <w:kern w:val="0"/>
          <w:szCs w:val="24"/>
          <w:highlight w:val="yellow"/>
          <w:lang w:eastAsia="zh-CN"/>
        </w:rPr>
        <w:t>工作日</w:t>
      </w:r>
      <w:r>
        <w:rPr>
          <w:rFonts w:hint="eastAsia" w:ascii="仿宋_GB2312" w:hAnsi="宋体" w:cs="宋体"/>
          <w:bCs/>
          <w:kern w:val="0"/>
          <w:szCs w:val="24"/>
          <w:highlight w:val="yellow"/>
          <w:lang w:val="en-US" w:eastAsia="zh-CN"/>
        </w:rPr>
        <w:t>/</w:t>
      </w:r>
      <w:r>
        <w:rPr>
          <w:rFonts w:hint="eastAsia" w:ascii="仿宋_GB2312" w:hAnsi="宋体" w:cs="宋体"/>
          <w:bCs/>
          <w:kern w:val="0"/>
          <w:szCs w:val="24"/>
          <w:highlight w:val="yellow"/>
          <w:lang w:val="en-US" w:eastAsia="zh-CN"/>
        </w:rPr>
        <w:sym w:font="Wingdings 2" w:char="00A3"/>
      </w:r>
      <w:r>
        <w:rPr>
          <w:rFonts w:hint="eastAsia" w:ascii="仿宋_GB2312" w:hAnsi="宋体" w:cs="宋体"/>
          <w:bCs/>
          <w:kern w:val="0"/>
          <w:szCs w:val="24"/>
          <w:highlight w:val="yellow"/>
          <w:lang w:val="en-US" w:eastAsia="zh-CN"/>
        </w:rPr>
        <w:t>交易日</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通过销售机构将理财投资本金退回投资者指定账户。</w:t>
      </w:r>
    </w:p>
    <w:p w14:paraId="600FC5A9">
      <w:pPr>
        <w:widowControl/>
        <w:tabs>
          <w:tab w:val="left" w:pos="709"/>
        </w:tabs>
        <w:snapToGrid w:val="0"/>
        <w:spacing w:line="360" w:lineRule="auto"/>
        <w:ind w:firstLine="420" w:firstLineChars="200"/>
        <w:rPr>
          <w:rFonts w:ascii="仿宋_GB2312" w:hAnsi="宋体"/>
          <w:color w:val="auto"/>
          <w:kern w:val="0"/>
          <w:szCs w:val="24"/>
          <w:highlight w:val="none"/>
          <w:u w:val="none"/>
        </w:rPr>
      </w:pPr>
      <w:r>
        <w:rPr>
          <w:rFonts w:hint="eastAsia" w:ascii="仿宋_GB2312" w:hAnsi="宋体" w:cs="宋体"/>
          <w:bCs/>
          <w:color w:val="auto"/>
          <w:kern w:val="0"/>
          <w:szCs w:val="24"/>
          <w:highlight w:val="none"/>
          <w:u w:val="none"/>
        </w:rPr>
        <w:t>（2）</w:t>
      </w:r>
      <w:r>
        <w:rPr>
          <w:rFonts w:hint="eastAsia" w:ascii="仿宋_GB2312" w:hAnsi="宋体"/>
          <w:color w:val="auto"/>
          <w:kern w:val="0"/>
          <w:szCs w:val="24"/>
          <w:highlight w:val="none"/>
          <w:u w:val="none"/>
        </w:rPr>
        <w:t>延长产品募集期:</w:t>
      </w:r>
      <w:r>
        <w:rPr>
          <w:rFonts w:hint="eastAsia" w:ascii="仿宋_GB2312" w:hAnsi="宋体" w:cs="宋体"/>
          <w:bCs/>
          <w:color w:val="auto"/>
          <w:kern w:val="0"/>
          <w:szCs w:val="24"/>
          <w:highlight w:val="none"/>
          <w:u w:val="none"/>
        </w:rPr>
        <w:t>管理人决定延长产品募集期，</w:t>
      </w:r>
      <w:r>
        <w:rPr>
          <w:rFonts w:hint="eastAsia" w:ascii="仿宋_GB2312" w:hAnsi="宋体"/>
          <w:color w:val="auto"/>
          <w:kern w:val="0"/>
          <w:szCs w:val="24"/>
          <w:highlight w:val="none"/>
          <w:u w:val="none"/>
        </w:rPr>
        <w:t>将在理财</w:t>
      </w:r>
      <w:r>
        <w:rPr>
          <w:rFonts w:ascii="仿宋_GB2312" w:hAnsi="宋体"/>
          <w:color w:val="auto"/>
          <w:kern w:val="0"/>
          <w:szCs w:val="24"/>
          <w:highlight w:val="none"/>
          <w:u w:val="none"/>
        </w:rPr>
        <w:t>产品</w:t>
      </w:r>
      <w:r>
        <w:rPr>
          <w:rFonts w:hint="eastAsia" w:ascii="仿宋_GB2312" w:hAnsi="宋体"/>
          <w:color w:val="auto"/>
          <w:kern w:val="0"/>
          <w:szCs w:val="24"/>
          <w:highlight w:val="none"/>
          <w:u w:val="none"/>
        </w:rPr>
        <w:t>原定成立日前</w:t>
      </w:r>
      <w:r>
        <w:rPr>
          <w:rFonts w:hint="eastAsia" w:ascii="仿宋_GB2312" w:hAnsi="宋体" w:cs="宋体"/>
          <w:bCs/>
          <w:color w:val="auto"/>
          <w:kern w:val="0"/>
          <w:szCs w:val="24"/>
          <w:highlight w:val="none"/>
          <w:u w:val="none"/>
        </w:rPr>
        <w:t>通过本产品说明书约定</w:t>
      </w:r>
      <w:r>
        <w:rPr>
          <w:rFonts w:ascii="仿宋_GB2312" w:hAnsi="宋体" w:cs="宋体"/>
          <w:bCs/>
          <w:color w:val="auto"/>
          <w:kern w:val="0"/>
          <w:szCs w:val="24"/>
          <w:highlight w:val="none"/>
          <w:u w:val="none"/>
        </w:rPr>
        <w:t>方式</w:t>
      </w:r>
      <w:r>
        <w:rPr>
          <w:rFonts w:hint="eastAsia" w:ascii="仿宋_GB2312" w:hAnsi="宋体"/>
          <w:color w:val="auto"/>
          <w:kern w:val="0"/>
          <w:szCs w:val="24"/>
          <w:highlight w:val="none"/>
          <w:u w:val="none"/>
        </w:rPr>
        <w:t>发布募集期延长公告。</w:t>
      </w:r>
    </w:p>
    <w:p w14:paraId="42443DDC">
      <w:pPr>
        <w:widowControl/>
        <w:tabs>
          <w:tab w:val="left" w:pos="709"/>
        </w:tabs>
        <w:snapToGrid w:val="0"/>
        <w:spacing w:line="360" w:lineRule="auto"/>
        <w:ind w:firstLine="420" w:firstLineChars="200"/>
        <w:rPr>
          <w:rFonts w:ascii="仿宋_GB2312" w:hAnsi="宋体"/>
          <w:color w:val="auto"/>
          <w:kern w:val="0"/>
          <w:szCs w:val="24"/>
          <w:highlight w:val="none"/>
          <w:u w:val="none"/>
        </w:rPr>
      </w:pPr>
      <w:r>
        <w:rPr>
          <w:rFonts w:hint="eastAsia" w:ascii="仿宋_GB2312" w:hAnsi="宋体" w:cs="宋体"/>
          <w:bCs/>
          <w:color w:val="auto"/>
          <w:kern w:val="0"/>
          <w:szCs w:val="24"/>
          <w:highlight w:val="none"/>
          <w:u w:val="none"/>
        </w:rPr>
        <w:t>（3）</w:t>
      </w:r>
      <w:r>
        <w:rPr>
          <w:rFonts w:hint="eastAsia" w:ascii="仿宋_GB2312" w:hAnsi="宋体"/>
          <w:color w:val="auto"/>
          <w:kern w:val="0"/>
          <w:szCs w:val="24"/>
          <w:highlight w:val="none"/>
          <w:u w:val="none"/>
        </w:rPr>
        <w:t>调整产品募集规模：</w:t>
      </w:r>
      <w:r>
        <w:rPr>
          <w:rFonts w:hint="eastAsia" w:ascii="仿宋_GB2312" w:hAnsi="宋体" w:cs="宋体"/>
          <w:bCs/>
          <w:color w:val="auto"/>
          <w:kern w:val="0"/>
          <w:szCs w:val="24"/>
          <w:highlight w:val="none"/>
          <w:u w:val="none"/>
        </w:rPr>
        <w:t>管理人决定调整产品募集规模，</w:t>
      </w:r>
      <w:r>
        <w:rPr>
          <w:rFonts w:hint="eastAsia" w:ascii="仿宋_GB2312" w:hAnsi="宋体"/>
          <w:color w:val="auto"/>
          <w:kern w:val="0"/>
          <w:szCs w:val="24"/>
          <w:highlight w:val="none"/>
          <w:u w:val="none"/>
        </w:rPr>
        <w:t>将及时通过</w:t>
      </w:r>
      <w:r>
        <w:rPr>
          <w:rFonts w:hint="eastAsia" w:ascii="仿宋_GB2312" w:hAnsi="宋体" w:cs="宋体"/>
          <w:bCs/>
          <w:color w:val="auto"/>
          <w:kern w:val="0"/>
          <w:szCs w:val="24"/>
          <w:highlight w:val="none"/>
          <w:u w:val="none"/>
        </w:rPr>
        <w:t>本产品说明书约定</w:t>
      </w:r>
      <w:r>
        <w:rPr>
          <w:rFonts w:ascii="仿宋_GB2312" w:hAnsi="宋体" w:cs="宋体"/>
          <w:bCs/>
          <w:color w:val="auto"/>
          <w:kern w:val="0"/>
          <w:szCs w:val="24"/>
          <w:highlight w:val="none"/>
          <w:u w:val="none"/>
        </w:rPr>
        <w:t>方式</w:t>
      </w:r>
      <w:r>
        <w:rPr>
          <w:rFonts w:hint="eastAsia" w:ascii="仿宋_GB2312" w:hAnsi="宋体"/>
          <w:color w:val="auto"/>
          <w:kern w:val="0"/>
          <w:szCs w:val="24"/>
          <w:highlight w:val="none"/>
          <w:u w:val="none"/>
        </w:rPr>
        <w:t>发布产品募集规模调整公告。</w:t>
      </w:r>
    </w:p>
    <w:p w14:paraId="617A52C3">
      <w:pPr>
        <w:widowControl/>
        <w:rPr>
          <w:rFonts w:ascii="仿宋_GB2312" w:hAnsi="宋体"/>
          <w:color w:val="auto"/>
          <w:kern w:val="0"/>
          <w:szCs w:val="24"/>
          <w:highlight w:val="none"/>
          <w:u w:val="none"/>
        </w:rPr>
      </w:pPr>
      <w:r>
        <w:rPr>
          <w:rFonts w:hint="eastAsia" w:ascii="仿宋_GB2312" w:hAnsi="宋体"/>
          <w:color w:val="auto"/>
          <w:kern w:val="0"/>
          <w:szCs w:val="24"/>
          <w:highlight w:val="none"/>
          <w:u w:val="none"/>
        </w:rPr>
        <w:br w:type="page"/>
      </w:r>
    </w:p>
    <w:p w14:paraId="377C9D78">
      <w:pPr>
        <w:pStyle w:val="2"/>
        <w:widowControl/>
        <w:numPr>
          <w:ilvl w:val="0"/>
          <w:numId w:val="15"/>
        </w:numPr>
        <w:tabs>
          <w:tab w:val="left" w:pos="709"/>
        </w:tabs>
        <w:snapToGrid w:val="0"/>
        <w:ind w:firstLine="560"/>
        <w:rPr>
          <w:rFonts w:ascii="仿宋_GB2312" w:hAnsi="宋体"/>
          <w:color w:val="auto"/>
          <w:kern w:val="0"/>
          <w:szCs w:val="24"/>
          <w:highlight w:val="none"/>
          <w:u w:val="none"/>
        </w:rPr>
      </w:pPr>
      <w:r>
        <w:rPr>
          <w:rFonts w:hint="eastAsia"/>
          <w:color w:val="auto"/>
          <w:highlight w:val="none"/>
          <w:u w:val="none"/>
        </w:rPr>
        <w:t>理财产品的申购与赎回</w:t>
      </w:r>
    </w:p>
    <w:p w14:paraId="5624DA51">
      <w:pPr>
        <w:pStyle w:val="3"/>
        <w:numPr>
          <w:ilvl w:val="1"/>
          <w:numId w:val="15"/>
        </w:numPr>
        <w:adjustRightInd w:val="0"/>
        <w:snapToGrid w:val="0"/>
        <w:ind w:firstLine="482"/>
        <w:rPr>
          <w:color w:val="auto"/>
          <w:highlight w:val="none"/>
          <w:u w:val="none"/>
        </w:rPr>
      </w:pPr>
      <w:r>
        <w:rPr>
          <w:rFonts w:hint="eastAsia"/>
          <w:color w:val="auto"/>
          <w:highlight w:val="none"/>
          <w:u w:val="none"/>
        </w:rPr>
        <w:t>申购、赎回原则</w:t>
      </w:r>
    </w:p>
    <w:p w14:paraId="6200CD0B">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1.“金额申购、份额赎回”原则，即申购以金额申请，赎回以份额申请。</w:t>
      </w:r>
    </w:p>
    <w:p w14:paraId="26DE2673">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2.申购和赎回采用“未知价”原则，即本产品申购申请和赎回申请提交时，适用的产品份额净值都是未知的。</w:t>
      </w:r>
    </w:p>
    <w:p w14:paraId="44A065CD">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3.申购、赎回申请可以在对应申购日、赎回日交易时间截止前撤销，最终申请确认情况以</w:t>
      </w:r>
      <w:r>
        <w:rPr>
          <w:rFonts w:hint="eastAsia" w:ascii="仿宋_GB2312" w:hAnsi="宋体" w:cs="宋体"/>
          <w:bCs/>
          <w:color w:val="auto"/>
          <w:kern w:val="0"/>
          <w:szCs w:val="24"/>
          <w:highlight w:val="none"/>
          <w:u w:val="none"/>
          <w:lang w:eastAsia="zh-CN"/>
        </w:rPr>
        <w:t>浙银理财</w:t>
      </w:r>
      <w:r>
        <w:rPr>
          <w:rFonts w:hint="eastAsia" w:ascii="仿宋_GB2312" w:hAnsi="宋体" w:cs="宋体"/>
          <w:bCs/>
          <w:color w:val="auto"/>
          <w:kern w:val="0"/>
          <w:szCs w:val="24"/>
          <w:highlight w:val="none"/>
          <w:u w:val="none"/>
        </w:rPr>
        <w:t>确认的结果为准。</w:t>
      </w:r>
    </w:p>
    <w:p w14:paraId="0357C08E">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4.赎回原则遵循“先进先出”原则或“指定赎回”原则，投资者赎回理财计划份额时适用的赎回原则以对应的销售服务机构提供的赎回服务为准。</w:t>
      </w:r>
    </w:p>
    <w:p w14:paraId="0A99959E">
      <w:pPr>
        <w:tabs>
          <w:tab w:val="left" w:pos="3119"/>
        </w:tabs>
        <w:autoSpaceDE w:val="0"/>
        <w:autoSpaceDN w:val="0"/>
        <w:adjustRightInd/>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当开放式公募理财产品（现金管理类理财产品除外）遭遇大额申购或赎回时，产品管理人有权采用摆动定价机制，以确保估值的公平性。具体处理原则与操作方法遵循法律法规以及监管部门、自律规则的相关规定，产品管理人将提前发布相关公告。</w:t>
      </w:r>
    </w:p>
    <w:p w14:paraId="0DA04FD7">
      <w:pPr>
        <w:pStyle w:val="3"/>
        <w:numPr>
          <w:ilvl w:val="1"/>
          <w:numId w:val="15"/>
        </w:numPr>
        <w:adjustRightInd w:val="0"/>
        <w:snapToGrid w:val="0"/>
        <w:ind w:firstLine="482"/>
        <w:rPr>
          <w:color w:val="auto"/>
          <w:highlight w:val="none"/>
          <w:u w:val="none"/>
        </w:rPr>
      </w:pPr>
      <w:r>
        <w:rPr>
          <w:rFonts w:hint="eastAsia"/>
          <w:color w:val="auto"/>
          <w:highlight w:val="none"/>
          <w:u w:val="none"/>
        </w:rPr>
        <w:t>理财</w:t>
      </w:r>
      <w:r>
        <w:rPr>
          <w:color w:val="auto"/>
          <w:highlight w:val="none"/>
          <w:u w:val="none"/>
        </w:rPr>
        <w:t>产品</w:t>
      </w:r>
      <w:r>
        <w:rPr>
          <w:rFonts w:hint="eastAsia"/>
          <w:color w:val="auto"/>
          <w:highlight w:val="none"/>
          <w:u w:val="none"/>
        </w:rPr>
        <w:t>的</w:t>
      </w:r>
      <w:r>
        <w:rPr>
          <w:color w:val="auto"/>
          <w:highlight w:val="none"/>
          <w:u w:val="none"/>
        </w:rPr>
        <w:t>申购</w:t>
      </w:r>
    </w:p>
    <w:p w14:paraId="5FD53C1B">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1.申购的时间</w:t>
      </w:r>
    </w:p>
    <w:p w14:paraId="21F50009">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本产品具体申购时间以《产品说明书》“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”为准。</w:t>
      </w:r>
    </w:p>
    <w:p w14:paraId="56325631">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2.申购的方式</w:t>
      </w:r>
    </w:p>
    <w:p w14:paraId="68D42F26">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投资者可通过销售机构的销售渠道申购。不同销售机构的销售渠道，申购确认时效可能存在差异。</w:t>
      </w:r>
    </w:p>
    <w:p w14:paraId="03FAA4E8">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投资者通过销售机构线下渠道申购的，应签署有关理财产品销售文件。</w:t>
      </w:r>
    </w:p>
    <w:p w14:paraId="7EB0ADAB">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投资者通过销售机构线上渠道申购的，应根据销售机构线上渠道的具体要求执行。</w:t>
      </w:r>
    </w:p>
    <w:p w14:paraId="0F8D3EFF">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3.申购的确认</w:t>
      </w:r>
    </w:p>
    <w:p w14:paraId="1A1F826B">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本产品申购确认详见《产品说明书》“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445131E8">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投资者提交申购申请并不代表申购成功，产品管理人将在申购确认日确认投资者是否申购成功。申购是否成功以管理人的确认结果为准。投资者可以在申购确认日系统完成处理后，查询产品份额。</w:t>
      </w:r>
    </w:p>
    <w:p w14:paraId="77AF960C">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4.申购的价格</w:t>
      </w:r>
    </w:p>
    <w:p w14:paraId="39097721">
      <w:pPr>
        <w:tabs>
          <w:tab w:val="left" w:pos="312"/>
        </w:tabs>
        <w:adjustRightInd w:val="0"/>
        <w:snapToGrid w:val="0"/>
        <w:spacing w:line="360" w:lineRule="auto"/>
        <w:ind w:firstLine="420" w:firstLineChars="20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申购价格为申购日的产品份额净值。</w:t>
      </w:r>
      <w:r>
        <w:rPr>
          <w:rFonts w:hint="eastAsia" w:ascii="仿宋_GB2312" w:hAnsi="宋体" w:cs="宋体"/>
          <w:bCs/>
          <w:color w:val="auto"/>
          <w:kern w:val="0"/>
          <w:szCs w:val="24"/>
          <w:highlight w:val="yellow"/>
          <w:u w:val="none"/>
          <w:lang w:eastAsia="zh-CN"/>
        </w:rPr>
        <w:t>】</w:t>
      </w:r>
    </w:p>
    <w:p w14:paraId="1C13EA29">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宋体" w:hAnsi="宋体" w:cs="宋体"/>
          <w:color w:val="auto"/>
          <w:kern w:val="0"/>
          <w:szCs w:val="24"/>
          <w:highlight w:val="none"/>
          <w:u w:val="none"/>
        </w:rPr>
        <w:t>如遇某一类产品份额类别存续期间产品份额被全部赎回的情况，符合该产品份额类别的投资者适当性要求的投资者仍可按照相关申购规则进行购买，投资者提交申购申请的首日，申购价格参照该产品份额类别的最近估值日的产品份额净值计算。请详见</w:t>
      </w:r>
      <w:r>
        <w:rPr>
          <w:rFonts w:hint="eastAsia" w:ascii="仿宋_GB2312" w:hAnsi="宋体" w:cs="宋体"/>
          <w:color w:val="auto"/>
          <w:kern w:val="0"/>
          <w:szCs w:val="24"/>
          <w:highlight w:val="none"/>
          <w:u w:val="none"/>
        </w:rPr>
        <w:t>产品管理人的开放日公告。</w:t>
      </w:r>
    </w:p>
    <w:p w14:paraId="4D99722E">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5.申购的费用</w:t>
      </w:r>
    </w:p>
    <w:p w14:paraId="77FD8FEA">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本产品申购费率详见《产品说明书》“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6D946F36">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6.申购份额计算 </w:t>
      </w:r>
    </w:p>
    <w:p w14:paraId="2A506473">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本产品的申购金额包括申购费用和净申购金额。申购份额的计算公式为：</w:t>
      </w:r>
    </w:p>
    <w:p w14:paraId="0323B7A7">
      <w:pPr>
        <w:tabs>
          <w:tab w:val="left" w:pos="312"/>
        </w:tabs>
        <w:adjustRightInd w:val="0"/>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净申购金额=申购金额/（1+申购费率）（申购</w:t>
      </w:r>
      <w:r>
        <w:rPr>
          <w:rFonts w:ascii="仿宋_GB2312" w:hAnsi="宋体" w:cs="宋体"/>
          <w:bCs/>
          <w:color w:val="auto"/>
          <w:kern w:val="0"/>
          <w:szCs w:val="24"/>
          <w:highlight w:val="yellow"/>
          <w:u w:val="none"/>
        </w:rPr>
        <w:t>费</w:t>
      </w:r>
      <w:r>
        <w:rPr>
          <w:rFonts w:hint="eastAsia" w:ascii="仿宋_GB2312" w:hAnsi="宋体" w:cs="宋体"/>
          <w:bCs/>
          <w:color w:val="auto"/>
          <w:kern w:val="0"/>
          <w:szCs w:val="24"/>
          <w:highlight w:val="yellow"/>
          <w:u w:val="none"/>
        </w:rPr>
        <w:t>率详见产品说明书</w:t>
      </w:r>
      <w:r>
        <w:rPr>
          <w:rFonts w:ascii="仿宋_GB2312" w:hAnsi="宋体" w:cs="宋体"/>
          <w:bCs/>
          <w:color w:val="auto"/>
          <w:kern w:val="0"/>
          <w:szCs w:val="24"/>
          <w:highlight w:val="yellow"/>
          <w:u w:val="none"/>
        </w:rPr>
        <w:t>关于费用</w:t>
      </w:r>
      <w:r>
        <w:rPr>
          <w:rFonts w:hint="eastAsia" w:ascii="仿宋_GB2312" w:hAnsi="宋体" w:cs="宋体"/>
          <w:bCs/>
          <w:color w:val="auto"/>
          <w:kern w:val="0"/>
          <w:szCs w:val="24"/>
          <w:highlight w:val="yellow"/>
          <w:u w:val="none"/>
        </w:rPr>
        <w:t>的说明</w:t>
      </w:r>
      <w:r>
        <w:rPr>
          <w:rFonts w:ascii="仿宋_GB2312" w:hAnsi="宋体" w:cs="宋体"/>
          <w:bCs/>
          <w:color w:val="auto"/>
          <w:kern w:val="0"/>
          <w:szCs w:val="24"/>
          <w:highlight w:val="yellow"/>
          <w:u w:val="none"/>
        </w:rPr>
        <w:t>）</w:t>
      </w:r>
    </w:p>
    <w:p w14:paraId="170E4BF1">
      <w:pPr>
        <w:tabs>
          <w:tab w:val="left" w:pos="312"/>
        </w:tabs>
        <w:adjustRightInd w:val="0"/>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申购费用=申购金额－净申购金额</w:t>
      </w:r>
    </w:p>
    <w:p w14:paraId="3464F5F0">
      <w:pPr>
        <w:tabs>
          <w:tab w:val="left" w:pos="312"/>
        </w:tabs>
        <w:adjustRightInd w:val="0"/>
        <w:snapToGrid w:val="0"/>
        <w:spacing w:line="360" w:lineRule="auto"/>
        <w:ind w:firstLine="420" w:firstLineChars="20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rPr>
        <w:t>申购份额=净申购金额/申购日产品份额净值</w:t>
      </w:r>
      <w:r>
        <w:rPr>
          <w:rFonts w:hint="eastAsia" w:ascii="仿宋_GB2312" w:hAnsi="宋体" w:cs="宋体"/>
          <w:bCs/>
          <w:color w:val="auto"/>
          <w:kern w:val="0"/>
          <w:szCs w:val="24"/>
          <w:highlight w:val="yellow"/>
          <w:u w:val="none"/>
          <w:lang w:eastAsia="zh-CN"/>
        </w:rPr>
        <w:t>】</w:t>
      </w:r>
    </w:p>
    <w:p w14:paraId="06B7DCFC">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上述计算结果均按四舍五入方法，保留到小数点后2位，由此产生的收益或损失由理财产品承担。</w:t>
      </w:r>
    </w:p>
    <w:p w14:paraId="790098B9">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7.申购的起点</w:t>
      </w:r>
      <w:r>
        <w:rPr>
          <w:rFonts w:hint="eastAsia" w:ascii="仿宋_GB2312" w:hAnsi="宋体" w:cs="宋体"/>
          <w:bCs/>
          <w:color w:val="auto"/>
          <w:kern w:val="0"/>
          <w:szCs w:val="24"/>
          <w:highlight w:val="none"/>
          <w:u w:val="none"/>
          <w:lang w:eastAsia="zh-CN"/>
        </w:rPr>
        <w:t>销售金额</w:t>
      </w:r>
      <w:r>
        <w:rPr>
          <w:rFonts w:hint="eastAsia" w:ascii="仿宋_GB2312" w:hAnsi="宋体" w:cs="宋体"/>
          <w:bCs/>
          <w:color w:val="auto"/>
          <w:kern w:val="0"/>
          <w:szCs w:val="24"/>
          <w:highlight w:val="none"/>
          <w:u w:val="none"/>
        </w:rPr>
        <w:t>和</w:t>
      </w:r>
      <w:r>
        <w:rPr>
          <w:rFonts w:hint="eastAsia" w:ascii="仿宋_GB2312" w:hAnsi="宋体" w:cs="宋体"/>
          <w:bCs/>
          <w:color w:val="auto"/>
          <w:kern w:val="0"/>
          <w:szCs w:val="24"/>
          <w:highlight w:val="none"/>
          <w:u w:val="none"/>
          <w:lang w:eastAsia="zh-CN"/>
        </w:rPr>
        <w:t>追加</w:t>
      </w:r>
      <w:r>
        <w:rPr>
          <w:rFonts w:hint="eastAsia" w:ascii="仿宋_GB2312" w:hAnsi="宋体" w:cs="宋体"/>
          <w:bCs/>
          <w:color w:val="auto"/>
          <w:kern w:val="0"/>
          <w:szCs w:val="24"/>
          <w:highlight w:val="none"/>
          <w:u w:val="none"/>
        </w:rPr>
        <w:t xml:space="preserve">递增金额 </w:t>
      </w:r>
    </w:p>
    <w:p w14:paraId="38B47A4E">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0321743C">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8.申购的数量限制</w:t>
      </w:r>
    </w:p>
    <w:p w14:paraId="1349DA78">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18E98199">
      <w:pPr>
        <w:adjustRightInd w:val="0"/>
        <w:snapToGrid w:val="0"/>
        <w:spacing w:line="360" w:lineRule="auto"/>
        <w:ind w:firstLine="420" w:firstLineChars="200"/>
        <w:rPr>
          <w:color w:val="auto"/>
          <w:highlight w:val="none"/>
          <w:u w:val="none"/>
        </w:rPr>
      </w:pPr>
      <w:r>
        <w:rPr>
          <w:rFonts w:hint="eastAsia" w:ascii="仿宋_GB2312" w:hAnsi="仿宋_GB2312" w:cs="仿宋_GB2312"/>
          <w:color w:val="auto"/>
          <w:highlight w:val="none"/>
          <w:u w:val="none"/>
        </w:rPr>
        <w:t>9.拒</w:t>
      </w:r>
      <w:r>
        <w:rPr>
          <w:rFonts w:hint="eastAsia"/>
          <w:color w:val="auto"/>
          <w:highlight w:val="none"/>
          <w:u w:val="none"/>
        </w:rPr>
        <w:t>绝或暂停申购</w:t>
      </w:r>
    </w:p>
    <w:p w14:paraId="40C9D054">
      <w:pPr>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除本理财产品说明书另有规定外，当出现以下情形之一时，管理人有权拒绝投资者提交的理财产品申购申请并确认投资者申购失败，或通知销售机构暂停投资者申购并关闭系统申购交易功能，并在3个工作日内公告。在拒绝、暂停申购的情况消除后，管理人应及时通知销售机构恢复理财产品申购业务的办理。</w:t>
      </w:r>
    </w:p>
    <w:p w14:paraId="0EA8E3FE">
      <w:pPr>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1.因不可抗力导致管理人无法接受投资者的申购申请；</w:t>
      </w:r>
    </w:p>
    <w:p w14:paraId="416CCFA2">
      <w:pPr>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2.证券交易场所依法决定临时停市，导致管理人无法计算当日产品资产净值；</w:t>
      </w:r>
    </w:p>
    <w:p w14:paraId="4CDFA54F">
      <w:pPr>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3.当管理人认为某笔申购申请会有损于其他产品份额持有人利益时，可拒绝该笔申购申请；</w:t>
      </w:r>
    </w:p>
    <w:p w14:paraId="68EC4EA7">
      <w:pPr>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4.法律、法规规定认定的其他情形。</w:t>
      </w:r>
    </w:p>
    <w:p w14:paraId="10B23278">
      <w:pPr>
        <w:pStyle w:val="3"/>
        <w:numPr>
          <w:ilvl w:val="1"/>
          <w:numId w:val="15"/>
        </w:numPr>
        <w:adjustRightInd w:val="0"/>
        <w:snapToGrid w:val="0"/>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理财产品的赎回</w:t>
      </w:r>
      <w:r>
        <w:rPr>
          <w:rFonts w:ascii="仿宋_GB2312" w:hAnsi="宋体" w:cs="宋体"/>
          <w:bCs/>
          <w:color w:val="auto"/>
          <w:kern w:val="0"/>
          <w:szCs w:val="24"/>
          <w:highlight w:val="none"/>
          <w:u w:val="none"/>
        </w:rPr>
        <w:t xml:space="preserve"> </w:t>
      </w:r>
    </w:p>
    <w:p w14:paraId="62DC23E7">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1.赎回的时间</w:t>
      </w:r>
    </w:p>
    <w:p w14:paraId="53743795">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本产品具体赎回时间以《产品说明书》“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”为准。</w:t>
      </w:r>
    </w:p>
    <w:p w14:paraId="64BED4A5">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2.赎回的方式</w:t>
      </w:r>
    </w:p>
    <w:p w14:paraId="2946B94B">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投资者可通过销售机构的销售渠道赎回。不同销售机构的销售渠道，赎回确认时效可能存在差异。</w:t>
      </w:r>
    </w:p>
    <w:p w14:paraId="77201E2A">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投资者通过销售机构线下渠道赎回的，应签署有关理财产品销售文件。</w:t>
      </w:r>
    </w:p>
    <w:p w14:paraId="37B0B33E">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投资者通过销售机构线上渠道赎回的，应根据销售机构线上渠道的具体要求执行。</w:t>
      </w:r>
    </w:p>
    <w:p w14:paraId="7400B9D5">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3.赎回的确认</w:t>
      </w:r>
    </w:p>
    <w:p w14:paraId="71554559">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本产品赎回确认详见《产品说明书》“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2F8D1263">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投资者提交赎回申请并不代表赎回成功，产品管理人将在赎回确认日确认投资者是否赎回成功。赎回是否成功以管理人的确认结果为准。</w:t>
      </w:r>
    </w:p>
    <w:p w14:paraId="45A041FB">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4.赎回的价格</w:t>
      </w:r>
    </w:p>
    <w:p w14:paraId="387954A3">
      <w:pPr>
        <w:tabs>
          <w:tab w:val="left" w:pos="312"/>
        </w:tabs>
        <w:adjustRightInd w:val="0"/>
        <w:snapToGrid w:val="0"/>
        <w:spacing w:line="360" w:lineRule="auto"/>
        <w:ind w:firstLine="420" w:firstLineChars="20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赎回价格为赎回日的产品份额净值。</w:t>
      </w:r>
      <w:r>
        <w:rPr>
          <w:rFonts w:hint="eastAsia" w:ascii="仿宋_GB2312" w:hAnsi="宋体" w:cs="宋体"/>
          <w:bCs/>
          <w:color w:val="auto"/>
          <w:kern w:val="0"/>
          <w:szCs w:val="24"/>
          <w:highlight w:val="yellow"/>
          <w:u w:val="none"/>
          <w:lang w:eastAsia="zh-CN"/>
        </w:rPr>
        <w:t>】</w:t>
      </w:r>
    </w:p>
    <w:p w14:paraId="55A0E148">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5.赎回的费用</w:t>
      </w:r>
    </w:p>
    <w:p w14:paraId="17C683C1">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本产品赎回费用详见《产品说明书》“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6AF13458">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 xml:space="preserve">6.赎回金额计算 </w:t>
      </w:r>
    </w:p>
    <w:p w14:paraId="623AE306">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本产品赎回金额的计算公式如下：</w:t>
      </w:r>
    </w:p>
    <w:p w14:paraId="670D3916">
      <w:pPr>
        <w:tabs>
          <w:tab w:val="left" w:pos="312"/>
        </w:tabs>
        <w:adjustRightInd w:val="0"/>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赎回总金额=赎回份额×赎回日该产品份额净值</w:t>
      </w:r>
    </w:p>
    <w:p w14:paraId="6BD76B58">
      <w:pPr>
        <w:tabs>
          <w:tab w:val="left" w:pos="312"/>
        </w:tabs>
        <w:adjustRightInd w:val="0"/>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赎回费用=赎回总金额×该产品份额赎回费率</w:t>
      </w:r>
    </w:p>
    <w:p w14:paraId="3CE77229">
      <w:pPr>
        <w:tabs>
          <w:tab w:val="left" w:pos="312"/>
        </w:tabs>
        <w:adjustRightInd w:val="0"/>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净赎回金额=赎回总金额-赎回费用</w:t>
      </w:r>
    </w:p>
    <w:p w14:paraId="5DA20E49">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yellow"/>
          <w:u w:val="none"/>
          <w:lang w:eastAsia="zh-CN"/>
        </w:rPr>
      </w:pPr>
      <w:r>
        <w:rPr>
          <w:rFonts w:hint="eastAsia" w:ascii="仿宋_GB2312" w:hAnsi="宋体" w:cs="宋体"/>
          <w:bCs/>
          <w:color w:val="auto"/>
          <w:kern w:val="0"/>
          <w:szCs w:val="24"/>
          <w:highlight w:val="yellow"/>
          <w:u w:val="none"/>
          <w:lang w:eastAsia="zh-CN"/>
        </w:rPr>
        <w:t>若本理财产品设置不同的产品份额类别，当某一份额类别因投资者赎回致使该份额类别剩余份额归零，产品管理人将以赎回日该份额类别对应的总资产净值，向持有该份额类别的投资者进行兑付。</w:t>
      </w:r>
    </w:p>
    <w:p w14:paraId="54B8AFE5">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yellow"/>
          <w:u w:val="none"/>
          <w:lang w:eastAsia="zh-CN"/>
        </w:rPr>
      </w:pPr>
      <w:r>
        <w:rPr>
          <w:rFonts w:hint="eastAsia" w:ascii="仿宋_GB2312" w:hAnsi="宋体" w:cs="宋体"/>
          <w:bCs/>
          <w:color w:val="auto"/>
          <w:kern w:val="0"/>
          <w:szCs w:val="24"/>
          <w:highlight w:val="yellow"/>
          <w:u w:val="none"/>
          <w:lang w:eastAsia="zh-CN"/>
        </w:rPr>
        <w:t>该情形下投资者赎回金额计算公式如下：</w:t>
      </w:r>
    </w:p>
    <w:p w14:paraId="45E8E3AF">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yellow"/>
          <w:u w:val="none"/>
          <w:lang w:eastAsia="zh-CN"/>
        </w:rPr>
      </w:pPr>
      <w:r>
        <w:rPr>
          <w:rFonts w:hint="eastAsia" w:ascii="仿宋_GB2312" w:hAnsi="宋体" w:cs="宋体"/>
          <w:bCs/>
          <w:color w:val="auto"/>
          <w:kern w:val="0"/>
          <w:szCs w:val="24"/>
          <w:highlight w:val="yellow"/>
          <w:u w:val="none"/>
          <w:lang w:eastAsia="zh-CN"/>
        </w:rPr>
        <w:t>赎回总金额=投资者在赎回日持有的该份额类别份额/该份额类别总份额*该份额类别赎回日总资产净值</w:t>
      </w:r>
    </w:p>
    <w:p w14:paraId="44FD5489">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yellow"/>
          <w:u w:val="none"/>
          <w:lang w:eastAsia="zh-CN"/>
        </w:rPr>
      </w:pPr>
      <w:r>
        <w:rPr>
          <w:rFonts w:hint="eastAsia" w:ascii="仿宋_GB2312" w:hAnsi="宋体" w:cs="宋体"/>
          <w:bCs/>
          <w:color w:val="auto"/>
          <w:kern w:val="0"/>
          <w:szCs w:val="24"/>
          <w:highlight w:val="yellow"/>
          <w:u w:val="none"/>
          <w:lang w:eastAsia="zh-CN"/>
        </w:rPr>
        <w:t>赎回费用=赎回总金额×该产品份额赎回费率</w:t>
      </w:r>
    </w:p>
    <w:p w14:paraId="2814AA70">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yellow"/>
          <w:u w:val="none"/>
          <w:lang w:eastAsia="zh-CN"/>
        </w:rPr>
      </w:pPr>
      <w:r>
        <w:rPr>
          <w:rFonts w:hint="eastAsia" w:ascii="仿宋_GB2312" w:hAnsi="宋体" w:cs="宋体"/>
          <w:bCs/>
          <w:color w:val="auto"/>
          <w:kern w:val="0"/>
          <w:szCs w:val="24"/>
          <w:highlight w:val="yellow"/>
          <w:u w:val="none"/>
          <w:lang w:eastAsia="zh-CN"/>
        </w:rPr>
        <w:t>净赎回金额=赎回总金额-赎回费用</w:t>
      </w:r>
    </w:p>
    <w:p w14:paraId="6DC12F2A">
      <w:pPr>
        <w:tabs>
          <w:tab w:val="left" w:pos="312"/>
        </w:tabs>
        <w:adjustRightInd w:val="0"/>
        <w:snapToGrid w:val="0"/>
        <w:spacing w:line="360" w:lineRule="auto"/>
        <w:ind w:firstLine="420" w:firstLineChars="200"/>
        <w:rPr>
          <w:rFonts w:hint="eastAsia"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上述计算结果均按四舍五入方法，保留到小数点后2位，由此产生的收益或损失由理财产品承担。</w:t>
      </w:r>
    </w:p>
    <w:p w14:paraId="325C15AF">
      <w:pPr>
        <w:tabs>
          <w:tab w:val="left" w:pos="312"/>
        </w:tabs>
        <w:adjustRightInd w:val="0"/>
        <w:snapToGrid w:val="0"/>
        <w:spacing w:line="360" w:lineRule="auto"/>
        <w:ind w:firstLine="420" w:firstLineChars="20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lang w:eastAsia="zh-CN"/>
        </w:rPr>
        <w:t>】</w:t>
      </w:r>
    </w:p>
    <w:p w14:paraId="0221C240">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7.赎回的数量限制</w:t>
      </w:r>
    </w:p>
    <w:p w14:paraId="1E37551D">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3181D035">
      <w:pPr>
        <w:pStyle w:val="3"/>
        <w:numPr>
          <w:ilvl w:val="1"/>
          <w:numId w:val="15"/>
        </w:numPr>
        <w:adjustRightInd w:val="0"/>
        <w:snapToGrid w:val="0"/>
        <w:ind w:firstLine="482"/>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巨额赎回的情形及处理方式</w:t>
      </w:r>
      <w:r>
        <w:rPr>
          <w:rFonts w:ascii="仿宋_GB2312" w:hAnsi="宋体" w:cs="宋体"/>
          <w:bCs/>
          <w:color w:val="auto"/>
          <w:kern w:val="0"/>
          <w:szCs w:val="24"/>
          <w:highlight w:val="none"/>
          <w:u w:val="none"/>
        </w:rPr>
        <w:t xml:space="preserve"> </w:t>
      </w:r>
    </w:p>
    <w:p w14:paraId="18525F9F">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1.巨额赎回的认定</w:t>
      </w:r>
    </w:p>
    <w:p w14:paraId="5F10060E">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23ABAD60">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2.巨额赎回的处理方式</w:t>
      </w:r>
    </w:p>
    <w:p w14:paraId="6A9243AE">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详见《产品说明书》“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w:t>
      </w:r>
    </w:p>
    <w:p w14:paraId="007E996A">
      <w:pPr>
        <w:tabs>
          <w:tab w:val="left" w:pos="312"/>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3.巨额赎回的公告</w:t>
      </w:r>
    </w:p>
    <w:p w14:paraId="2E0C535B">
      <w:pPr>
        <w:autoSpaceDE w:val="0"/>
        <w:autoSpaceDN w:val="0"/>
        <w:adjustRightInd w:val="0"/>
        <w:snapToGrid w:val="0"/>
        <w:spacing w:line="360" w:lineRule="auto"/>
        <w:ind w:firstLine="420" w:firstLineChars="200"/>
        <w:rPr>
          <w:rFonts w:ascii="仿宋_GB2312" w:hAnsi="宋体"/>
          <w:b/>
          <w:color w:val="auto"/>
          <w:kern w:val="0"/>
          <w:szCs w:val="24"/>
          <w:highlight w:val="none"/>
          <w:u w:val="none"/>
        </w:rPr>
      </w:pPr>
      <w:r>
        <w:rPr>
          <w:rFonts w:hint="eastAsia" w:ascii="仿宋_GB2312" w:hAnsi="宋体" w:cs="宋体"/>
          <w:bCs/>
          <w:color w:val="auto"/>
          <w:kern w:val="0"/>
          <w:szCs w:val="24"/>
          <w:highlight w:val="none"/>
          <w:u w:val="none"/>
        </w:rPr>
        <w:t>在发生巨额赎回产品管理人</w:t>
      </w:r>
      <w:r>
        <w:rPr>
          <w:rFonts w:hint="eastAsia" w:asciiTheme="minorEastAsia" w:hAnsiTheme="minorEastAsia"/>
          <w:color w:val="auto"/>
          <w:szCs w:val="24"/>
          <w:highlight w:val="none"/>
          <w:u w:val="none"/>
        </w:rPr>
        <w:t>暂停接受或延期办理</w:t>
      </w:r>
      <w:r>
        <w:rPr>
          <w:rFonts w:hint="eastAsia" w:ascii="仿宋_GB2312" w:hAnsi="宋体" w:cs="宋体"/>
          <w:bCs/>
          <w:color w:val="auto"/>
          <w:kern w:val="0"/>
          <w:szCs w:val="24"/>
          <w:highlight w:val="none"/>
          <w:u w:val="none"/>
        </w:rPr>
        <w:t>投资者赎回申请时，产品管理人将依约定发布相关公告信息。</w:t>
      </w:r>
    </w:p>
    <w:p w14:paraId="62234338">
      <w:pPr>
        <w:widowControl/>
        <w:jc w:val="left"/>
        <w:rPr>
          <w:rFonts w:eastAsia="黑体"/>
          <w:color w:val="auto"/>
          <w:kern w:val="44"/>
          <w:sz w:val="28"/>
          <w:highlight w:val="none"/>
          <w:u w:val="none"/>
        </w:rPr>
      </w:pPr>
      <w:r>
        <w:rPr>
          <w:color w:val="auto"/>
          <w:highlight w:val="none"/>
          <w:u w:val="none"/>
        </w:rPr>
        <w:br w:type="page"/>
      </w:r>
    </w:p>
    <w:p w14:paraId="0C0E2365">
      <w:pPr>
        <w:pStyle w:val="2"/>
        <w:numPr>
          <w:ilvl w:val="0"/>
          <w:numId w:val="15"/>
        </w:numPr>
        <w:rPr>
          <w:color w:val="auto"/>
          <w:highlight w:val="none"/>
          <w:u w:val="none"/>
        </w:rPr>
      </w:pPr>
      <w:r>
        <w:rPr>
          <w:rFonts w:hint="eastAsia"/>
          <w:color w:val="auto"/>
          <w:highlight w:val="none"/>
          <w:u w:val="none"/>
        </w:rPr>
        <w:t>理财产品的投资</w:t>
      </w:r>
    </w:p>
    <w:p w14:paraId="02FA4D32">
      <w:pPr>
        <w:pStyle w:val="3"/>
        <w:numPr>
          <w:ilvl w:val="1"/>
          <w:numId w:val="15"/>
        </w:numPr>
        <w:ind w:firstLine="482"/>
        <w:rPr>
          <w:color w:val="auto"/>
          <w:highlight w:val="none"/>
          <w:u w:val="none"/>
        </w:rPr>
      </w:pPr>
      <w:r>
        <w:rPr>
          <w:rFonts w:hint="eastAsia"/>
          <w:color w:val="auto"/>
          <w:highlight w:val="none"/>
          <w:u w:val="none"/>
        </w:rPr>
        <w:t>投资范围</w:t>
      </w:r>
    </w:p>
    <w:p w14:paraId="22A51D66">
      <w:pPr>
        <w:tabs>
          <w:tab w:val="left" w:pos="3119"/>
        </w:tabs>
        <w:autoSpaceDE w:val="0"/>
        <w:autoSpaceDN w:val="0"/>
        <w:spacing w:line="360" w:lineRule="auto"/>
        <w:ind w:right="31" w:rightChars="15" w:firstLine="420" w:firstLineChars="200"/>
        <w:rPr>
          <w:rFonts w:hint="default" w:ascii="仿宋_GB2312" w:hAnsi="宋体" w:cs="宋体"/>
          <w:bCs/>
          <w:color w:val="000000" w:themeColor="text1"/>
          <w:kern w:val="0"/>
          <w:szCs w:val="24"/>
          <w:highlight w:val="none"/>
          <w:lang w:val="en-US" w:eastAsia="zh-CN"/>
          <w14:textFill>
            <w14:solidFill>
              <w14:schemeClr w14:val="tx1"/>
            </w14:solidFill>
          </w14:textFill>
        </w:rPr>
      </w:pPr>
      <w:r>
        <w:rPr>
          <w:rFonts w:hint="eastAsia" w:ascii="仿宋_GB2312" w:hAnsi="宋体" w:cs="宋体"/>
          <w:bCs/>
          <w:color w:val="000000" w:themeColor="text1"/>
          <w:kern w:val="0"/>
          <w:szCs w:val="24"/>
          <w:highlight w:val="yellow"/>
          <w:lang w:eastAsia="zh-CN"/>
          <w14:textFill>
            <w14:solidFill>
              <w14:schemeClr w14:val="tx1"/>
            </w14:solidFill>
          </w14:textFill>
        </w:rPr>
        <w:t>【</w:t>
      </w:r>
      <w:r>
        <w:rPr>
          <w:rFonts w:hint="eastAsia" w:ascii="仿宋_GB2312" w:hAnsi="宋体" w:cs="宋体"/>
          <w:bCs/>
          <w:color w:val="000000" w:themeColor="text1"/>
          <w:kern w:val="0"/>
          <w:szCs w:val="24"/>
          <w:highlight w:val="none"/>
          <w:lang w:eastAsia="zh-CN"/>
          <w14:textFill>
            <w14:solidFill>
              <w14:schemeClr w14:val="tx1"/>
            </w14:solidFill>
          </w14:textFill>
        </w:rPr>
        <w:t>……</w:t>
      </w:r>
    </w:p>
    <w:p w14:paraId="75994C51">
      <w:pPr>
        <w:tabs>
          <w:tab w:val="left" w:pos="3119"/>
        </w:tabs>
        <w:autoSpaceDE w:val="0"/>
        <w:autoSpaceDN w:val="0"/>
        <w:spacing w:line="360" w:lineRule="auto"/>
        <w:ind w:right="31" w:rightChars="15" w:firstLine="420" w:firstLineChars="200"/>
        <w:rPr>
          <w:rFonts w:hint="eastAsia" w:ascii="仿宋_GB2312" w:hAnsi="宋体" w:cs="宋体"/>
          <w:bCs/>
          <w:color w:val="000000" w:themeColor="text1"/>
          <w:kern w:val="0"/>
          <w:szCs w:val="24"/>
          <w:highlight w:val="none"/>
          <w14:textFill>
            <w14:solidFill>
              <w14:schemeClr w14:val="tx1"/>
            </w14:solidFill>
          </w14:textFill>
        </w:rPr>
      </w:pPr>
      <w:r>
        <w:rPr>
          <w:rFonts w:hint="eastAsia" w:ascii="仿宋_GB2312" w:hAnsi="宋体" w:cs="宋体"/>
          <w:bCs/>
          <w:color w:val="000000" w:themeColor="text1"/>
          <w:kern w:val="0"/>
          <w:szCs w:val="24"/>
          <w:highlight w:val="none"/>
          <w14:textFill>
            <w14:solidFill>
              <w14:schemeClr w14:val="tx1"/>
            </w14:solidFill>
          </w14:textFill>
        </w:rPr>
        <w:t>本理财产品在投资于商品及金融衍生品类资产之前，管理人应获得相应的业务经营范围或投资交易资格。</w:t>
      </w:r>
    </w:p>
    <w:p w14:paraId="08B1102B">
      <w:pPr>
        <w:tabs>
          <w:tab w:val="left" w:pos="3119"/>
        </w:tabs>
        <w:autoSpaceDE w:val="0"/>
        <w:autoSpaceDN w:val="0"/>
        <w:spacing w:line="360" w:lineRule="auto"/>
        <w:ind w:right="31" w:rightChars="15" w:firstLine="480" w:firstLineChars="200"/>
        <w:rPr>
          <w:rFonts w:ascii="仿宋_GB2312" w:hAnsi="宋体" w:cs="宋体"/>
          <w:bCs/>
          <w:color w:val="000000" w:themeColor="text1"/>
          <w:kern w:val="0"/>
          <w:szCs w:val="24"/>
          <w:highlight w:val="none"/>
          <w:u w:val="single"/>
          <w14:textFill>
            <w14:solidFill>
              <w14:schemeClr w14:val="tx1"/>
            </w14:solidFill>
          </w14:textFill>
        </w:rPr>
      </w:pPr>
      <w:r>
        <w:rPr>
          <w:rFonts w:hint="eastAsia" w:ascii="仿宋_GB2312" w:hAnsi="宋体" w:eastAsia="仿宋_GB2312" w:cs="宋体"/>
          <w:bCs/>
          <w:color w:val="000000" w:themeColor="text1"/>
          <w:kern w:val="0"/>
          <w:sz w:val="24"/>
          <w:szCs w:val="24"/>
          <w:highlight w:val="none"/>
          <w14:textFill>
            <w14:solidFill>
              <w14:schemeClr w14:val="tx1"/>
            </w14:solidFill>
          </w14:textFill>
        </w:rPr>
        <w:t>本理财产品在投资于境外资产之前，管理人应获得相应的业务经营范围或投资交易资格。</w:t>
      </w:r>
      <w:r>
        <w:rPr>
          <w:rFonts w:hint="eastAsia" w:ascii="仿宋_GB2312" w:hAnsi="宋体" w:cs="宋体"/>
          <w:bCs/>
          <w:color w:val="000000" w:themeColor="text1"/>
          <w:kern w:val="0"/>
          <w:szCs w:val="24"/>
          <w:highlight w:val="yellow"/>
          <w:lang w:eastAsia="zh-CN"/>
          <w14:textFill>
            <w14:solidFill>
              <w14:schemeClr w14:val="tx1"/>
            </w14:solidFill>
          </w14:textFill>
        </w:rPr>
        <w:t>】</w:t>
      </w:r>
    </w:p>
    <w:p w14:paraId="5338300B">
      <w:pPr>
        <w:tabs>
          <w:tab w:val="left" w:pos="3119"/>
        </w:tabs>
        <w:autoSpaceDE w:val="0"/>
        <w:autoSpaceDN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本理财产品投资的资产范围须完全符合法律法规或监管规定，如因法律法规或监管规定的变更、修订或更新导致本理财产品投资某类资产受到限制或禁止的，该类资产将被视为从上述资产范围中自动剔除。</w:t>
      </w:r>
    </w:p>
    <w:p w14:paraId="1B35FE30">
      <w:pPr>
        <w:pStyle w:val="3"/>
        <w:numPr>
          <w:ilvl w:val="1"/>
          <w:numId w:val="15"/>
        </w:numPr>
        <w:ind w:firstLine="482"/>
        <w:rPr>
          <w:color w:val="auto"/>
          <w:highlight w:val="none"/>
          <w:u w:val="none"/>
        </w:rPr>
      </w:pPr>
      <w:r>
        <w:rPr>
          <w:rFonts w:hint="eastAsia"/>
          <w:color w:val="auto"/>
          <w:highlight w:val="none"/>
          <w:u w:val="none"/>
        </w:rPr>
        <w:t>投资比例</w:t>
      </w:r>
    </w:p>
    <w:p w14:paraId="7154473E">
      <w:pPr>
        <w:tabs>
          <w:tab w:val="left" w:pos="3119"/>
        </w:tabs>
        <w:autoSpaceDE w:val="0"/>
        <w:autoSpaceDN w:val="0"/>
        <w:adjustRightInd w:val="0"/>
        <w:spacing w:line="360" w:lineRule="auto"/>
        <w:ind w:right="31" w:rightChars="15" w:firstLine="420" w:firstLineChars="200"/>
        <w:contextualSpacing/>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1.本产品各投资资产占比如下：</w:t>
      </w:r>
    </w:p>
    <w:tbl>
      <w:tblPr>
        <w:tblStyle w:val="8"/>
        <w:tblW w:w="0" w:type="auto"/>
        <w:tblInd w:w="18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89"/>
        <w:gridCol w:w="1325"/>
      </w:tblGrid>
      <w:tr w14:paraId="2D6E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9" w:type="dxa"/>
          </w:tcPr>
          <w:p w14:paraId="697D13F1">
            <w:pPr>
              <w:widowControl/>
              <w:spacing w:line="360" w:lineRule="auto"/>
              <w:jc w:val="center"/>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投资资产</w:t>
            </w:r>
          </w:p>
        </w:tc>
        <w:tc>
          <w:tcPr>
            <w:tcW w:w="1325" w:type="dxa"/>
          </w:tcPr>
          <w:p w14:paraId="6BFC013C">
            <w:pPr>
              <w:widowControl/>
              <w:spacing w:line="360" w:lineRule="auto"/>
              <w:jc w:val="center"/>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投资比例</w:t>
            </w:r>
          </w:p>
        </w:tc>
      </w:tr>
      <w:tr w14:paraId="2F051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9" w:type="dxa"/>
            <w:vAlign w:val="top"/>
          </w:tcPr>
          <w:p w14:paraId="03DA24F6">
            <w:pPr>
              <w:widowControl/>
              <w:spacing w:line="360" w:lineRule="auto"/>
              <w:jc w:val="center"/>
              <w:rPr>
                <w:rFonts w:ascii="仿宋_GB2312" w:hAnsi="宋体" w:cs="宋体"/>
                <w:bCs/>
                <w:color w:val="auto"/>
                <w:kern w:val="0"/>
                <w:szCs w:val="24"/>
                <w:highlight w:val="none"/>
                <w:u w:val="none"/>
              </w:rPr>
            </w:pP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rPr>
              <w:t>债权类资产</w:t>
            </w:r>
            <w:r>
              <w:rPr>
                <w:rFonts w:hint="eastAsia" w:ascii="仿宋_GB2312" w:hAnsi="宋体" w:cs="宋体"/>
                <w:bCs/>
                <w:kern w:val="0"/>
                <w:szCs w:val="24"/>
                <w:highlight w:val="yellow"/>
                <w:lang w:eastAsia="zh-CN"/>
              </w:rPr>
              <w:t>】</w:t>
            </w:r>
          </w:p>
        </w:tc>
        <w:tc>
          <w:tcPr>
            <w:tcW w:w="1325" w:type="dxa"/>
            <w:vAlign w:val="top"/>
          </w:tcPr>
          <w:p w14:paraId="601918C2">
            <w:pPr>
              <w:widowControl/>
              <w:spacing w:line="360" w:lineRule="auto"/>
              <w:jc w:val="center"/>
              <w:rPr>
                <w:rFonts w:ascii="仿宋_GB2312" w:hAnsi="宋体" w:cs="宋体"/>
                <w:bCs/>
                <w:color w:val="auto"/>
                <w:kern w:val="0"/>
                <w:szCs w:val="24"/>
                <w:highlight w:val="none"/>
                <w:u w:val="none"/>
              </w:rPr>
            </w:pPr>
            <w:r>
              <w:rPr>
                <w:rFonts w:hint="eastAsia" w:ascii="仿宋_GB2312" w:hAnsi="宋体" w:cs="宋体"/>
                <w:bCs/>
                <w:kern w:val="0"/>
                <w:szCs w:val="24"/>
                <w:highlight w:val="yellow"/>
                <w:lang w:eastAsia="zh-CN"/>
              </w:rPr>
              <w:t>【】</w:t>
            </w:r>
          </w:p>
        </w:tc>
      </w:tr>
      <w:tr w14:paraId="0304F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9" w:type="dxa"/>
            <w:vAlign w:val="top"/>
          </w:tcPr>
          <w:p w14:paraId="48D0ECD0">
            <w:pPr>
              <w:widowControl/>
              <w:spacing w:line="360" w:lineRule="auto"/>
              <w:jc w:val="center"/>
              <w:rPr>
                <w:rFonts w:ascii="仿宋_GB2312" w:hAnsi="宋体" w:cs="宋体"/>
                <w:bCs/>
                <w:color w:val="auto"/>
                <w:kern w:val="0"/>
                <w:szCs w:val="24"/>
                <w:highlight w:val="none"/>
                <w:u w:val="none"/>
              </w:rPr>
            </w:pPr>
            <w:r>
              <w:rPr>
                <w:rFonts w:hint="eastAsia" w:ascii="仿宋_GB2312" w:hAnsi="宋体" w:cs="宋体"/>
                <w:bCs/>
                <w:kern w:val="0"/>
                <w:szCs w:val="24"/>
                <w:highlight w:val="yellow"/>
                <w:u w:val="none"/>
                <w:lang w:eastAsia="zh-CN"/>
              </w:rPr>
              <w:t>【</w:t>
            </w:r>
            <w:r>
              <w:rPr>
                <w:rFonts w:hint="eastAsia" w:ascii="仿宋_GB2312" w:hAnsi="宋体" w:cs="宋体"/>
                <w:bCs/>
                <w:color w:val="auto"/>
                <w:kern w:val="0"/>
                <w:szCs w:val="24"/>
                <w:highlight w:val="none"/>
                <w:u w:val="none"/>
              </w:rPr>
              <w:t>权益类资产</w:t>
            </w:r>
            <w:r>
              <w:rPr>
                <w:rFonts w:hint="eastAsia" w:ascii="仿宋_GB2312" w:hAnsi="宋体" w:cs="宋体"/>
                <w:bCs/>
                <w:kern w:val="0"/>
                <w:szCs w:val="24"/>
                <w:highlight w:val="yellow"/>
                <w:u w:val="none"/>
                <w:lang w:eastAsia="zh-CN"/>
              </w:rPr>
              <w:t>】</w:t>
            </w:r>
          </w:p>
        </w:tc>
        <w:tc>
          <w:tcPr>
            <w:tcW w:w="1325" w:type="dxa"/>
            <w:vAlign w:val="top"/>
          </w:tcPr>
          <w:p w14:paraId="4EC75DB7">
            <w:pPr>
              <w:widowControl/>
              <w:spacing w:line="360" w:lineRule="auto"/>
              <w:jc w:val="center"/>
              <w:rPr>
                <w:rFonts w:ascii="仿宋_GB2312" w:hAnsi="宋体" w:cs="宋体"/>
                <w:bCs/>
                <w:color w:val="auto"/>
                <w:kern w:val="0"/>
                <w:szCs w:val="24"/>
                <w:highlight w:val="none"/>
                <w:u w:val="none"/>
              </w:rPr>
            </w:pPr>
            <w:r>
              <w:rPr>
                <w:rFonts w:hint="eastAsia" w:ascii="仿宋_GB2312" w:hAnsi="宋体" w:cs="宋体"/>
                <w:bCs/>
                <w:kern w:val="0"/>
                <w:szCs w:val="24"/>
                <w:highlight w:val="yellow"/>
                <w:lang w:eastAsia="zh-CN"/>
              </w:rPr>
              <w:t>【】</w:t>
            </w:r>
          </w:p>
        </w:tc>
      </w:tr>
      <w:tr w14:paraId="2482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9" w:type="dxa"/>
            <w:vAlign w:val="top"/>
          </w:tcPr>
          <w:p w14:paraId="5311B323">
            <w:pPr>
              <w:widowControl/>
              <w:spacing w:line="360" w:lineRule="auto"/>
              <w:jc w:val="center"/>
              <w:rPr>
                <w:rFonts w:hint="eastAsia" w:ascii="仿宋_GB2312" w:hAnsi="宋体" w:cs="宋体"/>
                <w:bCs/>
                <w:kern w:val="0"/>
                <w:szCs w:val="24"/>
                <w:highlight w:val="yellow"/>
                <w:u w:val="none"/>
                <w:lang w:eastAsia="zh-CN"/>
              </w:rPr>
            </w:pPr>
            <w:r>
              <w:rPr>
                <w:rFonts w:hint="eastAsia" w:ascii="仿宋_GB2312" w:hAnsi="宋体" w:cs="宋体"/>
                <w:bCs/>
                <w:kern w:val="0"/>
                <w:szCs w:val="24"/>
                <w:highlight w:val="yellow"/>
                <w:u w:val="none"/>
                <w:lang w:eastAsia="zh-CN"/>
              </w:rPr>
              <w:t>【</w:t>
            </w:r>
            <w:r>
              <w:rPr>
                <w:rFonts w:hint="eastAsia" w:ascii="仿宋_GB2312" w:hAnsi="宋体" w:cs="宋体"/>
                <w:bCs/>
                <w:color w:val="auto"/>
                <w:kern w:val="0"/>
                <w:szCs w:val="24"/>
                <w:highlight w:val="none"/>
                <w:u w:val="none"/>
              </w:rPr>
              <w:t>商品及金融衍生品类</w:t>
            </w:r>
            <w:r>
              <w:rPr>
                <w:rFonts w:hint="eastAsia" w:ascii="仿宋_GB2312" w:hAnsi="宋体" w:cs="宋体"/>
                <w:bCs/>
                <w:color w:val="auto"/>
                <w:kern w:val="0"/>
                <w:szCs w:val="24"/>
                <w:highlight w:val="none"/>
                <w:u w:val="none"/>
                <w:lang w:eastAsia="zh-CN"/>
              </w:rPr>
              <w:t>资产</w:t>
            </w:r>
            <w:r>
              <w:rPr>
                <w:rFonts w:hint="eastAsia" w:ascii="仿宋_GB2312" w:hAnsi="宋体" w:cs="宋体"/>
                <w:bCs/>
                <w:kern w:val="0"/>
                <w:szCs w:val="24"/>
                <w:highlight w:val="yellow"/>
                <w:u w:val="none"/>
                <w:lang w:eastAsia="zh-CN"/>
              </w:rPr>
              <w:t>】</w:t>
            </w:r>
          </w:p>
        </w:tc>
        <w:tc>
          <w:tcPr>
            <w:tcW w:w="1325" w:type="dxa"/>
            <w:vAlign w:val="top"/>
          </w:tcPr>
          <w:p w14:paraId="39EFC388">
            <w:pPr>
              <w:widowControl/>
              <w:spacing w:line="360" w:lineRule="auto"/>
              <w:jc w:val="center"/>
              <w:rPr>
                <w:rFonts w:hint="eastAsia" w:ascii="仿宋_GB2312" w:hAnsi="宋体" w:cs="宋体"/>
                <w:bCs/>
                <w:kern w:val="0"/>
                <w:szCs w:val="24"/>
                <w:highlight w:val="yellow"/>
                <w:lang w:eastAsia="zh-CN"/>
              </w:rPr>
            </w:pPr>
            <w:r>
              <w:rPr>
                <w:rFonts w:hint="eastAsia" w:ascii="仿宋_GB2312" w:hAnsi="宋体" w:cs="宋体"/>
                <w:bCs/>
                <w:kern w:val="0"/>
                <w:szCs w:val="24"/>
                <w:highlight w:val="yellow"/>
                <w:lang w:eastAsia="zh-CN"/>
              </w:rPr>
              <w:t>【】</w:t>
            </w:r>
          </w:p>
        </w:tc>
      </w:tr>
    </w:tbl>
    <w:p w14:paraId="36337C75">
      <w:pPr>
        <w:autoSpaceDE w:val="0"/>
        <w:autoSpaceDN w:val="0"/>
        <w:adjustRightInd w:val="0"/>
        <w:snapToGrid w:val="0"/>
        <w:spacing w:line="360" w:lineRule="auto"/>
        <w:jc w:val="left"/>
        <w:rPr>
          <w:rFonts w:ascii="仿宋_GB2312" w:hAnsi="宋体" w:cs="宋体"/>
          <w:bCs/>
          <w:color w:val="auto"/>
          <w:kern w:val="0"/>
          <w:szCs w:val="24"/>
          <w:highlight w:val="none"/>
          <w:u w:val="none"/>
        </w:rPr>
      </w:pPr>
    </w:p>
    <w:p w14:paraId="409942AC">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管理人将在产品成立后一个月内使资产配置比例符合上述规定。</w:t>
      </w:r>
    </w:p>
    <w:p w14:paraId="196B65B3">
      <w:pPr>
        <w:tabs>
          <w:tab w:val="left" w:pos="3119"/>
        </w:tabs>
        <w:autoSpaceDE w:val="0"/>
        <w:autoSpaceDN w:val="0"/>
        <w:spacing w:line="360" w:lineRule="auto"/>
        <w:ind w:right="31" w:rightChars="15" w:firstLine="420" w:firstLineChars="200"/>
        <w:rPr>
          <w:rFonts w:hint="eastAsia" w:ascii="仿宋_GB2312" w:hAnsi="宋体" w:eastAsia="仿宋_GB2312" w:cs="宋体"/>
          <w:bCs/>
          <w:color w:val="auto"/>
          <w:kern w:val="0"/>
          <w:szCs w:val="24"/>
          <w:highlight w:val="none"/>
          <w:u w:val="none"/>
          <w:lang w:eastAsia="zh-CN"/>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其中现金或者到期日在一年以内的国债、中央银行票据和政策性金融债券不低于产品净资产的</w:t>
      </w:r>
      <w:r>
        <w:rPr>
          <w:rFonts w:ascii="仿宋_GB2312" w:hAnsi="宋体" w:cs="宋体"/>
          <w:bCs/>
          <w:color w:val="auto"/>
          <w:kern w:val="0"/>
          <w:szCs w:val="24"/>
          <w:highlight w:val="yellow"/>
          <w:u w:val="none"/>
        </w:rPr>
        <w:t>5%。流动性受限资产的市值在开放日不得超过该产品资产净值的15%。</w:t>
      </w:r>
      <w:r>
        <w:rPr>
          <w:rFonts w:hint="eastAsia" w:ascii="仿宋_GB2312" w:hAnsi="宋体" w:cs="宋体"/>
          <w:bCs/>
          <w:color w:val="auto"/>
          <w:kern w:val="0"/>
          <w:szCs w:val="24"/>
          <w:highlight w:val="yellow"/>
          <w:u w:val="none"/>
        </w:rPr>
        <w:t>7个工作日可变现资产的可变现价值不低于该产品资产净值的</w:t>
      </w:r>
      <w:r>
        <w:rPr>
          <w:rFonts w:ascii="仿宋_GB2312" w:hAnsi="宋体" w:cs="宋体"/>
          <w:bCs/>
          <w:color w:val="auto"/>
          <w:kern w:val="0"/>
          <w:szCs w:val="24"/>
          <w:highlight w:val="yellow"/>
          <w:u w:val="none"/>
        </w:rPr>
        <w:t>10%。</w:t>
      </w:r>
      <w:r>
        <w:rPr>
          <w:rFonts w:hint="eastAsia" w:ascii="仿宋_GB2312" w:hAnsi="宋体" w:cs="宋体"/>
          <w:bCs/>
          <w:color w:val="auto"/>
          <w:kern w:val="0"/>
          <w:szCs w:val="24"/>
          <w:highlight w:val="yellow"/>
          <w:u w:val="none"/>
        </w:rPr>
        <w:t>相关法律法规和监管部门对以上投资范围和配置比例有另行规定的，按照监管最新规定执行。如监管对投资比例无其他明确规定和要求的，由产品管理人与托管人协商确定计算方法。</w:t>
      </w: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none"/>
          <w:u w:val="none"/>
        </w:rPr>
        <w:t>本产品存续期内非</w:t>
      </w:r>
      <w:r>
        <w:rPr>
          <w:rFonts w:ascii="仿宋_GB2312" w:hAnsi="宋体" w:cs="宋体"/>
          <w:bCs/>
          <w:color w:val="auto"/>
          <w:kern w:val="0"/>
          <w:szCs w:val="24"/>
          <w:highlight w:val="none"/>
          <w:u w:val="none"/>
        </w:rPr>
        <w:t>因</w:t>
      </w:r>
      <w:r>
        <w:rPr>
          <w:rFonts w:hint="eastAsia" w:ascii="仿宋_GB2312" w:hAnsi="宋体" w:cs="宋体"/>
          <w:bCs/>
          <w:color w:val="auto"/>
          <w:kern w:val="0"/>
          <w:szCs w:val="24"/>
          <w:highlight w:val="none"/>
          <w:u w:val="none"/>
        </w:rPr>
        <w:t>产品</w:t>
      </w:r>
      <w:r>
        <w:rPr>
          <w:rFonts w:ascii="仿宋_GB2312" w:hAnsi="宋体" w:cs="宋体"/>
          <w:bCs/>
          <w:color w:val="auto"/>
          <w:kern w:val="0"/>
          <w:szCs w:val="24"/>
          <w:highlight w:val="none"/>
          <w:u w:val="none"/>
        </w:rPr>
        <w:t>管理人主</w:t>
      </w:r>
      <w:r>
        <w:rPr>
          <w:rFonts w:hint="eastAsia" w:ascii="仿宋_GB2312" w:hAnsi="宋体" w:cs="宋体"/>
          <w:bCs/>
          <w:color w:val="auto"/>
          <w:kern w:val="0"/>
          <w:szCs w:val="24"/>
          <w:highlight w:val="none"/>
          <w:u w:val="none"/>
        </w:rPr>
        <w:t>观</w:t>
      </w:r>
      <w:r>
        <w:rPr>
          <w:rFonts w:ascii="仿宋_GB2312" w:hAnsi="宋体" w:cs="宋体"/>
          <w:bCs/>
          <w:color w:val="auto"/>
          <w:kern w:val="0"/>
          <w:szCs w:val="24"/>
          <w:highlight w:val="none"/>
          <w:u w:val="none"/>
        </w:rPr>
        <w:t>因素</w:t>
      </w:r>
      <w:r>
        <w:rPr>
          <w:rFonts w:hint="eastAsia" w:ascii="仿宋_GB2312" w:hAnsi="宋体" w:cs="宋体"/>
          <w:bCs/>
          <w:color w:val="auto"/>
          <w:kern w:val="0"/>
          <w:szCs w:val="24"/>
          <w:highlight w:val="none"/>
          <w:u w:val="none"/>
        </w:rPr>
        <w:t>导致产品投资突破上述比例限制，管理人将尽合理努力，在流动性受限资产可出售、可转让或者恢复交易的15个交易日内调整至规定区间。</w:t>
      </w:r>
    </w:p>
    <w:p w14:paraId="67A85D02">
      <w:pPr>
        <w:pStyle w:val="3"/>
        <w:numPr>
          <w:ilvl w:val="1"/>
          <w:numId w:val="15"/>
        </w:numPr>
        <w:ind w:firstLine="482"/>
        <w:rPr>
          <w:color w:val="auto"/>
          <w:highlight w:val="none"/>
          <w:u w:val="none"/>
        </w:rPr>
      </w:pPr>
      <w:r>
        <w:rPr>
          <w:rFonts w:hint="eastAsia"/>
          <w:color w:val="auto"/>
          <w:highlight w:val="none"/>
          <w:u w:val="none"/>
        </w:rPr>
        <w:t>投资限制</w:t>
      </w:r>
    </w:p>
    <w:p w14:paraId="434F2AE5">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none"/>
          <w:u w:val="none"/>
        </w:rPr>
        <w:t>投资限制中列示的资产品种不代表管理人的实际投向，本理财计划投资范围以“投资范围”章节表述为准。</w:t>
      </w:r>
    </w:p>
    <w:p w14:paraId="4D7115D3">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1．投资集中度限制</w:t>
      </w:r>
    </w:p>
    <w:p w14:paraId="5ECF7DB2">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（1）本理财计划持有单只证券或单只公募证券投资基金的市值不得超过该理财计划净资产的10%。</w:t>
      </w:r>
    </w:p>
    <w:p w14:paraId="3A47D4AD">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（2）管理人发行的全部公募理财计划持有单只证券或单只公募证券投资基金的市值，不得超过该证券市值或该公募证券投资基金市值的30%。</w:t>
      </w:r>
    </w:p>
    <w:p w14:paraId="326A57E6">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（3）管理人发行的全部理财计划持有单一上市公司发行的股票，不得超过该上市公司可流通股票的30%。</w:t>
      </w:r>
    </w:p>
    <w:p w14:paraId="78F7042F">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（4）管理人发行的全部开放式公募理财计划投资单一上市公司发行的股票,不得超过该上市公司可流通股票的15%。国务院银行业监督管理机构另有规定的除外。</w:t>
      </w:r>
    </w:p>
    <w:p w14:paraId="0271B690">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非因管理人主观因素导致突破前述比例限制的，管理人应当在流动性受限资产可出售、可转让或者恢复交易的10个交易日内调整至符合要求，国务院银行业监督管理机构规定的特殊情形除外。</w:t>
      </w:r>
    </w:p>
    <w:p w14:paraId="4780131D">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2．投资期限限制</w:t>
      </w:r>
    </w:p>
    <w:p w14:paraId="323401F2">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本理财计划投资的非标准化债权类资产到期日不得晚于理财计划最近一次开放日。</w:t>
      </w:r>
    </w:p>
    <w:p w14:paraId="0B4CD653">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3．投资杠杆率限制</w:t>
      </w:r>
    </w:p>
    <w:p w14:paraId="1EC832D0">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本理财计划的总资产不得超过净资产的</w:t>
      </w:r>
      <w:r>
        <w:rPr>
          <w:rFonts w:hint="eastAsia" w:ascii="仿宋_GB2312" w:hAnsi="宋体" w:cs="宋体"/>
          <w:bCs/>
          <w:color w:val="auto"/>
          <w:kern w:val="0"/>
          <w:szCs w:val="24"/>
          <w:highlight w:val="yellow"/>
          <w:u w:val="none"/>
        </w:rPr>
        <w:t>【】</w:t>
      </w:r>
      <w:r>
        <w:rPr>
          <w:rFonts w:hint="eastAsia" w:ascii="仿宋_GB2312" w:hAnsi="宋体" w:cs="宋体"/>
          <w:bCs/>
          <w:color w:val="auto"/>
          <w:kern w:val="0"/>
          <w:szCs w:val="24"/>
          <w:highlight w:val="none"/>
          <w:u w:val="none"/>
        </w:rPr>
        <w:t>。</w:t>
      </w:r>
    </w:p>
    <w:p w14:paraId="654D0CE5">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4．流动性限制</w:t>
      </w:r>
    </w:p>
    <w:p w14:paraId="79C6BDEF">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（1）本理财计划直接投资于流动性受限资产的市值在开放日不得超过该理财计划资产净值的15%。</w:t>
      </w:r>
    </w:p>
    <w:p w14:paraId="56B6C751">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（2）本理财计划还应满足以下限制</w:t>
      </w:r>
      <w:r>
        <w:rPr>
          <w:rFonts w:hint="eastAsia" w:ascii="仿宋_GB2312" w:hAnsi="宋体" w:cs="宋体"/>
          <w:bCs/>
          <w:color w:val="auto"/>
          <w:kern w:val="0"/>
          <w:szCs w:val="24"/>
          <w:highlight w:val="yellow"/>
          <w:u w:val="none"/>
        </w:rPr>
        <w:t>【</w:t>
      </w:r>
      <w:r>
        <w:rPr>
          <w:rFonts w:hint="eastAsia" w:ascii="仿宋_GB2312" w:hAnsi="宋体" w:cs="宋体"/>
          <w:bCs/>
          <w:color w:val="auto"/>
          <w:kern w:val="0"/>
          <w:szCs w:val="24"/>
          <w:highlight w:val="yellow"/>
          <w:u w:val="none"/>
          <w:lang w:val="en-US" w:eastAsia="zh-CN"/>
        </w:rPr>
        <w:t>a</w:t>
      </w:r>
      <w:r>
        <w:rPr>
          <w:rFonts w:hint="eastAsia" w:ascii="仿宋_GB2312" w:hAnsi="宋体" w:cs="宋体"/>
          <w:bCs/>
          <w:color w:val="auto"/>
          <w:kern w:val="0"/>
          <w:szCs w:val="24"/>
          <w:highlight w:val="yellow"/>
          <w:u w:val="none"/>
        </w:rPr>
        <w:t>】</w:t>
      </w:r>
    </w:p>
    <w:p w14:paraId="172B32AC">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a. 本理财计划应当持有不低于该理财计划资产净值5%的现金或者到期日在一年以内的国债、中央银行票据和政策性金融债券。</w:t>
      </w:r>
    </w:p>
    <w:p w14:paraId="6E34AFEF">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b. 本理财计划应当在开放日及开放日前7个工作日内持有不低于该理财计划资产净值5%的现金或者到期日在一年以内的国债、中央银行票据和政策性金融债券。</w:t>
      </w:r>
    </w:p>
    <w:p w14:paraId="28448E7A">
      <w:pPr>
        <w:tabs>
          <w:tab w:val="left" w:pos="3119"/>
        </w:tabs>
        <w:autoSpaceDE w:val="0"/>
        <w:autoSpaceDN w:val="0"/>
        <w:adjustRightInd w:val="0"/>
        <w:snapToGrid w:val="0"/>
        <w:spacing w:line="360" w:lineRule="auto"/>
        <w:ind w:firstLine="422" w:firstLineChars="200"/>
        <w:rPr>
          <w:rFonts w:hint="eastAsia" w:ascii="仿宋_GB2312" w:hAnsi="宋体" w:cs="宋体"/>
          <w:bCs/>
          <w:color w:val="auto"/>
          <w:kern w:val="0"/>
          <w:szCs w:val="24"/>
          <w:highlight w:val="none"/>
          <w:u w:val="none"/>
        </w:rPr>
      </w:pPr>
      <w:r>
        <w:rPr>
          <w:rFonts w:hint="eastAsia" w:ascii="仿宋_GB2312" w:hAnsi="宋体" w:cs="宋体"/>
          <w:b/>
          <w:bCs w:val="0"/>
          <w:color w:val="auto"/>
          <w:kern w:val="0"/>
          <w:szCs w:val="24"/>
          <w:highlight w:val="none"/>
          <w:u w:val="none"/>
        </w:rPr>
        <w:t>c. 本理财计划</w:t>
      </w:r>
      <w:r>
        <w:rPr>
          <w:rFonts w:hint="eastAsia" w:ascii="仿宋_GB2312" w:hAnsi="宋体" w:cs="宋体"/>
          <w:b/>
          <w:bCs w:val="0"/>
          <w:color w:val="auto"/>
          <w:kern w:val="0"/>
          <w:szCs w:val="24"/>
          <w:highlight w:val="none"/>
          <w:u w:val="none"/>
          <w:lang w:eastAsia="zh-CN"/>
        </w:rPr>
        <w:t>投资</w:t>
      </w:r>
      <w:r>
        <w:rPr>
          <w:rFonts w:hint="eastAsia" w:ascii="仿宋_GB2312" w:hAnsi="宋体" w:cs="宋体"/>
          <w:b/>
          <w:bCs w:val="0"/>
          <w:color w:val="auto"/>
          <w:kern w:val="0"/>
          <w:szCs w:val="24"/>
          <w:highlight w:val="none"/>
          <w:u w:val="none"/>
        </w:rPr>
        <w:t>不存在活跃交易市场，并且需要采用估值技术确定公允价值的资产比例</w:t>
      </w:r>
      <w:r>
        <w:rPr>
          <w:rFonts w:hint="eastAsia" w:ascii="仿宋_GB2312" w:hAnsi="宋体" w:cs="宋体"/>
          <w:b/>
          <w:bCs w:val="0"/>
          <w:color w:val="auto"/>
          <w:kern w:val="0"/>
          <w:szCs w:val="24"/>
          <w:highlight w:val="none"/>
          <w:u w:val="none"/>
          <w:lang w:eastAsia="zh-CN"/>
        </w:rPr>
        <w:t>可达到</w:t>
      </w:r>
      <w:r>
        <w:rPr>
          <w:rFonts w:hint="eastAsia" w:ascii="仿宋_GB2312" w:hAnsi="宋体" w:cs="宋体"/>
          <w:b/>
          <w:bCs w:val="0"/>
          <w:color w:val="auto"/>
          <w:kern w:val="0"/>
          <w:szCs w:val="24"/>
          <w:highlight w:val="none"/>
          <w:u w:val="none"/>
        </w:rPr>
        <w:t xml:space="preserve">理财产品净资产50%以上。     </w:t>
      </w:r>
      <w:r>
        <w:rPr>
          <w:rFonts w:hint="eastAsia" w:ascii="仿宋_GB2312" w:hAnsi="宋体" w:cs="宋体"/>
          <w:bCs/>
          <w:color w:val="auto"/>
          <w:kern w:val="0"/>
          <w:szCs w:val="24"/>
          <w:highlight w:val="none"/>
          <w:u w:val="none"/>
        </w:rPr>
        <w:t xml:space="preserve">                </w:t>
      </w:r>
    </w:p>
    <w:p w14:paraId="2C42E22E">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（3）在开放日前一工作日内，本理财计划7个工作日可变现资产的可变现价值应当不低于该理财计划资产净值的10%。</w:t>
      </w:r>
    </w:p>
    <w:p w14:paraId="12378B62">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5．其他投资限制</w:t>
      </w:r>
    </w:p>
    <w:p w14:paraId="67BBACBF">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理财计划不得直接投资于信贷资产，不得直接或间接投资于浙商银行信贷资产，不得直接或间接投资于浙商银行或其他银行业金融机构发行的理财产品，不得直接或间接投资于浙商银行发行的次级档信贷资产支持证券，不得直接或间接投资于未上市公司股权及其受（收）益权。</w:t>
      </w:r>
    </w:p>
    <w:p w14:paraId="108AF420">
      <w:pPr>
        <w:tabs>
          <w:tab w:val="left" w:pos="3119"/>
        </w:tabs>
        <w:autoSpaceDE w:val="0"/>
        <w:autoSpaceDN w:val="0"/>
        <w:adjustRightInd w:val="0"/>
        <w:snapToGrid w:val="0"/>
        <w:spacing w:line="360" w:lineRule="auto"/>
        <w:ind w:firstLine="420" w:firstLineChars="200"/>
        <w:rPr>
          <w:rFonts w:hint="eastAsia" w:ascii="仿宋_GB2312" w:hAnsi="宋体" w:eastAsia="仿宋_GB2312" w:cs="宋体"/>
          <w:bCs/>
          <w:color w:val="auto"/>
          <w:kern w:val="0"/>
          <w:szCs w:val="24"/>
          <w:highlight w:val="none"/>
          <w:u w:val="none"/>
          <w:lang w:eastAsia="zh-CN"/>
        </w:rPr>
      </w:pPr>
      <w:r>
        <w:rPr>
          <w:rFonts w:hint="eastAsia" w:ascii="仿宋_GB2312" w:hAnsi="宋体" w:cs="宋体"/>
          <w:bCs/>
          <w:color w:val="auto"/>
          <w:kern w:val="0"/>
          <w:szCs w:val="24"/>
          <w:highlight w:val="none"/>
          <w:u w:val="none"/>
        </w:rPr>
        <w:t>以上限制，如监管有最新规定的，将参照监管规定调整。</w:t>
      </w:r>
      <w:r>
        <w:rPr>
          <w:rFonts w:hint="eastAsia" w:ascii="仿宋_GB2312" w:hAnsi="宋体" w:cs="宋体"/>
          <w:bCs/>
          <w:color w:val="auto"/>
          <w:kern w:val="0"/>
          <w:szCs w:val="24"/>
          <w:highlight w:val="yellow"/>
          <w:u w:val="none"/>
          <w:lang w:eastAsia="zh-CN"/>
        </w:rPr>
        <w:t>】</w:t>
      </w:r>
    </w:p>
    <w:p w14:paraId="30817094">
      <w:pPr>
        <w:tabs>
          <w:tab w:val="left" w:pos="3119"/>
        </w:tabs>
        <w:autoSpaceDE w:val="0"/>
        <w:autoSpaceDN w:val="0"/>
        <w:adjustRightInd w:val="0"/>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本产品存续期内非因产品管理人主观因素导致产品投资突破上述限制的，管理人将尽合理努力，在15个交易日内调整至符合要求。</w:t>
      </w:r>
    </w:p>
    <w:p w14:paraId="59D16E54">
      <w:pPr>
        <w:pStyle w:val="3"/>
        <w:numPr>
          <w:ilvl w:val="1"/>
          <w:numId w:val="15"/>
        </w:numPr>
        <w:autoSpaceDE w:val="0"/>
        <w:autoSpaceDN w:val="0"/>
        <w:adjustRightInd w:val="0"/>
        <w:snapToGrid w:val="0"/>
        <w:ind w:right="31" w:rightChars="15" w:firstLine="482"/>
        <w:rPr>
          <w:color w:val="auto"/>
          <w:highlight w:val="none"/>
          <w:u w:val="none"/>
        </w:rPr>
      </w:pPr>
      <w:r>
        <w:rPr>
          <w:rFonts w:hint="eastAsia"/>
          <w:color w:val="auto"/>
          <w:highlight w:val="none"/>
          <w:u w:val="none"/>
        </w:rPr>
        <w:t>投资范围调整</w:t>
      </w:r>
    </w:p>
    <w:p w14:paraId="47B20CD1">
      <w:pPr>
        <w:tabs>
          <w:tab w:val="left" w:pos="3119"/>
        </w:tabs>
        <w:autoSpaceDE w:val="0"/>
        <w:autoSpaceDN w:val="0"/>
        <w:adjustRightInd w:val="0"/>
        <w:snapToGrid w:val="0"/>
        <w:spacing w:line="360" w:lineRule="auto"/>
        <w:ind w:firstLine="422" w:firstLineChars="200"/>
        <w:rPr>
          <w:rFonts w:ascii="仿宋_GB2312" w:hAnsi="宋体" w:cs="宋体"/>
          <w:color w:val="auto"/>
          <w:kern w:val="0"/>
          <w:szCs w:val="24"/>
          <w:highlight w:val="none"/>
          <w:u w:val="none"/>
        </w:rPr>
      </w:pPr>
      <w:r>
        <w:rPr>
          <w:rFonts w:hint="eastAsia" w:ascii="仿宋_GB2312" w:hAnsi="宋体" w:cs="宋体"/>
          <w:b/>
          <w:bCs/>
          <w:color w:val="auto"/>
          <w:kern w:val="0"/>
          <w:szCs w:val="24"/>
          <w:highlight w:val="none"/>
          <w:u w:val="none"/>
        </w:rPr>
        <w:t>在不违反法律、法规、规章和监管规定的强制性规范的前提下，管理人有权根据市场情况，对本产品的投资范围、投资资产种类或投资比例等进行调整，在调整前将通过本产品说明书约定的信息披露渠道进行信息披露。</w:t>
      </w:r>
      <w:r>
        <w:rPr>
          <w:rFonts w:hint="eastAsia" w:ascii="仿宋_GB2312" w:hAnsi="宋体" w:cs="宋体"/>
          <w:color w:val="auto"/>
          <w:kern w:val="0"/>
          <w:szCs w:val="24"/>
          <w:highlight w:val="none"/>
          <w:u w:val="none"/>
        </w:rPr>
        <w:t>上述情况下管理人可能开放赎回，具体以信息披露内容为准。投资者不同意信息披露内容的，可在信息披露中约定的时间内赎回本产品。如投资者未在上述约定时间内赎回本产品，则视为投资者对上述调整无异议并同意继续持有本产品。除高风险类型的理财产品超出比例范围投资较低风险资产的情况外，管理人应提前取得投资者书面同意，并履行登记备案等法律法规以及金融监督管理部门规定的程序。</w:t>
      </w:r>
    </w:p>
    <w:p w14:paraId="54AB5F8B">
      <w:pPr>
        <w:pStyle w:val="3"/>
        <w:numPr>
          <w:ilvl w:val="1"/>
          <w:numId w:val="15"/>
        </w:numPr>
        <w:autoSpaceDE w:val="0"/>
        <w:autoSpaceDN w:val="0"/>
        <w:adjustRightInd w:val="0"/>
        <w:snapToGrid w:val="0"/>
        <w:ind w:right="31" w:rightChars="15" w:firstLine="482"/>
        <w:rPr>
          <w:color w:val="auto"/>
          <w:highlight w:val="none"/>
          <w:u w:val="none"/>
        </w:rPr>
      </w:pPr>
      <w:r>
        <w:rPr>
          <w:rFonts w:hint="eastAsia"/>
          <w:color w:val="auto"/>
          <w:highlight w:val="none"/>
          <w:u w:val="none"/>
        </w:rPr>
        <w:t>投资策略</w:t>
      </w:r>
    </w:p>
    <w:p w14:paraId="52B4824B">
      <w:pPr>
        <w:tabs>
          <w:tab w:val="left" w:pos="3119"/>
        </w:tabs>
        <w:autoSpaceDE w:val="0"/>
        <w:autoSpaceDN w:val="0"/>
        <w:adjustRightInd w:val="0"/>
        <w:snapToGrid w:val="0"/>
        <w:spacing w:line="360" w:lineRule="auto"/>
        <w:ind w:firstLine="482" w:firstLineChars="200"/>
        <w:rPr>
          <w:rFonts w:hint="eastAsia" w:ascii="仿宋_GB2312" w:hAnsi="宋体" w:eastAsia="仿宋_GB2312" w:cs="宋体"/>
          <w:b/>
          <w:bCs/>
          <w:color w:val="auto"/>
          <w:kern w:val="0"/>
          <w:sz w:val="24"/>
          <w:szCs w:val="24"/>
          <w:highlight w:val="yellow"/>
          <w:u w:val="none"/>
        </w:rPr>
      </w:pPr>
      <w:r>
        <w:rPr>
          <w:rFonts w:hint="eastAsia" w:ascii="仿宋_GB2312" w:hAnsi="宋体" w:cs="宋体"/>
          <w:b/>
          <w:bCs/>
          <w:color w:val="auto"/>
          <w:kern w:val="0"/>
          <w:sz w:val="24"/>
          <w:szCs w:val="24"/>
          <w:highlight w:val="yellow"/>
          <w:u w:val="none"/>
          <w:lang w:eastAsia="zh-CN"/>
        </w:rPr>
        <w:t>【</w:t>
      </w:r>
      <w:r>
        <w:rPr>
          <w:rFonts w:hint="eastAsia" w:ascii="仿宋_GB2312" w:hAnsi="宋体" w:eastAsia="仿宋_GB2312" w:cs="宋体"/>
          <w:b/>
          <w:bCs/>
          <w:color w:val="auto"/>
          <w:kern w:val="0"/>
          <w:sz w:val="24"/>
          <w:szCs w:val="24"/>
          <w:highlight w:val="yellow"/>
          <w:u w:val="none"/>
        </w:rPr>
        <w:t>本理财产品本着稳健投资的理念，通过对宏观经济的研究，在较低风险资产间进行合理配置，在有效控制风险的基础上尽可能提高投资组合收益。理财产品主要投资于各类银行存款、同业存单、债券回购等货币市场工具以及债券等标准化债权类资产，以及优先股等权益类资产，同时根据宏观经济、货币政策和信用环境等因素，制定多种投资策略。本理财产品避免信用下沉，主要依靠杠杆、骑乘以及曲线策略增厚，择机进行利率波段交易。风险控制策略方面，坚守均衡配置、分散化投资原则，注重资产风险收益比。在投资组合构建和调整的过程中，根据投资品种的变化，如收益率、流动性状况变化或品种到期等，不定期的对组合进行优化调整。</w:t>
      </w:r>
      <w:r>
        <w:rPr>
          <w:rFonts w:hint="eastAsia" w:ascii="仿宋_GB2312" w:hAnsi="宋体" w:cs="宋体"/>
          <w:b/>
          <w:bCs/>
          <w:color w:val="auto"/>
          <w:kern w:val="0"/>
          <w:sz w:val="24"/>
          <w:szCs w:val="24"/>
          <w:highlight w:val="yellow"/>
          <w:u w:val="none"/>
          <w:lang w:eastAsia="zh-CN"/>
        </w:rPr>
        <w:t>】</w:t>
      </w:r>
    </w:p>
    <w:p w14:paraId="1F65909A">
      <w:pPr>
        <w:tabs>
          <w:tab w:val="left" w:pos="3119"/>
        </w:tabs>
        <w:autoSpaceDE w:val="0"/>
        <w:autoSpaceDN w:val="0"/>
        <w:adjustRightInd w:val="0"/>
        <w:snapToGrid w:val="0"/>
        <w:spacing w:line="360" w:lineRule="auto"/>
        <w:ind w:firstLine="422" w:firstLineChars="20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本产品可在符合监管规定的前提下适当运用杠杆原理，通过回购操作，增强投资组合的收益水平,但本理财产品总资产不超过净资产的</w:t>
      </w:r>
      <w:r>
        <w:rPr>
          <w:rFonts w:hint="eastAsia" w:ascii="仿宋_GB2312" w:hAnsi="宋体" w:cs="宋体"/>
          <w:b/>
          <w:bCs/>
          <w:color w:val="auto"/>
          <w:kern w:val="0"/>
          <w:szCs w:val="24"/>
          <w:highlight w:val="yellow"/>
          <w:u w:val="none"/>
        </w:rPr>
        <w:t>【</w:t>
      </w:r>
      <w:r>
        <w:rPr>
          <w:rFonts w:hint="eastAsia" w:ascii="仿宋_GB2312" w:hAnsi="宋体" w:cs="宋体"/>
          <w:b/>
          <w:bCs/>
          <w:color w:val="auto"/>
          <w:kern w:val="0"/>
          <w:szCs w:val="24"/>
          <w:highlight w:val="yellow"/>
          <w:u w:val="none"/>
          <w:lang w:val="en-US" w:eastAsia="zh-CN"/>
        </w:rPr>
        <w:t>140%</w:t>
      </w:r>
      <w:r>
        <w:rPr>
          <w:rFonts w:ascii="仿宋_GB2312" w:hAnsi="宋体" w:cs="宋体"/>
          <w:b/>
          <w:bCs/>
          <w:color w:val="auto"/>
          <w:kern w:val="0"/>
          <w:szCs w:val="24"/>
          <w:highlight w:val="yellow"/>
          <w:u w:val="none"/>
        </w:rPr>
        <w:t>】</w:t>
      </w:r>
      <w:r>
        <w:rPr>
          <w:rFonts w:hint="eastAsia" w:ascii="仿宋_GB2312" w:hAnsi="宋体" w:cs="宋体"/>
          <w:b/>
          <w:bCs/>
          <w:color w:val="auto"/>
          <w:kern w:val="0"/>
          <w:szCs w:val="24"/>
          <w:highlight w:val="none"/>
          <w:u w:val="none"/>
        </w:rPr>
        <w:t>。</w:t>
      </w:r>
    </w:p>
    <w:p w14:paraId="6358AA34">
      <w:pPr>
        <w:pStyle w:val="3"/>
        <w:numPr>
          <w:ilvl w:val="1"/>
          <w:numId w:val="15"/>
        </w:numPr>
        <w:ind w:firstLine="482"/>
        <w:rPr>
          <w:color w:val="auto"/>
          <w:highlight w:val="none"/>
          <w:u w:val="none"/>
        </w:rPr>
      </w:pPr>
      <w:r>
        <w:rPr>
          <w:rFonts w:hint="eastAsia"/>
          <w:color w:val="auto"/>
          <w:highlight w:val="none"/>
          <w:u w:val="none"/>
        </w:rPr>
        <w:t>投资</w:t>
      </w:r>
      <w:r>
        <w:rPr>
          <w:color w:val="auto"/>
          <w:highlight w:val="none"/>
          <w:u w:val="none"/>
        </w:rPr>
        <w:t>合作机构</w:t>
      </w:r>
    </w:p>
    <w:p w14:paraId="57399C64">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投资合作机构包括但不限于理财产品所投资资产管理产品的发行机构、根据合同约定从事理财产品受托投资的机构、与理财产品投资管理相关的投资顾问等。本理财产品的投资合作机构主要职责为对受托资金进行投资和管理，根据合同约定从事受托投资或提供投资顾问等服务，具体职责以管理人与投资合作机构签署的合同为准。</w:t>
      </w:r>
    </w:p>
    <w:p w14:paraId="2C0F7890">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本理财产品的投资合作机构均为具有专业资质并受国家金融监督管理总局监管的金融机构或国务院银行业监督管理机构认可的其他机构。本理财产品成立时暂无特定投资合作机构，具体以后续信息披露为准。</w:t>
      </w:r>
    </w:p>
    <w:p w14:paraId="284DA55B">
      <w:pPr>
        <w:pStyle w:val="2"/>
        <w:numPr>
          <w:ilvl w:val="255"/>
          <w:numId w:val="0"/>
        </w:numPr>
        <w:jc w:val="both"/>
        <w:rPr>
          <w:color w:val="auto"/>
          <w:highlight w:val="none"/>
          <w:u w:val="none"/>
        </w:rPr>
      </w:pPr>
      <w:r>
        <w:rPr>
          <w:rFonts w:hint="eastAsia" w:ascii="仿宋_GB2312" w:hAnsi="宋体" w:eastAsia="仿宋_GB2312" w:cs="宋体"/>
          <w:bCs/>
          <w:color w:val="auto"/>
          <w:kern w:val="0"/>
          <w:sz w:val="24"/>
          <w:szCs w:val="24"/>
          <w:highlight w:val="none"/>
          <w:u w:val="none"/>
        </w:rPr>
        <w:br w:type="page"/>
      </w:r>
    </w:p>
    <w:p w14:paraId="4E3D027C">
      <w:pPr>
        <w:pStyle w:val="2"/>
        <w:numPr>
          <w:ilvl w:val="0"/>
          <w:numId w:val="15"/>
        </w:numPr>
        <w:tabs>
          <w:tab w:val="left" w:pos="3119"/>
          <w:tab w:val="clear" w:pos="0"/>
        </w:tabs>
        <w:autoSpaceDE w:val="0"/>
        <w:autoSpaceDN w:val="0"/>
        <w:adjustRightInd w:val="0"/>
        <w:spacing w:before="240"/>
        <w:ind w:right="31" w:rightChars="15" w:firstLine="560"/>
        <w:contextualSpacing/>
        <w:rPr>
          <w:color w:val="auto"/>
          <w:highlight w:val="none"/>
          <w:u w:val="none"/>
        </w:rPr>
      </w:pPr>
      <w:r>
        <w:rPr>
          <w:rFonts w:hint="eastAsia"/>
          <w:color w:val="auto"/>
          <w:highlight w:val="none"/>
          <w:u w:val="none"/>
        </w:rPr>
        <w:t>理财产品的托管</w:t>
      </w:r>
    </w:p>
    <w:p w14:paraId="4ED589D2">
      <w:pPr>
        <w:tabs>
          <w:tab w:val="left" w:pos="3119"/>
        </w:tabs>
        <w:autoSpaceDE w:val="0"/>
        <w:autoSpaceDN w:val="0"/>
        <w:adjustRightInd w:val="0"/>
        <w:spacing w:before="240" w:line="360" w:lineRule="auto"/>
        <w:ind w:right="31" w:rightChars="15" w:firstLine="422" w:firstLineChars="200"/>
        <w:contextualSpacing/>
        <w:rPr>
          <w:rFonts w:ascii="仿宋_GB2312" w:hAnsi="宋体" w:cs="宋体"/>
          <w:bCs/>
          <w:color w:val="auto"/>
          <w:kern w:val="0"/>
          <w:szCs w:val="24"/>
          <w:highlight w:val="none"/>
          <w:u w:val="none"/>
        </w:rPr>
      </w:pPr>
      <w:r>
        <w:rPr>
          <w:rFonts w:hint="eastAsia" w:ascii="仿宋_GB2312" w:hAnsi="宋体" w:cs="宋体"/>
          <w:b/>
          <w:color w:val="auto"/>
          <w:kern w:val="0"/>
          <w:szCs w:val="24"/>
          <w:highlight w:val="none"/>
          <w:u w:val="none"/>
        </w:rPr>
        <w:t>本理财产品托管人为</w:t>
      </w:r>
      <w:r>
        <w:rPr>
          <w:rFonts w:hint="eastAsia" w:ascii="仿宋_GB2312" w:hAnsi="宋体" w:cs="宋体"/>
          <w:b/>
          <w:kern w:val="0"/>
          <w:szCs w:val="24"/>
          <w:highlight w:val="yellow"/>
          <w:lang w:eastAsia="zh-CN"/>
        </w:rPr>
        <w:t>【】</w:t>
      </w:r>
      <w:r>
        <w:rPr>
          <w:rFonts w:hint="eastAsia" w:ascii="仿宋_GB2312" w:hAnsi="宋体" w:cs="宋体"/>
          <w:b/>
          <w:color w:val="auto"/>
          <w:kern w:val="0"/>
          <w:szCs w:val="24"/>
          <w:highlight w:val="none"/>
          <w:u w:val="none"/>
        </w:rPr>
        <w:t>。托管</w:t>
      </w:r>
      <w:r>
        <w:rPr>
          <w:rFonts w:hint="eastAsia" w:ascii="仿宋_GB2312" w:hAnsi="宋体" w:cs="宋体"/>
          <w:b/>
          <w:bCs w:val="0"/>
          <w:color w:val="auto"/>
          <w:kern w:val="0"/>
          <w:szCs w:val="24"/>
          <w:highlight w:val="none"/>
          <w:u w:val="none"/>
        </w:rPr>
        <w:t>人</w:t>
      </w:r>
      <w:r>
        <w:rPr>
          <w:rFonts w:hint="eastAsia" w:ascii="仿宋_GB2312" w:hAnsi="宋体" w:cs="宋体"/>
          <w:b/>
          <w:kern w:val="0"/>
          <w:szCs w:val="24"/>
          <w:highlight w:val="yellow"/>
          <w:lang w:eastAsia="zh-CN"/>
        </w:rPr>
        <w:t>【</w:t>
      </w:r>
      <w:r>
        <w:rPr>
          <w:rFonts w:hint="eastAsia" w:ascii="仿宋_GB2312" w:hAnsi="宋体" w:cs="宋体"/>
          <w:b/>
          <w:kern w:val="0"/>
          <w:szCs w:val="24"/>
          <w:highlight w:val="none"/>
        </w:rPr>
        <w:t>是</w:t>
      </w:r>
      <w:r>
        <w:rPr>
          <w:rFonts w:hint="eastAsia" w:ascii="仿宋_GB2312" w:hAnsi="宋体" w:cs="宋体"/>
          <w:b/>
          <w:kern w:val="0"/>
          <w:szCs w:val="24"/>
          <w:highlight w:val="none"/>
          <w:lang w:val="en-US" w:eastAsia="zh-CN"/>
        </w:rPr>
        <w:t>/</w:t>
      </w:r>
      <w:r>
        <w:rPr>
          <w:rFonts w:hint="eastAsia" w:ascii="仿宋_GB2312" w:hAnsi="宋体"/>
          <w:b/>
          <w:szCs w:val="24"/>
          <w:highlight w:val="none"/>
        </w:rPr>
        <w:t>非</w:t>
      </w:r>
      <w:r>
        <w:rPr>
          <w:rFonts w:hint="eastAsia" w:ascii="仿宋_GB2312" w:hAnsi="宋体" w:cs="宋体"/>
          <w:b/>
          <w:kern w:val="0"/>
          <w:szCs w:val="24"/>
          <w:highlight w:val="yellow"/>
          <w:lang w:eastAsia="zh-CN"/>
        </w:rPr>
        <w:t>】</w:t>
      </w:r>
      <w:r>
        <w:rPr>
          <w:rFonts w:hint="eastAsia" w:ascii="仿宋_GB2312" w:hAnsi="宋体" w:cs="宋体"/>
          <w:b/>
          <w:bCs w:val="0"/>
          <w:color w:val="auto"/>
          <w:kern w:val="0"/>
          <w:szCs w:val="24"/>
          <w:highlight w:val="none"/>
          <w:u w:val="none"/>
        </w:rPr>
        <w:t>产品管理人</w:t>
      </w:r>
      <w:r>
        <w:rPr>
          <w:rFonts w:hint="eastAsia" w:ascii="仿宋_GB2312" w:hAnsi="宋体" w:cs="宋体"/>
          <w:b/>
          <w:color w:val="auto"/>
          <w:kern w:val="0"/>
          <w:szCs w:val="24"/>
          <w:highlight w:val="none"/>
          <w:u w:val="none"/>
        </w:rPr>
        <w:t>的关联方。</w:t>
      </w:r>
    </w:p>
    <w:p w14:paraId="7B8435EC">
      <w:pPr>
        <w:tabs>
          <w:tab w:val="left" w:pos="3119"/>
        </w:tabs>
        <w:autoSpaceDE w:val="0"/>
        <w:autoSpaceDN w:val="0"/>
        <w:adjustRightInd w:val="0"/>
        <w:spacing w:before="240" w:line="360" w:lineRule="auto"/>
        <w:ind w:right="31" w:rightChars="15" w:firstLine="422" w:firstLineChars="200"/>
        <w:contextualSpacing/>
        <w:rPr>
          <w:rFonts w:ascii="仿宋_GB2312" w:hAnsi="宋体" w:cs="宋体"/>
          <w:bCs/>
          <w:color w:val="auto"/>
          <w:kern w:val="0"/>
          <w:szCs w:val="24"/>
          <w:highlight w:val="none"/>
          <w:u w:val="none"/>
        </w:rPr>
      </w:pPr>
      <w:r>
        <w:rPr>
          <w:rFonts w:hint="eastAsia" w:ascii="仿宋_GB2312" w:hAnsi="宋体" w:cs="宋体"/>
          <w:b/>
          <w:kern w:val="0"/>
          <w:szCs w:val="24"/>
          <w:highlight w:val="yellow"/>
          <w:lang w:eastAsia="zh-CN"/>
        </w:rPr>
        <w:t>【】</w:t>
      </w:r>
      <w:r>
        <w:rPr>
          <w:rFonts w:hint="eastAsia" w:ascii="仿宋_GB2312" w:hAnsi="宋体" w:cs="宋体"/>
          <w:bCs/>
          <w:color w:val="auto"/>
          <w:kern w:val="0"/>
          <w:szCs w:val="24"/>
          <w:highlight w:val="none"/>
          <w:u w:val="none"/>
        </w:rPr>
        <w:t>具备监管机构认可的理财产品托管资格，主要履行职责包括：</w:t>
      </w:r>
    </w:p>
    <w:p w14:paraId="683EEFF2">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（一）安全保管理财产品财产；</w:t>
      </w:r>
    </w:p>
    <w:p w14:paraId="0F23EB1B">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（二）确保托管资金安全，保证其托管的理财产品财产与其自有资产相互独立；为每只理财产品开设独立的托管账户，不同托管账户中的资产应当相互独立；</w:t>
      </w:r>
    </w:p>
    <w:p w14:paraId="1057B248">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（三）按照托管协议约定和管理人的投资指令，及时办理清算、交割事宜；</w:t>
      </w:r>
    </w:p>
    <w:p w14:paraId="51E9A079">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（四）建立与管理人的对账机制，复核、审查理财产品资金头寸、资产账目、资产净值、认购和赎回价格等数据，及时核查认购、赎回以及投资资金的支付和到账情况；</w:t>
      </w:r>
    </w:p>
    <w:p w14:paraId="35654264">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（五）监督理财产品投资运作，发现理财产品违反法律、行政法规、规章规定或合同约定进行投资的，应当拒绝执行，及时通知管理人并报告银行业监督管理机构；</w:t>
      </w:r>
    </w:p>
    <w:p w14:paraId="1BD64F9D">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六）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32250945">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（七）理财托管业务活动的记录、账册、报表和其他相关资料保存</w:t>
      </w:r>
      <w:r>
        <w:rPr>
          <w:rFonts w:ascii="仿宋_GB2312" w:hAnsi="宋体" w:cs="宋体"/>
          <w:bCs/>
          <w:color w:val="auto"/>
          <w:kern w:val="0"/>
          <w:szCs w:val="24"/>
          <w:highlight w:val="none"/>
          <w:u w:val="none"/>
        </w:rPr>
        <w:t>15年以上；</w:t>
      </w:r>
    </w:p>
    <w:p w14:paraId="5AB35760">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（八）对理财产品投资信息和相关资料承担保密责任，除法律、行政法规、规章规定、审计要求或者合同约定外，不得向任何机构或者个人提供相关信息和资料；</w:t>
      </w:r>
    </w:p>
    <w:p w14:paraId="51B5F72F">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（九）托管人的董事、监事、高级管理人员和其他托管业务人员不得有《商业银行理财业务监督管理办法》第二十四条第二款所列行为；</w:t>
      </w:r>
    </w:p>
    <w:p w14:paraId="01C385EF">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（十</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配合提供托管人相应关联方信息；</w:t>
      </w:r>
    </w:p>
    <w:p w14:paraId="335324E7">
      <w:pPr>
        <w:tabs>
          <w:tab w:val="left" w:pos="3119"/>
        </w:tabs>
        <w:autoSpaceDE w:val="0"/>
        <w:autoSpaceDN w:val="0"/>
        <w:adjustRightInd w:val="0"/>
        <w:spacing w:before="240" w:line="360" w:lineRule="auto"/>
        <w:ind w:right="31" w:rightChars="15" w:firstLine="420" w:firstLineChars="200"/>
        <w:contextualSpacing/>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（十</w:t>
      </w:r>
      <w:r>
        <w:rPr>
          <w:rFonts w:ascii="仿宋_GB2312" w:hAnsi="宋体" w:cs="宋体"/>
          <w:bCs/>
          <w:color w:val="auto"/>
          <w:kern w:val="0"/>
          <w:szCs w:val="24"/>
          <w:highlight w:val="none"/>
          <w:u w:val="none"/>
        </w:rPr>
        <w:t>一）</w:t>
      </w:r>
      <w:r>
        <w:rPr>
          <w:rFonts w:hint="eastAsia" w:ascii="仿宋_GB2312" w:hAnsi="宋体" w:cs="宋体"/>
          <w:bCs/>
          <w:color w:val="auto"/>
          <w:kern w:val="0"/>
          <w:szCs w:val="24"/>
          <w:highlight w:val="none"/>
          <w:u w:val="none"/>
        </w:rPr>
        <w:t>国务院银行业监督管理机构规定的其他职责。</w:t>
      </w:r>
    </w:p>
    <w:p w14:paraId="06E91E1F">
      <w:pPr>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br w:type="page"/>
      </w:r>
    </w:p>
    <w:p w14:paraId="3A64E1A4">
      <w:pPr>
        <w:pStyle w:val="2"/>
        <w:numPr>
          <w:ilvl w:val="0"/>
          <w:numId w:val="15"/>
        </w:numPr>
        <w:rPr>
          <w:color w:val="auto"/>
          <w:highlight w:val="none"/>
          <w:u w:val="none"/>
        </w:rPr>
      </w:pPr>
      <w:r>
        <w:rPr>
          <w:rFonts w:hint="eastAsia"/>
          <w:color w:val="auto"/>
          <w:highlight w:val="none"/>
          <w:u w:val="none"/>
        </w:rPr>
        <w:t>理财产品资产估值</w:t>
      </w:r>
    </w:p>
    <w:p w14:paraId="097723CC">
      <w:pPr>
        <w:pStyle w:val="3"/>
        <w:numPr>
          <w:ilvl w:val="1"/>
          <w:numId w:val="15"/>
        </w:numPr>
        <w:ind w:firstLine="482"/>
        <w:rPr>
          <w:color w:val="auto"/>
          <w:highlight w:val="none"/>
          <w:u w:val="none"/>
        </w:rPr>
      </w:pPr>
      <w:r>
        <w:rPr>
          <w:rFonts w:hint="eastAsia"/>
          <w:color w:val="auto"/>
          <w:highlight w:val="none"/>
          <w:u w:val="none"/>
        </w:rPr>
        <w:t>估值日</w:t>
      </w:r>
    </w:p>
    <w:p w14:paraId="453ADCAB">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highlight w:val="yellow"/>
          <w:lang w:eastAsia="zh-CN"/>
        </w:rPr>
        <w:t>【</w:t>
      </w:r>
      <w:r>
        <w:rPr>
          <w:rFonts w:hint="eastAsia"/>
          <w:color w:val="auto"/>
          <w:highlight w:val="none"/>
          <w:u w:val="none"/>
        </w:rPr>
        <w:t>本产品的估值日为</w:t>
      </w:r>
      <w:r>
        <w:rPr>
          <w:rFonts w:hint="eastAsia"/>
          <w:highlight w:val="yellow"/>
          <w:lang w:eastAsia="zh-CN"/>
        </w:rPr>
        <w:t>】</w:t>
      </w:r>
      <w:r>
        <w:rPr>
          <w:rFonts w:hint="eastAsia"/>
          <w:color w:val="auto"/>
          <w:highlight w:val="none"/>
          <w:u w:val="none"/>
        </w:rPr>
        <w:t>。</w:t>
      </w:r>
    </w:p>
    <w:p w14:paraId="1FF7EEDD">
      <w:pPr>
        <w:pStyle w:val="3"/>
        <w:numPr>
          <w:ilvl w:val="1"/>
          <w:numId w:val="15"/>
        </w:numPr>
        <w:ind w:firstLine="482"/>
        <w:rPr>
          <w:color w:val="auto"/>
          <w:highlight w:val="none"/>
          <w:u w:val="none"/>
        </w:rPr>
      </w:pPr>
      <w:r>
        <w:rPr>
          <w:rFonts w:hint="eastAsia"/>
          <w:color w:val="auto"/>
          <w:highlight w:val="none"/>
          <w:u w:val="none"/>
        </w:rPr>
        <w:t>估值对象</w:t>
      </w:r>
    </w:p>
    <w:p w14:paraId="3673D1BA">
      <w:pPr>
        <w:autoSpaceDE w:val="0"/>
        <w:autoSpaceDN w:val="0"/>
        <w:adjustRightInd w:val="0"/>
        <w:snapToGrid w:val="0"/>
        <w:spacing w:line="360" w:lineRule="auto"/>
        <w:ind w:firstLine="404" w:firstLineChars="200"/>
        <w:jc w:val="left"/>
        <w:rPr>
          <w:rFonts w:ascii="仿宋_GB2312" w:hAnsi="宋体" w:cs="宋体"/>
          <w:bCs/>
          <w:color w:val="auto"/>
          <w:spacing w:val="-4"/>
          <w:kern w:val="0"/>
          <w:szCs w:val="24"/>
          <w:highlight w:val="none"/>
          <w:u w:val="none"/>
        </w:rPr>
      </w:pPr>
      <w:r>
        <w:rPr>
          <w:rFonts w:hint="eastAsia" w:ascii="仿宋_GB2312" w:hAnsi="宋体" w:cs="宋体"/>
          <w:bCs/>
          <w:color w:val="auto"/>
          <w:spacing w:val="-4"/>
          <w:kern w:val="0"/>
          <w:szCs w:val="24"/>
          <w:highlight w:val="none"/>
          <w:u w:val="none"/>
        </w:rPr>
        <w:t>本理财产品估值的对象为本理财产品所持有的一切资产和负债。</w:t>
      </w:r>
    </w:p>
    <w:p w14:paraId="4F9EDB62">
      <w:pPr>
        <w:pStyle w:val="3"/>
        <w:numPr>
          <w:ilvl w:val="1"/>
          <w:numId w:val="15"/>
        </w:numPr>
        <w:ind w:firstLine="482"/>
        <w:rPr>
          <w:color w:val="auto"/>
          <w:highlight w:val="none"/>
          <w:u w:val="none"/>
        </w:rPr>
      </w:pPr>
      <w:r>
        <w:rPr>
          <w:rFonts w:hint="eastAsia"/>
          <w:color w:val="auto"/>
          <w:highlight w:val="none"/>
          <w:u w:val="none"/>
        </w:rPr>
        <w:t>估值方法</w:t>
      </w:r>
    </w:p>
    <w:p w14:paraId="7B38B6A4">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1.货币市场工具类资产的估值</w:t>
      </w:r>
    </w:p>
    <w:p w14:paraId="394E520D">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（1）银行存款及回购按其商定利率或协议利率在实际持有期内逐日计提收益。</w:t>
      </w:r>
    </w:p>
    <w:p w14:paraId="660AD412">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（2）货币基金按最近披露的基金份额净值进行估值，并依据该基金公布的前一日每万份收益计提收益。</w:t>
      </w:r>
    </w:p>
    <w:p w14:paraId="7D6FC720">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2.在证券交易所和银行间市场交易的债券的估值</w:t>
      </w:r>
    </w:p>
    <w:p w14:paraId="328A8A94">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（1）不含转股权的债券，按照第三方估值机构（中债、中证等）提供的估值数据对本理财产品所持有债券进行估值，具体的第三方估值机构有管理人与托管人协商确定；</w:t>
      </w:r>
    </w:p>
    <w:p w14:paraId="488BFEDD">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（2）含转股权的债券（如可转债券等），实行全价交易的，选取估值日收盘价进行估值；实行净价交易的，选取估值日收盘价并加计债券应计利息后的全价进行估值；</w:t>
      </w:r>
    </w:p>
    <w:p w14:paraId="4EFCDA98">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对于暂不具备活跃交易市场，或者在活跃市场中没有公允报价的资产，采用估值技术确定其公允价值。在估值技术难以可靠计量公允价值的情况下，可按照监管机构认可的符合企业会计准则的其他方法进行估值；</w:t>
      </w:r>
    </w:p>
    <w:p w14:paraId="5C822B34">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（4）如监管对债券估值另有规定，按照监管的最新规定进行调整。</w:t>
      </w:r>
    </w:p>
    <w:p w14:paraId="35565FFF">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3.优先股按第三方估值机构（中证、中债等）提供的估值数据进行估值；无第三方估值数据的，由管理人与托管人根据合理判断按反映产品公允价值的计量方案进行估值。</w:t>
      </w:r>
    </w:p>
    <w:p w14:paraId="1CFAF38F">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交易所上市的有价证券（包括股票、权证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22166825">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5.投资非货币证券投资基金的估值</w:t>
      </w:r>
    </w:p>
    <w:p w14:paraId="02CC2D8A">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（1）未上市非货币基金，按所投资基金管理人估值日披露的最新份额净值进行估值；</w:t>
      </w:r>
    </w:p>
    <w:p w14:paraId="3F522396">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（2）上市基金估值</w:t>
      </w:r>
    </w:p>
    <w:p w14:paraId="5F92FAC8">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交易所上市流通的基金（含公募REITs），以估值日其所在证券交易所的收盘价估值；境内上市的开放式基金（LOF），以所投资基金披露的最新份额净值进行估值。</w:t>
      </w:r>
    </w:p>
    <w:p w14:paraId="5186BFB0">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（3）如遇所投资基金不公布基金份额净值、进行折算或拆分、估值日无交易等特殊情况，则按以下原则进行估值：</w:t>
      </w:r>
    </w:p>
    <w:p w14:paraId="62F86F35">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①以所投资基金的基金份额净值估值的，若所投资基金管理人未公布估值日基金份额净值，则按最近公布的基金份额净值为基础估值。</w:t>
      </w:r>
    </w:p>
    <w:p w14:paraId="3647393C">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②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场及重大变化因素调整最近交易市场，确定公允价值。</w:t>
      </w:r>
    </w:p>
    <w:p w14:paraId="19C811A2">
      <w:pPr>
        <w:autoSpaceDE w:val="0"/>
        <w:autoSpaceDN w:val="0"/>
        <w:adjustRightInd w:val="0"/>
        <w:snapToGrid w:val="0"/>
        <w:spacing w:line="360" w:lineRule="auto"/>
        <w:ind w:firstLine="420" w:firstLineChars="200"/>
        <w:jc w:val="left"/>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③如果所投资基金前一估值日至估值日期间发生分红除权、折算或拆分，理财产品管理人应根据基金份额净值或收盘价、单位基金份额分红金额、折算拆分比例、持仓份额等因素合理确定公允价值。</w:t>
      </w:r>
    </w:p>
    <w:p w14:paraId="7A9BAE09">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投资符合投资范围内的其他各类资产管理产品的估值，以估值日截止时点获得的、由所投资资产管理人披露的最新份额净值或者投资收益情况进行估值；或由产品管理人和托管人根据合理判断按反映产品公允价值的估值方案进行估值。</w:t>
      </w:r>
    </w:p>
    <w:p w14:paraId="553E8037">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7.商品与金融衍生品类资产的估值</w:t>
      </w:r>
    </w:p>
    <w:p w14:paraId="36F731F1">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（1）场内交易的商品与金融衍生品类资产，以交易所最近交易日的结算价或者收盘价进行估值；</w:t>
      </w:r>
    </w:p>
    <w:p w14:paraId="4EA2ACF2">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（2）场外交易的商品与金融衍生品类资产，采用估值技术确定其公允价值，按照外部机构提供的价格数据或管理人与托管人认可的估值方案进行估值。</w:t>
      </w:r>
    </w:p>
    <w:p w14:paraId="28E5D671">
      <w:pPr>
        <w:tabs>
          <w:tab w:val="left" w:pos="3119"/>
        </w:tabs>
        <w:autoSpaceDE w:val="0"/>
        <w:autoSpaceDN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８</w:t>
      </w:r>
      <w:r>
        <w:rPr>
          <w:rFonts w:ascii="仿宋_GB2312" w:hAnsi="宋体" w:cs="宋体"/>
          <w:bCs/>
          <w:color w:val="auto"/>
          <w:kern w:val="0"/>
          <w:szCs w:val="24"/>
          <w:highlight w:val="none"/>
          <w:u w:val="none"/>
        </w:rPr>
        <w:t>.若理财产品存续期间持有其他投资品种，以理财产品管理人与托管人共同认可的估值方法估值。</w:t>
      </w:r>
    </w:p>
    <w:p w14:paraId="75AA7CA8">
      <w:pPr>
        <w:tabs>
          <w:tab w:val="left" w:pos="3119"/>
        </w:tabs>
        <w:autoSpaceDE w:val="0"/>
        <w:autoSpaceDN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９</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在任何情况下，如采用以上规定的方法对资产进行估值，均应被认为采用了适当的估值方法。如管理人有证据表明上述规定不能客观反映理财产品资产公允价值的，管理人可根据具体情况，在综合考虑市场成交价、市场报价、流动性、收益率曲线与标的信用风险等多种因素基础上，按最能反映理财产品资产公允价值的方法进行估值。</w:t>
      </w:r>
    </w:p>
    <w:p w14:paraId="0733A074">
      <w:pPr>
        <w:pStyle w:val="3"/>
        <w:numPr>
          <w:ilvl w:val="1"/>
          <w:numId w:val="15"/>
        </w:numPr>
        <w:ind w:firstLine="482"/>
        <w:rPr>
          <w:color w:val="auto"/>
          <w:highlight w:val="none"/>
          <w:u w:val="none"/>
        </w:rPr>
      </w:pPr>
      <w:r>
        <w:rPr>
          <w:rFonts w:hint="eastAsia"/>
          <w:color w:val="auto"/>
          <w:highlight w:val="none"/>
          <w:u w:val="none"/>
        </w:rPr>
        <w:t>估值错误处理</w:t>
      </w:r>
    </w:p>
    <w:p w14:paraId="49901B72">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理财</w:t>
      </w:r>
      <w:r>
        <w:rPr>
          <w:rFonts w:ascii="仿宋_GB2312" w:hAnsi="宋体" w:cs="宋体"/>
          <w:bCs/>
          <w:color w:val="auto"/>
          <w:kern w:val="0"/>
          <w:szCs w:val="24"/>
          <w:highlight w:val="none"/>
          <w:u w:val="none"/>
        </w:rPr>
        <w:t>产品</w:t>
      </w:r>
      <w:r>
        <w:rPr>
          <w:rFonts w:hint="eastAsia" w:ascii="仿宋_GB2312" w:hAnsi="宋体" w:cs="宋体"/>
          <w:bCs/>
          <w:color w:val="auto"/>
          <w:kern w:val="0"/>
          <w:szCs w:val="24"/>
          <w:highlight w:val="none"/>
          <w:u w:val="none"/>
        </w:rPr>
        <w:t>管理人和</w:t>
      </w:r>
      <w:r>
        <w:rPr>
          <w:rFonts w:ascii="仿宋_GB2312" w:hAnsi="宋体" w:cs="宋体"/>
          <w:bCs/>
          <w:color w:val="auto"/>
          <w:kern w:val="0"/>
          <w:szCs w:val="24"/>
          <w:highlight w:val="none"/>
          <w:u w:val="none"/>
        </w:rPr>
        <w:t>理财产品托管人</w:t>
      </w:r>
      <w:r>
        <w:rPr>
          <w:rFonts w:hint="eastAsia" w:ascii="仿宋_GB2312" w:hAnsi="宋体" w:cs="宋体"/>
          <w:bCs/>
          <w:color w:val="auto"/>
          <w:kern w:val="0"/>
          <w:szCs w:val="24"/>
          <w:highlight w:val="none"/>
          <w:u w:val="none"/>
        </w:rPr>
        <w:t>将采取必要、适当、合理的措施确保产品资产估值的准确性、及时性。</w:t>
      </w:r>
    </w:p>
    <w:p w14:paraId="4AB2B98A">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1.估值错误处理原则</w:t>
      </w:r>
    </w:p>
    <w:p w14:paraId="67C1CA80">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（1）由于理财产品管理人或理财产品托管人自身过错造成的估值错误，导致投资者遭受损失的，由估值错误责任方按照各自过错程度对该估值错误导致投资者遭受的直接损失给予赔偿，承担赔偿责任。</w:t>
      </w:r>
    </w:p>
    <w:p w14:paraId="07A17B39">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对因技术原因引起的差错，若系同行业现有技术水平无法预见、无法避免、无法抗拒，属不可抗力。由于不可抗力原因，或由于证券交易所、期货交易所、第三方估值机构、信托公司、基金公司等发送数据错误等非管理人和托管人原因，管理人和托管人虽然已经采取必要、适当、合理的措施进行检查，但未能发现错误的，由此造成的估值错误，管理人和托管人免除赔偿责任。但管理人、托管人应当积极采取必要的措施减轻或消除由此造成的影响。但因该差错取得不当得利的投资者仍应负有返还不当得利的义务。</w:t>
      </w:r>
    </w:p>
    <w:p w14:paraId="5E4137F2">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若因理财产品托管人估值错误造成财产损失，理财产品管理人应向托管人追偿；若因理财产品管理人与理财产品托管人之外的第三方估值差错造成财产的损失，并拒绝进行赔偿时，由理财产品管理人负责向差错方追偿，追偿过程中产生的有关费用，应当列入理财产品费用，由理财产品承担。</w:t>
      </w:r>
    </w:p>
    <w:p w14:paraId="3ED5C54D">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（4）因估值错误而获得不当得利的投资者负有及时返还不当得利的义务。</w:t>
      </w:r>
    </w:p>
    <w:p w14:paraId="21C90D51">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（5）按法律法规规定的其他原则处理估值错误。</w:t>
      </w:r>
    </w:p>
    <w:p w14:paraId="76A1B92E">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2.估值错误处理程序</w:t>
      </w:r>
    </w:p>
    <w:p w14:paraId="2414F658">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估值错误被发现后，理财产品管理人与理财产品托管人应当及时进行处理，处理的程序如下：</w:t>
      </w:r>
    </w:p>
    <w:p w14:paraId="5B59E894">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（1）查明估值差错发生的原因，根据估值错误发生的原因确定估值错误的责任方；</w:t>
      </w:r>
    </w:p>
    <w:p w14:paraId="5970880A">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（2）根据估值错误处理原则对因估值错误造成的损失进行评估；</w:t>
      </w:r>
    </w:p>
    <w:p w14:paraId="0BFC651E">
      <w:pPr>
        <w:tabs>
          <w:tab w:val="left" w:pos="3119"/>
        </w:tabs>
        <w:autoSpaceDE w:val="0"/>
        <w:autoSpaceDN w:val="0"/>
        <w:adjustRightInd w:val="0"/>
        <w:snapToGrid w:val="0"/>
        <w:spacing w:line="360" w:lineRule="auto"/>
        <w:ind w:right="31" w:rightChars="15"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（3）根据估值错误处理原则或理财产品管理人与托管人协商的方法，由理财产品管理人与托管人共同进行更正，由估值错误的责任方进行赔偿损失。</w:t>
      </w:r>
    </w:p>
    <w:p w14:paraId="40ABAE6F">
      <w:pPr>
        <w:pStyle w:val="3"/>
        <w:numPr>
          <w:ilvl w:val="1"/>
          <w:numId w:val="15"/>
        </w:numPr>
        <w:ind w:firstLine="482"/>
        <w:rPr>
          <w:color w:val="auto"/>
          <w:highlight w:val="none"/>
          <w:u w:val="none"/>
        </w:rPr>
      </w:pPr>
      <w:r>
        <w:rPr>
          <w:rFonts w:hint="eastAsia"/>
          <w:color w:val="auto"/>
          <w:highlight w:val="none"/>
          <w:u w:val="none"/>
        </w:rPr>
        <w:t>暂停估值的情形</w:t>
      </w:r>
    </w:p>
    <w:p w14:paraId="5B8E86A5">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1.当资产估值因不可抗力或其他情形致使本产品管理人和托管人无法准确评估资产价值时；</w:t>
      </w:r>
    </w:p>
    <w:p w14:paraId="0C3EF3D8">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2．理财产品投资所涉及的交易市场遇法定节假日或因其他原因暂停营业时；</w:t>
      </w:r>
    </w:p>
    <w:p w14:paraId="25792D56">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3.理财产品投资的其他资产产品合同约定暂停估值或无法估值的情形发生，导致理财产品无法估值时；</w:t>
      </w:r>
    </w:p>
    <w:p w14:paraId="24B4C304">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当前一估值日理财产品资产净值5</w:t>
      </w:r>
      <w:r>
        <w:rPr>
          <w:rFonts w:ascii="仿宋_GB2312" w:hAnsi="宋体" w:cs="宋体"/>
          <w:bCs/>
          <w:color w:val="auto"/>
          <w:kern w:val="0"/>
          <w:szCs w:val="24"/>
          <w:highlight w:val="none"/>
          <w:u w:val="none"/>
        </w:rPr>
        <w:t>0</w:t>
      </w:r>
      <w:r>
        <w:rPr>
          <w:rFonts w:hint="eastAsia" w:ascii="仿宋_GB2312" w:hAnsi="宋体" w:cs="宋体"/>
          <w:bCs/>
          <w:color w:val="auto"/>
          <w:kern w:val="0"/>
          <w:szCs w:val="24"/>
          <w:highlight w:val="none"/>
          <w:u w:val="none"/>
        </w:rPr>
        <w:t>%以上的资产不具备活跃市场或在活跃市场中无报价，且采用估值技术不能可靠计量公允价值时；</w:t>
      </w:r>
    </w:p>
    <w:p w14:paraId="42F87A47">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5</w:t>
      </w:r>
      <w:r>
        <w:rPr>
          <w:rFonts w:hint="eastAsia" w:ascii="仿宋_GB2312" w:hAnsi="宋体" w:cs="宋体"/>
          <w:bCs/>
          <w:color w:val="auto"/>
          <w:kern w:val="0"/>
          <w:szCs w:val="24"/>
          <w:highlight w:val="none"/>
          <w:u w:val="none"/>
        </w:rPr>
        <w:t>.国家金融监督管理总局认定的其他情形或理财产品管理人、托管人有合理理由认为将影响本理财产品估值的其他情形。</w:t>
      </w:r>
    </w:p>
    <w:p w14:paraId="1A8D6083">
      <w:pPr>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br w:type="page"/>
      </w:r>
    </w:p>
    <w:p w14:paraId="309E312B">
      <w:pPr>
        <w:pStyle w:val="2"/>
        <w:numPr>
          <w:ilvl w:val="0"/>
          <w:numId w:val="15"/>
        </w:numPr>
        <w:rPr>
          <w:color w:val="auto"/>
          <w:highlight w:val="none"/>
          <w:u w:val="none"/>
        </w:rPr>
      </w:pPr>
      <w:r>
        <w:rPr>
          <w:rFonts w:hint="eastAsia"/>
          <w:color w:val="auto"/>
          <w:highlight w:val="none"/>
          <w:u w:val="none"/>
        </w:rPr>
        <w:t>理财产品的</w:t>
      </w:r>
      <w:r>
        <w:rPr>
          <w:rFonts w:hint="eastAsia"/>
          <w:color w:val="auto"/>
          <w:highlight w:val="none"/>
          <w:u w:val="none"/>
          <w:lang w:eastAsia="zh-CN"/>
        </w:rPr>
        <w:t>收益</w:t>
      </w:r>
      <w:r>
        <w:rPr>
          <w:rFonts w:hint="eastAsia"/>
          <w:color w:val="auto"/>
          <w:highlight w:val="none"/>
          <w:u w:val="none"/>
        </w:rPr>
        <w:t>分配</w:t>
      </w:r>
    </w:p>
    <w:p w14:paraId="093EB6EB">
      <w:pPr>
        <w:pStyle w:val="3"/>
        <w:numPr>
          <w:ilvl w:val="1"/>
          <w:numId w:val="15"/>
        </w:numPr>
        <w:tabs>
          <w:tab w:val="left" w:pos="709"/>
          <w:tab w:val="left" w:pos="3261"/>
        </w:tabs>
        <w:ind w:firstLine="482"/>
        <w:rPr>
          <w:rFonts w:hint="eastAsia"/>
          <w:color w:val="auto"/>
          <w:highlight w:val="none"/>
          <w:u w:val="none"/>
        </w:rPr>
      </w:pPr>
      <w:r>
        <w:rPr>
          <w:rFonts w:hint="eastAsia"/>
          <w:color w:val="auto"/>
          <w:highlight w:val="none"/>
          <w:u w:val="none"/>
        </w:rPr>
        <w:t>理财产品的收益构成</w:t>
      </w:r>
    </w:p>
    <w:p w14:paraId="50681E29">
      <w:pPr>
        <w:pStyle w:val="3"/>
        <w:numPr>
          <w:ilvl w:val="0"/>
          <w:numId w:val="0"/>
        </w:numPr>
        <w:tabs>
          <w:tab w:val="left" w:pos="709"/>
          <w:tab w:val="left" w:pos="3261"/>
        </w:tabs>
        <w:ind w:firstLine="482"/>
        <w:rPr>
          <w:color w:val="auto"/>
          <w:highlight w:val="none"/>
          <w:u w:val="none"/>
        </w:rPr>
      </w:pPr>
      <w:r>
        <w:rPr>
          <w:rFonts w:hint="eastAsia"/>
          <w:color w:val="auto"/>
          <w:highlight w:val="none"/>
          <w:u w:val="none"/>
        </w:rPr>
        <w:t>本理财产品的收益包括：投资债券、货币市场工具等投资范围内的资产和监管机构认可的资产或资产管理产品所产生的利息收入、买卖证券差价收入、银行存款利息以及其他合法收入。该收益构成不代表投资者一定可以获得的收益。</w:t>
      </w:r>
    </w:p>
    <w:p w14:paraId="1712930D">
      <w:pPr>
        <w:pStyle w:val="3"/>
        <w:numPr>
          <w:ilvl w:val="1"/>
          <w:numId w:val="15"/>
        </w:numPr>
        <w:ind w:firstLine="482"/>
        <w:rPr>
          <w:color w:val="auto"/>
          <w:highlight w:val="none"/>
          <w:u w:val="none"/>
        </w:rPr>
      </w:pPr>
      <w:r>
        <w:rPr>
          <w:rFonts w:hint="eastAsia"/>
          <w:color w:val="auto"/>
          <w:highlight w:val="none"/>
          <w:u w:val="none"/>
        </w:rPr>
        <w:t>理财</w:t>
      </w:r>
      <w:r>
        <w:rPr>
          <w:rFonts w:hint="eastAsia"/>
          <w:color w:val="auto"/>
          <w:highlight w:val="none"/>
          <w:u w:val="none"/>
          <w:lang w:eastAsia="zh-CN"/>
        </w:rPr>
        <w:t>收益</w:t>
      </w:r>
      <w:r>
        <w:rPr>
          <w:rFonts w:hint="eastAsia"/>
          <w:color w:val="auto"/>
          <w:highlight w:val="none"/>
          <w:u w:val="none"/>
        </w:rPr>
        <w:t>的分配类型</w:t>
      </w:r>
    </w:p>
    <w:p w14:paraId="64CB48A5">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1.依据分配时点，理财</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的分配可分为“期间分配”与“终止分配”。</w:t>
      </w:r>
    </w:p>
    <w:p w14:paraId="71BD2D41">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2.依据分配方式，理财</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的分配可分为“现金分配”与“非现金分配”。</w:t>
      </w:r>
    </w:p>
    <w:p w14:paraId="5EA78D07">
      <w:pPr>
        <w:pStyle w:val="3"/>
        <w:numPr>
          <w:ilvl w:val="1"/>
          <w:numId w:val="15"/>
        </w:numPr>
        <w:ind w:firstLine="482"/>
        <w:rPr>
          <w:color w:val="auto"/>
          <w:highlight w:val="none"/>
          <w:u w:val="none"/>
        </w:rPr>
      </w:pPr>
      <w:r>
        <w:rPr>
          <w:rFonts w:hint="eastAsia"/>
          <w:color w:val="auto"/>
          <w:highlight w:val="none"/>
          <w:u w:val="none"/>
        </w:rPr>
        <w:t>理财</w:t>
      </w:r>
      <w:r>
        <w:rPr>
          <w:rFonts w:hint="eastAsia"/>
          <w:color w:val="auto"/>
          <w:highlight w:val="none"/>
          <w:u w:val="none"/>
          <w:lang w:eastAsia="zh-CN"/>
        </w:rPr>
        <w:t>收益</w:t>
      </w:r>
      <w:r>
        <w:rPr>
          <w:rFonts w:hint="eastAsia"/>
          <w:color w:val="auto"/>
          <w:highlight w:val="none"/>
          <w:u w:val="none"/>
        </w:rPr>
        <w:t>的分配原则</w:t>
      </w:r>
    </w:p>
    <w:p w14:paraId="43B9F3B9">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1.本产品</w:t>
      </w:r>
      <w:r>
        <w:rPr>
          <w:rFonts w:hint="eastAsia" w:ascii="仿宋_GB2312" w:hAnsi="宋体" w:cs="宋体"/>
          <w:bCs/>
          <w:color w:val="auto"/>
          <w:kern w:val="0"/>
          <w:szCs w:val="24"/>
          <w:highlight w:val="none"/>
          <w:u w:val="none"/>
          <w:lang w:eastAsia="zh-CN"/>
        </w:rPr>
        <w:t>收益</w:t>
      </w:r>
      <w:r>
        <w:rPr>
          <w:rFonts w:hint="eastAsia" w:ascii="仿宋_GB2312" w:hAnsi="宋体" w:cs="宋体"/>
          <w:bCs/>
          <w:color w:val="auto"/>
          <w:kern w:val="0"/>
          <w:szCs w:val="24"/>
          <w:highlight w:val="none"/>
          <w:u w:val="none"/>
        </w:rPr>
        <w:t>分配应遵循下列原则：</w:t>
      </w:r>
    </w:p>
    <w:p w14:paraId="7052A053">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（1）每一产品份额享有同等分配权。</w:t>
      </w:r>
    </w:p>
    <w:p w14:paraId="7A7DF3B8">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（2）在不</w:t>
      </w:r>
      <w:r>
        <w:rPr>
          <w:rFonts w:ascii="仿宋_GB2312" w:hAnsi="宋体" w:cs="宋体"/>
          <w:bCs/>
          <w:color w:val="auto"/>
          <w:kern w:val="0"/>
          <w:szCs w:val="24"/>
          <w:highlight w:val="none"/>
          <w:u w:val="none"/>
        </w:rPr>
        <w:t>违反法律法规、理财产品销售文件约定以及对份额持有人权益无实质性不利影响的情况下，产品管理人可</w:t>
      </w:r>
      <w:r>
        <w:rPr>
          <w:rFonts w:hint="eastAsia" w:ascii="仿宋_GB2312" w:hAnsi="宋体" w:cs="宋体"/>
          <w:bCs/>
          <w:color w:val="auto"/>
          <w:kern w:val="0"/>
          <w:szCs w:val="24"/>
          <w:highlight w:val="none"/>
          <w:u w:val="none"/>
        </w:rPr>
        <w:t>调整</w:t>
      </w:r>
      <w:r>
        <w:rPr>
          <w:rFonts w:ascii="仿宋_GB2312" w:hAnsi="宋体" w:cs="宋体"/>
          <w:bCs/>
          <w:color w:val="auto"/>
          <w:kern w:val="0"/>
          <w:szCs w:val="24"/>
          <w:highlight w:val="none"/>
          <w:u w:val="none"/>
        </w:rPr>
        <w:t>本理财产品</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的分配原则与支付方式。法律</w:t>
      </w:r>
      <w:r>
        <w:rPr>
          <w:rFonts w:hint="eastAsia" w:ascii="仿宋_GB2312" w:hAnsi="宋体" w:cs="宋体"/>
          <w:bCs/>
          <w:color w:val="auto"/>
          <w:kern w:val="0"/>
          <w:szCs w:val="24"/>
          <w:highlight w:val="none"/>
          <w:u w:val="none"/>
        </w:rPr>
        <w:t>法规</w:t>
      </w:r>
      <w:r>
        <w:rPr>
          <w:rFonts w:ascii="仿宋_GB2312" w:hAnsi="宋体" w:cs="宋体"/>
          <w:bCs/>
          <w:color w:val="auto"/>
          <w:kern w:val="0"/>
          <w:szCs w:val="24"/>
          <w:highlight w:val="none"/>
          <w:u w:val="none"/>
        </w:rPr>
        <w:t>或监管机构另有规定的从其规定。</w:t>
      </w:r>
    </w:p>
    <w:p w14:paraId="233A528B">
      <w:pPr>
        <w:pStyle w:val="3"/>
        <w:numPr>
          <w:ilvl w:val="1"/>
          <w:numId w:val="15"/>
        </w:numPr>
        <w:autoSpaceDE w:val="0"/>
        <w:autoSpaceDN w:val="0"/>
        <w:adjustRightInd w:val="0"/>
        <w:snapToGrid w:val="0"/>
        <w:ind w:firstLine="482"/>
        <w:rPr>
          <w:color w:val="auto"/>
          <w:highlight w:val="none"/>
          <w:u w:val="none"/>
        </w:rPr>
      </w:pPr>
      <w:r>
        <w:rPr>
          <w:rFonts w:hint="eastAsia"/>
          <w:color w:val="auto"/>
          <w:highlight w:val="none"/>
          <w:u w:val="none"/>
        </w:rPr>
        <w:t>理财</w:t>
      </w:r>
      <w:r>
        <w:rPr>
          <w:rFonts w:hint="eastAsia"/>
          <w:color w:val="auto"/>
          <w:highlight w:val="none"/>
          <w:u w:val="none"/>
          <w:lang w:eastAsia="zh-CN"/>
        </w:rPr>
        <w:t>收益</w:t>
      </w:r>
      <w:r>
        <w:rPr>
          <w:rFonts w:hint="eastAsia"/>
          <w:color w:val="auto"/>
          <w:highlight w:val="none"/>
          <w:u w:val="none"/>
        </w:rPr>
        <w:t xml:space="preserve">的分配方案 </w:t>
      </w:r>
    </w:p>
    <w:p w14:paraId="2CA6BD1F">
      <w:pPr>
        <w:autoSpaceDE w:val="0"/>
        <w:autoSpaceDN w:val="0"/>
        <w:adjustRightInd w:val="0"/>
        <w:snapToGrid w:val="0"/>
        <w:spacing w:line="360" w:lineRule="auto"/>
        <w:ind w:firstLine="420" w:firstLineChars="200"/>
        <w:jc w:val="left"/>
        <w:rPr>
          <w:color w:val="auto"/>
          <w:highlight w:val="none"/>
          <w:u w:val="none"/>
        </w:rPr>
      </w:pPr>
      <w:r>
        <w:rPr>
          <w:rFonts w:hint="eastAsia" w:ascii="仿宋_GB2312" w:hAnsi="宋体" w:cs="宋体"/>
          <w:bCs/>
          <w:color w:val="auto"/>
          <w:kern w:val="0"/>
          <w:szCs w:val="24"/>
          <w:highlight w:val="none"/>
          <w:u w:val="none"/>
        </w:rPr>
        <w:t>1.</w:t>
      </w:r>
      <w:r>
        <w:rPr>
          <w:rFonts w:hint="eastAsia"/>
          <w:color w:val="auto"/>
          <w:highlight w:val="none"/>
          <w:u w:val="none"/>
        </w:rPr>
        <w:t>分配方案要点：</w:t>
      </w:r>
    </w:p>
    <w:p w14:paraId="0139576F">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w:t>
      </w:r>
      <w:r>
        <w:rPr>
          <w:rFonts w:ascii="仿宋_GB2312" w:hAnsi="宋体" w:cs="宋体"/>
          <w:bCs/>
          <w:color w:val="auto"/>
          <w:kern w:val="0"/>
          <w:szCs w:val="24"/>
          <w:highlight w:val="none"/>
          <w:u w:val="none"/>
        </w:rPr>
        <w:t>1）</w:t>
      </w:r>
      <w:r>
        <w:rPr>
          <w:rFonts w:hint="eastAsia" w:ascii="仿宋_GB2312" w:hAnsi="宋体" w:cs="宋体"/>
          <w:bCs/>
          <w:color w:val="auto"/>
          <w:kern w:val="0"/>
          <w:szCs w:val="24"/>
          <w:highlight w:val="none"/>
          <w:u w:val="none"/>
        </w:rPr>
        <w:t>本</w:t>
      </w:r>
      <w:r>
        <w:rPr>
          <w:rFonts w:ascii="仿宋_GB2312" w:hAnsi="宋体" w:cs="宋体"/>
          <w:bCs/>
          <w:color w:val="auto"/>
          <w:kern w:val="0"/>
          <w:szCs w:val="24"/>
          <w:highlight w:val="none"/>
          <w:u w:val="none"/>
        </w:rPr>
        <w:t>理财产品的分配时点包括</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rPr>
        <w:t>“期间分配”</w:t>
      </w:r>
      <w:r>
        <w:rPr>
          <w:rFonts w:hint="eastAsia" w:ascii="仿宋_GB2312" w:hAnsi="宋体" w:cs="宋体"/>
          <w:bCs/>
          <w:kern w:val="0"/>
          <w:szCs w:val="24"/>
          <w:highlight w:val="none"/>
        </w:rPr>
        <w:sym w:font="Wingdings 2" w:char="00A3"/>
      </w:r>
      <w:r>
        <w:rPr>
          <w:rFonts w:hint="eastAsia" w:ascii="仿宋_GB2312" w:hAnsi="宋体" w:cs="宋体"/>
          <w:bCs/>
          <w:kern w:val="0"/>
          <w:szCs w:val="24"/>
          <w:highlight w:val="none"/>
        </w:rPr>
        <w:t>“终止分配”</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w:t>
      </w:r>
    </w:p>
    <w:p w14:paraId="2F585424">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本</w:t>
      </w:r>
      <w:r>
        <w:rPr>
          <w:rFonts w:ascii="仿宋_GB2312" w:hAnsi="宋体" w:cs="宋体"/>
          <w:bCs/>
          <w:color w:val="auto"/>
          <w:kern w:val="0"/>
          <w:szCs w:val="24"/>
          <w:highlight w:val="none"/>
          <w:u w:val="none"/>
        </w:rPr>
        <w:t>理财产品的分配</w:t>
      </w:r>
      <w:r>
        <w:rPr>
          <w:rFonts w:hint="eastAsia" w:ascii="仿宋_GB2312" w:hAnsi="宋体" w:cs="宋体"/>
          <w:bCs/>
          <w:color w:val="auto"/>
          <w:kern w:val="0"/>
          <w:szCs w:val="24"/>
          <w:highlight w:val="none"/>
          <w:u w:val="none"/>
        </w:rPr>
        <w:t>方式</w:t>
      </w:r>
      <w:r>
        <w:rPr>
          <w:rFonts w:ascii="仿宋_GB2312" w:hAnsi="宋体" w:cs="宋体"/>
          <w:bCs/>
          <w:color w:val="auto"/>
          <w:kern w:val="0"/>
          <w:szCs w:val="24"/>
          <w:highlight w:val="none"/>
          <w:u w:val="none"/>
        </w:rPr>
        <w:t>采取</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rPr>
        <w:t>“现金分配”</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rPr>
        <w:t>“</w:t>
      </w:r>
      <w:r>
        <w:rPr>
          <w:rFonts w:hint="eastAsia" w:ascii="仿宋_GB2312" w:hAnsi="宋体" w:cs="宋体"/>
          <w:bCs/>
          <w:kern w:val="0"/>
          <w:szCs w:val="24"/>
          <w:highlight w:val="none"/>
          <w:lang w:eastAsia="zh-CN"/>
        </w:rPr>
        <w:t>非</w:t>
      </w:r>
      <w:r>
        <w:rPr>
          <w:rFonts w:hint="eastAsia" w:ascii="仿宋_GB2312" w:hAnsi="宋体" w:cs="宋体"/>
          <w:bCs/>
          <w:kern w:val="0"/>
          <w:szCs w:val="24"/>
          <w:highlight w:val="none"/>
        </w:rPr>
        <w:t>现金分配”</w:t>
      </w:r>
      <w:r>
        <w:rPr>
          <w:rFonts w:hint="eastAsia" w:ascii="仿宋_GB2312" w:hAnsi="宋体" w:cs="宋体"/>
          <w:bCs/>
          <w:kern w:val="0"/>
          <w:szCs w:val="24"/>
          <w:highlight w:val="yellow"/>
          <w:lang w:eastAsia="zh-CN"/>
        </w:rPr>
        <w:t>】</w:t>
      </w:r>
      <w:r>
        <w:rPr>
          <w:rFonts w:hint="eastAsia" w:ascii="仿宋_GB2312" w:hAnsi="宋体" w:cs="宋体"/>
          <w:bCs/>
          <w:color w:val="auto"/>
          <w:kern w:val="0"/>
          <w:szCs w:val="24"/>
          <w:highlight w:val="none"/>
          <w:u w:val="none"/>
        </w:rPr>
        <w:t>。</w:t>
      </w:r>
    </w:p>
    <w:p w14:paraId="4DCEA77C">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w:t>
      </w:r>
      <w:r>
        <w:rPr>
          <w:rFonts w:hint="eastAsia" w:ascii="仿宋_GB2312" w:hAnsi="宋体" w:cs="宋体"/>
          <w:bCs/>
          <w:color w:val="auto"/>
          <w:kern w:val="0"/>
          <w:szCs w:val="24"/>
          <w:highlight w:val="none"/>
          <w:u w:val="none"/>
        </w:rPr>
        <w:t>具体</w:t>
      </w:r>
      <w:r>
        <w:rPr>
          <w:rFonts w:ascii="仿宋_GB2312" w:hAnsi="宋体" w:cs="宋体"/>
          <w:bCs/>
          <w:color w:val="auto"/>
          <w:kern w:val="0"/>
          <w:szCs w:val="24"/>
          <w:highlight w:val="none"/>
          <w:u w:val="none"/>
        </w:rPr>
        <w:t>理财产品</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分配方案由产品管理人拟定，并由产品托管人复核后确定。</w:t>
      </w:r>
    </w:p>
    <w:p w14:paraId="4DC5B5E9">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3.理财</w:t>
      </w:r>
      <w:r>
        <w:rPr>
          <w:rFonts w:ascii="仿宋_GB2312" w:hAnsi="宋体" w:cs="宋体"/>
          <w:bCs/>
          <w:color w:val="auto"/>
          <w:kern w:val="0"/>
          <w:szCs w:val="24"/>
          <w:highlight w:val="none"/>
          <w:u w:val="none"/>
        </w:rPr>
        <w:t>产品存续期间，产品管理人有权</w:t>
      </w:r>
      <w:r>
        <w:rPr>
          <w:rFonts w:hint="eastAsia" w:ascii="仿宋_GB2312" w:hAnsi="宋体" w:cs="宋体"/>
          <w:bCs/>
          <w:color w:val="auto"/>
          <w:kern w:val="0"/>
          <w:szCs w:val="24"/>
          <w:highlight w:val="none"/>
          <w:u w:val="none"/>
        </w:rPr>
        <w:t>视</w:t>
      </w:r>
      <w:r>
        <w:rPr>
          <w:rFonts w:ascii="仿宋_GB2312" w:hAnsi="宋体" w:cs="宋体"/>
          <w:bCs/>
          <w:color w:val="auto"/>
          <w:kern w:val="0"/>
          <w:szCs w:val="24"/>
          <w:highlight w:val="none"/>
          <w:u w:val="none"/>
        </w:rPr>
        <w:t>理财产品收益情况进行主动分配，相应</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分配基准日、分配方案由管理人及时披露。</w:t>
      </w:r>
    </w:p>
    <w:p w14:paraId="0A8C32FB">
      <w:pPr>
        <w:pStyle w:val="3"/>
        <w:numPr>
          <w:ilvl w:val="1"/>
          <w:numId w:val="15"/>
        </w:numPr>
        <w:tabs>
          <w:tab w:val="left" w:pos="0"/>
          <w:tab w:val="left" w:pos="709"/>
        </w:tabs>
        <w:ind w:firstLine="482" w:firstLineChars="0"/>
        <w:rPr>
          <w:color w:val="auto"/>
          <w:highlight w:val="none"/>
          <w:u w:val="none"/>
        </w:rPr>
      </w:pPr>
      <w:r>
        <w:rPr>
          <w:rFonts w:hint="eastAsia"/>
          <w:color w:val="auto"/>
          <w:highlight w:val="none"/>
          <w:u w:val="none"/>
        </w:rPr>
        <w:t>理财</w:t>
      </w:r>
      <w:r>
        <w:rPr>
          <w:rFonts w:hint="eastAsia"/>
          <w:color w:val="auto"/>
          <w:highlight w:val="none"/>
          <w:u w:val="none"/>
          <w:lang w:eastAsia="zh-CN"/>
        </w:rPr>
        <w:t>收益</w:t>
      </w:r>
      <w:r>
        <w:rPr>
          <w:rFonts w:hint="eastAsia"/>
          <w:color w:val="auto"/>
          <w:highlight w:val="none"/>
          <w:u w:val="none"/>
        </w:rPr>
        <w:t>的分配</w:t>
      </w:r>
    </w:p>
    <w:p w14:paraId="05A9DA3B">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1.理财</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的分配日</w:t>
      </w:r>
    </w:p>
    <w:p w14:paraId="491F3F4F">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若</w:t>
      </w:r>
      <w:r>
        <w:rPr>
          <w:rFonts w:ascii="仿宋_GB2312" w:hAnsi="宋体" w:cs="宋体"/>
          <w:bCs/>
          <w:color w:val="auto"/>
          <w:kern w:val="0"/>
          <w:szCs w:val="24"/>
          <w:highlight w:val="none"/>
          <w:u w:val="none"/>
        </w:rPr>
        <w:t>为期间分配的，原则上产品管理人应于分配基准日后</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yellow"/>
          <w:lang w:val="en-US" w:eastAsia="zh-CN"/>
        </w:rPr>
        <w:t>5</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rPr>
        <w:t>个</w:t>
      </w:r>
      <w:r>
        <w:rPr>
          <w:rFonts w:hint="eastAsia" w:ascii="仿宋_GB2312" w:hAnsi="宋体" w:cs="宋体"/>
          <w:bCs/>
          <w:kern w:val="0"/>
          <w:szCs w:val="24"/>
          <w:highlight w:val="yellow"/>
          <w:lang w:eastAsia="zh-CN"/>
        </w:rPr>
        <w:t>【</w:t>
      </w:r>
      <w:r>
        <w:rPr>
          <w:rFonts w:hint="eastAsia" w:ascii="仿宋_GB2312" w:hAnsi="宋体" w:cs="宋体"/>
          <w:bCs/>
          <w:kern w:val="0"/>
          <w:szCs w:val="24"/>
          <w:highlight w:val="none"/>
          <w:lang w:eastAsia="zh-CN"/>
        </w:rPr>
        <w:sym w:font="Wingdings 2" w:char="00A3"/>
      </w:r>
      <w:r>
        <w:rPr>
          <w:rFonts w:hint="eastAsia" w:ascii="仿宋_GB2312" w:hAnsi="宋体" w:cs="宋体"/>
          <w:bCs/>
          <w:kern w:val="0"/>
          <w:szCs w:val="24"/>
          <w:highlight w:val="none"/>
          <w:lang w:eastAsia="zh-CN"/>
        </w:rPr>
        <w:t>工作日</w:t>
      </w:r>
      <w:r>
        <w:rPr>
          <w:rFonts w:hint="eastAsia" w:ascii="仿宋_GB2312" w:hAnsi="宋体" w:cs="宋体"/>
          <w:bCs/>
          <w:kern w:val="0"/>
          <w:szCs w:val="24"/>
          <w:highlight w:val="none"/>
          <w:lang w:val="en-US" w:eastAsia="zh-CN"/>
        </w:rPr>
        <w:t>/</w:t>
      </w:r>
      <w:r>
        <w:rPr>
          <w:rFonts w:hint="eastAsia" w:ascii="仿宋_GB2312" w:hAnsi="宋体" w:cs="宋体"/>
          <w:bCs/>
          <w:kern w:val="0"/>
          <w:szCs w:val="24"/>
          <w:highlight w:val="none"/>
          <w:lang w:val="en-US" w:eastAsia="zh-CN"/>
        </w:rPr>
        <w:sym w:font="Wingdings 2" w:char="00A3"/>
      </w:r>
      <w:r>
        <w:rPr>
          <w:rFonts w:hint="eastAsia" w:ascii="仿宋_GB2312" w:hAnsi="宋体" w:cs="宋体"/>
          <w:bCs/>
          <w:kern w:val="0"/>
          <w:szCs w:val="24"/>
          <w:highlight w:val="none"/>
          <w:lang w:val="en-US" w:eastAsia="zh-CN"/>
        </w:rPr>
        <w:t>交易日</w:t>
      </w:r>
      <w:r>
        <w:rPr>
          <w:rFonts w:hint="eastAsia" w:ascii="仿宋_GB2312" w:hAnsi="宋体" w:cs="宋体"/>
          <w:bCs/>
          <w:kern w:val="0"/>
          <w:szCs w:val="24"/>
          <w:highlight w:val="yellow"/>
          <w:lang w:eastAsia="zh-CN"/>
        </w:rPr>
        <w:t>】</w:t>
      </w:r>
      <w:r>
        <w:rPr>
          <w:rFonts w:ascii="仿宋_GB2312" w:hAnsi="宋体" w:cs="宋体"/>
          <w:bCs/>
          <w:color w:val="auto"/>
          <w:kern w:val="0"/>
          <w:szCs w:val="24"/>
          <w:highlight w:val="none"/>
          <w:u w:val="none"/>
        </w:rPr>
        <w:t>内分配理财</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如有</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w:t>
      </w:r>
    </w:p>
    <w:p w14:paraId="4B26F296">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若为</w:t>
      </w:r>
      <w:r>
        <w:rPr>
          <w:rFonts w:ascii="仿宋_GB2312" w:hAnsi="宋体" w:cs="宋体"/>
          <w:bCs/>
          <w:color w:val="auto"/>
          <w:kern w:val="0"/>
          <w:szCs w:val="24"/>
          <w:highlight w:val="none"/>
          <w:u w:val="none"/>
        </w:rPr>
        <w:t>终止分配的，</w:t>
      </w:r>
      <w:r>
        <w:rPr>
          <w:rFonts w:hint="eastAsia" w:ascii="仿宋_GB2312" w:hAnsi="宋体" w:cs="宋体"/>
          <w:bCs/>
          <w:color w:val="auto"/>
          <w:kern w:val="0"/>
          <w:szCs w:val="24"/>
          <w:highlight w:val="none"/>
          <w:u w:val="none"/>
        </w:rPr>
        <w:t>产品</w:t>
      </w:r>
      <w:r>
        <w:rPr>
          <w:rFonts w:ascii="仿宋_GB2312" w:hAnsi="宋体" w:cs="宋体"/>
          <w:bCs/>
          <w:color w:val="auto"/>
          <w:kern w:val="0"/>
          <w:szCs w:val="24"/>
          <w:highlight w:val="none"/>
          <w:u w:val="none"/>
        </w:rPr>
        <w:t>管理人应按“</w:t>
      </w:r>
      <w:r>
        <w:rPr>
          <w:rFonts w:hint="eastAsia" w:ascii="仿宋_GB2312" w:hAnsi="宋体" w:cs="宋体"/>
          <w:bCs/>
          <w:color w:val="auto"/>
          <w:kern w:val="0"/>
          <w:szCs w:val="24"/>
          <w:highlight w:val="none"/>
          <w:u w:val="none"/>
        </w:rPr>
        <w:t>第十</w:t>
      </w:r>
      <w:r>
        <w:rPr>
          <w:rFonts w:hint="eastAsia" w:ascii="仿宋_GB2312" w:hAnsi="宋体" w:cs="宋体"/>
          <w:bCs/>
          <w:color w:val="auto"/>
          <w:kern w:val="0"/>
          <w:szCs w:val="24"/>
          <w:highlight w:val="none"/>
          <w:u w:val="none"/>
          <w:lang w:eastAsia="zh-CN"/>
        </w:rPr>
        <w:t>一</w:t>
      </w:r>
      <w:r>
        <w:rPr>
          <w:rFonts w:hint="eastAsia" w:ascii="仿宋_GB2312" w:hAnsi="宋体" w:cs="宋体"/>
          <w:bCs/>
          <w:color w:val="auto"/>
          <w:kern w:val="0"/>
          <w:szCs w:val="24"/>
          <w:highlight w:val="none"/>
          <w:u w:val="none"/>
        </w:rPr>
        <w:t>节 理财</w:t>
      </w:r>
      <w:r>
        <w:rPr>
          <w:rFonts w:ascii="仿宋_GB2312" w:hAnsi="宋体" w:cs="宋体"/>
          <w:bCs/>
          <w:color w:val="auto"/>
          <w:kern w:val="0"/>
          <w:szCs w:val="24"/>
          <w:highlight w:val="none"/>
          <w:u w:val="none"/>
        </w:rPr>
        <w:t>产品</w:t>
      </w:r>
      <w:r>
        <w:rPr>
          <w:rFonts w:hint="eastAsia" w:ascii="仿宋_GB2312" w:hAnsi="宋体" w:cs="宋体"/>
          <w:bCs/>
          <w:color w:val="auto"/>
          <w:kern w:val="0"/>
          <w:szCs w:val="24"/>
          <w:highlight w:val="none"/>
          <w:u w:val="none"/>
          <w:lang w:eastAsia="zh-CN"/>
        </w:rPr>
        <w:t>的</w:t>
      </w:r>
      <w:r>
        <w:rPr>
          <w:rFonts w:ascii="仿宋_GB2312" w:hAnsi="宋体" w:cs="宋体"/>
          <w:bCs/>
          <w:color w:val="auto"/>
          <w:kern w:val="0"/>
          <w:szCs w:val="24"/>
          <w:highlight w:val="none"/>
          <w:u w:val="none"/>
        </w:rPr>
        <w:t>终止与清算”</w:t>
      </w:r>
      <w:r>
        <w:rPr>
          <w:rFonts w:hint="eastAsia" w:ascii="仿宋_GB2312" w:hAnsi="宋体" w:cs="宋体"/>
          <w:bCs/>
          <w:color w:val="auto"/>
          <w:kern w:val="0"/>
          <w:szCs w:val="24"/>
          <w:highlight w:val="none"/>
          <w:u w:val="none"/>
        </w:rPr>
        <w:t>中</w:t>
      </w:r>
      <w:r>
        <w:rPr>
          <w:rFonts w:ascii="仿宋_GB2312" w:hAnsi="宋体" w:cs="宋体"/>
          <w:bCs/>
          <w:color w:val="auto"/>
          <w:kern w:val="0"/>
          <w:szCs w:val="24"/>
          <w:highlight w:val="none"/>
          <w:u w:val="none"/>
        </w:rPr>
        <w:t>产品清算期的相关约定向投资者分配</w:t>
      </w:r>
      <w:r>
        <w:rPr>
          <w:rFonts w:hint="eastAsia" w:ascii="仿宋_GB2312" w:hAnsi="宋体" w:cs="宋体"/>
          <w:bCs/>
          <w:color w:val="auto"/>
          <w:kern w:val="0"/>
          <w:szCs w:val="24"/>
          <w:highlight w:val="none"/>
          <w:u w:val="none"/>
        </w:rPr>
        <w:t>理财</w:t>
      </w:r>
      <w:r>
        <w:rPr>
          <w:rFonts w:hint="eastAsia" w:ascii="仿宋_GB2312" w:hAnsi="宋体" w:cs="宋体"/>
          <w:bCs/>
          <w:color w:val="auto"/>
          <w:kern w:val="0"/>
          <w:szCs w:val="24"/>
          <w:highlight w:val="none"/>
          <w:u w:val="none"/>
          <w:lang w:eastAsia="zh-CN"/>
        </w:rPr>
        <w:t>收益</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如有</w:t>
      </w:r>
      <w:r>
        <w:rPr>
          <w:rFonts w:ascii="仿宋_GB2312" w:hAnsi="宋体" w:cs="宋体"/>
          <w:bCs/>
          <w:color w:val="auto"/>
          <w:kern w:val="0"/>
          <w:szCs w:val="24"/>
          <w:highlight w:val="none"/>
          <w:u w:val="none"/>
        </w:rPr>
        <w:t>）</w:t>
      </w:r>
      <w:r>
        <w:rPr>
          <w:rFonts w:hint="eastAsia" w:ascii="仿宋_GB2312" w:hAnsi="宋体" w:cs="宋体"/>
          <w:bCs/>
          <w:color w:val="auto"/>
          <w:kern w:val="0"/>
          <w:szCs w:val="24"/>
          <w:highlight w:val="none"/>
          <w:u w:val="none"/>
        </w:rPr>
        <w:t>。</w:t>
      </w:r>
    </w:p>
    <w:p w14:paraId="6D16395A">
      <w:pPr>
        <w:autoSpaceDE w:val="0"/>
        <w:autoSpaceDN w:val="0"/>
        <w:adjustRightInd w:val="0"/>
        <w:snapToGrid w:val="0"/>
        <w:spacing w:line="360" w:lineRule="auto"/>
        <w:ind w:firstLine="420" w:firstLineChars="200"/>
        <w:jc w:val="left"/>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w:t>
      </w:r>
      <w:r>
        <w:rPr>
          <w:rFonts w:hint="eastAsia" w:ascii="仿宋_GB2312" w:hAnsi="宋体" w:cs="宋体"/>
          <w:bCs/>
          <w:color w:val="auto"/>
          <w:kern w:val="0"/>
          <w:szCs w:val="24"/>
          <w:highlight w:val="none"/>
          <w:u w:val="none"/>
        </w:rPr>
        <w:t>具体</w:t>
      </w:r>
      <w:r>
        <w:rPr>
          <w:rFonts w:ascii="仿宋_GB2312" w:hAnsi="宋体" w:cs="宋体"/>
          <w:bCs/>
          <w:color w:val="auto"/>
          <w:kern w:val="0"/>
          <w:szCs w:val="24"/>
          <w:highlight w:val="none"/>
          <w:u w:val="none"/>
        </w:rPr>
        <w:t>的理财产品分配</w:t>
      </w:r>
      <w:r>
        <w:rPr>
          <w:rFonts w:hint="eastAsia" w:ascii="仿宋_GB2312" w:hAnsi="宋体" w:cs="宋体"/>
          <w:bCs/>
          <w:color w:val="auto"/>
          <w:kern w:val="0"/>
          <w:szCs w:val="24"/>
          <w:highlight w:val="none"/>
          <w:u w:val="none"/>
        </w:rPr>
        <w:t>以</w:t>
      </w:r>
      <w:r>
        <w:rPr>
          <w:rFonts w:ascii="仿宋_GB2312" w:hAnsi="宋体" w:cs="宋体"/>
          <w:bCs/>
          <w:color w:val="auto"/>
          <w:kern w:val="0"/>
          <w:szCs w:val="24"/>
          <w:highlight w:val="none"/>
          <w:u w:val="none"/>
        </w:rPr>
        <w:t>管理人实际分配的为准。</w:t>
      </w:r>
    </w:p>
    <w:p w14:paraId="7FA32F5E">
      <w:pPr>
        <w:pStyle w:val="14"/>
        <w:widowControl/>
        <w:snapToGrid w:val="0"/>
        <w:spacing w:line="360" w:lineRule="auto"/>
        <w:ind w:firstLine="480" w:firstLineChars="200"/>
        <w:rPr>
          <w:color w:val="auto"/>
          <w:highlight w:val="none"/>
          <w:u w:val="none"/>
        </w:rPr>
      </w:pPr>
      <w:r>
        <w:rPr>
          <w:rFonts w:hint="eastAsia" w:ascii="仿宋_GB2312" w:hAnsi="宋体" w:eastAsia="仿宋_GB2312"/>
          <w:bCs/>
          <w:color w:val="auto"/>
          <w:highlight w:val="none"/>
          <w:u w:val="none"/>
        </w:rPr>
        <w:br w:type="page"/>
      </w:r>
    </w:p>
    <w:p w14:paraId="1941D3CE">
      <w:pPr>
        <w:pStyle w:val="2"/>
        <w:numPr>
          <w:ilvl w:val="0"/>
          <w:numId w:val="15"/>
        </w:numPr>
        <w:rPr>
          <w:color w:val="auto"/>
          <w:highlight w:val="none"/>
          <w:u w:val="none"/>
        </w:rPr>
      </w:pPr>
      <w:r>
        <w:rPr>
          <w:rFonts w:hint="eastAsia"/>
          <w:color w:val="auto"/>
          <w:highlight w:val="none"/>
          <w:u w:val="none"/>
        </w:rPr>
        <w:t>理财产品的费用与税收</w:t>
      </w:r>
    </w:p>
    <w:p w14:paraId="279AC380">
      <w:pPr>
        <w:pStyle w:val="3"/>
        <w:numPr>
          <w:ilvl w:val="1"/>
          <w:numId w:val="15"/>
        </w:numPr>
        <w:tabs>
          <w:tab w:val="left" w:pos="0"/>
          <w:tab w:val="left" w:pos="709"/>
        </w:tabs>
        <w:ind w:firstLine="482" w:firstLineChars="0"/>
        <w:rPr>
          <w:color w:val="auto"/>
          <w:highlight w:val="none"/>
          <w:u w:val="none"/>
        </w:rPr>
      </w:pPr>
      <w:r>
        <w:rPr>
          <w:rFonts w:hint="eastAsia"/>
          <w:color w:val="auto"/>
          <w:highlight w:val="none"/>
          <w:u w:val="none"/>
        </w:rPr>
        <w:t>理财费用</w:t>
      </w:r>
    </w:p>
    <w:p w14:paraId="2EAC488A">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1.理财产品费用的种类</w:t>
      </w:r>
    </w:p>
    <w:p w14:paraId="5B5E6C74">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（1）理财产品的认购费、申购费、赎回费；</w:t>
      </w:r>
    </w:p>
    <w:p w14:paraId="332D346F">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（2）理财产品的销售服务费；</w:t>
      </w:r>
    </w:p>
    <w:p w14:paraId="5AC879A2">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（3）理财产品的</w:t>
      </w:r>
      <w:r>
        <w:rPr>
          <w:rFonts w:hint="eastAsia" w:ascii="仿宋_GB2312" w:hAnsi="宋体" w:cs="宋体"/>
          <w:bCs/>
          <w:color w:val="auto"/>
          <w:kern w:val="0"/>
          <w:szCs w:val="24"/>
          <w:highlight w:val="none"/>
          <w:u w:val="none"/>
          <w:lang w:eastAsia="zh-CN"/>
        </w:rPr>
        <w:t>固定</w:t>
      </w:r>
      <w:r>
        <w:rPr>
          <w:rFonts w:hint="eastAsia" w:ascii="仿宋_GB2312" w:hAnsi="宋体" w:cs="宋体"/>
          <w:bCs/>
          <w:color w:val="auto"/>
          <w:kern w:val="0"/>
          <w:szCs w:val="24"/>
          <w:highlight w:val="none"/>
          <w:u w:val="none"/>
        </w:rPr>
        <w:t>管理费</w:t>
      </w:r>
      <w:r>
        <w:rPr>
          <w:rFonts w:ascii="仿宋_GB2312" w:hAnsi="宋体" w:cs="宋体"/>
          <w:bCs/>
          <w:color w:val="auto"/>
          <w:kern w:val="0"/>
          <w:szCs w:val="24"/>
          <w:highlight w:val="none"/>
          <w:u w:val="none"/>
        </w:rPr>
        <w:t>及</w:t>
      </w:r>
      <w:r>
        <w:rPr>
          <w:rFonts w:hint="eastAsia" w:ascii="仿宋_GB2312" w:hAnsi="宋体" w:cs="宋体"/>
          <w:bCs/>
          <w:color w:val="auto"/>
          <w:kern w:val="0"/>
          <w:szCs w:val="24"/>
          <w:highlight w:val="none"/>
          <w:u w:val="none"/>
          <w:lang w:eastAsia="zh-CN"/>
        </w:rPr>
        <w:t>浮动管理费</w:t>
      </w:r>
      <w:r>
        <w:rPr>
          <w:rFonts w:ascii="仿宋_GB2312" w:hAnsi="宋体" w:cs="宋体"/>
          <w:bCs/>
          <w:color w:val="auto"/>
          <w:kern w:val="0"/>
          <w:szCs w:val="24"/>
          <w:highlight w:val="none"/>
          <w:u w:val="none"/>
        </w:rPr>
        <w:t>；</w:t>
      </w:r>
    </w:p>
    <w:p w14:paraId="0A423E23">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（4）理财产品的托管费；</w:t>
      </w:r>
    </w:p>
    <w:p w14:paraId="0450AE6D">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（5）</w:t>
      </w:r>
      <w:r>
        <w:rPr>
          <w:rFonts w:hint="eastAsia" w:ascii="仿宋_GB2312" w:hAnsi="宋体" w:cs="宋体"/>
          <w:bCs/>
          <w:color w:val="auto"/>
          <w:kern w:val="0"/>
          <w:szCs w:val="24"/>
          <w:highlight w:val="none"/>
          <w:u w:val="none"/>
        </w:rPr>
        <w:t>其他费用，包括但不限于：与</w:t>
      </w:r>
      <w:r>
        <w:rPr>
          <w:rFonts w:ascii="仿宋_GB2312" w:hAnsi="宋体" w:cs="宋体"/>
          <w:bCs/>
          <w:color w:val="auto"/>
          <w:kern w:val="0"/>
          <w:szCs w:val="24"/>
          <w:highlight w:val="none"/>
          <w:u w:val="none"/>
        </w:rPr>
        <w:t>理财产品相关的</w:t>
      </w:r>
      <w:r>
        <w:rPr>
          <w:rFonts w:hint="eastAsia" w:ascii="仿宋_GB2312" w:hAnsi="宋体" w:cs="宋体"/>
          <w:bCs/>
          <w:color w:val="auto"/>
          <w:kern w:val="0"/>
          <w:szCs w:val="24"/>
          <w:highlight w:val="none"/>
          <w:u w:val="none"/>
        </w:rPr>
        <w:t>账户服务费用、资产服务费用、交易费用（包括但不限于交易佣金、撮合费用等）、注册登记费、验资费、审计费、信息披露费、</w:t>
      </w:r>
      <w:r>
        <w:rPr>
          <w:rFonts w:hint="eastAsia" w:ascii="仿宋_GB2312" w:hAnsi="宋体" w:cs="宋体"/>
          <w:bCs/>
          <w:color w:val="auto"/>
          <w:kern w:val="0"/>
          <w:szCs w:val="24"/>
          <w:highlight w:val="yellow"/>
          <w:lang w:eastAsia="zh-CN"/>
        </w:rPr>
        <w:t>【信息服务费用】</w:t>
      </w:r>
      <w:r>
        <w:rPr>
          <w:rFonts w:hint="eastAsia" w:ascii="仿宋_GB2312" w:hAnsi="宋体" w:cs="宋体"/>
          <w:bCs/>
          <w:color w:val="auto"/>
          <w:kern w:val="0"/>
          <w:szCs w:val="24"/>
          <w:highlight w:val="none"/>
          <w:u w:val="none"/>
          <w:lang w:eastAsia="zh-CN"/>
        </w:rPr>
        <w:t>、</w:t>
      </w:r>
      <w:r>
        <w:rPr>
          <w:rFonts w:hint="eastAsia" w:ascii="仿宋_GB2312" w:hAnsi="宋体" w:cs="宋体"/>
          <w:bCs/>
          <w:color w:val="auto"/>
          <w:kern w:val="0"/>
          <w:szCs w:val="24"/>
          <w:highlight w:val="none"/>
          <w:u w:val="none"/>
        </w:rPr>
        <w:t>清算费用、执行费用（包括但不限于律师费、诉讼费、仲裁费、公证费、保全费、执行费等）以及按照法律法规、监管规定和理财产品销售文件约定可以列入的其他费用，具体以实际发生为准。</w:t>
      </w:r>
    </w:p>
    <w:p w14:paraId="039491DF">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宋体" w:hAnsi="宋体" w:cs="宋体"/>
          <w:color w:val="auto"/>
          <w:kern w:val="0"/>
          <w:szCs w:val="24"/>
          <w:highlight w:val="none"/>
          <w:u w:val="none"/>
        </w:rPr>
        <w:t>本产品可能根据投资者购买理财产品的</w:t>
      </w:r>
      <w:r>
        <w:rPr>
          <w:rFonts w:hint="eastAsia" w:ascii="仿宋_GB2312" w:hAnsi="宋体" w:cs="宋体"/>
          <w:bCs/>
          <w:color w:val="auto"/>
          <w:kern w:val="0"/>
          <w:szCs w:val="24"/>
          <w:highlight w:val="none"/>
          <w:u w:val="none"/>
        </w:rPr>
        <w:t>金额、销售渠道、客户类型</w:t>
      </w:r>
      <w:r>
        <w:rPr>
          <w:rFonts w:hint="eastAsia" w:ascii="宋体" w:hAnsi="宋体" w:cs="宋体"/>
          <w:color w:val="auto"/>
          <w:kern w:val="0"/>
          <w:szCs w:val="24"/>
          <w:highlight w:val="none"/>
          <w:u w:val="none"/>
        </w:rPr>
        <w:t>等因素设置不同产品份额</w:t>
      </w:r>
      <w:r>
        <w:rPr>
          <w:rFonts w:hint="eastAsia" w:ascii="仿宋_GB2312" w:hAnsi="宋体" w:cs="宋体"/>
          <w:bCs/>
          <w:color w:val="auto"/>
          <w:kern w:val="0"/>
          <w:szCs w:val="24"/>
          <w:highlight w:val="none"/>
          <w:u w:val="none"/>
        </w:rPr>
        <w:t>类别</w:t>
      </w:r>
      <w:r>
        <w:rPr>
          <w:rFonts w:hint="eastAsia" w:ascii="宋体" w:hAnsi="宋体" w:cs="宋体"/>
          <w:color w:val="auto"/>
          <w:kern w:val="0"/>
          <w:szCs w:val="24"/>
          <w:highlight w:val="none"/>
          <w:u w:val="none"/>
        </w:rPr>
        <w:t>，各类产品份额</w:t>
      </w:r>
      <w:r>
        <w:rPr>
          <w:rFonts w:hint="eastAsia" w:ascii="仿宋_GB2312" w:hAnsi="宋体" w:cs="宋体"/>
          <w:bCs/>
          <w:color w:val="auto"/>
          <w:kern w:val="0"/>
          <w:szCs w:val="24"/>
          <w:highlight w:val="none"/>
          <w:u w:val="none"/>
        </w:rPr>
        <w:t>可能分别设置不同的</w:t>
      </w:r>
      <w:r>
        <w:rPr>
          <w:rFonts w:ascii="仿宋_GB2312" w:hAnsi="宋体" w:cs="宋体"/>
          <w:bCs/>
          <w:color w:val="auto"/>
          <w:kern w:val="0"/>
          <w:szCs w:val="24"/>
          <w:highlight w:val="none"/>
          <w:u w:val="none"/>
        </w:rPr>
        <w:t>销售服务</w:t>
      </w:r>
      <w:r>
        <w:rPr>
          <w:rFonts w:ascii="宋体" w:hAnsi="宋体" w:cs="宋体"/>
          <w:color w:val="auto"/>
          <w:kern w:val="0"/>
          <w:szCs w:val="24"/>
          <w:highlight w:val="none"/>
          <w:u w:val="none"/>
        </w:rPr>
        <w:t>费率，</w:t>
      </w:r>
      <w:r>
        <w:rPr>
          <w:rFonts w:ascii="仿宋_GB2312" w:hAnsi="宋体" w:cs="宋体"/>
          <w:bCs/>
          <w:color w:val="auto"/>
          <w:kern w:val="0"/>
          <w:szCs w:val="24"/>
          <w:highlight w:val="none"/>
          <w:u w:val="none"/>
        </w:rPr>
        <w:t>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ascii="仿宋_GB2312" w:hAnsi="宋体" w:cs="宋体"/>
          <w:bCs/>
          <w:color w:val="auto"/>
          <w:kern w:val="0"/>
          <w:szCs w:val="24"/>
          <w:highlight w:val="none"/>
          <w:u w:val="none"/>
        </w:rPr>
        <w:t>”为准。</w:t>
      </w:r>
    </w:p>
    <w:p w14:paraId="4EC40239">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2.理财产品费用计提方法、计提标准和支付方式</w:t>
      </w:r>
    </w:p>
    <w:p w14:paraId="0F392EC8">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（1）理财产品的认购费、申购费、赎回费</w:t>
      </w:r>
    </w:p>
    <w:p w14:paraId="59A69FD0">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1）认购费：费率具体数值以《产品说明书》“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ascii="仿宋_GB2312" w:hAnsi="宋体" w:cs="宋体"/>
          <w:bCs/>
          <w:color w:val="auto"/>
          <w:kern w:val="0"/>
          <w:szCs w:val="24"/>
          <w:highlight w:val="none"/>
          <w:u w:val="none"/>
        </w:rPr>
        <w:t>”为准。</w:t>
      </w:r>
    </w:p>
    <w:p w14:paraId="43F52919">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2）申购费：费率具体数值以《产品说明书》“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ascii="仿宋_GB2312" w:hAnsi="宋体" w:cs="宋体"/>
          <w:bCs/>
          <w:color w:val="auto"/>
          <w:kern w:val="0"/>
          <w:szCs w:val="24"/>
          <w:highlight w:val="none"/>
          <w:u w:val="none"/>
        </w:rPr>
        <w:t>”为准。</w:t>
      </w:r>
    </w:p>
    <w:p w14:paraId="695387A6">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3）赎回费：费率具体数值以《产品说明书》“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”为准。</w:t>
      </w:r>
    </w:p>
    <w:p w14:paraId="22B46663">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（2）理财产品的销售服务费</w:t>
      </w:r>
    </w:p>
    <w:p w14:paraId="73527294">
      <w:pPr>
        <w:tabs>
          <w:tab w:val="left" w:pos="3119"/>
        </w:tabs>
        <w:autoSpaceDE w:val="0"/>
        <w:autoSpaceDN w:val="0"/>
        <w:snapToGrid w:val="0"/>
        <w:spacing w:line="360" w:lineRule="auto"/>
        <w:ind w:firstLine="420" w:firstLineChars="200"/>
        <w:rPr>
          <w:rFonts w:ascii="仿宋_GB2312" w:hAnsi="宋体" w:cs="宋体"/>
          <w:bCs/>
          <w:color w:val="auto"/>
          <w:spacing w:val="-4"/>
          <w:kern w:val="0"/>
          <w:szCs w:val="24"/>
          <w:highlight w:val="yellow"/>
          <w:u w:val="none"/>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本产品的销售服务费按前一日理财资产净值与销售服务费费率每日计提。</w:t>
      </w:r>
      <w:r>
        <w:rPr>
          <w:rFonts w:hint="eastAsia" w:ascii="仿宋_GB2312" w:hAnsi="宋体" w:cs="宋体"/>
          <w:bCs/>
          <w:color w:val="auto"/>
          <w:spacing w:val="-4"/>
          <w:kern w:val="0"/>
          <w:szCs w:val="24"/>
          <w:highlight w:val="yellow"/>
          <w:u w:val="none"/>
        </w:rPr>
        <w:t>管理人可按季或产品开放周期（如有）收取，或与后续季度、开放周期（如有）合并收取</w:t>
      </w:r>
      <w:r>
        <w:rPr>
          <w:rFonts w:hint="eastAsia" w:ascii="仿宋_GB2312" w:hAnsi="宋体" w:cs="宋体"/>
          <w:bCs/>
          <w:color w:val="auto"/>
          <w:kern w:val="0"/>
          <w:szCs w:val="24"/>
          <w:highlight w:val="yellow"/>
          <w:u w:val="none"/>
        </w:rPr>
        <w:t>。销售服务费</w:t>
      </w:r>
      <w:r>
        <w:rPr>
          <w:rFonts w:hint="eastAsia" w:ascii="仿宋_GB2312" w:hAnsi="宋体" w:cs="宋体"/>
          <w:bCs/>
          <w:color w:val="auto"/>
          <w:spacing w:val="-4"/>
          <w:kern w:val="0"/>
          <w:szCs w:val="24"/>
          <w:highlight w:val="yellow"/>
          <w:u w:val="none"/>
        </w:rPr>
        <w:t>精确到小数点后2位，小数点2位以后四舍五入。</w:t>
      </w:r>
    </w:p>
    <w:p w14:paraId="59F26E1B">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销售服务费的计算方法如下：</w:t>
      </w:r>
    </w:p>
    <w:p w14:paraId="13549E43">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H＝E×销售服务费年费率÷365</w:t>
      </w:r>
    </w:p>
    <w:p w14:paraId="21229D35">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H为每日应计提的销售服务费</w:t>
      </w:r>
    </w:p>
    <w:p w14:paraId="75531BC3">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rPr>
        <w:t>E为前一日的理财资产净值</w:t>
      </w:r>
      <w:r>
        <w:rPr>
          <w:rFonts w:hint="eastAsia" w:ascii="仿宋_GB2312" w:hAnsi="宋体" w:cs="宋体"/>
          <w:bCs/>
          <w:color w:val="auto"/>
          <w:kern w:val="0"/>
          <w:szCs w:val="24"/>
          <w:highlight w:val="yellow"/>
          <w:u w:val="none"/>
          <w:lang w:eastAsia="zh-CN"/>
        </w:rPr>
        <w:t>】</w:t>
      </w:r>
    </w:p>
    <w:p w14:paraId="1B30B06B">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销售服务费依照上述约定，从理财财产中支付。费率具体数值以《产品说明书》“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”为准。</w:t>
      </w:r>
    </w:p>
    <w:p w14:paraId="11642EFF">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none"/>
          <w:u w:val="none"/>
          <w:lang w:eastAsia="zh-CN"/>
        </w:rPr>
      </w:pPr>
      <w:r>
        <w:rPr>
          <w:rFonts w:hint="eastAsia" w:ascii="仿宋_GB2312" w:hAnsi="宋体" w:cs="宋体"/>
          <w:bCs/>
          <w:color w:val="auto"/>
          <w:kern w:val="0"/>
          <w:szCs w:val="24"/>
          <w:highlight w:val="none"/>
          <w:u w:val="none"/>
        </w:rPr>
        <w:t>（3）理财产品的</w:t>
      </w:r>
      <w:r>
        <w:rPr>
          <w:rFonts w:hint="eastAsia" w:ascii="仿宋_GB2312" w:hAnsi="宋体" w:cs="宋体"/>
          <w:bCs/>
          <w:color w:val="auto"/>
          <w:kern w:val="0"/>
          <w:szCs w:val="24"/>
          <w:highlight w:val="none"/>
          <w:u w:val="none"/>
          <w:lang w:eastAsia="zh-CN"/>
        </w:rPr>
        <w:t>固定管理费</w:t>
      </w:r>
    </w:p>
    <w:p w14:paraId="0ADE684B">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本产品的</w:t>
      </w:r>
      <w:r>
        <w:rPr>
          <w:rFonts w:hint="eastAsia" w:ascii="仿宋_GB2312" w:hAnsi="宋体" w:cs="宋体"/>
          <w:bCs/>
          <w:color w:val="auto"/>
          <w:kern w:val="0"/>
          <w:szCs w:val="24"/>
          <w:highlight w:val="yellow"/>
          <w:u w:val="none"/>
          <w:lang w:eastAsia="zh-CN"/>
        </w:rPr>
        <w:t>固定管理费</w:t>
      </w:r>
      <w:r>
        <w:rPr>
          <w:rFonts w:hint="eastAsia" w:ascii="仿宋_GB2312" w:hAnsi="宋体" w:cs="宋体"/>
          <w:bCs/>
          <w:color w:val="auto"/>
          <w:kern w:val="0"/>
          <w:szCs w:val="24"/>
          <w:highlight w:val="yellow"/>
          <w:u w:val="none"/>
        </w:rPr>
        <w:t>按前一日理财资产净值与</w:t>
      </w:r>
      <w:r>
        <w:rPr>
          <w:rFonts w:hint="eastAsia" w:ascii="仿宋_GB2312" w:hAnsi="宋体" w:cs="宋体"/>
          <w:bCs/>
          <w:color w:val="auto"/>
          <w:kern w:val="0"/>
          <w:szCs w:val="24"/>
          <w:highlight w:val="yellow"/>
          <w:u w:val="none"/>
          <w:lang w:eastAsia="zh-CN"/>
        </w:rPr>
        <w:t>固定管理费</w:t>
      </w:r>
      <w:r>
        <w:rPr>
          <w:rFonts w:hint="eastAsia" w:ascii="仿宋_GB2312" w:hAnsi="宋体" w:cs="宋体"/>
          <w:bCs/>
          <w:color w:val="auto"/>
          <w:kern w:val="0"/>
          <w:szCs w:val="24"/>
          <w:highlight w:val="yellow"/>
          <w:u w:val="none"/>
        </w:rPr>
        <w:t>费率每日计提，</w:t>
      </w:r>
      <w:r>
        <w:rPr>
          <w:rFonts w:hint="eastAsia" w:ascii="仿宋_GB2312" w:hAnsi="宋体" w:cs="宋体"/>
          <w:bCs/>
          <w:color w:val="auto"/>
          <w:spacing w:val="-4"/>
          <w:kern w:val="0"/>
          <w:szCs w:val="24"/>
          <w:highlight w:val="yellow"/>
          <w:u w:val="none"/>
        </w:rPr>
        <w:t>管理人可按季或产品开放周期（如有）收取，或与后续季度、开放周期（如有）合并收取。</w:t>
      </w:r>
      <w:r>
        <w:rPr>
          <w:rFonts w:hint="eastAsia" w:ascii="仿宋_GB2312" w:hAnsi="宋体" w:cs="宋体"/>
          <w:bCs/>
          <w:color w:val="auto"/>
          <w:kern w:val="0"/>
          <w:szCs w:val="24"/>
          <w:highlight w:val="yellow"/>
          <w:u w:val="none"/>
          <w:lang w:eastAsia="zh-CN"/>
        </w:rPr>
        <w:t>固定管理费</w:t>
      </w:r>
      <w:r>
        <w:rPr>
          <w:rFonts w:hint="eastAsia" w:ascii="仿宋_GB2312" w:hAnsi="宋体" w:cs="宋体"/>
          <w:bCs/>
          <w:color w:val="auto"/>
          <w:spacing w:val="-4"/>
          <w:kern w:val="0"/>
          <w:szCs w:val="24"/>
          <w:highlight w:val="yellow"/>
          <w:u w:val="none"/>
        </w:rPr>
        <w:t>精确到小数点后2位，小数点2位以后四舍五入</w:t>
      </w:r>
      <w:r>
        <w:rPr>
          <w:rFonts w:hint="eastAsia" w:ascii="仿宋_GB2312" w:hAnsi="宋体" w:cs="宋体"/>
          <w:bCs/>
          <w:color w:val="auto"/>
          <w:kern w:val="0"/>
          <w:szCs w:val="24"/>
          <w:highlight w:val="yellow"/>
          <w:u w:val="none"/>
        </w:rPr>
        <w:t>。</w:t>
      </w:r>
    </w:p>
    <w:p w14:paraId="1FE59893">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lang w:eastAsia="zh-CN"/>
        </w:rPr>
        <w:t>固定管理费</w:t>
      </w:r>
      <w:r>
        <w:rPr>
          <w:rFonts w:hint="eastAsia" w:ascii="仿宋_GB2312" w:hAnsi="宋体" w:cs="宋体"/>
          <w:bCs/>
          <w:color w:val="auto"/>
          <w:kern w:val="0"/>
          <w:szCs w:val="24"/>
          <w:highlight w:val="yellow"/>
          <w:u w:val="none"/>
        </w:rPr>
        <w:t>的计算方法如下：</w:t>
      </w:r>
    </w:p>
    <w:p w14:paraId="133C9D30">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H＝E×</w:t>
      </w:r>
      <w:r>
        <w:rPr>
          <w:rFonts w:hint="eastAsia" w:ascii="仿宋_GB2312" w:hAnsi="宋体" w:cs="宋体"/>
          <w:bCs/>
          <w:color w:val="auto"/>
          <w:kern w:val="0"/>
          <w:szCs w:val="24"/>
          <w:highlight w:val="yellow"/>
          <w:u w:val="none"/>
          <w:lang w:eastAsia="zh-CN"/>
        </w:rPr>
        <w:t>固定管理费</w:t>
      </w:r>
      <w:r>
        <w:rPr>
          <w:rFonts w:hint="eastAsia" w:ascii="仿宋_GB2312" w:hAnsi="宋体" w:cs="宋体"/>
          <w:bCs/>
          <w:color w:val="auto"/>
          <w:kern w:val="0"/>
          <w:szCs w:val="24"/>
          <w:highlight w:val="yellow"/>
          <w:u w:val="none"/>
        </w:rPr>
        <w:t>年费率÷365</w:t>
      </w:r>
    </w:p>
    <w:p w14:paraId="6547AF55">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rPr>
        <w:t>H为每日应计提的产品</w:t>
      </w:r>
      <w:r>
        <w:rPr>
          <w:rFonts w:hint="eastAsia" w:ascii="仿宋_GB2312" w:hAnsi="宋体" w:cs="宋体"/>
          <w:bCs/>
          <w:color w:val="auto"/>
          <w:kern w:val="0"/>
          <w:szCs w:val="24"/>
          <w:highlight w:val="yellow"/>
          <w:u w:val="none"/>
          <w:lang w:eastAsia="zh-CN"/>
        </w:rPr>
        <w:t>固定管理费</w:t>
      </w:r>
    </w:p>
    <w:p w14:paraId="3BA0142F">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rPr>
        <w:t>E为前一日的理财资产净值</w:t>
      </w:r>
      <w:r>
        <w:rPr>
          <w:rFonts w:hint="eastAsia" w:ascii="仿宋_GB2312" w:hAnsi="宋体" w:cs="宋体"/>
          <w:bCs/>
          <w:color w:val="auto"/>
          <w:kern w:val="0"/>
          <w:szCs w:val="24"/>
          <w:highlight w:val="yellow"/>
          <w:u w:val="none"/>
          <w:lang w:eastAsia="zh-CN"/>
        </w:rPr>
        <w:t>】</w:t>
      </w:r>
    </w:p>
    <w:p w14:paraId="138D4F95">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eastAsia="zh-CN"/>
        </w:rPr>
        <w:t>固定管理费</w:t>
      </w:r>
      <w:r>
        <w:rPr>
          <w:rFonts w:hint="eastAsia" w:ascii="仿宋_GB2312" w:hAnsi="宋体" w:cs="宋体"/>
          <w:bCs/>
          <w:color w:val="auto"/>
          <w:kern w:val="0"/>
          <w:szCs w:val="24"/>
          <w:highlight w:val="none"/>
          <w:u w:val="none"/>
        </w:rPr>
        <w:t>依照上述约定，从理财财产中支付。费率具体数值以《产品说明书》“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”为准。</w:t>
      </w:r>
    </w:p>
    <w:p w14:paraId="203CCB68">
      <w:pPr>
        <w:pStyle w:val="13"/>
        <w:widowControl/>
        <w:numPr>
          <w:ilvl w:val="255"/>
          <w:numId w:val="0"/>
        </w:numPr>
        <w:snapToGrid w:val="0"/>
        <w:spacing w:line="360" w:lineRule="auto"/>
        <w:ind w:firstLine="420" w:firstLineChars="200"/>
        <w:rPr>
          <w:rFonts w:hint="eastAsia" w:eastAsia="仿宋_GB2312"/>
          <w:color w:val="auto"/>
          <w:highlight w:val="none"/>
          <w:u w:val="none"/>
          <w:lang w:eastAsia="zh-CN"/>
        </w:rPr>
      </w:pPr>
      <w:r>
        <w:rPr>
          <w:rFonts w:hint="eastAsia" w:ascii="仿宋_GB2312" w:hAnsi="宋体" w:cs="宋体"/>
          <w:bCs/>
          <w:color w:val="auto"/>
          <w:kern w:val="0"/>
          <w:szCs w:val="24"/>
          <w:highlight w:val="none"/>
          <w:u w:val="none"/>
        </w:rPr>
        <w:t>（4）</w:t>
      </w:r>
      <w:r>
        <w:rPr>
          <w:rFonts w:hint="eastAsia" w:ascii="仿宋_GB2312" w:hAnsi="宋体" w:cs="宋体"/>
          <w:bCs/>
          <w:color w:val="auto"/>
          <w:kern w:val="0"/>
          <w:szCs w:val="24"/>
          <w:highlight w:val="none"/>
          <w:u w:val="none"/>
          <w:lang w:eastAsia="zh-CN"/>
        </w:rPr>
        <w:t>浮动管理费</w:t>
      </w:r>
    </w:p>
    <w:p w14:paraId="68C0C638">
      <w:pPr>
        <w:pStyle w:val="13"/>
        <w:widowControl/>
        <w:snapToGrid w:val="0"/>
        <w:spacing w:line="360" w:lineRule="auto"/>
        <w:ind w:left="420" w:firstLine="0" w:firstLineChars="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rPr>
        <w:t>【</w:t>
      </w: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本产品</w:t>
      </w:r>
      <w:r>
        <w:rPr>
          <w:rFonts w:ascii="仿宋_GB2312" w:hAnsi="宋体" w:cs="宋体"/>
          <w:bCs/>
          <w:color w:val="auto"/>
          <w:kern w:val="0"/>
          <w:szCs w:val="24"/>
          <w:highlight w:val="yellow"/>
          <w:u w:val="none"/>
        </w:rPr>
        <w:t>无</w:t>
      </w:r>
      <w:r>
        <w:rPr>
          <w:rFonts w:hint="eastAsia" w:ascii="仿宋_GB2312" w:hAnsi="宋体" w:cs="宋体"/>
          <w:bCs/>
          <w:color w:val="auto"/>
          <w:kern w:val="0"/>
          <w:szCs w:val="24"/>
          <w:highlight w:val="yellow"/>
          <w:u w:val="none"/>
          <w:lang w:eastAsia="zh-CN"/>
        </w:rPr>
        <w:t>浮动管理费</w:t>
      </w:r>
      <w:r>
        <w:rPr>
          <w:rFonts w:ascii="仿宋_GB2312" w:hAnsi="宋体" w:cs="宋体"/>
          <w:bCs/>
          <w:color w:val="auto"/>
          <w:kern w:val="0"/>
          <w:szCs w:val="24"/>
          <w:highlight w:val="yellow"/>
          <w:u w:val="none"/>
        </w:rPr>
        <w:t>。</w:t>
      </w:r>
      <w:r>
        <w:rPr>
          <w:rFonts w:hint="eastAsia" w:ascii="仿宋_GB2312" w:hAnsi="宋体" w:cs="宋体"/>
          <w:bCs/>
          <w:color w:val="auto"/>
          <w:kern w:val="0"/>
          <w:szCs w:val="24"/>
          <w:highlight w:val="yellow"/>
          <w:u w:val="none"/>
          <w:lang w:eastAsia="zh-CN"/>
        </w:rPr>
        <w:t>】</w:t>
      </w:r>
    </w:p>
    <w:p w14:paraId="393EA4C4">
      <w:pPr>
        <w:widowControl/>
        <w:tabs>
          <w:tab w:val="left" w:pos="709"/>
        </w:tabs>
        <w:snapToGrid w:val="0"/>
        <w:spacing w:line="360" w:lineRule="auto"/>
        <w:ind w:firstLine="420" w:firstLineChars="200"/>
        <w:rPr>
          <w:color w:val="auto"/>
          <w:highlight w:val="yellow"/>
          <w:u w:val="none"/>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□理财产品管理人收取理财产品</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每日计提，在产品到期日收取（如有）。在理财产品到期日时</w:t>
      </w:r>
      <w:r>
        <w:rPr>
          <w:rFonts w:hint="eastAsia"/>
          <w:color w:val="auto"/>
          <w:highlight w:val="yellow"/>
          <w:u w:val="none"/>
        </w:rPr>
        <w:t>，若理财资产扣除销售服务费、</w:t>
      </w:r>
      <w:r>
        <w:rPr>
          <w:rFonts w:hint="eastAsia"/>
          <w:color w:val="auto"/>
          <w:highlight w:val="yellow"/>
          <w:u w:val="none"/>
          <w:lang w:eastAsia="zh-CN"/>
        </w:rPr>
        <w:t>托管费</w:t>
      </w:r>
      <w:r>
        <w:rPr>
          <w:rFonts w:hint="eastAsia"/>
          <w:color w:val="auto"/>
          <w:highlight w:val="yellow"/>
          <w:u w:val="none"/>
        </w:rPr>
        <w:t>和</w:t>
      </w:r>
      <w:r>
        <w:rPr>
          <w:rFonts w:hint="eastAsia"/>
          <w:color w:val="auto"/>
          <w:highlight w:val="yellow"/>
          <w:u w:val="none"/>
          <w:lang w:eastAsia="zh-CN"/>
        </w:rPr>
        <w:t>固定管理费</w:t>
      </w:r>
      <w:r>
        <w:rPr>
          <w:rFonts w:hint="eastAsia"/>
          <w:color w:val="auto"/>
          <w:highlight w:val="yellow"/>
          <w:u w:val="none"/>
        </w:rPr>
        <w:t>等相关费用和税收后，产品年化收益率超过</w:t>
      </w:r>
      <w:r>
        <w:rPr>
          <w:rFonts w:hint="eastAsia"/>
          <w:color w:val="auto"/>
          <w:highlight w:val="yellow"/>
          <w:u w:val="none"/>
          <w:lang w:eastAsia="zh-CN"/>
        </w:rPr>
        <w:t>浮动管理费</w:t>
      </w:r>
      <w:r>
        <w:rPr>
          <w:rFonts w:hint="eastAsia"/>
          <w:color w:val="auto"/>
          <w:highlight w:val="yellow"/>
          <w:u w:val="none"/>
        </w:rPr>
        <w:t>计提基准，则产品管理人收取超出部分的一定比例作为</w:t>
      </w:r>
      <w:r>
        <w:rPr>
          <w:rFonts w:hint="eastAsia"/>
          <w:color w:val="auto"/>
          <w:highlight w:val="yellow"/>
          <w:u w:val="none"/>
          <w:lang w:eastAsia="zh-CN"/>
        </w:rPr>
        <w:t>浮动管理费</w:t>
      </w:r>
      <w:r>
        <w:rPr>
          <w:rFonts w:hint="eastAsia"/>
          <w:color w:val="auto"/>
          <w:highlight w:val="yellow"/>
          <w:u w:val="none"/>
        </w:rPr>
        <w:t>。</w:t>
      </w:r>
    </w:p>
    <w:p w14:paraId="69C8CE31">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计提基准的设置、</w:t>
      </w:r>
      <w:r>
        <w:rPr>
          <w:rFonts w:hint="eastAsia"/>
          <w:color w:val="auto"/>
          <w:highlight w:val="yellow"/>
          <w:u w:val="none"/>
          <w:lang w:eastAsia="zh-CN"/>
        </w:rPr>
        <w:t>浮动管理费</w:t>
      </w:r>
      <w:r>
        <w:rPr>
          <w:rFonts w:hint="eastAsia" w:ascii="仿宋_GB2312" w:hAnsi="宋体" w:cs="宋体"/>
          <w:bCs/>
          <w:color w:val="auto"/>
          <w:kern w:val="0"/>
          <w:szCs w:val="24"/>
          <w:highlight w:val="yellow"/>
          <w:u w:val="none"/>
        </w:rPr>
        <w:t>的具体比例数值以《产品说明书》“</w:t>
      </w:r>
      <w:r>
        <w:rPr>
          <w:rFonts w:hint="eastAsia" w:ascii="仿宋_GB2312" w:hAnsi="宋体" w:cs="宋体"/>
          <w:bCs/>
          <w:color w:val="auto"/>
          <w:kern w:val="0"/>
          <w:szCs w:val="24"/>
          <w:highlight w:val="yellow"/>
          <w:u w:val="none"/>
          <w:lang w:eastAsia="zh-CN"/>
        </w:rPr>
        <w:t>第一节 理财产品说明书关键要素</w:t>
      </w:r>
      <w:r>
        <w:rPr>
          <w:rFonts w:hint="eastAsia" w:ascii="仿宋_GB2312" w:hAnsi="宋体" w:cs="宋体"/>
          <w:bCs/>
          <w:color w:val="auto"/>
          <w:kern w:val="0"/>
          <w:szCs w:val="24"/>
          <w:highlight w:val="yellow"/>
          <w:u w:val="none"/>
        </w:rPr>
        <w:t>”为准。</w:t>
      </w:r>
    </w:p>
    <w:p w14:paraId="26BBBC1D">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color w:val="auto"/>
          <w:highlight w:val="yellow"/>
          <w:u w:val="none"/>
          <w:lang w:eastAsia="zh-CN"/>
        </w:rPr>
        <w:t>浮动管理费</w:t>
      </w:r>
      <w:r>
        <w:rPr>
          <w:rFonts w:hint="eastAsia" w:ascii="仿宋_GB2312" w:hAnsi="宋体" w:cs="宋体"/>
          <w:bCs/>
          <w:color w:val="auto"/>
          <w:kern w:val="0"/>
          <w:szCs w:val="24"/>
          <w:highlight w:val="yellow"/>
          <w:u w:val="none"/>
        </w:rPr>
        <w:t xml:space="preserve">的计提/收取如下： </w:t>
      </w:r>
    </w:p>
    <w:p w14:paraId="3FE07ED0">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产品年化收益率</w:t>
      </w:r>
      <w:r>
        <w:rPr>
          <w:rFonts w:ascii="仿宋_GB2312" w:hAnsi="宋体" w:cs="宋体"/>
          <w:bCs/>
          <w:color w:val="auto"/>
          <w:kern w:val="0"/>
          <w:szCs w:val="24"/>
          <w:highlight w:val="yellow"/>
          <w:u w:val="none"/>
        </w:rPr>
        <w:t>R</w:t>
      </w:r>
      <w:r>
        <w:rPr>
          <w:rFonts w:hint="eastAsia" w:ascii="仿宋_GB2312" w:hAnsi="宋体" w:cs="宋体"/>
          <w:bCs/>
          <w:color w:val="auto"/>
          <w:kern w:val="0"/>
          <w:szCs w:val="24"/>
          <w:highlight w:val="yellow"/>
          <w:u w:val="none"/>
        </w:rPr>
        <w:t>的计算公式，R=（</w:t>
      </w:r>
      <w:r>
        <w:rPr>
          <w:rFonts w:ascii="仿宋_GB2312" w:hAnsi="宋体" w:cs="宋体"/>
          <w:bCs/>
          <w:color w:val="auto"/>
          <w:kern w:val="0"/>
          <w:szCs w:val="24"/>
          <w:highlight w:val="yellow"/>
          <w:u w:val="none"/>
        </w:rPr>
        <w:t>V</w:t>
      </w:r>
      <w:r>
        <w:rPr>
          <w:rFonts w:hint="eastAsia" w:ascii="仿宋_GB2312" w:hAnsi="宋体" w:cs="宋体"/>
          <w:bCs/>
          <w:color w:val="auto"/>
          <w:kern w:val="0"/>
          <w:sz w:val="13"/>
          <w:szCs w:val="24"/>
          <w:highlight w:val="yellow"/>
          <w:u w:val="none"/>
        </w:rPr>
        <w:t>计提/到期日产品份额累计净值</w:t>
      </w:r>
      <w:r>
        <w:rPr>
          <w:rFonts w:hint="eastAsia" w:ascii="仿宋_GB2312" w:hAnsi="宋体" w:cs="宋体"/>
          <w:bCs/>
          <w:color w:val="auto"/>
          <w:kern w:val="0"/>
          <w:szCs w:val="24"/>
          <w:highlight w:val="yellow"/>
          <w:u w:val="none"/>
        </w:rPr>
        <w:t>-V</w:t>
      </w:r>
      <w:r>
        <w:rPr>
          <w:rFonts w:hint="eastAsia" w:ascii="仿宋_GB2312" w:hAnsi="宋体" w:cs="宋体"/>
          <w:bCs/>
          <w:color w:val="auto"/>
          <w:kern w:val="0"/>
          <w:sz w:val="13"/>
          <w:szCs w:val="24"/>
          <w:highlight w:val="yellow"/>
          <w:u w:val="none"/>
        </w:rPr>
        <w:t>期初份额净值</w:t>
      </w:r>
      <w:r>
        <w:rPr>
          <w:rFonts w:hint="eastAsia" w:ascii="仿宋_GB2312" w:hAnsi="宋体" w:cs="宋体"/>
          <w:bCs/>
          <w:color w:val="auto"/>
          <w:kern w:val="0"/>
          <w:szCs w:val="24"/>
          <w:highlight w:val="yellow"/>
          <w:u w:val="none"/>
        </w:rPr>
        <w:t>）/V</w:t>
      </w:r>
      <w:r>
        <w:rPr>
          <w:rFonts w:hint="eastAsia" w:ascii="仿宋_GB2312" w:hAnsi="宋体" w:cs="宋体"/>
          <w:bCs/>
          <w:color w:val="auto"/>
          <w:kern w:val="0"/>
          <w:sz w:val="13"/>
          <w:szCs w:val="24"/>
          <w:highlight w:val="yellow"/>
          <w:u w:val="none"/>
        </w:rPr>
        <w:t>期初份额净值</w:t>
      </w:r>
      <w:r>
        <w:rPr>
          <w:rFonts w:hint="eastAsia" w:ascii="仿宋_GB2312" w:hAnsi="宋体" w:cs="宋体"/>
          <w:bCs/>
          <w:color w:val="auto"/>
          <w:kern w:val="0"/>
          <w:szCs w:val="24"/>
          <w:highlight w:val="yellow"/>
          <w:u w:val="none"/>
        </w:rPr>
        <w:t>/（</w:t>
      </w:r>
      <w:r>
        <w:rPr>
          <w:rFonts w:ascii="仿宋_GB2312" w:hAnsi="宋体" w:cs="宋体"/>
          <w:bCs/>
          <w:color w:val="auto"/>
          <w:kern w:val="0"/>
          <w:szCs w:val="24"/>
          <w:highlight w:val="yellow"/>
          <w:u w:val="none"/>
        </w:rPr>
        <w:t>D+1</w:t>
      </w:r>
      <w:r>
        <w:rPr>
          <w:rFonts w:hint="eastAsia" w:ascii="仿宋_GB2312" w:hAnsi="宋体" w:cs="宋体"/>
          <w:bCs/>
          <w:color w:val="auto"/>
          <w:kern w:val="0"/>
          <w:szCs w:val="24"/>
          <w:highlight w:val="yellow"/>
          <w:u w:val="none"/>
        </w:rPr>
        <w:t>）</w:t>
      </w:r>
      <w:r>
        <w:rPr>
          <w:rFonts w:ascii="仿宋_GB2312" w:hAnsi="宋体" w:cs="宋体"/>
          <w:bCs/>
          <w:color w:val="auto"/>
          <w:kern w:val="0"/>
          <w:szCs w:val="24"/>
          <w:highlight w:val="yellow"/>
          <w:u w:val="none"/>
        </w:rPr>
        <w:t>*365*100</w:t>
      </w:r>
      <w:r>
        <w:rPr>
          <w:rFonts w:hint="eastAsia" w:ascii="仿宋_GB2312" w:hAnsi="宋体" w:cs="宋体"/>
          <w:bCs/>
          <w:color w:val="auto"/>
          <w:kern w:val="0"/>
          <w:szCs w:val="24"/>
          <w:highlight w:val="yellow"/>
          <w:u w:val="none"/>
        </w:rPr>
        <w:t>%</w:t>
      </w:r>
    </w:p>
    <w:p w14:paraId="331A0D1F">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产品管理人对产品年化收益率</w:t>
      </w:r>
      <w:r>
        <w:rPr>
          <w:rFonts w:ascii="仿宋_GB2312" w:hAnsi="宋体" w:cs="宋体"/>
          <w:bCs/>
          <w:color w:val="auto"/>
          <w:kern w:val="0"/>
          <w:szCs w:val="24"/>
          <w:highlight w:val="yellow"/>
          <w:u w:val="none"/>
        </w:rPr>
        <w:t>超过</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计提基准的部分，按</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分成比例</w:t>
      </w:r>
      <w:r>
        <w:rPr>
          <w:rFonts w:ascii="仿宋_GB2312" w:hAnsi="宋体" w:cs="宋体"/>
          <w:bCs/>
          <w:color w:val="auto"/>
          <w:kern w:val="0"/>
          <w:szCs w:val="24"/>
          <w:highlight w:val="yellow"/>
          <w:u w:val="none"/>
        </w:rPr>
        <w:t>以及产品份额持有天数</w:t>
      </w:r>
      <w:r>
        <w:rPr>
          <w:rFonts w:hint="eastAsia" w:ascii="仿宋_GB2312" w:hAnsi="宋体" w:cs="宋体"/>
          <w:bCs/>
          <w:color w:val="auto"/>
          <w:kern w:val="0"/>
          <w:szCs w:val="24"/>
          <w:highlight w:val="yellow"/>
          <w:u w:val="none"/>
        </w:rPr>
        <w:t>计提/收取</w:t>
      </w:r>
      <w:r>
        <w:rPr>
          <w:rFonts w:hint="eastAsia"/>
          <w:color w:val="auto"/>
          <w:highlight w:val="yellow"/>
          <w:u w:val="none"/>
          <w:lang w:eastAsia="zh-CN"/>
        </w:rPr>
        <w:t>浮动管理费</w:t>
      </w:r>
      <w:r>
        <w:rPr>
          <w:rFonts w:hint="eastAsia" w:ascii="仿宋_GB2312" w:hAnsi="宋体" w:cs="宋体"/>
          <w:bCs/>
          <w:color w:val="auto"/>
          <w:kern w:val="0"/>
          <w:szCs w:val="24"/>
          <w:highlight w:val="yellow"/>
          <w:u w:val="none"/>
        </w:rPr>
        <w:t>，计算方法如下：</w:t>
      </w:r>
    </w:p>
    <w:p w14:paraId="514F51DE">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当</w:t>
      </w:r>
      <w:r>
        <w:rPr>
          <w:rFonts w:ascii="仿宋_GB2312" w:hAnsi="宋体" w:cs="宋体"/>
          <w:bCs/>
          <w:color w:val="auto"/>
          <w:kern w:val="0"/>
          <w:szCs w:val="24"/>
          <w:highlight w:val="yellow"/>
          <w:u w:val="none"/>
        </w:rPr>
        <w:t>R≤</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计提基准，可计提/收取</w:t>
      </w:r>
      <w:r>
        <w:rPr>
          <w:rFonts w:hint="eastAsia"/>
          <w:color w:val="auto"/>
          <w:highlight w:val="yellow"/>
          <w:u w:val="none"/>
          <w:lang w:eastAsia="zh-CN"/>
        </w:rPr>
        <w:t>浮动管理费</w:t>
      </w:r>
      <w:r>
        <w:rPr>
          <w:rFonts w:ascii="仿宋_GB2312" w:hAnsi="宋体" w:cs="宋体"/>
          <w:bCs/>
          <w:color w:val="auto"/>
          <w:kern w:val="0"/>
          <w:szCs w:val="24"/>
          <w:highlight w:val="yellow"/>
          <w:u w:val="none"/>
        </w:rPr>
        <w:t>=0；</w:t>
      </w:r>
    </w:p>
    <w:p w14:paraId="2CE163E8">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当</w:t>
      </w:r>
      <w:r>
        <w:rPr>
          <w:rFonts w:ascii="仿宋_GB2312" w:hAnsi="宋体" w:cs="宋体"/>
          <w:bCs/>
          <w:color w:val="auto"/>
          <w:kern w:val="0"/>
          <w:szCs w:val="24"/>
          <w:highlight w:val="yellow"/>
          <w:u w:val="none"/>
        </w:rPr>
        <w:t>R＞</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计提基准，可计提/收取</w:t>
      </w:r>
      <w:r>
        <w:rPr>
          <w:rFonts w:hint="eastAsia"/>
          <w:color w:val="auto"/>
          <w:highlight w:val="yellow"/>
          <w:u w:val="none"/>
          <w:lang w:eastAsia="zh-CN"/>
        </w:rPr>
        <w:t>浮动管理费</w:t>
      </w:r>
      <w:r>
        <w:rPr>
          <w:rFonts w:ascii="仿宋_GB2312" w:hAnsi="宋体" w:cs="宋体"/>
          <w:bCs/>
          <w:color w:val="auto"/>
          <w:kern w:val="0"/>
          <w:szCs w:val="24"/>
          <w:highlight w:val="yellow"/>
          <w:u w:val="none"/>
        </w:rPr>
        <w:t>=</w:t>
      </w:r>
      <w:r>
        <w:rPr>
          <w:rFonts w:hint="eastAsia" w:ascii="仿宋_GB2312" w:hAnsi="宋体" w:cs="宋体"/>
          <w:bCs/>
          <w:color w:val="auto"/>
          <w:kern w:val="0"/>
          <w:szCs w:val="24"/>
          <w:highlight w:val="yellow"/>
          <w:u w:val="none"/>
        </w:rPr>
        <w:t>产品计提/到期日投资者持有的产品份额×V</w:t>
      </w:r>
      <w:r>
        <w:rPr>
          <w:rFonts w:hint="eastAsia" w:ascii="仿宋_GB2312" w:hAnsi="宋体" w:cs="宋体"/>
          <w:bCs/>
          <w:color w:val="auto"/>
          <w:kern w:val="0"/>
          <w:sz w:val="13"/>
          <w:szCs w:val="24"/>
          <w:highlight w:val="yellow"/>
          <w:u w:val="none"/>
        </w:rPr>
        <w:t>期初份额净值</w:t>
      </w:r>
      <w:r>
        <w:rPr>
          <w:rFonts w:hint="eastAsia" w:ascii="仿宋_GB2312" w:hAnsi="宋体" w:cs="宋体"/>
          <w:bCs/>
          <w:color w:val="auto"/>
          <w:kern w:val="0"/>
          <w:szCs w:val="24"/>
          <w:highlight w:val="yellow"/>
          <w:u w:val="none"/>
        </w:rPr>
        <w:t>×（</w:t>
      </w:r>
      <w:r>
        <w:rPr>
          <w:rFonts w:ascii="仿宋_GB2312" w:hAnsi="宋体" w:cs="宋体"/>
          <w:bCs/>
          <w:color w:val="auto"/>
          <w:kern w:val="0"/>
          <w:szCs w:val="24"/>
          <w:highlight w:val="yellow"/>
          <w:u w:val="none"/>
        </w:rPr>
        <w:t>R-</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计提基准）×</w:t>
      </w:r>
      <w:r>
        <w:rPr>
          <w:rFonts w:ascii="仿宋_GB2312" w:hAnsi="宋体" w:cs="宋体"/>
          <w:bCs/>
          <w:color w:val="auto"/>
          <w:kern w:val="0"/>
          <w:szCs w:val="24"/>
          <w:highlight w:val="yellow"/>
          <w:u w:val="none"/>
        </w:rPr>
        <w:t>N×</w:t>
      </w:r>
      <w:r>
        <w:rPr>
          <w:rFonts w:hint="eastAsia" w:ascii="仿宋_GB2312" w:hAnsi="宋体" w:cs="宋体"/>
          <w:bCs/>
          <w:color w:val="auto"/>
          <w:kern w:val="0"/>
          <w:szCs w:val="24"/>
          <w:highlight w:val="yellow"/>
          <w:u w:val="none"/>
        </w:rPr>
        <w:t>（D</w:t>
      </w:r>
      <w:r>
        <w:rPr>
          <w:rFonts w:ascii="仿宋_GB2312" w:hAnsi="宋体" w:cs="宋体"/>
          <w:bCs/>
          <w:color w:val="auto"/>
          <w:kern w:val="0"/>
          <w:szCs w:val="24"/>
          <w:highlight w:val="yellow"/>
          <w:u w:val="none"/>
        </w:rPr>
        <w:t>+1</w:t>
      </w:r>
      <w:r>
        <w:rPr>
          <w:rFonts w:hint="eastAsia" w:ascii="仿宋_GB2312" w:hAnsi="宋体" w:cs="宋体"/>
          <w:bCs/>
          <w:color w:val="auto"/>
          <w:kern w:val="0"/>
          <w:szCs w:val="24"/>
          <w:highlight w:val="yellow"/>
          <w:u w:val="none"/>
        </w:rPr>
        <w:t>）</w:t>
      </w:r>
      <w:r>
        <w:rPr>
          <w:rFonts w:ascii="仿宋_GB2312" w:hAnsi="宋体" w:cs="宋体"/>
          <w:bCs/>
          <w:color w:val="auto"/>
          <w:kern w:val="0"/>
          <w:szCs w:val="24"/>
          <w:highlight w:val="yellow"/>
          <w:u w:val="none"/>
        </w:rPr>
        <w:t>/365。</w:t>
      </w:r>
    </w:p>
    <w:p w14:paraId="2FAE422E">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rPr>
        <w:t>其中，</w:t>
      </w:r>
      <w:r>
        <w:rPr>
          <w:rFonts w:ascii="仿宋_GB2312" w:hAnsi="宋体" w:cs="宋体"/>
          <w:bCs/>
          <w:color w:val="auto"/>
          <w:kern w:val="0"/>
          <w:szCs w:val="24"/>
          <w:highlight w:val="yellow"/>
          <w:u w:val="none"/>
        </w:rPr>
        <w:t>V</w:t>
      </w:r>
      <w:r>
        <w:rPr>
          <w:rFonts w:hint="eastAsia" w:ascii="仿宋_GB2312" w:hAnsi="宋体" w:cs="宋体"/>
          <w:bCs/>
          <w:color w:val="auto"/>
          <w:kern w:val="0"/>
          <w:sz w:val="13"/>
          <w:szCs w:val="24"/>
          <w:highlight w:val="yellow"/>
          <w:u w:val="none"/>
        </w:rPr>
        <w:t>计提/到期日产品份额累计净值</w:t>
      </w:r>
      <w:r>
        <w:rPr>
          <w:rFonts w:hint="eastAsia" w:ascii="仿宋_GB2312" w:hAnsi="宋体" w:cs="宋体"/>
          <w:bCs/>
          <w:color w:val="auto"/>
          <w:kern w:val="0"/>
          <w:szCs w:val="24"/>
          <w:highlight w:val="yellow"/>
          <w:u w:val="none"/>
        </w:rPr>
        <w:t>表示产品计提/到期日的产品份额累计净值（未扣除</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），V</w:t>
      </w:r>
      <w:r>
        <w:rPr>
          <w:rFonts w:hint="eastAsia" w:ascii="仿宋_GB2312" w:hAnsi="宋体" w:cs="宋体"/>
          <w:bCs/>
          <w:color w:val="auto"/>
          <w:kern w:val="0"/>
          <w:sz w:val="13"/>
          <w:szCs w:val="24"/>
          <w:highlight w:val="yellow"/>
          <w:u w:val="none"/>
        </w:rPr>
        <w:t>期初份额净值</w:t>
      </w:r>
      <w:r>
        <w:rPr>
          <w:rFonts w:hint="eastAsia" w:ascii="仿宋_GB2312" w:hAnsi="宋体" w:cs="宋体"/>
          <w:bCs/>
          <w:color w:val="auto"/>
          <w:kern w:val="0"/>
          <w:szCs w:val="24"/>
          <w:highlight w:val="yellow"/>
          <w:u w:val="none"/>
        </w:rPr>
        <w:t>表示产品成立日的产品份额净值，D表示产品到期日-产品成立日，N表示</w:t>
      </w:r>
      <w:r>
        <w:rPr>
          <w:rFonts w:hint="eastAsia" w:ascii="仿宋_GB2312" w:hAnsi="宋体" w:cs="宋体"/>
          <w:bCs/>
          <w:color w:val="auto"/>
          <w:kern w:val="0"/>
          <w:szCs w:val="24"/>
          <w:highlight w:val="yellow"/>
          <w:u w:val="none"/>
          <w:lang w:eastAsia="zh-CN"/>
        </w:rPr>
        <w:t>浮动管理费</w:t>
      </w:r>
      <w:r>
        <w:rPr>
          <w:rFonts w:hint="eastAsia" w:ascii="仿宋_GB2312" w:hAnsi="宋体" w:cs="宋体"/>
          <w:bCs/>
          <w:color w:val="auto"/>
          <w:kern w:val="0"/>
          <w:szCs w:val="24"/>
          <w:highlight w:val="yellow"/>
          <w:u w:val="none"/>
        </w:rPr>
        <w:t>分成比例。</w:t>
      </w:r>
      <w:r>
        <w:rPr>
          <w:rFonts w:hint="eastAsia" w:ascii="仿宋_GB2312" w:hAnsi="宋体" w:cs="宋体"/>
          <w:bCs/>
          <w:color w:val="auto"/>
          <w:kern w:val="0"/>
          <w:szCs w:val="24"/>
          <w:highlight w:val="yellow"/>
          <w:u w:val="none"/>
          <w:lang w:eastAsia="zh-CN"/>
        </w:rPr>
        <w:t>】</w:t>
      </w:r>
    </w:p>
    <w:p w14:paraId="1885214D">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（5）理财产品的托管费</w:t>
      </w:r>
    </w:p>
    <w:p w14:paraId="42C01D7A">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lang w:eastAsia="zh-CN"/>
        </w:rPr>
        <w:t>【</w:t>
      </w:r>
      <w:r>
        <w:rPr>
          <w:rFonts w:hint="eastAsia" w:ascii="仿宋_GB2312" w:hAnsi="宋体" w:cs="宋体"/>
          <w:bCs/>
          <w:color w:val="auto"/>
          <w:kern w:val="0"/>
          <w:szCs w:val="24"/>
          <w:highlight w:val="yellow"/>
          <w:u w:val="none"/>
        </w:rPr>
        <w:t>本产品的托管费按前一日理财资产净值与</w:t>
      </w:r>
      <w:r>
        <w:rPr>
          <w:rFonts w:hint="eastAsia" w:ascii="仿宋_GB2312" w:hAnsi="宋体" w:cs="宋体"/>
          <w:bCs/>
          <w:color w:val="auto"/>
          <w:kern w:val="0"/>
          <w:szCs w:val="24"/>
          <w:highlight w:val="yellow"/>
          <w:u w:val="none"/>
          <w:lang w:eastAsia="zh-CN"/>
        </w:rPr>
        <w:t>托管费</w:t>
      </w:r>
      <w:r>
        <w:rPr>
          <w:rFonts w:hint="eastAsia" w:ascii="仿宋_GB2312" w:hAnsi="宋体" w:cs="宋体"/>
          <w:bCs/>
          <w:color w:val="auto"/>
          <w:kern w:val="0"/>
          <w:szCs w:val="24"/>
          <w:highlight w:val="yellow"/>
          <w:u w:val="none"/>
        </w:rPr>
        <w:t>费率每日计提，</w:t>
      </w:r>
      <w:r>
        <w:rPr>
          <w:rFonts w:hint="eastAsia" w:ascii="仿宋_GB2312" w:hAnsi="宋体" w:cs="宋体"/>
          <w:bCs/>
          <w:color w:val="auto"/>
          <w:spacing w:val="-4"/>
          <w:kern w:val="0"/>
          <w:szCs w:val="24"/>
          <w:highlight w:val="yellow"/>
          <w:u w:val="none"/>
        </w:rPr>
        <w:t>管理人可按季或产品开放周期（如有）收取，或与后续季度、开放周期（如有）合并收取。</w:t>
      </w:r>
      <w:r>
        <w:rPr>
          <w:rFonts w:hint="eastAsia" w:ascii="仿宋_GB2312" w:hAnsi="宋体" w:cs="宋体"/>
          <w:bCs/>
          <w:color w:val="auto"/>
          <w:kern w:val="0"/>
          <w:szCs w:val="24"/>
          <w:highlight w:val="yellow"/>
          <w:u w:val="none"/>
          <w:lang w:eastAsia="zh-CN"/>
        </w:rPr>
        <w:t>托管费</w:t>
      </w:r>
      <w:r>
        <w:rPr>
          <w:rFonts w:hint="eastAsia" w:ascii="仿宋_GB2312" w:hAnsi="宋体" w:cs="宋体"/>
          <w:bCs/>
          <w:color w:val="auto"/>
          <w:spacing w:val="-4"/>
          <w:kern w:val="0"/>
          <w:szCs w:val="24"/>
          <w:highlight w:val="yellow"/>
          <w:u w:val="none"/>
        </w:rPr>
        <w:t>精确到小数点后2位，小数点2位以后四舍五入</w:t>
      </w:r>
      <w:r>
        <w:rPr>
          <w:rFonts w:hint="eastAsia" w:ascii="仿宋_GB2312" w:hAnsi="宋体" w:cs="宋体"/>
          <w:bCs/>
          <w:color w:val="auto"/>
          <w:kern w:val="0"/>
          <w:szCs w:val="24"/>
          <w:highlight w:val="yellow"/>
          <w:u w:val="none"/>
        </w:rPr>
        <w:t>。</w:t>
      </w:r>
    </w:p>
    <w:p w14:paraId="1FFC727D">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lang w:eastAsia="zh-CN"/>
        </w:rPr>
        <w:t>托管费</w:t>
      </w:r>
      <w:r>
        <w:rPr>
          <w:rFonts w:hint="eastAsia" w:ascii="仿宋_GB2312" w:hAnsi="宋体" w:cs="宋体"/>
          <w:bCs/>
          <w:color w:val="auto"/>
          <w:kern w:val="0"/>
          <w:szCs w:val="24"/>
          <w:highlight w:val="yellow"/>
          <w:u w:val="none"/>
        </w:rPr>
        <w:t>的计算方法如下：</w:t>
      </w:r>
    </w:p>
    <w:p w14:paraId="0016649D">
      <w:pPr>
        <w:widowControl/>
        <w:tabs>
          <w:tab w:val="left" w:pos="709"/>
        </w:tabs>
        <w:snapToGrid w:val="0"/>
        <w:spacing w:line="360" w:lineRule="auto"/>
        <w:ind w:firstLine="420" w:firstLineChars="200"/>
        <w:rPr>
          <w:rFonts w:ascii="仿宋_GB2312" w:hAnsi="宋体" w:cs="宋体"/>
          <w:bCs/>
          <w:color w:val="auto"/>
          <w:kern w:val="0"/>
          <w:szCs w:val="24"/>
          <w:highlight w:val="yellow"/>
          <w:u w:val="none"/>
        </w:rPr>
      </w:pPr>
      <w:r>
        <w:rPr>
          <w:rFonts w:hint="eastAsia" w:ascii="仿宋_GB2312" w:hAnsi="宋体" w:cs="宋体"/>
          <w:bCs/>
          <w:color w:val="auto"/>
          <w:kern w:val="0"/>
          <w:szCs w:val="24"/>
          <w:highlight w:val="yellow"/>
          <w:u w:val="none"/>
        </w:rPr>
        <w:t>H＝E×</w:t>
      </w:r>
      <w:r>
        <w:rPr>
          <w:rFonts w:hint="eastAsia" w:ascii="仿宋_GB2312" w:hAnsi="宋体" w:cs="宋体"/>
          <w:bCs/>
          <w:color w:val="auto"/>
          <w:kern w:val="0"/>
          <w:szCs w:val="24"/>
          <w:highlight w:val="yellow"/>
          <w:u w:val="none"/>
          <w:lang w:eastAsia="zh-CN"/>
        </w:rPr>
        <w:t>托管费</w:t>
      </w:r>
      <w:r>
        <w:rPr>
          <w:rFonts w:hint="eastAsia" w:ascii="仿宋_GB2312" w:hAnsi="宋体" w:cs="宋体"/>
          <w:bCs/>
          <w:color w:val="auto"/>
          <w:kern w:val="0"/>
          <w:szCs w:val="24"/>
          <w:highlight w:val="yellow"/>
          <w:u w:val="none"/>
        </w:rPr>
        <w:t>年费率÷365</w:t>
      </w:r>
    </w:p>
    <w:p w14:paraId="04795DE2">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rPr>
        <w:t>H为每日应计提的</w:t>
      </w:r>
      <w:r>
        <w:rPr>
          <w:rFonts w:hint="eastAsia" w:ascii="仿宋_GB2312" w:hAnsi="宋体" w:cs="宋体"/>
          <w:bCs/>
          <w:color w:val="auto"/>
          <w:kern w:val="0"/>
          <w:szCs w:val="24"/>
          <w:highlight w:val="yellow"/>
          <w:u w:val="none"/>
          <w:lang w:eastAsia="zh-CN"/>
        </w:rPr>
        <w:t>托管费</w:t>
      </w:r>
    </w:p>
    <w:p w14:paraId="2AA5E519">
      <w:pPr>
        <w:widowControl/>
        <w:tabs>
          <w:tab w:val="left" w:pos="709"/>
        </w:tabs>
        <w:snapToGrid w:val="0"/>
        <w:spacing w:line="360" w:lineRule="auto"/>
        <w:ind w:firstLine="420" w:firstLineChars="200"/>
        <w:rPr>
          <w:rFonts w:hint="eastAsia" w:ascii="仿宋_GB2312" w:hAnsi="宋体" w:eastAsia="仿宋_GB2312" w:cs="宋体"/>
          <w:bCs/>
          <w:color w:val="auto"/>
          <w:kern w:val="0"/>
          <w:szCs w:val="24"/>
          <w:highlight w:val="yellow"/>
          <w:u w:val="none"/>
          <w:lang w:eastAsia="zh-CN"/>
        </w:rPr>
      </w:pPr>
      <w:r>
        <w:rPr>
          <w:rFonts w:hint="eastAsia" w:ascii="仿宋_GB2312" w:hAnsi="宋体" w:cs="宋体"/>
          <w:bCs/>
          <w:color w:val="auto"/>
          <w:kern w:val="0"/>
          <w:szCs w:val="24"/>
          <w:highlight w:val="yellow"/>
          <w:u w:val="none"/>
        </w:rPr>
        <w:t>E为前一日的理财资产净值</w:t>
      </w:r>
      <w:r>
        <w:rPr>
          <w:rFonts w:hint="eastAsia" w:ascii="仿宋_GB2312" w:hAnsi="宋体" w:cs="宋体"/>
          <w:bCs/>
          <w:color w:val="auto"/>
          <w:kern w:val="0"/>
          <w:szCs w:val="24"/>
          <w:highlight w:val="yellow"/>
          <w:u w:val="none"/>
          <w:lang w:eastAsia="zh-CN"/>
        </w:rPr>
        <w:t>】</w:t>
      </w:r>
    </w:p>
    <w:p w14:paraId="3BA44ADF">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lang w:eastAsia="zh-CN"/>
        </w:rPr>
        <w:t>托管费</w:t>
      </w:r>
      <w:r>
        <w:rPr>
          <w:rFonts w:hint="eastAsia" w:ascii="仿宋_GB2312" w:hAnsi="宋体" w:cs="宋体"/>
          <w:bCs/>
          <w:color w:val="auto"/>
          <w:kern w:val="0"/>
          <w:szCs w:val="24"/>
          <w:highlight w:val="none"/>
          <w:u w:val="none"/>
        </w:rPr>
        <w:t>依照上述约定，从理财财产中支付。费率具体数值以《产品说明书》“</w:t>
      </w:r>
      <w:r>
        <w:rPr>
          <w:rFonts w:hint="eastAsia" w:ascii="仿宋_GB2312" w:hAnsi="宋体" w:cs="宋体"/>
          <w:bCs/>
          <w:color w:val="auto"/>
          <w:kern w:val="0"/>
          <w:szCs w:val="24"/>
          <w:highlight w:val="none"/>
          <w:u w:val="none"/>
          <w:lang w:eastAsia="zh-CN"/>
        </w:rPr>
        <w:t>第一节 理财产品说明书关键要素</w:t>
      </w:r>
      <w:r>
        <w:rPr>
          <w:rFonts w:hint="eastAsia" w:ascii="仿宋_GB2312" w:hAnsi="宋体" w:cs="宋体"/>
          <w:bCs/>
          <w:color w:val="auto"/>
          <w:kern w:val="0"/>
          <w:szCs w:val="24"/>
          <w:highlight w:val="none"/>
          <w:u w:val="none"/>
        </w:rPr>
        <w:t>”为准。</w:t>
      </w:r>
    </w:p>
    <w:p w14:paraId="1E4EA503">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（6）其他费用</w:t>
      </w:r>
    </w:p>
    <w:p w14:paraId="3569852A">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与理财产品相关的其他费用，按照实际发生金额从产品资产中列支。若产品管理人先行垫付其他费用的，管理人有权从理财产品资产中优先受偿。</w:t>
      </w:r>
    </w:p>
    <w:p w14:paraId="2452D896">
      <w:pPr>
        <w:widowControl/>
        <w:tabs>
          <w:tab w:val="left" w:pos="709"/>
        </w:tabs>
        <w:snapToGrid w:val="0"/>
        <w:spacing w:line="360" w:lineRule="auto"/>
        <w:ind w:firstLine="422" w:firstLineChars="200"/>
        <w:rPr>
          <w:rFonts w:ascii="仿宋_GB2312" w:hAnsi="宋体" w:cs="宋体"/>
          <w:b/>
          <w:bCs/>
          <w:color w:val="auto"/>
          <w:kern w:val="0"/>
          <w:szCs w:val="24"/>
          <w:highlight w:val="none"/>
          <w:u w:val="none"/>
        </w:rPr>
      </w:pPr>
      <w:r>
        <w:rPr>
          <w:rFonts w:ascii="仿宋_GB2312" w:hAnsi="宋体" w:cs="宋体"/>
          <w:b/>
          <w:bCs/>
          <w:color w:val="auto"/>
          <w:kern w:val="0"/>
          <w:szCs w:val="24"/>
          <w:highlight w:val="none"/>
          <w:u w:val="none"/>
        </w:rPr>
        <w:t>3</w:t>
      </w:r>
      <w:r>
        <w:rPr>
          <w:rFonts w:hint="eastAsia" w:ascii="仿宋_GB2312" w:hAnsi="宋体" w:cs="宋体"/>
          <w:b/>
          <w:bCs/>
          <w:color w:val="auto"/>
          <w:kern w:val="0"/>
          <w:szCs w:val="24"/>
          <w:highlight w:val="none"/>
          <w:u w:val="none"/>
        </w:rPr>
        <w:t>.费用调整</w:t>
      </w:r>
    </w:p>
    <w:p w14:paraId="721E2BF9">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产品管理人有权根据相关法律和国家政策规定，对理财产品费用的收费项目、收费条件、收费标准和收费方式等进行调整。产品管理人对费用的调整按本说明书约定的方式进行信息披露。投资者有权不接受调整，并按照信息披露内容中约定的方式提前赎回理财产品。</w:t>
      </w:r>
    </w:p>
    <w:p w14:paraId="2A8B35D5">
      <w:pPr>
        <w:pStyle w:val="3"/>
        <w:numPr>
          <w:ilvl w:val="1"/>
          <w:numId w:val="15"/>
        </w:numPr>
        <w:ind w:firstLine="482"/>
        <w:rPr>
          <w:color w:val="auto"/>
          <w:highlight w:val="none"/>
          <w:u w:val="none"/>
        </w:rPr>
      </w:pPr>
      <w:r>
        <w:rPr>
          <w:rFonts w:hint="eastAsia"/>
          <w:color w:val="auto"/>
          <w:highlight w:val="none"/>
          <w:u w:val="none"/>
        </w:rPr>
        <w:t>税收说明</w:t>
      </w:r>
    </w:p>
    <w:p w14:paraId="32C2E4A0">
      <w:pPr>
        <w:tabs>
          <w:tab w:val="left" w:pos="709"/>
        </w:tabs>
        <w:snapToGrid w:val="0"/>
        <w:spacing w:line="360" w:lineRule="auto"/>
        <w:ind w:firstLine="420" w:firstLineChars="200"/>
        <w:rPr>
          <w:color w:val="auto"/>
          <w:highlight w:val="none"/>
          <w:u w:val="none"/>
        </w:rPr>
      </w:pPr>
      <w:r>
        <w:rPr>
          <w:rFonts w:hint="eastAsia" w:ascii="仿宋_GB2312" w:hAnsi="宋体" w:cs="宋体"/>
          <w:bCs/>
          <w:color w:val="auto"/>
          <w:kern w:val="0"/>
          <w:szCs w:val="24"/>
          <w:highlight w:val="none"/>
          <w:u w:val="none"/>
        </w:rPr>
        <w:t>本理财产品运作过程中涉及的各纳税主体的纳税义务按国家税收法律、法规执行。除法律法规特别要求外，理财产品运营过程中发生的增值税应税行为，由理财产品承担增值税及附加税费，并由理财产品管理人进行计算、申报和缴纳，该等税费将直接从理财产品财产中支付。后续国家法律法规如对相关税收政策进行调整，管理人有权根据税收政策相应调整理财产品运营过程中发生的税费的承担方式。理财收益的应纳税款以及其他的投资者应纳税款由投资者自行申报及缴纳，管理人不承担代扣代缴或纳税的义务。</w:t>
      </w:r>
    </w:p>
    <w:p w14:paraId="4DF788C3">
      <w:pPr>
        <w:jc w:val="left"/>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br w:type="page"/>
      </w:r>
    </w:p>
    <w:p w14:paraId="1FE06BAD">
      <w:pPr>
        <w:pStyle w:val="2"/>
        <w:numPr>
          <w:ilvl w:val="0"/>
          <w:numId w:val="15"/>
        </w:numPr>
        <w:rPr>
          <w:color w:val="auto"/>
          <w:highlight w:val="none"/>
          <w:u w:val="none"/>
        </w:rPr>
      </w:pPr>
      <w:r>
        <w:rPr>
          <w:rFonts w:hint="eastAsia"/>
          <w:color w:val="auto"/>
          <w:highlight w:val="none"/>
          <w:u w:val="none"/>
        </w:rPr>
        <w:t>理财产品的终止与清算</w:t>
      </w:r>
    </w:p>
    <w:p w14:paraId="2EB23CC5">
      <w:pPr>
        <w:pStyle w:val="3"/>
        <w:numPr>
          <w:ilvl w:val="1"/>
          <w:numId w:val="15"/>
        </w:numPr>
        <w:ind w:firstLine="482"/>
        <w:rPr>
          <w:color w:val="auto"/>
          <w:highlight w:val="none"/>
          <w:u w:val="none"/>
        </w:rPr>
      </w:pPr>
      <w:r>
        <w:rPr>
          <w:rFonts w:hint="eastAsia"/>
          <w:color w:val="auto"/>
          <w:highlight w:val="none"/>
          <w:u w:val="none"/>
        </w:rPr>
        <w:t>理财产品到期</w:t>
      </w:r>
    </w:p>
    <w:p w14:paraId="5A2E2CC0">
      <w:pPr>
        <w:widowControl/>
        <w:tabs>
          <w:tab w:val="left" w:pos="709"/>
        </w:tabs>
        <w:adjustRightInd w:val="0"/>
        <w:snapToGrid w:val="0"/>
        <w:spacing w:line="360" w:lineRule="auto"/>
        <w:ind w:firstLine="422" w:firstLineChars="200"/>
        <w:rPr>
          <w:rFonts w:ascii="仿宋_GB2312" w:hAnsi="宋体" w:cs="宋体"/>
          <w:bCs/>
          <w:color w:val="auto"/>
          <w:kern w:val="0"/>
          <w:szCs w:val="24"/>
          <w:highlight w:val="none"/>
          <w:u w:val="none"/>
        </w:rPr>
      </w:pPr>
      <w:r>
        <w:rPr>
          <w:rFonts w:hint="eastAsia" w:ascii="仿宋_GB2312" w:hAnsi="宋体" w:cs="宋体"/>
          <w:b/>
          <w:bCs/>
          <w:color w:val="auto"/>
          <w:kern w:val="0"/>
          <w:szCs w:val="24"/>
          <w:highlight w:val="yellow"/>
          <w:u w:val="none"/>
          <w:lang w:eastAsia="zh-CN"/>
        </w:rPr>
        <w:t>【</w:t>
      </w:r>
      <w:r>
        <w:rPr>
          <w:rFonts w:hint="eastAsia" w:ascii="仿宋_GB2312" w:hAnsi="宋体" w:cs="宋体"/>
          <w:b/>
          <w:bCs/>
          <w:color w:val="auto"/>
          <w:kern w:val="0"/>
          <w:szCs w:val="24"/>
          <w:highlight w:val="yellow"/>
          <w:u w:val="none"/>
        </w:rPr>
        <w:t>本理财产品无固定到期日</w:t>
      </w:r>
      <w:r>
        <w:rPr>
          <w:rFonts w:hint="eastAsia" w:ascii="仿宋_GB2312" w:hAnsi="宋体" w:cs="宋体"/>
          <w:b/>
          <w:bCs/>
          <w:color w:val="auto"/>
          <w:kern w:val="0"/>
          <w:szCs w:val="24"/>
          <w:highlight w:val="yellow"/>
          <w:u w:val="none"/>
          <w:lang w:eastAsia="zh-CN"/>
        </w:rPr>
        <w:t>】</w:t>
      </w:r>
      <w:r>
        <w:rPr>
          <w:rFonts w:hint="eastAsia" w:ascii="仿宋_GB2312" w:hAnsi="宋体" w:cs="宋体"/>
          <w:bCs/>
          <w:color w:val="auto"/>
          <w:kern w:val="0"/>
          <w:szCs w:val="24"/>
          <w:highlight w:val="none"/>
          <w:u w:val="none"/>
        </w:rPr>
        <w:t>，</w:t>
      </w:r>
      <w:r>
        <w:rPr>
          <w:rFonts w:hint="eastAsia" w:ascii="宋体" w:hAnsi="宋体"/>
          <w:color w:val="auto"/>
          <w:szCs w:val="24"/>
          <w:highlight w:val="none"/>
          <w:u w:val="none"/>
        </w:rPr>
        <w:t>如产品提前终止</w:t>
      </w:r>
      <w:r>
        <w:rPr>
          <w:rFonts w:hint="eastAsia" w:ascii="宋体" w:hAnsi="宋体"/>
          <w:szCs w:val="24"/>
          <w:highlight w:val="none"/>
          <w:lang w:eastAsia="zh-CN"/>
        </w:rPr>
        <w:t>或延期终止</w:t>
      </w:r>
      <w:r>
        <w:rPr>
          <w:rFonts w:hint="eastAsia" w:ascii="宋体" w:hAnsi="宋体"/>
          <w:color w:val="auto"/>
          <w:szCs w:val="24"/>
          <w:highlight w:val="none"/>
          <w:u w:val="none"/>
        </w:rPr>
        <w:t>，除有特别约定外，实际终止日为到期日。</w:t>
      </w:r>
    </w:p>
    <w:p w14:paraId="1056E9C5">
      <w:pPr>
        <w:widowControl/>
        <w:tabs>
          <w:tab w:val="left" w:pos="709"/>
        </w:tabs>
        <w:adjustRightInd w:val="0"/>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理财产品不因投资者死亡、丧失民事行为能力、破产而终止；投资者的法定继承人、承继人或指定受益人以及继任管理人承担本理财产品销售文件项下的相应权利和义务，产品管理人以及代销机构有权要求投资者的继承人或者指定受益人等相关主体配合办理相关变更手续。</w:t>
      </w:r>
    </w:p>
    <w:p w14:paraId="03269706">
      <w:pPr>
        <w:pStyle w:val="3"/>
        <w:numPr>
          <w:ilvl w:val="1"/>
          <w:numId w:val="15"/>
        </w:numPr>
        <w:ind w:firstLine="482"/>
        <w:rPr>
          <w:color w:val="auto"/>
          <w:highlight w:val="none"/>
          <w:u w:val="none"/>
        </w:rPr>
      </w:pPr>
      <w:r>
        <w:rPr>
          <w:rFonts w:hint="eastAsia"/>
          <w:color w:val="auto"/>
          <w:highlight w:val="none"/>
          <w:u w:val="none"/>
        </w:rPr>
        <w:t>理财产品提前终止</w:t>
      </w:r>
    </w:p>
    <w:p w14:paraId="4F2FCE16">
      <w:pPr>
        <w:widowControl/>
        <w:tabs>
          <w:tab w:val="left" w:pos="709"/>
        </w:tabs>
        <w:snapToGrid w:val="0"/>
        <w:spacing w:line="360" w:lineRule="auto"/>
        <w:ind w:firstLine="422" w:firstLineChars="20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本理财产品存续期间，投资者无提前终止权。如出现以下情形，管理人有权但无义务提前终止本产品：</w:t>
      </w:r>
      <w:r>
        <w:rPr>
          <w:rFonts w:ascii="仿宋_GB2312" w:hAnsi="宋体" w:cs="宋体"/>
          <w:b/>
          <w:bCs/>
          <w:color w:val="auto"/>
          <w:kern w:val="0"/>
          <w:szCs w:val="24"/>
          <w:highlight w:val="none"/>
          <w:u w:val="none"/>
        </w:rPr>
        <w:t xml:space="preserve"> </w:t>
      </w:r>
    </w:p>
    <w:p w14:paraId="25071DA6">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1.自然灾害、疫情、金融市场危机、战争等不可抗力因素及/或意外事件导致理财产品无法继续运作。</w:t>
      </w:r>
    </w:p>
    <w:p w14:paraId="3D634B12">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2.遇有市场出现剧烈波动、异常风险事件等情形导致理财产品收益出现大幅波动或严重影响理财产品的资产安全。</w:t>
      </w:r>
    </w:p>
    <w:p w14:paraId="4DCEDD3D">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3.因投资者理财资金被有权机关扣划等原因导致理财产品剩余资产无法满足相关法律法规规定、所投资市场要求或协议等相关法律文件约定，或者继续存续无法实现投资目标。</w:t>
      </w:r>
    </w:p>
    <w:p w14:paraId="4753EFB1">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4.因相关投资管理机构解散、破产、撤销、被取消业务资格等原因无法继续履行相应职责导致产品无法继续运作。</w:t>
      </w:r>
    </w:p>
    <w:p w14:paraId="27CCEF53">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5.相关投资管理机构或运用理财资金的第三方主体实施符合法律法规规定或协议等相关文件约定的行为导致理财产品被动提前终止。</w:t>
      </w:r>
    </w:p>
    <w:p w14:paraId="4AA6B03F">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6.因法律法规变化或国家金融政策调整、紧急措施出台影响产品继续正常运作。</w:t>
      </w:r>
    </w:p>
    <w:p w14:paraId="48DA729B">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7.提前终止产品比维持产品运作更有利于保护产品持有人的权益。</w:t>
      </w:r>
    </w:p>
    <w:p w14:paraId="4B41F3BF">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8</w:t>
      </w:r>
      <w:r>
        <w:rPr>
          <w:rFonts w:hint="eastAsia" w:ascii="仿宋_GB2312" w:hAnsi="宋体" w:cs="宋体"/>
          <w:bCs/>
          <w:color w:val="auto"/>
          <w:kern w:val="0"/>
          <w:szCs w:val="24"/>
          <w:highlight w:val="none"/>
          <w:u w:val="none"/>
        </w:rPr>
        <w:t>.遇国家政策出现重大调整并影响到本产品的正常运行。</w:t>
      </w:r>
    </w:p>
    <w:p w14:paraId="6133D01A">
      <w:pPr>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9</w:t>
      </w:r>
      <w:r>
        <w:rPr>
          <w:rFonts w:hint="eastAsia" w:ascii="仿宋_GB2312" w:hAnsi="宋体" w:cs="宋体"/>
          <w:bCs/>
          <w:color w:val="auto"/>
          <w:kern w:val="0"/>
          <w:szCs w:val="24"/>
          <w:highlight w:val="none"/>
          <w:u w:val="none"/>
        </w:rPr>
        <w:t>.因本产品投资的资产部分或全部提前终止或发生其他影响本产品正常投资运作的重大事件。</w:t>
      </w:r>
    </w:p>
    <w:p w14:paraId="139F41FB">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10</w:t>
      </w:r>
      <w:r>
        <w:rPr>
          <w:rFonts w:hint="eastAsia" w:ascii="仿宋_GB2312" w:hAnsi="宋体" w:cs="宋体"/>
          <w:bCs/>
          <w:color w:val="auto"/>
          <w:kern w:val="0"/>
          <w:szCs w:val="24"/>
          <w:highlight w:val="none"/>
          <w:u w:val="none"/>
        </w:rPr>
        <w:t>.本产品存续期内，所投资资产种类已全部调整为现金资产且无其他投资安排。</w:t>
      </w:r>
    </w:p>
    <w:p w14:paraId="6FB126F7">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11</w:t>
      </w:r>
      <w:r>
        <w:rPr>
          <w:rFonts w:hint="eastAsia" w:ascii="仿宋_GB2312" w:hAnsi="宋体" w:cs="宋体"/>
          <w:bCs/>
          <w:color w:val="auto"/>
          <w:kern w:val="0"/>
          <w:szCs w:val="24"/>
          <w:highlight w:val="none"/>
          <w:u w:val="none"/>
        </w:rPr>
        <w:t>.管理人认为有必要提前终止本产品的其他情形。</w:t>
      </w:r>
    </w:p>
    <w:p w14:paraId="02196C5D">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管理人将至少于提前终止日前</w:t>
      </w:r>
      <w:r>
        <w:rPr>
          <w:rFonts w:hint="eastAsia" w:ascii="仿宋_GB2312" w:hAnsi="宋体" w:cs="宋体"/>
          <w:bCs/>
          <w:color w:val="auto"/>
          <w:kern w:val="0"/>
          <w:szCs w:val="24"/>
          <w:highlight w:val="none"/>
          <w:u w:val="none"/>
          <w:lang w:val="en-US" w:eastAsia="zh-CN"/>
        </w:rPr>
        <w:t>1</w:t>
      </w:r>
      <w:r>
        <w:rPr>
          <w:rFonts w:hint="eastAsia" w:ascii="仿宋_GB2312" w:hAnsi="宋体" w:cs="宋体"/>
          <w:bCs/>
          <w:color w:val="auto"/>
          <w:kern w:val="0"/>
          <w:szCs w:val="24"/>
          <w:highlight w:val="none"/>
          <w:u w:val="none"/>
        </w:rPr>
        <w:t>个工作日通过本产品说明书约定</w:t>
      </w:r>
      <w:r>
        <w:rPr>
          <w:rFonts w:ascii="仿宋_GB2312" w:hAnsi="宋体" w:cs="宋体"/>
          <w:bCs/>
          <w:color w:val="auto"/>
          <w:kern w:val="0"/>
          <w:szCs w:val="24"/>
          <w:highlight w:val="none"/>
          <w:u w:val="none"/>
        </w:rPr>
        <w:t>方式</w:t>
      </w:r>
      <w:r>
        <w:rPr>
          <w:rFonts w:hint="eastAsia" w:ascii="仿宋_GB2312" w:hAnsi="宋体" w:cs="宋体"/>
          <w:bCs/>
          <w:color w:val="auto"/>
          <w:kern w:val="0"/>
          <w:szCs w:val="24"/>
          <w:highlight w:val="none"/>
          <w:u w:val="none"/>
        </w:rPr>
        <w:t>发布本产品提前终止公告，并于提前终止日后5个</w:t>
      </w:r>
      <w:r>
        <w:rPr>
          <w:rFonts w:hint="eastAsia" w:ascii="仿宋_GB2312" w:hAnsi="宋体" w:cs="宋体"/>
          <w:bCs/>
          <w:color w:val="auto"/>
          <w:kern w:val="0"/>
          <w:szCs w:val="24"/>
          <w:highlight w:val="none"/>
          <w:u w:val="none"/>
          <w:lang w:eastAsia="zh-CN"/>
        </w:rPr>
        <w:t>工作日</w:t>
      </w:r>
      <w:r>
        <w:rPr>
          <w:rFonts w:hint="eastAsia" w:ascii="仿宋_GB2312" w:hAnsi="宋体" w:cs="宋体"/>
          <w:bCs/>
          <w:color w:val="auto"/>
          <w:kern w:val="0"/>
          <w:szCs w:val="24"/>
          <w:highlight w:val="none"/>
          <w:u w:val="none"/>
        </w:rPr>
        <w:t>内通过销售机构将兑付理财资金划至投资者指定账户。</w:t>
      </w:r>
    </w:p>
    <w:p w14:paraId="3A5CDF4D">
      <w:pPr>
        <w:pStyle w:val="3"/>
        <w:numPr>
          <w:ilvl w:val="1"/>
          <w:numId w:val="15"/>
        </w:numPr>
        <w:ind w:firstLine="482"/>
        <w:rPr>
          <w:color w:val="auto"/>
          <w:highlight w:val="none"/>
          <w:u w:val="none"/>
        </w:rPr>
      </w:pPr>
      <w:r>
        <w:rPr>
          <w:rFonts w:hint="eastAsia" w:ascii="楷体_GB2312" w:hAnsi="宋体" w:eastAsia="楷体_GB2312" w:cs="宋体"/>
          <w:bCs/>
          <w:color w:val="auto"/>
          <w:kern w:val="0"/>
          <w:szCs w:val="24"/>
          <w:highlight w:val="none"/>
          <w:u w:val="none"/>
        </w:rPr>
        <w:t>理财产品到期清算</w:t>
      </w:r>
    </w:p>
    <w:p w14:paraId="7AF26841">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1.清算程序</w:t>
      </w:r>
    </w:p>
    <w:p w14:paraId="2916A168">
      <w:pPr>
        <w:widowControl/>
        <w:tabs>
          <w:tab w:val="left" w:pos="709"/>
        </w:tabs>
        <w:snapToGrid w:val="0"/>
        <w:spacing w:line="360" w:lineRule="auto"/>
        <w:ind w:firstLine="420" w:firstLineChars="200"/>
        <w:rPr>
          <w:rFonts w:hint="eastAsia"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产品到期（含提前终止）后，理财产品终止运作，本理财产品</w:t>
      </w:r>
      <w:r>
        <w:rPr>
          <w:color w:val="auto"/>
          <w:highlight w:val="none"/>
          <w:u w:val="none"/>
        </w:rPr>
        <w:t>管</w:t>
      </w:r>
      <w:r>
        <w:rPr>
          <w:rFonts w:hint="eastAsia" w:ascii="仿宋_GB2312" w:hAnsi="宋体" w:cs="宋体"/>
          <w:bCs/>
          <w:color w:val="auto"/>
          <w:kern w:val="0"/>
          <w:szCs w:val="24"/>
          <w:highlight w:val="none"/>
          <w:u w:val="none"/>
        </w:rPr>
        <w:t>理人启动产品清算，理财资产清</w:t>
      </w:r>
      <w:r>
        <w:rPr>
          <w:rFonts w:ascii="仿宋_GB2312" w:hAnsi="宋体" w:cs="宋体"/>
          <w:bCs/>
          <w:color w:val="auto"/>
          <w:kern w:val="0"/>
          <w:szCs w:val="24"/>
          <w:highlight w:val="none"/>
          <w:u w:val="none"/>
        </w:rPr>
        <w:t>算后扣除理财相关费用、缴纳所欠税款并清偿理财产品负债后，</w:t>
      </w:r>
      <w:r>
        <w:rPr>
          <w:color w:val="auto"/>
          <w:highlight w:val="none"/>
          <w:u w:val="none"/>
        </w:rPr>
        <w:t>管</w:t>
      </w:r>
      <w:r>
        <w:rPr>
          <w:rFonts w:hint="eastAsia" w:ascii="仿宋_GB2312" w:hAnsi="宋体" w:cs="宋体"/>
          <w:bCs/>
          <w:color w:val="auto"/>
          <w:kern w:val="0"/>
          <w:szCs w:val="24"/>
          <w:highlight w:val="none"/>
          <w:u w:val="none"/>
        </w:rPr>
        <w:t>理人通过销售机构将投资者应得资金（如有，下同）划至投资者指定账户。本产品到期（含提前终止）时，如本产品项下财产全部变现，管理人将在产品到期后5个</w:t>
      </w:r>
      <w:r>
        <w:rPr>
          <w:rFonts w:hint="eastAsia" w:ascii="仿宋_GB2312" w:hAnsi="宋体" w:cs="宋体"/>
          <w:bCs/>
          <w:color w:val="auto"/>
          <w:kern w:val="0"/>
          <w:szCs w:val="24"/>
          <w:highlight w:val="none"/>
          <w:u w:val="none"/>
          <w:lang w:eastAsia="zh-CN"/>
        </w:rPr>
        <w:t>工作日</w:t>
      </w:r>
      <w:r>
        <w:rPr>
          <w:rFonts w:hint="eastAsia" w:ascii="仿宋_GB2312" w:hAnsi="宋体" w:cs="宋体"/>
          <w:bCs/>
          <w:color w:val="auto"/>
          <w:kern w:val="0"/>
          <w:szCs w:val="24"/>
          <w:highlight w:val="none"/>
          <w:u w:val="none"/>
        </w:rPr>
        <w:t>内向投资者完成</w:t>
      </w:r>
      <w:r>
        <w:rPr>
          <w:rFonts w:ascii="仿宋_GB2312" w:hAnsi="宋体" w:cs="宋体"/>
          <w:bCs/>
          <w:color w:val="auto"/>
          <w:kern w:val="0"/>
          <w:szCs w:val="24"/>
          <w:highlight w:val="none"/>
          <w:u w:val="none"/>
        </w:rPr>
        <w:t>分配</w:t>
      </w:r>
      <w:r>
        <w:rPr>
          <w:rFonts w:hint="eastAsia" w:ascii="仿宋_GB2312" w:hAnsi="宋体" w:cs="宋体"/>
          <w:bCs/>
          <w:color w:val="auto"/>
          <w:kern w:val="0"/>
          <w:szCs w:val="24"/>
          <w:highlight w:val="none"/>
          <w:u w:val="none"/>
        </w:rPr>
        <w:t>。本产品到期日（或提前/延期终止日）至资金到账日期间，投资者理财资金如因清算安排实际产生利息的，相关利息归投资者所有。</w:t>
      </w:r>
    </w:p>
    <w:p w14:paraId="396AC008">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如因清算需要，本产品无法在到期后5个</w:t>
      </w:r>
      <w:r>
        <w:rPr>
          <w:rFonts w:hint="eastAsia" w:ascii="仿宋_GB2312" w:hAnsi="宋体" w:cs="宋体"/>
          <w:bCs/>
          <w:color w:val="auto"/>
          <w:kern w:val="0"/>
          <w:szCs w:val="24"/>
          <w:highlight w:val="none"/>
          <w:u w:val="none"/>
          <w:lang w:eastAsia="zh-CN"/>
        </w:rPr>
        <w:t>工作日</w:t>
      </w:r>
      <w:r>
        <w:rPr>
          <w:rFonts w:hint="eastAsia" w:ascii="仿宋_GB2312" w:hAnsi="宋体" w:cs="宋体"/>
          <w:bCs/>
          <w:color w:val="auto"/>
          <w:kern w:val="0"/>
          <w:szCs w:val="24"/>
          <w:highlight w:val="none"/>
          <w:u w:val="none"/>
        </w:rPr>
        <w:t>内向投资者完成</w:t>
      </w:r>
      <w:r>
        <w:rPr>
          <w:rFonts w:ascii="仿宋_GB2312" w:hAnsi="宋体" w:cs="宋体"/>
          <w:bCs/>
          <w:color w:val="auto"/>
          <w:kern w:val="0"/>
          <w:szCs w:val="24"/>
          <w:highlight w:val="none"/>
          <w:u w:val="none"/>
        </w:rPr>
        <w:t>分配</w:t>
      </w:r>
      <w:r>
        <w:rPr>
          <w:rFonts w:hint="eastAsia" w:ascii="仿宋_GB2312" w:hAnsi="宋体" w:cs="宋体"/>
          <w:bCs/>
          <w:color w:val="auto"/>
          <w:kern w:val="0"/>
          <w:szCs w:val="24"/>
          <w:highlight w:val="none"/>
          <w:u w:val="none"/>
        </w:rPr>
        <w:t>的，管理人有权延后产品可得资金分配并于产品到期日前公告。</w:t>
      </w:r>
    </w:p>
    <w:p w14:paraId="43566899">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2.清算费用分别按照实际发生费用从产品资产中列支。</w:t>
      </w:r>
    </w:p>
    <w:p w14:paraId="29737156">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3.产品资产清算剩余资产的分配</w:t>
      </w:r>
    </w:p>
    <w:p w14:paraId="39F13696">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产品资产按下列顺序清偿：</w:t>
      </w:r>
    </w:p>
    <w:p w14:paraId="0E4E586E">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（1）支付清算费用和交纳所欠税款；</w:t>
      </w:r>
    </w:p>
    <w:p w14:paraId="5CBD5F29">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（2）清偿产品债务；</w:t>
      </w:r>
    </w:p>
    <w:p w14:paraId="038EC91E">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（3）按产品份额持有人持有的产品份额比例进行分配。</w:t>
      </w:r>
    </w:p>
    <w:p w14:paraId="0F39337D">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4.产品终止投资者到账资金计算</w:t>
      </w:r>
    </w:p>
    <w:p w14:paraId="53E434DA">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若产品终止或提前终止时本理财产品项下资产全部变现，产品管理人将</w:t>
      </w:r>
      <w:r>
        <w:rPr>
          <w:rFonts w:hint="eastAsia" w:ascii="仿宋_GB2312" w:hAnsi="宋体" w:cs="宋体"/>
          <w:bCs/>
          <w:color w:val="auto"/>
          <w:kern w:val="0"/>
          <w:szCs w:val="24"/>
          <w:highlight w:val="none"/>
          <w:u w:val="none"/>
        </w:rPr>
        <w:t>扣除理财产品财产清算费用、缴纳所欠税款并清偿理财产品债务后，按照各投资者持有理财产品份额占理财产品总份额的比例于</w:t>
      </w:r>
      <w:r>
        <w:rPr>
          <w:rFonts w:ascii="仿宋_GB2312" w:hAnsi="宋体" w:cs="宋体"/>
          <w:bCs/>
          <w:color w:val="auto"/>
          <w:kern w:val="0"/>
          <w:szCs w:val="24"/>
          <w:highlight w:val="none"/>
          <w:u w:val="none"/>
        </w:rPr>
        <w:t>产品到期日后</w:t>
      </w:r>
      <w:r>
        <w:rPr>
          <w:rFonts w:hint="eastAsia" w:ascii="仿宋_GB2312" w:hAnsi="宋体" w:cs="宋体"/>
          <w:bCs/>
          <w:color w:val="auto"/>
          <w:kern w:val="0"/>
          <w:szCs w:val="24"/>
          <w:highlight w:val="none"/>
          <w:u w:val="none"/>
        </w:rPr>
        <w:t>5</w:t>
      </w:r>
      <w:r>
        <w:rPr>
          <w:rFonts w:ascii="仿宋_GB2312" w:hAnsi="宋体" w:cs="宋体"/>
          <w:bCs/>
          <w:color w:val="auto"/>
          <w:kern w:val="0"/>
          <w:szCs w:val="24"/>
          <w:highlight w:val="none"/>
          <w:u w:val="none"/>
        </w:rPr>
        <w:t>个</w:t>
      </w:r>
      <w:r>
        <w:rPr>
          <w:rFonts w:hint="eastAsia" w:ascii="仿宋_GB2312" w:hAnsi="宋体" w:cs="宋体"/>
          <w:bCs/>
          <w:color w:val="auto"/>
          <w:kern w:val="0"/>
          <w:szCs w:val="24"/>
          <w:highlight w:val="none"/>
          <w:u w:val="none"/>
          <w:lang w:eastAsia="zh-CN"/>
        </w:rPr>
        <w:t>工作日</w:t>
      </w:r>
      <w:r>
        <w:rPr>
          <w:rFonts w:ascii="仿宋_GB2312" w:hAnsi="宋体" w:cs="宋体"/>
          <w:bCs/>
          <w:color w:val="auto"/>
          <w:kern w:val="0"/>
          <w:szCs w:val="24"/>
          <w:highlight w:val="none"/>
          <w:u w:val="none"/>
        </w:rPr>
        <w:t>内或提前终止日后</w:t>
      </w:r>
      <w:r>
        <w:rPr>
          <w:rFonts w:hint="eastAsia" w:ascii="仿宋_GB2312" w:hAnsi="宋体" w:cs="宋体"/>
          <w:bCs/>
          <w:color w:val="auto"/>
          <w:kern w:val="0"/>
          <w:szCs w:val="24"/>
          <w:highlight w:val="none"/>
          <w:u w:val="none"/>
        </w:rPr>
        <w:t>5</w:t>
      </w:r>
      <w:r>
        <w:rPr>
          <w:rFonts w:ascii="仿宋_GB2312" w:hAnsi="宋体" w:cs="宋体"/>
          <w:bCs/>
          <w:color w:val="auto"/>
          <w:kern w:val="0"/>
          <w:szCs w:val="24"/>
          <w:highlight w:val="none"/>
          <w:u w:val="none"/>
        </w:rPr>
        <w:t>个</w:t>
      </w:r>
      <w:r>
        <w:rPr>
          <w:rFonts w:hint="eastAsia" w:ascii="仿宋_GB2312" w:hAnsi="宋体" w:cs="宋体"/>
          <w:bCs/>
          <w:color w:val="auto"/>
          <w:kern w:val="0"/>
          <w:szCs w:val="24"/>
          <w:highlight w:val="none"/>
          <w:u w:val="none"/>
          <w:lang w:eastAsia="zh-CN"/>
        </w:rPr>
        <w:t>工作日</w:t>
      </w:r>
      <w:r>
        <w:rPr>
          <w:rFonts w:hint="eastAsia" w:ascii="仿宋_GB2312" w:hAnsi="宋体" w:cs="宋体"/>
          <w:bCs/>
          <w:color w:val="auto"/>
          <w:kern w:val="0"/>
          <w:szCs w:val="24"/>
          <w:highlight w:val="none"/>
          <w:u w:val="none"/>
        </w:rPr>
        <w:t>通过销售机构</w:t>
      </w:r>
      <w:r>
        <w:rPr>
          <w:rFonts w:ascii="仿宋_GB2312" w:hAnsi="宋体" w:cs="宋体"/>
          <w:bCs/>
          <w:color w:val="auto"/>
          <w:kern w:val="0"/>
          <w:szCs w:val="24"/>
          <w:highlight w:val="none"/>
          <w:u w:val="none"/>
        </w:rPr>
        <w:t>内将投资者应得资金划转投资者指定账户。计算公式如下：</w:t>
      </w:r>
    </w:p>
    <w:p w14:paraId="21164FD6">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本产品兑付金额(理财产品总资产净值)=理财产品资产总值-理财产品负债总值</w:t>
      </w:r>
    </w:p>
    <w:p w14:paraId="12DDFB87">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其中，投资者到账金额计算公式如下：</w:t>
      </w:r>
    </w:p>
    <w:p w14:paraId="5CFF5D37">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本产品投资者到账金额=投资者在到期日持有理财产品份额/理财产品总份额*理财产品总资产净值，</w:t>
      </w:r>
      <w:r>
        <w:rPr>
          <w:rFonts w:ascii="仿宋_GB2312" w:hAnsi="宋体" w:cs="宋体"/>
          <w:bCs/>
          <w:color w:val="auto"/>
          <w:kern w:val="0"/>
          <w:szCs w:val="24"/>
          <w:highlight w:val="none"/>
          <w:u w:val="none"/>
        </w:rPr>
        <w:t>最终资金以实际到账为准。</w:t>
      </w:r>
    </w:p>
    <w:p w14:paraId="501538F7">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t>产品终止日，如产品投资资产因市场风险、信用风险以及监管风险等原因不能全部变现且产品管理人未对本产品进行延期则本产品进入延期清算程序。产品延期清算时，产品管理人将提前发布相关公告。产品管理人将产品持有的现金类资产在扣除支付清算费用和交纳所欠税款、清偿产品债务后，如仍有剩余资金可分配给</w:t>
      </w:r>
      <w:r>
        <w:rPr>
          <w:rFonts w:hint="eastAsia" w:ascii="仿宋_GB2312" w:hAnsi="宋体" w:cs="宋体"/>
          <w:bCs/>
          <w:color w:val="auto"/>
          <w:kern w:val="0"/>
          <w:szCs w:val="24"/>
          <w:highlight w:val="none"/>
          <w:u w:val="none"/>
        </w:rPr>
        <w:t>投资者</w:t>
      </w:r>
      <w:r>
        <w:rPr>
          <w:rFonts w:ascii="仿宋_GB2312" w:hAnsi="宋体" w:cs="宋体"/>
          <w:bCs/>
          <w:color w:val="auto"/>
          <w:kern w:val="0"/>
          <w:szCs w:val="24"/>
          <w:highlight w:val="none"/>
          <w:u w:val="none"/>
        </w:rPr>
        <w:t>。对于未变现资产部分，产品管理人以投资者利益最大化的原则，寻求未变现资产变现方式，在资产变现后，产品持有的现金类资产在扣除剩余未支付的清算费用和交纳所欠税款、清偿产品债务后，于产品清算完毕后的</w:t>
      </w:r>
      <w:r>
        <w:rPr>
          <w:rFonts w:hint="eastAsia" w:ascii="仿宋_GB2312" w:hAnsi="宋体" w:cs="宋体"/>
          <w:bCs/>
          <w:color w:val="auto"/>
          <w:kern w:val="0"/>
          <w:szCs w:val="24"/>
          <w:highlight w:val="none"/>
          <w:u w:val="none"/>
        </w:rPr>
        <w:t>5</w:t>
      </w:r>
      <w:r>
        <w:rPr>
          <w:rFonts w:ascii="仿宋_GB2312" w:hAnsi="宋体" w:cs="宋体"/>
          <w:bCs/>
          <w:color w:val="auto"/>
          <w:kern w:val="0"/>
          <w:szCs w:val="24"/>
          <w:highlight w:val="none"/>
          <w:u w:val="none"/>
        </w:rPr>
        <w:t>个</w:t>
      </w:r>
      <w:r>
        <w:rPr>
          <w:rFonts w:hint="eastAsia" w:ascii="仿宋_GB2312" w:hAnsi="宋体" w:cs="宋体"/>
          <w:bCs/>
          <w:color w:val="auto"/>
          <w:kern w:val="0"/>
          <w:szCs w:val="24"/>
          <w:highlight w:val="none"/>
          <w:u w:val="none"/>
          <w:lang w:eastAsia="zh-CN"/>
        </w:rPr>
        <w:t>工作日</w:t>
      </w:r>
      <w:r>
        <w:rPr>
          <w:rFonts w:ascii="仿宋_GB2312" w:hAnsi="宋体" w:cs="宋体"/>
          <w:bCs/>
          <w:color w:val="auto"/>
          <w:kern w:val="0"/>
          <w:szCs w:val="24"/>
          <w:highlight w:val="none"/>
          <w:u w:val="none"/>
        </w:rPr>
        <w:t>内分配给</w:t>
      </w:r>
      <w:r>
        <w:rPr>
          <w:rFonts w:hint="eastAsia" w:ascii="仿宋_GB2312" w:hAnsi="宋体" w:cs="宋体"/>
          <w:bCs/>
          <w:color w:val="auto"/>
          <w:kern w:val="0"/>
          <w:szCs w:val="24"/>
          <w:highlight w:val="none"/>
          <w:u w:val="none"/>
        </w:rPr>
        <w:t>投资者</w:t>
      </w:r>
      <w:r>
        <w:rPr>
          <w:rFonts w:ascii="仿宋_GB2312" w:hAnsi="宋体" w:cs="宋体"/>
          <w:bCs/>
          <w:color w:val="auto"/>
          <w:kern w:val="0"/>
          <w:szCs w:val="24"/>
          <w:highlight w:val="none"/>
          <w:u w:val="none"/>
        </w:rPr>
        <w:t>。</w:t>
      </w:r>
    </w:p>
    <w:p w14:paraId="7A257292">
      <w:pPr>
        <w:widowControl/>
        <w:tabs>
          <w:tab w:val="left" w:pos="709"/>
        </w:tabs>
        <w:snapToGrid w:val="0"/>
        <w:spacing w:line="360" w:lineRule="auto"/>
        <w:ind w:firstLine="420" w:firstLineChars="200"/>
        <w:rPr>
          <w:rFonts w:ascii="仿宋_GB2312" w:hAnsi="宋体" w:cs="宋体"/>
          <w:bCs/>
          <w:color w:val="auto"/>
          <w:kern w:val="0"/>
          <w:szCs w:val="24"/>
          <w:highlight w:val="none"/>
          <w:u w:val="none"/>
        </w:rPr>
      </w:pPr>
      <w:r>
        <w:rPr>
          <w:rFonts w:hint="eastAsia" w:ascii="仿宋_GB2312" w:hAnsi="宋体" w:cs="宋体"/>
          <w:bCs/>
          <w:color w:val="auto"/>
          <w:kern w:val="0"/>
          <w:szCs w:val="24"/>
          <w:highlight w:val="none"/>
          <w:u w:val="none"/>
        </w:rPr>
        <w:t>产品管理人拟进行二次或多次清算的，管理人应向投资者及时披露。</w:t>
      </w:r>
    </w:p>
    <w:p w14:paraId="40B15474">
      <w:pPr>
        <w:jc w:val="left"/>
        <w:rPr>
          <w:rFonts w:ascii="仿宋_GB2312" w:hAnsi="宋体" w:cs="宋体"/>
          <w:bCs/>
          <w:color w:val="auto"/>
          <w:kern w:val="0"/>
          <w:szCs w:val="24"/>
          <w:highlight w:val="none"/>
          <w:u w:val="none"/>
        </w:rPr>
      </w:pPr>
      <w:r>
        <w:rPr>
          <w:rFonts w:ascii="仿宋_GB2312" w:hAnsi="宋体" w:cs="宋体"/>
          <w:bCs/>
          <w:color w:val="auto"/>
          <w:kern w:val="0"/>
          <w:szCs w:val="24"/>
          <w:highlight w:val="none"/>
          <w:u w:val="none"/>
        </w:rPr>
        <w:br w:type="page"/>
      </w:r>
    </w:p>
    <w:p w14:paraId="7FC6A8AB">
      <w:pPr>
        <w:pStyle w:val="2"/>
        <w:numPr>
          <w:ilvl w:val="0"/>
          <w:numId w:val="15"/>
        </w:numPr>
        <w:rPr>
          <w:color w:val="auto"/>
          <w:highlight w:val="none"/>
          <w:u w:val="none"/>
        </w:rPr>
      </w:pPr>
      <w:r>
        <w:rPr>
          <w:rFonts w:hint="eastAsia"/>
          <w:color w:val="auto"/>
          <w:highlight w:val="none"/>
          <w:u w:val="none"/>
        </w:rPr>
        <w:t>理财产品的信息披露</w:t>
      </w:r>
    </w:p>
    <w:p w14:paraId="0C07114D">
      <w:pPr>
        <w:pStyle w:val="3"/>
        <w:numPr>
          <w:ilvl w:val="1"/>
          <w:numId w:val="15"/>
        </w:numPr>
        <w:ind w:firstLine="482"/>
        <w:rPr>
          <w:color w:val="auto"/>
          <w:highlight w:val="none"/>
          <w:u w:val="none"/>
        </w:rPr>
      </w:pPr>
      <w:r>
        <w:rPr>
          <w:rFonts w:hint="eastAsia"/>
          <w:color w:val="auto"/>
          <w:highlight w:val="none"/>
          <w:u w:val="none"/>
        </w:rPr>
        <w:t>信息披露方式</w:t>
      </w:r>
    </w:p>
    <w:p w14:paraId="688BCA6B">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本理财产品将通过</w:t>
      </w:r>
      <w:r>
        <w:rPr>
          <w:rFonts w:hint="eastAsia" w:ascii="仿宋_GB2312" w:hAnsi="宋体" w:cs="宋体"/>
          <w:b/>
          <w:color w:val="auto"/>
          <w:kern w:val="0"/>
          <w:szCs w:val="24"/>
          <w:highlight w:val="yellow"/>
          <w:u w:val="none"/>
          <w:lang w:eastAsia="zh-CN"/>
        </w:rPr>
        <w:t>【中国理财网】</w:t>
      </w:r>
      <w:r>
        <w:rPr>
          <w:rFonts w:hint="eastAsia" w:ascii="仿宋_GB2312" w:hAnsi="宋体" w:cs="宋体"/>
          <w:b/>
          <w:color w:val="auto"/>
          <w:kern w:val="0"/>
          <w:szCs w:val="24"/>
          <w:highlight w:val="none"/>
          <w:u w:val="none"/>
          <w:lang w:eastAsia="zh-CN"/>
        </w:rPr>
        <w:t>、</w:t>
      </w:r>
      <w:r>
        <w:rPr>
          <w:rFonts w:hint="eastAsia" w:ascii="仿宋_GB2312" w:hAnsi="宋体" w:cs="宋体"/>
          <w:b/>
          <w:color w:val="auto"/>
          <w:kern w:val="0"/>
          <w:szCs w:val="24"/>
          <w:highlight w:val="none"/>
          <w:u w:val="none"/>
        </w:rPr>
        <w:t>产品管理人官方网站</w:t>
      </w:r>
      <w:r>
        <w:rPr>
          <w:rFonts w:hint="eastAsia" w:ascii="仿宋_GB2312" w:hAnsi="宋体" w:cs="宋体"/>
          <w:b/>
          <w:color w:val="auto"/>
          <w:kern w:val="0"/>
          <w:szCs w:val="24"/>
          <w:highlight w:val="yellow"/>
          <w:u w:val="none"/>
        </w:rPr>
        <w:t>【</w:t>
      </w:r>
      <w:r>
        <w:rPr>
          <w:rFonts w:ascii="仿宋_GB2312" w:hAnsi="宋体" w:cs="宋体"/>
          <w:b/>
          <w:color w:val="auto"/>
          <w:kern w:val="0"/>
          <w:szCs w:val="24"/>
          <w:highlight w:val="yellow"/>
          <w:u w:val="none"/>
        </w:rPr>
        <w:t>www.czbank-wm.com</w:t>
      </w:r>
      <w:r>
        <w:rPr>
          <w:rFonts w:hint="eastAsia" w:ascii="仿宋_GB2312" w:hAnsi="宋体" w:cs="宋体"/>
          <w:b/>
          <w:color w:val="auto"/>
          <w:kern w:val="0"/>
          <w:szCs w:val="24"/>
          <w:highlight w:val="yellow"/>
          <w:u w:val="none"/>
        </w:rPr>
        <w:t>】</w:t>
      </w:r>
      <w:r>
        <w:rPr>
          <w:rFonts w:hint="eastAsia"/>
          <w:color w:val="auto"/>
          <w:highlight w:val="none"/>
          <w:u w:val="none"/>
        </w:rPr>
        <w:t>、</w:t>
      </w:r>
      <w:r>
        <w:rPr>
          <w:rFonts w:hint="eastAsia" w:ascii="仿宋_GB2312" w:hAnsi="宋体" w:cs="宋体"/>
          <w:b/>
          <w:color w:val="auto"/>
          <w:kern w:val="0"/>
          <w:szCs w:val="24"/>
          <w:highlight w:val="none"/>
          <w:u w:val="none"/>
        </w:rPr>
        <w:t>销售机构官方网站、个人手机银行或其他约定的方式等</w:t>
      </w:r>
      <w:r>
        <w:rPr>
          <w:rFonts w:hint="eastAsia" w:cs="宋体" w:asciiTheme="minorEastAsia" w:hAnsiTheme="minorEastAsia"/>
          <w:b/>
          <w:color w:val="auto"/>
          <w:kern w:val="0"/>
          <w:szCs w:val="24"/>
          <w:highlight w:val="none"/>
          <w:u w:val="none"/>
        </w:rPr>
        <w:t>一种或多种渠道</w:t>
      </w:r>
      <w:r>
        <w:rPr>
          <w:rFonts w:hint="eastAsia" w:ascii="仿宋_GB2312" w:hAnsi="宋体" w:cs="宋体"/>
          <w:b/>
          <w:color w:val="auto"/>
          <w:kern w:val="0"/>
          <w:szCs w:val="24"/>
          <w:highlight w:val="none"/>
          <w:u w:val="none"/>
        </w:rPr>
        <w:t>进行信息披露。相关信息自披露之日即视为已送达投资者，也视为产品管理人已适当披露理财产品相关信息。投资者应及时查看，以免因未及时获知信息而错过资金使用和再投资的机会。若由于投资者原因未能及时登陆产品管理人官方网站、销售机构信息披露渠道获取披露信息，所造成的后果将由投资者自行承担，产品管理人不承担相应责任。</w:t>
      </w:r>
    </w:p>
    <w:p w14:paraId="6E3928DE">
      <w:pPr>
        <w:pStyle w:val="3"/>
        <w:numPr>
          <w:ilvl w:val="1"/>
          <w:numId w:val="15"/>
        </w:numPr>
        <w:ind w:firstLine="482"/>
        <w:rPr>
          <w:color w:val="auto"/>
          <w:highlight w:val="none"/>
          <w:u w:val="none"/>
        </w:rPr>
      </w:pPr>
      <w:r>
        <w:rPr>
          <w:rFonts w:hint="eastAsia"/>
          <w:color w:val="auto"/>
          <w:highlight w:val="none"/>
          <w:u w:val="none"/>
        </w:rPr>
        <w:t>信息披露内容</w:t>
      </w:r>
    </w:p>
    <w:p w14:paraId="31CF3EF2">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1.产品类型、募集信息、产品净值、产品规模、收益情况；</w:t>
      </w:r>
    </w:p>
    <w:p w14:paraId="5972FC63">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2.产品直接和间接投资的资产种类、投资比例、</w:t>
      </w:r>
      <w:r>
        <w:rPr>
          <w:rFonts w:hint="eastAsia" w:ascii="仿宋_GB2312" w:hAnsi="宋体" w:cs="宋体"/>
          <w:b/>
          <w:color w:val="auto"/>
          <w:kern w:val="0"/>
          <w:szCs w:val="24"/>
          <w:highlight w:val="none"/>
          <w:u w:val="none"/>
          <w:lang w:val="zh-CN"/>
        </w:rPr>
        <w:t>前十项资产具体名称、规模和比例等信息、</w:t>
      </w:r>
      <w:r>
        <w:rPr>
          <w:rFonts w:hint="eastAsia" w:ascii="仿宋_GB2312" w:hAnsi="宋体" w:cs="宋体"/>
          <w:b/>
          <w:color w:val="auto"/>
          <w:kern w:val="0"/>
          <w:szCs w:val="24"/>
          <w:highlight w:val="none"/>
          <w:u w:val="none"/>
        </w:rPr>
        <w:t>杠杆水平以及流动性风险分析；</w:t>
      </w:r>
    </w:p>
    <w:p w14:paraId="335A8BFB">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3.产品估值方法、托管安排；</w:t>
      </w:r>
    </w:p>
    <w:p w14:paraId="2D442246">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4.产品收益分配、各项费用情况及主要投资风险；</w:t>
      </w:r>
    </w:p>
    <w:p w14:paraId="1EBBB701">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5.如本理财产品投资于理财产品管理人或托管机构的主要股东、实际控制人、一致行动人、最终受益人，托管机构，同一股东或托管机构控股的机构，或者与理财产品管理人或托管机构有重大利害关系的机构，以及国家金融监督管理机构关于关联交易管理相关规定中涉及的其他关联方发行或承销的证券、发行的资产管理产品，或者从事其他关联交易的，应当在理财产品管理人官方网站或者行业统一渠道披露关联交易信息，在理财产品管理人年报中披露当年关联交易总体情况，并应向投资者充分披露。</w:t>
      </w:r>
    </w:p>
    <w:p w14:paraId="54169DF8">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6.其他影响本产品投资运作的重大事项、突发事件、临时性信息披露等。</w:t>
      </w:r>
    </w:p>
    <w:p w14:paraId="30FFF9F9">
      <w:pPr>
        <w:pStyle w:val="3"/>
        <w:numPr>
          <w:ilvl w:val="1"/>
          <w:numId w:val="15"/>
        </w:numPr>
        <w:tabs>
          <w:tab w:val="left" w:pos="0"/>
          <w:tab w:val="left" w:pos="709"/>
        </w:tabs>
        <w:ind w:firstLine="480" w:firstLineChars="0"/>
        <w:rPr>
          <w:color w:val="auto"/>
          <w:highlight w:val="none"/>
          <w:u w:val="none"/>
        </w:rPr>
      </w:pPr>
      <w:r>
        <w:rPr>
          <w:rFonts w:hint="eastAsia"/>
          <w:color w:val="auto"/>
          <w:highlight w:val="none"/>
          <w:u w:val="none"/>
        </w:rPr>
        <w:t>信息披露频率</w:t>
      </w:r>
    </w:p>
    <w:p w14:paraId="63CE5CD5">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ascii="仿宋_GB2312" w:hAnsi="宋体" w:cs="宋体"/>
          <w:color w:val="auto"/>
          <w:kern w:val="0"/>
          <w:szCs w:val="24"/>
          <w:highlight w:val="none"/>
          <w:u w:val="none"/>
        </w:rPr>
        <w:t>1.发行公告：本产品成立后5个工作日（含）内，将发布本理财产品成立公告；如</w:t>
      </w:r>
      <w:r>
        <w:rPr>
          <w:rFonts w:hint="eastAsia" w:ascii="仿宋_GB2312" w:hAnsi="宋体" w:cs="宋体"/>
          <w:color w:val="auto"/>
          <w:kern w:val="0"/>
          <w:szCs w:val="24"/>
          <w:highlight w:val="none"/>
          <w:u w:val="none"/>
        </w:rPr>
        <w:t>产品</w:t>
      </w:r>
      <w:r>
        <w:rPr>
          <w:rFonts w:ascii="仿宋_GB2312" w:hAnsi="宋体" w:cs="宋体"/>
          <w:color w:val="auto"/>
          <w:kern w:val="0"/>
          <w:szCs w:val="24"/>
          <w:highlight w:val="none"/>
          <w:u w:val="none"/>
        </w:rPr>
        <w:t>管理人决定本理财产品募集期延长，将于原定成立日前发布理财产品募集期延长公告；</w:t>
      </w:r>
      <w:r>
        <w:rPr>
          <w:rFonts w:hint="eastAsia" w:ascii="仿宋_GB2312" w:hAnsi="宋体" w:cs="宋体"/>
          <w:color w:val="auto"/>
          <w:kern w:val="0"/>
          <w:szCs w:val="24"/>
          <w:highlight w:val="none"/>
          <w:u w:val="none"/>
        </w:rPr>
        <w:t>产品</w:t>
      </w:r>
      <w:r>
        <w:rPr>
          <w:rFonts w:ascii="仿宋_GB2312" w:hAnsi="宋体" w:cs="宋体"/>
          <w:color w:val="auto"/>
          <w:kern w:val="0"/>
          <w:szCs w:val="24"/>
          <w:highlight w:val="none"/>
          <w:u w:val="none"/>
        </w:rPr>
        <w:t>管理人决定本理财产品不成立，将在理财产品原定成立日后的2个工作日（含）内发布理财产品不成立公告。</w:t>
      </w:r>
    </w:p>
    <w:p w14:paraId="0334EA97">
      <w:pPr>
        <w:widowControl/>
        <w:numPr>
          <w:ilvl w:val="0"/>
          <w:numId w:val="0"/>
        </w:numPr>
        <w:tabs>
          <w:tab w:val="left" w:pos="1261"/>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ascii="仿宋_GB2312" w:hAnsi="宋体" w:cs="宋体"/>
          <w:color w:val="auto"/>
          <w:kern w:val="0"/>
          <w:szCs w:val="24"/>
          <w:highlight w:val="none"/>
          <w:u w:val="none"/>
        </w:rPr>
        <w:t>2.定期公告：本产品在</w:t>
      </w:r>
      <w:r>
        <w:rPr>
          <w:rFonts w:hint="eastAsia" w:ascii="仿宋_GB2312" w:hAnsi="宋体" w:cs="宋体"/>
          <w:color w:val="auto"/>
          <w:kern w:val="0"/>
          <w:szCs w:val="24"/>
          <w:highlight w:val="none"/>
          <w:u w:val="none"/>
        </w:rPr>
        <w:t>每个季度结束之日起十五个工作日内披露产品的季度报告，每年8月31日前披露产品的半年度报告，每年4月30日前披露产品上一年度的年度报告。产品成立不足</w:t>
      </w:r>
      <w:r>
        <w:rPr>
          <w:rFonts w:ascii="仿宋_GB2312" w:hAnsi="宋体" w:cs="宋体"/>
          <w:color w:val="auto"/>
          <w:kern w:val="0"/>
          <w:szCs w:val="24"/>
          <w:highlight w:val="none"/>
          <w:u w:val="none"/>
        </w:rPr>
        <w:t>90</w:t>
      </w:r>
      <w:r>
        <w:rPr>
          <w:rFonts w:hint="eastAsia" w:ascii="仿宋_GB2312" w:hAnsi="宋体" w:cs="宋体"/>
          <w:color w:val="auto"/>
          <w:kern w:val="0"/>
          <w:szCs w:val="24"/>
          <w:highlight w:val="none"/>
          <w:u w:val="none"/>
        </w:rPr>
        <w:t>个</w:t>
      </w:r>
      <w:r>
        <w:rPr>
          <w:rFonts w:hint="eastAsia" w:ascii="仿宋_GB2312" w:hAnsi="宋体" w:cs="宋体"/>
          <w:color w:val="auto"/>
          <w:kern w:val="0"/>
          <w:szCs w:val="24"/>
          <w:highlight w:val="none"/>
          <w:u w:val="none"/>
          <w:lang w:eastAsia="zh-CN"/>
        </w:rPr>
        <w:t>自然日</w:t>
      </w:r>
      <w:r>
        <w:rPr>
          <w:rFonts w:hint="eastAsia" w:ascii="仿宋_GB2312" w:hAnsi="宋体" w:cs="宋体"/>
          <w:color w:val="auto"/>
          <w:kern w:val="0"/>
          <w:szCs w:val="24"/>
          <w:highlight w:val="none"/>
          <w:u w:val="none"/>
        </w:rPr>
        <w:t>或者</w:t>
      </w:r>
      <w:r>
        <w:rPr>
          <w:rFonts w:hint="eastAsia" w:ascii="仿宋_GB2312"/>
          <w:color w:val="auto"/>
          <w:szCs w:val="32"/>
          <w:highlight w:val="none"/>
        </w:rPr>
        <w:t>理财产品剩余存续期不足完整报告期，且到期公告或清算报告包括对应定期报告内容的</w:t>
      </w:r>
      <w:r>
        <w:rPr>
          <w:rFonts w:hint="eastAsia" w:ascii="仿宋_GB2312" w:hAnsi="宋体" w:cs="宋体"/>
          <w:color w:val="auto"/>
          <w:kern w:val="0"/>
          <w:szCs w:val="24"/>
          <w:highlight w:val="none"/>
          <w:u w:val="none"/>
        </w:rPr>
        <w:t>，</w:t>
      </w:r>
      <w:r>
        <w:rPr>
          <w:rFonts w:hint="eastAsia" w:ascii="仿宋_GB2312" w:hAnsi="宋体" w:cs="宋体"/>
          <w:color w:val="auto"/>
          <w:kern w:val="0"/>
          <w:szCs w:val="24"/>
          <w:highlight w:val="none"/>
          <w:u w:val="none"/>
          <w:lang w:eastAsia="zh-CN"/>
        </w:rPr>
        <w:t>可</w:t>
      </w:r>
      <w:r>
        <w:rPr>
          <w:rFonts w:hint="eastAsia" w:ascii="仿宋_GB2312" w:hAnsi="宋体" w:cs="宋体"/>
          <w:color w:val="auto"/>
          <w:kern w:val="0"/>
          <w:szCs w:val="24"/>
          <w:highlight w:val="none"/>
          <w:u w:val="none"/>
        </w:rPr>
        <w:t>不编制本产品当期的季度、半年和年度报告。</w:t>
      </w:r>
    </w:p>
    <w:p w14:paraId="0D94A1D2">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ascii="仿宋_GB2312" w:hAnsi="宋体" w:cs="宋体"/>
          <w:color w:val="auto"/>
          <w:kern w:val="0"/>
          <w:szCs w:val="24"/>
          <w:highlight w:val="none"/>
          <w:u w:val="none"/>
        </w:rPr>
        <w:t>3.到期公告：本产品在终止后5</w:t>
      </w:r>
      <w:r>
        <w:rPr>
          <w:rFonts w:hint="eastAsia" w:ascii="仿宋_GB2312" w:hAnsi="宋体" w:cs="宋体"/>
          <w:color w:val="auto"/>
          <w:kern w:val="0"/>
          <w:szCs w:val="24"/>
          <w:highlight w:val="none"/>
          <w:u w:val="none"/>
        </w:rPr>
        <w:t>个工作日内，披露本产品到期公告，包括理财产品的存续期限、终止日期、收费情况和收益分配情况等信息。本产品终止后5个工作日内，产品管理人发布产品到期公告。</w:t>
      </w:r>
    </w:p>
    <w:p w14:paraId="707ADC90">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如果产品管理人提前或</w:t>
      </w:r>
      <w:r>
        <w:rPr>
          <w:rFonts w:ascii="仿宋_GB2312" w:hAnsi="宋体" w:cs="宋体"/>
          <w:color w:val="auto"/>
          <w:kern w:val="0"/>
          <w:szCs w:val="24"/>
          <w:highlight w:val="none"/>
          <w:u w:val="none"/>
        </w:rPr>
        <w:t>延后</w:t>
      </w:r>
      <w:r>
        <w:rPr>
          <w:rFonts w:hint="eastAsia" w:ascii="仿宋_GB2312" w:hAnsi="宋体" w:cs="宋体"/>
          <w:color w:val="auto"/>
          <w:kern w:val="0"/>
          <w:szCs w:val="24"/>
          <w:highlight w:val="none"/>
          <w:u w:val="none"/>
        </w:rPr>
        <w:t>终止本产品，产品管理人将提前</w:t>
      </w: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个工作日进行公告。</w:t>
      </w:r>
    </w:p>
    <w:p w14:paraId="62111513">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ascii="仿宋_GB2312" w:hAnsi="宋体" w:cs="宋体"/>
          <w:color w:val="auto"/>
          <w:kern w:val="0"/>
          <w:szCs w:val="24"/>
          <w:highlight w:val="none"/>
          <w:u w:val="none"/>
        </w:rPr>
        <w:t>4.开放日</w:t>
      </w:r>
      <w:r>
        <w:rPr>
          <w:rFonts w:hint="eastAsia" w:ascii="仿宋_GB2312" w:hAnsi="宋体" w:cs="宋体"/>
          <w:color w:val="auto"/>
          <w:kern w:val="0"/>
          <w:szCs w:val="24"/>
          <w:highlight w:val="none"/>
          <w:u w:val="none"/>
        </w:rPr>
        <w:t>（估值日</w:t>
      </w:r>
      <w:r>
        <w:rPr>
          <w:rFonts w:ascii="仿宋_GB2312" w:hAnsi="宋体" w:cs="宋体"/>
          <w:color w:val="auto"/>
          <w:kern w:val="0"/>
          <w:szCs w:val="24"/>
          <w:highlight w:val="none"/>
          <w:u w:val="none"/>
        </w:rPr>
        <w:t>）公告：</w:t>
      </w:r>
      <w:r>
        <w:rPr>
          <w:rFonts w:hint="eastAsia" w:ascii="仿宋_GB2312" w:hAnsi="宋体" w:cs="宋体"/>
          <w:color w:val="auto"/>
          <w:kern w:val="0"/>
          <w:szCs w:val="24"/>
          <w:highlight w:val="none"/>
          <w:u w:val="none"/>
        </w:rPr>
        <w:t>产品管理人在申购日</w:t>
      </w:r>
      <w:r>
        <w:rPr>
          <w:rFonts w:ascii="仿宋_GB2312" w:hAnsi="宋体" w:cs="宋体"/>
          <w:color w:val="auto"/>
          <w:kern w:val="0"/>
          <w:szCs w:val="24"/>
          <w:highlight w:val="none"/>
          <w:u w:val="none"/>
        </w:rPr>
        <w:t>/赎回日结束后2</w:t>
      </w:r>
      <w:r>
        <w:rPr>
          <w:rFonts w:hint="eastAsia" w:ascii="仿宋_GB2312" w:hAnsi="宋体" w:cs="宋体"/>
          <w:color w:val="auto"/>
          <w:kern w:val="0"/>
          <w:szCs w:val="24"/>
          <w:highlight w:val="none"/>
          <w:u w:val="none"/>
        </w:rPr>
        <w:t>个工作日内披露开放日公告，公告内容包括申购日</w:t>
      </w:r>
      <w:r>
        <w:rPr>
          <w:rFonts w:ascii="仿宋_GB2312" w:hAnsi="宋体" w:cs="宋体"/>
          <w:color w:val="auto"/>
          <w:kern w:val="0"/>
          <w:szCs w:val="24"/>
          <w:highlight w:val="none"/>
          <w:u w:val="none"/>
        </w:rPr>
        <w:t>/赎回日的产品份额净值、产品份额累计净值、</w:t>
      </w:r>
      <w:r>
        <w:rPr>
          <w:rFonts w:hint="eastAsia" w:ascii="仿宋_GB2312" w:hAnsi="宋体" w:cs="宋体"/>
          <w:color w:val="auto"/>
          <w:kern w:val="0"/>
          <w:szCs w:val="24"/>
          <w:highlight w:val="none"/>
          <w:u w:val="none"/>
        </w:rPr>
        <w:t>申购/赎回</w:t>
      </w:r>
      <w:r>
        <w:rPr>
          <w:rFonts w:ascii="仿宋_GB2312" w:hAnsi="宋体" w:cs="宋体"/>
          <w:color w:val="auto"/>
          <w:kern w:val="0"/>
          <w:szCs w:val="24"/>
          <w:highlight w:val="none"/>
          <w:u w:val="none"/>
        </w:rPr>
        <w:t>价格</w:t>
      </w:r>
      <w:r>
        <w:rPr>
          <w:rFonts w:hint="eastAsia" w:ascii="仿宋_GB2312" w:hAnsi="宋体" w:cs="宋体"/>
          <w:color w:val="auto"/>
          <w:kern w:val="0"/>
          <w:szCs w:val="24"/>
          <w:highlight w:val="none"/>
          <w:u w:val="none"/>
        </w:rPr>
        <w:t>。如遇法定节假日顺延。如遇产品到期日、季度末、半年度末、年度末等时间节点，产品管理人将增加估值日。此外，如遇其他特殊情况，以产品管理人信息披露为准。</w:t>
      </w:r>
    </w:p>
    <w:p w14:paraId="4F9D2C24">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5</w:t>
      </w:r>
      <w:r>
        <w:rPr>
          <w:rFonts w:ascii="仿宋_GB2312" w:hAnsi="宋体" w:cs="宋体"/>
          <w:color w:val="auto"/>
          <w:kern w:val="0"/>
          <w:szCs w:val="24"/>
          <w:highlight w:val="none"/>
          <w:u w:val="none"/>
        </w:rPr>
        <w:t>.</w:t>
      </w:r>
      <w:r>
        <w:rPr>
          <w:rFonts w:hint="eastAsia" w:ascii="仿宋_GB2312" w:hAnsi="宋体" w:cs="宋体"/>
          <w:color w:val="auto"/>
          <w:kern w:val="0"/>
          <w:szCs w:val="24"/>
          <w:highlight w:val="none"/>
          <w:u w:val="none"/>
        </w:rPr>
        <w:t>产品临时公告</w:t>
      </w:r>
    </w:p>
    <w:p w14:paraId="3C99F92D">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1</w:t>
      </w:r>
      <w:r>
        <w:rPr>
          <w:rFonts w:hint="eastAsia" w:ascii="仿宋_GB2312" w:hAnsi="宋体" w:cs="宋体"/>
          <w:color w:val="auto"/>
          <w:kern w:val="0"/>
          <w:szCs w:val="24"/>
          <w:highlight w:val="none"/>
          <w:u w:val="none"/>
        </w:rPr>
        <w:t>）产品管理人对产品类型、投资范围、资产种类、投资比例、风险等级、产品期限、运作方式、认（申）购和赎回安排（包含认购或申购赎回时间、金额上下限等）、估值方法、收益分配安排</w:t>
      </w:r>
      <w:r>
        <w:rPr>
          <w:rFonts w:hint="eastAsia" w:ascii="仿宋_GB2312" w:hAnsi="宋体" w:cs="宋体"/>
          <w:color w:val="auto"/>
          <w:kern w:val="0"/>
          <w:szCs w:val="24"/>
          <w:highlight w:val="none"/>
          <w:u w:val="none"/>
          <w:lang w:eastAsia="zh-CN"/>
        </w:rPr>
        <w:t>、</w:t>
      </w:r>
      <w:r>
        <w:rPr>
          <w:rFonts w:hint="eastAsia" w:ascii="仿宋_GB2312"/>
          <w:color w:val="auto"/>
          <w:szCs w:val="32"/>
          <w:highlight w:val="none"/>
        </w:rPr>
        <w:t>份额类别</w:t>
      </w:r>
      <w:r>
        <w:rPr>
          <w:rFonts w:hint="eastAsia" w:ascii="仿宋_GB2312"/>
          <w:color w:val="auto"/>
          <w:szCs w:val="32"/>
          <w:highlight w:val="none"/>
          <w:lang w:eastAsia="zh-CN"/>
        </w:rPr>
        <w:t>、</w:t>
      </w:r>
      <w:r>
        <w:rPr>
          <w:rFonts w:hint="eastAsia" w:ascii="仿宋_GB2312" w:hAnsi="宋体" w:cs="宋体"/>
          <w:color w:val="auto"/>
          <w:kern w:val="0"/>
          <w:szCs w:val="24"/>
          <w:highlight w:val="none"/>
          <w:u w:val="none"/>
        </w:rPr>
        <w:t>收费项目、收费条件、收费标准、收费方式</w:t>
      </w:r>
      <w:r>
        <w:rPr>
          <w:rFonts w:hint="eastAsia" w:ascii="仿宋_GB2312" w:hAnsi="宋体" w:cs="宋体"/>
          <w:color w:val="auto"/>
          <w:kern w:val="0"/>
          <w:szCs w:val="24"/>
          <w:highlight w:val="none"/>
          <w:u w:val="none"/>
          <w:lang w:eastAsia="zh-CN"/>
        </w:rPr>
        <w:t>、费用优惠措施</w:t>
      </w:r>
      <w:r>
        <w:rPr>
          <w:rFonts w:hint="eastAsia" w:ascii="仿宋_GB2312" w:hAnsi="宋体" w:cs="宋体"/>
          <w:color w:val="auto"/>
          <w:kern w:val="0"/>
          <w:szCs w:val="24"/>
          <w:highlight w:val="none"/>
          <w:u w:val="none"/>
        </w:rPr>
        <w:t>等保留调整的权利，如发生调整，调整后的要素以产品管理人发布的公告中所载明的内容为准。产品管理人将提前</w:t>
      </w: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个工作日发布公告。</w:t>
      </w:r>
    </w:p>
    <w:p w14:paraId="0C2D1468">
      <w:pPr>
        <w:widowControl/>
        <w:tabs>
          <w:tab w:val="left" w:pos="709"/>
        </w:tabs>
        <w:adjustRightInd w:val="0"/>
        <w:snapToGrid w:val="0"/>
        <w:spacing w:line="360" w:lineRule="auto"/>
        <w:ind w:firstLine="422" w:firstLineChars="20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w:t>
      </w:r>
      <w:r>
        <w:rPr>
          <w:rFonts w:ascii="仿宋_GB2312" w:hAnsi="宋体" w:cs="宋体"/>
          <w:b/>
          <w:bCs/>
          <w:color w:val="auto"/>
          <w:kern w:val="0"/>
          <w:szCs w:val="24"/>
          <w:highlight w:val="none"/>
          <w:u w:val="none"/>
        </w:rPr>
        <w:t>2）在发生产品管理人拒绝或暂停接受投资者认购/申购申请、</w:t>
      </w:r>
      <w:r>
        <w:rPr>
          <w:rFonts w:hint="eastAsia" w:ascii="仿宋_GB2312" w:hAnsi="宋体" w:cs="宋体"/>
          <w:b/>
          <w:bCs/>
          <w:color w:val="auto"/>
          <w:kern w:val="0"/>
          <w:szCs w:val="24"/>
          <w:highlight w:val="none"/>
          <w:u w:val="none"/>
        </w:rPr>
        <w:t>延期办理巨额赎回申请、</w:t>
      </w:r>
      <w:r>
        <w:rPr>
          <w:rFonts w:ascii="仿宋_GB2312" w:hAnsi="宋体" w:cs="宋体"/>
          <w:b/>
          <w:bCs/>
          <w:color w:val="auto"/>
          <w:kern w:val="0"/>
          <w:szCs w:val="24"/>
          <w:highlight w:val="none"/>
          <w:u w:val="none"/>
        </w:rPr>
        <w:t>暂停接受投资者赎回申请、延缓支付赎回款项、暂停理财产品估值、</w:t>
      </w:r>
      <w:r>
        <w:rPr>
          <w:rFonts w:hint="eastAsia" w:ascii="仿宋_GB2312" w:hAnsi="宋体" w:cs="宋体"/>
          <w:b/>
          <w:bCs/>
          <w:color w:val="auto"/>
          <w:kern w:val="0"/>
          <w:szCs w:val="24"/>
          <w:highlight w:val="none"/>
          <w:u w:val="none"/>
          <w:lang w:eastAsia="zh-CN"/>
        </w:rPr>
        <w:t>收取短期赎回费、</w:t>
      </w:r>
      <w:r>
        <w:rPr>
          <w:rFonts w:ascii="仿宋_GB2312" w:hAnsi="宋体" w:cs="宋体"/>
          <w:b/>
          <w:bCs/>
          <w:color w:val="auto"/>
          <w:kern w:val="0"/>
          <w:szCs w:val="24"/>
          <w:highlight w:val="none"/>
          <w:u w:val="none"/>
        </w:rPr>
        <w:t>采用摆动定价等情形时，产品管理人将于</w:t>
      </w:r>
      <w:r>
        <w:rPr>
          <w:rFonts w:hint="eastAsia" w:ascii="仿宋_GB2312" w:hAnsi="宋体" w:cs="宋体"/>
          <w:b/>
          <w:bCs/>
          <w:color w:val="auto"/>
          <w:kern w:val="0"/>
          <w:szCs w:val="24"/>
          <w:highlight w:val="none"/>
          <w:u w:val="none"/>
        </w:rPr>
        <w:t>情形发生</w:t>
      </w:r>
      <w:r>
        <w:rPr>
          <w:rFonts w:hint="eastAsia" w:ascii="仿宋_GB2312" w:hAnsi="宋体" w:cs="宋体"/>
          <w:b/>
          <w:bCs/>
          <w:color w:val="auto"/>
          <w:kern w:val="0"/>
          <w:szCs w:val="24"/>
          <w:highlight w:val="none"/>
          <w:u w:val="none"/>
          <w:lang w:val="en-US" w:eastAsia="zh-CN"/>
        </w:rPr>
        <w:t>后</w:t>
      </w:r>
      <w:r>
        <w:rPr>
          <w:rFonts w:ascii="仿宋_GB2312" w:hAnsi="宋体" w:cs="宋体"/>
          <w:b/>
          <w:bCs/>
          <w:color w:val="auto"/>
          <w:kern w:val="0"/>
          <w:szCs w:val="24"/>
          <w:highlight w:val="none"/>
          <w:u w:val="none"/>
        </w:rPr>
        <w:t>3</w:t>
      </w:r>
      <w:r>
        <w:rPr>
          <w:rFonts w:hint="eastAsia" w:ascii="仿宋_GB2312" w:hAnsi="宋体" w:cs="宋体"/>
          <w:b/>
          <w:bCs/>
          <w:color w:val="auto"/>
          <w:kern w:val="0"/>
          <w:szCs w:val="24"/>
          <w:highlight w:val="none"/>
          <w:u w:val="none"/>
        </w:rPr>
        <w:t>个</w:t>
      </w:r>
      <w:r>
        <w:rPr>
          <w:rFonts w:hint="eastAsia" w:ascii="仿宋_GB2312" w:hAnsi="宋体" w:cs="宋体"/>
          <w:b/>
          <w:bCs/>
          <w:color w:val="auto"/>
          <w:kern w:val="0"/>
          <w:szCs w:val="24"/>
          <w:highlight w:val="none"/>
          <w:u w:val="none"/>
          <w:lang w:eastAsia="zh-CN"/>
        </w:rPr>
        <w:t>交易日</w:t>
      </w:r>
      <w:r>
        <w:rPr>
          <w:rFonts w:hint="eastAsia" w:ascii="仿宋_GB2312" w:hAnsi="宋体" w:cs="宋体"/>
          <w:b/>
          <w:bCs/>
          <w:color w:val="auto"/>
          <w:kern w:val="0"/>
          <w:szCs w:val="24"/>
          <w:highlight w:val="none"/>
          <w:u w:val="none"/>
        </w:rPr>
        <w:t>内告知投资者，并说明运用相关措施的原因和拟采取的应对安排等。在发生涉及产品认购、申购或赎回事项调整或潜在影响投资者赎回等事项时，管理人将发布临时公告。</w:t>
      </w:r>
    </w:p>
    <w:p w14:paraId="098E37DE">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3）理财产品清算期超过5</w:t>
      </w:r>
      <w:r>
        <w:rPr>
          <w:rFonts w:hint="eastAsia" w:ascii="仿宋_GB2312" w:hAnsi="宋体" w:cs="宋体"/>
          <w:color w:val="auto"/>
          <w:kern w:val="0"/>
          <w:szCs w:val="24"/>
          <w:highlight w:val="none"/>
          <w:u w:val="none"/>
        </w:rPr>
        <w:t>个工作日的，产品管理人应当在理财产品终止前</w:t>
      </w: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个</w:t>
      </w:r>
      <w:r>
        <w:rPr>
          <w:rFonts w:ascii="仿宋_GB2312" w:hAnsi="宋体" w:cs="宋体"/>
          <w:color w:val="auto"/>
          <w:kern w:val="0"/>
          <w:szCs w:val="24"/>
          <w:highlight w:val="none"/>
          <w:u w:val="none"/>
        </w:rPr>
        <w:t>工作日</w:t>
      </w:r>
      <w:r>
        <w:rPr>
          <w:rFonts w:hint="eastAsia" w:ascii="仿宋_GB2312" w:hAnsi="宋体" w:cs="宋体"/>
          <w:color w:val="auto"/>
          <w:kern w:val="0"/>
          <w:szCs w:val="24"/>
          <w:highlight w:val="none"/>
          <w:u w:val="none"/>
        </w:rPr>
        <w:t>，根据与投资者约定的渠道向投资者进行信息披露。</w:t>
      </w:r>
    </w:p>
    <w:p w14:paraId="6C146E52">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（4）在本产品存续期内，如因国家法律法规、监管规定发生变化，或是出于维护本产品正常运营的需要，在不损害投资者权益的前提下，产品管理人有权对理财产品销售文件进行修订，并提前</w:t>
      </w:r>
      <w:r>
        <w:rPr>
          <w:rFonts w:hint="eastAsia" w:ascii="仿宋_GB2312" w:hAnsi="宋体" w:cs="宋体"/>
          <w:b/>
          <w:color w:val="auto"/>
          <w:kern w:val="0"/>
          <w:szCs w:val="24"/>
          <w:highlight w:val="none"/>
          <w:u w:val="none"/>
          <w:lang w:val="en-US" w:eastAsia="zh-CN"/>
        </w:rPr>
        <w:t>1</w:t>
      </w:r>
      <w:r>
        <w:rPr>
          <w:rFonts w:hint="eastAsia" w:ascii="仿宋_GB2312" w:hAnsi="宋体" w:cs="宋体"/>
          <w:b/>
          <w:color w:val="auto"/>
          <w:kern w:val="0"/>
          <w:szCs w:val="24"/>
          <w:highlight w:val="none"/>
          <w:u w:val="none"/>
        </w:rPr>
        <w:t>个工作日进行公告。</w:t>
      </w:r>
    </w:p>
    <w:p w14:paraId="59F28158">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w:t>
      </w:r>
      <w:r>
        <w:rPr>
          <w:rFonts w:ascii="仿宋_GB2312" w:hAnsi="宋体" w:cs="宋体"/>
          <w:color w:val="auto"/>
          <w:kern w:val="0"/>
          <w:szCs w:val="24"/>
          <w:highlight w:val="none"/>
          <w:u w:val="none"/>
        </w:rPr>
        <w:t>5）其他临时性公告</w:t>
      </w:r>
    </w:p>
    <w:p w14:paraId="2D8518F5">
      <w:pPr>
        <w:widowControl/>
        <w:tabs>
          <w:tab w:val="left" w:pos="709"/>
        </w:tabs>
        <w:adjustRightInd w:val="0"/>
        <w:snapToGrid w:val="0"/>
        <w:spacing w:line="360" w:lineRule="auto"/>
        <w:ind w:firstLine="420" w:firstLineChars="200"/>
        <w:rPr>
          <w:rFonts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除前述事项外，如出现产品</w:t>
      </w:r>
      <w:r>
        <w:rPr>
          <w:rFonts w:ascii="仿宋_GB2312" w:hAnsi="宋体" w:cs="宋体"/>
          <w:color w:val="auto"/>
          <w:kern w:val="0"/>
          <w:szCs w:val="24"/>
          <w:highlight w:val="none"/>
          <w:u w:val="none"/>
        </w:rPr>
        <w:t>二次清算</w:t>
      </w:r>
      <w:r>
        <w:rPr>
          <w:rFonts w:hint="eastAsia" w:ascii="仿宋_GB2312" w:hAnsi="宋体" w:cs="宋体"/>
          <w:color w:val="auto"/>
          <w:kern w:val="0"/>
          <w:szCs w:val="24"/>
          <w:highlight w:val="none"/>
          <w:u w:val="none"/>
        </w:rPr>
        <w:t>等其他突发事件，应在完成再次清算之日起</w:t>
      </w:r>
      <w:r>
        <w:rPr>
          <w:rFonts w:hint="eastAsia" w:ascii="仿宋_GB2312" w:hAnsi="宋体" w:cs="宋体"/>
          <w:color w:val="auto"/>
          <w:kern w:val="0"/>
          <w:szCs w:val="24"/>
          <w:highlight w:val="none"/>
          <w:u w:val="none"/>
          <w:lang w:val="en-US" w:eastAsia="zh-CN"/>
        </w:rPr>
        <w:t>2</w:t>
      </w:r>
      <w:r>
        <w:rPr>
          <w:rFonts w:hint="eastAsia" w:ascii="仿宋_GB2312" w:hAnsi="宋体" w:cs="宋体"/>
          <w:color w:val="auto"/>
          <w:kern w:val="0"/>
          <w:szCs w:val="24"/>
          <w:highlight w:val="none"/>
          <w:u w:val="none"/>
        </w:rPr>
        <w:t>个工作日内，向投资者披露清算资金分配情况等信息。</w:t>
      </w:r>
    </w:p>
    <w:p w14:paraId="3818BD1C">
      <w:pPr>
        <w:widowControl/>
        <w:tabs>
          <w:tab w:val="left" w:pos="709"/>
        </w:tabs>
        <w:adjustRightInd w:val="0"/>
        <w:snapToGrid w:val="0"/>
        <w:spacing w:line="360" w:lineRule="auto"/>
        <w:ind w:firstLine="422" w:firstLineChars="200"/>
        <w:rPr>
          <w:rFonts w:hint="eastAsia" w:ascii="仿宋_GB2312" w:hAnsi="宋体" w:cs="宋体"/>
          <w:b/>
          <w:color w:val="auto"/>
          <w:kern w:val="0"/>
          <w:szCs w:val="24"/>
          <w:highlight w:val="none"/>
          <w:u w:val="none"/>
        </w:rPr>
      </w:pPr>
      <w:r>
        <w:rPr>
          <w:rFonts w:hint="eastAsia" w:ascii="仿宋_GB2312" w:hAnsi="宋体" w:cs="宋体"/>
          <w:b/>
          <w:color w:val="auto"/>
          <w:kern w:val="0"/>
          <w:szCs w:val="24"/>
          <w:highlight w:val="none"/>
          <w:u w:val="none"/>
        </w:rPr>
        <w:t>在本产品存续期内，当产品管理人对理财产品进行相应调整（包括调整投资范围、投资资产种类、投资比例或收费项目、收费条件、收费标准、收费方式等）时，若构成对投资者利益产生实质性不利影响或涉及当事人权利义务的重大变更的，投资者有权不接受调整，在符合法律法规及监管政策的前提下，可由产品管理人决定投资者提前赎回的方式，并通过公告进行披露。若投资者未选择赎回本产品的，则视为已理解并接受产品管理人的相应调整。</w:t>
      </w:r>
    </w:p>
    <w:p w14:paraId="056E64FF">
      <w:pPr>
        <w:widowControl/>
        <w:tabs>
          <w:tab w:val="left" w:pos="709"/>
        </w:tabs>
        <w:adjustRightInd w:val="0"/>
        <w:snapToGrid w:val="0"/>
        <w:spacing w:line="360" w:lineRule="auto"/>
        <w:ind w:firstLine="422" w:firstLineChars="200"/>
        <w:rPr>
          <w:rFonts w:hint="eastAsia" w:ascii="仿宋_GB2312" w:hAnsi="宋体" w:cs="宋体"/>
          <w:b/>
          <w:bCs/>
          <w:color w:val="auto"/>
          <w:kern w:val="0"/>
          <w:szCs w:val="24"/>
          <w:highlight w:val="none"/>
          <w:u w:val="none"/>
          <w:lang w:eastAsia="zh-CN"/>
        </w:rPr>
      </w:pPr>
      <w:r>
        <w:rPr>
          <w:rFonts w:hint="eastAsia" w:ascii="仿宋_GB2312" w:hAnsi="宋体" w:cs="宋体"/>
          <w:b/>
          <w:bCs/>
          <w:color w:val="auto"/>
          <w:kern w:val="0"/>
          <w:szCs w:val="24"/>
          <w:highlight w:val="none"/>
          <w:u w:val="none"/>
          <w:lang w:eastAsia="zh-CN"/>
        </w:rPr>
        <w:t>产品管理人</w:t>
      </w:r>
      <w:r>
        <w:rPr>
          <w:rFonts w:hint="eastAsia" w:ascii="仿宋_GB2312" w:hAnsi="宋体" w:cs="宋体"/>
          <w:b/>
          <w:bCs/>
          <w:color w:val="auto"/>
          <w:kern w:val="0"/>
          <w:szCs w:val="24"/>
          <w:highlight w:val="none"/>
          <w:u w:val="none"/>
        </w:rPr>
        <w:t>对于理财产品存续期间发生的以下事项，应于知晓或应当知晓相关事项后</w:t>
      </w:r>
      <w:r>
        <w:rPr>
          <w:rFonts w:hint="eastAsia" w:ascii="仿宋_GB2312" w:hAnsi="宋体" w:cs="宋体"/>
          <w:b/>
          <w:bCs/>
          <w:color w:val="auto"/>
          <w:kern w:val="0"/>
          <w:szCs w:val="24"/>
          <w:highlight w:val="none"/>
          <w:u w:val="none"/>
          <w:lang w:val="en-US" w:eastAsia="zh-CN"/>
        </w:rPr>
        <w:t>5</w:t>
      </w:r>
      <w:r>
        <w:rPr>
          <w:rFonts w:hint="eastAsia" w:ascii="仿宋_GB2312" w:hAnsi="宋体" w:cs="宋体"/>
          <w:b/>
          <w:bCs/>
          <w:color w:val="auto"/>
          <w:kern w:val="0"/>
          <w:szCs w:val="24"/>
          <w:highlight w:val="none"/>
          <w:u w:val="none"/>
        </w:rPr>
        <w:t>个工作日内向投资者披露</w:t>
      </w:r>
      <w:r>
        <w:rPr>
          <w:rFonts w:hint="eastAsia" w:ascii="仿宋_GB2312" w:hAnsi="宋体" w:cs="宋体"/>
          <w:b/>
          <w:bCs/>
          <w:color w:val="auto"/>
          <w:kern w:val="0"/>
          <w:szCs w:val="24"/>
          <w:highlight w:val="none"/>
          <w:u w:val="none"/>
          <w:lang w:eastAsia="zh-CN"/>
        </w:rPr>
        <w:t>：</w:t>
      </w:r>
    </w:p>
    <w:p w14:paraId="46489027">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1）</w:t>
      </w:r>
      <w:r>
        <w:rPr>
          <w:rFonts w:hint="eastAsia" w:ascii="仿宋_GB2312" w:hAnsi="宋体" w:cs="宋体"/>
          <w:color w:val="auto"/>
          <w:kern w:val="0"/>
          <w:szCs w:val="24"/>
          <w:highlight w:val="none"/>
          <w:u w:val="none"/>
        </w:rPr>
        <w:t>更换理财产品管理人或</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变更实际控制人，更换托管机构，</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或托管</w:t>
      </w:r>
      <w:r>
        <w:rPr>
          <w:rFonts w:hint="eastAsia" w:ascii="仿宋_GB2312" w:hAnsi="宋体" w:cs="宋体"/>
          <w:color w:val="auto"/>
          <w:kern w:val="0"/>
          <w:szCs w:val="24"/>
          <w:highlight w:val="none"/>
          <w:u w:val="none"/>
          <w:lang w:eastAsia="zh-CN"/>
        </w:rPr>
        <w:t>机构</w:t>
      </w:r>
      <w:r>
        <w:rPr>
          <w:rFonts w:hint="eastAsia" w:ascii="仿宋_GB2312" w:hAnsi="宋体" w:cs="宋体"/>
          <w:color w:val="auto"/>
          <w:kern w:val="0"/>
          <w:szCs w:val="24"/>
          <w:highlight w:val="none"/>
          <w:u w:val="none"/>
        </w:rPr>
        <w:t>的法定名称、住所发生变更。</w:t>
      </w:r>
    </w:p>
    <w:p w14:paraId="4180B7CD">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2）</w:t>
      </w:r>
      <w:r>
        <w:rPr>
          <w:rFonts w:hint="eastAsia" w:ascii="仿宋_GB2312" w:hAnsi="宋体" w:cs="宋体"/>
          <w:color w:val="auto"/>
          <w:kern w:val="0"/>
          <w:szCs w:val="24"/>
          <w:highlight w:val="none"/>
          <w:u w:val="none"/>
        </w:rPr>
        <w:t>涉及产品穿透后持仓百分之十及以上的单笔资产的诉讼或仲裁，并可能对产品或其投资者权益有重大影响的。</w:t>
      </w:r>
    </w:p>
    <w:p w14:paraId="3D7288B9">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3</w:t>
      </w:r>
      <w:r>
        <w:rPr>
          <w:rFonts w:hint="eastAsia" w:ascii="仿宋_GB2312" w:hAnsi="宋体" w:cs="宋体"/>
          <w:color w:val="auto"/>
          <w:kern w:val="0"/>
          <w:szCs w:val="24"/>
          <w:highlight w:val="none"/>
          <w:u w:val="none"/>
        </w:rPr>
        <w:t>）产品穿透后持仓百分之十及以上的非标准化债权类资产的融资主体、担保主体发生重大行政处罚、重大诉讼或仲裁，或破产、兼并、重组等重大事项，并对其还款能力或担保能力造成重大不利影响；或上述融资主体对其公开市场债务出现不能按时足额还本付息情况的。</w:t>
      </w:r>
    </w:p>
    <w:p w14:paraId="0EB3162D">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rPr>
        <w:t>理财产品投资的非标准化资产本身为不良资产及其收益权的，可以不进行临时披露，但应当在季度、半年度、年度报告中披露相关情况。</w:t>
      </w:r>
    </w:p>
    <w:p w14:paraId="343146DA">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4）</w:t>
      </w:r>
      <w:r>
        <w:rPr>
          <w:rFonts w:hint="eastAsia" w:ascii="仿宋_GB2312" w:hAnsi="宋体" w:cs="宋体"/>
          <w:color w:val="auto"/>
          <w:kern w:val="0"/>
          <w:szCs w:val="24"/>
          <w:highlight w:val="none"/>
          <w:u w:val="none"/>
        </w:rPr>
        <w:t>涉及产品穿透后持仓百分之十及以上的单笔资产的债券违约、股票停牌或退市的。</w:t>
      </w:r>
    </w:p>
    <w:p w14:paraId="338DE83F">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5）</w:t>
      </w:r>
      <w:r>
        <w:rPr>
          <w:rFonts w:hint="eastAsia" w:ascii="仿宋_GB2312" w:hAnsi="宋体" w:cs="宋体"/>
          <w:color w:val="auto"/>
          <w:kern w:val="0"/>
          <w:szCs w:val="24"/>
          <w:highlight w:val="none"/>
          <w:u w:val="none"/>
        </w:rPr>
        <w:t>理财产品份额净值计价错误达份额净值百分之零点五。</w:t>
      </w:r>
    </w:p>
    <w:p w14:paraId="569DBCE7">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6）</w:t>
      </w:r>
      <w:r>
        <w:rPr>
          <w:rFonts w:hint="eastAsia" w:ascii="仿宋_GB2312" w:hAnsi="宋体" w:cs="宋体"/>
          <w:color w:val="auto"/>
          <w:kern w:val="0"/>
          <w:szCs w:val="24"/>
          <w:highlight w:val="none"/>
          <w:u w:val="none"/>
        </w:rPr>
        <w:t>金融市场发生重大变化导致理财产品投资比例暂时超出浮动区间且可能对理财产品收益产生重大影响的。</w:t>
      </w:r>
    </w:p>
    <w:p w14:paraId="5F7A1C30">
      <w:pPr>
        <w:widowControl/>
        <w:tabs>
          <w:tab w:val="left" w:pos="709"/>
        </w:tabs>
        <w:adjustRightInd w:val="0"/>
        <w:snapToGrid w:val="0"/>
        <w:spacing w:line="360" w:lineRule="auto"/>
        <w:ind w:firstLine="420" w:firstLineChars="200"/>
        <w:rPr>
          <w:rFonts w:hint="eastAsia" w:ascii="仿宋_GB2312" w:hAnsi="宋体" w:cs="宋体"/>
          <w:color w:val="auto"/>
          <w:kern w:val="0"/>
          <w:szCs w:val="24"/>
          <w:highlight w:val="none"/>
          <w:u w:val="none"/>
        </w:rPr>
      </w:pPr>
      <w:r>
        <w:rPr>
          <w:rFonts w:hint="eastAsia" w:ascii="仿宋_GB2312" w:hAnsi="宋体" w:cs="宋体"/>
          <w:color w:val="auto"/>
          <w:kern w:val="0"/>
          <w:szCs w:val="24"/>
          <w:highlight w:val="none"/>
          <w:u w:val="none"/>
          <w:lang w:val="en-US" w:eastAsia="zh-CN"/>
        </w:rPr>
        <w:t>7）</w:t>
      </w:r>
      <w:r>
        <w:rPr>
          <w:rFonts w:hint="eastAsia" w:ascii="仿宋_GB2312" w:hAnsi="宋体" w:cs="宋体"/>
          <w:color w:val="auto"/>
          <w:kern w:val="0"/>
          <w:szCs w:val="24"/>
          <w:highlight w:val="none"/>
          <w:u w:val="none"/>
        </w:rPr>
        <w:t>法律法规以及监管规定的其他内容，或者</w:t>
      </w:r>
      <w:r>
        <w:rPr>
          <w:rFonts w:hint="eastAsia" w:ascii="仿宋_GB2312" w:hAnsi="宋体" w:cs="宋体"/>
          <w:color w:val="auto"/>
          <w:kern w:val="0"/>
          <w:szCs w:val="24"/>
          <w:highlight w:val="none"/>
          <w:u w:val="none"/>
          <w:lang w:eastAsia="zh-CN"/>
        </w:rPr>
        <w:t>产品管理人</w:t>
      </w:r>
      <w:r>
        <w:rPr>
          <w:rFonts w:hint="eastAsia" w:ascii="仿宋_GB2312" w:hAnsi="宋体" w:cs="宋体"/>
          <w:color w:val="auto"/>
          <w:kern w:val="0"/>
          <w:szCs w:val="24"/>
          <w:highlight w:val="none"/>
          <w:u w:val="none"/>
        </w:rPr>
        <w:t>认为可能对投资者权益产生重大不利影响的其他事项。</w:t>
      </w:r>
    </w:p>
    <w:p w14:paraId="3B10F6E3">
      <w:pPr>
        <w:widowControl/>
        <w:tabs>
          <w:tab w:val="left" w:pos="709"/>
        </w:tabs>
        <w:adjustRightInd w:val="0"/>
        <w:snapToGrid w:val="0"/>
        <w:spacing w:line="360" w:lineRule="auto"/>
        <w:ind w:firstLine="422" w:firstLineChars="200"/>
        <w:rPr>
          <w:rFonts w:ascii="仿宋_GB2312" w:hAnsi="宋体" w:cs="宋体"/>
          <w:b/>
          <w:color w:val="auto"/>
          <w:kern w:val="0"/>
          <w:szCs w:val="24"/>
          <w:highlight w:val="none"/>
          <w:u w:val="none"/>
        </w:rPr>
      </w:pPr>
    </w:p>
    <w:p w14:paraId="71C65F01">
      <w:pPr>
        <w:widowControl/>
        <w:jc w:val="left"/>
        <w:rPr>
          <w:rFonts w:eastAsia="黑体"/>
          <w:color w:val="auto"/>
          <w:kern w:val="44"/>
          <w:sz w:val="28"/>
          <w:highlight w:val="none"/>
          <w:u w:val="none"/>
        </w:rPr>
      </w:pPr>
      <w:r>
        <w:rPr>
          <w:color w:val="auto"/>
          <w:highlight w:val="none"/>
          <w:u w:val="none"/>
        </w:rPr>
        <w:br w:type="page"/>
      </w:r>
    </w:p>
    <w:p w14:paraId="097D1B21">
      <w:pPr>
        <w:pStyle w:val="2"/>
        <w:numPr>
          <w:ilvl w:val="0"/>
          <w:numId w:val="15"/>
        </w:numPr>
        <w:rPr>
          <w:color w:val="auto"/>
          <w:highlight w:val="none"/>
          <w:u w:val="none"/>
        </w:rPr>
      </w:pPr>
      <w:r>
        <w:rPr>
          <w:rFonts w:hint="eastAsia"/>
          <w:color w:val="auto"/>
          <w:highlight w:val="none"/>
          <w:u w:val="none"/>
          <w:lang w:eastAsia="zh-CN"/>
        </w:rPr>
        <w:t>风险揭示</w:t>
      </w:r>
    </w:p>
    <w:p w14:paraId="15C52C70">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eastAsia" w:ascii="仿宋_GB2312" w:hAnsi="宋体" w:cs="宋体"/>
          <w:b w:val="0"/>
          <w:color w:val="auto"/>
          <w:kern w:val="0"/>
          <w:szCs w:val="24"/>
          <w:highlight w:val="yellow"/>
          <w:u w:val="none"/>
          <w:lang w:eastAsia="zh-CN"/>
        </w:rPr>
        <w:t>【</w:t>
      </w:r>
      <w:r>
        <w:rPr>
          <w:rFonts w:hint="default" w:ascii="仿宋_GB2312" w:hAnsi="宋体" w:cs="宋体"/>
          <w:b w:val="0"/>
          <w:color w:val="auto"/>
          <w:kern w:val="0"/>
          <w:szCs w:val="24"/>
          <w:highlight w:val="yellow"/>
          <w:u w:val="none"/>
        </w:rPr>
        <w:t>本产品不保证本金和收益，投资者的本金有可能蒙受损失，极端情况下，可能全部或部分受损。投资者应充分认识投资风险，谨慎投资。</w:t>
      </w:r>
      <w:r>
        <w:rPr>
          <w:rFonts w:hint="eastAsia" w:ascii="仿宋_GB2312" w:hAnsi="宋体" w:cs="宋体"/>
          <w:b w:val="0"/>
          <w:color w:val="auto"/>
          <w:kern w:val="0"/>
          <w:szCs w:val="24"/>
          <w:highlight w:val="yellow"/>
          <w:u w:val="none"/>
          <w:lang w:eastAsia="zh-CN"/>
        </w:rPr>
        <w:t>风险列示</w:t>
      </w:r>
      <w:r>
        <w:rPr>
          <w:rFonts w:hint="default" w:ascii="仿宋_GB2312" w:hAnsi="宋体" w:cs="宋体"/>
          <w:b w:val="0"/>
          <w:color w:val="auto"/>
          <w:kern w:val="0"/>
          <w:szCs w:val="24"/>
          <w:highlight w:val="yellow"/>
          <w:u w:val="none"/>
        </w:rPr>
        <w:t>如下：</w:t>
      </w:r>
    </w:p>
    <w:p w14:paraId="294F9E6A">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（一）政策风险</w:t>
      </w:r>
    </w:p>
    <w:p w14:paraId="03153B0D">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是根据当前相关法律法规、监管规定和国家政策设计的。如国家宏观政策以及市场相关法律法规、监管规定发生变化，可能影响本理财产品的发行、交易、投资、兑付等工作流程的正常进行，从而影响本理财产品的投资运作，则投资者可能面临本金和收益遭受部分甚至全部损失的风险。</w:t>
      </w:r>
    </w:p>
    <w:p w14:paraId="069C9547">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（二）信用风险</w:t>
      </w:r>
    </w:p>
    <w:p w14:paraId="12757AF9">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本理财产品所投资的资产或资产组合项下义务人可能出现信用违约情形，无法如期偿付融资本金与利息，则投资者可能面临本金和收益遭受部分甚至全部损失的风险。</w:t>
      </w:r>
    </w:p>
    <w:p w14:paraId="73657188">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（三）市场风险</w:t>
      </w:r>
    </w:p>
    <w:p w14:paraId="1FFA10D2">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存续期内，由于市场利率、汇率变化，债券、股票等投资品市场价格波动，以及市场已出现或未来可能出现的其他重要因素影响，将导致本理财产品所投资的资产或资产组合出现估值波动，从而影响本理财产品的净值，投资者可能面临投资本金和收益遭受部分甚至全部损失的风险。</w:t>
      </w:r>
    </w:p>
    <w:p w14:paraId="7420D872">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（四）流动性风险</w:t>
      </w:r>
    </w:p>
    <w:p w14:paraId="76EEC7AA">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当市场出现极端情况或开放式产品投资者集中、大额赎回等情形下，理财产品可能因持有现金头寸不足或所投资的资产无法及时变现，导致无法按约定向投资者及时兑付理财资金，投资者可能面临理财资金无法及时到账及/或持有的本理财产品整体损益出现不利情形的风险。</w:t>
      </w:r>
    </w:p>
    <w:p w14:paraId="0E92DCFF">
      <w:pPr>
        <w:widowControl/>
        <w:tabs>
          <w:tab w:val="left" w:pos="709"/>
        </w:tabs>
        <w:adjustRightInd w:val="0"/>
        <w:snapToGrid w:val="0"/>
        <w:spacing w:line="360" w:lineRule="auto"/>
        <w:ind w:firstLine="422" w:firstLineChars="200"/>
        <w:rPr>
          <w:rFonts w:hint="default" w:ascii="仿宋_GB2312" w:hAnsi="宋体" w:cs="宋体"/>
          <w:b w:val="0"/>
          <w:color w:val="auto"/>
          <w:kern w:val="0"/>
          <w:szCs w:val="24"/>
          <w:highlight w:val="yellow"/>
          <w:u w:val="none"/>
        </w:rPr>
      </w:pPr>
      <w:r>
        <w:rPr>
          <w:rFonts w:hint="default" w:ascii="仿宋_GB2312" w:hAnsi="宋体" w:cs="宋体"/>
          <w:b/>
          <w:bCs/>
          <w:color w:val="auto"/>
          <w:kern w:val="0"/>
          <w:szCs w:val="24"/>
          <w:highlight w:val="yellow"/>
          <w:u w:val="none"/>
        </w:rPr>
        <w:t>投资者在本理财产品说明书约定的封闭期、最短持有期及/或其他不可赎回时段内不享有提前赎回权。</w:t>
      </w:r>
      <w:r>
        <w:rPr>
          <w:rFonts w:hint="default" w:ascii="仿宋_GB2312" w:hAnsi="宋体" w:cs="宋体"/>
          <w:b w:val="0"/>
          <w:color w:val="auto"/>
          <w:kern w:val="0"/>
          <w:szCs w:val="24"/>
          <w:highlight w:val="yellow"/>
          <w:u w:val="none"/>
        </w:rPr>
        <w:t>如果投资者面临用款需求与其他投资机会，可能因所持有的理财产品不能随时赎回或变现，存在用款需求无法满足或错过其他投资机会的风险。</w:t>
      </w:r>
    </w:p>
    <w:p w14:paraId="5D95F99D">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拟投资市场、资产的流动性风险评估：</w:t>
      </w:r>
    </w:p>
    <w:p w14:paraId="1D20EC9F">
      <w:pPr>
        <w:tabs>
          <w:tab w:val="left" w:pos="3119"/>
        </w:tabs>
        <w:autoSpaceDE w:val="0"/>
        <w:autoSpaceDN w:val="0"/>
        <w:spacing w:line="360" w:lineRule="auto"/>
        <w:ind w:right="31" w:rightChars="15"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本理财产品投资范围包括</w:t>
      </w:r>
      <w:r>
        <w:rPr>
          <w:rFonts w:hint="eastAsia" w:ascii="仿宋_GB2312" w:hAnsi="宋体" w:cs="宋体"/>
          <w:b w:val="0"/>
          <w:color w:val="auto"/>
          <w:kern w:val="0"/>
          <w:szCs w:val="24"/>
          <w:highlight w:val="yellow"/>
          <w:u w:val="none"/>
          <w:lang w:eastAsia="zh-CN"/>
        </w:rPr>
        <w:t>【</w:t>
      </w:r>
      <w:r>
        <w:rPr>
          <w:rFonts w:hint="eastAsia" w:ascii="仿宋_GB2312" w:hAnsi="宋体" w:eastAsia="仿宋_GB2312" w:cs="宋体"/>
          <w:bCs/>
          <w:color w:val="auto"/>
          <w:kern w:val="0"/>
          <w:sz w:val="24"/>
          <w:szCs w:val="24"/>
          <w:highlight w:val="yellow"/>
          <w:u w:val="none"/>
        </w:rPr>
        <w:t>现金、</w:t>
      </w:r>
      <w:r>
        <w:rPr>
          <w:rFonts w:hint="eastAsia" w:ascii="仿宋_GB2312" w:hAnsi="宋体" w:eastAsia="仿宋_GB2312" w:cs="宋体"/>
          <w:bCs/>
          <w:color w:val="auto"/>
          <w:kern w:val="0"/>
          <w:sz w:val="24"/>
          <w:szCs w:val="24"/>
          <w:highlight w:val="yellow"/>
          <w:u w:val="none"/>
          <w:lang w:eastAsia="zh-CN"/>
        </w:rPr>
        <w:t>银行存款</w:t>
      </w:r>
      <w:r>
        <w:rPr>
          <w:rFonts w:hint="eastAsia" w:ascii="仿宋_GB2312" w:hAnsi="宋体" w:eastAsia="仿宋_GB2312" w:cs="宋体"/>
          <w:bCs/>
          <w:color w:val="auto"/>
          <w:kern w:val="0"/>
          <w:sz w:val="24"/>
          <w:szCs w:val="24"/>
          <w:highlight w:val="yellow"/>
          <w:u w:val="none"/>
        </w:rPr>
        <w:t>、大额存单、同业存单、回购等货币市场工具及国债、地方政府债券、中央银行票据、政府支持机构债、金融债、非金融企业债务融资工具、公司债、企业债、可交换债券、可转换债券、资产支持票据、资产支持证券、</w:t>
      </w:r>
      <w:r>
        <w:rPr>
          <w:rFonts w:hint="eastAsia" w:ascii="仿宋_GB2312" w:hAnsi="宋体" w:eastAsia="仿宋_GB2312" w:cs="宋体"/>
          <w:bCs/>
          <w:color w:val="auto"/>
          <w:kern w:val="0"/>
          <w:sz w:val="24"/>
          <w:szCs w:val="24"/>
          <w:highlight w:val="yellow"/>
          <w:u w:val="none"/>
          <w:lang w:eastAsia="zh-CN"/>
        </w:rPr>
        <w:t>次级债（包括二级资本债）、永续债</w:t>
      </w:r>
      <w:r>
        <w:rPr>
          <w:rFonts w:hint="eastAsia" w:ascii="仿宋_GB2312" w:hAnsi="宋体" w:eastAsia="仿宋_GB2312" w:cs="宋体"/>
          <w:bCs/>
          <w:color w:val="auto"/>
          <w:kern w:val="0"/>
          <w:sz w:val="24"/>
          <w:szCs w:val="24"/>
          <w:highlight w:val="yellow"/>
          <w:u w:val="none"/>
        </w:rPr>
        <w:t>等债权类资产，优先股、上市公司股票、公募REITs、交易型开放式指数基金（ETF）</w:t>
      </w:r>
      <w:r>
        <w:rPr>
          <w:rFonts w:hint="eastAsia" w:ascii="仿宋_GB2312" w:hAnsi="宋体" w:eastAsia="仿宋_GB2312" w:cs="宋体"/>
          <w:bCs/>
          <w:color w:val="auto"/>
          <w:kern w:val="0"/>
          <w:sz w:val="24"/>
          <w:szCs w:val="24"/>
          <w:highlight w:val="yellow"/>
          <w:u w:val="none"/>
          <w:lang w:eastAsia="zh-CN"/>
        </w:rPr>
        <w:t>、</w:t>
      </w:r>
      <w:r>
        <w:rPr>
          <w:rFonts w:hint="eastAsia" w:ascii="仿宋_GB2312" w:hAnsi="宋体" w:eastAsia="仿宋_GB2312" w:cs="宋体"/>
          <w:bCs/>
          <w:color w:val="auto"/>
          <w:kern w:val="0"/>
          <w:sz w:val="24"/>
          <w:szCs w:val="24"/>
          <w:highlight w:val="yellow"/>
          <w:u w:val="none"/>
        </w:rPr>
        <w:t>上市型开放式基金（LOF）等权益类资产，远期、国债期货、股指期货、商品期货、收益互换、利率互换、期权、债券借贷、结构性存款等商品和金融衍生品类资产，主要投向上述资产类别且符合监管机构要求的公募证券投资基金、信托计划、资产管理计划等资产管理产品以及国务院银行业监督管理机构认可的其他资产</w:t>
      </w:r>
      <w:r>
        <w:rPr>
          <w:rFonts w:hint="default" w:ascii="仿宋_GB2312" w:hAnsi="宋体" w:cs="宋体"/>
          <w:b w:val="0"/>
          <w:color w:val="auto"/>
          <w:kern w:val="0"/>
          <w:szCs w:val="24"/>
          <w:highlight w:val="yellow"/>
          <w:u w:val="none"/>
        </w:rPr>
        <w:t>。</w:t>
      </w:r>
      <w:r>
        <w:rPr>
          <w:rFonts w:hint="eastAsia" w:ascii="仿宋_GB2312" w:hAnsi="宋体" w:cs="宋体"/>
          <w:b w:val="0"/>
          <w:color w:val="auto"/>
          <w:kern w:val="0"/>
          <w:szCs w:val="24"/>
          <w:highlight w:val="yellow"/>
          <w:u w:val="none"/>
          <w:lang w:eastAsia="zh-CN"/>
        </w:rPr>
        <w:t>】</w:t>
      </w:r>
      <w:r>
        <w:rPr>
          <w:rFonts w:hint="default" w:ascii="仿宋_GB2312" w:hAnsi="宋体" w:cs="宋体"/>
          <w:b w:val="0"/>
          <w:color w:val="auto"/>
          <w:kern w:val="0"/>
          <w:szCs w:val="24"/>
          <w:highlight w:val="yellow"/>
          <w:u w:val="none"/>
        </w:rPr>
        <w:t>标的资产主要为标准化债券金融工具，一般情况下具有较好的流动性，同时，本理财产品严格控制开放期内投资于流动性受限资产的投资品种比例。本理财产品管理人会进行标的的分散化投资并结合对各类标的资产的预期流动性状况进行合理配置，以防范流动性风险。</w:t>
      </w:r>
    </w:p>
    <w:p w14:paraId="46E43C31">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流动性应对措施及对投资者的潜在影响：</w:t>
      </w:r>
    </w:p>
    <w:p w14:paraId="76C81AD1">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本理财产品管理人将合理安排组合流动性，统筹考虑产品期限、各类标的资产的预期流动性，合理进行资产配置，最大程度防范流动性风险。</w:t>
      </w:r>
    </w:p>
    <w:p w14:paraId="381256D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产品管理人可依照法律法规及理财产品销售文件的约定，综合运用各类流动性应对措施，作为特定情形下流动性风险管理的辅助手段，包括但不限于：</w:t>
      </w:r>
    </w:p>
    <w:p w14:paraId="7B455BCE">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（1）认购/申购风险应对措施，包括:设定单一投资者认购/申购金额上限、设定本理财产品单日净认购/申购比例上限、拒绝大额认购/申购、暂停认购/申购，以及国家金融监督管理总局规定的其他措施。</w:t>
      </w:r>
    </w:p>
    <w:p w14:paraId="21610922">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（2）赎回风险应对措施，包括：设置赎回上限、延期办理巨额赎回申请、暂停接受赎回申请、延缓支付赎回款项、收取短期赎回费、暂停理财产品估值、摆动定价，以及国家金融监督管理总局规定的其他措施。</w:t>
      </w:r>
    </w:p>
    <w:p w14:paraId="5D970BC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1)延期办理巨额赎回申请</w:t>
      </w:r>
    </w:p>
    <w:p w14:paraId="15246D14">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若理财产品管理人采用延期办理巨额赎回申请的流动性风险应对措施，投资者的赎回申请将无法按时全额获得确认，投资者自身的流动性可能受到影响，并将额外承担市场波动对本理财产品净值的影响。</w:t>
      </w:r>
    </w:p>
    <w:p w14:paraId="0216D277">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2）暂停接受赎回申请或延缓支付赎回款项</w:t>
      </w:r>
    </w:p>
    <w:p w14:paraId="010254A5">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若理财产品管理人采用暂停接受赎回申请或延缓支付赎回款项的流动性风险应对措施，投资者面临在暂停赎回期间将无法赎回其持有的产品份额的风险，接收赎回款项的时间将可能比一般正常情形下有所延迟。</w:t>
      </w:r>
    </w:p>
    <w:p w14:paraId="6AAB624C">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3</w:t>
      </w:r>
      <w:r>
        <w:rPr>
          <w:rFonts w:hint="eastAsia" w:ascii="仿宋_GB2312" w:hAnsi="宋体" w:cs="宋体"/>
          <w:b/>
          <w:bCs/>
          <w:color w:val="auto"/>
          <w:kern w:val="0"/>
          <w:szCs w:val="24"/>
          <w:highlight w:val="yellow"/>
          <w:u w:val="none"/>
          <w:lang w:eastAsia="zh-CN"/>
        </w:rPr>
        <w:t>）</w:t>
      </w:r>
      <w:r>
        <w:rPr>
          <w:rFonts w:hint="default" w:ascii="仿宋_GB2312" w:hAnsi="宋体" w:cs="宋体"/>
          <w:b/>
          <w:bCs/>
          <w:color w:val="auto"/>
          <w:kern w:val="0"/>
          <w:szCs w:val="24"/>
          <w:highlight w:val="yellow"/>
          <w:u w:val="none"/>
        </w:rPr>
        <w:t>暂停理财产品估值</w:t>
      </w:r>
    </w:p>
    <w:p w14:paraId="67CC9CFB">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若理财产品管理人采用暂停理财产品估值的流动性风险应对措施，投资人没有可供参考的产品份额净值，同时赎回申请可能被暂停接受，或被延缓支付赎回款项。</w:t>
      </w:r>
    </w:p>
    <w:p w14:paraId="2E80829B">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4</w:t>
      </w:r>
      <w:r>
        <w:rPr>
          <w:rFonts w:hint="eastAsia" w:ascii="仿宋_GB2312" w:hAnsi="宋体" w:cs="宋体"/>
          <w:b/>
          <w:bCs/>
          <w:color w:val="auto"/>
          <w:kern w:val="0"/>
          <w:szCs w:val="24"/>
          <w:highlight w:val="yellow"/>
          <w:u w:val="none"/>
          <w:lang w:eastAsia="zh-CN"/>
        </w:rPr>
        <w:t>）</w:t>
      </w:r>
      <w:r>
        <w:rPr>
          <w:rFonts w:hint="default" w:ascii="仿宋_GB2312" w:hAnsi="宋体" w:cs="宋体"/>
          <w:b/>
          <w:bCs/>
          <w:color w:val="auto"/>
          <w:kern w:val="0"/>
          <w:szCs w:val="24"/>
          <w:highlight w:val="yellow"/>
          <w:u w:val="none"/>
        </w:rPr>
        <w:t>摆动定价</w:t>
      </w:r>
    </w:p>
    <w:p w14:paraId="105C0234">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若理财产品管理人采用摆动定价机制的流动性风险应对措施，则通过调整理财产品份额净值的方式，将理财产品调整投资组合的市场冲击成本分配给实际申购、赎回的投资者，以期减少对存量投资者利益的不利影响。</w:t>
      </w:r>
    </w:p>
    <w:p w14:paraId="16B59AC5">
      <w:pPr>
        <w:widowControl/>
        <w:numPr>
          <w:ilvl w:val="0"/>
          <w:numId w:val="9"/>
        </w:numPr>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lang w:val="en-US" w:eastAsia="zh-CN"/>
        </w:rPr>
      </w:pPr>
      <w:r>
        <w:rPr>
          <w:rFonts w:hint="default" w:ascii="仿宋_GB2312" w:hAnsi="宋体" w:cs="宋体"/>
          <w:b/>
          <w:bCs/>
          <w:color w:val="auto"/>
          <w:kern w:val="0"/>
          <w:szCs w:val="24"/>
          <w:highlight w:val="yellow"/>
          <w:u w:val="none"/>
          <w:lang w:val="en-US" w:eastAsia="zh-CN"/>
        </w:rPr>
        <w:t>收取短期赎回费</w:t>
      </w:r>
    </w:p>
    <w:p w14:paraId="5CBA5B83">
      <w:pPr>
        <w:widowControl/>
        <w:numPr>
          <w:ilvl w:val="0"/>
          <w:numId w:val="0"/>
        </w:numPr>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lang w:val="en-US" w:eastAsia="zh-CN"/>
        </w:rPr>
        <w:t>对持续持有期少于</w:t>
      </w:r>
      <w:r>
        <w:rPr>
          <w:rFonts w:hint="eastAsia" w:ascii="仿宋_GB2312" w:hAnsi="宋体" w:cs="宋体"/>
          <w:b/>
          <w:bCs/>
          <w:color w:val="auto"/>
          <w:kern w:val="0"/>
          <w:szCs w:val="24"/>
          <w:highlight w:val="yellow"/>
          <w:u w:val="none"/>
          <w:lang w:val="en-US" w:eastAsia="zh-CN"/>
        </w:rPr>
        <w:t>【】</w:t>
      </w:r>
      <w:r>
        <w:rPr>
          <w:rFonts w:hint="default" w:ascii="仿宋_GB2312" w:hAnsi="宋体" w:cs="宋体"/>
          <w:b/>
          <w:bCs/>
          <w:color w:val="auto"/>
          <w:kern w:val="0"/>
          <w:szCs w:val="24"/>
          <w:highlight w:val="yellow"/>
          <w:u w:val="none"/>
          <w:lang w:val="en-US" w:eastAsia="zh-CN"/>
        </w:rPr>
        <w:t>的投资者收取一定比例的赎回费，并全额计入理财财产。在此情形下，投资者在提交赎回申请时，实际赎回金额可能少于按照赎回申请当日理财产品份额净值计算出的赎回金额。若实施收取短期赎回费措施，管理人应于 3 个交易日内告知本理财产品的相关投资者。</w:t>
      </w:r>
    </w:p>
    <w:p w14:paraId="57008517">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具体应对措施使用情形及程序详见</w:t>
      </w:r>
      <w:r>
        <w:rPr>
          <w:rFonts w:hint="eastAsia" w:ascii="仿宋_GB2312" w:hAnsi="宋体" w:cs="宋体"/>
          <w:b/>
          <w:bCs/>
          <w:color w:val="auto"/>
          <w:kern w:val="0"/>
          <w:szCs w:val="24"/>
          <w:highlight w:val="yellow"/>
          <w:u w:val="none"/>
          <w:lang w:eastAsia="zh-CN"/>
        </w:rPr>
        <w:t>“</w:t>
      </w:r>
      <w:r>
        <w:rPr>
          <w:rFonts w:hint="default" w:ascii="仿宋_GB2312" w:hAnsi="宋体" w:cs="宋体"/>
          <w:b/>
          <w:bCs/>
          <w:color w:val="auto"/>
          <w:kern w:val="0"/>
          <w:szCs w:val="24"/>
          <w:highlight w:val="yellow"/>
          <w:u w:val="none"/>
        </w:rPr>
        <w:t>第一节 理财产品说明书关键要素</w:t>
      </w:r>
      <w:r>
        <w:rPr>
          <w:rFonts w:hint="eastAsia" w:ascii="仿宋_GB2312" w:hAnsi="宋体" w:cs="宋体"/>
          <w:b/>
          <w:bCs/>
          <w:color w:val="auto"/>
          <w:kern w:val="0"/>
          <w:szCs w:val="24"/>
          <w:highlight w:val="yellow"/>
          <w:u w:val="none"/>
          <w:lang w:eastAsia="zh-CN"/>
        </w:rPr>
        <w:t>”“第四节 理财产品的认购与成立”“第五节 理财产品的申购与赎回”</w:t>
      </w:r>
      <w:r>
        <w:rPr>
          <w:rFonts w:hint="default" w:ascii="仿宋_GB2312" w:hAnsi="宋体" w:cs="宋体"/>
          <w:b/>
          <w:bCs/>
          <w:color w:val="auto"/>
          <w:kern w:val="0"/>
          <w:szCs w:val="24"/>
          <w:highlight w:val="yellow"/>
          <w:u w:val="none"/>
        </w:rPr>
        <w:t>。敬请投资者留意管理人运用上述流动性风险应对措施的相关风险。</w:t>
      </w:r>
    </w:p>
    <w:p w14:paraId="04EA71C0">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（五）经营管理风险</w:t>
      </w:r>
    </w:p>
    <w:p w14:paraId="624F9985">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在本理财产品运作过程中，投资管理各方受经验、技能、判断力、执行力等综合因素的限制，可能对本理财产品的运作与管理形成一定影响，投资者可能面临本金和收益遭受部分甚至全部损失的风险。</w:t>
      </w:r>
    </w:p>
    <w:p w14:paraId="74EEF9AD">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（六）交易对手风险</w:t>
      </w:r>
    </w:p>
    <w:p w14:paraId="416F819F">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由于交易对手受偿付能力、流动性管理能力以及及时履约意愿等因素影响，导致交易对手不履约，可能影响本理财产品的投资管理，则投资者可能面临本金和收益遭受部分甚至全部损失的风险。</w:t>
      </w:r>
    </w:p>
    <w:p w14:paraId="78035DB9">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（七）操作风险</w:t>
      </w:r>
    </w:p>
    <w:p w14:paraId="2E6D990D">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产品运作过程中，由于理财产品管理人及理财合作机构因技术系统故障、内部控制存在缺陷或人为因素，导致操作失误或违反操作规程等引起的风险，如内部作业、人员管理、系统操作及事务处理不当或失误等，则投资者可能面临本金和收益遭受部分甚至全部损失的风险。</w:t>
      </w:r>
    </w:p>
    <w:p w14:paraId="154DF6D6">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（八）代销风险（如有）</w:t>
      </w:r>
    </w:p>
    <w:p w14:paraId="49AB2747">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如本理财产品通过代理销售渠道销售，投资者购买理财产品的资金将由销售机构从投资者清算账户扣收并划付产品管理人，产品到期/终止/赎回时理财本金及收益相应款项由产品管理人按理财产品销售文件约定划付至销售机构清算账户，并由销售机构向投资者支付投资者应得理财本金及收益。如因销售机构清算账户余额不足，或销售机构未及时足额划付资金，或销售机构清算账户内资金被依法冻结或扣划、账户处于被挂失、冻结、注销或其他非正常状态等原因而导致交易失败，由销售机构与投资者依法协商解决，产品管理人对此不承担责任，但前述约定不免除因产品管理人过错依法应由产品管理人承担的责任。</w:t>
      </w:r>
    </w:p>
    <w:p w14:paraId="067C519B">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（九）募集期延长/缩短风险</w:t>
      </w:r>
    </w:p>
    <w:p w14:paraId="47BCF53C">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在本理财产品募集期内，国家宏观政策以及市场相关法律法规政策发生变化、产品募集状况未达到/已达到产品说明书约定的成立条件，或其他经理财产品管理人合理判断需延长/缩短募集期的情形，产品管理人有权宣布本理财产品募集期延长/缩短，本理财产品可能延后/提前成立。</w:t>
      </w:r>
    </w:p>
    <w:p w14:paraId="74F7683D">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（十）产品不成立风险</w:t>
      </w:r>
    </w:p>
    <w:p w14:paraId="7EB313F0">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如果本理财产品因募集规模低于《产品说明书》约定的本理财产品最低成立规模，或出现政策、法规、市场或其他因素导致本理财产品不能成立的情形，理财产品管理人有权宣布本理财产品不成立，投资者将面临再投资的风险。</w:t>
      </w:r>
    </w:p>
    <w:p w14:paraId="75143F8C">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（十一）提前终止风险</w:t>
      </w:r>
    </w:p>
    <w:p w14:paraId="09028C76">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存续期间，由于国家宏观政策变化、市场相关法律法规及政策变化、本理财产品所投资资产提前结清、意外事件、不可抗力（包括但不限于政府行为、自然灾害、疫情等）以及其他可能导致理财产品管理人无法继续履行本理财产品投资管理义务或经理财产品管理人合理评估且审慎判断不适宜本理财产品继续存续运作的情形，为保护投资者权益，理财产品管理人有权按照理财产品销售文件的约定部分/全部提前终止本理财产品，投资者可能面临本理财产品部分/全部提前终止后再投资的风险。</w:t>
      </w:r>
    </w:p>
    <w:p w14:paraId="4C1BF799">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（十二）延期分配风险</w:t>
      </w:r>
    </w:p>
    <w:p w14:paraId="5BFB6EAB">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因缺乏交易对手、市场成交量不足、资产限制赎回、暂停交易、所投资产发生风险或不能及时变现、发生不可抗力（包括但不限于政府行为、自然灾害、疫情等）及其他理财产品管理人认为需要延期分配的情形，可能导致理财产品管理人无法在理财产品销售文件约定的清算期内完成理财资金的清算与分配，投资者可能面临理财产品资金延期分配、分配方案调整等风险，投资者由此可能面临投资本金和收益遭受部分甚至全部损失的风险。</w:t>
      </w:r>
    </w:p>
    <w:p w14:paraId="452C4C7A">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（十三）信息传递风险</w:t>
      </w:r>
    </w:p>
    <w:p w14:paraId="6BC0DCCB">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理财产品管理人将按照理财产品销售文件中约定的信息披露方式、披露途径向投资者披露涉及本理财产品的各类信息和重大事件，投资者应及时查询了解。如投资者未及时查询相关信息或由于不可抗力（包括但不限于政府行为、自然灾害、疫情等）或意外事件的影响使得投资者无法及时了解本理财产品信息，进而影响投资者的投资决策行为，因此而产生的责任和风险由投资者承担。如投资者未及时告知理财产品管理人联系方式变更或理财产品管理人在其认为需要时无法及时联系到投资者，使得投资者无法及时获知本理财产品信息，进而影响投资者的投资决策行为，因此而产生的责任和风险由投资者承担。</w:t>
      </w:r>
    </w:p>
    <w:p w14:paraId="7A90CBB7">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（十四）关联关系及关联交易风险</w:t>
      </w:r>
    </w:p>
    <w:p w14:paraId="2B7BB892">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浙银理财作为本理财产品的发行人、管理人，独立履行产品管理职责；浙银理财委托托管机构托管理财产品或委托销售机构销售理财产品的，可能涉及委托浙商银行股份有限公司（以下简称“浙商银行”）担任理财产品的托管机构或销售机构，负责理财产品的托管或代理销售工作。浙银理财是浙商银行控股的子公司，双方存在关联关系。</w:t>
      </w:r>
    </w:p>
    <w:p w14:paraId="20CDE0CE">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可能投资于管理人、个别销售机构或托管人的主要股东、实际控制人、一致行动人、最终受益人，托管人，同一股东或托管人控股的机构，或者与管理人或托管人有重大利害关系的机构发行或承销的证券，或者从事其他关联交易，本理财产品也可能由管理人的关联方进行托管或代理销售。上述各方在业务执行及实施上具有隔离机制，并符合相关法律法规要求，且上述各方将依照恪尽职守、诚实信用、谨慎勤勉的原则按照市场公允定价进行公平交易，但仍可能存在利益冲突。提请投资者充分知悉、关注本理财产品关联关系和关联交易风险，投资者签署本理财产品销售文件即代表投资者认可且同意上述可能发生的关联交易并自愿承担相关风险。</w:t>
      </w:r>
    </w:p>
    <w:p w14:paraId="61FC0802">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（十五）再投资风险</w:t>
      </w:r>
    </w:p>
    <w:p w14:paraId="56891720">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由于浙银理财有权根据市场状况和产品余额情况提前终止本理财产品，因市场利率下滑，投资者可能面临本金和收益再投资收益率降低的风险。</w:t>
      </w:r>
    </w:p>
    <w:p w14:paraId="2977805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（十六）估值风险</w:t>
      </w:r>
    </w:p>
    <w:p w14:paraId="3AD980A8">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按《产品说明书》的估值方法进行估值，理财产品估值与实际变现价值可能发生偏离，投资者应知晓该风险。本理财产品管理人估值仅作为参考，本理财产品管理人不承担第三方再次使用该估值引发的其他风险。本理财产品所投资的资产管理产品以其估值日截止时点能够取得的最新份额净值进行估值。因此，在前述情况下可能会出现本理财产品净值不能完全反映所投资资产管理计划或基金等资产管理产品估值日当日净值的情形。</w:t>
      </w:r>
    </w:p>
    <w:p w14:paraId="27618C75">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可能投资符合监管要求的资产管理产品（包括但不限于信托计划、公募基金、基金公司或子公司资产管理计划、证券公司资产管理计划、期货资产管理计划、保险资产管理计划等，具体以《产品说明书》或理财产品定期报告披露为准），前述资产管理产品的管理人可能收取</w:t>
      </w:r>
      <w:r>
        <w:rPr>
          <w:rFonts w:hint="eastAsia" w:ascii="仿宋_GB2312" w:hAnsi="宋体" w:cs="宋体"/>
          <w:b w:val="0"/>
          <w:color w:val="auto"/>
          <w:kern w:val="0"/>
          <w:szCs w:val="24"/>
          <w:highlight w:val="yellow"/>
          <w:u w:val="none"/>
          <w:lang w:eastAsia="zh-CN"/>
        </w:rPr>
        <w:t>浮动管理费</w:t>
      </w:r>
      <w:r>
        <w:rPr>
          <w:rFonts w:hint="default" w:ascii="仿宋_GB2312" w:hAnsi="宋体" w:cs="宋体"/>
          <w:b w:val="0"/>
          <w:color w:val="auto"/>
          <w:kern w:val="0"/>
          <w:szCs w:val="24"/>
          <w:highlight w:val="yellow"/>
          <w:u w:val="none"/>
        </w:rPr>
        <w:t>，当前述资产管理产品计提</w:t>
      </w:r>
      <w:r>
        <w:rPr>
          <w:rFonts w:hint="eastAsia" w:ascii="仿宋_GB2312" w:hAnsi="宋体" w:cs="宋体"/>
          <w:b w:val="0"/>
          <w:color w:val="auto"/>
          <w:kern w:val="0"/>
          <w:szCs w:val="24"/>
          <w:highlight w:val="yellow"/>
          <w:u w:val="none"/>
          <w:lang w:eastAsia="zh-CN"/>
        </w:rPr>
        <w:t>浮动管理费</w:t>
      </w:r>
      <w:r>
        <w:rPr>
          <w:rFonts w:hint="default" w:ascii="仿宋_GB2312" w:hAnsi="宋体" w:cs="宋体"/>
          <w:b w:val="0"/>
          <w:color w:val="auto"/>
          <w:kern w:val="0"/>
          <w:szCs w:val="24"/>
          <w:highlight w:val="yellow"/>
          <w:u w:val="none"/>
        </w:rPr>
        <w:t>时，本理财产品的产品份额净值存在下跌风险。</w:t>
      </w:r>
    </w:p>
    <w:p w14:paraId="63CF6CAE">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（十七）托管及清算风险</w:t>
      </w:r>
    </w:p>
    <w:p w14:paraId="48690F27">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本理财产品存在托管人，若因托管人操作失误或因任何原因未能按约履行托管人职责，或丧失进行托管的能力或法定资格，均可能给本理财产品带来风险。</w:t>
      </w:r>
    </w:p>
    <w:p w14:paraId="1C8796E7">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（十八）税务风险</w:t>
      </w:r>
    </w:p>
    <w:p w14:paraId="2943BC40">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根据国家相关法律法规，理财产品运营过程中发生的应由理财产品承担的增值税应税行为，由产品管理人申报和缴纳增值税及附加税费。该等税款将直接从理财产品中扣付缴纳，本理财产品将因为前述增值税等税负承担导致税费支出增加、理财产品净值或实际收益降低，从而降低投资者的收益水平。</w:t>
      </w:r>
    </w:p>
    <w:p w14:paraId="21B4E6CD">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（十九）不同理财产品份额类别存在差异的风险</w:t>
      </w:r>
    </w:p>
    <w:p w14:paraId="74092F56">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管理人有权根据投资者购买理财产品的金额、销售渠道、客户类型等因素，对投资者所持有的理财产品份额设置不同的理财产品份额类别。不同类别的理财产品份额可能在产品销售名称、产品</w:t>
      </w:r>
      <w:r>
        <w:rPr>
          <w:rFonts w:hint="eastAsia" w:ascii="仿宋_GB2312" w:hAnsi="宋体" w:cs="宋体"/>
          <w:b w:val="0"/>
          <w:color w:val="auto"/>
          <w:kern w:val="0"/>
          <w:szCs w:val="24"/>
          <w:highlight w:val="yellow"/>
          <w:u w:val="none"/>
          <w:lang w:eastAsia="zh-CN"/>
        </w:rPr>
        <w:t>份额</w:t>
      </w:r>
      <w:r>
        <w:rPr>
          <w:rFonts w:hint="default" w:ascii="仿宋_GB2312" w:hAnsi="宋体" w:cs="宋体"/>
          <w:b w:val="0"/>
          <w:color w:val="auto"/>
          <w:kern w:val="0"/>
          <w:szCs w:val="24"/>
          <w:highlight w:val="yellow"/>
          <w:u w:val="none"/>
        </w:rPr>
        <w:t>代码、销售渠道、销售</w:t>
      </w:r>
      <w:r>
        <w:rPr>
          <w:rFonts w:hint="eastAsia" w:ascii="仿宋_GB2312" w:hAnsi="宋体" w:cs="宋体"/>
          <w:b w:val="0"/>
          <w:color w:val="auto"/>
          <w:kern w:val="0"/>
          <w:szCs w:val="24"/>
          <w:highlight w:val="yellow"/>
          <w:u w:val="none"/>
          <w:lang w:eastAsia="zh-CN"/>
        </w:rPr>
        <w:t>对象</w:t>
      </w:r>
      <w:r>
        <w:rPr>
          <w:rFonts w:hint="default" w:ascii="仿宋_GB2312" w:hAnsi="宋体" w:cs="宋体"/>
          <w:b w:val="0"/>
          <w:color w:val="auto"/>
          <w:kern w:val="0"/>
          <w:szCs w:val="24"/>
          <w:highlight w:val="yellow"/>
          <w:u w:val="none"/>
        </w:rPr>
        <w:t>、销售服务费率、托管费率、收费方式、业绩比较基准、起点</w:t>
      </w:r>
      <w:r>
        <w:rPr>
          <w:rFonts w:hint="eastAsia" w:ascii="仿宋_GB2312" w:hAnsi="宋体" w:cs="宋体"/>
          <w:b w:val="0"/>
          <w:color w:val="auto"/>
          <w:kern w:val="0"/>
          <w:szCs w:val="24"/>
          <w:highlight w:val="yellow"/>
          <w:u w:val="none"/>
          <w:lang w:eastAsia="zh-CN"/>
        </w:rPr>
        <w:t>销售</w:t>
      </w:r>
      <w:r>
        <w:rPr>
          <w:rFonts w:hint="default" w:ascii="仿宋_GB2312" w:hAnsi="宋体" w:cs="宋体"/>
          <w:b w:val="0"/>
          <w:color w:val="auto"/>
          <w:kern w:val="0"/>
          <w:szCs w:val="24"/>
          <w:highlight w:val="yellow"/>
          <w:u w:val="none"/>
        </w:rPr>
        <w:t>金额及</w:t>
      </w:r>
      <w:r>
        <w:rPr>
          <w:rFonts w:hint="eastAsia" w:ascii="仿宋_GB2312" w:hAnsi="宋体" w:cs="宋体"/>
          <w:b w:val="0"/>
          <w:color w:val="auto"/>
          <w:kern w:val="0"/>
          <w:szCs w:val="24"/>
          <w:highlight w:val="yellow"/>
          <w:u w:val="none"/>
          <w:lang w:eastAsia="zh-CN"/>
        </w:rPr>
        <w:t>追加</w:t>
      </w:r>
      <w:r>
        <w:rPr>
          <w:rFonts w:hint="default" w:ascii="仿宋_GB2312" w:hAnsi="宋体" w:cs="宋体"/>
          <w:b w:val="0"/>
          <w:color w:val="auto"/>
          <w:kern w:val="0"/>
          <w:szCs w:val="24"/>
          <w:highlight w:val="yellow"/>
          <w:u w:val="none"/>
        </w:rPr>
        <w:t>递增金额、认/申购上限金额、认/申购和赎回数量限制、持有金额上/下限、单一投资者持有份额占比上限、产品规模上限、产品份额净值的计算结果及信息披露等方面存在差异。</w:t>
      </w:r>
    </w:p>
    <w:p w14:paraId="2EABCD52">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（二十）投资特定风险</w:t>
      </w:r>
    </w:p>
    <w:p w14:paraId="7DB6FE90">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本理财产品因拟投资市场和资产类别可能面临的特定风险如下：</w:t>
      </w:r>
    </w:p>
    <w:p w14:paraId="2AFC94D1">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1.投资于固定收益类资产</w:t>
      </w:r>
      <w:r>
        <w:rPr>
          <w:rFonts w:hint="eastAsia" w:ascii="仿宋_GB2312" w:hAnsi="宋体" w:cs="宋体"/>
          <w:b/>
          <w:bCs/>
          <w:color w:val="auto"/>
          <w:kern w:val="0"/>
          <w:szCs w:val="24"/>
          <w:highlight w:val="yellow"/>
          <w:u w:val="none"/>
          <w:lang w:eastAsia="zh-CN"/>
        </w:rPr>
        <w:t>（如有）</w:t>
      </w:r>
      <w:r>
        <w:rPr>
          <w:rFonts w:hint="default" w:ascii="仿宋_GB2312" w:hAnsi="宋体" w:cs="宋体"/>
          <w:b/>
          <w:bCs/>
          <w:color w:val="auto"/>
          <w:kern w:val="0"/>
          <w:szCs w:val="24"/>
          <w:highlight w:val="yellow"/>
          <w:u w:val="none"/>
        </w:rPr>
        <w:t>的可能风险：</w:t>
      </w:r>
    </w:p>
    <w:p w14:paraId="3ADE9A1A">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1）国家政策、经济周期、利率、汇率等因素可能发生的变化导致的市场风险。（2）债券发行人、担保人的经营状况、信用质量降低等可能发生的变化导致的信用风险。（3）债券发行人、担保人信用等级降低导致债券价格下降，可能影响投资者收益，甚至使产品本金遭受损失。（4）非公开定向债务融资工具的流通和转让限制导致的流动性风险。（5）债券市场出现整体下跌，导致债券市场的系统性风险等。（6）可转/交换债券投资风险（如有）：可转/交换债券收益与对应标的股票股价直接挂钩，债券价格可能受之影响；转股期内，对应标的股票价格可能低于转股价格，若选择转股，产品将承受标的股票价格低于转股价格之间的价差；转股价格向下修正条款触发时，存在发行方不同意修正转股价格的风险；赎回条款可能导致债券提前兑付或转股期缩短而影响投资收益的风险；存在因政策限制导致无法转股的风险，可转/交换债券投资受到包括但不限于上述因素影响时，可能影响投资者收益，甚至使产品本金遭受损失。（7）永续债投资风险（如有）：永续债发行人可能延期支付利息，且永续债无到期日，可能因流动性差无法变现、无法收回本金，使产品出现流动性风险；永续债附加的回售或赎回权，可能会导致管理人以不利价格出售永续债，从而影响投资者收益。</w:t>
      </w:r>
    </w:p>
    <w:p w14:paraId="423A7924">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2.投资于股票等权益类资产（如有）的可能风险：</w:t>
      </w:r>
    </w:p>
    <w:p w14:paraId="6241704F">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国家货币、财政、产业等政策变化对证券市场产生一定的影响，导致市场价格水平波动的风险；宏观经济运行周期性波动，对股票市场的收益水平产生影响的风险；上市公司的经营状况受多种因素影响，如市场、技术、竞争、管理、财务等都可能导致公司盈利发生变化，从而导致股票价格下跌，影响投资者收益，甚至使产品本金遭受损失；股票遭流通和转让限制导致的流动性风险；投资于不同板块、不同市场股票，如投资科创板、创业板、港股通股票等，可能面临因投资标的、市场制度、交易规则、监管法规等差异造成的风险等。</w:t>
      </w:r>
    </w:p>
    <w:p w14:paraId="652A4369">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优先股具有固定收益证券的特征，但优先股发行方无到期归还本金的义务，可能发生发行人经营状况恶化、无法足额支付股息的风险，从而影响产品和投资者收益；优先股属于权益类资产，价格受国家各类政策、宏观经济、行业发展等多种因素影响，可能发生波动从而影响产品收益，甚至使产品本金遭受损失。</w:t>
      </w:r>
    </w:p>
    <w:p w14:paraId="6B00995E">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3.投资于商品及金融衍生品类资产（如有）的可能风险：</w:t>
      </w:r>
    </w:p>
    <w:p w14:paraId="56F92DC3">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基础产品价格波动造成衍生品价格波动，高杠杆和跨期交易可能加剧衍生品价格波动的市场风险；衍生品发行方或交易对手方违约或不履行合约的导致的信用风险；缺乏交易对手导致无法平仓/变现、流动资金不足或无法追加保证金导致被迫平仓造成亏损的风险；因内部程序、人员、系统操作不当或因外部事件导致损失的操作风险；部分衍生品操作相关法律法规的滞后，交易合约在法律范围内无效而无法履约或交易合约订立不当产生的法律风险。由于期货与现货间的价差的波动，影响套期保值或套利效果，使之发生意外损益的基差风险。</w:t>
      </w:r>
    </w:p>
    <w:p w14:paraId="2B11EDA3">
      <w:pPr>
        <w:widowControl/>
        <w:tabs>
          <w:tab w:val="left" w:pos="709"/>
        </w:tabs>
        <w:adjustRightInd w:val="0"/>
        <w:snapToGrid w:val="0"/>
        <w:spacing w:line="360" w:lineRule="auto"/>
        <w:ind w:firstLine="422" w:firstLineChars="200"/>
        <w:rPr>
          <w:rFonts w:hint="default" w:ascii="仿宋_GB2312" w:hAnsi="宋体" w:cs="宋体"/>
          <w:b/>
          <w:bCs/>
          <w:color w:val="auto"/>
          <w:kern w:val="0"/>
          <w:szCs w:val="24"/>
          <w:highlight w:val="yellow"/>
          <w:u w:val="none"/>
        </w:rPr>
      </w:pPr>
      <w:r>
        <w:rPr>
          <w:rFonts w:hint="default" w:ascii="仿宋_GB2312" w:hAnsi="宋体" w:cs="宋体"/>
          <w:b/>
          <w:bCs/>
          <w:color w:val="auto"/>
          <w:kern w:val="0"/>
          <w:szCs w:val="24"/>
          <w:highlight w:val="yellow"/>
          <w:u w:val="none"/>
        </w:rPr>
        <w:t>（二十一）其他风险</w:t>
      </w:r>
    </w:p>
    <w:p w14:paraId="24B87323">
      <w:pPr>
        <w:widowControl/>
        <w:tabs>
          <w:tab w:val="left" w:pos="709"/>
        </w:tabs>
        <w:adjustRightInd w:val="0"/>
        <w:snapToGrid w:val="0"/>
        <w:spacing w:line="360" w:lineRule="auto"/>
        <w:ind w:firstLine="420" w:firstLineChars="200"/>
        <w:rPr>
          <w:rFonts w:hint="default" w:ascii="仿宋_GB2312" w:hAnsi="宋体" w:cs="宋体"/>
          <w:b w:val="0"/>
          <w:color w:val="auto"/>
          <w:kern w:val="0"/>
          <w:szCs w:val="24"/>
          <w:highlight w:val="yellow"/>
          <w:u w:val="none"/>
        </w:rPr>
      </w:pPr>
      <w:r>
        <w:rPr>
          <w:rFonts w:hint="default" w:ascii="仿宋_GB2312" w:hAnsi="宋体" w:cs="宋体"/>
          <w:b w:val="0"/>
          <w:color w:val="auto"/>
          <w:kern w:val="0"/>
          <w:szCs w:val="24"/>
          <w:highlight w:val="yellow"/>
          <w:u w:val="none"/>
        </w:rPr>
        <w:t>自然灾害、疫情、战争、金融危机等不能预见、不能避免、不能克服的不可抗力因素的出现，或系统故障、通讯故障、投资市场停止交易等意外事件的发生，可能对本理财产品的受理、成立、投资运作、资金返还、信息披露等造成影响，甚至可能导致本理财产品本金和收益的降低或损失，以及本金和收益延迟支付。对于由不可抗力及意外事件风险导致的任何损失和延迟支付，须投资者承担。</w:t>
      </w:r>
    </w:p>
    <w:p w14:paraId="277AC805">
      <w:pPr>
        <w:widowControl/>
        <w:tabs>
          <w:tab w:val="left" w:pos="709"/>
        </w:tabs>
        <w:adjustRightInd w:val="0"/>
        <w:snapToGrid w:val="0"/>
        <w:spacing w:line="360" w:lineRule="auto"/>
        <w:ind w:firstLine="420" w:firstLineChars="200"/>
        <w:rPr>
          <w:rFonts w:hint="eastAsia" w:ascii="仿宋_GB2312" w:hAnsi="宋体" w:eastAsia="仿宋_GB2312" w:cs="宋体"/>
          <w:b w:val="0"/>
          <w:bCs w:val="0"/>
          <w:color w:val="auto"/>
          <w:kern w:val="0"/>
          <w:sz w:val="24"/>
          <w:szCs w:val="24"/>
          <w:highlight w:val="yellow"/>
          <w:u w:val="none"/>
          <w:lang w:eastAsia="zh-CN"/>
        </w:rPr>
      </w:pPr>
      <w:r>
        <w:rPr>
          <w:rFonts w:hint="default" w:ascii="仿宋_GB2312" w:hAnsi="宋体" w:cs="宋体"/>
          <w:b w:val="0"/>
          <w:color w:val="auto"/>
          <w:kern w:val="0"/>
          <w:szCs w:val="24"/>
          <w:highlight w:val="yellow"/>
          <w:u w:val="none"/>
        </w:rPr>
        <w:t>以上所揭示事项仅为列举性质，未能尽述列明投资者投资本理财产品所面临的全部风险和可能导致投资者资产损失的所有因素。投资者应充分认识投资风险，谨慎投资</w:t>
      </w:r>
      <w:r>
        <w:rPr>
          <w:rFonts w:hint="default" w:ascii="仿宋_GB2312" w:hAnsi="宋体" w:eastAsia="仿宋_GB2312" w:cs="宋体"/>
          <w:b w:val="0"/>
          <w:bCs w:val="0"/>
          <w:color w:val="auto"/>
          <w:kern w:val="0"/>
          <w:sz w:val="24"/>
          <w:szCs w:val="24"/>
          <w:highlight w:val="yellow"/>
          <w:u w:val="none"/>
        </w:rPr>
        <w:t>。</w:t>
      </w:r>
      <w:r>
        <w:rPr>
          <w:rFonts w:hint="eastAsia" w:ascii="仿宋_GB2312" w:hAnsi="宋体" w:cs="宋体"/>
          <w:b w:val="0"/>
          <w:bCs w:val="0"/>
          <w:color w:val="auto"/>
          <w:kern w:val="0"/>
          <w:sz w:val="24"/>
          <w:szCs w:val="24"/>
          <w:highlight w:val="yellow"/>
          <w:u w:val="none"/>
          <w:lang w:eastAsia="zh-CN"/>
        </w:rPr>
        <w:t>】</w:t>
      </w:r>
    </w:p>
    <w:p w14:paraId="6F7544DC">
      <w:pPr>
        <w:widowControl/>
        <w:tabs>
          <w:tab w:val="left" w:pos="709"/>
        </w:tabs>
        <w:adjustRightInd w:val="0"/>
        <w:snapToGrid w:val="0"/>
        <w:spacing w:line="360" w:lineRule="auto"/>
        <w:ind w:firstLine="480" w:firstLineChars="200"/>
        <w:rPr>
          <w:rFonts w:hint="default" w:ascii="仿宋_GB2312" w:hAnsi="宋体" w:eastAsia="仿宋_GB2312" w:cs="宋体"/>
          <w:b w:val="0"/>
          <w:bCs w:val="0"/>
          <w:color w:val="auto"/>
          <w:kern w:val="0"/>
          <w:sz w:val="24"/>
          <w:szCs w:val="24"/>
          <w:highlight w:val="none"/>
          <w:u w:val="none"/>
        </w:rPr>
      </w:pPr>
    </w:p>
    <w:p w14:paraId="700ED111">
      <w:pPr>
        <w:widowControl/>
        <w:tabs>
          <w:tab w:val="left" w:pos="709"/>
        </w:tabs>
        <w:adjustRightInd w:val="0"/>
        <w:snapToGrid w:val="0"/>
        <w:spacing w:line="360" w:lineRule="auto"/>
        <w:ind w:firstLine="480" w:firstLineChars="200"/>
        <w:rPr>
          <w:rFonts w:hint="default" w:ascii="仿宋_GB2312" w:hAnsi="宋体" w:eastAsia="仿宋_GB2312" w:cs="宋体"/>
          <w:b w:val="0"/>
          <w:bCs w:val="0"/>
          <w:color w:val="auto"/>
          <w:kern w:val="0"/>
          <w:sz w:val="24"/>
          <w:szCs w:val="24"/>
          <w:highlight w:val="none"/>
          <w:u w:val="none"/>
        </w:rPr>
      </w:pPr>
    </w:p>
    <w:p w14:paraId="7A16C2CF">
      <w:pPr>
        <w:widowControl/>
        <w:tabs>
          <w:tab w:val="left" w:pos="709"/>
        </w:tabs>
        <w:adjustRightInd w:val="0"/>
        <w:snapToGrid w:val="0"/>
        <w:spacing w:line="360" w:lineRule="auto"/>
        <w:ind w:firstLine="480" w:firstLineChars="200"/>
        <w:rPr>
          <w:rFonts w:hint="default" w:ascii="仿宋_GB2312" w:hAnsi="宋体" w:eastAsia="仿宋_GB2312" w:cs="宋体"/>
          <w:b w:val="0"/>
          <w:bCs w:val="0"/>
          <w:color w:val="auto"/>
          <w:kern w:val="0"/>
          <w:sz w:val="24"/>
          <w:szCs w:val="24"/>
          <w:highlight w:val="none"/>
          <w:u w:val="none"/>
        </w:rPr>
      </w:pPr>
    </w:p>
    <w:p w14:paraId="4C02722A">
      <w:pPr>
        <w:widowControl/>
        <w:tabs>
          <w:tab w:val="left" w:pos="709"/>
        </w:tabs>
        <w:adjustRightInd w:val="0"/>
        <w:snapToGrid w:val="0"/>
        <w:spacing w:line="360" w:lineRule="auto"/>
        <w:ind w:firstLine="480" w:firstLineChars="200"/>
        <w:rPr>
          <w:rFonts w:hint="default" w:ascii="仿宋_GB2312" w:hAnsi="宋体" w:eastAsia="仿宋_GB2312" w:cs="宋体"/>
          <w:b w:val="0"/>
          <w:bCs w:val="0"/>
          <w:color w:val="auto"/>
          <w:kern w:val="0"/>
          <w:sz w:val="24"/>
          <w:szCs w:val="24"/>
          <w:highlight w:val="none"/>
          <w:u w:val="none"/>
        </w:rPr>
      </w:pPr>
    </w:p>
    <w:p w14:paraId="340D9FA1">
      <w:pPr>
        <w:widowControl/>
        <w:tabs>
          <w:tab w:val="left" w:pos="709"/>
        </w:tabs>
        <w:adjustRightInd w:val="0"/>
        <w:snapToGrid w:val="0"/>
        <w:spacing w:line="360" w:lineRule="auto"/>
        <w:ind w:firstLine="480" w:firstLineChars="200"/>
        <w:rPr>
          <w:rFonts w:hint="default" w:ascii="仿宋_GB2312" w:hAnsi="宋体" w:eastAsia="仿宋_GB2312" w:cs="宋体"/>
          <w:b w:val="0"/>
          <w:bCs w:val="0"/>
          <w:color w:val="auto"/>
          <w:kern w:val="0"/>
          <w:sz w:val="24"/>
          <w:szCs w:val="24"/>
          <w:highlight w:val="none"/>
          <w:u w:val="none"/>
        </w:rPr>
      </w:pPr>
    </w:p>
    <w:p w14:paraId="0EB22954">
      <w:pPr>
        <w:widowControl/>
        <w:tabs>
          <w:tab w:val="left" w:pos="709"/>
        </w:tabs>
        <w:adjustRightInd w:val="0"/>
        <w:snapToGrid w:val="0"/>
        <w:spacing w:line="360" w:lineRule="auto"/>
        <w:ind w:firstLine="480" w:firstLineChars="200"/>
        <w:rPr>
          <w:rFonts w:hint="default" w:ascii="仿宋_GB2312" w:hAnsi="宋体" w:eastAsia="仿宋_GB2312" w:cs="宋体"/>
          <w:b w:val="0"/>
          <w:bCs w:val="0"/>
          <w:color w:val="auto"/>
          <w:kern w:val="0"/>
          <w:sz w:val="24"/>
          <w:szCs w:val="24"/>
          <w:highlight w:val="none"/>
          <w:u w:val="none"/>
        </w:rPr>
      </w:pPr>
    </w:p>
    <w:p w14:paraId="789C7D62">
      <w:pPr>
        <w:widowControl/>
        <w:tabs>
          <w:tab w:val="left" w:pos="709"/>
        </w:tabs>
        <w:adjustRightInd w:val="0"/>
        <w:snapToGrid w:val="0"/>
        <w:spacing w:line="360" w:lineRule="auto"/>
        <w:ind w:firstLine="480" w:firstLineChars="200"/>
        <w:rPr>
          <w:rFonts w:hint="default" w:ascii="仿宋_GB2312" w:hAnsi="宋体" w:eastAsia="仿宋_GB2312" w:cs="宋体"/>
          <w:b w:val="0"/>
          <w:bCs w:val="0"/>
          <w:color w:val="auto"/>
          <w:kern w:val="0"/>
          <w:sz w:val="24"/>
          <w:szCs w:val="24"/>
          <w:highlight w:val="none"/>
          <w:u w:val="none"/>
        </w:rPr>
      </w:pPr>
    </w:p>
    <w:p w14:paraId="35E81335">
      <w:pPr>
        <w:widowControl/>
        <w:tabs>
          <w:tab w:val="left" w:pos="709"/>
        </w:tabs>
        <w:adjustRightInd w:val="0"/>
        <w:snapToGrid w:val="0"/>
        <w:spacing w:line="360" w:lineRule="auto"/>
        <w:ind w:firstLine="480" w:firstLineChars="200"/>
        <w:rPr>
          <w:rFonts w:hint="default" w:ascii="仿宋_GB2312" w:hAnsi="宋体" w:eastAsia="仿宋_GB2312" w:cs="宋体"/>
          <w:b w:val="0"/>
          <w:bCs w:val="0"/>
          <w:color w:val="auto"/>
          <w:kern w:val="0"/>
          <w:sz w:val="24"/>
          <w:szCs w:val="24"/>
          <w:highlight w:val="none"/>
          <w:u w:val="none"/>
        </w:rPr>
      </w:pPr>
    </w:p>
    <w:p w14:paraId="6311005C">
      <w:pPr>
        <w:widowControl/>
        <w:tabs>
          <w:tab w:val="left" w:pos="709"/>
        </w:tabs>
        <w:adjustRightInd w:val="0"/>
        <w:snapToGrid w:val="0"/>
        <w:spacing w:line="360" w:lineRule="auto"/>
        <w:ind w:firstLine="480" w:firstLineChars="200"/>
        <w:rPr>
          <w:rFonts w:hint="default" w:ascii="仿宋_GB2312" w:hAnsi="宋体" w:eastAsia="仿宋_GB2312" w:cs="宋体"/>
          <w:b w:val="0"/>
          <w:bCs w:val="0"/>
          <w:color w:val="auto"/>
          <w:kern w:val="0"/>
          <w:sz w:val="24"/>
          <w:szCs w:val="24"/>
          <w:highlight w:val="none"/>
          <w:u w:val="none"/>
        </w:rPr>
      </w:pPr>
    </w:p>
    <w:p w14:paraId="28E7218E">
      <w:pPr>
        <w:widowControl/>
        <w:tabs>
          <w:tab w:val="left" w:pos="709"/>
        </w:tabs>
        <w:adjustRightInd w:val="0"/>
        <w:snapToGrid w:val="0"/>
        <w:spacing w:line="360" w:lineRule="auto"/>
        <w:ind w:firstLine="480" w:firstLineChars="200"/>
        <w:rPr>
          <w:rFonts w:hint="default" w:ascii="仿宋_GB2312" w:hAnsi="宋体" w:eastAsia="仿宋_GB2312" w:cs="宋体"/>
          <w:b w:val="0"/>
          <w:bCs w:val="0"/>
          <w:color w:val="auto"/>
          <w:kern w:val="0"/>
          <w:sz w:val="24"/>
          <w:szCs w:val="24"/>
          <w:highlight w:val="none"/>
          <w:u w:val="none"/>
        </w:rPr>
      </w:pPr>
    </w:p>
    <w:p w14:paraId="2CB17E0B">
      <w:pPr>
        <w:rPr>
          <w:rFonts w:hint="default" w:ascii="仿宋_GB2312" w:hAnsi="宋体" w:eastAsia="仿宋_GB2312" w:cs="宋体"/>
          <w:b w:val="0"/>
          <w:bCs w:val="0"/>
          <w:color w:val="auto"/>
          <w:kern w:val="0"/>
          <w:sz w:val="24"/>
          <w:szCs w:val="24"/>
          <w:highlight w:val="none"/>
          <w:u w:val="none"/>
        </w:rPr>
      </w:pPr>
      <w:r>
        <w:rPr>
          <w:rFonts w:hint="default" w:ascii="仿宋_GB2312" w:hAnsi="宋体" w:eastAsia="仿宋_GB2312" w:cs="宋体"/>
          <w:b w:val="0"/>
          <w:bCs w:val="0"/>
          <w:color w:val="auto"/>
          <w:kern w:val="0"/>
          <w:sz w:val="24"/>
          <w:szCs w:val="24"/>
          <w:highlight w:val="none"/>
          <w:u w:val="none"/>
        </w:rPr>
        <w:br w:type="page"/>
      </w:r>
    </w:p>
    <w:p w14:paraId="53471D58">
      <w:pPr>
        <w:pStyle w:val="2"/>
        <w:numPr>
          <w:ilvl w:val="0"/>
          <w:numId w:val="15"/>
        </w:numPr>
      </w:pPr>
      <w:r>
        <w:rPr>
          <w:rFonts w:hint="eastAsia"/>
          <w:color w:val="auto"/>
          <w:highlight w:val="none"/>
          <w:u w:val="none"/>
          <w:lang w:eastAsia="zh-CN"/>
        </w:rPr>
        <w:t>特别提示</w:t>
      </w:r>
    </w:p>
    <w:p w14:paraId="4F4288E6">
      <w:pPr>
        <w:widowControl/>
        <w:tabs>
          <w:tab w:val="left" w:pos="709"/>
        </w:tabs>
        <w:snapToGrid w:val="0"/>
        <w:spacing w:line="360" w:lineRule="auto"/>
        <w:ind w:firstLine="422" w:firstLineChars="20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若本理财产品所投资资产到期不能全部偿付导致资产减值甚至本金大幅损失，则浙银理财将以产品管理人名义，代表投资者利益行使诉讼权利或者实施其他法律行为。</w:t>
      </w:r>
    </w:p>
    <w:p w14:paraId="5A8B0589">
      <w:pPr>
        <w:widowControl/>
        <w:tabs>
          <w:tab w:val="left" w:pos="709"/>
        </w:tabs>
        <w:snapToGrid w:val="0"/>
        <w:spacing w:line="360" w:lineRule="auto"/>
        <w:ind w:firstLine="422" w:firstLineChars="20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产品管理人对投资者信息负有保密义务，不得无故向任何组织、个人提供或泄露与投资者有关的业务资料及信息。产品管理人向确有知悉必要的雇员提供投资者信息，或按照有关法律、法规、监管要求向司法机关、行政机关等有关政府部门、投资合作机构及第三方专业机构提供的，不视为对保密义务的违反。</w:t>
      </w:r>
    </w:p>
    <w:p w14:paraId="2259DD80">
      <w:pPr>
        <w:widowControl/>
        <w:tabs>
          <w:tab w:val="left" w:pos="709"/>
        </w:tabs>
        <w:snapToGrid w:val="0"/>
        <w:spacing w:line="360" w:lineRule="auto"/>
        <w:ind w:firstLine="422" w:firstLineChars="200"/>
        <w:rPr>
          <w:rFonts w:ascii="仿宋_GB2312" w:hAnsi="宋体" w:cs="宋体"/>
          <w:b/>
          <w:bCs/>
          <w:color w:val="auto"/>
          <w:kern w:val="0"/>
          <w:szCs w:val="24"/>
          <w:highlight w:val="none"/>
          <w:u w:val="none"/>
        </w:rPr>
      </w:pPr>
      <w:r>
        <w:rPr>
          <w:rFonts w:hint="eastAsia" w:ascii="仿宋_GB2312" w:hAnsi="宋体" w:cs="宋体"/>
          <w:b/>
          <w:bCs/>
          <w:color w:val="auto"/>
          <w:kern w:val="0"/>
          <w:szCs w:val="24"/>
          <w:highlight w:val="none"/>
          <w:u w:val="none"/>
        </w:rPr>
        <w:t>产品管理人根据适用的法律法规和监管机构要求，向监管机构和/或其他有权机关（包括但不限于理财登记中心数据交换平台）报送投资者身份信息及投资者持有本产品份额及其变动情况等相关信息。产品管理人对向监管机构和/或监管机构指定机构报送的相关信息负有保密义务,并在报送信息过程中,采取有效措施确保信息安全与保密。</w:t>
      </w:r>
    </w:p>
    <w:p w14:paraId="674AE3B5">
      <w:pPr>
        <w:widowControl/>
        <w:tabs>
          <w:tab w:val="left" w:pos="709"/>
        </w:tabs>
        <w:snapToGrid w:val="0"/>
        <w:spacing w:line="360" w:lineRule="auto"/>
        <w:ind w:firstLine="420" w:firstLineChars="200"/>
        <w:rPr>
          <w:rFonts w:ascii="仿宋_GB2312" w:hAnsi="宋体" w:cs="宋体"/>
          <w:b/>
          <w:bCs/>
          <w:color w:val="auto"/>
          <w:kern w:val="0"/>
          <w:szCs w:val="24"/>
          <w:highlight w:val="none"/>
          <w:u w:val="none"/>
        </w:rPr>
      </w:pPr>
      <w:r>
        <w:rPr>
          <w:rFonts w:hint="eastAsia"/>
          <w:color w:val="auto"/>
          <w:highlight w:val="none"/>
          <w:u w:val="none"/>
        </w:rPr>
        <w:t>本产品的转让将依照理财产品销售文件及销售机构的业务政策执行。</w:t>
      </w:r>
    </w:p>
    <w:p w14:paraId="77A386E4">
      <w:pPr>
        <w:tabs>
          <w:tab w:val="left" w:pos="709"/>
        </w:tabs>
        <w:snapToGrid w:val="0"/>
        <w:spacing w:line="360" w:lineRule="auto"/>
        <w:ind w:firstLine="420" w:firstLineChars="200"/>
        <w:rPr>
          <w:color w:val="auto"/>
          <w:highlight w:val="none"/>
          <w:u w:val="none"/>
        </w:rPr>
      </w:pPr>
      <w:r>
        <w:rPr>
          <w:rFonts w:hint="eastAsia" w:ascii="仿宋_GB2312" w:hAnsi="宋体" w:cs="宋体"/>
          <w:bCs/>
          <w:color w:val="auto"/>
          <w:kern w:val="0"/>
          <w:szCs w:val="24"/>
          <w:highlight w:val="none"/>
          <w:u w:val="none"/>
        </w:rPr>
        <w:t>投资者对本理财产品有任何意见或异议，</w:t>
      </w:r>
      <w:r>
        <w:rPr>
          <w:rFonts w:hint="eastAsia" w:ascii="仿宋_GB2312" w:cs="宋体" w:hAnsiTheme="minorEastAsia"/>
          <w:bCs/>
          <w:color w:val="auto"/>
          <w:kern w:val="0"/>
          <w:szCs w:val="32"/>
          <w:highlight w:val="none"/>
          <w:u w:val="none"/>
        </w:rPr>
        <w:t>敬请联系您的销售服务机构，具体联系方式以《产品说明书》等销售文件的披露为准;或反馈至浙银理财，浙银理财服务电话：0571-57192881。</w:t>
      </w:r>
    </w:p>
    <w:p w14:paraId="03FB0FB1">
      <w:pPr>
        <w:widowControl/>
        <w:jc w:val="left"/>
        <w:rPr>
          <w:color w:val="auto"/>
          <w:szCs w:val="24"/>
          <w:highlight w:val="none"/>
          <w:u w:val="none"/>
        </w:rPr>
      </w:pPr>
    </w:p>
    <w:p w14:paraId="44FFE468">
      <w:pPr>
        <w:rPr>
          <w:color w:val="auto"/>
          <w:szCs w:val="24"/>
          <w:highlight w:val="none"/>
          <w:u w:val="none"/>
        </w:rPr>
      </w:pPr>
      <w:r>
        <w:rPr>
          <w:color w:val="auto"/>
          <w:szCs w:val="24"/>
          <w:highlight w:val="none"/>
          <w:u w:val="none"/>
        </w:rPr>
        <w:br w:type="page"/>
      </w:r>
    </w:p>
    <w:p w14:paraId="2DCA8B2E">
      <w:pPr>
        <w:widowControl/>
        <w:tabs>
          <w:tab w:val="left" w:pos="709"/>
        </w:tabs>
        <w:snapToGrid w:val="0"/>
        <w:spacing w:line="360" w:lineRule="auto"/>
        <w:ind w:firstLine="420" w:firstLineChars="200"/>
        <w:rPr>
          <w:rFonts w:hint="eastAsia"/>
          <w:color w:val="auto"/>
          <w:highlight w:val="none"/>
          <w:u w:val="none"/>
          <w:lang w:val="en-US" w:eastAsia="zh-CN"/>
        </w:rPr>
      </w:pPr>
      <w:r>
        <w:rPr>
          <w:rFonts w:hint="eastAsia"/>
          <w:color w:val="auto"/>
          <w:highlight w:val="none"/>
          <w:u w:val="none"/>
          <w:lang w:val="en-US" w:eastAsia="zh-CN"/>
        </w:rPr>
        <w:t xml:space="preserve">（本页为签署页，无正文） </w:t>
      </w:r>
    </w:p>
    <w:p w14:paraId="68105AD3">
      <w:pPr>
        <w:widowControl/>
        <w:tabs>
          <w:tab w:val="left" w:pos="709"/>
        </w:tabs>
        <w:snapToGrid w:val="0"/>
        <w:spacing w:line="360" w:lineRule="auto"/>
        <w:ind w:firstLine="420" w:firstLineChars="200"/>
        <w:rPr>
          <w:rFonts w:hint="eastAsia"/>
          <w:color w:val="auto"/>
          <w:highlight w:val="none"/>
          <w:u w:val="none"/>
          <w:lang w:val="en-US" w:eastAsia="zh-CN"/>
        </w:rPr>
      </w:pPr>
      <w:r>
        <w:rPr>
          <w:rFonts w:hint="eastAsia"/>
          <w:color w:val="auto"/>
          <w:highlight w:val="none"/>
          <w:u w:val="none"/>
          <w:lang w:val="en-US" w:eastAsia="zh-CN"/>
        </w:rPr>
        <w:t>投资者（个人客户签名） ：</w:t>
      </w:r>
    </w:p>
    <w:p w14:paraId="29E1F342">
      <w:pPr>
        <w:widowControl/>
        <w:tabs>
          <w:tab w:val="left" w:pos="709"/>
        </w:tabs>
        <w:snapToGrid w:val="0"/>
        <w:spacing w:line="360" w:lineRule="auto"/>
        <w:ind w:firstLine="420" w:firstLineChars="200"/>
        <w:rPr>
          <w:rFonts w:hint="eastAsia"/>
          <w:color w:val="auto"/>
          <w:highlight w:val="none"/>
          <w:u w:val="none"/>
          <w:lang w:val="en-US" w:eastAsia="zh-CN"/>
        </w:rPr>
      </w:pPr>
    </w:p>
    <w:p w14:paraId="5968DF08">
      <w:pPr>
        <w:widowControl/>
        <w:tabs>
          <w:tab w:val="left" w:pos="709"/>
        </w:tabs>
        <w:snapToGrid w:val="0"/>
        <w:spacing w:line="360" w:lineRule="auto"/>
        <w:ind w:firstLine="420" w:firstLineChars="200"/>
        <w:rPr>
          <w:rFonts w:hint="eastAsia"/>
          <w:color w:val="auto"/>
          <w:highlight w:val="none"/>
          <w:u w:val="none"/>
        </w:rPr>
      </w:pPr>
      <w:r>
        <w:rPr>
          <w:rFonts w:hint="eastAsia"/>
          <w:color w:val="auto"/>
          <w:highlight w:val="none"/>
          <w:u w:val="none"/>
          <w:lang w:val="en-US" w:eastAsia="zh-CN"/>
        </w:rPr>
        <w:t>投资者（机构客户盖公章） ：</w:t>
      </w:r>
    </w:p>
    <w:p w14:paraId="10AB003E">
      <w:pPr>
        <w:widowControl/>
        <w:tabs>
          <w:tab w:val="left" w:pos="709"/>
        </w:tabs>
        <w:snapToGrid w:val="0"/>
        <w:spacing w:line="360" w:lineRule="auto"/>
        <w:ind w:firstLine="420" w:firstLineChars="200"/>
        <w:rPr>
          <w:rFonts w:hint="eastAsia"/>
          <w:color w:val="auto"/>
          <w:highlight w:val="none"/>
          <w:u w:val="none"/>
        </w:rPr>
      </w:pPr>
      <w:r>
        <w:rPr>
          <w:rFonts w:hint="eastAsia"/>
          <w:color w:val="auto"/>
          <w:highlight w:val="none"/>
          <w:u w:val="none"/>
          <w:lang w:val="en-US" w:eastAsia="zh-CN"/>
        </w:rPr>
        <w:t xml:space="preserve">法定代表人或授权代理人（签名或盖个人名章）： </w:t>
      </w:r>
    </w:p>
    <w:p w14:paraId="74A5FC98">
      <w:pPr>
        <w:widowControl/>
        <w:tabs>
          <w:tab w:val="left" w:pos="709"/>
        </w:tabs>
        <w:snapToGrid w:val="0"/>
        <w:spacing w:line="360" w:lineRule="auto"/>
        <w:ind w:firstLine="420" w:firstLineChars="200"/>
        <w:rPr>
          <w:rFonts w:hint="eastAsia"/>
          <w:color w:val="auto"/>
          <w:highlight w:val="none"/>
          <w:u w:val="none"/>
          <w:lang w:val="en-US" w:eastAsia="zh-CN"/>
        </w:rPr>
      </w:pPr>
    </w:p>
    <w:p w14:paraId="24F9B6F2">
      <w:pPr>
        <w:widowControl/>
        <w:tabs>
          <w:tab w:val="left" w:pos="709"/>
        </w:tabs>
        <w:snapToGrid w:val="0"/>
        <w:spacing w:line="360" w:lineRule="auto"/>
        <w:ind w:firstLine="420" w:firstLineChars="200"/>
        <w:rPr>
          <w:rFonts w:hint="eastAsia"/>
          <w:color w:val="auto"/>
          <w:highlight w:val="none"/>
          <w:u w:val="none"/>
        </w:rPr>
      </w:pPr>
      <w:r>
        <w:rPr>
          <w:rFonts w:hint="eastAsia"/>
          <w:color w:val="auto"/>
          <w:highlight w:val="none"/>
          <w:u w:val="none"/>
          <w:lang w:val="en-US" w:eastAsia="zh-CN"/>
        </w:rPr>
        <w:t>签约日期:_______年______月______日</w:t>
      </w:r>
    </w:p>
    <w:p w14:paraId="5408A311"/>
    <w:p w14:paraId="7A68A438">
      <w:pPr>
        <w:jc w:val="left"/>
        <w:rPr>
          <w:rFonts w:hint="default" w:ascii="黑体" w:hAnsi="黑体" w:eastAsia="黑体" w:cs="黑体"/>
          <w:bCs/>
          <w:color w:val="auto"/>
          <w:kern w:val="0"/>
          <w:sz w:val="32"/>
          <w:szCs w:val="40"/>
          <w:highlight w:val="none"/>
          <w:u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等线">
    <w:altName w:val="微软雅黑"/>
    <w:panose1 w:val="02010600030101010101"/>
    <w:charset w:val="00"/>
    <w:family w:val="auto"/>
    <w:pitch w:val="default"/>
    <w:sig w:usb0="00000000" w:usb1="00000000" w:usb2="00000016" w:usb3="00000000" w:csb0="0004000F" w:csb1="00000000"/>
  </w:font>
  <w:font w:name="仿宋">
    <w:altName w:val="微软雅黑"/>
    <w:panose1 w:val="02010609060101010101"/>
    <w:charset w:val="86"/>
    <w:family w:val="modern"/>
    <w:pitch w:val="default"/>
    <w:sig w:usb0="00000000" w:usb1="00000000" w:usb2="00000016" w:usb3="00000000" w:csb0="00040001" w:csb1="00000000"/>
  </w:font>
  <w:font w:name="Wingdings 2">
    <w:panose1 w:val="05020102010507070707"/>
    <w:charset w:val="00"/>
    <w:family w:val="auto"/>
    <w:pitch w:val="default"/>
    <w:sig w:usb0="00000000" w:usb1="00000000" w:usb2="00000000" w:usb3="00000000" w:csb0="80000000" w:csb1="00000000"/>
  </w:font>
  <w:font w:name="DejaVu Math TeX Gyre">
    <w:panose1 w:val="02000503000000000000"/>
    <w:charset w:val="00"/>
    <w:family w:val="auto"/>
    <w:pitch w:val="default"/>
    <w:sig w:usb0="A10000EF" w:usb1="4201F9EE" w:usb2="02000000" w:usb3="00000000" w:csb0="60000193" w:csb1="0DD40000"/>
  </w:font>
  <w:font w:name="Microsoft YaHei">
    <w:panose1 w:val="020B0503020204020204"/>
    <w:charset w:val="86"/>
    <w:family w:val="auto"/>
    <w:pitch w:val="default"/>
    <w:sig w:usb0="80000287" w:usb1="280F3C52" w:usb2="00000016" w:usb3="00000000" w:csb0="0004001F" w:csb1="00000000"/>
  </w:font>
  <w:font w:name="Tahoma">
    <w:altName w:val="noto sans thai"/>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thai">
    <w:panose1 w:val="020B0502040504020204"/>
    <w:charset w:val="00"/>
    <w:family w:val="auto"/>
    <w:pitch w:val="default"/>
    <w:sig w:usb0="81000063" w:usb1="00002000" w:usb2="00000000" w:usb3="00000000" w:csb0="0001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F3959"/>
    <w:multiLevelType w:val="singleLevel"/>
    <w:tmpl w:val="DFFF3959"/>
    <w:lvl w:ilvl="0" w:tentative="0">
      <w:start w:val="2"/>
      <w:numFmt w:val="chineseCounting"/>
      <w:suff w:val="nothing"/>
      <w:lvlText w:val="（%1）"/>
      <w:lvlJc w:val="left"/>
      <w:rPr>
        <w:rFonts w:hint="eastAsia"/>
      </w:rPr>
    </w:lvl>
  </w:abstractNum>
  <w:abstractNum w:abstractNumId="1">
    <w:nsid w:val="F2FEFE0E"/>
    <w:multiLevelType w:val="singleLevel"/>
    <w:tmpl w:val="F2FEFE0E"/>
    <w:lvl w:ilvl="0" w:tentative="0">
      <w:start w:val="1"/>
      <w:numFmt w:val="decimal"/>
      <w:suff w:val="nothing"/>
      <w:lvlText w:val="（%1）"/>
      <w:lvlJc w:val="left"/>
    </w:lvl>
  </w:abstractNum>
  <w:abstractNum w:abstractNumId="2">
    <w:nsid w:val="F7DE153C"/>
    <w:multiLevelType w:val="singleLevel"/>
    <w:tmpl w:val="F7DE153C"/>
    <w:lvl w:ilvl="0" w:tentative="0">
      <w:start w:val="1"/>
      <w:numFmt w:val="decimal"/>
      <w:suff w:val="nothing"/>
      <w:lvlText w:val="（%1）"/>
      <w:lvlJc w:val="left"/>
    </w:lvl>
  </w:abstractNum>
  <w:abstractNum w:abstractNumId="3">
    <w:nsid w:val="035507D1"/>
    <w:multiLevelType w:val="multilevel"/>
    <w:tmpl w:val="035507D1"/>
    <w:lvl w:ilvl="0" w:tentative="0">
      <w:start w:val="1"/>
      <w:numFmt w:val="bullet"/>
      <w:lvlText w:val=""/>
      <w:lvlJc w:val="left"/>
      <w:pPr>
        <w:ind w:left="972" w:hanging="420"/>
      </w:pPr>
      <w:rPr>
        <w:rFonts w:hint="default" w:ascii="Wingdings" w:hAnsi="Wingdings"/>
      </w:rPr>
    </w:lvl>
    <w:lvl w:ilvl="1" w:tentative="0">
      <w:start w:val="1"/>
      <w:numFmt w:val="bullet"/>
      <w:lvlText w:val=""/>
      <w:lvlJc w:val="left"/>
      <w:pPr>
        <w:ind w:left="1392" w:hanging="420"/>
      </w:pPr>
      <w:rPr>
        <w:rFonts w:hint="default" w:ascii="Wingdings" w:hAnsi="Wingdings"/>
      </w:rPr>
    </w:lvl>
    <w:lvl w:ilvl="2" w:tentative="0">
      <w:start w:val="1"/>
      <w:numFmt w:val="bullet"/>
      <w:lvlText w:val=""/>
      <w:lvlJc w:val="left"/>
      <w:pPr>
        <w:ind w:left="1812" w:hanging="420"/>
      </w:pPr>
      <w:rPr>
        <w:rFonts w:hint="default" w:ascii="Wingdings" w:hAnsi="Wingdings"/>
      </w:rPr>
    </w:lvl>
    <w:lvl w:ilvl="3" w:tentative="0">
      <w:start w:val="1"/>
      <w:numFmt w:val="bullet"/>
      <w:lvlText w:val=""/>
      <w:lvlJc w:val="left"/>
      <w:pPr>
        <w:ind w:left="2232" w:hanging="420"/>
      </w:pPr>
      <w:rPr>
        <w:rFonts w:hint="default" w:ascii="Wingdings" w:hAnsi="Wingdings"/>
      </w:rPr>
    </w:lvl>
    <w:lvl w:ilvl="4" w:tentative="0">
      <w:start w:val="1"/>
      <w:numFmt w:val="bullet"/>
      <w:lvlText w:val=""/>
      <w:lvlJc w:val="left"/>
      <w:pPr>
        <w:ind w:left="2652" w:hanging="420"/>
      </w:pPr>
      <w:rPr>
        <w:rFonts w:hint="default" w:ascii="Wingdings" w:hAnsi="Wingdings"/>
      </w:rPr>
    </w:lvl>
    <w:lvl w:ilvl="5" w:tentative="0">
      <w:start w:val="1"/>
      <w:numFmt w:val="bullet"/>
      <w:lvlText w:val=""/>
      <w:lvlJc w:val="left"/>
      <w:pPr>
        <w:ind w:left="3072" w:hanging="420"/>
      </w:pPr>
      <w:rPr>
        <w:rFonts w:hint="default" w:ascii="Wingdings" w:hAnsi="Wingdings"/>
      </w:rPr>
    </w:lvl>
    <w:lvl w:ilvl="6" w:tentative="0">
      <w:start w:val="1"/>
      <w:numFmt w:val="bullet"/>
      <w:lvlText w:val=""/>
      <w:lvlJc w:val="left"/>
      <w:pPr>
        <w:ind w:left="3492" w:hanging="420"/>
      </w:pPr>
      <w:rPr>
        <w:rFonts w:hint="default" w:ascii="Wingdings" w:hAnsi="Wingdings"/>
      </w:rPr>
    </w:lvl>
    <w:lvl w:ilvl="7" w:tentative="0">
      <w:start w:val="1"/>
      <w:numFmt w:val="bullet"/>
      <w:lvlText w:val=""/>
      <w:lvlJc w:val="left"/>
      <w:pPr>
        <w:ind w:left="3912" w:hanging="420"/>
      </w:pPr>
      <w:rPr>
        <w:rFonts w:hint="default" w:ascii="Wingdings" w:hAnsi="Wingdings"/>
      </w:rPr>
    </w:lvl>
    <w:lvl w:ilvl="8" w:tentative="0">
      <w:start w:val="1"/>
      <w:numFmt w:val="bullet"/>
      <w:lvlText w:val=""/>
      <w:lvlJc w:val="left"/>
      <w:pPr>
        <w:ind w:left="4332" w:hanging="420"/>
      </w:pPr>
      <w:rPr>
        <w:rFonts w:hint="default" w:ascii="Wingdings" w:hAnsi="Wingdings"/>
      </w:rPr>
    </w:lvl>
  </w:abstractNum>
  <w:abstractNum w:abstractNumId="4">
    <w:nsid w:val="6D1F00F7"/>
    <w:multiLevelType w:val="multilevel"/>
    <w:tmpl w:val="6D1F00F7"/>
    <w:lvl w:ilvl="0" w:tentative="0">
      <w:start w:val="1"/>
      <w:numFmt w:val="bullet"/>
      <w:lvlText w:val=""/>
      <w:lvlJc w:val="left"/>
      <w:pPr>
        <w:ind w:left="972" w:hanging="420"/>
      </w:pPr>
      <w:rPr>
        <w:rFonts w:hint="default" w:ascii="Wingdings" w:hAnsi="Wingdings"/>
      </w:rPr>
    </w:lvl>
    <w:lvl w:ilvl="1" w:tentative="0">
      <w:start w:val="1"/>
      <w:numFmt w:val="bullet"/>
      <w:lvlText w:val=""/>
      <w:lvlJc w:val="left"/>
      <w:pPr>
        <w:ind w:left="1392" w:hanging="420"/>
      </w:pPr>
      <w:rPr>
        <w:rFonts w:hint="default" w:ascii="Wingdings" w:hAnsi="Wingdings"/>
      </w:rPr>
    </w:lvl>
    <w:lvl w:ilvl="2" w:tentative="0">
      <w:start w:val="1"/>
      <w:numFmt w:val="bullet"/>
      <w:lvlText w:val=""/>
      <w:lvlJc w:val="left"/>
      <w:pPr>
        <w:ind w:left="1812" w:hanging="420"/>
      </w:pPr>
      <w:rPr>
        <w:rFonts w:hint="default" w:ascii="Wingdings" w:hAnsi="Wingdings"/>
      </w:rPr>
    </w:lvl>
    <w:lvl w:ilvl="3" w:tentative="0">
      <w:start w:val="1"/>
      <w:numFmt w:val="bullet"/>
      <w:lvlText w:val=""/>
      <w:lvlJc w:val="left"/>
      <w:pPr>
        <w:ind w:left="2232" w:hanging="420"/>
      </w:pPr>
      <w:rPr>
        <w:rFonts w:hint="default" w:ascii="Wingdings" w:hAnsi="Wingdings"/>
      </w:rPr>
    </w:lvl>
    <w:lvl w:ilvl="4" w:tentative="0">
      <w:start w:val="1"/>
      <w:numFmt w:val="bullet"/>
      <w:lvlText w:val=""/>
      <w:lvlJc w:val="left"/>
      <w:pPr>
        <w:ind w:left="2652" w:hanging="420"/>
      </w:pPr>
      <w:rPr>
        <w:rFonts w:hint="default" w:ascii="Wingdings" w:hAnsi="Wingdings"/>
      </w:rPr>
    </w:lvl>
    <w:lvl w:ilvl="5" w:tentative="0">
      <w:start w:val="1"/>
      <w:numFmt w:val="bullet"/>
      <w:lvlText w:val=""/>
      <w:lvlJc w:val="left"/>
      <w:pPr>
        <w:ind w:left="3072" w:hanging="420"/>
      </w:pPr>
      <w:rPr>
        <w:rFonts w:hint="default" w:ascii="Wingdings" w:hAnsi="Wingdings"/>
      </w:rPr>
    </w:lvl>
    <w:lvl w:ilvl="6" w:tentative="0">
      <w:start w:val="1"/>
      <w:numFmt w:val="bullet"/>
      <w:lvlText w:val=""/>
      <w:lvlJc w:val="left"/>
      <w:pPr>
        <w:ind w:left="3492" w:hanging="420"/>
      </w:pPr>
      <w:rPr>
        <w:rFonts w:hint="default" w:ascii="Wingdings" w:hAnsi="Wingdings"/>
      </w:rPr>
    </w:lvl>
    <w:lvl w:ilvl="7" w:tentative="0">
      <w:start w:val="1"/>
      <w:numFmt w:val="bullet"/>
      <w:lvlText w:val=""/>
      <w:lvlJc w:val="left"/>
      <w:pPr>
        <w:ind w:left="3912" w:hanging="420"/>
      </w:pPr>
      <w:rPr>
        <w:rFonts w:hint="default" w:ascii="Wingdings" w:hAnsi="Wingdings"/>
      </w:rPr>
    </w:lvl>
    <w:lvl w:ilvl="8" w:tentative="0">
      <w:start w:val="1"/>
      <w:numFmt w:val="bullet"/>
      <w:lvlText w:val=""/>
      <w:lvlJc w:val="left"/>
      <w:pPr>
        <w:ind w:left="4332" w:hanging="420"/>
      </w:pPr>
      <w:rPr>
        <w:rFonts w:hint="default" w:ascii="Wingdings" w:hAnsi="Wingdings"/>
      </w:rPr>
    </w:lvl>
  </w:abstractNum>
  <w:abstractNum w:abstractNumId="5">
    <w:nsid w:val="6E7D72AC"/>
    <w:multiLevelType w:val="multilevel"/>
    <w:tmpl w:val="6E7D72AC"/>
    <w:lvl w:ilvl="0" w:tentative="0">
      <w:start w:val="1"/>
      <w:numFmt w:val="chineseCounting"/>
      <w:pStyle w:val="2"/>
      <w:suff w:val="nothing"/>
      <w:lvlText w:val="第%1节 "/>
      <w:lvlJc w:val="left"/>
      <w:pPr>
        <w:tabs>
          <w:tab w:val="left" w:pos="0"/>
        </w:tabs>
        <w:ind w:left="0" w:firstLine="0"/>
      </w:pPr>
      <w:rPr>
        <w:rFonts w:hint="eastAsia" w:ascii="宋体" w:hAnsi="宋体" w:eastAsia="黑体" w:cs="宋体"/>
        <w:sz w:val="28"/>
      </w:rPr>
    </w:lvl>
    <w:lvl w:ilvl="1" w:tentative="0">
      <w:start w:val="1"/>
      <w:numFmt w:val="chineseCounting"/>
      <w:pStyle w:val="3"/>
      <w:suff w:val="nothing"/>
      <w:lvlText w:val="（%2）"/>
      <w:lvlJc w:val="left"/>
      <w:pPr>
        <w:ind w:left="0" w:leftChars="0" w:firstLine="482" w:firstLineChars="0"/>
      </w:pPr>
      <w:rPr>
        <w:rFonts w:hint="eastAsia" w:ascii="宋体" w:hAnsi="宋体" w:eastAsia="仿宋_GB2312" w:cs="宋体"/>
        <w:b/>
        <w:sz w:val="24"/>
      </w:rPr>
    </w:lvl>
    <w:lvl w:ilvl="2" w:tentative="0">
      <w:start w:val="1"/>
      <w:numFmt w:val="decimal"/>
      <w:suff w:val="nothing"/>
      <w:lvlText w:val="%3．"/>
      <w:lvlJc w:val="left"/>
      <w:pPr>
        <w:ind w:left="0" w:firstLine="400"/>
      </w:pPr>
      <w:rPr>
        <w:rFonts w:hint="eastAsia" w:ascii="宋体" w:hAnsi="宋体" w:eastAsia="宋体" w:cs="宋体"/>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6">
    <w:nsid w:val="72044557"/>
    <w:multiLevelType w:val="singleLevel"/>
    <w:tmpl w:val="72044557"/>
    <w:lvl w:ilvl="0" w:tentative="0">
      <w:start w:val="1"/>
      <w:numFmt w:val="decimal"/>
      <w:lvlText w:val="%1."/>
      <w:lvlJc w:val="left"/>
      <w:pPr>
        <w:tabs>
          <w:tab w:val="left" w:pos="312"/>
        </w:tabs>
      </w:pPr>
    </w:lvl>
  </w:abstractNum>
  <w:abstractNum w:abstractNumId="7">
    <w:nsid w:val="7CFCF8DE"/>
    <w:multiLevelType w:val="singleLevel"/>
    <w:tmpl w:val="7CFCF8DE"/>
    <w:lvl w:ilvl="0" w:tentative="0">
      <w:start w:val="5"/>
      <w:numFmt w:val="decimal"/>
      <w:suff w:val="nothing"/>
      <w:lvlText w:val="%1）"/>
      <w:lvlJc w:val="left"/>
    </w:lvl>
  </w:abstractNum>
  <w:abstractNum w:abstractNumId="8">
    <w:nsid w:val="7D9B71BF"/>
    <w:multiLevelType w:val="singleLevel"/>
    <w:tmpl w:val="7D9B71BF"/>
    <w:lvl w:ilvl="0" w:tentative="0">
      <w:start w:val="1"/>
      <w:numFmt w:val="decimal"/>
      <w:lvlText w:val="%1."/>
      <w:lvlJc w:val="left"/>
      <w:pPr>
        <w:tabs>
          <w:tab w:val="left" w:pos="312"/>
        </w:tabs>
      </w:pPr>
    </w:lvl>
  </w:abstractNum>
  <w:num w:numId="1">
    <w:abstractNumId w:val="5"/>
  </w:num>
  <w:num w:numId="2">
    <w:abstractNumId w:val="0"/>
  </w:num>
  <w:num w:numId="3">
    <w:abstractNumId w:val="4"/>
  </w:num>
  <w:num w:numId="4">
    <w:abstractNumId w:val="3"/>
  </w:num>
  <w:num w:numId="5">
    <w:abstractNumId w:val="1"/>
  </w:num>
  <w:num w:numId="6">
    <w:abstractNumId w:val="8"/>
  </w:num>
  <w:num w:numId="7">
    <w:abstractNumId w:val="6"/>
  </w:num>
  <w:num w:numId="8">
    <w:abstractNumId w:val="2"/>
  </w:num>
  <w:num w:numId="9">
    <w:abstractNumId w:val="7"/>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5E2147"/>
    <w:rsid w:val="17E67266"/>
    <w:rsid w:val="1DF7AA2B"/>
    <w:rsid w:val="1EB42750"/>
    <w:rsid w:val="1EFD2F85"/>
    <w:rsid w:val="1FFF9C33"/>
    <w:rsid w:val="27DF324A"/>
    <w:rsid w:val="2BE68851"/>
    <w:rsid w:val="2F793946"/>
    <w:rsid w:val="325FE53B"/>
    <w:rsid w:val="33320CEF"/>
    <w:rsid w:val="34863E70"/>
    <w:rsid w:val="377FB5DA"/>
    <w:rsid w:val="3BB72965"/>
    <w:rsid w:val="3D7BF03B"/>
    <w:rsid w:val="3DE7AD18"/>
    <w:rsid w:val="3EFED059"/>
    <w:rsid w:val="3F434E11"/>
    <w:rsid w:val="3FD755D8"/>
    <w:rsid w:val="3FDEC416"/>
    <w:rsid w:val="437F0D69"/>
    <w:rsid w:val="4E6E843C"/>
    <w:rsid w:val="535E2147"/>
    <w:rsid w:val="575F1CDB"/>
    <w:rsid w:val="57BEA503"/>
    <w:rsid w:val="57EF41F6"/>
    <w:rsid w:val="5FE53A31"/>
    <w:rsid w:val="62405129"/>
    <w:rsid w:val="69FB088A"/>
    <w:rsid w:val="69FB84CC"/>
    <w:rsid w:val="6BAF8D1E"/>
    <w:rsid w:val="6BED98E6"/>
    <w:rsid w:val="6E7F2096"/>
    <w:rsid w:val="6FD7BF4A"/>
    <w:rsid w:val="6FFF12D5"/>
    <w:rsid w:val="716BC9DE"/>
    <w:rsid w:val="71FDF483"/>
    <w:rsid w:val="73EF0533"/>
    <w:rsid w:val="73F6DFAA"/>
    <w:rsid w:val="767624FB"/>
    <w:rsid w:val="77B909BB"/>
    <w:rsid w:val="77C7B9B7"/>
    <w:rsid w:val="77E9641F"/>
    <w:rsid w:val="78ADFD90"/>
    <w:rsid w:val="7A7A57CB"/>
    <w:rsid w:val="7B7DA654"/>
    <w:rsid w:val="7BD6CA80"/>
    <w:rsid w:val="7BDC12EF"/>
    <w:rsid w:val="7BF75834"/>
    <w:rsid w:val="7CC21B68"/>
    <w:rsid w:val="7D9F5020"/>
    <w:rsid w:val="7DF1CF57"/>
    <w:rsid w:val="7DFFBFB2"/>
    <w:rsid w:val="7E3EC12E"/>
    <w:rsid w:val="7EF3D307"/>
    <w:rsid w:val="7EFD8E74"/>
    <w:rsid w:val="7F5D6B73"/>
    <w:rsid w:val="7F7F1EF6"/>
    <w:rsid w:val="7FAF9991"/>
    <w:rsid w:val="7FAFDE3B"/>
    <w:rsid w:val="7FB3D1F7"/>
    <w:rsid w:val="7FED56A0"/>
    <w:rsid w:val="7FEDFBFB"/>
    <w:rsid w:val="7FEE365D"/>
    <w:rsid w:val="7FF7D5D5"/>
    <w:rsid w:val="7FFF4FCE"/>
    <w:rsid w:val="837F41BF"/>
    <w:rsid w:val="8FB69389"/>
    <w:rsid w:val="97BFD1FF"/>
    <w:rsid w:val="98F746A5"/>
    <w:rsid w:val="9F3597AF"/>
    <w:rsid w:val="9FED2B13"/>
    <w:rsid w:val="ABF7B5A0"/>
    <w:rsid w:val="ADFEAD60"/>
    <w:rsid w:val="AE7F0E83"/>
    <w:rsid w:val="BB7DAC01"/>
    <w:rsid w:val="BFABB002"/>
    <w:rsid w:val="BFC73F22"/>
    <w:rsid w:val="BFCB9809"/>
    <w:rsid w:val="BFF52E1A"/>
    <w:rsid w:val="BFF7C33D"/>
    <w:rsid w:val="BFFB4F1D"/>
    <w:rsid w:val="CD3EB6F4"/>
    <w:rsid w:val="CFEFFDD4"/>
    <w:rsid w:val="D373E292"/>
    <w:rsid w:val="D7CC4955"/>
    <w:rsid w:val="D7EA0F3B"/>
    <w:rsid w:val="DBD72207"/>
    <w:rsid w:val="DD5FC5CE"/>
    <w:rsid w:val="DDEC0C7B"/>
    <w:rsid w:val="DEEF1ACC"/>
    <w:rsid w:val="DFEFD07C"/>
    <w:rsid w:val="E5FF7677"/>
    <w:rsid w:val="E9EFCEBE"/>
    <w:rsid w:val="EDF7ACD2"/>
    <w:rsid w:val="EEEE11BF"/>
    <w:rsid w:val="EEEFBE06"/>
    <w:rsid w:val="EFEF32F0"/>
    <w:rsid w:val="EFFB2563"/>
    <w:rsid w:val="EFFF0019"/>
    <w:rsid w:val="F3EF9A26"/>
    <w:rsid w:val="F4FC2D0B"/>
    <w:rsid w:val="F5FFA126"/>
    <w:rsid w:val="F7EDC883"/>
    <w:rsid w:val="F9CB3B71"/>
    <w:rsid w:val="FA9F1352"/>
    <w:rsid w:val="FABC75DE"/>
    <w:rsid w:val="FB9FA207"/>
    <w:rsid w:val="FCAFF179"/>
    <w:rsid w:val="FCEA112E"/>
    <w:rsid w:val="FCF720EA"/>
    <w:rsid w:val="FD5F24D7"/>
    <w:rsid w:val="FDAE3DBF"/>
    <w:rsid w:val="FDBF4758"/>
    <w:rsid w:val="FE3FA107"/>
    <w:rsid w:val="FE6BA61C"/>
    <w:rsid w:val="FEE7AC79"/>
    <w:rsid w:val="FEF4F857"/>
    <w:rsid w:val="FF3DA3E9"/>
    <w:rsid w:val="FF76962A"/>
    <w:rsid w:val="FFED554C"/>
    <w:rsid w:val="FFEF3C92"/>
    <w:rsid w:val="FFF7C4D4"/>
    <w:rsid w:val="FFFBFF0F"/>
    <w:rsid w:val="FFFC06A6"/>
    <w:rsid w:val="FFFEA685"/>
    <w:rsid w:val="FFFEF542"/>
    <w:rsid w:val="FFFF56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line="360" w:lineRule="auto"/>
      <w:jc w:val="center"/>
      <w:outlineLvl w:val="0"/>
    </w:pPr>
    <w:rPr>
      <w:rFonts w:eastAsia="黑体"/>
      <w:kern w:val="44"/>
      <w:sz w:val="28"/>
    </w:rPr>
  </w:style>
  <w:style w:type="paragraph" w:styleId="3">
    <w:name w:val="heading 2"/>
    <w:basedOn w:val="1"/>
    <w:next w:val="1"/>
    <w:link w:val="15"/>
    <w:unhideWhenUsed/>
    <w:qFormat/>
    <w:uiPriority w:val="0"/>
    <w:pPr>
      <w:keepNext/>
      <w:keepLines/>
      <w:numPr>
        <w:ilvl w:val="1"/>
        <w:numId w:val="1"/>
      </w:numPr>
      <w:tabs>
        <w:tab w:val="left" w:pos="1134"/>
      </w:tabs>
      <w:spacing w:line="360" w:lineRule="auto"/>
      <w:ind w:left="0" w:firstLine="482" w:firstLineChars="0"/>
      <w:jc w:val="left"/>
      <w:outlineLvl w:val="1"/>
    </w:pPr>
    <w:rPr>
      <w:rFonts w:ascii="Arial" w:hAnsi="Arial"/>
      <w:b/>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Hyperlink"/>
    <w:qFormat/>
    <w:uiPriority w:val="0"/>
    <w:rPr>
      <w:color w:val="0000FF"/>
      <w:u w:val="single"/>
    </w:rPr>
  </w:style>
  <w:style w:type="character" w:styleId="12">
    <w:name w:val="annotation reference"/>
    <w:basedOn w:val="9"/>
    <w:qFormat/>
    <w:uiPriority w:val="0"/>
    <w:rPr>
      <w:sz w:val="21"/>
      <w:szCs w:val="21"/>
    </w:rPr>
  </w:style>
  <w:style w:type="paragraph" w:styleId="13">
    <w:name w:val="List Paragraph"/>
    <w:basedOn w:val="1"/>
    <w:unhideWhenUsed/>
    <w:qFormat/>
    <w:uiPriority w:val="99"/>
    <w:pPr>
      <w:ind w:firstLine="420" w:firstLineChars="200"/>
    </w:pPr>
  </w:style>
  <w:style w:type="paragraph" w:customStyle="1" w:styleId="1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5">
    <w:name w:val="标题 2 字符"/>
    <w:link w:val="3"/>
    <w:qFormat/>
    <w:uiPriority w:val="0"/>
    <w:rPr>
      <w:rFonts w:ascii="Arial" w:hAnsi="Arial"/>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378</Pages>
  <Words>0</Words>
  <Characters>0</Characters>
  <Lines>0</Lines>
  <Paragraphs>0</Paragraphs>
  <TotalTime>0</TotalTime>
  <ScaleCrop>false</ScaleCrop>
  <LinksUpToDate>false</LinksUpToDate>
  <CharactersWithSpaces>0</CharactersWithSpaces>
  <Application>WPS Office_12.1.2.23582_F1E327BC-269C-435d-A152-05C5408002CA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2026-01-20T14:21:00Z</dcterms:created>
  <dc:creator>C73A</dc:creator>
  <cp:lastModifiedBy>C73A</cp:lastModifiedBy>
  <dcterms:modified xsi:type="dcterms:W3CDTF">2026-08-25T23:19:43Z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2052-12.1.2.23582</vt:lpwstr>
  </property>
  <property fmtid="{D5CDD505-2E9C-101B-9397-08002B2CF9AE}" pid="3" name="ICV">
    <vt:lpwstr>728D04A4E5F437BD00D9696952185028_41</vt:lpwstr>
  </property>
</Properties>
</file>